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oter1.xml" ContentType="application/vnd.openxmlformats-officedocument.wordprocessingml.footer+xml"/>
  <Override PartName="/word/settings.xml" ContentType="application/vnd.openxmlformats-officedocument.wordprocessingml.settings+xml"/>
  <Override PartName="/word/numbering.xml" ContentType="application/vnd.openxmlformats-officedocument.wordprocessingml.numbering+xml"/>
  <Override PartName="/word/fontTable.xml" ContentType="application/vnd.openxmlformats-officedocument.wordprocessingml.fontTabl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ody>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MARINHA DO BRASIL</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CENTRO DE INTENDÊNCIA DA MARINHA EM RIO GRANDE</w:t>
      </w:r>
    </w:p>
    <w:p>
      <w:pPr>
        <w:pStyle w:val="Normal"/>
        <w:spacing w:lineRule="auto" w:line="276"/>
        <w:jc w:val="center"/>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GRUPAMENTO DE FUZILEIROS NAVAIS DO RIO GRANDE</w:t>
      </w:r>
    </w:p>
    <w:p>
      <w:pPr>
        <w:pStyle w:val="Normal"/>
        <w:spacing w:lineRule="auto" w:line="276"/>
        <w:jc w:val="center"/>
        <w:rPr/>
      </w:pPr>
      <w:r>
        <w:rPr>
          <w:rFonts w:cs="Arial" w:ascii="CARLITO" w:hAnsi="CARLITO"/>
          <w:b/>
          <w:bCs/>
          <w:i w:val="false"/>
          <w:iCs w:val="false"/>
          <w:color w:val="000000"/>
          <w:sz w:val="24"/>
          <w:szCs w:val="24"/>
        </w:rPr>
        <w:t>AVISO DE DISPENSA ELETRÔNICA Nº 30</w:t>
      </w:r>
      <w:r>
        <w:rPr>
          <w:rFonts w:eastAsia="Times New Roman" w:cs="Arial" w:ascii="CARLITO" w:hAnsi="CARLITO"/>
          <w:b/>
          <w:bCs/>
          <w:i w:val="false"/>
          <w:iCs w:val="false"/>
          <w:color w:val="000000"/>
          <w:kern w:val="0"/>
          <w:sz w:val="24"/>
          <w:szCs w:val="24"/>
          <w:lang w:val="pt-BR" w:eastAsia="pt-BR" w:bidi="ar-SA"/>
        </w:rPr>
        <w:t>140</w:t>
      </w:r>
      <w:r>
        <w:rPr>
          <w:rFonts w:cs="Arial" w:ascii="CARLITO" w:hAnsi="CARLITO"/>
          <w:b/>
          <w:bCs/>
          <w:i w:val="false"/>
          <w:iCs w:val="false"/>
          <w:color w:val="000000"/>
          <w:sz w:val="24"/>
          <w:szCs w:val="24"/>
        </w:rPr>
        <w:t>/2022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napToGrid w:val="false"/>
        <w:spacing w:lineRule="auto" w:line="276" w:before="0" w:after="120"/>
        <w:ind w:left="0" w:right="-30" w:firstLine="540"/>
        <w:jc w:val="both"/>
        <w:rPr/>
      </w:pPr>
      <w:r>
        <w:rPr>
          <w:rFonts w:cs="Arial" w:ascii="CARLITO" w:hAnsi="CARLITO"/>
          <w:i w:val="false"/>
          <w:iCs w:val="false"/>
          <w:color w:val="000000"/>
          <w:sz w:val="24"/>
          <w:szCs w:val="24"/>
        </w:rPr>
        <w:t xml:space="preserve">Torna-se público que o centro de intendência da marinha em rio grande, realizará Dispensa Eletrônica, </w:t>
      </w:r>
      <w:r>
        <w:rPr>
          <w:rFonts w:cs="Arial" w:ascii="CARLITO" w:hAnsi="CARLITO"/>
          <w:bCs/>
          <w:i w:val="false"/>
          <w:iCs w:val="false"/>
          <w:color w:val="000000"/>
          <w:sz w:val="24"/>
          <w:szCs w:val="24"/>
        </w:rPr>
        <w:t>com critério de julgamento</w:t>
      </w:r>
      <w:r>
        <w:rPr>
          <w:rFonts w:cs="Arial" w:ascii="CARLITO" w:hAnsi="CARLITO"/>
          <w:b/>
          <w:bCs/>
          <w:i w:val="false"/>
          <w:iCs w:val="false"/>
          <w:color w:val="000000"/>
          <w:sz w:val="24"/>
          <w:szCs w:val="24"/>
        </w:rPr>
        <w:t xml:space="preserve"> </w:t>
      </w:r>
      <w:r>
        <w:rPr>
          <w:rFonts w:cs="Arial" w:ascii="CARLITO" w:hAnsi="CARLITO"/>
          <w:i w:val="false"/>
          <w:iCs w:val="false"/>
          <w:color w:val="000000"/>
          <w:sz w:val="24"/>
          <w:szCs w:val="24"/>
        </w:rPr>
        <w:t>menor preço</w:t>
      </w:r>
      <w:r>
        <w:rPr>
          <w:rFonts w:cs="Arial" w:ascii="CARLITO" w:hAnsi="CARLITO"/>
          <w:b w:val="false"/>
          <w:bCs w:val="false"/>
          <w:i w:val="false"/>
          <w:iCs w:val="false"/>
          <w:color w:val="000000"/>
          <w:sz w:val="24"/>
          <w:szCs w:val="24"/>
        </w:rPr>
        <w:t xml:space="preserve">, </w:t>
      </w:r>
      <w:r>
        <w:rPr>
          <w:rFonts w:cs="Arial" w:ascii="CARLITO" w:hAnsi="CARLITO"/>
          <w:i w:val="false"/>
          <w:iCs w:val="false"/>
          <w:color w:val="000000"/>
          <w:sz w:val="24"/>
          <w:szCs w:val="24"/>
        </w:rPr>
        <w:t xml:space="preserve">na hipótese do art. 75, inciso </w:t>
      </w:r>
      <w:r>
        <w:rPr>
          <w:rFonts w:cs="Arial" w:ascii="CARLITO" w:hAnsi="CARLITO"/>
          <w:b/>
          <w:i w:val="false"/>
          <w:iCs w:val="false"/>
          <w:color w:val="000000"/>
          <w:sz w:val="24"/>
          <w:szCs w:val="24"/>
        </w:rPr>
        <w:t>II</w:t>
      </w:r>
      <w:r>
        <w:rPr>
          <w:rFonts w:cs="Arial" w:ascii="CARLITO" w:hAnsi="CARLITO"/>
          <w:i w:val="false"/>
          <w:iCs w:val="false"/>
          <w:color w:val="000000"/>
          <w:sz w:val="24"/>
          <w:szCs w:val="24"/>
        </w:rPr>
        <w:t xml:space="preserve">, </w:t>
      </w:r>
      <w:r>
        <w:rPr>
          <w:rFonts w:cs="Arial" w:ascii="CARLITO" w:hAnsi="CARLITO"/>
          <w:bCs/>
          <w:i w:val="false"/>
          <w:iCs w:val="false"/>
          <w:color w:val="000000"/>
          <w:sz w:val="24"/>
          <w:szCs w:val="24"/>
        </w:rPr>
        <w:t>nos termos da Lei nº 14.133, de 1º de abril de 2021, da Instrução Normativa SEGES/ME nº 67/2021 e demais legislação aplicável</w:t>
      </w:r>
      <w:r>
        <w:rPr>
          <w:rFonts w:cs="Arial" w:ascii="CARLITO" w:hAnsi="CARLITO"/>
          <w:i w:val="false"/>
          <w:iCs w:val="false"/>
          <w:color w:val="000000"/>
          <w:sz w:val="24"/>
          <w:szCs w:val="24"/>
        </w:rPr>
        <w:t>.</w:t>
      </w:r>
    </w:p>
    <w:p>
      <w:pPr>
        <w:pStyle w:val="Normal"/>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jc w:val="both"/>
        <w:rPr/>
      </w:pPr>
      <w:r>
        <w:rPr>
          <w:rFonts w:cs="Arial" w:ascii="CARLITO" w:hAnsi="CARLITO"/>
          <w:i w:val="false"/>
          <w:iCs w:val="false"/>
          <w:color w:val="000000"/>
          <w:sz w:val="24"/>
          <w:szCs w:val="24"/>
        </w:rPr>
        <w:t xml:space="preserve">Data da sessão: </w:t>
      </w:r>
      <w:r>
        <w:rPr>
          <w:rFonts w:cs="Arial" w:ascii="CARLITO" w:hAnsi="CARLITO"/>
          <w:i w:val="false"/>
          <w:iCs w:val="false"/>
          <w:color w:val="000000"/>
          <w:sz w:val="24"/>
          <w:szCs w:val="24"/>
        </w:rPr>
        <w:t>26/10/2022</w:t>
      </w:r>
    </w:p>
    <w:p>
      <w:pPr>
        <w:pStyle w:val="Normal"/>
        <w:rPr>
          <w:rFonts w:ascii="CARLITO" w:hAnsi="CARLITO" w:cs="Arial"/>
          <w:i w:val="false"/>
          <w:i w:val="false"/>
          <w:iCs w:val="false"/>
          <w:color w:val="000000"/>
          <w:sz w:val="24"/>
          <w:szCs w:val="24"/>
        </w:rPr>
      </w:pPr>
      <w:r>
        <w:rPr>
          <w:rFonts w:cs="Arial" w:ascii="CARLITO" w:hAnsi="CARLITO"/>
          <w:i w:val="false"/>
          <w:iCs w:val="false"/>
          <w:color w:val="000000"/>
          <w:sz w:val="24"/>
          <w:szCs w:val="24"/>
        </w:rPr>
        <w:t>Horário da Fase de Lances: 8:00 às 14:00hs</w:t>
      </w:r>
    </w:p>
    <w:p>
      <w:pPr>
        <w:pStyle w:val="PADRO"/>
        <w:keepNext w:val="true"/>
        <w:widowControl/>
        <w:shd w:val="clear" w:fill="FFFFFF"/>
        <w:spacing w:before="120" w:after="120"/>
        <w:ind w:left="360" w:right="0" w:hanging="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OBJETO DA CONTRATAÇÃO DIRETA</w:t>
      </w:r>
    </w:p>
    <w:p>
      <w:pPr>
        <w:pStyle w:val="PADRO"/>
        <w:widowControl/>
        <w:numPr>
          <w:ilvl w:val="1"/>
          <w:numId w:val="1"/>
        </w:numPr>
        <w:shd w:val="clear" w:fill="FFFFFF"/>
        <w:spacing w:before="120" w:after="120"/>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eastAsia="WenQuanYi Micro Hei" w:cs="Lohit Hindi" w:ascii="CARLITO" w:hAnsi="CARLITO"/>
          <w:i w:val="false"/>
          <w:iCs w:val="false"/>
          <w:color w:val="000000"/>
          <w:sz w:val="24"/>
          <w:szCs w:val="24"/>
          <w:lang w:val="pt-BR" w:eastAsia="zh-CN" w:bidi="hi-IN"/>
        </w:rPr>
        <w:t xml:space="preserve">Prestação de serviço </w:t>
      </w:r>
      <w:r>
        <w:rPr>
          <w:rFonts w:eastAsia="WenQuanYi Micro Hei" w:cs="Lohit Hindi" w:ascii="CARLITO" w:hAnsi="CARLITO"/>
          <w:i w:val="false"/>
          <w:iCs w:val="false"/>
          <w:color w:val="000000"/>
          <w:kern w:val="0"/>
          <w:sz w:val="24"/>
          <w:szCs w:val="24"/>
          <w:lang w:val="pt-BR" w:eastAsia="zh-CN" w:bidi="hi-IN"/>
        </w:rPr>
        <w:t xml:space="preserve">referente a </w:t>
      </w:r>
      <w:r>
        <w:rPr>
          <w:rFonts w:eastAsia="WenQuanYi Micro Hei" w:cs="Lohit Hindi" w:ascii="CARLITO" w:hAnsi="CARLITO"/>
          <w:i w:val="false"/>
          <w:iCs w:val="false"/>
          <w:color w:val="000000"/>
          <w:kern w:val="0"/>
          <w:sz w:val="24"/>
          <w:szCs w:val="24"/>
          <w:lang w:val="pt-BR" w:eastAsia="zh-CN" w:bidi="hi-IN"/>
        </w:rPr>
        <w:t>conserto</w:t>
      </w:r>
      <w:r>
        <w:rPr>
          <w:rFonts w:eastAsia="WenQuanYi Micro Hei" w:cs="Lohit Hindi" w:ascii="CARLITO" w:hAnsi="CARLITO"/>
          <w:i w:val="false"/>
          <w:iCs w:val="false"/>
          <w:color w:val="000000"/>
          <w:sz w:val="24"/>
          <w:szCs w:val="24"/>
          <w:lang w:val="pt-BR" w:eastAsia="zh-CN" w:bidi="hi-IN"/>
        </w:rPr>
        <w:t xml:space="preserve"> em</w:t>
      </w:r>
      <w:r>
        <w:rPr>
          <w:rFonts w:ascii="CARLITO" w:hAnsi="CARLITO"/>
          <w:i w:val="false"/>
          <w:iCs w:val="false"/>
          <w:color w:val="000000"/>
          <w:sz w:val="24"/>
          <w:szCs w:val="24"/>
        </w:rPr>
        <w:t xml:space="preserve"> equipamento utilizado no Rancho do Grupamento de Fuzileiros Navais do Rio Grande (GptFNRG).</w:t>
      </w:r>
    </w:p>
    <w:p>
      <w:pPr>
        <w:pStyle w:val="PADRO"/>
        <w:keepNext w:val="true"/>
        <w:widowControl/>
        <w:numPr>
          <w:ilvl w:val="1"/>
          <w:numId w:val="1"/>
        </w:numPr>
        <w:shd w:val="clear" w:fill="FFFFFF"/>
        <w:spacing w:before="120" w:after="120"/>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 xml:space="preserve">A contratação será dividida em </w:t>
      </w:r>
      <w:r>
        <w:rPr>
          <w:rFonts w:cs="Arial" w:ascii="CARLITO" w:hAnsi="CARLITO"/>
          <w:i w:val="false"/>
          <w:iCs w:val="false"/>
          <w:color w:val="000000"/>
          <w:sz w:val="24"/>
          <w:szCs w:val="24"/>
        </w:rPr>
        <w:t xml:space="preserve">um único </w:t>
      </w:r>
      <w:r>
        <w:rPr>
          <w:rFonts w:cs="Arial" w:ascii="CARLITO" w:hAnsi="CARLITO"/>
          <w:i w:val="false"/>
          <w:iCs w:val="false"/>
          <w:color w:val="000000"/>
          <w:sz w:val="24"/>
          <w:szCs w:val="24"/>
        </w:rPr>
        <w:t>ite</w:t>
      </w:r>
      <w:r>
        <w:rPr>
          <w:rFonts w:cs="Arial" w:ascii="CARLITO" w:hAnsi="CARLITO"/>
          <w:b w:val="false"/>
          <w:bCs w:val="false"/>
          <w:i w:val="false"/>
          <w:iCs w:val="false"/>
          <w:color w:val="000000"/>
          <w:sz w:val="24"/>
          <w:szCs w:val="24"/>
        </w:rPr>
        <w:t>m</w:t>
      </w:r>
      <w:r>
        <w:rPr>
          <w:rFonts w:cs="Arial" w:ascii="CARLITO" w:hAnsi="CARLITO"/>
          <w:i w:val="false"/>
          <w:iCs w:val="false"/>
          <w:color w:val="000000"/>
          <w:sz w:val="24"/>
          <w:szCs w:val="24"/>
        </w:rPr>
        <w:t xml:space="preserve"> conforme tabela constante abaixo.</w:t>
      </w:r>
    </w:p>
    <w:tbl>
      <w:tblPr>
        <w:tblW w:w="9688" w:type="dxa"/>
        <w:jc w:val="left"/>
        <w:tblInd w:w="8" w:type="dxa"/>
        <w:tblLayout w:type="fixed"/>
        <w:tblCellMar>
          <w:top w:w="0" w:type="dxa"/>
          <w:left w:w="63" w:type="dxa"/>
          <w:bottom w:w="0" w:type="dxa"/>
          <w:right w:w="108" w:type="dxa"/>
        </w:tblCellMar>
      </w:tblPr>
      <w:tblGrid>
        <w:gridCol w:w="627"/>
        <w:gridCol w:w="3628"/>
        <w:gridCol w:w="1020"/>
        <w:gridCol w:w="1463"/>
        <w:gridCol w:w="1207"/>
        <w:gridCol w:w="1742"/>
      </w:tblGrid>
      <w:tr>
        <w:trPr/>
        <w:tc>
          <w:tcPr>
            <w:tcW w:w="62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ITEM</w:t>
            </w:r>
          </w:p>
          <w:p>
            <w:pPr>
              <w:pStyle w:val="Normal"/>
              <w:widowControl w:val="false"/>
              <w:suppressAutoHyphens w:val="true"/>
              <w:jc w:val="center"/>
              <w:rPr>
                <w:rFonts w:ascii="Calibri" w:hAnsi="Calibri" w:cs="Arial"/>
                <w:b/>
                <w:b/>
                <w:i w:val="false"/>
                <w:i w:val="false"/>
                <w:iCs w:val="false"/>
                <w:color w:val="000000"/>
                <w:sz w:val="20"/>
                <w:szCs w:val="20"/>
              </w:rPr>
            </w:pPr>
            <w:r>
              <w:rPr>
                <w:rFonts w:cs="Arial" w:ascii="Calibri" w:hAnsi="Calibri"/>
                <w:b/>
                <w:i w:val="false"/>
                <w:iCs w:val="false"/>
                <w:color w:val="000000"/>
                <w:sz w:val="20"/>
                <w:szCs w:val="20"/>
              </w:rPr>
            </w:r>
          </w:p>
        </w:tc>
        <w:tc>
          <w:tcPr>
            <w:tcW w:w="3628"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DESCRIÇÃO/</w:t>
            </w:r>
          </w:p>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ESPECIFICAÇÃO</w:t>
            </w:r>
          </w:p>
        </w:tc>
        <w:tc>
          <w:tcPr>
            <w:tcW w:w="1020"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CATSER</w:t>
            </w:r>
          </w:p>
        </w:tc>
        <w:tc>
          <w:tcPr>
            <w:tcW w:w="1463"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UNIDADE DE MEDIDA</w:t>
            </w:r>
          </w:p>
        </w:tc>
        <w:tc>
          <w:tcPr>
            <w:tcW w:w="1207"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QUANT.</w:t>
            </w:r>
          </w:p>
        </w:tc>
        <w:tc>
          <w:tcPr>
            <w:tcW w:w="1742" w:type="dxa"/>
            <w:tcBorders>
              <w:top w:val="single" w:sz="4" w:space="0" w:color="000001"/>
              <w:left w:val="single" w:sz="4" w:space="0" w:color="000001"/>
              <w:bottom w:val="single" w:sz="4" w:space="0" w:color="000001"/>
              <w:right w:val="single" w:sz="4" w:space="0" w:color="000001"/>
            </w:tcBorders>
            <w:shd w:fill="FFFFFF" w:val="clear"/>
          </w:tcPr>
          <w:p>
            <w:pPr>
              <w:pStyle w:val="Normal"/>
              <w:widowControl w:val="false"/>
              <w:suppressAutoHyphens w:val="true"/>
              <w:jc w:val="center"/>
              <w:rPr>
                <w:rFonts w:ascii="Calibri" w:hAnsi="Calibri" w:cs="Arial"/>
                <w:b/>
                <w:b/>
                <w:bCs/>
                <w:i w:val="false"/>
                <w:i w:val="false"/>
                <w:iCs w:val="false"/>
                <w:color w:val="000000"/>
                <w:sz w:val="20"/>
                <w:szCs w:val="20"/>
              </w:rPr>
            </w:pPr>
            <w:r>
              <w:rPr>
                <w:rFonts w:cs="Arial" w:ascii="Calibri" w:hAnsi="Calibri"/>
                <w:b/>
                <w:bCs/>
                <w:i w:val="false"/>
                <w:iCs w:val="false"/>
                <w:color w:val="000000"/>
                <w:sz w:val="20"/>
                <w:szCs w:val="20"/>
              </w:rPr>
              <w:t>PREÇO ESTIMADO</w:t>
            </w:r>
          </w:p>
        </w:tc>
      </w:tr>
      <w:tr>
        <w:trPr>
          <w:trHeight w:val="408" w:hRule="atLeast"/>
        </w:trPr>
        <w:tc>
          <w:tcPr>
            <w:tcW w:w="627"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suppressAutoHyphens w:val="true"/>
              <w:spacing w:lineRule="auto" w:line="276" w:before="0" w:after="120"/>
              <w:jc w:val="center"/>
              <w:rPr>
                <w:rFonts w:ascii="Calibri" w:hAnsi="Calibri"/>
                <w:i w:val="false"/>
                <w:i w:val="false"/>
                <w:iCs w:val="false"/>
                <w:color w:val="000000"/>
                <w:sz w:val="20"/>
                <w:szCs w:val="20"/>
              </w:rPr>
            </w:pPr>
            <w:r>
              <w:rPr>
                <w:rFonts w:ascii="Calibri" w:hAnsi="Calibri"/>
                <w:i w:val="false"/>
                <w:iCs w:val="false"/>
                <w:color w:val="000000"/>
                <w:sz w:val="20"/>
                <w:szCs w:val="20"/>
              </w:rPr>
              <w:t>1</w:t>
            </w:r>
          </w:p>
        </w:tc>
        <w:tc>
          <w:tcPr>
            <w:tcW w:w="3628" w:type="dxa"/>
            <w:tcBorders>
              <w:top w:val="single" w:sz="4" w:space="0" w:color="000001"/>
              <w:left w:val="single" w:sz="4" w:space="0" w:color="000001"/>
              <w:bottom w:val="single" w:sz="4" w:space="0" w:color="000001"/>
              <w:right w:val="single" w:sz="4" w:space="0" w:color="000001"/>
            </w:tcBorders>
            <w:shd w:fill="FFFFFF" w:val="clear"/>
            <w:vAlign w:val="center"/>
          </w:tcPr>
          <w:p>
            <w:pPr>
              <w:pStyle w:val="Normal"/>
              <w:widowControl w:val="false"/>
              <w:jc w:val="center"/>
              <w:rPr>
                <w:rFonts w:ascii="Calibri" w:hAnsi="Calibri" w:eastAsia="Times New Roman" w:cs="Tahoma"/>
                <w:b w:val="false"/>
                <w:b w:val="false"/>
                <w:i w:val="false"/>
                <w:i w:val="false"/>
                <w:strike w:val="false"/>
                <w:dstrike w:val="false"/>
                <w:outline w:val="false"/>
                <w:shadow w:val="false"/>
                <w:color w:val="00000A"/>
                <w:kern w:val="0"/>
                <w:sz w:val="20"/>
                <w:szCs w:val="20"/>
                <w:u w:val="none"/>
                <w:em w:val="none"/>
                <w:lang w:val="pt-BR" w:eastAsia="pt-BR" w:bidi="ar-SA"/>
              </w:rPr>
            </w:pPr>
            <w:r>
              <w:rPr>
                <w:rFonts w:eastAsia="Times New Roman" w:cs="Tahoma" w:ascii="Calibri" w:hAnsi="Calibri"/>
                <w:b w:val="false"/>
                <w:i w:val="false"/>
                <w:strike w:val="false"/>
                <w:dstrike w:val="false"/>
                <w:outline w:val="false"/>
                <w:shadow w:val="false"/>
                <w:color w:val="00000A"/>
                <w:kern w:val="0"/>
                <w:sz w:val="20"/>
                <w:szCs w:val="20"/>
                <w:u w:val="none"/>
                <w:em w:val="none"/>
                <w:lang w:val="pt-BR" w:eastAsia="pt-BR" w:bidi="ar-SA"/>
              </w:rPr>
              <w:t>CONSERTO EM DESCASCADOR DE BATATAS DB-10 METVISA 220V (CONSERTO NO CHICOTE ELÉTRICO MAIS MÃO DE OBRA E DESLOCAMENTO)</w:t>
            </w:r>
          </w:p>
        </w:tc>
        <w:tc>
          <w:tcPr>
            <w:tcW w:w="1020"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jc w:val="center"/>
              <w:rPr>
                <w:rFonts w:ascii="Calibri" w:hAnsi="Calibri" w:eastAsia="Times New Roman" w:cs="Tahoma"/>
                <w:color w:val="00000A"/>
                <w:kern w:val="0"/>
                <w:sz w:val="20"/>
                <w:szCs w:val="20"/>
                <w:lang w:val="pt-BR" w:eastAsia="pt-BR" w:bidi="ar-SA"/>
              </w:rPr>
            </w:pPr>
            <w:r>
              <w:rPr>
                <w:rFonts w:eastAsia="Times New Roman" w:cs="Tahoma" w:ascii="Calibri" w:hAnsi="Calibri"/>
                <w:color w:val="00000A"/>
                <w:kern w:val="0"/>
                <w:sz w:val="20"/>
                <w:szCs w:val="20"/>
                <w:lang w:val="pt-BR" w:eastAsia="pt-BR" w:bidi="ar-SA"/>
              </w:rPr>
              <w:t>3670</w:t>
            </w:r>
          </w:p>
        </w:tc>
        <w:tc>
          <w:tcPr>
            <w:tcW w:w="1463"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jc w:val="center"/>
              <w:rPr>
                <w:rFonts w:ascii="Calibri" w:hAnsi="Calibri"/>
                <w:sz w:val="20"/>
                <w:szCs w:val="20"/>
              </w:rPr>
            </w:pPr>
            <w:r>
              <w:rPr>
                <w:rFonts w:ascii="Calibri" w:hAnsi="Calibri"/>
                <w:sz w:val="20"/>
                <w:szCs w:val="20"/>
              </w:rPr>
              <w:t>UN</w:t>
            </w:r>
          </w:p>
        </w:tc>
        <w:tc>
          <w:tcPr>
            <w:tcW w:w="1207"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jc w:val="center"/>
              <w:rPr>
                <w:rFonts w:ascii="Calibri" w:hAnsi="Calibri" w:eastAsia="Times New Roman" w:cs="Tahoma"/>
                <w:color w:val="00000A"/>
                <w:sz w:val="20"/>
                <w:szCs w:val="20"/>
                <w:lang w:val="pt-BR" w:eastAsia="pt-BR" w:bidi="ar-SA"/>
              </w:rPr>
            </w:pPr>
            <w:r>
              <w:rPr>
                <w:rFonts w:eastAsia="Times New Roman" w:cs="Tahoma" w:ascii="Calibri" w:hAnsi="Calibri"/>
                <w:color w:val="00000A"/>
                <w:sz w:val="20"/>
                <w:szCs w:val="20"/>
                <w:lang w:val="pt-BR" w:eastAsia="pt-BR" w:bidi="ar-SA"/>
              </w:rPr>
              <w:t>1</w:t>
            </w:r>
          </w:p>
        </w:tc>
        <w:tc>
          <w:tcPr>
            <w:tcW w:w="1742" w:type="dxa"/>
            <w:tcBorders>
              <w:top w:val="single" w:sz="4" w:space="0" w:color="000001"/>
              <w:left w:val="single" w:sz="4" w:space="0" w:color="000001"/>
              <w:bottom w:val="single" w:sz="4" w:space="0" w:color="000001"/>
              <w:right w:val="single" w:sz="4" w:space="0" w:color="000001"/>
            </w:tcBorders>
            <w:shd w:fill="FFFFFF" w:val="clear"/>
            <w:vAlign w:val="center"/>
          </w:tcPr>
          <w:p>
            <w:pPr>
              <w:pStyle w:val="Contedodatabela"/>
              <w:widowControl w:val="false"/>
              <w:jc w:val="center"/>
              <w:rPr>
                <w:rFonts w:ascii="Calibri" w:hAnsi="Calibri"/>
                <w:sz w:val="20"/>
                <w:szCs w:val="20"/>
              </w:rPr>
            </w:pPr>
            <w:r>
              <w:rPr>
                <w:rFonts w:eastAsia="Times New Roman" w:cs="Tahoma" w:ascii="Calibri" w:hAnsi="Calibri"/>
                <w:color w:val="00000A"/>
                <w:kern w:val="0"/>
                <w:sz w:val="20"/>
                <w:szCs w:val="20"/>
                <w:lang w:val="pt-BR" w:eastAsia="pt-BR" w:bidi="ar-SA"/>
              </w:rPr>
              <w:t xml:space="preserve">R$ </w:t>
            </w:r>
            <w:r>
              <w:rPr>
                <w:rFonts w:eastAsia="Times New Roman" w:cs="Tahoma" w:ascii="Calibri" w:hAnsi="Calibri"/>
                <w:color w:val="00000A"/>
                <w:kern w:val="0"/>
                <w:sz w:val="20"/>
                <w:szCs w:val="20"/>
                <w:lang w:val="pt-BR" w:eastAsia="pt-BR" w:bidi="ar-SA"/>
              </w:rPr>
              <w:t>380</w:t>
            </w:r>
            <w:r>
              <w:rPr>
                <w:rFonts w:eastAsia="Times New Roman" w:cs="Tahoma" w:ascii="Calibri" w:hAnsi="Calibri"/>
                <w:color w:val="00000A"/>
                <w:kern w:val="0"/>
                <w:sz w:val="20"/>
                <w:szCs w:val="20"/>
                <w:lang w:val="pt-BR" w:eastAsia="pt-BR" w:bidi="ar-SA"/>
              </w:rPr>
              <w:t>,00</w:t>
            </w:r>
          </w:p>
        </w:tc>
      </w:tr>
    </w:tbl>
    <w:p>
      <w:pPr>
        <w:pStyle w:val="PADRO"/>
        <w:keepNext w:val="true"/>
        <w:widowControl/>
        <w:numPr>
          <w:ilvl w:val="1"/>
          <w:numId w:val="1"/>
        </w:numPr>
        <w:shd w:val="clear" w:fill="FFFFFF"/>
        <w:spacing w:before="120" w:after="120"/>
        <w:rPr>
          <w:rFonts w:ascii="CARLITO" w:hAnsi="CARLITO" w:cs="Arial"/>
          <w:i w:val="false"/>
          <w:i w:val="false"/>
          <w:iCs w:val="false"/>
          <w:color w:val="000000"/>
          <w:sz w:val="24"/>
          <w:szCs w:val="24"/>
        </w:rPr>
      </w:pPr>
      <w:r>
        <w:rPr>
          <w:rFonts w:cs="Arial" w:ascii="CARLITO" w:hAnsi="CARLITO"/>
          <w:i w:val="false"/>
          <w:iCs w:val="false"/>
          <w:color w:val="000000"/>
          <w:sz w:val="24"/>
          <w:szCs w:val="24"/>
        </w:rPr>
        <w:t>O critério de julgamento adotado será o menor preço, observadas as exigências contidas neste Aviso de Contratação Direta e seus Anexos quanto às especificações do objeto.</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PARTICIPAÇÃO NA DISPENSA ELETRÔNICA.</w:t>
      </w:r>
    </w:p>
    <w:p>
      <w:pPr>
        <w:pStyle w:val="Normal"/>
        <w:numPr>
          <w:ilvl w:val="1"/>
          <w:numId w:val="1"/>
        </w:numPr>
        <w:snapToGrid w:val="false"/>
        <w:spacing w:lineRule="auto" w:line="276" w:before="120" w:after="120"/>
        <w:ind w:left="425" w:right="0" w:hanging="0"/>
        <w:jc w:val="both"/>
        <w:rPr/>
      </w:pPr>
      <w:r>
        <w:rPr>
          <w:rFonts w:cs="Arial" w:ascii="CARLITO" w:hAnsi="CARLITO"/>
          <w:i w:val="false"/>
          <w:iCs w:val="false"/>
          <w:color w:val="000000"/>
          <w:sz w:val="24"/>
          <w:szCs w:val="24"/>
        </w:rPr>
        <w:t xml:space="preserve">A participação na presente dispensa eletrônica se dará mediante </w:t>
      </w:r>
      <w:r>
        <w:rPr>
          <w:rFonts w:cs="Arial" w:ascii="CARLITO" w:hAnsi="CARLITO"/>
          <w:bCs/>
          <w:i w:val="false"/>
          <w:iCs w:val="false"/>
          <w:color w:val="000000"/>
          <w:sz w:val="24"/>
          <w:szCs w:val="24"/>
        </w:rPr>
        <w:t>Sistema de Dispensa Eletrônica</w:t>
      </w:r>
      <w:r>
        <w:rPr>
          <w:rFonts w:cs="Arial" w:ascii="CARLITO" w:hAnsi="CARLITO"/>
          <w:i w:val="false"/>
          <w:iCs w:val="false"/>
          <w:color w:val="000000"/>
          <w:sz w:val="24"/>
          <w:szCs w:val="24"/>
        </w:rPr>
        <w:t xml:space="preserve"> integrante do Sistema de Compras do Governo Federal – Comprasnet 4.0, disponível no </w:t>
      </w:r>
      <w:r>
        <w:rPr>
          <w:rFonts w:cs="Arial" w:ascii="CARLITO" w:hAnsi="CARLITO"/>
          <w:bCs/>
          <w:i w:val="false"/>
          <w:iCs w:val="false"/>
          <w:color w:val="000000"/>
          <w:sz w:val="24"/>
          <w:szCs w:val="24"/>
        </w:rPr>
        <w:t>endereço eletrônico https://www.gov.br/compras/pt-br/.</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deverão atender aos procedimentos previstos no Manual do Sistema de Dispensa Eletrônica, disponível no Portal de Compras do Governo Federal, para acesso ao sistema e operacionalização.</w:t>
      </w:r>
    </w:p>
    <w:p>
      <w:pPr>
        <w:pStyle w:val="Normal"/>
        <w:numPr>
          <w:ilvl w:val="2"/>
          <w:numId w:val="1"/>
        </w:numPr>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é o responsável por qualquer transação efetuada diretamente ou por seu representante no Sistema de Dispensa Eletrônica, não cabendo ao provedor do Sistema ou ao órgão entidade promotor do procedimento a responsabilidade por eventuais danos decorrentes de uso indevido da senha, ainda que por terceiros não autorizados.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poderão participar desta dispensa os fornecedores: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atendam às condições deste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estrangeiros que não tenham representação legal no Brasil com poderes expressos para receber citação e responder administrativa ou judicialmente;</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se enquadrem nas seguintes vedações: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autor do anteprojeto, do projeto básico ou do projeto executivo, pessoa física ou jurídica, quando a contratação versar sobre obra, serviços ou fornecimento de bens a ele relacionados;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contratação versar sobre obra, serviços ou fornecimento de bens a ela necessários;</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pessoa física ou jurídica que se encontre, ao tempo da contratação, impossibilitada de contratar em decorrência de sanção que lhe foi imposta;</w:t>
      </w:r>
    </w:p>
    <w:p>
      <w:pPr>
        <w:pStyle w:val="Normal"/>
        <w:numPr>
          <w:ilvl w:val="3"/>
          <w:numId w:val="4"/>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empresas controladoras, controladas ou coligadas, nos termos da </w:t>
      </w:r>
      <w:hyperlink r:id="rId2">
        <w:r>
          <w:rPr>
            <w:rStyle w:val="LinkdaInternet"/>
            <w:rFonts w:eastAsia="Calibri" w:cs="Arial" w:ascii="CARLITO" w:hAnsi="CARLITO"/>
            <w:i w:val="false"/>
            <w:iCs w:val="false"/>
            <w:color w:val="000000"/>
            <w:sz w:val="24"/>
            <w:szCs w:val="24"/>
          </w:rPr>
          <w:t>Lei nº 6.404, de 15 de dezembro de 1976</w:t>
        </w:r>
      </w:hyperlink>
      <w:r>
        <w:rPr>
          <w:rFonts w:cs="Arial" w:ascii="CARLITO" w:hAnsi="CARLITO"/>
          <w:i w:val="false"/>
          <w:iCs w:val="false"/>
          <w:color w:val="000000"/>
          <w:sz w:val="24"/>
          <w:szCs w:val="24"/>
        </w:rPr>
        <w:t>, concorrendo entre si;</w:t>
      </w:r>
    </w:p>
    <w:p>
      <w:pPr>
        <w:pStyle w:val="Normal"/>
        <w:numPr>
          <w:ilvl w:val="3"/>
          <w:numId w:val="4"/>
        </w:numPr>
        <w:spacing w:lineRule="auto" w:line="276" w:before="120" w:after="120"/>
        <w:jc w:val="both"/>
        <w:rPr/>
      </w:pPr>
      <w:r>
        <w:rPr>
          <w:rFonts w:cs="Arial" w:ascii="CARLITO" w:hAnsi="CARLITO"/>
          <w:i w:val="false"/>
          <w:iCs w:val="false"/>
          <w:color w:val="000000"/>
          <w:sz w:val="24"/>
          <w:szCs w:val="24"/>
        </w:rPr>
        <w:t>pessoa física ou jurídica que, nos 5 (cinco) anos anteriores à divulgação do aviso,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Equiparam-se aos autores do projeto as empresas integrantes do mesmo grupo econômico;</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aplica-se o disposto na alínea “c” também ao fornecedor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fornecedor;</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organizações da Sociedade Civil de Interesse Público - OSCIP, atuando nessa condição (Acórdão nº 746/2014-TCU-Plenário); e</w:t>
      </w:r>
    </w:p>
    <w:p>
      <w:pPr>
        <w:pStyle w:val="Normal"/>
        <w:numPr>
          <w:ilvl w:val="2"/>
          <w:numId w:val="1"/>
        </w:numPr>
        <w:spacing w:lineRule="auto" w:line="276" w:before="120" w:after="120"/>
        <w:jc w:val="both"/>
        <w:rPr>
          <w:rFonts w:ascii="CARLITO" w:hAnsi="CARLITO"/>
          <w:i w:val="false"/>
          <w:i w:val="false"/>
          <w:iCs w:val="false"/>
          <w:color w:val="000000"/>
          <w:sz w:val="24"/>
          <w:szCs w:val="24"/>
        </w:rPr>
      </w:pPr>
      <w:r>
        <w:rPr>
          <w:rFonts w:ascii="CARLITO" w:hAnsi="CARLITO"/>
          <w:i w:val="false"/>
          <w:iCs w:val="false"/>
          <w:color w:val="000000"/>
          <w:sz w:val="24"/>
          <w:szCs w:val="24"/>
        </w:rPr>
        <w:t xml:space="preserve"> </w:t>
      </w:r>
      <w:r>
        <w:rPr>
          <w:rFonts w:ascii="CARLITO" w:hAnsi="CARLITO"/>
          <w:i w:val="false"/>
          <w:iCs w:val="false"/>
          <w:color w:val="000000"/>
          <w:sz w:val="24"/>
          <w:szCs w:val="24"/>
        </w:rPr>
        <w:t>Será permitida a participação de cooperativas, desde que apresentem demonstrativo de atuação em regime cooperado, com repartição de receitas e despesas entre os cooperados e atendam ao art. 16 da Lei nº 14.133/21.</w:t>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INGRESSO NA DISPENSA ELETRÔNICA E CADASTRAMENTO DA PROPOSTA INICIAL</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ingresso do fornecedor na disputa da dispensa eletrônica se dará com o cadastramento de sua proposta inicial, na forma deste item.</w:t>
      </w:r>
    </w:p>
    <w:p>
      <w:pPr>
        <w:pStyle w:val="Normal"/>
        <w:numPr>
          <w:ilvl w:val="1"/>
          <w:numId w:val="1"/>
        </w:numPr>
        <w:snapToGrid w:val="false"/>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interessado, após a divulgação do aviso de contratação direta, encaminhará, exclusivamente por meio do Sistema de Dispensa Eletrônica, a proposta com a descrição do objeto ofertado, a marca do produto, quando for o caso, e o preço, até a data e o horário estabelecidos para abertura do procedimento.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proposta também deverá conter declaração de que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Todas as especificações do objeto contidas na proposta, em especial o preço, vinculam a Contratada.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Nos valores propostos estarão inclusos todos os custos operacionais, encargos previdenciários, trabalhistas, tributários, comerciais e quaisquer outros que incidam direta ou indiretamente na prestação dos serviços;</w:t>
      </w:r>
    </w:p>
    <w:p>
      <w:pPr>
        <w:pStyle w:val="Normal"/>
        <w:numPr>
          <w:ilvl w:val="2"/>
          <w:numId w:val="1"/>
        </w:numPr>
        <w:spacing w:lineRule="auto" w:line="276" w:before="120" w:after="120"/>
        <w:jc w:val="both"/>
        <w:rPr/>
      </w:pPr>
      <w:r>
        <w:rPr>
          <w:rFonts w:cs="Arial" w:ascii="CARLITO" w:hAnsi="CARLITO"/>
          <w:i w:val="false"/>
          <w:iCs w:val="false"/>
          <w:color w:val="000000"/>
          <w:sz w:val="24"/>
          <w:szCs w:val="24"/>
        </w:rPr>
        <w:t>Os preços ofertados, tanto na proposta inicial, quanto na etapa de lances, serão de exclusiva responsabilidade do fornecedor, não lhe assistindo o direito de pleitear qualquer alteração, sob alegação de erro, omissão ou qualquer outro pretexto.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o regime tributário da empresa implicar o recolhimento de tributos em percentuais variáveis, a cotação adequada será a que corresponde à média dos efetivos recolhimentos da empresa nos últimos doze meses.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Independentemente do percentual de tributo inserido na planilha, no pagamento serão retidos na fonte os percentuais estabelecidos na legislação vigente.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apresentação das propostas implica obrigatoriedade do cumprimento das disposições nelas contidas, em conformidade com o que dispõe o Aviso de Dispensa Eletrônica, assumindo o proponente o compromisso de executar os serviços nos seus termos, bem como de fornecer os materiais, equipamentos, ferramentas e utensílios necessários, em quantidades e qualidades adequadas à perfeita execução contratual, promovendo, quando requerido, sua substituição.</w:t>
      </w:r>
    </w:p>
    <w:p>
      <w:pPr>
        <w:pStyle w:val="Normal"/>
        <w:numPr>
          <w:ilvl w:val="1"/>
          <w:numId w:val="1"/>
        </w:numPr>
        <w:spacing w:lineRule="auto" w:line="276" w:before="120" w:after="120"/>
        <w:ind w:left="425" w:right="0" w:hanging="0"/>
        <w:jc w:val="both"/>
        <w:rPr/>
      </w:pPr>
      <w:r>
        <w:rPr>
          <w:rFonts w:cs="Arial" w:ascii="CARLITO" w:hAnsi="CARLITO"/>
          <w:i w:val="false"/>
          <w:iCs w:val="false"/>
          <w:color w:val="000000"/>
          <w:sz w:val="24"/>
          <w:szCs w:val="24"/>
        </w:rPr>
        <w:t xml:space="preserve">Uma vez enviada a proposta no sistema, os fornecedores </w:t>
      </w:r>
      <w:r>
        <w:rPr>
          <w:rFonts w:cs="Arial" w:ascii="CARLITO" w:hAnsi="CARLITO"/>
          <w:b/>
          <w:bCs/>
          <w:i w:val="false"/>
          <w:iCs w:val="false"/>
          <w:color w:val="000000"/>
          <w:sz w:val="24"/>
          <w:szCs w:val="24"/>
        </w:rPr>
        <w:t>NÃO</w:t>
      </w:r>
      <w:r>
        <w:rPr>
          <w:rFonts w:cs="Arial" w:ascii="CARLITO" w:hAnsi="CARLITO"/>
          <w:i w:val="false"/>
          <w:iCs w:val="false"/>
          <w:color w:val="000000"/>
          <w:sz w:val="24"/>
          <w:szCs w:val="24"/>
        </w:rPr>
        <w:t xml:space="preserve"> poderão retirá-la, substituí-la ou modificá-la;</w:t>
      </w:r>
    </w:p>
    <w:p>
      <w:pPr>
        <w:pStyle w:val="Normal"/>
        <w:numPr>
          <w:ilvl w:val="1"/>
          <w:numId w:val="1"/>
        </w:numPr>
        <w:spacing w:lineRule="auto" w:line="276" w:before="120" w:after="120"/>
        <w:ind w:left="425" w:right="0" w:hanging="0"/>
        <w:jc w:val="both"/>
        <w:rPr/>
      </w:pPr>
      <w:r>
        <w:rPr>
          <w:rFonts w:cs="Arial" w:ascii="CARLITO" w:hAnsi="CARLITO"/>
          <w:i w:val="false"/>
          <w:iCs w:val="false"/>
          <w:color w:val="000000"/>
          <w:sz w:val="24"/>
          <w:szCs w:val="24"/>
        </w:rPr>
        <w:t>No cadastramento da proposta inicial, o fornecedor deverá, também, assinalar “sim” ou “não” em campo próprio do sistema eletrônico, às seguintes declarações:</w:t>
      </w:r>
      <w:r>
        <w:rPr>
          <w:rFonts w:eastAsia="Zurich BT" w:cs="Arial" w:ascii="CARLITO" w:hAnsi="CARLITO"/>
          <w:i w:val="false"/>
          <w:iCs w:val="false"/>
          <w:color w:val="000000"/>
          <w:sz w:val="24"/>
          <w:szCs w:val="24"/>
        </w:rPr>
        <w:t xml:space="preserve"> </w:t>
      </w:r>
    </w:p>
    <w:p>
      <w:pPr>
        <w:pStyle w:val="ListParagraph"/>
        <w:numPr>
          <w:ilvl w:val="0"/>
          <w:numId w:val="2"/>
        </w:numPr>
        <w:tabs>
          <w:tab w:val="clear" w:pos="4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4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4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ListParagraph"/>
        <w:numPr>
          <w:ilvl w:val="1"/>
          <w:numId w:val="2"/>
        </w:numPr>
        <w:tabs>
          <w:tab w:val="clear" w:pos="408"/>
          <w:tab w:val="left" w:pos="1440" w:leader="none"/>
        </w:tabs>
        <w:snapToGrid w:val="false"/>
        <w:spacing w:lineRule="auto" w:line="276" w:before="120" w:after="120"/>
        <w:contextualSpacing/>
        <w:jc w:val="both"/>
        <w:rPr>
          <w:rFonts w:ascii="CARLITO" w:hAnsi="CARLITO" w:cs="Arial"/>
          <w:bCs/>
          <w:i w:val="false"/>
          <w:i w:val="false"/>
          <w:iCs w:val="false"/>
          <w:vanish/>
          <w:color w:val="000000"/>
          <w:sz w:val="24"/>
          <w:szCs w:val="24"/>
        </w:rPr>
      </w:pPr>
      <w:r>
        <w:rPr>
          <w:rFonts w:cs="Arial" w:ascii="CARLITO" w:hAnsi="CARLITO"/>
          <w:bCs/>
          <w:i w:val="false"/>
          <w:iCs w:val="false"/>
          <w:vanish/>
          <w:color w:val="000000"/>
          <w:sz w:val="24"/>
          <w:szCs w:val="24"/>
        </w:rPr>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inexistem fatos impeditivos para sua habilitação no certame, ciente da obrigatoriedade de declarar ocorrências posteriores;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os requisitos estabelecidos no artigo 3° da Lei Complementar nº 123, de 2006, estando apto a usufruir do tratamento favorecido estabelecido em seus arts. 42 a 49.</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está ciente e concorda com as condições contidas no Aviso de Contratação Direta e seus anexos;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assume a responsabilidade pelas transações que forem efetuadas no sistema, assumindo como firmes e verdadeiras;</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cumpre as exigências de reserva de cargos para pessoa com deficiência e para reabilitado da Previdência Social, de que trata o art. 93 da Lei nº 8.213/91.</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que não emprega menor de 18 anos em trabalho noturno, perigoso ou insalubre e não emprega menor de 16 anos, salvo menor, a partir de 14 anos, na condição de aprendiz, nos termos do artigo 7°, XXXIII, da Constituição;</w:t>
      </w:r>
    </w:p>
    <w:p>
      <w:pPr>
        <w:pStyle w:val="Normal"/>
        <w:numPr>
          <w:ilvl w:val="1"/>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Fica facultado ao fornecedor, ao cadastrar sua proposta inicial, a parametrização de valor final mínimo, com o registro do seu lance final aceitável (menor preço ou maior desconto, conforme o caso).</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Feita essa opção os lances serão enviados automaticamente pelo sistema, respeitados os limites cadastrados pelo fornecedor e o intervalo mínimo entre lances previsto neste aviso. </w:t>
      </w:r>
    </w:p>
    <w:p>
      <w:pPr>
        <w:pStyle w:val="Normal"/>
        <w:numPr>
          <w:ilvl w:val="3"/>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Sem prejuízo do disposto acima, os lances poderão ser enviados manualmente, na forma da seção respectiva deste Aviso de Contratação Direta;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final mínimo poderá ser alterado pelo fornecedor durante a fase de disputa, desde que não assuma valor superior a lance já registrado por ele no sistema.</w:t>
      </w:r>
    </w:p>
    <w:p>
      <w:pPr>
        <w:pStyle w:val="Normal"/>
        <w:numPr>
          <w:ilvl w:val="2"/>
          <w:numId w:val="1"/>
        </w:numPr>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valor mínimo parametrizado possui caráter sigiloso aos demais participantes do certame e para o órgão ou entidade contratante. Apenas os lances efetivamente enviados poderão ser conhecidos dos fornecedores na forma da seção seguinte deste Aviso.</w:t>
      </w:r>
    </w:p>
    <w:p>
      <w:pPr>
        <w:pStyle w:val="Normal"/>
        <w:spacing w:lineRule="auto" w:line="276" w:before="120" w:after="120"/>
        <w:ind w:left="1224"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FASE DE LANCES</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 xml:space="preserve">A partir das 8:00h da data estabelecida neste Aviso de Contratação Direta, a sessão pública será automaticamente aberta pelo sistema para o envio de lances públicos e sucessivos, </w:t>
      </w:r>
      <w:r>
        <w:rPr>
          <w:rFonts w:cs="Arial" w:ascii="CARLITO" w:hAnsi="CARLITO"/>
          <w:bCs/>
          <w:i w:val="false"/>
          <w:iCs w:val="false"/>
          <w:color w:val="000000"/>
          <w:sz w:val="24"/>
          <w:szCs w:val="24"/>
          <w:lang w:eastAsia="en-US"/>
        </w:rPr>
        <w:t>exclusivamente por meio do sistema eletrônico</w:t>
      </w:r>
      <w:r>
        <w:rPr>
          <w:rFonts w:cs="Arial" w:ascii="CARLITO" w:hAnsi="CARLITO"/>
          <w:i w:val="false"/>
          <w:iCs w:val="false"/>
          <w:color w:val="000000"/>
          <w:sz w:val="24"/>
          <w:szCs w:val="24"/>
          <w:lang w:eastAsia="en-US"/>
        </w:rPr>
        <w:t>, sendo encerrado no horário de finalização de lances também já previsto neste aviso.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Iniciada a etapa competitiva, os fornecedores deverão encaminhar lances exclusivamente por meio de sistema eletrônico, sendo imediatamente informados do seu recebimento e do valor consignado no registro.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lance deverá ser ofertado pelo valor unitário do item.</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somente poderá oferecer valor inferior ou maior percentual de desconto em relação ao último lance por ele ofertado e registrado pelo sistema.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fornecedor poderá oferecer lances sucessivos iguais ou superiores ao lance que esteja vencendo o certame, desde que inferiores ao menor por ele ofertado e registrado pelo sistema, sendo tais lances definidos como “lances intermediários” para os fins deste Aviso de Contratação Direta.</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rPr>
        <w:t xml:space="preserve">O intervalo mínimo de diferença de valores ou percentuais entre os lances, que incidirá tanto em relação aos lances intermediários quanto em relação ao que cobrir a melhor oferta é de </w:t>
      </w:r>
      <w:r>
        <w:rPr>
          <w:rFonts w:cs="Arial" w:ascii="CARLITO" w:hAnsi="CARLITO"/>
          <w:i w:val="false"/>
          <w:iCs w:val="false"/>
          <w:color w:val="000000"/>
          <w:sz w:val="24"/>
          <w:szCs w:val="24"/>
          <w:lang w:eastAsia="en-US"/>
        </w:rPr>
        <w:t>R$ 0,01.</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lances iguais ao menor já ofertado, prevalecerá aquele que for recebido e registrado primeiro no sistema.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Caso o fornecedor não apresente lances, concorrerá com o valor de sua proposta.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Durante o procedimento, os fornecedores serão informados, em tempo real, do valor do menor lance registrado, vedada a identificação do fornecedor.</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Imediatamente após o término do prazo estabelecido para a fase de lances, haverá o seu encerramento, com o ordenamento e divulgação dos lances, pelo sistema, em ordem crescente de 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encerramento da fase de lances ocorrerá de forma automática pontualmente no horário indicado, sem qualquer possibilidade de prorrogação e não havendo tempo aleatório ou mecanismo similar.</w:t>
      </w:r>
    </w:p>
    <w:p>
      <w:pPr>
        <w:pStyle w:val="ListParagraph"/>
        <w:spacing w:lineRule="auto" w:line="276" w:before="120" w:after="12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JULGAMENTO DAS PROPOSTAS DE PREÇO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Encerrada a fase de lances, será verificada a conformidade da proposta classificada em primeiro lugar quanto à adequação do objeto e à compatibilidade do preço em relação ao estipulado para a contratação.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o preço da proposta vencedora estar acima do estimado pela Administração, poderá haver a negociação de condições mais vantajosas.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Neste caso, será encaminhada contraproposta ao fornecedor que tenha apresentado o melhor preço, para que seja obtida melhor proposta com preço compatível ao estimado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negociação poderá ser feita com os demais fornecedores classificados, respeitada a ordem de classificação, quando o primeiro colocado, mesmo após a negociação, for desclassificado em razão de sua proposta permanecer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qualquer caso, concluída a negociação, o resultado será registrado na ata do procedimento da dispensa eletrônica.</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Estando o preço compatível, será solicitado o envio da proposta e, se necessário, de documentos complementares, adequada ao último lance.</w:t>
      </w:r>
    </w:p>
    <w:p>
      <w:pPr>
        <w:pStyle w:val="Normal"/>
        <w:numPr>
          <w:ilvl w:val="1"/>
          <w:numId w:val="1"/>
        </w:numPr>
        <w:spacing w:lineRule="auto" w:line="276" w:before="120" w:after="120"/>
        <w:jc w:val="both"/>
        <w:rPr/>
      </w:pPr>
      <w:r>
        <w:rPr>
          <w:rFonts w:cs="Arial" w:ascii="CARLITO" w:hAnsi="CARLITO"/>
          <w:i w:val="false"/>
          <w:iCs w:val="false"/>
          <w:color w:val="000000"/>
          <w:sz w:val="24"/>
          <w:szCs w:val="24"/>
        </w:rPr>
        <w:t>O prazo de validade da proposta não será inferior a 15 (quinze) dias</w:t>
      </w:r>
      <w:r>
        <w:rPr>
          <w:rFonts w:cs="Arial" w:ascii="CARLITO" w:hAnsi="CARLITO"/>
          <w:b/>
          <w:bCs/>
          <w:i w:val="false"/>
          <w:iCs w:val="false"/>
          <w:color w:val="000000"/>
          <w:sz w:val="24"/>
          <w:szCs w:val="24"/>
        </w:rPr>
        <w:t>,</w:t>
      </w:r>
      <w:r>
        <w:rPr>
          <w:rFonts w:cs="Arial" w:ascii="CARLITO" w:hAnsi="CARLITO"/>
          <w:i w:val="false"/>
          <w:iCs w:val="false"/>
          <w:color w:val="000000"/>
          <w:sz w:val="24"/>
          <w:szCs w:val="24"/>
        </w:rPr>
        <w:t xml:space="preserve"> a contar da data de sua apresentação.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 xml:space="preserve">Será desclassificada a proposta vencedora que: </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contiver vícios insanáveis;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obedecer às especificações técnicas pormenorizadas neste aviso ou em seus anexos;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preços inexequíveis ou permanecerem acima do preço máximo definido para a contratação;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tiverem sua exequibilidade demonstrada, quando exigido pela Administração;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desconformidade com quaisquer outras exigências deste aviso ou seus anexos, desde que insanável.</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Quando</w:t>
      </w:r>
      <w:r>
        <w:rPr>
          <w:rFonts w:cs="Arial" w:ascii="CARLITO" w:hAnsi="CARLITO"/>
          <w:i w:val="false"/>
          <w:iCs w:val="false"/>
          <w:color w:val="000000"/>
          <w:sz w:val="24"/>
          <w:szCs w:val="24"/>
        </w:rPr>
        <w:t xml:space="preserve"> o fornecedor não conseguir comprovar que possui ou possuirá recursos suficientes para executar a contento o objeto, será considerada inexequível a proposta de preços ou menor lance que:</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for insuficiente para a cobertura dos custos da contratação, apresente preços global ou unitários simbólicos, irrisórios ou de valor zero, incompatíveis com os preços dos insumos e salários de mercado, acrescidos dos respectivos encargos, ainda que o ato convocatório da dispensa não tenha estabelecido limites mínimos, exceto quando se referirem a materiais e instalações de propriedade do próprio fornecedor, para os quais ele renuncie a parcela ou à totalidade da remuneração.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um ou mais valores da planilha de custo que sejam inferiores àqueles fixados em instrumentos de caráter normativo obrigatório, tais como leis, medidas provisórias e convenções coletivas de trabalho vigentes.</w:t>
      </w:r>
    </w:p>
    <w:p>
      <w:pPr>
        <w:pStyle w:val="ListParagraph"/>
        <w:numPr>
          <w:ilvl w:val="1"/>
          <w:numId w:val="1"/>
        </w:numPr>
        <w:spacing w:lineRule="auto" w:line="276" w:before="120" w:after="120"/>
        <w:ind w:left="792" w:right="-15" w:hanging="432"/>
        <w:contextualSpacing/>
        <w:jc w:val="both"/>
        <w:rPr/>
      </w:pPr>
      <w:r>
        <w:rPr>
          <w:rFonts w:cs="Arial" w:ascii="CARLITO" w:hAnsi="CARLITO"/>
          <w:i w:val="false"/>
          <w:iCs w:val="false"/>
          <w:color w:val="000000"/>
          <w:sz w:val="24"/>
          <w:szCs w:val="24"/>
          <w:lang w:eastAsia="en-US"/>
        </w:rPr>
        <w:t xml:space="preserve">Se houver indícios de inexequibilidade da proposta de preço, ou em caso da necessidade de esclarecimentos </w:t>
      </w:r>
      <w:r>
        <w:rPr>
          <w:rFonts w:cs="Arial" w:ascii="CARLITO" w:hAnsi="CARLITO"/>
          <w:i w:val="false"/>
          <w:iCs w:val="false"/>
          <w:color w:val="000000"/>
          <w:sz w:val="24"/>
          <w:szCs w:val="24"/>
        </w:rPr>
        <w:t>complementares</w:t>
      </w:r>
      <w:r>
        <w:rPr>
          <w:rFonts w:cs="Arial" w:ascii="CARLITO" w:hAnsi="CARLITO"/>
          <w:i w:val="false"/>
          <w:iCs w:val="false"/>
          <w:color w:val="000000"/>
          <w:sz w:val="24"/>
          <w:szCs w:val="24"/>
          <w:lang w:eastAsia="en-US"/>
        </w:rPr>
        <w:t xml:space="preserve">, poderão ser efetuadas diligências, para que a empresa comprove a exequibilidade da proposta.  </w:t>
      </w:r>
    </w:p>
    <w:p>
      <w:pPr>
        <w:pStyle w:val="ListParagraph"/>
        <w:numPr>
          <w:ilvl w:val="1"/>
          <w:numId w:val="1"/>
        </w:numPr>
        <w:spacing w:lineRule="auto" w:line="276" w:before="120" w:after="120"/>
        <w:contextualSpacing/>
        <w:jc w:val="both"/>
        <w:rPr/>
      </w:pPr>
      <w:r>
        <w:rPr>
          <w:rFonts w:cs="Arial" w:ascii="CARLITO" w:hAnsi="CARLITO"/>
          <w:i w:val="false"/>
          <w:iCs w:val="false"/>
          <w:color w:val="000000"/>
          <w:sz w:val="24"/>
          <w:szCs w:val="24"/>
          <w:lang w:eastAsia="en-US"/>
        </w:rPr>
        <w:t xml:space="preserve">Erros no preenchimento da planilha não constituem motivo para a desclassificação da proposta. A planilha </w:t>
      </w:r>
      <w:r>
        <w:rPr>
          <w:rFonts w:cs="Arial" w:ascii="CARLITO" w:hAnsi="CARLITO"/>
          <w:i w:val="false"/>
          <w:iCs w:val="false"/>
          <w:color w:val="000000"/>
          <w:sz w:val="24"/>
          <w:szCs w:val="24"/>
        </w:rPr>
        <w:t>poderá́</w:t>
      </w:r>
      <w:r>
        <w:rPr>
          <w:rFonts w:cs="Arial" w:ascii="CARLITO" w:hAnsi="CARLITO"/>
          <w:i w:val="false"/>
          <w:iCs w:val="false"/>
          <w:color w:val="000000"/>
          <w:sz w:val="24"/>
          <w:szCs w:val="24"/>
          <w:lang w:eastAsia="en-US"/>
        </w:rPr>
        <w:t xml:space="preserve"> ser ajustada pelo fornecedor, no prazo indicado pelo sistema, desde que não haja majoração do preço.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O ajuste de que trata este dispositivo se limita a sanar erros ou falhas que não alterem a substância das propostas;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Considera-se erro no preenchimento da planilha passível de correção a indicação de recolhimento de impostos e contribuições na forma do Simples Nacional, quando não cabível esse regime.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Para fins de análise da proposta quanto ao cumprimento das especificações do objeto, poderá ser colhida a manifestação escrita do setor requisitante do serviço ou da área especializada no objeto.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Se a proposta ou lance vencedor for desclassificado, será examinada a proposta ou lance subsequente, e, assim sucessivamente, na ordem de classificação.</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Havendo necessidade, a sessão será suspensa, informando-se no “chat” a nova data e horário para a sua continuidade.</w:t>
      </w:r>
    </w:p>
    <w:p>
      <w:pPr>
        <w:pStyle w:val="ListParagraph"/>
        <w:numPr>
          <w:ilvl w:val="1"/>
          <w:numId w:val="1"/>
        </w:numPr>
        <w:spacing w:lineRule="auto" w:line="276" w:before="120" w:after="120"/>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Encerrada a análise quanto à aceitação da proposta, se iniciará a fase de habilitação, observado o disposto neste Aviso de Contratação Direta.</w:t>
      </w:r>
    </w:p>
    <w:p>
      <w:pPr>
        <w:pStyle w:val="ListParagraph"/>
        <w:spacing w:lineRule="auto" w:line="276" w:before="120" w:after="120"/>
        <w:ind w:left="1512"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HABILITAÇÃO</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lang w:eastAsia="ar-SA"/>
        </w:rPr>
        <w:t xml:space="preserve">Os </w:t>
      </w:r>
      <w:r>
        <w:rPr>
          <w:rFonts w:cs="Arial" w:ascii="CARLITO" w:hAnsi="CARLITO"/>
          <w:i w:val="false"/>
          <w:iCs w:val="false"/>
          <w:color w:val="000000"/>
          <w:sz w:val="24"/>
          <w:szCs w:val="24"/>
        </w:rPr>
        <w:t>documentos</w:t>
      </w:r>
      <w:r>
        <w:rPr>
          <w:rFonts w:cs="Arial" w:ascii="CARLITO" w:hAnsi="CARLITO"/>
          <w:i w:val="false"/>
          <w:iCs w:val="false"/>
          <w:color w:val="000000"/>
          <w:sz w:val="24"/>
          <w:szCs w:val="24"/>
          <w:lang w:eastAsia="ar-SA"/>
        </w:rPr>
        <w:t xml:space="preserve"> a serem exigidos para fins de habilitação constam do </w:t>
      </w:r>
      <w:r>
        <w:rPr>
          <w:rFonts w:cs="Arial" w:ascii="CARLITO" w:hAnsi="CARLITO"/>
          <w:b/>
          <w:i w:val="false"/>
          <w:iCs w:val="false"/>
          <w:color w:val="000000"/>
          <w:sz w:val="24"/>
          <w:szCs w:val="24"/>
          <w:lang w:eastAsia="ar-SA"/>
        </w:rPr>
        <w:t xml:space="preserve">ANEXO I – DOCUMENTAÇÃO EXIGIDA PARA HABILITAÇÃO </w:t>
      </w:r>
      <w:r>
        <w:rPr>
          <w:rFonts w:cs="Arial" w:ascii="CARLITO" w:hAnsi="CARLITO"/>
          <w:i w:val="false"/>
          <w:iCs w:val="false"/>
          <w:color w:val="000000"/>
          <w:sz w:val="24"/>
          <w:szCs w:val="24"/>
          <w:lang w:eastAsia="ar-SA"/>
        </w:rPr>
        <w:t>deste aviso e serão solicitados do fornecedor mais bem classificado da fase de lances.</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lang w:eastAsia="ar-SA"/>
        </w:rPr>
        <w:t xml:space="preserve">Como </w:t>
      </w:r>
      <w:r>
        <w:rPr>
          <w:rFonts w:cs="Arial" w:ascii="CARLITO" w:hAnsi="CARLITO"/>
          <w:i w:val="false"/>
          <w:iCs w:val="false"/>
          <w:color w:val="000000"/>
          <w:sz w:val="24"/>
          <w:szCs w:val="24"/>
        </w:rPr>
        <w:t>condição</w:t>
      </w:r>
      <w:r>
        <w:rPr>
          <w:rFonts w:cs="Arial" w:ascii="CARLITO" w:hAnsi="CARLITO"/>
          <w:i w:val="false"/>
          <w:iCs w:val="false"/>
          <w:color w:val="000000"/>
          <w:sz w:val="24"/>
          <w:szCs w:val="24"/>
          <w:lang w:eastAsia="ar-SA"/>
        </w:rPr>
        <w:t xml:space="preserve"> prévia ao exame da documentação de habilitação do fornecedor detentor da proposta classificada em primeiro lugar, será verificado o eventual descumprimento das condições de participação, especialmente quanto à existência de sanção que impeça a participação no certame ou a futura contratação, mediante a consulta aos seguintes cadastros: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a) SICAF;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b) Cadastro Nacional de Empresas Inidôneas e Suspensas - CEIS, mantido pela Controladoria-Geral da União (</w:t>
      </w:r>
      <w:hyperlink r:id="rId3">
        <w:r>
          <w:rPr>
            <w:rStyle w:val="LinkdaInternet"/>
            <w:rFonts w:eastAsia="Calibri" w:cs="Arial" w:ascii="CARLITO" w:hAnsi="CARLITO"/>
            <w:i w:val="false"/>
            <w:iCs w:val="false"/>
            <w:color w:val="000000"/>
            <w:sz w:val="24"/>
            <w:szCs w:val="24"/>
            <w:lang w:eastAsia="ar-SA"/>
          </w:rPr>
          <w:t>www.portaldatransparencia.gov.br/ceis</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pPr>
      <w:r>
        <w:rPr>
          <w:rFonts w:cs="Arial" w:ascii="CARLITO" w:hAnsi="CARLITO"/>
          <w:i w:val="false"/>
          <w:iCs w:val="false"/>
          <w:color w:val="000000"/>
          <w:sz w:val="24"/>
          <w:szCs w:val="24"/>
          <w:lang w:eastAsia="ar-SA"/>
        </w:rPr>
        <w:t>c) Cadastro Nacional de Condenações Cíveis por Atos de Improbidade Administrativa, mantido pelo Conselho Nacional de Justiça (</w:t>
      </w:r>
      <w:hyperlink r:id="rId4">
        <w:r>
          <w:rPr>
            <w:rStyle w:val="LinkdaInternet"/>
            <w:rFonts w:eastAsia="Calibri" w:cs="Arial" w:ascii="CARLITO" w:hAnsi="CARLITO"/>
            <w:i w:val="false"/>
            <w:iCs w:val="false"/>
            <w:color w:val="000000"/>
            <w:sz w:val="24"/>
            <w:szCs w:val="24"/>
            <w:lang w:eastAsia="ar-SA"/>
          </w:rPr>
          <w:t>www.cnj.jus.br/improbidade_adm/consultar_requerido.php</w:t>
        </w:r>
      </w:hyperlink>
      <w:r>
        <w:rPr>
          <w:rFonts w:cs="Arial" w:ascii="CARLITO" w:hAnsi="CARLITO"/>
          <w:i w:val="false"/>
          <w:iCs w:val="false"/>
          <w:color w:val="000000"/>
          <w:sz w:val="24"/>
          <w:szCs w:val="24"/>
          <w:lang w:eastAsia="ar-SA"/>
        </w:rPr>
        <w:t xml:space="preserve">).  </w:t>
      </w:r>
    </w:p>
    <w:p>
      <w:pPr>
        <w:pStyle w:val="ListParagraph"/>
        <w:spacing w:lineRule="auto" w:line="276" w:before="120" w:after="120"/>
        <w:ind w:left="1134" w:right="0" w:hanging="0"/>
        <w:contextualSpacing/>
        <w:jc w:val="both"/>
        <w:rPr>
          <w:rFonts w:ascii="CARLITO" w:hAnsi="CARLITO" w:cs="Arial"/>
          <w:i w:val="false"/>
          <w:i w:val="false"/>
          <w:iCs w:val="false"/>
          <w:color w:val="000000"/>
          <w:sz w:val="24"/>
          <w:szCs w:val="24"/>
          <w:lang w:eastAsia="ar-SA"/>
        </w:rPr>
      </w:pPr>
      <w:r>
        <w:rPr>
          <w:rFonts w:cs="Arial" w:ascii="CARLITO" w:hAnsi="CARLITO"/>
          <w:i w:val="false"/>
          <w:iCs w:val="false"/>
          <w:color w:val="000000"/>
          <w:sz w:val="24"/>
          <w:szCs w:val="24"/>
          <w:lang w:eastAsia="ar-SA"/>
        </w:rPr>
        <w:t xml:space="preserve">d) Lista de Inidôneos mantida pelo Tribunal de Contas da União - TCU; </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lang w:eastAsia="ar-SA"/>
        </w:rPr>
        <w:t xml:space="preserve">Para a consulta de </w:t>
      </w:r>
      <w:r>
        <w:rPr>
          <w:rFonts w:cs="Arial" w:ascii="CARLITO" w:hAnsi="CARLITO"/>
          <w:i w:val="false"/>
          <w:iCs w:val="false"/>
          <w:color w:val="000000"/>
          <w:sz w:val="24"/>
          <w:szCs w:val="24"/>
        </w:rPr>
        <w:t>fornecedores</w:t>
      </w:r>
      <w:r>
        <w:rPr>
          <w:rFonts w:cs="Arial" w:ascii="CARLITO" w:hAnsi="CARLITO"/>
          <w:i w:val="false"/>
          <w:iCs w:val="false"/>
          <w:color w:val="000000"/>
          <w:sz w:val="24"/>
          <w:szCs w:val="24"/>
          <w:lang w:eastAsia="ar-SA"/>
        </w:rPr>
        <w:t xml:space="preserve"> pessoa jurídica poderá haver a substituição das consultas das alíneas “b”, “c” e “d” acima pela Consulta Consolidada de Pessoa Jurídica do TCU (https://certidoesapf.apps.tcu.gov.br/)</w:t>
      </w:r>
    </w:p>
    <w:p>
      <w:pPr>
        <w:pStyle w:val="ListParagraph"/>
        <w:numPr>
          <w:ilvl w:val="2"/>
          <w:numId w:val="1"/>
        </w:numPr>
        <w:spacing w:lineRule="auto" w:line="276" w:before="120" w:after="120"/>
        <w:contextualSpacing/>
        <w:jc w:val="both"/>
        <w:rPr/>
      </w:pPr>
      <w:r>
        <w:rPr>
          <w:rFonts w:cs="Arial" w:ascii="CARLITO" w:hAnsi="CARLITO"/>
          <w:i w:val="false"/>
          <w:iCs w:val="false"/>
          <w:color w:val="000000"/>
          <w:sz w:val="24"/>
          <w:szCs w:val="24"/>
        </w:rPr>
        <w:t xml:space="preserve">A consulta aos </w:t>
      </w:r>
      <w:r>
        <w:rPr>
          <w:rFonts w:cs="Arial" w:ascii="CARLITO" w:hAnsi="CARLITO"/>
          <w:i w:val="false"/>
          <w:iCs w:val="false"/>
          <w:color w:val="000000"/>
          <w:sz w:val="24"/>
          <w:szCs w:val="24"/>
          <w:lang w:eastAsia="ar-SA"/>
        </w:rPr>
        <w:t>cadastros</w:t>
      </w:r>
      <w:r>
        <w:rPr>
          <w:rFonts w:cs="Arial" w:ascii="CARLITO" w:hAnsi="CARLITO"/>
          <w:i w:val="false"/>
          <w:iCs w:val="false"/>
          <w:color w:val="000000"/>
          <w:sz w:val="24"/>
          <w:szCs w:val="24"/>
        </w:rPr>
        <w:t xml:space="preserve"> será realizada em nome da empresa fornecedora e também de seu sócio majoritário, por força do artigo 12 da Lei n° 8.429, de 1992, que prevê, dentre as sanções impostas ao responsável pela prática de ato de improbidade administrativa, a proibição de contratar com o Poder Público, inclusive por intermédio de pessoa jurídica da qual seja sócio majoritário.</w:t>
      </w:r>
    </w:p>
    <w:p>
      <w:pPr>
        <w:pStyle w:val="ListParagraph"/>
        <w:numPr>
          <w:ilvl w:val="3"/>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conste na Consulta de Situação do Fornecedor a existência de Ocorrências Impeditivas Indiretas, o gestor diligenciará para verificar se houve fraude por parte das empresas apontadas no Relatório de Ocorrências Impeditivas Indiretas.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tentativa de burla será verificada por meio dos vínculos societários, linhas de fornecimento similares, dentre outros.</w:t>
      </w:r>
    </w:p>
    <w:p>
      <w:pPr>
        <w:pStyle w:val="ListParagraph"/>
        <w:numPr>
          <w:ilvl w:val="4"/>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será convocado para manifestação previamente à sua desclassificação</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Constatada a existência de sanção, o fornecedor será reputado inabilitado, por falta de condição de participação.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Caso atendidas as condições de participação, a habilitação dos fornecedores será verificada por meio do SICAF, nos documentos por ele abrangidos.</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É dever do fornecedor atualizar previamente as comprovações constantes do SICAF para que estejam vigentes na data da abertura da sessão pública, ou encaminhar, quando solicitado, a respectiva documentação atualizada.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descumprimento do subitem acima implicará a inabilitação do fornecedor, exceto se a consulta aos sítios eletrônicos oficiais emissores de certidões lograr êxito em encontrar a(s) certidão(ões) válida(s).</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envio de documentos de habilitação complementares, necessários à confirmação daqueles exigidos neste Aviso de Contratação Direta e já apresentados, o fornecedor será convocado a encaminhá-los, em formato digital, após solicitação da Administração, sob pena de inabilitação.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Somente haverá a necessidade de comprovação do preenchimento de requisitos mediante apresentação dos documentos originais não-digitais quando houver dúvida em relação à integridade do documento digital.</w:t>
      </w:r>
    </w:p>
    <w:p>
      <w:pPr>
        <w:pStyle w:val="ListParagraph"/>
        <w:numPr>
          <w:ilvl w:val="1"/>
          <w:numId w:val="1"/>
        </w:numPr>
        <w:spacing w:lineRule="auto" w:line="276" w:before="120" w:after="120"/>
        <w:ind w:left="792" w:right="0" w:hanging="574"/>
        <w:contextualSpacing/>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O fornecedor enquadrado como microempreendedor individual que pretenda auferir os benefícios do tratamento diferenciado previstos na Lei Complementar n. 123, de 2006, estará dispensado (a) da prova de inscrição nos cadastros de contribuintes estadual e municipal e (b) da apresentação do balanço patrimonial e das demonstrações contábeis do último exercício.</w:t>
      </w:r>
    </w:p>
    <w:p>
      <w:pPr>
        <w:pStyle w:val="ListParagraph"/>
        <w:numPr>
          <w:ilvl w:val="1"/>
          <w:numId w:val="1"/>
        </w:numPr>
        <w:spacing w:lineRule="auto" w:line="276" w:before="120" w:after="120"/>
        <w:ind w:left="792" w:right="0" w:hanging="574"/>
        <w:contextualSpacing/>
        <w:jc w:val="both"/>
        <w:rPr/>
      </w:pPr>
      <w:r>
        <w:rPr>
          <w:rFonts w:cs="Arial" w:ascii="CARLITO" w:hAnsi="CARLITO"/>
          <w:bCs/>
          <w:i w:val="false"/>
          <w:iCs w:val="false"/>
          <w:color w:val="000000"/>
          <w:sz w:val="24"/>
          <w:szCs w:val="24"/>
        </w:rPr>
        <w:t xml:space="preserve">Havendo </w:t>
      </w:r>
      <w:r>
        <w:rPr>
          <w:rFonts w:cs="Arial" w:ascii="CARLITO" w:hAnsi="CARLITO"/>
          <w:i w:val="false"/>
          <w:iCs w:val="false"/>
          <w:color w:val="000000"/>
          <w:sz w:val="24"/>
          <w:szCs w:val="24"/>
          <w:lang w:eastAsia="en-US"/>
        </w:rPr>
        <w:t>necessidade</w:t>
      </w:r>
      <w:r>
        <w:rPr>
          <w:rFonts w:cs="Arial" w:ascii="CARLITO" w:hAnsi="CARLITO"/>
          <w:bCs/>
          <w:i w:val="false"/>
          <w:iCs w:val="false"/>
          <w:color w:val="000000"/>
          <w:sz w:val="24"/>
          <w:szCs w:val="24"/>
        </w:rPr>
        <w:t xml:space="preserve"> de analisar minuciosamente os documentos exigidos, a sessão será suspensa, sendo informada a nova data e horário para a sua continuidade.</w:t>
      </w:r>
    </w:p>
    <w:p>
      <w:pPr>
        <w:pStyle w:val="ListParagraph"/>
        <w:numPr>
          <w:ilvl w:val="1"/>
          <w:numId w:val="1"/>
        </w:numPr>
        <w:spacing w:lineRule="auto" w:line="276" w:before="120" w:after="120"/>
        <w:ind w:left="792" w:right="0" w:hanging="574"/>
        <w:contextualSpacing/>
        <w:jc w:val="both"/>
        <w:rPr/>
      </w:pPr>
      <w:r>
        <w:rPr>
          <w:rFonts w:cs="Arial" w:ascii="CARLITO" w:hAnsi="CARLITO"/>
          <w:i w:val="false"/>
          <w:iCs w:val="false"/>
          <w:color w:val="000000"/>
          <w:sz w:val="24"/>
          <w:szCs w:val="24"/>
        </w:rPr>
        <w:t xml:space="preserve">Será inabilitado o fornecedor que não comprovar sua habilitação, seja por não apresentar </w:t>
      </w:r>
      <w:r>
        <w:rPr>
          <w:rFonts w:cs="Arial" w:ascii="CARLITO" w:hAnsi="CARLITO"/>
          <w:i w:val="false"/>
          <w:iCs w:val="false"/>
          <w:color w:val="000000"/>
          <w:sz w:val="24"/>
          <w:szCs w:val="24"/>
          <w:lang w:eastAsia="en-US"/>
        </w:rPr>
        <w:t>quaisquer</w:t>
      </w:r>
      <w:r>
        <w:rPr>
          <w:rFonts w:cs="Arial" w:ascii="CARLITO" w:hAnsi="CARLITO"/>
          <w:i w:val="false"/>
          <w:iCs w:val="false"/>
          <w:color w:val="000000"/>
          <w:sz w:val="24"/>
          <w:szCs w:val="24"/>
        </w:rPr>
        <w:t xml:space="preserve"> dos </w:t>
      </w:r>
      <w:r>
        <w:rPr>
          <w:rFonts w:cs="Arial" w:ascii="CARLITO" w:hAnsi="CARLITO"/>
          <w:bCs/>
          <w:i w:val="false"/>
          <w:iCs w:val="false"/>
          <w:color w:val="000000"/>
          <w:sz w:val="24"/>
          <w:szCs w:val="24"/>
        </w:rPr>
        <w:t>documentos</w:t>
      </w:r>
      <w:r>
        <w:rPr>
          <w:rFonts w:cs="Arial" w:ascii="CARLITO" w:hAnsi="CARLITO"/>
          <w:i w:val="false"/>
          <w:iCs w:val="false"/>
          <w:color w:val="000000"/>
          <w:sz w:val="24"/>
          <w:szCs w:val="24"/>
        </w:rPr>
        <w:t xml:space="preserve"> exigidos, ou apresentá-los em desacordo com o estabelecido neste Aviso de Contratação Direta.</w:t>
      </w:r>
    </w:p>
    <w:p>
      <w:pPr>
        <w:pStyle w:val="ListParagraph"/>
        <w:numPr>
          <w:ilvl w:val="2"/>
          <w:numId w:val="1"/>
        </w:numPr>
        <w:spacing w:lineRule="auto" w:line="276" w:before="120" w:after="120"/>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pPr>
        <w:pStyle w:val="ListParagraph"/>
        <w:numPr>
          <w:ilvl w:val="1"/>
          <w:numId w:val="1"/>
        </w:numPr>
        <w:spacing w:lineRule="auto" w:line="276" w:before="120" w:after="120"/>
        <w:ind w:left="792" w:right="0" w:hanging="574"/>
        <w:contextualSpacing/>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Constatado o atendimento às exigências de habilitação, o fornecedor será habilitado.</w:t>
      </w:r>
    </w:p>
    <w:p>
      <w:pPr>
        <w:pStyle w:val="ListParagraph"/>
        <w:spacing w:lineRule="auto" w:line="276" w:before="120" w:after="120"/>
        <w:ind w:left="1010" w:right="0" w:hanging="0"/>
        <w:contextualSpacing/>
        <w:jc w:val="both"/>
        <w:rPr>
          <w:rFonts w:ascii="CARLITO" w:hAnsi="CARLITO" w:cs="Arial"/>
          <w:color w:val="000000"/>
          <w:sz w:val="24"/>
          <w:szCs w:val="24"/>
          <w:lang w:eastAsia="en-US"/>
        </w:rPr>
      </w:pPr>
      <w:r>
        <w:rPr>
          <w:rFonts w:cs="Arial" w:ascii="CARLITO" w:hAnsi="CARLITO"/>
          <w:color w:val="000000"/>
          <w:sz w:val="24"/>
          <w:szCs w:val="24"/>
          <w:lang w:eastAsia="en-US"/>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CONTRATAÇÃO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Após a homologação e adjudicação, caso se conclua pela contratação, será firmado Termo de Contrato ou emitido instrumento equivalente.</w:t>
      </w:r>
    </w:p>
    <w:p>
      <w:pPr>
        <w:pStyle w:val="Normal"/>
        <w:numPr>
          <w:ilvl w:val="1"/>
          <w:numId w:val="1"/>
        </w:numPr>
        <w:spacing w:lineRule="auto" w:line="276" w:before="63" w:after="63"/>
        <w:ind w:left="425" w:right="0" w:hanging="0"/>
        <w:jc w:val="both"/>
        <w:rPr/>
      </w:pPr>
      <w:r>
        <w:rPr>
          <w:rFonts w:eastAsia="Arial" w:cs="Arial" w:ascii="CARLITO" w:hAnsi="CARLITO"/>
          <w:i w:val="false"/>
          <w:iCs w:val="false"/>
          <w:color w:val="000000"/>
          <w:sz w:val="24"/>
          <w:szCs w:val="24"/>
        </w:rPr>
        <w:t xml:space="preserve">O adjudicatário terá o prazo de 3 (três) dias úteis, contados a partir da data de sua convocação, para aceitar instrumento equivalente, conforme Nota de Empenho/Ordem de compra, sob pena de decair do direito à contratação, sem prejuízo das sanções previstas neste Aviso de Contratação Direta. </w:t>
      </w:r>
    </w:p>
    <w:p>
      <w:pPr>
        <w:pStyle w:val="Normal"/>
        <w:numPr>
          <w:ilvl w:val="2"/>
          <w:numId w:val="1"/>
        </w:numPr>
        <w:spacing w:lineRule="auto" w:line="276" w:before="63" w:after="63"/>
        <w:jc w:val="both"/>
        <w:rPr/>
      </w:pPr>
      <w:r>
        <w:rPr>
          <w:rFonts w:eastAsia="Arial" w:cs="Arial" w:ascii="CARLITO" w:hAnsi="CARLITO"/>
          <w:i w:val="false"/>
          <w:iCs w:val="false"/>
          <w:color w:val="000000"/>
          <w:sz w:val="24"/>
          <w:szCs w:val="24"/>
        </w:rPr>
        <w:t xml:space="preserve">O prazo previsto para assinatura do contrato ou aceitação da nota de empenho ou instrumento equivalente poderá ser prorrogado </w:t>
      </w:r>
      <w:r>
        <w:rPr>
          <w:rFonts w:cs="Times New Roman" w:ascii="CARLITO" w:hAnsi="CARLITO"/>
          <w:bCs/>
          <w:i w:val="false"/>
          <w:iCs w:val="false"/>
          <w:color w:val="000000"/>
          <w:sz w:val="24"/>
          <w:szCs w:val="24"/>
        </w:rPr>
        <w:t>1 (uma) vez</w:t>
      </w:r>
      <w:r>
        <w:rPr>
          <w:rFonts w:eastAsia="Arial" w:cs="Arial" w:ascii="CARLITO" w:hAnsi="CARLITO"/>
          <w:i w:val="false"/>
          <w:iCs w:val="false"/>
          <w:color w:val="000000"/>
          <w:sz w:val="24"/>
          <w:szCs w:val="24"/>
        </w:rPr>
        <w:t>, por igual período, por solicitação justificada do adjudicatário e aceita pela Administração.</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O Aceite da Nota de Empenho ou do instrumento equivalente, emitida à empresa adjudicada, implica no reconhecimento de que:</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referida Nota está substituindo o contrato, aplicando-se à relação de negócios ali estabelecida as disposições da Lei nº 14.133, de 2021;</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se vincula à sua proposta e às previsões contidas no Aviso de Contratação Direta e seus anexos;</w:t>
      </w:r>
    </w:p>
    <w:p>
      <w:pPr>
        <w:pStyle w:val="Normal"/>
        <w:numPr>
          <w:ilvl w:val="2"/>
          <w:numId w:val="1"/>
        </w:numPr>
        <w:spacing w:lineRule="auto" w:line="276" w:before="63" w:after="63"/>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a contratada reconhece que as hipóteses de rescisão são aquelas previstas nos artigos 137 e 138 da Lei nº 14.133/21 e reconhece os direitos da Administração previstos nos artigos 137 a 139 da mesma Lei.</w:t>
      </w:r>
    </w:p>
    <w:p>
      <w:pPr>
        <w:pStyle w:val="Normal"/>
        <w:numPr>
          <w:ilvl w:val="1"/>
          <w:numId w:val="1"/>
        </w:numPr>
        <w:spacing w:lineRule="auto" w:line="276" w:before="63" w:after="63"/>
        <w:ind w:left="425" w:right="0" w:hanging="0"/>
        <w:jc w:val="both"/>
        <w:rPr>
          <w:rFonts w:ascii="CARLITO" w:hAnsi="CARLITO" w:eastAsia="Arial" w:cs="Arial"/>
          <w:i w:val="false"/>
          <w:i w:val="false"/>
          <w:iCs w:val="false"/>
          <w:color w:val="000000"/>
          <w:sz w:val="24"/>
          <w:szCs w:val="24"/>
        </w:rPr>
      </w:pPr>
      <w:r>
        <w:rPr>
          <w:rFonts w:eastAsia="Arial" w:cs="Arial" w:ascii="CARLITO" w:hAnsi="CARLITO"/>
          <w:i w:val="false"/>
          <w:iCs w:val="false"/>
          <w:color w:val="000000"/>
          <w:sz w:val="24"/>
          <w:szCs w:val="24"/>
        </w:rPr>
        <w:t xml:space="preserve">O prazo de vigência da contratação é de </w:t>
      </w:r>
      <w:r>
        <w:rPr>
          <w:rFonts w:eastAsia="Arial" w:cs="Arial" w:ascii="CARLITO" w:hAnsi="CARLITO"/>
          <w:i w:val="false"/>
          <w:iCs w:val="false"/>
          <w:color w:val="000000"/>
          <w:kern w:val="0"/>
          <w:sz w:val="24"/>
          <w:szCs w:val="24"/>
          <w:lang w:val="pt-BR" w:eastAsia="pt-BR" w:bidi="ar-SA"/>
        </w:rPr>
        <w:t>30</w:t>
      </w:r>
      <w:r>
        <w:rPr>
          <w:rFonts w:eastAsia="Arial" w:cs="Arial" w:ascii="CARLITO" w:hAnsi="CARLITO"/>
          <w:i w:val="false"/>
          <w:iCs w:val="false"/>
          <w:color w:val="000000"/>
          <w:sz w:val="24"/>
          <w:szCs w:val="24"/>
        </w:rPr>
        <w:t xml:space="preserve"> (</w:t>
      </w:r>
      <w:r>
        <w:rPr>
          <w:rFonts w:eastAsia="Arial" w:cs="Arial" w:ascii="CARLITO" w:hAnsi="CARLITO"/>
          <w:i w:val="false"/>
          <w:iCs w:val="false"/>
          <w:color w:val="000000"/>
          <w:sz w:val="24"/>
          <w:szCs w:val="24"/>
        </w:rPr>
        <w:t>trinta</w:t>
      </w:r>
      <w:r>
        <w:rPr>
          <w:rFonts w:eastAsia="Arial" w:cs="Arial" w:ascii="CARLITO" w:hAnsi="CARLITO"/>
          <w:i w:val="false"/>
          <w:iCs w:val="false"/>
          <w:color w:val="000000"/>
          <w:sz w:val="24"/>
          <w:szCs w:val="24"/>
        </w:rPr>
        <w:t xml:space="preserve">) dias.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Na confecção da Nota de empenho será exigida a comprovação das condições de habilitação e contratação consignadas neste aviso, que deverão ser mantidas pelo fornecedor durante a vigência do contrato.</w:t>
      </w:r>
    </w:p>
    <w:p>
      <w:pPr>
        <w:pStyle w:val="Normal"/>
        <w:spacing w:lineRule="auto" w:line="276" w:before="63" w:after="63"/>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SANÇÕES</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Comete infração administrativa o fornecedor que cometer quaisquer das infrações previstas no art. 155 da Lei nº 14.133, de 2021, quais sejam: </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parcial do contrato que cause grave dano à Administração, ao funcionamento dos serviços públicos ou ao interesse coletivo;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dar causa à inexecução total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deixar de entregar a documentação exigida para o certame;</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manter a proposta, salvo em decorrência de fato superveniente devidamente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não celebrar o contrato ou não entregar a documentação exigida para a contratação, quando convocado dentro do prazo de validade de sua proposta;</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ensejar o retardamento da execução ou da entrega do objeto da licitação sem motivo justificado;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apresentar declaração ou documentação falsa exigida para o certame ou prestar declaração falsa durante a dispensa eletrônica ou 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fraudar a dispensa eletrônica ou praticar ato fraudulento na execução do contrato;</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comportar-se de modo inidôneo ou cometer fraude de qualquer natureza;</w:t>
      </w:r>
    </w:p>
    <w:p>
      <w:pPr>
        <w:pStyle w:val="ListParagraph"/>
        <w:numPr>
          <w:ilvl w:val="3"/>
          <w:numId w:val="1"/>
        </w:numPr>
        <w:spacing w:lineRule="auto" w:line="276" w:before="63" w:after="63"/>
        <w:contextualSpacing/>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Considera-se comportamento inidôneo, entre outros, a declaração falsa quanto às condições de participação, quanto ao enquadramento como ME/EPP ou o conluio entre os fornecedores, em qualquer momento da dispensa, mesmo após o encerramento da fase de lances.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praticar atos ilícitos com vistas a frustrar os objetivos deste certame.</w:t>
      </w:r>
    </w:p>
    <w:p>
      <w:pPr>
        <w:pStyle w:val="Normal"/>
        <w:numPr>
          <w:ilvl w:val="2"/>
          <w:numId w:val="1"/>
        </w:numPr>
        <w:spacing w:lineRule="auto" w:line="276" w:before="63" w:after="63"/>
        <w:jc w:val="both"/>
        <w:rPr/>
      </w:pPr>
      <w:r>
        <w:rPr>
          <w:rFonts w:cs="Arial" w:ascii="CARLITO" w:hAnsi="CARLITO"/>
          <w:i w:val="false"/>
          <w:iCs w:val="false"/>
          <w:color w:val="000000"/>
          <w:sz w:val="24"/>
          <w:szCs w:val="24"/>
        </w:rPr>
        <w:t xml:space="preserve">praticar ato lesivo previsto no </w:t>
      </w:r>
      <w:r>
        <w:fldChar w:fldCharType="begin"/>
      </w:r>
      <w:r>
        <w:rPr>
          <w:rStyle w:val="LinkdaInternet"/>
          <w:sz w:val="24"/>
          <w:i w:val="false"/>
          <w:szCs w:val="24"/>
          <w:iCs w:val="false"/>
          <w:rFonts w:ascii="CARLITO" w:hAnsi="CARLITO"/>
          <w:color w:val="000000"/>
        </w:rPr>
        <w:instrText> HYPERLINK "http://www.planalto.gov.br/ccivil_03/_Ato2011-2014/2013/Lei/L12846.htm" \l "art5"</w:instrText>
      </w:r>
      <w:r>
        <w:rPr>
          <w:rStyle w:val="LinkdaInternet"/>
          <w:sz w:val="24"/>
          <w:i w:val="false"/>
          <w:szCs w:val="24"/>
          <w:iCs w:val="false"/>
          <w:rFonts w:ascii="CARLITO" w:hAnsi="CARLITO"/>
          <w:color w:val="000000"/>
        </w:rPr>
        <w:fldChar w:fldCharType="separate"/>
      </w:r>
      <w:r>
        <w:rPr>
          <w:rStyle w:val="LinkdaInternet"/>
          <w:rFonts w:ascii="CARLITO" w:hAnsi="CARLITO"/>
          <w:i w:val="false"/>
          <w:iCs w:val="false"/>
          <w:color w:val="000000"/>
          <w:sz w:val="24"/>
          <w:szCs w:val="24"/>
        </w:rPr>
        <w:t>art. 5º da Lei nº 12.846, de 1º de agosto de 2013.</w:t>
      </w:r>
      <w:r>
        <w:rPr>
          <w:rStyle w:val="LinkdaInternet"/>
          <w:sz w:val="24"/>
          <w:i w:val="false"/>
          <w:szCs w:val="24"/>
          <w:iCs w:val="false"/>
          <w:rFonts w:ascii="CARLITO" w:hAnsi="CARLITO"/>
          <w:color w:val="000000"/>
        </w:rPr>
        <w:fldChar w:fldCharType="end"/>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 fornecedor que cometer qualquer das infrações discriminadas nos subitens anteriores ficará sujeito, sem prejuízo da responsabilidade civil e criminal, às seguintes sanções:</w:t>
      </w:r>
    </w:p>
    <w:p>
      <w:pPr>
        <w:pStyle w:val="Normal"/>
        <w:numPr>
          <w:ilvl w:val="2"/>
          <w:numId w:val="5"/>
        </w:numPr>
        <w:spacing w:lineRule="auto" w:line="276" w:before="63" w:after="63"/>
        <w:jc w:val="both"/>
        <w:rPr/>
      </w:pPr>
      <w:r>
        <w:rPr>
          <w:rFonts w:cs="Arial" w:ascii="CARLITO" w:hAnsi="CARLITO"/>
          <w:i w:val="false"/>
          <w:iCs w:val="false"/>
          <w:color w:val="000000"/>
          <w:sz w:val="24"/>
          <w:szCs w:val="24"/>
        </w:rPr>
        <w:t>Advertência pela falta do subitem 8.1.1 deste Aviso de Contratação Direta,</w:t>
      </w:r>
      <w:r>
        <w:rPr>
          <w:rFonts w:ascii="CARLITO" w:hAnsi="CARLITO"/>
          <w:i w:val="false"/>
          <w:iCs w:val="false"/>
          <w:color w:val="000000"/>
          <w:sz w:val="24"/>
          <w:szCs w:val="24"/>
        </w:rPr>
        <w:t xml:space="preserve"> </w:t>
      </w:r>
      <w:r>
        <w:rPr>
          <w:rFonts w:cs="Arial" w:ascii="CARLITO" w:hAnsi="CARLITO"/>
          <w:i w:val="false"/>
          <w:iCs w:val="false"/>
          <w:color w:val="000000"/>
          <w:sz w:val="24"/>
          <w:szCs w:val="24"/>
        </w:rPr>
        <w:t>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Multa de 0,5% (cinco decimos por cento) sobre o valor estimado do(s) item(s) prejudicado(s) pela conduta do fornecedor, por qualquer das infrações dos subitens 8.1.1 a 8.1.12;</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Impedimento de licitar e contratar no âmbito da Administração Pública direta e indireta do ente federativo que tiver aplicado a sanção, pelo prazo máximo de 3 (três) anos, nos casos dos subitens 8.1.2 a 8.1.7 deste Aviso de Contratação Direta, quando não se justificar a imposição de penalidade mais grave;</w:t>
      </w:r>
    </w:p>
    <w:p>
      <w:pPr>
        <w:pStyle w:val="Normal"/>
        <w:numPr>
          <w:ilvl w:val="2"/>
          <w:numId w:val="5"/>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Declaração de inidoneidade para licitar ou contratar, que impedirá o responsável de licitar ou contratar no âmbito da Administração Pública direta e indireta de todos os entes federativos, pelo prazo mínimo de 3 (três) anos e máximo de 6 (seis) anos, nos casos dos subitens 8.1.8 a 8.1.12, bem como nos demais casos que justifiquem a imposição da penalidade mais grave;</w:t>
      </w:r>
    </w:p>
    <w:p>
      <w:pPr>
        <w:pStyle w:val="Normal"/>
        <w:numPr>
          <w:ilvl w:val="1"/>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Na aplicação das sanções serão considerados: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a natureza e a gravidade da infração cometida;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peculiaridades do caso concreto;</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as circunstâncias agravantes ou atenuantes;</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os danos que dela provierem para a Administração Pública;</w:t>
      </w:r>
    </w:p>
    <w:p>
      <w:pPr>
        <w:pStyle w:val="Normal"/>
        <w:numPr>
          <w:ilvl w:val="2"/>
          <w:numId w:val="1"/>
        </w:numPr>
        <w:spacing w:lineRule="auto" w:line="276" w:before="120" w:after="120"/>
        <w:jc w:val="both"/>
        <w:rPr>
          <w:rFonts w:ascii="CARLITO" w:hAnsi="CARLITO" w:cs="Arial"/>
          <w:bCs/>
          <w:i w:val="false"/>
          <w:i w:val="false"/>
          <w:iCs w:val="false"/>
          <w:color w:val="000000"/>
          <w:sz w:val="24"/>
          <w:szCs w:val="24"/>
        </w:rPr>
      </w:pPr>
      <w:r>
        <w:rPr>
          <w:rFonts w:cs="Arial" w:ascii="CARLITO" w:hAnsi="CARLITO"/>
          <w:bCs/>
          <w:i w:val="false"/>
          <w:iCs w:val="false"/>
          <w:color w:val="000000"/>
          <w:sz w:val="24"/>
          <w:szCs w:val="24"/>
        </w:rPr>
        <w:t xml:space="preserve"> </w:t>
      </w:r>
      <w:r>
        <w:rPr>
          <w:rFonts w:cs="Arial" w:ascii="CARLITO" w:hAnsi="CARLITO"/>
          <w:bCs/>
          <w:i w:val="false"/>
          <w:iCs w:val="false"/>
          <w:color w:val="000000"/>
          <w:sz w:val="24"/>
          <w:szCs w:val="24"/>
        </w:rPr>
        <w:t>a implantação ou o aperfeiçoamento de programa de integridade, conforme normas e orientações dos órgãos de controle.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0" w:name="art156%252525252525252525252525C2%252525"/>
      <w:bookmarkStart w:id="1" w:name="art156%252525252525252525252525C2%252525"/>
      <w:bookmarkStart w:id="2" w:name="art156%252525252525252525252525C2%252525"/>
      <w:bookmarkEnd w:id="0"/>
      <w:bookmarkEnd w:id="1"/>
      <w:bookmarkEnd w:id="2"/>
      <w:r>
        <w:rPr>
          <w:rFonts w:cs="Arial" w:ascii="CARLITO" w:hAnsi="CARLITO"/>
          <w:i w:val="false"/>
          <w:iCs w:val="false"/>
          <w:color w:val="000000"/>
          <w:sz w:val="24"/>
          <w:szCs w:val="24"/>
        </w:rPr>
        <w:t>Se a multa aplicada e as indenizações cabíveis forem superiores ao valor de pagamento eventualmente devido pela Administração ao contratado, além da perda desse valor, a diferença será descontada da garantia prestada ou será cobrada judicialmente.</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bookmarkStart w:id="3" w:name="art156%252525252525252525252525C2%252525"/>
      <w:bookmarkEnd w:id="3"/>
      <w:r>
        <w:rPr>
          <w:rFonts w:cs="Arial" w:ascii="CARLITO" w:hAnsi="CARLITO"/>
          <w:i w:val="false"/>
          <w:iCs w:val="false"/>
          <w:color w:val="000000"/>
          <w:sz w:val="24"/>
          <w:szCs w:val="24"/>
        </w:rPr>
        <w:t>A aplicação das sanções previstas neste Aviso de Contratação Direta, em hipótese alguma, a obrigação de reparação integral do dano causado à Administração Pública.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penalidade de multa pode ser aplicada cumulativamente com as demais sanções.</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Se, durante o processo de aplicação de penalidade, houver indícios de prática de infração administrativa tipificada pela Lei nº 12.846, de 1º de agosto de 2013, como ato lesivo à administração pública nacional ou estrangeira, cópias do processo administrativo necessárias à apuração da responsabilidade da empresa deverão ser remetidas à autoridade competente, com despacho fundamentado, para ciência e decisão sobre a eventual instauração de investigação preliminar ou Processo Administrativo de Responsabilização – PAR.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apuração e o julgamento das demais infrações administrativas não consideradas como ato lesivo à Administração Pública nacional ou estrangeira nos termos da Lei nº 12.846, de 1º de agosto de 2013, seguirão seu rito normal na unidade administrativa.</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O processamento do PAR não interfere no seguimento regular dos processos administrativos específicos para apuração da ocorrência de danos e prejuízos à Administração Pública Federal resultantes de ato lesivo cometido por pessoa jurídica, com ou sem a participação de agente público. </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 aplicação de qualquer das penalidades previstas realizar-se-á em processo administrativo que assegurará o contraditório e a ampla defesa ao fornecedor/adjudicatário, observando-se o procedimento previsto na Lei nº 14.133, de 2021, e subsidiariamente na Lei nº 9.784, de 1999.</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sanções por atos praticados no decorrer da contratação estão previstas nos anexos a este Aviso.</w:t>
      </w:r>
    </w:p>
    <w:p>
      <w:pPr>
        <w:pStyle w:val="Normal"/>
        <w:spacing w:lineRule="auto" w:line="276" w:before="120" w:after="120"/>
        <w:ind w:left="1217" w:right="0" w:hanging="0"/>
        <w:jc w:val="both"/>
        <w:rPr>
          <w:rFonts w:ascii="CARLITO" w:hAnsi="CARLITO" w:cs="Arial"/>
          <w:color w:val="000000"/>
          <w:sz w:val="24"/>
          <w:szCs w:val="24"/>
        </w:rPr>
      </w:pPr>
      <w:r>
        <w:rPr>
          <w:rFonts w:cs="Arial" w:ascii="CARLITO" w:hAnsi="CARLITO"/>
          <w:color w:val="000000"/>
          <w:sz w:val="24"/>
          <w:szCs w:val="24"/>
        </w:rPr>
      </w:r>
    </w:p>
    <w:p>
      <w:pPr>
        <w:pStyle w:val="PADRO"/>
        <w:keepNext w:val="true"/>
        <w:widowControl/>
        <w:numPr>
          <w:ilvl w:val="0"/>
          <w:numId w:val="1"/>
        </w:numPr>
        <w:shd w:val="clear" w:fill="FFFFFF"/>
        <w:spacing w:before="120" w:after="120"/>
        <w:rPr>
          <w:rFonts w:ascii="CARLITO" w:hAnsi="CARLITO" w:cs="Arial"/>
          <w:b/>
          <w:b/>
          <w:i w:val="false"/>
          <w:i w:val="false"/>
          <w:iCs w:val="false"/>
          <w:color w:val="000000"/>
          <w:sz w:val="24"/>
          <w:szCs w:val="24"/>
        </w:rPr>
      </w:pPr>
      <w:r>
        <w:rPr>
          <w:rFonts w:cs="Arial" w:ascii="CARLITO" w:hAnsi="CARLITO"/>
          <w:b/>
          <w:i w:val="false"/>
          <w:iCs w:val="false"/>
          <w:color w:val="000000"/>
          <w:sz w:val="24"/>
          <w:szCs w:val="24"/>
        </w:rPr>
        <w:t>DAS DISPOSIÇÕES GERAIS</w:t>
      </w:r>
    </w:p>
    <w:p>
      <w:pPr>
        <w:pStyle w:val="Normal"/>
        <w:numPr>
          <w:ilvl w:val="1"/>
          <w:numId w:val="1"/>
        </w:numPr>
        <w:snapToGrid w:val="false"/>
        <w:spacing w:lineRule="auto" w:line="276"/>
        <w:ind w:left="425" w:right="0" w:hanging="0"/>
        <w:jc w:val="both"/>
        <w:rPr/>
      </w:pPr>
      <w:r>
        <w:rPr>
          <w:rFonts w:ascii="CARLITO" w:hAnsi="CARLITO"/>
          <w:i w:val="false"/>
          <w:iCs w:val="false"/>
          <w:color w:val="000000"/>
          <w:sz w:val="24"/>
          <w:szCs w:val="24"/>
        </w:rPr>
        <w:t>O procedimento será divulgado no Comprasnet 4.0 e no Portal Nacional de Contratações Públicas - PNCP, e encaminhado automaticamente aos fornecedores registrados no Sistema de Registro Cadastral Unificado - Sicaf, por mensagem eletrônica, na correspondente linha de fornecimento que pretende atender.</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de todos os fornecedores restarem desclassificados ou inabilitados (procedimento fracassado), a Administração poderá:</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republicar o presente aviso com uma nova data;</w:t>
      </w:r>
    </w:p>
    <w:p>
      <w:pPr>
        <w:pStyle w:val="Normal"/>
        <w:numPr>
          <w:ilvl w:val="2"/>
          <w:numId w:val="1"/>
        </w:numPr>
        <w:spacing w:lineRule="auto" w:line="27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valer-se, para a contratação, de proposta obtida na pesquisa de preços que serviu de base ao procedimento, se houver, privilegiando-se os menores preços, sempre que possível, e desde que atendidas às condições de habilitação exigidas.</w:t>
      </w:r>
    </w:p>
    <w:p>
      <w:pPr>
        <w:pStyle w:val="Normal"/>
        <w:numPr>
          <w:ilvl w:val="3"/>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caso do subitem anterior, a contratação será operacionalizada fora deste procedimento.</w:t>
      </w:r>
    </w:p>
    <w:p>
      <w:pPr>
        <w:pStyle w:val="Normal"/>
        <w:numPr>
          <w:ilvl w:val="2"/>
          <w:numId w:val="1"/>
        </w:numPr>
        <w:spacing w:lineRule="auto" w:line="276" w:before="6" w:after="6"/>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 </w:t>
      </w:r>
      <w:r>
        <w:rPr>
          <w:rFonts w:cs="Arial" w:ascii="CARLITO" w:hAnsi="CARLITO"/>
          <w:i w:val="false"/>
          <w:iCs w:val="false"/>
          <w:color w:val="000000"/>
          <w:sz w:val="24"/>
          <w:szCs w:val="24"/>
        </w:rPr>
        <w:t>fixar prazo para que possa haver adequação das propostas ou da documentação de habilitação, conforme o caso.</w:t>
      </w:r>
    </w:p>
    <w:p>
      <w:pPr>
        <w:pStyle w:val="Normal"/>
        <w:numPr>
          <w:ilvl w:val="1"/>
          <w:numId w:val="1"/>
        </w:numPr>
        <w:spacing w:lineRule="auto" w:line="276" w:before="6" w:after="6"/>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As providências dos subitens 9.2.1 e 9.2.2 acima poderão ser utilizadas se não houver o comparecimento de quaisquer fornecedores interessados (procedimento deserto)</w:t>
      </w:r>
    </w:p>
    <w:p>
      <w:pPr>
        <w:pStyle w:val="Normal"/>
        <w:numPr>
          <w:ilvl w:val="1"/>
          <w:numId w:val="1"/>
        </w:numPr>
        <w:spacing w:lineRule="auto" w:line="276" w:before="120" w:after="120"/>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Havendo a necessidade de realização de ato de qualquer natureza pelos fornecedores, cujo prazo não conste deste Aviso de Contratação Direta, deverá ser atendido o prazo indicado pelo agente competente da Administração na respectiva notificação.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Caberá ao fornecedor acompanhar as operações, ficando responsável pelo ônus decorrente da perda do negócio diante da inobservância de quaisquer mensagens emitidas pela Administração ou de sua desconexão.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horários estabelecidos na divulgação deste procedimento e durante o envio de lances observarão o horário de Brasília-DF, inclusive para contagem de tempo e registro no Sistema e na documentação relativa ao procedimento.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No julgamento das propostas e da habilitação, a Administração poderá sanar erros ou falhas que não alterem a substância das propostas, dos documentos e sua validade jurídica, mediante despacho fundamentado, registrado em ata e acessível a todos, atribuindo-lhes validade e eficácia para fins de habilitação e classificação.</w:t>
      </w:r>
    </w:p>
    <w:p>
      <w:pPr>
        <w:pStyle w:val="Normal"/>
        <w:numPr>
          <w:ilvl w:val="1"/>
          <w:numId w:val="1"/>
        </w:numPr>
        <w:spacing w:lineRule="auto" w:line="276" w:before="63" w:after="63"/>
        <w:ind w:left="425" w:right="0" w:hanging="0"/>
        <w:jc w:val="both"/>
        <w:rPr/>
      </w:pPr>
      <w:r>
        <w:rPr>
          <w:rFonts w:cs="Arial" w:ascii="CARLITO" w:hAnsi="CARLITO"/>
          <w:i w:val="false"/>
          <w:iCs w:val="false"/>
          <w:color w:val="000000"/>
          <w:sz w:val="24"/>
          <w:szCs w:val="24"/>
        </w:rPr>
        <w:t xml:space="preserve">As normas disciplinadoras deste Aviso de Contratação Direta serão sempre interpretadas em favor da ampliação da disputa entre os interessados, desde que não comprometam o interesse da Administração, o princípio da isonomia, a finalidade e a segurança da contratação. </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Os fornecedores assumem todos os custos de preparação e apresentação de suas propostas e a Administração não será, em nenhum caso, responsável por esses custos, independentemente da condução ou do resultado do processo de contratação.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Em caso de divergência entre disposições deste Aviso de Contratação Direta e de seus anexos ou demais peças que compõem o processo, prevalecerá as deste Aviso.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Da sessão pública será divulgada Ata no sistema eletrônico.</w:t>
      </w:r>
    </w:p>
    <w:p>
      <w:pPr>
        <w:pStyle w:val="Normal"/>
        <w:numPr>
          <w:ilvl w:val="1"/>
          <w:numId w:val="1"/>
        </w:numPr>
        <w:spacing w:lineRule="auto" w:line="276" w:before="63" w:after="63"/>
        <w:ind w:left="425" w:right="0"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Integram este Aviso de Contratação Direta, para todos os fins e efeitos, os seguintes anexos:</w:t>
      </w:r>
    </w:p>
    <w:p>
      <w:pPr>
        <w:pStyle w:val="Normal"/>
        <w:numPr>
          <w:ilvl w:val="2"/>
          <w:numId w:val="1"/>
        </w:numPr>
        <w:spacing w:lineRule="auto" w:line="276" w:before="63" w:after="63"/>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ANEXO I – Documentação exigida para Habilitação</w:t>
      </w:r>
    </w:p>
    <w:p>
      <w:pPr>
        <w:pStyle w:val="Normal"/>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120" w:after="120"/>
        <w:jc w:val="center"/>
        <w:rPr>
          <w:rFonts w:ascii="CARLITO" w:hAnsi="CARLITO"/>
          <w:i w:val="false"/>
          <w:i w:val="false"/>
          <w:iCs w:val="false"/>
          <w:color w:val="000000"/>
          <w:sz w:val="24"/>
          <w:szCs w:val="24"/>
        </w:rPr>
      </w:pPr>
      <w:r>
        <w:rPr>
          <w:rFonts w:ascii="CARLITO" w:hAnsi="CARLITO"/>
          <w:i w:val="false"/>
          <w:iCs w:val="false"/>
          <w:color w:val="000000"/>
          <w:sz w:val="24"/>
          <w:szCs w:val="24"/>
        </w:rPr>
        <w:t>Rio Grande - RS,</w:t>
      </w:r>
      <w:r>
        <w:rPr>
          <w:rFonts w:eastAsia="Times New Roman" w:cs="Tahoma" w:ascii="CARLITO" w:hAnsi="CARLITO"/>
          <w:i w:val="false"/>
          <w:iCs w:val="false"/>
          <w:color w:val="000000"/>
          <w:kern w:val="0"/>
          <w:sz w:val="24"/>
          <w:szCs w:val="24"/>
          <w:lang w:val="pt-BR" w:eastAsia="pt-BR" w:bidi="ar-SA"/>
        </w:rPr>
        <w:t xml:space="preserve">     </w:t>
      </w:r>
      <w:r>
        <w:rPr>
          <w:rFonts w:ascii="CARLITO" w:hAnsi="CARLITO"/>
          <w:i w:val="false"/>
          <w:iCs w:val="false"/>
          <w:color w:val="000000"/>
          <w:sz w:val="24"/>
          <w:szCs w:val="24"/>
        </w:rPr>
        <w:t xml:space="preserve">  de </w:t>
      </w:r>
      <w:r>
        <w:rPr>
          <w:rFonts w:eastAsia="Times New Roman" w:cs="Tahoma" w:ascii="CARLITO" w:hAnsi="CARLITO"/>
          <w:i w:val="false"/>
          <w:iCs w:val="false"/>
          <w:color w:val="000000"/>
          <w:sz w:val="24"/>
          <w:szCs w:val="24"/>
          <w:lang w:val="pt-BR" w:eastAsia="pt-BR" w:bidi="ar-SA"/>
        </w:rPr>
        <w:t>outubro</w:t>
      </w:r>
      <w:r>
        <w:rPr>
          <w:rFonts w:ascii="CARLITO" w:hAnsi="CARLITO"/>
          <w:i w:val="false"/>
          <w:iCs w:val="false"/>
          <w:color w:val="000000"/>
          <w:sz w:val="24"/>
          <w:szCs w:val="24"/>
        </w:rPr>
        <w:t xml:space="preserve"> de 2022.</w:t>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before="0" w:after="120"/>
        <w:ind w:left="360" w:right="-15" w:hanging="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BRUNNO FANARA DE SOUZA</w:t>
      </w:r>
    </w:p>
    <w:p>
      <w:pPr>
        <w:pStyle w:val="Normal"/>
        <w:spacing w:lineRule="auto" w:line="276"/>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Capitão de Fragata (FN)</w:t>
      </w:r>
    </w:p>
    <w:p>
      <w:pPr>
        <w:pStyle w:val="Normal"/>
        <w:spacing w:lineRule="auto" w:line="276" w:before="0" w:after="120"/>
        <w:ind w:left="360" w:right="-15" w:hanging="0"/>
        <w:jc w:val="center"/>
        <w:rPr>
          <w:rFonts w:ascii="CARLITO" w:hAnsi="CARLITO" w:cs="Arial"/>
          <w:b w:val="false"/>
          <w:b w:val="false"/>
          <w:bCs w:val="false"/>
          <w:i w:val="false"/>
          <w:i w:val="false"/>
          <w:iCs w:val="false"/>
          <w:color w:val="000000"/>
          <w:sz w:val="24"/>
          <w:szCs w:val="24"/>
        </w:rPr>
      </w:pPr>
      <w:r>
        <w:rPr>
          <w:rFonts w:cs="Arial" w:ascii="CARLITO" w:hAnsi="CARLITO"/>
          <w:b w:val="false"/>
          <w:bCs w:val="false"/>
          <w:i w:val="false"/>
          <w:iCs w:val="false"/>
          <w:color w:val="000000"/>
          <w:sz w:val="24"/>
          <w:szCs w:val="24"/>
        </w:rPr>
        <w:t>Ordenador de Despesas</w:t>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spacing w:lineRule="auto" w:line="276" w:before="0" w:after="120"/>
        <w:ind w:left="360" w:right="-15" w:hanging="0"/>
        <w:jc w:val="center"/>
        <w:rPr>
          <w:rFonts w:ascii="CARLITO" w:hAnsi="CARLITO" w:cs="Arial"/>
          <w:color w:val="000000"/>
          <w:sz w:val="24"/>
          <w:szCs w:val="24"/>
        </w:rPr>
      </w:pPr>
      <w:r>
        <w:rPr>
          <w:rFonts w:cs="Arial" w:ascii="CARLITO" w:hAnsi="CARLITO"/>
          <w:color w:val="000000"/>
          <w:sz w:val="24"/>
          <w:szCs w:val="24"/>
        </w:rPr>
      </w:r>
    </w:p>
    <w:p>
      <w:pPr>
        <w:pStyle w:val="Normal"/>
        <w:jc w:val="center"/>
        <w:rPr>
          <w:rFonts w:ascii="CARLITO" w:hAnsi="CARLITO" w:cs="Arial"/>
          <w:b/>
          <w:b/>
          <w:bCs/>
          <w:i w:val="false"/>
          <w:i w:val="false"/>
          <w:iCs w:val="false"/>
          <w:color w:val="000000"/>
          <w:sz w:val="24"/>
          <w:szCs w:val="24"/>
          <w:lang w:eastAsia="en-US"/>
        </w:rPr>
      </w:pPr>
      <w:r>
        <w:rPr>
          <w:rFonts w:cs="Arial" w:ascii="CARLITO" w:hAnsi="CARLITO"/>
          <w:b/>
          <w:bCs/>
          <w:i w:val="false"/>
          <w:iCs w:val="false"/>
          <w:color w:val="000000"/>
          <w:sz w:val="24"/>
          <w:szCs w:val="24"/>
          <w:lang w:eastAsia="en-US"/>
        </w:rPr>
        <w:t>ANEXO I – DOCUMENTAÇÃO EXIGIDA PARA HABILITAÇÃO</w:t>
      </w:r>
    </w:p>
    <w:p>
      <w:pPr>
        <w:pStyle w:val="Normal"/>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r>
    </w:p>
    <w:p>
      <w:pPr>
        <w:pStyle w:val="PADRO"/>
        <w:keepNext w:val="true"/>
        <w:widowControl/>
        <w:numPr>
          <w:ilvl w:val="0"/>
          <w:numId w:val="3"/>
        </w:numPr>
        <w:shd w:val="clear" w:fill="FFFFFF"/>
        <w:spacing w:before="120" w:after="120"/>
        <w:rPr>
          <w:rFonts w:ascii="CARLITO" w:hAnsi="CARLITO" w:cs="Arial"/>
          <w:b/>
          <w:b/>
          <w:bCs/>
          <w:i w:val="false"/>
          <w:i w:val="false"/>
          <w:iCs w:val="false"/>
          <w:color w:val="000000"/>
          <w:sz w:val="24"/>
          <w:szCs w:val="24"/>
        </w:rPr>
      </w:pPr>
      <w:r>
        <w:rPr>
          <w:rFonts w:cs="Arial" w:ascii="CARLITO" w:hAnsi="CARLITO"/>
          <w:b/>
          <w:bCs/>
          <w:i w:val="false"/>
          <w:iCs w:val="false"/>
          <w:color w:val="000000"/>
          <w:sz w:val="24"/>
          <w:szCs w:val="24"/>
        </w:rPr>
        <w:t xml:space="preserve"> </w:t>
      </w:r>
      <w:r>
        <w:rPr>
          <w:rFonts w:cs="Arial" w:ascii="CARLITO" w:hAnsi="CARLITO"/>
          <w:b/>
          <w:bCs/>
          <w:i w:val="false"/>
          <w:iCs w:val="false"/>
          <w:color w:val="000000"/>
          <w:sz w:val="24"/>
          <w:szCs w:val="24"/>
        </w:rPr>
        <w:t>Regularidade fiscal, social e trabalhista:</w:t>
      </w:r>
    </w:p>
    <w:p>
      <w:pPr>
        <w:pStyle w:val="Normal"/>
        <w:numPr>
          <w:ilvl w:val="1"/>
          <w:numId w:val="3"/>
        </w:numPr>
        <w:tabs>
          <w:tab w:val="clear" w:pos="4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inscrição no Cadastro Nacional de Pessoas Jurídicas ou no Cadastro de Pessoas Físicas, conforme o caso;</w:t>
      </w:r>
    </w:p>
    <w:p>
      <w:pPr>
        <w:pStyle w:val="Normal"/>
        <w:numPr>
          <w:ilvl w:val="1"/>
          <w:numId w:val="3"/>
        </w:numPr>
        <w:tabs>
          <w:tab w:val="clear" w:pos="408"/>
          <w:tab w:val="left" w:pos="1440" w:leader="none"/>
        </w:tabs>
        <w:snapToGrid w:val="false"/>
        <w:spacing w:lineRule="auto" w:line="276" w:before="120" w:after="120"/>
        <w:jc w:val="both"/>
        <w:rPr/>
      </w:pPr>
      <w:r>
        <w:rPr>
          <w:rFonts w:cs="Arial" w:ascii="CARLITO" w:hAnsi="CARLITO"/>
          <w:i w:val="false"/>
          <w:iCs w:val="false"/>
          <w:color w:val="000000"/>
          <w:sz w:val="24"/>
          <w:szCs w:val="24"/>
        </w:rPr>
        <w:t>prova de regularidade fiscal perante a Fazenda Nacional, mediante apresentação de certidão expedida conjuntamente pela Secretaria da Receita Federal do Brasil (RFB) e pela Procuradoria-Geral da Fazenda Nacional (PGFN), referente a todos os créditos tributários federais e à Dívida Ativa da União (DAU) por elas administrados, inclusive aqueles relativos à Seguridade Social, nos termos da Portaria Conjunta nº 1.751, de 02/10/2014, do Secretário da Receita Federal do Brasil e da Procuradora-Geral da Fazenda Nacional.</w:t>
      </w:r>
    </w:p>
    <w:p>
      <w:pPr>
        <w:pStyle w:val="Normal"/>
        <w:numPr>
          <w:ilvl w:val="1"/>
          <w:numId w:val="3"/>
        </w:numPr>
        <w:tabs>
          <w:tab w:val="clear" w:pos="4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regularidade com o Fundo de Garantia do Tempo de Serviço (FGTS);</w:t>
      </w:r>
    </w:p>
    <w:p>
      <w:pPr>
        <w:pStyle w:val="Normal"/>
        <w:numPr>
          <w:ilvl w:val="1"/>
          <w:numId w:val="3"/>
        </w:numPr>
        <w:tabs>
          <w:tab w:val="clear" w:pos="408"/>
          <w:tab w:val="left" w:pos="1440" w:leader="none"/>
        </w:tabs>
        <w:snapToGrid w:val="false"/>
        <w:spacing w:lineRule="auto" w:line="276" w:before="120" w:after="120"/>
        <w:jc w:val="both"/>
        <w:rPr>
          <w:rFonts w:ascii="CARLITO" w:hAnsi="CARLITO" w:cs="Arial"/>
          <w:i w:val="false"/>
          <w:i w:val="false"/>
          <w:iCs w:val="false"/>
          <w:color w:val="000000"/>
          <w:sz w:val="24"/>
          <w:szCs w:val="24"/>
          <w:lang w:eastAsia="en-US"/>
        </w:rPr>
      </w:pPr>
      <w:r>
        <w:rPr>
          <w:rFonts w:cs="Arial" w:ascii="CARLITO" w:hAnsi="CARLITO"/>
          <w:i w:val="false"/>
          <w:iCs w:val="false"/>
          <w:color w:val="000000"/>
          <w:sz w:val="24"/>
          <w:szCs w:val="24"/>
          <w:lang w:eastAsia="en-US"/>
        </w:rPr>
        <w:t>prova de inexistência de débitos inadimplidos perante a Justiça do Trabalho, mediante a apresentação de certidão negativa ou positiva com efeito de negativa, nos termos do Título VII-A da Consolidação das Leis do Trabalho, aprovada pelo Decreto-Lei nº 5.452, de 1º de maio de 1943;</w:t>
      </w:r>
    </w:p>
    <w:p>
      <w:pPr>
        <w:pStyle w:val="Normal"/>
        <w:numPr>
          <w:ilvl w:val="1"/>
          <w:numId w:val="3"/>
        </w:numPr>
        <w:tabs>
          <w:tab w:val="clear" w:pos="408"/>
          <w:tab w:val="left" w:pos="1440" w:leader="none"/>
        </w:tabs>
        <w:snapToGrid w:val="false"/>
        <w:spacing w:lineRule="auto" w:line="276" w:before="120" w:after="120"/>
        <w:jc w:val="both"/>
        <w:rPr/>
      </w:pPr>
      <w:r>
        <w:rPr>
          <w:rFonts w:cs="Arial" w:ascii="CARLITO" w:hAnsi="CARLITO"/>
          <w:bCs/>
          <w:i w:val="false"/>
          <w:iCs w:val="false"/>
          <w:color w:val="000000"/>
          <w:sz w:val="24"/>
          <w:szCs w:val="24"/>
        </w:rPr>
        <w:t xml:space="preserve">prova de </w:t>
      </w:r>
      <w:r>
        <w:rPr>
          <w:rFonts w:cs="Arial" w:ascii="CARLITO" w:hAnsi="CARLITO"/>
          <w:i w:val="false"/>
          <w:iCs w:val="false"/>
          <w:color w:val="000000"/>
          <w:sz w:val="24"/>
          <w:szCs w:val="24"/>
        </w:rPr>
        <w:t>inscrição no cadastro de contribuintes estadual, relativo ao domicílio ou sede do fornecedor, pertinente ao seu ramo de atividade e compatível com o objeto contratual</w:t>
      </w:r>
      <w:r>
        <w:rPr>
          <w:rFonts w:cs="Arial" w:ascii="CARLITO" w:hAnsi="CARLITO"/>
          <w:bCs/>
          <w:i w:val="false"/>
          <w:iCs w:val="false"/>
          <w:color w:val="000000"/>
          <w:sz w:val="24"/>
          <w:szCs w:val="24"/>
        </w:rPr>
        <w:t xml:space="preserve">; </w:t>
      </w:r>
    </w:p>
    <w:p>
      <w:pPr>
        <w:pStyle w:val="Normal"/>
        <w:numPr>
          <w:ilvl w:val="1"/>
          <w:numId w:val="3"/>
        </w:numPr>
        <w:tabs>
          <w:tab w:val="clear" w:pos="4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prova de regularidade com a Fazenda Estadual do domicílio ou sede do fornecedor, relativa à atividade em cujo exercício contrata ou concorre; </w:t>
      </w:r>
    </w:p>
    <w:p>
      <w:pPr>
        <w:pStyle w:val="Normal"/>
        <w:numPr>
          <w:ilvl w:val="1"/>
          <w:numId w:val="3"/>
        </w:numPr>
        <w:tabs>
          <w:tab w:val="clear" w:pos="408"/>
          <w:tab w:val="left" w:pos="1440" w:leader="none"/>
        </w:tabs>
        <w:snapToGrid w:val="false"/>
        <w:spacing w:lineRule="auto" w:line="276" w:before="120" w:after="120"/>
        <w:jc w:val="both"/>
        <w:rPr>
          <w:rFonts w:ascii="CARLITO" w:hAnsi="CARLITO" w:cs="Arial"/>
          <w:i w:val="false"/>
          <w:i w:val="false"/>
          <w:iCs w:val="false"/>
          <w:color w:val="000000"/>
          <w:sz w:val="24"/>
          <w:szCs w:val="24"/>
        </w:rPr>
      </w:pPr>
      <w:r>
        <w:rPr>
          <w:rFonts w:cs="Arial" w:ascii="CARLITO" w:hAnsi="CARLITO"/>
          <w:i w:val="false"/>
          <w:iCs w:val="false"/>
          <w:color w:val="000000"/>
          <w:sz w:val="24"/>
          <w:szCs w:val="24"/>
        </w:rPr>
        <w:t xml:space="preserve">caso o fornecedor seja considerado isento dos tributos estaduais relacionados ao objeto contratual, deverá comprovar tal condição mediante a apresentação de declaração da Fazenda respectiva do seu domicílio ou sede, ou outra equivalente, na forma da lei; </w:t>
      </w:r>
    </w:p>
    <w:p>
      <w:pPr>
        <w:pStyle w:val="PADRO"/>
        <w:keepNext w:val="true"/>
        <w:widowControl/>
        <w:shd w:val="clear" w:fill="FFFFFF"/>
        <w:spacing w:before="120" w:after="120"/>
        <w:ind w:left="2421" w:right="0" w:hanging="0"/>
        <w:rPr/>
      </w:pPr>
      <w:r>
        <w:rPr/>
      </w:r>
    </w:p>
    <w:sectPr>
      <w:footerReference w:type="default" r:id="rId5"/>
      <w:type w:val="nextPage"/>
      <w:pgSz w:w="11906" w:h="16838"/>
      <w:pgMar w:left="1701" w:right="850" w:header="0" w:top="850" w:footer="850" w:bottom="1559" w:gutter="0"/>
      <w:pgNumType w:fmt="decimal"/>
      <w:formProt w:val="false"/>
      <w:textDirection w:val="lrTb"/>
      <w:docGrid w:type="default" w:linePitch="360" w:charSpace="163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Calibri">
    <w:charset w:val="01"/>
    <w:family w:val="roman"/>
    <w:pitch w:val="variable"/>
  </w:font>
  <w:font w:name="Arial">
    <w:charset w:val="01"/>
    <w:family w:val="roman"/>
    <w:pitch w:val="variable"/>
  </w:font>
  <w:font w:name="Calibri Light">
    <w:charset w:val="01"/>
    <w:family w:val="roman"/>
    <w:pitch w:val="variable"/>
  </w:font>
  <w:font w:name="Ecofont_Spranq_eco_Sans">
    <w:charset w:val="01"/>
    <w:family w:val="roman"/>
    <w:pitch w:val="variable"/>
  </w:font>
  <w:font w:name="Segoe UI">
    <w:charset w:val="01"/>
    <w:family w:val="roman"/>
    <w:pitch w:val="variable"/>
  </w:font>
  <w:font w:name="Liberation Sans">
    <w:altName w:val="Arial"/>
    <w:charset w:val="01"/>
    <w:family w:val="roman"/>
    <w:pitch w:val="variable"/>
  </w:font>
  <w:font w:name="CARLITO">
    <w:altName w:val="Calibri"/>
    <w:charset w:val="01"/>
    <w:family w:val="roman"/>
    <w:pitch w:val="variable"/>
  </w:font>
</w:fonts>
</file>

<file path=word/footer1.xml><?xml version="1.0" encoding="utf-8"?>
<w:ft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Rodap"/>
      <w:rPr>
        <w:sz w:val="12"/>
        <w:szCs w:val="12"/>
      </w:rPr>
    </w:pPr>
    <w:r>
      <w:rPr>
        <w:sz w:val="12"/>
        <w:szCs w:val="12"/>
      </w:rPr>
      <w:t>Câmara Nacional de Modelos de Licitações e Contratos – CNMLC/CGU/AGU</w:t>
    </w:r>
  </w:p>
  <w:p>
    <w:pPr>
      <w:pStyle w:val="Rodap"/>
      <w:rPr>
        <w:sz w:val="12"/>
        <w:szCs w:val="12"/>
      </w:rPr>
    </w:pPr>
    <w:r>
      <w:rPr>
        <w:sz w:val="12"/>
        <w:szCs w:val="12"/>
      </w:rPr>
      <w:t>Aviso de Dispensa Eletrônica – Lei nº 14.133/21 e IN SEGES/ME nº 67/2021</w:t>
    </w:r>
  </w:p>
  <w:p>
    <w:pPr>
      <w:pStyle w:val="Rodap"/>
      <w:rPr>
        <w:sz w:val="12"/>
        <w:szCs w:val="12"/>
      </w:rPr>
    </w:pPr>
    <w:r>
      <w:rPr>
        <w:sz w:val="12"/>
        <w:szCs w:val="12"/>
      </w:rPr>
      <w:t>Versão: Agosto/2021</w:t>
    </w:r>
  </w:p>
</w:ftr>
</file>

<file path=word/numbering.xml><?xml version="1.0" encoding="utf-8"?>
<w:numbering xmlns:w="http://schemas.openxmlformats.org/wordprocessingml/2006/main" xmlns:o="urn:schemas-microsoft-com:office:office" xmlns:r="http://schemas.openxmlformats.org/officeDocument/2006/relationships" xmlns:v="urn:schemas-microsoft-com:vml" xmlns:mc="http://schemas.openxmlformats.org/markup-compatibility/2006" xmlns:w14="http://schemas.microsoft.com/office/word/2010/wordml" mc:Ignorable="w14">
  <w:abstractNum w:abstractNumId="1">
    <w:lvl w:ilvl="0">
      <w:start w:val="1"/>
      <w:numFmt w:val="decimal"/>
      <w:lvlText w:val="%1."/>
      <w:lvlJc w:val="left"/>
      <w:pPr>
        <w:tabs>
          <w:tab w:val="num" w:pos="0"/>
        </w:tabs>
        <w:ind w:left="360" w:hanging="360"/>
      </w:pPr>
      <w:rPr>
        <w:sz w:val="24"/>
        <w:b/>
        <w:szCs w:val="24"/>
        <w:rFonts w:ascii="CARLITO" w:hAnsi="CARLITO"/>
      </w:rPr>
    </w:lvl>
    <w:lvl w:ilvl="1">
      <w:start w:val="1"/>
      <w:numFmt w:val="decimal"/>
      <w:lvlText w:val="%1.%2."/>
      <w:lvlJc w:val="left"/>
      <w:pPr>
        <w:tabs>
          <w:tab w:val="num" w:pos="0"/>
        </w:tabs>
        <w:ind w:left="792" w:hanging="432"/>
      </w:pPr>
      <w:rPr>
        <w:sz w:val="24"/>
        <w:i w:val="false"/>
        <w:b/>
        <w:iCs/>
        <w:rFonts w:ascii="CARLITO" w:hAnsi="CARLITO"/>
        <w:color w:val="00000A"/>
      </w:rPr>
    </w:lvl>
    <w:lvl w:ilvl="2">
      <w:start w:val="1"/>
      <w:numFmt w:val="decimal"/>
      <w:lvlText w:val="%1.%2.%3."/>
      <w:lvlJc w:val="left"/>
      <w:pPr>
        <w:tabs>
          <w:tab w:val="num" w:pos="0"/>
        </w:tabs>
        <w:ind w:left="1224" w:hanging="504"/>
      </w:pPr>
      <w:rPr>
        <w:sz w:val="24"/>
        <w:i w:val="false"/>
        <w:b/>
        <w:iCs/>
        <w:rFonts w:ascii="CARLITO" w:hAnsi="CARLITO" w:cs="Arial"/>
        <w:color w:val="00000A"/>
      </w:rPr>
    </w:lvl>
    <w:lvl w:ilvl="3">
      <w:start w:val="1"/>
      <w:numFmt w:val="decimal"/>
      <w:lvlText w:val="%1.%2.%3.%4."/>
      <w:lvlJc w:val="left"/>
      <w:pPr>
        <w:tabs>
          <w:tab w:val="num" w:pos="0"/>
        </w:tabs>
        <w:ind w:left="1728" w:hanging="648"/>
      </w:pPr>
      <w:rPr>
        <w:sz w:val="24"/>
        <w:b/>
        <w:bCs/>
        <w:rFonts w:ascii="CARLITO" w:hAnsi="CARLITO"/>
        <w:color w:val="00000A"/>
      </w:r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2">
    <w:lvl w:ilvl="0">
      <w:start w:val="4"/>
      <w:numFmt w:val="decimal"/>
      <w:lvlText w:val="%1"/>
      <w:lvlJc w:val="left"/>
      <w:pPr>
        <w:tabs>
          <w:tab w:val="num" w:pos="0"/>
        </w:tabs>
        <w:ind w:left="435" w:hanging="435"/>
      </w:pPr>
    </w:lvl>
    <w:lvl w:ilvl="1">
      <w:start w:val="4"/>
      <w:numFmt w:val="decimal"/>
      <w:lvlText w:val="%1.%2"/>
      <w:lvlJc w:val="left"/>
      <w:pPr>
        <w:tabs>
          <w:tab w:val="num" w:pos="0"/>
        </w:tabs>
        <w:ind w:left="1002" w:hanging="435"/>
      </w:pPr>
    </w:lvl>
    <w:lvl w:ilvl="2">
      <w:start w:val="1"/>
      <w:numFmt w:val="decimal"/>
      <w:lvlText w:val="%1.%2.%3"/>
      <w:lvlJc w:val="left"/>
      <w:pPr>
        <w:tabs>
          <w:tab w:val="num" w:pos="0"/>
        </w:tabs>
        <w:ind w:left="1854" w:hanging="720"/>
      </w:p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3">
    <w:lvl w:ilvl="0">
      <w:start w:val="1"/>
      <w:numFmt w:val="decimal"/>
      <w:lvlText w:val="%1"/>
      <w:lvlJc w:val="left"/>
      <w:pPr>
        <w:tabs>
          <w:tab w:val="num" w:pos="0"/>
        </w:tabs>
        <w:ind w:left="360" w:hanging="360"/>
      </w:pPr>
    </w:lvl>
    <w:lvl w:ilvl="1">
      <w:start w:val="1"/>
      <w:numFmt w:val="decimal"/>
      <w:lvlText w:val="%1.%2"/>
      <w:lvlJc w:val="left"/>
      <w:pPr>
        <w:tabs>
          <w:tab w:val="num" w:pos="0"/>
        </w:tabs>
        <w:ind w:left="927" w:hanging="360"/>
      </w:pPr>
      <w:rPr>
        <w:sz w:val="24"/>
        <w:b/>
        <w:rFonts w:ascii="CARLITO" w:hAnsi="CARLITO"/>
      </w:rPr>
    </w:lvl>
    <w:lvl w:ilvl="2">
      <w:start w:val="1"/>
      <w:numFmt w:val="decimal"/>
      <w:lvlText w:val="%1.%2.%3"/>
      <w:lvlJc w:val="left"/>
      <w:pPr>
        <w:tabs>
          <w:tab w:val="num" w:pos="0"/>
        </w:tabs>
        <w:ind w:left="1854" w:hanging="720"/>
      </w:pPr>
      <w:rPr>
        <w:b/>
      </w:rPr>
    </w:lvl>
    <w:lvl w:ilvl="3">
      <w:start w:val="1"/>
      <w:numFmt w:val="decimal"/>
      <w:lvlText w:val="%1.%2.%3.%4"/>
      <w:lvlJc w:val="left"/>
      <w:pPr>
        <w:tabs>
          <w:tab w:val="num" w:pos="0"/>
        </w:tabs>
        <w:ind w:left="2421" w:hanging="720"/>
      </w:pPr>
    </w:lvl>
    <w:lvl w:ilvl="4">
      <w:start w:val="1"/>
      <w:numFmt w:val="decimal"/>
      <w:lvlText w:val="%1.%2.%3.%4.%5"/>
      <w:lvlJc w:val="left"/>
      <w:pPr>
        <w:tabs>
          <w:tab w:val="num" w:pos="0"/>
        </w:tabs>
        <w:ind w:left="3348" w:hanging="1080"/>
      </w:pPr>
    </w:lvl>
    <w:lvl w:ilvl="5">
      <w:start w:val="1"/>
      <w:numFmt w:val="decimal"/>
      <w:lvlText w:val="%1.%2.%3.%4.%5.%6"/>
      <w:lvlJc w:val="left"/>
      <w:pPr>
        <w:tabs>
          <w:tab w:val="num" w:pos="0"/>
        </w:tabs>
        <w:ind w:left="3915" w:hanging="1080"/>
      </w:pPr>
    </w:lvl>
    <w:lvl w:ilvl="6">
      <w:start w:val="1"/>
      <w:numFmt w:val="decimal"/>
      <w:lvlText w:val="%1.%2.%3.%4.%5.%6.%7"/>
      <w:lvlJc w:val="left"/>
      <w:pPr>
        <w:tabs>
          <w:tab w:val="num" w:pos="0"/>
        </w:tabs>
        <w:ind w:left="4842" w:hanging="1440"/>
      </w:pPr>
    </w:lvl>
    <w:lvl w:ilvl="7">
      <w:start w:val="1"/>
      <w:numFmt w:val="decimal"/>
      <w:lvlText w:val="%1.%2.%3.%4.%5.%6.%7.%8"/>
      <w:lvlJc w:val="left"/>
      <w:pPr>
        <w:tabs>
          <w:tab w:val="num" w:pos="0"/>
        </w:tabs>
        <w:ind w:left="5409" w:hanging="1440"/>
      </w:pPr>
    </w:lvl>
    <w:lvl w:ilvl="8">
      <w:start w:val="1"/>
      <w:numFmt w:val="decimal"/>
      <w:lvlText w:val="%1.%2.%3.%4.%5.%6.%7.%8.%9"/>
      <w:lvlJc w:val="left"/>
      <w:pPr>
        <w:tabs>
          <w:tab w:val="num" w:pos="0"/>
        </w:tabs>
        <w:ind w:left="6336" w:hanging="1800"/>
      </w:pPr>
    </w:lvl>
  </w:abstractNum>
  <w:abstractNum w:abstractNumId="4">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decimal"/>
      <w:lvlText w:val="%1.%2.%3."/>
      <w:lvlJc w:val="left"/>
      <w:pPr>
        <w:tabs>
          <w:tab w:val="num" w:pos="0"/>
        </w:tabs>
        <w:ind w:left="1224" w:hanging="504"/>
      </w:pPr>
      <w:rPr>
        <w:i w:val="false"/>
        <w:b w:val="false"/>
        <w:iCs/>
        <w:rFonts w:cs="Arial"/>
        <w:color w:val="00000A"/>
      </w:rPr>
    </w:lvl>
    <w:lvl w:ilvl="3">
      <w:start w:val="1"/>
      <w:numFmt w:val="lowerLetter"/>
      <w:lvlText w:val="%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5">
    <w:lvl w:ilvl="0">
      <w:start w:val="1"/>
      <w:numFmt w:val="decimal"/>
      <w:lvlText w:val="%1."/>
      <w:lvlJc w:val="left"/>
      <w:pPr>
        <w:tabs>
          <w:tab w:val="num" w:pos="0"/>
        </w:tabs>
        <w:ind w:left="360" w:hanging="360"/>
      </w:pPr>
      <w:rPr>
        <w:b/>
      </w:rPr>
    </w:lvl>
    <w:lvl w:ilvl="1">
      <w:start w:val="1"/>
      <w:numFmt w:val="decimal"/>
      <w:lvlText w:val="%1.%2."/>
      <w:lvlJc w:val="left"/>
      <w:pPr>
        <w:tabs>
          <w:tab w:val="num" w:pos="0"/>
        </w:tabs>
        <w:ind w:left="792" w:hanging="432"/>
      </w:pPr>
      <w:rPr>
        <w:i w:val="false"/>
        <w:b w:val="false"/>
        <w:iCs/>
      </w:rPr>
    </w:lvl>
    <w:lvl w:ilvl="2">
      <w:start w:val="1"/>
      <w:numFmt w:val="lowerLetter"/>
      <w:lvlText w:val="%3)"/>
      <w:lvlJc w:val="left"/>
      <w:pPr>
        <w:tabs>
          <w:tab w:val="num" w:pos="0"/>
        </w:tabs>
        <w:ind w:left="1224" w:hanging="504"/>
      </w:pPr>
      <w:rPr>
        <w:sz w:val="24"/>
        <w:i w:val="false"/>
        <w:b w:val="false"/>
        <w:iCs/>
        <w:rFonts w:ascii="CARLITO" w:hAnsi="CARLITO"/>
        <w:color w:val="00000A"/>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6">
    <w:lvl w:ilvl="0">
      <w:start w:val="1"/>
      <w:numFmt w:val="none"/>
      <w:suff w:val="nothing"/>
      <w:lvlText w:val=""/>
      <w:lvlJc w:val="left"/>
      <w:pPr>
        <w:tabs>
          <w:tab w:val="num" w:pos="0"/>
        </w:tabs>
        <w:ind w:left="0" w:hanging="0"/>
      </w:pPr>
    </w:lvl>
    <w:lvl w:ilvl="1">
      <w:start w:val="1"/>
      <w:numFmt w:val="none"/>
      <w:suff w:val="nothing"/>
      <w:lvlText w:val=""/>
      <w:lvlJc w:val="left"/>
      <w:pPr>
        <w:tabs>
          <w:tab w:val="num" w:pos="0"/>
        </w:tabs>
        <w:ind w:left="0" w:hanging="0"/>
      </w:pPr>
    </w:lvl>
    <w:lvl w:ilvl="2">
      <w:start w:val="1"/>
      <w:numFmt w:val="none"/>
      <w:suff w:val="nothing"/>
      <w:lvlText w:val=""/>
      <w:lvlJc w:val="left"/>
      <w:pPr>
        <w:tabs>
          <w:tab w:val="num" w:pos="0"/>
        </w:tabs>
        <w:ind w:left="0" w:hanging="0"/>
      </w:pPr>
    </w:lvl>
    <w:lvl w:ilvl="3">
      <w:start w:val="1"/>
      <w:numFmt w:val="none"/>
      <w:suff w:val="nothing"/>
      <w:lvlText w:val=""/>
      <w:lvlJc w:val="left"/>
      <w:pPr>
        <w:tabs>
          <w:tab w:val="num" w:pos="0"/>
        </w:tabs>
        <w:ind w:left="0" w:hanging="0"/>
      </w:pPr>
    </w:lvl>
    <w:lvl w:ilvl="4">
      <w:start w:val="1"/>
      <w:numFmt w:val="none"/>
      <w:suff w:val="nothing"/>
      <w:lvlText w:val=""/>
      <w:lvlJc w:val="left"/>
      <w:pPr>
        <w:tabs>
          <w:tab w:val="num" w:pos="0"/>
        </w:tabs>
        <w:ind w:left="0" w:hanging="0"/>
      </w:pPr>
    </w:lvl>
    <w:lvl w:ilvl="5">
      <w:start w:val="1"/>
      <w:numFmt w:val="none"/>
      <w:suff w:val="nothing"/>
      <w:lvlText w:val=""/>
      <w:lvlJc w:val="left"/>
      <w:pPr>
        <w:tabs>
          <w:tab w:val="num" w:pos="0"/>
        </w:tabs>
        <w:ind w:left="0" w:hanging="0"/>
      </w:pPr>
    </w:lvl>
    <w:lvl w:ilvl="6">
      <w:start w:val="1"/>
      <w:numFmt w:val="none"/>
      <w:suff w:val="nothing"/>
      <w:lvlText w:val=""/>
      <w:lvlJc w:val="left"/>
      <w:pPr>
        <w:tabs>
          <w:tab w:val="num" w:pos="0"/>
        </w:tabs>
        <w:ind w:left="0" w:hanging="0"/>
      </w:pPr>
    </w:lvl>
    <w:lvl w:ilvl="7">
      <w:start w:val="1"/>
      <w:numFmt w:val="none"/>
      <w:suff w:val="nothing"/>
      <w:lvlText w:val=""/>
      <w:lvlJc w:val="left"/>
      <w:pPr>
        <w:tabs>
          <w:tab w:val="num" w:pos="0"/>
        </w:tabs>
        <w:ind w:left="0" w:hanging="0"/>
      </w:pPr>
    </w:lvl>
    <w:lvl w:ilvl="8">
      <w:start w:val="1"/>
      <w:numFmt w:val="none"/>
      <w:suff w:val="nothing"/>
      <w:lvlText w:val=""/>
      <w:lvlJc w:val="left"/>
      <w:pPr>
        <w:tabs>
          <w:tab w:val="num" w:pos="0"/>
        </w:tabs>
        <w:ind w:left="0" w:hanging="0"/>
      </w:pPr>
    </w:lvl>
  </w:abstractNum>
  <w:num w:numId="1">
    <w:abstractNumId w:val="1"/>
  </w:num>
  <w:num w:numId="2">
    <w:abstractNumId w:val="2"/>
  </w:num>
  <w:num w:numId="3">
    <w:abstractNumId w:val="3"/>
  </w:num>
  <w:num w:numId="4">
    <w:abstractNumId w:val="4"/>
  </w:num>
  <w:num w:numId="5">
    <w:abstractNumId w:val="5"/>
  </w:num>
  <w:num w:numId="6">
    <w:abstractNumId w:val="6"/>
  </w:num>
</w:numbering>
</file>

<file path=word/settings.xml><?xml version="1.0" encoding="utf-8"?>
<w:settings xmlns:w="http://schemas.openxmlformats.org/wordprocessingml/2006/main">
  <w:zoom w:percent="110"/>
  <w:defaultTabStop w:val="408"/>
  <w:autoHyphenation w:val="true"/>
  <w:compat>
    <w:compatSetting w:name="compatibilityMode" w:uri="http://schemas.microsoft.com/office/word" w:val="12"/>
  </w:compat>
  <w:themeFontLang w:val=""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Calibri" w:hAnsi="Calibri" w:eastAsia="Calibri" w:cs="DejaVu Sans"/>
        <w:szCs w:val="22"/>
        <w:lang w:val="pt-BR" w:eastAsia="en-US" w:bidi="ar-SA"/>
      </w:rPr>
    </w:rPrDefault>
    <w:pPrDefault>
      <w:pPr>
        <w:suppressAutoHyphens w:val="true"/>
      </w:pPr>
    </w:pPrDefault>
  </w:docDefaults>
  <w:style w:type="paragraph" w:styleId="Normal">
    <w:name w:val="Normal"/>
    <w:qFormat/>
    <w:pPr>
      <w:widowControl/>
      <w:suppressAutoHyphens w:val="true"/>
      <w:overflowPunct w:val="false"/>
      <w:bidi w:val="0"/>
      <w:spacing w:before="0" w:after="0"/>
      <w:jc w:val="left"/>
    </w:pPr>
    <w:rPr>
      <w:rFonts w:ascii="Arial" w:hAnsi="Arial" w:eastAsia="Times New Roman" w:cs="Tahoma"/>
      <w:color w:val="00000A"/>
      <w:kern w:val="0"/>
      <w:sz w:val="20"/>
      <w:szCs w:val="24"/>
      <w:lang w:val="pt-BR" w:eastAsia="pt-BR" w:bidi="ar-SA"/>
    </w:rPr>
  </w:style>
  <w:style w:type="paragraph" w:styleId="Ttulo1">
    <w:name w:val="Heading 1"/>
    <w:basedOn w:val="Normal"/>
    <w:next w:val="Normal"/>
    <w:qFormat/>
    <w:pPr>
      <w:keepNext w:val="true"/>
      <w:keepLines/>
      <w:spacing w:before="240" w:after="0"/>
      <w:outlineLvl w:val="0"/>
    </w:pPr>
    <w:rPr>
      <w:rFonts w:ascii="Calibri Light" w:hAnsi="Calibri Light" w:eastAsia="Calibri" w:cs="DejaVu Sans"/>
      <w:color w:val="2F5496"/>
      <w:sz w:val="32"/>
      <w:szCs w:val="32"/>
    </w:rPr>
  </w:style>
  <w:style w:type="character" w:styleId="DefaultParagraphFont">
    <w:name w:val="Default Paragraph Font"/>
    <w:qFormat/>
    <w:rPr/>
  </w:style>
  <w:style w:type="character" w:styleId="CitaoChar">
    <w:name w:val="Citação Char"/>
    <w:basedOn w:val="DefaultParagraphFont"/>
    <w:qFormat/>
    <w:rPr>
      <w:rFonts w:ascii="Arial" w:hAnsi="Arial" w:eastAsia="Calibri" w:cs="Tahoma"/>
      <w:i/>
      <w:iCs/>
      <w:color w:val="000000"/>
      <w:sz w:val="20"/>
      <w:szCs w:val="24"/>
      <w:highlight w:val="yellow"/>
    </w:rPr>
  </w:style>
  <w:style w:type="character" w:styleId="Nivel01Char">
    <w:name w:val="Nivel 01 Char"/>
    <w:qFormat/>
    <w:rPr>
      <w:rFonts w:ascii="Arial" w:hAnsi="Arial" w:eastAsia="Calibri" w:cs="Times New Roman"/>
      <w:b/>
      <w:bCs/>
      <w:color w:val="000000"/>
      <w:sz w:val="20"/>
      <w:szCs w:val="20"/>
      <w:lang w:eastAsia="pt-BR"/>
    </w:rPr>
  </w:style>
  <w:style w:type="character" w:styleId="Ttulo1Char">
    <w:name w:val="Título 1 Char"/>
    <w:basedOn w:val="DefaultParagraphFont"/>
    <w:qFormat/>
    <w:rPr>
      <w:rFonts w:ascii="Calibri Light" w:hAnsi="Calibri Light" w:eastAsia="Calibri" w:cs="DejaVu Sans"/>
      <w:color w:val="2F5496"/>
      <w:sz w:val="32"/>
      <w:szCs w:val="32"/>
      <w:lang w:eastAsia="pt-BR"/>
    </w:rPr>
  </w:style>
  <w:style w:type="character" w:styleId="Citao2Char">
    <w:name w:val="citação 2 Char"/>
    <w:basedOn w:val="CitaoChar"/>
    <w:qFormat/>
    <w:rPr>
      <w:rFonts w:ascii="Arial" w:hAnsi="Arial" w:eastAsia="Calibri" w:cs="Tahoma"/>
      <w:i/>
      <w:iCs/>
      <w:color w:val="000000"/>
      <w:sz w:val="20"/>
      <w:szCs w:val="20"/>
      <w:highlight w:val="yellow"/>
    </w:rPr>
  </w:style>
  <w:style w:type="character" w:styleId="QuoteChar">
    <w:name w:val="Quote Char"/>
    <w:basedOn w:val="DefaultParagraphFont"/>
    <w:qFormat/>
    <w:rPr>
      <w:rFonts w:ascii="Ecofont_Spranq_eco_Sans" w:hAnsi="Ecofont_Spranq_eco_Sans" w:eastAsia="Calibri" w:cs="Tahoma"/>
      <w:i/>
      <w:iCs/>
      <w:color w:val="000000"/>
      <w:highlight w:val="yellow"/>
    </w:rPr>
  </w:style>
  <w:style w:type="character" w:styleId="Annotationreference">
    <w:name w:val="annotation reference"/>
    <w:basedOn w:val="DefaultParagraphFont"/>
    <w:qFormat/>
    <w:rPr>
      <w:sz w:val="16"/>
      <w:szCs w:val="16"/>
    </w:rPr>
  </w:style>
  <w:style w:type="character" w:styleId="TextodecomentrioChar">
    <w:name w:val="Texto de comentário Char"/>
    <w:basedOn w:val="DefaultParagraphFont"/>
    <w:qFormat/>
    <w:rPr>
      <w:rFonts w:ascii="Arial" w:hAnsi="Arial" w:eastAsia="Times New Roman" w:cs="Tahoma"/>
      <w:sz w:val="20"/>
      <w:szCs w:val="20"/>
      <w:lang w:eastAsia="pt-BR"/>
    </w:rPr>
  </w:style>
  <w:style w:type="character" w:styleId="AssuntodocomentrioChar">
    <w:name w:val="Assunto do comentário Char"/>
    <w:basedOn w:val="TextodecomentrioChar"/>
    <w:qFormat/>
    <w:rPr>
      <w:rFonts w:ascii="Arial" w:hAnsi="Arial" w:eastAsia="Times New Roman" w:cs="Tahoma"/>
      <w:b/>
      <w:bCs/>
      <w:sz w:val="20"/>
      <w:szCs w:val="20"/>
      <w:lang w:eastAsia="pt-BR"/>
    </w:rPr>
  </w:style>
  <w:style w:type="character" w:styleId="LinkdaInternet">
    <w:name w:val="Link da Internet"/>
    <w:rPr>
      <w:color w:val="000080"/>
      <w:u w:val="single"/>
    </w:rPr>
  </w:style>
  <w:style w:type="character" w:styleId="Nivel4Char">
    <w:name w:val="Nivel 4 Char"/>
    <w:basedOn w:val="DefaultParagraphFont"/>
    <w:qFormat/>
    <w:rPr>
      <w:rFonts w:ascii="Ecofont_Spranq_eco_Sans" w:hAnsi="Ecofont_Spranq_eco_Sans" w:eastAsia="Arial Unicode MS" w:cs="Arial"/>
      <w:sz w:val="20"/>
      <w:szCs w:val="20"/>
      <w:lang w:eastAsia="pt-BR"/>
    </w:rPr>
  </w:style>
  <w:style w:type="character" w:styleId="TextodebaloChar">
    <w:name w:val="Texto de balão Char"/>
    <w:basedOn w:val="DefaultParagraphFont"/>
    <w:qFormat/>
    <w:rPr>
      <w:rFonts w:ascii="Segoe UI" w:hAnsi="Segoe UI" w:eastAsia="Times New Roman" w:cs="Segoe UI"/>
      <w:sz w:val="18"/>
      <w:szCs w:val="18"/>
      <w:lang w:eastAsia="pt-BR"/>
    </w:rPr>
  </w:style>
  <w:style w:type="character" w:styleId="CabealhoChar">
    <w:name w:val="Cabeçalho Char"/>
    <w:basedOn w:val="DefaultParagraphFont"/>
    <w:qFormat/>
    <w:rPr>
      <w:rFonts w:ascii="Arial" w:hAnsi="Arial" w:eastAsia="Times New Roman" w:cs="Tahoma"/>
      <w:sz w:val="20"/>
      <w:szCs w:val="24"/>
      <w:lang w:eastAsia="pt-BR"/>
    </w:rPr>
  </w:style>
  <w:style w:type="character" w:styleId="RodapChar">
    <w:name w:val="Rodapé Char"/>
    <w:basedOn w:val="DefaultParagraphFont"/>
    <w:qFormat/>
    <w:rPr>
      <w:rFonts w:ascii="Arial" w:hAnsi="Arial" w:eastAsia="Times New Roman" w:cs="Tahoma"/>
      <w:sz w:val="20"/>
      <w:szCs w:val="24"/>
      <w:lang w:eastAsia="pt-BR"/>
    </w:rPr>
  </w:style>
  <w:style w:type="paragraph" w:styleId="Ttulo">
    <w:name w:val="Título"/>
    <w:basedOn w:val="Normal"/>
    <w:next w:val="Corpodotexto"/>
    <w:qFormat/>
    <w:pPr>
      <w:keepNext w:val="true"/>
      <w:spacing w:before="240" w:after="120"/>
    </w:pPr>
    <w:rPr>
      <w:rFonts w:ascii="Liberation Sans" w:hAnsi="Liberation Sans" w:eastAsia="Noto Sans CJK SC" w:cs="Lohit Devanagari"/>
      <w:sz w:val="28"/>
      <w:szCs w:val="28"/>
    </w:rPr>
  </w:style>
  <w:style w:type="paragraph" w:styleId="Corpodotexto">
    <w:name w:val="Body Text"/>
    <w:basedOn w:val="Normal"/>
    <w:pPr>
      <w:spacing w:lineRule="auto" w:line="276" w:before="0" w:after="140"/>
    </w:pPr>
    <w:rPr/>
  </w:style>
  <w:style w:type="paragraph" w:styleId="Lista">
    <w:name w:val="List"/>
    <w:basedOn w:val="Corpodotexto"/>
    <w:pPr/>
    <w:rPr>
      <w:rFonts w:cs="Lohit Devanagari"/>
    </w:rPr>
  </w:style>
  <w:style w:type="paragraph" w:styleId="Legenda">
    <w:name w:val="Caption"/>
    <w:basedOn w:val="Normal"/>
    <w:qFormat/>
    <w:pPr>
      <w:suppressLineNumbers/>
      <w:spacing w:before="120" w:after="120"/>
    </w:pPr>
    <w:rPr>
      <w:rFonts w:cs="Lohit Devanagari"/>
      <w:i/>
      <w:iCs/>
      <w:sz w:val="24"/>
      <w:szCs w:val="24"/>
    </w:rPr>
  </w:style>
  <w:style w:type="paragraph" w:styleId="Ndice">
    <w:name w:val="Índice"/>
    <w:basedOn w:val="Normal"/>
    <w:qFormat/>
    <w:pPr>
      <w:suppressLineNumbers/>
    </w:pPr>
    <w:rPr>
      <w:rFonts w:cs="Lohit Devanagari"/>
    </w:rPr>
  </w:style>
  <w:style w:type="paragraph" w:styleId="Ttulododocumento">
    <w:name w:val="Title"/>
    <w:basedOn w:val="Normal"/>
    <w:qFormat/>
    <w:pPr>
      <w:keepNext w:val="true"/>
      <w:spacing w:before="240" w:after="120"/>
    </w:pPr>
    <w:rPr>
      <w:rFonts w:ascii="Liberation Sans" w:hAnsi="Liberation Sans" w:eastAsia="Noto Sans CJK SC" w:cs="Lohit Devanagari"/>
      <w:sz w:val="28"/>
      <w:szCs w:val="28"/>
    </w:rPr>
  </w:style>
  <w:style w:type="paragraph" w:styleId="Caption">
    <w:name w:val="caption"/>
    <w:basedOn w:val="Normal"/>
    <w:qFormat/>
    <w:pPr>
      <w:suppressLineNumbers/>
      <w:spacing w:before="120" w:after="120"/>
    </w:pPr>
    <w:rPr>
      <w:rFonts w:cs="Lohit Devanagari"/>
      <w:i/>
      <w:iCs/>
      <w:sz w:val="24"/>
    </w:rPr>
  </w:style>
  <w:style w:type="paragraph" w:styleId="Quote">
    <w:name w:val="Quote"/>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eastAsia="Calibri"/>
      <w:i/>
      <w:iCs/>
      <w:color w:val="000000"/>
      <w:lang w:eastAsia="en-US"/>
    </w:rPr>
  </w:style>
  <w:style w:type="paragraph" w:styleId="Nivel01">
    <w:name w:val="Nivel 01"/>
    <w:basedOn w:val="Ttulo1"/>
    <w:next w:val="Normal"/>
    <w:qFormat/>
    <w:pPr>
      <w:spacing w:lineRule="auto" w:line="276" w:before="480" w:after="120"/>
      <w:ind w:left="0" w:right="-15" w:hanging="0"/>
      <w:jc w:val="both"/>
    </w:pPr>
    <w:rPr>
      <w:rFonts w:ascii="Arial" w:hAnsi="Arial" w:cs="Times New Roman"/>
      <w:b/>
      <w:bCs/>
      <w:color w:val="000000"/>
      <w:sz w:val="20"/>
      <w:szCs w:val="20"/>
    </w:rPr>
  </w:style>
  <w:style w:type="paragraph" w:styleId="PADRO">
    <w:name w:val="PADRÃO"/>
    <w:qFormat/>
    <w:pPr>
      <w:keepNext w:val="true"/>
      <w:widowControl w:val="false"/>
      <w:shd w:val="clear" w:fill="FFFFFF"/>
      <w:suppressAutoHyphens w:val="true"/>
      <w:overflowPunct w:val="false"/>
      <w:bidi w:val="0"/>
      <w:spacing w:lineRule="auto" w:line="276" w:before="119" w:after="119"/>
      <w:ind w:left="0" w:right="0" w:firstLine="567"/>
      <w:jc w:val="both"/>
      <w:textAlignment w:val="baseline"/>
    </w:pPr>
    <w:rPr>
      <w:rFonts w:ascii="Ecofont_Spranq_eco_Sans" w:hAnsi="Ecofont_Spranq_eco_Sans" w:eastAsia="WenQuanYi Micro Hei" w:cs="Lohit Hindi"/>
      <w:color w:val="00000A"/>
      <w:kern w:val="0"/>
      <w:sz w:val="20"/>
      <w:szCs w:val="24"/>
      <w:lang w:val="pt-BR" w:eastAsia="zh-CN" w:bidi="hi-IN"/>
    </w:rPr>
  </w:style>
  <w:style w:type="paragraph" w:styleId="ListParagraph">
    <w:name w:val="List Paragraph"/>
    <w:basedOn w:val="Normal"/>
    <w:qFormat/>
    <w:pPr>
      <w:spacing w:before="0" w:after="0"/>
      <w:ind w:left="720" w:right="0" w:hanging="0"/>
      <w:contextualSpacing/>
    </w:pPr>
    <w:rPr/>
  </w:style>
  <w:style w:type="paragraph" w:styleId="Citao2">
    <w:name w:val="citação 2"/>
    <w:basedOn w:val="Quote"/>
    <w:qFormat/>
    <w:pPr>
      <w:shd w:val="clear" w:fill="FFFFCC"/>
    </w:pPr>
    <w:rPr>
      <w:szCs w:val="20"/>
    </w:rPr>
  </w:style>
  <w:style w:type="paragraph" w:styleId="Citao1">
    <w:name w:val="Citação1"/>
    <w:basedOn w:val="Normal"/>
    <w:next w:val="Normal"/>
    <w:qFormat/>
    <w:pPr>
      <w:pBdr>
        <w:top w:val="single" w:sz="4" w:space="1" w:color="1F497D"/>
        <w:left w:val="single" w:sz="4" w:space="4" w:color="1F497D"/>
        <w:bottom w:val="single" w:sz="4" w:space="1" w:color="1F497D"/>
        <w:right w:val="single" w:sz="4" w:space="4" w:color="1F497D"/>
      </w:pBdr>
      <w:shd w:val="clear" w:fill="FFFFCC"/>
      <w:spacing w:before="120" w:after="0"/>
      <w:jc w:val="both"/>
    </w:pPr>
    <w:rPr>
      <w:rFonts w:ascii="Ecofont_Spranq_eco_Sans" w:hAnsi="Ecofont_Spranq_eco_Sans" w:eastAsia="Calibri"/>
      <w:i/>
      <w:iCs/>
      <w:color w:val="000000"/>
      <w:sz w:val="22"/>
      <w:szCs w:val="22"/>
      <w:lang w:eastAsia="en-US"/>
    </w:rPr>
  </w:style>
  <w:style w:type="paragraph" w:styleId="Annotationtext">
    <w:name w:val="annotation text"/>
    <w:basedOn w:val="Normal"/>
    <w:qFormat/>
    <w:pPr/>
    <w:rPr>
      <w:szCs w:val="20"/>
    </w:rPr>
  </w:style>
  <w:style w:type="paragraph" w:styleId="Annotationsubject">
    <w:name w:val="annotation subject"/>
    <w:basedOn w:val="Annotationtext"/>
    <w:qFormat/>
    <w:pPr/>
    <w:rPr>
      <w:b/>
      <w:bCs/>
    </w:rPr>
  </w:style>
  <w:style w:type="paragraph" w:styleId="Nivel1">
    <w:name w:val="Nivel1"/>
    <w:basedOn w:val="Ttulo1"/>
    <w:qFormat/>
    <w:pPr>
      <w:spacing w:lineRule="auto" w:line="276" w:before="480" w:after="0"/>
      <w:ind w:left="644" w:right="0" w:hanging="360"/>
      <w:jc w:val="both"/>
    </w:pPr>
    <w:rPr>
      <w:rFonts w:ascii="Arial" w:hAnsi="Arial" w:cs="Times New Roman"/>
      <w:b/>
      <w:color w:val="000000"/>
      <w:sz w:val="20"/>
      <w:szCs w:val="20"/>
    </w:rPr>
  </w:style>
  <w:style w:type="paragraph" w:styleId="Nivel2">
    <w:name w:val="Nivel 2"/>
    <w:qFormat/>
    <w:pPr>
      <w:widowControl/>
      <w:suppressAutoHyphens w:val="true"/>
      <w:overflowPunct w:val="false"/>
      <w:bidi w:val="0"/>
      <w:spacing w:lineRule="auto" w:line="276" w:before="120" w:after="120"/>
      <w:jc w:val="both"/>
    </w:pPr>
    <w:rPr>
      <w:rFonts w:ascii="Ecofont_Spranq_eco_Sans" w:hAnsi="Ecofont_Spranq_eco_Sans" w:eastAsia="Arial Unicode MS" w:cs="Times New Roman"/>
      <w:color w:val="00000A"/>
      <w:kern w:val="0"/>
      <w:sz w:val="20"/>
      <w:szCs w:val="20"/>
      <w:lang w:val="pt-BR" w:eastAsia="pt-BR" w:bidi="ar-SA"/>
    </w:rPr>
  </w:style>
  <w:style w:type="paragraph" w:styleId="Nivel11">
    <w:name w:val="Nivel 1"/>
    <w:basedOn w:val="Nivel2"/>
    <w:qFormat/>
    <w:pPr/>
    <w:rPr>
      <w:rFonts w:cs="Arial"/>
      <w:b/>
    </w:rPr>
  </w:style>
  <w:style w:type="paragraph" w:styleId="Nivel3">
    <w:name w:val="Nivel 3"/>
    <w:basedOn w:val="Nivel2"/>
    <w:qFormat/>
    <w:pPr/>
    <w:rPr>
      <w:rFonts w:cs="Arial"/>
      <w:color w:val="000000"/>
    </w:rPr>
  </w:style>
  <w:style w:type="paragraph" w:styleId="Nivel4">
    <w:name w:val="Nivel 4"/>
    <w:basedOn w:val="Nivel3"/>
    <w:qFormat/>
    <w:pPr/>
    <w:rPr>
      <w:color w:val="00000A"/>
    </w:rPr>
  </w:style>
  <w:style w:type="paragraph" w:styleId="Nivel5">
    <w:name w:val="Nivel 5"/>
    <w:basedOn w:val="Nivel4"/>
    <w:qFormat/>
    <w:pPr>
      <w:tabs>
        <w:tab w:val="clear" w:pos="408"/>
        <w:tab w:val="left" w:pos="360" w:leader="none"/>
      </w:tabs>
    </w:pPr>
    <w:rPr/>
  </w:style>
  <w:style w:type="paragraph" w:styleId="BalloonText">
    <w:name w:val="Balloon Text"/>
    <w:basedOn w:val="Normal"/>
    <w:qFormat/>
    <w:pPr/>
    <w:rPr>
      <w:rFonts w:ascii="Segoe UI" w:hAnsi="Segoe UI" w:cs="Segoe UI"/>
      <w:sz w:val="18"/>
      <w:szCs w:val="18"/>
    </w:rPr>
  </w:style>
  <w:style w:type="paragraph" w:styleId="CabealhoeRodap">
    <w:name w:val="Cabeçalho e Rodapé"/>
    <w:basedOn w:val="Normal"/>
    <w:qFormat/>
    <w:pPr/>
    <w:rPr/>
  </w:style>
  <w:style w:type="paragraph" w:styleId="Cabealho">
    <w:name w:val="Header"/>
    <w:basedOn w:val="Normal"/>
    <w:pPr>
      <w:tabs>
        <w:tab w:val="clear" w:pos="408"/>
        <w:tab w:val="center" w:pos="4252" w:leader="none"/>
        <w:tab w:val="right" w:pos="8504" w:leader="none"/>
      </w:tabs>
    </w:pPr>
    <w:rPr/>
  </w:style>
  <w:style w:type="paragraph" w:styleId="Rodap">
    <w:name w:val="Footer"/>
    <w:basedOn w:val="Normal"/>
    <w:pPr>
      <w:tabs>
        <w:tab w:val="clear" w:pos="408"/>
        <w:tab w:val="center" w:pos="4252" w:leader="none"/>
        <w:tab w:val="right" w:pos="8504" w:leader="none"/>
      </w:tabs>
    </w:pPr>
    <w:rPr/>
  </w:style>
  <w:style w:type="paragraph" w:styleId="Contedodatabela">
    <w:name w:val="Conteúdo da tabela"/>
    <w:basedOn w:val="Normal"/>
    <w:qFormat/>
    <w:pPr/>
    <w:rPr/>
  </w:style>
  <w:style w:type="paragraph" w:styleId="Ttulodetabela">
    <w:name w:val="Título de tabela"/>
    <w:basedOn w:val="Contedodatabela"/>
    <w:qFormat/>
    <w:pPr/>
    <w:rPr/>
  </w:style>
  <w:style w:type="numbering" w:styleId="NoList">
    <w:name w:val="No List"/>
    <w:qFormat/>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planalto.gov.br/ccivil_03/LEIS/L6404consol.htm" TargetMode="External"/><Relationship Id="rId3" Type="http://schemas.openxmlformats.org/officeDocument/2006/relationships/hyperlink" Target="http://www.portaldatransparencia.gov.br/ceis" TargetMode="External"/><Relationship Id="rId4" Type="http://schemas.openxmlformats.org/officeDocument/2006/relationships/hyperlink" Target="http://www.cnj.jus.br/improbidade_adm/consultar_requerido.php" TargetMode="External"/><Relationship Id="rId5" Type="http://schemas.openxmlformats.org/officeDocument/2006/relationships/footer" Target="footer1.xml"/><Relationship Id="rId6" Type="http://schemas.openxmlformats.org/officeDocument/2006/relationships/numbering" Target="numbering.xml"/><Relationship Id="rId7" Type="http://schemas.openxmlformats.org/officeDocument/2006/relationships/fontTable" Target="fontTable.xml"/><Relationship Id="rId8"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Normal</Template>
  <TotalTime>1064</TotalTime>
  <Application>LibreOffice/7.0.6.2$Linux_X86_64 LibreOffice_project/144abb84a525d8e30c9dbbefa69cbbf2d8d4ae3b</Application>
  <AppVersion>15.0000</AppVersion>
  <Pages>13</Pages>
  <Words>4691</Words>
  <Characters>26914</Characters>
  <CharactersWithSpaces>31307</CharactersWithSpaces>
  <Paragraphs>204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2022-05-04T22:03:00Z</dcterms:created>
  <dc:creator>Hugo Sales</dc:creator>
  <dc:description/>
  <dc:language>pt-BR</dc:language>
  <cp:lastModifiedBy/>
  <cp:lastPrinted>2022-09-28T09:39:44Z</cp:lastPrinted>
  <dcterms:modified xsi:type="dcterms:W3CDTF">2022-10-21T14:40:42Z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HyperlinksChanged">
    <vt:bool>0</vt:bool>
  </property>
  <property fmtid="{D5CDD505-2E9C-101B-9397-08002B2CF9AE}" pid="3" name="LinksUpToDate">
    <vt:bool>0</vt:bool>
  </property>
  <property fmtid="{D5CDD505-2E9C-101B-9397-08002B2CF9AE}" pid="4" name="ScaleCrop">
    <vt:bool>0</vt:bool>
  </property>
  <property fmtid="{D5CDD505-2E9C-101B-9397-08002B2CF9AE}" pid="5" name="ShareDoc">
    <vt:bool>0</vt:bool>
  </property>
</Properties>
</file>