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center"/>
        <w:rPr/>
      </w:pPr>
      <w:r>
        <w:rPr/>
        <w:drawing>
          <wp:inline distT="0" distB="0" distL="0" distR="0">
            <wp:extent cx="739140" cy="80772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="Arial" w:hAnsi="Arial"/>
          <w:color w:val="000000"/>
          <w:sz w:val="20"/>
          <w:szCs w:val="20"/>
        </w:rPr>
        <w:br/>
      </w:r>
      <w:r>
        <w:rPr>
          <w:rFonts w:cs="Arial" w:ascii="Arial" w:hAnsi="Arial"/>
          <w:b/>
          <w:bCs/>
          <w:color w:val="000000"/>
          <w:sz w:val="20"/>
          <w:szCs w:val="20"/>
        </w:rPr>
        <w:t>MODELO DE TERMO DE REFERÊNCIA – LEI 14.133/21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b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  <w:t>COMPRAS – CONTRATAÇÃO DIRETA</w:t>
      </w:r>
    </w:p>
    <w:p>
      <w:pPr>
        <w:pStyle w:val="Normal"/>
        <w:spacing w:lineRule="auto" w:line="276" w:before="0" w:after="0"/>
        <w:jc w:val="center"/>
        <w:rPr/>
      </w:pPr>
      <w:bookmarkStart w:id="0" w:name="__DdeLink__2187_1356468572"/>
      <w:r>
        <w:rPr>
          <w:rFonts w:cs="Arial" w:ascii="Arial" w:hAnsi="Arial"/>
          <w:b/>
          <w:bCs/>
          <w:iCs/>
          <w:color w:val="000000"/>
          <w:sz w:val="20"/>
          <w:szCs w:val="20"/>
        </w:rPr>
        <w:t xml:space="preserve">Processo Administrativo n. </w:t>
      </w:r>
      <w:bookmarkEnd w:id="0"/>
      <w:r>
        <w:rPr>
          <w:rStyle w:val="Nfaseforte"/>
          <w:rFonts w:cs="Arial" w:ascii="Arial" w:hAnsi="Arial"/>
          <w:i/>
          <w:color w:val="000000"/>
          <w:sz w:val="20"/>
          <w:szCs w:val="20"/>
        </w:rPr>
        <w:t xml:space="preserve">63077.001947/2022-88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Nfaseforte"/>
          <w:rFonts w:cs="Arial" w:ascii="Arial" w:hAnsi="Arial"/>
          <w:i/>
          <w:color w:val="000000"/>
          <w:sz w:val="20"/>
          <w:szCs w:val="20"/>
        </w:rPr>
        <w:t>ANEXO II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b/>
          <w:b/>
          <w:bCs/>
          <w:i/>
          <w:i/>
          <w:color w:val="FF0000"/>
          <w:sz w:val="20"/>
          <w:szCs w:val="20"/>
        </w:rPr>
      </w:pPr>
      <w:r>
        <w:rPr>
          <w:rFonts w:cs="Arial" w:ascii="Arial" w:hAnsi="Arial"/>
          <w:b/>
          <w:bCs/>
          <w:i/>
          <w:color w:val="FF0000"/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bCs/>
          <w:sz w:val="20"/>
          <w:szCs w:val="20"/>
        </w:rPr>
        <w:t>DAS CONDIÇÕES GERAIS DA CONTRATAÇÃO (art. 6º, XXIII, “a” e “i”</w:t>
      </w:r>
      <w:r>
        <w:rPr>
          <w:sz w:val="20"/>
          <w:szCs w:val="20"/>
        </w:rPr>
        <w:t xml:space="preserve"> da Lei n. 14.133/2021).</w:t>
      </w:r>
    </w:p>
    <w:p>
      <w:pPr>
        <w:pStyle w:val="ListParagraph"/>
        <w:spacing w:lineRule="auto" w:line="276" w:before="0" w:after="0"/>
        <w:ind w:left="716" w:hanging="0"/>
        <w:jc w:val="both"/>
        <w:rPr>
          <w:rFonts w:ascii="Arial" w:hAnsi="Arial" w:cs="Arial"/>
          <w:b/>
          <w:b/>
          <w:iCs/>
          <w:sz w:val="20"/>
          <w:szCs w:val="20"/>
        </w:rPr>
      </w:pPr>
      <w:r>
        <w:rPr>
          <w:rFonts w:cs="Arial" w:ascii="Arial" w:hAnsi="Arial"/>
          <w:b/>
          <w:iCs/>
          <w:sz w:val="20"/>
          <w:szCs w:val="20"/>
        </w:rPr>
      </w:r>
    </w:p>
    <w:p>
      <w:pPr>
        <w:pStyle w:val="Normal"/>
        <w:numPr>
          <w:ilvl w:val="1"/>
          <w:numId w:val="1"/>
        </w:numPr>
        <w:spacing w:lineRule="auto" w:line="276" w:before="119" w:after="119"/>
        <w:ind w:left="0" w:right="0" w:firstLine="720"/>
        <w:contextualSpacing/>
        <w:jc w:val="both"/>
        <w:rPr/>
      </w:pPr>
      <w:bookmarkStart w:id="1" w:name="__DdeLink__512_1388818825"/>
      <w:r>
        <w:rPr>
          <w:rFonts w:cs="Times New Roman"/>
          <w:i w:val="false"/>
          <w:iCs w:val="false"/>
          <w:color w:val="000000"/>
          <w:sz w:val="20"/>
          <w:szCs w:val="20"/>
          <w:lang w:eastAsia="zxx" w:bidi="zxx"/>
        </w:rPr>
        <w:t xml:space="preserve">Contratação de empresa especializada no fornecimento de madeira do tipo Eucalipto tratado em autoclave, com garantia de pelo menos 10 anos contra cupins, brocas e apodrecimento </w:t>
      </w:r>
      <w:r>
        <w:rPr>
          <w:rFonts w:cs="Arial"/>
          <w:i w:val="false"/>
          <w:iCs w:val="false"/>
          <w:color w:val="000000"/>
          <w:sz w:val="20"/>
          <w:szCs w:val="20"/>
          <w:lang w:eastAsia="zxx" w:bidi="zxx"/>
        </w:rPr>
        <w:t>conforme condições, quantidades, exigências e estimativas estabelecidas no Aviso de Dispensa Eletrônica n° 04/2022, deste Centro de Instrução</w:t>
      </w:r>
      <w:bookmarkEnd w:id="1"/>
      <w:r>
        <w:rPr>
          <w:rFonts w:cs="Arial"/>
          <w:i w:val="false"/>
          <w:iCs w:val="false"/>
          <w:color w:val="000000"/>
          <w:sz w:val="20"/>
          <w:szCs w:val="20"/>
          <w:lang w:eastAsia="zxx" w:bidi="zxx"/>
        </w:rPr>
        <w:t>.</w:t>
      </w:r>
    </w:p>
    <w:p>
      <w:pPr>
        <w:pStyle w:val="Normal"/>
        <w:spacing w:lineRule="auto" w:line="276" w:before="119" w:after="119"/>
        <w:ind w:left="0" w:right="0" w:hanging="0"/>
        <w:contextualSpacing/>
        <w:jc w:val="both"/>
        <w:rPr>
          <w:rFonts w:cs="Arial"/>
          <w:i w:val="false"/>
          <w:i w:val="false"/>
          <w:iCs w:val="false"/>
          <w:color w:val="000000"/>
          <w:sz w:val="20"/>
          <w:szCs w:val="20"/>
          <w:lang w:eastAsia="zxx" w:bidi="zxx"/>
        </w:rPr>
      </w:pPr>
      <w:r>
        <w:rPr>
          <w:rFonts w:cs="Arial"/>
          <w:i w:val="false"/>
          <w:iCs w:val="false"/>
          <w:color w:val="000000"/>
          <w:sz w:val="20"/>
          <w:szCs w:val="20"/>
          <w:lang w:eastAsia="zxx" w:bidi="zxx"/>
        </w:rPr>
      </w:r>
    </w:p>
    <w:p>
      <w:pPr>
        <w:pStyle w:val="Normal"/>
        <w:spacing w:lineRule="auto" w:line="276" w:before="119" w:after="119"/>
        <w:ind w:left="0" w:right="0" w:hanging="0"/>
        <w:contextualSpacing/>
        <w:jc w:val="both"/>
        <w:rPr>
          <w:rFonts w:cs="Arial"/>
          <w:i w:val="false"/>
          <w:i w:val="false"/>
          <w:iCs w:val="false"/>
          <w:color w:val="000000"/>
          <w:sz w:val="20"/>
          <w:szCs w:val="20"/>
          <w:lang w:eastAsia="zxx" w:bidi="zxx"/>
        </w:rPr>
      </w:pPr>
      <w:r>
        <w:rPr>
          <w:rFonts w:cs="Arial"/>
          <w:i w:val="false"/>
          <w:iCs w:val="false"/>
          <w:color w:val="000000"/>
          <w:sz w:val="20"/>
          <w:szCs w:val="20"/>
          <w:lang w:eastAsia="zxx" w:bidi="zxx"/>
        </w:rPr>
      </w:r>
    </w:p>
    <w:tbl>
      <w:tblPr>
        <w:tblW w:w="9863" w:type="dxa"/>
        <w:jc w:val="left"/>
        <w:tblInd w:w="-17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9"/>
        <w:gridCol w:w="2351"/>
        <w:gridCol w:w="1080"/>
        <w:gridCol w:w="1472"/>
        <w:gridCol w:w="1587"/>
        <w:gridCol w:w="1193"/>
        <w:gridCol w:w="1470"/>
      </w:tblGrid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CATMAT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VALOR TOTAL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EUCALIPTO TRATADO 25CM DIÂMETRO COM 6,00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R$ 487,22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R$ 6.333,8</w:t>
            </w: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25CM DIÂMETRO COM 8,00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R$ 835,03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R$ 8.350,3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25CM DIÂMETRO COM 7,00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R$ 723,66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R$ 2.894,64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25CM DIÂMETRO COM 4,00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R$ 248,87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R$ 2.488,</w:t>
            </w:r>
            <w:r>
              <w:rPr>
                <w:rFonts w:cs="Arial"/>
                <w:color w:val="000000"/>
                <w:sz w:val="20"/>
                <w:szCs w:val="20"/>
              </w:rPr>
              <w:t>70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5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25CM DIÂMETRO COM 3,00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R$ 162,53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R$ 975,</w:t>
            </w:r>
            <w:r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6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25CM DIÂMETRO COM 5,00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R$ 320,23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R$ 4.803,</w:t>
            </w:r>
            <w:r>
              <w:rPr>
                <w:rFonts w:cs="Arial"/>
                <w:color w:val="000000"/>
                <w:sz w:val="20"/>
                <w:szCs w:val="20"/>
              </w:rPr>
              <w:t>45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7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22CM DIÂMETRO COM 3,00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R$ 142,87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R$ 714,3</w:t>
            </w: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8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22CM DIÂMETRO COM 5,00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R$ 298,57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R$ 2.985,</w:t>
            </w:r>
            <w:r>
              <w:rPr>
                <w:rFonts w:cs="Arial"/>
                <w:color w:val="000000"/>
                <w:sz w:val="20"/>
                <w:szCs w:val="20"/>
              </w:rPr>
              <w:t>70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9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22CM DIÂMETRO COM 6,00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R$ 368,15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R$ 7.363,00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10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20CM DIÂMETRO COM 6,00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R$ 337,15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R$ 2.360,05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11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20CM DIÂMETRO COM 3,00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R$ 122,53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R$ 2.450,6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12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20CM DIÂMETRO COM 4,00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R$ 213,53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R$ 2.135,33</w:t>
            </w:r>
          </w:p>
        </w:tc>
      </w:tr>
      <w:tr>
        <w:trPr/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b/>
                <w:bCs/>
              </w:rPr>
              <w:t>13</w:t>
            </w:r>
          </w:p>
        </w:tc>
        <w:tc>
          <w:tcPr>
            <w:tcW w:w="2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eastAsia="Times New Roman" w:cs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  <w:lang w:val="pt-BR" w:eastAsia="pt-BR" w:bidi="ar-SA"/>
              </w:rPr>
              <w:t>EUCALIPTO TRATADO 15CM DIÂMETRO COM 4,00 M</w:t>
            </w:r>
          </w:p>
        </w:tc>
        <w:tc>
          <w:tcPr>
            <w:tcW w:w="1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5510</w:t>
            </w:r>
          </w:p>
          <w:p>
            <w:pPr>
              <w:pStyle w:val="Normal"/>
              <w:spacing w:before="0"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UN</w:t>
            </w:r>
          </w:p>
          <w:p>
            <w:pPr>
              <w:pStyle w:val="Normal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R$ 112,53</w:t>
            </w:r>
          </w:p>
        </w:tc>
        <w:tc>
          <w:tcPr>
            <w:tcW w:w="1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R$ 1.125,3</w:t>
            </w: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</w:tbl>
    <w:p>
      <w:pPr>
        <w:pStyle w:val="ListParagraph"/>
        <w:numPr>
          <w:ilvl w:val="0"/>
          <w:numId w:val="0"/>
        </w:numPr>
        <w:spacing w:lineRule="auto" w:line="276" w:before="0" w:after="0"/>
        <w:ind w:left="1152" w:hanging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</w:r>
    </w:p>
    <w:p>
      <w:pPr>
        <w:pStyle w:val="ListParagraph"/>
        <w:numPr>
          <w:ilvl w:val="1"/>
          <w:numId w:val="1"/>
        </w:numPr>
        <w:spacing w:lineRule="auto" w:line="276" w:before="0" w:after="0"/>
        <w:jc w:val="both"/>
        <w:rPr/>
      </w:pPr>
      <w:r>
        <w:rPr>
          <w:rFonts w:cs="Arial" w:ascii="Arial" w:hAnsi="Arial"/>
          <w:iCs/>
          <w:sz w:val="20"/>
          <w:szCs w:val="20"/>
        </w:rPr>
        <w:t>O objeto desta contratação não se enquadra como sendo de bem de luxo, conforme Decreto nº 10.818, de 2021.</w:t>
      </w:r>
    </w:p>
    <w:p>
      <w:pPr>
        <w:pStyle w:val="ListParagraph"/>
        <w:numPr>
          <w:ilvl w:val="1"/>
          <w:numId w:val="1"/>
        </w:numPr>
        <w:spacing w:lineRule="auto" w:line="276" w:before="0" w:after="0"/>
        <w:jc w:val="both"/>
        <w:rPr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8"/>
          <w:szCs w:val="28"/>
        </w:rPr>
        <w:t xml:space="preserve">Os licitantes deverão atentar a descrição do material conforme o termo de referência em virtude de possíveis inconsistências no CATMAT </w:t>
      </w:r>
      <w:bookmarkStart w:id="2" w:name="__DdeLink__12654_831626168"/>
      <w:bookmarkEnd w:id="2"/>
      <w:r>
        <w:rPr>
          <w:rFonts w:cs="Arial" w:ascii="Arial" w:hAnsi="Arial"/>
          <w:b/>
          <w:bCs/>
          <w:i w:val="false"/>
          <w:iCs w:val="false"/>
          <w:color w:val="000000"/>
          <w:sz w:val="28"/>
          <w:szCs w:val="28"/>
        </w:rPr>
        <w:t>afim de efetuar sua proposta de maneira correta.</w:t>
      </w:r>
    </w:p>
    <w:p>
      <w:pPr>
        <w:pStyle w:val="ListParagraph"/>
        <w:numPr>
          <w:ilvl w:val="1"/>
          <w:numId w:val="1"/>
        </w:numPr>
        <w:spacing w:lineRule="auto" w:line="276" w:before="0" w:after="0"/>
        <w:jc w:val="both"/>
        <w:rPr/>
      </w:pPr>
      <w:r>
        <w:rPr>
          <w:rFonts w:cs="Arial" w:ascii="Arial" w:hAnsi="Arial"/>
          <w:iCs/>
          <w:sz w:val="20"/>
          <w:szCs w:val="20"/>
        </w:rPr>
        <w:t>O custo estimado total da contratação é de</w:t>
      </w:r>
      <w:r>
        <w:rPr>
          <w:rFonts w:cs="Arial" w:ascii="Arial" w:hAnsi="Arial"/>
          <w:i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R$ 44.980,54 (quarenta e quatro mil novecentos e oitenta reais e cinquenta e quatro centavos),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conforme custos unitários apostos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Arial" w:ascii="Arial" w:hAnsi="Arial"/>
          <w:i w:val="false"/>
          <w:iCs w:val="false"/>
          <w:color w:val="00000A"/>
          <w:sz w:val="20"/>
          <w:szCs w:val="20"/>
          <w:lang w:val="pt-BR" w:eastAsia="pt-BR" w:bidi="ar-SA"/>
        </w:rPr>
        <w:t>na tabela acima.</w:t>
      </w:r>
    </w:p>
    <w:p>
      <w:pPr>
        <w:pStyle w:val="Normal"/>
        <w:spacing w:lineRule="auto" w:line="276" w:before="0" w:after="0"/>
        <w:jc w:val="both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bCs/>
          <w:sz w:val="20"/>
          <w:szCs w:val="20"/>
        </w:rPr>
        <w:t xml:space="preserve">FUNDAMENTAÇÃO E DESCRIÇÃO DA NECESSIDADE DA CONTRATAÇÃO (art. 6º, inciso XXIII, alínea ‘b’, da Lei nº 14.133/2021). </w:t>
      </w:r>
    </w:p>
    <w:p>
      <w:pPr>
        <w:pStyle w:val="Normal"/>
        <w:numPr>
          <w:ilvl w:val="1"/>
          <w:numId w:val="1"/>
        </w:numPr>
        <w:suppressAutoHyphens w:val="true"/>
        <w:overflowPunct w:val="false"/>
        <w:spacing w:lineRule="auto" w:line="240" w:before="0" w:after="0"/>
        <w:jc w:val="both"/>
        <w:rPr/>
      </w:pP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  <w:highlight w:val="white"/>
          <w:lang w:val="pt-BR" w:eastAsia="pt-BR" w:bidi="ar-SA"/>
        </w:rPr>
        <w:t xml:space="preserve">A aquisição consiste na necessidade da Administração produza os resultados pretendidos em sua função precípua, que é a formação, a cada seis meses de, em média, um contingente de 400 soldados fuzileiros navais. Sendo assim, a contratação dos materiais descritos no Termo de Referência serão para a construção, através de uma esforço conjunto desta Organização, junto a expertise do Batalhão de Engenharia e ao Comando do Material de Fuzileiros Navais, </w:t>
      </w: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highlight w:val="white"/>
          <w:u w:val="none"/>
          <w:em w:val="none"/>
          <w:lang w:val="pt-BR" w:eastAsia="pt-BR" w:bidi="ar-SA"/>
        </w:rPr>
        <w:t xml:space="preserve">de uma pista de obstáculos no Centro de Instrução Almirante Milcíades Portela Alves, visando o cumprimento das atividades previstas no currículo do curso de formação de soldados fuzileiros navais, </w:t>
      </w: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0"/>
          <w:szCs w:val="20"/>
          <w:highlight w:val="white"/>
          <w:u w:val="none"/>
          <w:lang w:val="pt-BR" w:eastAsia="pt-BR" w:bidi="ar-SA"/>
        </w:rPr>
        <w:t>provendo assim infraestrutura necessária para o cumprimento da sua missão institucional.</w:t>
      </w:r>
    </w:p>
    <w:p>
      <w:pPr>
        <w:pStyle w:val="Normal"/>
        <w:numPr>
          <w:ilvl w:val="1"/>
          <w:numId w:val="1"/>
        </w:numPr>
        <w:suppressAutoHyphens w:val="true"/>
        <w:overflowPunct w:val="false"/>
        <w:spacing w:lineRule="auto" w:line="240" w:before="0" w:after="0"/>
        <w:jc w:val="both"/>
        <w:rPr/>
      </w:pPr>
      <w:r>
        <w:rPr>
          <w:rFonts w:cs="Arial" w:ascii="Arial" w:hAnsi="Arial"/>
          <w:sz w:val="20"/>
          <w:szCs w:val="20"/>
        </w:rPr>
        <w:t>A Fundamentação da Contratação e de seus quantitativos se dá de acordo com manual técnico que versa sobre a pista de obstáculos e que nas alternativas mercadológicas, as madeiras a serem adquiridas para a construção da pista, quando tratadas em autoclave, possui ao menos 10 anos de garantia contra cupins, brocas e apodrecimento.</w:t>
      </w:r>
    </w:p>
    <w:p>
      <w:pPr>
        <w:pStyle w:val="Normal"/>
        <w:numPr>
          <w:ilvl w:val="0"/>
          <w:numId w:val="0"/>
        </w:numPr>
        <w:suppressAutoHyphens w:val="true"/>
        <w:overflowPunct w:val="false"/>
        <w:spacing w:lineRule="auto" w:line="240" w:before="0" w:after="0"/>
        <w:ind w:left="432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bCs/>
          <w:sz w:val="20"/>
          <w:szCs w:val="20"/>
        </w:rPr>
        <w:t>DESCRIÇÃO DA SOLUÇÃO COMO UM TODO CONSIDERADO O CICLO DE VIDA DO OBJETO E ESPECIFICAÇÃO DO PRODUTO (art. 6º, inciso XXIII, alínea ‘c’, e art. 40, §1º, inciso I, da Lei nº 14.133/2021)</w:t>
      </w:r>
    </w:p>
    <w:p>
      <w:pPr>
        <w:pStyle w:val="Normal"/>
        <w:numPr>
          <w:ilvl w:val="1"/>
          <w:numId w:val="4"/>
        </w:numPr>
        <w:suppressAutoHyphens w:val="true"/>
        <w:overflowPunct w:val="false"/>
        <w:spacing w:lineRule="auto" w:line="240" w:before="0" w:after="0"/>
        <w:jc w:val="both"/>
        <w:rPr/>
      </w:pP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  <w:highlight w:val="white"/>
          <w:lang w:val="pt-BR" w:eastAsia="pt-BR" w:bidi="ar-SA"/>
        </w:rPr>
        <w:t xml:space="preserve">A aquisição consiste na necessidade da Administração produza os resultados pretendidos em sua função precípua, que é a formação, a cada seis meses de, em média, um contingente de 400 soldados fuzileiros navais. Sendo assim, a contratação dos materiais descritos no Termo de Referência serão para a construção, através de uma esforço conjunto desta Organização, junto a expertise do Batalhão de Engenharia e ao Comando do Material de Fuzileiros Navais, </w:t>
      </w: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highlight w:val="white"/>
          <w:u w:val="none"/>
          <w:em w:val="none"/>
          <w:lang w:val="pt-BR" w:eastAsia="pt-BR" w:bidi="ar-SA"/>
        </w:rPr>
        <w:t xml:space="preserve">de uma pista de obstáculos no Centro de Instrução Almirante Milcíades Portela Alves, visando o cumprimento das atividades previstas no currículo do curso de formação de soldados fuzileiros navais, </w:t>
      </w: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0"/>
          <w:szCs w:val="20"/>
          <w:highlight w:val="white"/>
          <w:u w:val="none"/>
          <w:lang w:val="pt-BR" w:eastAsia="pt-BR" w:bidi="ar-SA"/>
        </w:rPr>
        <w:t>provendo assim infraestrutura necessária para o cumprimento da sua missão institucional.</w:t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bCs/>
          <w:sz w:val="20"/>
          <w:szCs w:val="20"/>
        </w:rPr>
        <w:t>REQUISITOS DA CONTRATAÇÃO (art. 6º, XXIII, alínea ‘d’, da Lei nº 14.133/21</w:t>
      </w:r>
    </w:p>
    <w:p>
      <w:pPr>
        <w:pStyle w:val="ListParagraph"/>
        <w:numPr>
          <w:ilvl w:val="1"/>
          <w:numId w:val="3"/>
        </w:numPr>
        <w:spacing w:lineRule="auto" w:line="276" w:before="0" w:after="0"/>
        <w:jc w:val="both"/>
        <w:rPr/>
      </w:pPr>
      <w:r>
        <w:rPr>
          <w:rStyle w:val="Fontepargpadro"/>
          <w:rFonts w:eastAsia="Times New Roman" w:cs="Arial" w:ascii="Arial" w:hAnsi="Arial"/>
          <w:color w:val="000000"/>
          <w:sz w:val="20"/>
          <w:szCs w:val="20"/>
          <w:highlight w:val="white"/>
          <w:lang w:eastAsia="pt-BR"/>
        </w:rPr>
        <w:t>A contratação deverá observar os seguintes requisitos:</w:t>
      </w:r>
    </w:p>
    <w:p>
      <w:pPr>
        <w:pStyle w:val="ListParagraph"/>
        <w:numPr>
          <w:ilvl w:val="2"/>
          <w:numId w:val="1"/>
        </w:numPr>
        <w:spacing w:lineRule="auto" w:line="276" w:before="0" w:after="0"/>
        <w:jc w:val="both"/>
        <w:rPr/>
      </w:pPr>
      <w:r>
        <w:rPr>
          <w:rStyle w:val="Fontepargpadro"/>
          <w:rFonts w:eastAsia="Times New Roman" w:cs="Arial" w:ascii="Arial" w:hAnsi="Arial"/>
          <w:i/>
          <w:iCs/>
          <w:color w:val="000000"/>
          <w:sz w:val="20"/>
          <w:szCs w:val="20"/>
          <w:highlight w:val="white"/>
          <w:lang w:eastAsia="pt-BR"/>
        </w:rPr>
        <w:t xml:space="preserve"> </w:t>
      </w:r>
      <w:r>
        <w:rPr>
          <w:rStyle w:val="Fontepargpadro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  <w:highlight w:val="white"/>
          <w:lang w:eastAsia="pt-BR"/>
        </w:rPr>
        <w:t>Sustentabilidade:</w:t>
      </w:r>
    </w:p>
    <w:p>
      <w:pPr>
        <w:pStyle w:val="ListParagraph"/>
        <w:numPr>
          <w:ilvl w:val="3"/>
          <w:numId w:val="1"/>
        </w:numPr>
        <w:shd w:val="clear" w:color="auto" w:fill="FFFFFF"/>
        <w:spacing w:lineRule="auto" w:line="276" w:before="0" w:after="0"/>
        <w:jc w:val="both"/>
        <w:rPr/>
      </w:pPr>
      <w:r>
        <w:rPr>
          <w:rStyle w:val="Fontepargpadro"/>
          <w:rFonts w:eastAsia="Times New Roman" w:cs="Arial" w:ascii="Arial" w:hAnsi="Arial"/>
          <w:i w:val="false"/>
          <w:iCs w:val="false"/>
          <w:color w:val="000000"/>
          <w:sz w:val="20"/>
          <w:szCs w:val="20"/>
          <w:highlight w:val="white"/>
          <w:lang w:eastAsia="pt-BR"/>
        </w:rPr>
        <w:t>Além dos critérios de sustentabilidade eventualmente inseridos na descrição do objeto, devem ser atendidos os seguintes requisitos, que se baseiam no Guia Nacional de Contratações Sustentáveis:</w:t>
      </w:r>
    </w:p>
    <w:p>
      <w:pPr>
        <w:pStyle w:val="ListParagraph"/>
        <w:numPr>
          <w:ilvl w:val="4"/>
          <w:numId w:val="1"/>
        </w:numPr>
        <w:shd w:val="clear" w:color="auto" w:fill="FFFFFF"/>
        <w:spacing w:lineRule="auto" w:line="276" w:before="0" w:after="0"/>
        <w:jc w:val="both"/>
        <w:rPr/>
      </w:pPr>
      <w:r>
        <w:rPr>
          <w:rStyle w:val="Fontepargpadro"/>
          <w:rFonts w:eastAsia="Times New Roman" w:cs="Arial" w:ascii="Arial" w:hAnsi="Arial"/>
          <w:i w:val="false"/>
          <w:iCs w:val="false"/>
          <w:color w:val="000000"/>
          <w:sz w:val="20"/>
          <w:szCs w:val="20"/>
          <w:highlight w:val="white"/>
          <w:lang w:eastAsia="pt-BR"/>
        </w:rPr>
        <w:t>As madeiras deverão ser entregues com tratamento em autoclave, com garanta expressa descrita na nota fiscal de fornecimento, de garantia de pelo menos 10 anos contra cupins, broca e apodrecimento.</w:t>
      </w:r>
    </w:p>
    <w:p>
      <w:pPr>
        <w:pStyle w:val="Normal"/>
        <w:rPr/>
      </w:pPr>
      <w:r>
        <w:rPr/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sz w:val="20"/>
          <w:szCs w:val="20"/>
        </w:rPr>
        <w:t>MODELO DE EXECUÇÃO CONTRATUAL (arts. 6º, XXIII, alínea “e” e 40, §1º, inciso II, da Lei nº 14.133/2021).</w:t>
      </w:r>
    </w:p>
    <w:p>
      <w:pPr>
        <w:pStyle w:val="Normal"/>
        <w:numPr>
          <w:ilvl w:val="0"/>
          <w:numId w:val="0"/>
        </w:numPr>
        <w:spacing w:before="0" w:after="0"/>
        <w:ind w:left="36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1"/>
          <w:numId w:val="2"/>
        </w:numPr>
        <w:spacing w:lineRule="auto" w:line="276" w:before="119" w:after="119"/>
        <w:contextualSpacing/>
        <w:jc w:val="both"/>
        <w:rPr/>
      </w:pP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val="zxx" w:eastAsia="zxx" w:bidi="zxx"/>
        </w:rPr>
        <w:t>Os itens deverão ser entregues n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val="pt-BR" w:eastAsia="zxx" w:bidi="zxx"/>
        </w:rPr>
        <w:t xml:space="preserve">o 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highlight w:val="white"/>
          <w:lang w:val="zxx" w:eastAsia="zxx" w:bidi="zxx"/>
        </w:rPr>
        <w:t>Centro de Instrução Almirante Milcíades Portela Alves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val="zxx" w:eastAsia="zxx" w:bidi="zxx"/>
        </w:rPr>
        <w:t xml:space="preserve">, localizado na </w:t>
      </w:r>
      <w:r>
        <w:rPr>
          <w:rFonts w:cs="Arial" w:ascii="Arial" w:hAnsi="Arial"/>
          <w:b w:val="false"/>
          <w:bCs w:val="false"/>
          <w:iCs/>
          <w:color w:val="000000"/>
          <w:sz w:val="20"/>
          <w:szCs w:val="20"/>
          <w:lang w:val="zxx" w:eastAsia="zxx" w:bidi="zxx"/>
        </w:rPr>
        <w:t>Avenida Brasil nº 44.878 – Km 45 – Campo Grande/RJ – CEP 23.078-001, no horário das 08:30h às 11:30h e 13:00h às 15:30h, de segunda a sexta-feira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eastAsia="zxx" w:bidi="zxx"/>
        </w:rPr>
        <w:t>.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val="zxx" w:eastAsia="zxx" w:bidi="zxx"/>
        </w:rPr>
        <w:t xml:space="preserve"> Responsável pelo recebimento: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eastAsia="zxx" w:bidi="zxx"/>
        </w:rPr>
        <w:t xml:space="preserve"> será um militar do Paiol de Intendência. T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val="zxx" w:eastAsia="zxx" w:bidi="zxx"/>
        </w:rPr>
        <w:t>elefone: (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eastAsia="zxx" w:bidi="zxx"/>
        </w:rPr>
        <w:t>21</w:t>
      </w:r>
      <w:r>
        <w:rPr>
          <w:rFonts w:cs="Times New Roman" w:ascii="Arial" w:hAnsi="Arial"/>
          <w:b w:val="false"/>
          <w:bCs w:val="false"/>
          <w:iCs/>
          <w:color w:val="000000"/>
          <w:sz w:val="20"/>
          <w:szCs w:val="20"/>
          <w:lang w:val="zxx" w:eastAsia="zxx" w:bidi="zxx"/>
        </w:rPr>
        <w:t>) 3402-9396.</w:t>
      </w:r>
    </w:p>
    <w:p>
      <w:pPr>
        <w:pStyle w:val="Nivel2"/>
        <w:numPr>
          <w:ilvl w:val="1"/>
          <w:numId w:val="2"/>
        </w:numPr>
        <w:spacing w:before="0" w:after="0"/>
        <w:rPr/>
      </w:pPr>
      <w:r>
        <w:rPr>
          <w:rFonts w:eastAsia="Calibri" w:cs="Times New Roman"/>
          <w:i w:val="false"/>
          <w:iCs w:val="false"/>
          <w:color w:val="000000"/>
          <w:sz w:val="20"/>
          <w:szCs w:val="20"/>
          <w:lang w:eastAsia="zxx" w:bidi="zxx"/>
        </w:rPr>
        <w:t xml:space="preserve">O prazo de entrega dos bens é de 20 (vinte) dias, contados da data de recebimento da Nota de Empenho ao fornecedor, em remessa única. </w:t>
      </w:r>
    </w:p>
    <w:p>
      <w:pPr>
        <w:pStyle w:val="Normal"/>
        <w:numPr>
          <w:ilvl w:val="1"/>
          <w:numId w:val="2"/>
        </w:numPr>
        <w:spacing w:lineRule="auto" w:line="276" w:before="120" w:after="120"/>
        <w:jc w:val="both"/>
        <w:rPr>
          <w:rFonts w:ascii="Arial" w:hAnsi="Arial"/>
        </w:rPr>
      </w:pPr>
      <w:r>
        <w:rPr>
          <w:rFonts w:cs="Arial" w:ascii="Arial" w:hAnsi="Arial"/>
          <w:color w:val="000000"/>
          <w:sz w:val="20"/>
          <w:szCs w:val="20"/>
        </w:rPr>
        <w:t xml:space="preserve">Os bens serão recebidos provisoriamente no prazo de 5 (cinco) dias, pelo(a) </w:t>
      </w:r>
      <w:r>
        <w:rPr>
          <w:rFonts w:cs="Arial" w:ascii="Arial" w:hAnsi="Arial"/>
          <w:iCs/>
          <w:color w:val="000000"/>
          <w:sz w:val="20"/>
          <w:szCs w:val="20"/>
        </w:rPr>
        <w:t>responsável</w:t>
      </w:r>
      <w:r>
        <w:rPr>
          <w:rFonts w:cs="Arial" w:ascii="Arial" w:hAnsi="Arial"/>
          <w:color w:val="000000"/>
          <w:sz w:val="20"/>
          <w:szCs w:val="20"/>
        </w:rPr>
        <w:t xml:space="preserve"> pelo acompanhamento e fiscalização do contrato, para efeito de posterior verificação de sua conformidade com as especificações constantes no Aviso de Dispensa Eletrônica e na proposta. </w:t>
      </w:r>
    </w:p>
    <w:p>
      <w:pPr>
        <w:pStyle w:val="Normal"/>
        <w:numPr>
          <w:ilvl w:val="1"/>
          <w:numId w:val="2"/>
        </w:numPr>
        <w:spacing w:lineRule="auto" w:line="276" w:before="120" w:after="12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Os bens poderão ser rejeitados, no todo ou em parte, quando em desacordo com as especificações constantes neste Aviso de Dispensa Eletrônica, devendo ser substituídos no prazo de 10 (dez) dias, a contar da notificação da contratada, às suas custas, sem prejuízo da aplicação das penalidades.</w:t>
      </w:r>
    </w:p>
    <w:p>
      <w:pPr>
        <w:pStyle w:val="Normal"/>
        <w:numPr>
          <w:ilvl w:val="1"/>
          <w:numId w:val="2"/>
        </w:numPr>
        <w:spacing w:lineRule="auto" w:line="276" w:before="120" w:after="120"/>
        <w:jc w:val="both"/>
        <w:rPr>
          <w:rFonts w:ascii="Arial" w:hAnsi="Arial"/>
        </w:rPr>
      </w:pPr>
      <w:r>
        <w:rPr>
          <w:rFonts w:cs="Arial" w:ascii="Arial" w:hAnsi="Arial"/>
          <w:color w:val="000000"/>
          <w:sz w:val="20"/>
          <w:szCs w:val="20"/>
        </w:rPr>
        <w:t>Os bens serão recebidos definitivamente no prazo de 05(cinco) dias, contados do recebimento provisório, após a verificação da qualidade e quantidade do material e consequente aceitação mediante termo circunstanciado.</w:t>
      </w:r>
    </w:p>
    <w:p>
      <w:pPr>
        <w:pStyle w:val="Normal"/>
        <w:numPr>
          <w:ilvl w:val="2"/>
          <w:numId w:val="2"/>
        </w:numPr>
        <w:spacing w:lineRule="auto" w:line="276" w:before="120" w:after="120"/>
        <w:jc w:val="both"/>
        <w:rPr>
          <w:rFonts w:ascii="Arial" w:hAnsi="Arial"/>
        </w:rPr>
      </w:pPr>
      <w:r>
        <w:rPr>
          <w:rFonts w:cs="Arial" w:ascii="Arial" w:hAnsi="Arial"/>
          <w:color w:val="000000"/>
          <w:sz w:val="20"/>
          <w:szCs w:val="20"/>
          <w:lang w:eastAsia="en-US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>
      <w:pPr>
        <w:pStyle w:val="Normal"/>
        <w:numPr>
          <w:ilvl w:val="1"/>
          <w:numId w:val="2"/>
        </w:numPr>
        <w:spacing w:lineRule="auto" w:line="276" w:before="120" w:after="120"/>
        <w:jc w:val="both"/>
        <w:rPr>
          <w:rFonts w:ascii="Arial" w:hAnsi="Arial"/>
          <w:i w:val="false"/>
          <w:i w:val="false"/>
          <w:iCs w:val="false"/>
        </w:rPr>
      </w:pPr>
      <w:r>
        <w:rPr>
          <w:rFonts w:cs="Arial" w:ascii="Arial" w:hAnsi="Arial"/>
          <w:i w:val="false"/>
          <w:iCs w:val="false"/>
          <w:color w:val="000000"/>
          <w:sz w:val="20"/>
          <w:szCs w:val="20"/>
          <w:lang w:eastAsia="en-US"/>
        </w:rPr>
        <w:t>O recebimento provisório ou definitivo do objeto não exclui a responsabilidade da contratada pelos prejuízos resultantes da incorreta execução do contrato.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left="432" w:hanging="0"/>
        <w:jc w:val="both"/>
        <w:rPr>
          <w:bCs/>
          <w:color w:val="00000A"/>
          <w:sz w:val="20"/>
          <w:szCs w:val="20"/>
        </w:rPr>
      </w:pPr>
      <w:r>
        <w:rPr>
          <w:bCs/>
          <w:color w:val="00000A"/>
          <w:sz w:val="20"/>
          <w:szCs w:val="20"/>
        </w:rPr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sz w:val="20"/>
          <w:szCs w:val="20"/>
        </w:rPr>
        <w:t>MODELO DE GESTÃO DO CONTRATO (art. 6º, XXIII, alínea “f”, da Lei nº 14.133/21)</w:t>
      </w:r>
    </w:p>
    <w:p>
      <w:pPr>
        <w:pStyle w:val="Nivel2"/>
        <w:spacing w:before="0" w:after="0"/>
        <w:rPr>
          <w:color w:val="00000A"/>
          <w:sz w:val="20"/>
          <w:szCs w:val="20"/>
        </w:rPr>
      </w:pPr>
      <w:r>
        <w:rPr>
          <w:color w:val="00000A"/>
          <w:sz w:val="20"/>
          <w:szCs w:val="20"/>
        </w:rPr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color w:val="00000A"/>
          <w:sz w:val="20"/>
          <w:szCs w:val="20"/>
        </w:rPr>
      </w:pPr>
      <w:r>
        <w:rPr>
          <w:color w:val="00000A"/>
          <w:sz w:val="20"/>
          <w:szCs w:val="20"/>
        </w:rPr>
        <w:t xml:space="preserve">O contrato deverá ser executado fielmente pelas partes, de acordo com as cláusulas avençadas e as normas da Lei nº 14.133, de 2021, e cada parte responderá pelas consequências de sua inexecução total ou parcial (Lei nº 14.133/2021, art. 115, </w:t>
      </w:r>
      <w:r>
        <w:rPr>
          <w:i/>
          <w:iCs/>
          <w:color w:val="00000A"/>
          <w:sz w:val="20"/>
          <w:szCs w:val="20"/>
        </w:rPr>
        <w:t>caput</w:t>
      </w:r>
      <w:r>
        <w:rPr>
          <w:color w:val="00000A"/>
          <w:sz w:val="20"/>
          <w:szCs w:val="20"/>
        </w:rPr>
        <w:t>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color w:val="00000A"/>
          <w:sz w:val="20"/>
          <w:szCs w:val="20"/>
        </w:rPr>
      </w:pPr>
      <w:bookmarkStart w:id="3" w:name="art115§5"/>
      <w:bookmarkStart w:id="4" w:name="art115§1"/>
      <w:bookmarkEnd w:id="3"/>
      <w:bookmarkEnd w:id="4"/>
      <w:r>
        <w:rPr>
          <w:color w:val="00000A"/>
          <w:sz w:val="20"/>
          <w:szCs w:val="20"/>
        </w:rPr>
        <w:t>Em caso de impedimento, ordem de paralisação ou suspensão do contrato, o cronograma de execução será prorrogado automaticamente pelo tempo correspondente, anotadas tais circunstâncias mediante simples apostila (Lei nº 14.133/2021, art. 115, §5º).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/>
      </w:pPr>
      <w:bookmarkStart w:id="5" w:name="art116"/>
      <w:bookmarkEnd w:id="5"/>
      <w:r>
        <w:rPr>
          <w:color w:val="00000A"/>
          <w:sz w:val="20"/>
          <w:szCs w:val="20"/>
        </w:rPr>
        <w:t xml:space="preserve">A execução do contrato deverá ser acompanhada e fiscalizada pelo(s) fiscal(is) do contrato, ou pelos respectivos substitutos (Lei nº 14.133/2021, art. 117, </w:t>
      </w:r>
      <w:r>
        <w:rPr>
          <w:i/>
          <w:iCs/>
          <w:color w:val="00000A"/>
          <w:sz w:val="20"/>
          <w:szCs w:val="20"/>
        </w:rPr>
        <w:t>caput</w:t>
      </w:r>
      <w:r>
        <w:rPr>
          <w:color w:val="00000A"/>
          <w:sz w:val="20"/>
          <w:szCs w:val="20"/>
        </w:rPr>
        <w:t>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/>
      </w:pPr>
      <w:r>
        <w:rPr/>
        <w:t>O fiscal do contrato anotará em registro próprio todas as ocorrências relacionadas à execução do contrato, determinando o que for necessário para a regularização das faltas ou dos defeitos observados (Lei nº 14.133/2021, art. 117, §1º).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/>
      </w:pPr>
      <w:bookmarkStart w:id="6" w:name="art117§2"/>
      <w:bookmarkEnd w:id="6"/>
      <w:r>
        <w:rPr/>
        <w:t>O fiscal do contrato informará a seus superiores, em tempo hábil para a adoção das medidas convenientes, a situação que demandar decisão ou providência que ultrapasse sua competência (Lei nº 14.133/2021, art. 117, §2º).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color w:val="00000A"/>
          <w:sz w:val="20"/>
          <w:szCs w:val="20"/>
        </w:rPr>
      </w:pPr>
      <w:r>
        <w:rPr>
          <w:color w:val="00000A"/>
          <w:sz w:val="20"/>
          <w:szCs w:val="20"/>
        </w:rPr>
        <w:t>O contratado será obrigado a reparar, corrigir, remover, reconstruir ou substituir, a suas expensas, no total ou em parte, o objeto do contrato em que se verificarem vícios, defeitos ou incorreções resultantes de sua execução ou de materiais nela empregados (Lei nº 14.133/2021, art. 119).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color w:val="00000A"/>
          <w:sz w:val="20"/>
          <w:szCs w:val="20"/>
        </w:rPr>
      </w:pPr>
      <w:bookmarkStart w:id="7" w:name="art120"/>
      <w:bookmarkEnd w:id="7"/>
      <w:r>
        <w:rPr>
          <w:color w:val="00000A"/>
          <w:sz w:val="20"/>
          <w:szCs w:val="20"/>
        </w:rPr>
        <w:t>O contratado será responsável pelos danos causados diretamente à Administração ou a terceiros em razão da execução do contrato, e não excluirá nem reduzirá essa responsabilidade a fiscalização ou o acompanhamento pelo contratante (Lei nº 14.133/2021, art. 120).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/>
      </w:pPr>
      <w:bookmarkStart w:id="8" w:name="art121"/>
      <w:bookmarkEnd w:id="8"/>
      <w:r>
        <w:rPr>
          <w:color w:val="00000A"/>
          <w:sz w:val="20"/>
          <w:szCs w:val="20"/>
        </w:rPr>
        <w:t xml:space="preserve">Somente o contratado será responsável pelos encargos trabalhistas, previdenciários, fiscais e comerciais resultantes da execução do contrato (Lei nº 14.133/2021, art. 121, </w:t>
      </w:r>
      <w:r>
        <w:rPr>
          <w:i/>
          <w:iCs/>
          <w:color w:val="00000A"/>
          <w:sz w:val="20"/>
          <w:szCs w:val="20"/>
        </w:rPr>
        <w:t>caput</w:t>
      </w:r>
      <w:r>
        <w:rPr>
          <w:color w:val="00000A"/>
          <w:sz w:val="20"/>
          <w:szCs w:val="20"/>
        </w:rPr>
        <w:t>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/>
      </w:pPr>
      <w:bookmarkStart w:id="9" w:name="art121§1"/>
      <w:bookmarkEnd w:id="9"/>
      <w:r>
        <w:rPr/>
        <w:t>A inadimplência do contratado em relação aos encargos trabalhistas, fiscais e comerciais não transferirá à Administração a responsabilidade pelo seu pagamento e não poderá onerar o objeto do contrato (Lei nº 14.133/2021, art. 121, §1º).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sz w:val="20"/>
          <w:szCs w:val="20"/>
        </w:rPr>
      </w:pPr>
      <w:bookmarkStart w:id="10" w:name="art123"/>
      <w:bookmarkStart w:id="11" w:name="art122§3"/>
      <w:bookmarkStart w:id="12" w:name="art122§2"/>
      <w:bookmarkStart w:id="13" w:name="art122§1"/>
      <w:bookmarkStart w:id="14" w:name="art122"/>
      <w:bookmarkEnd w:id="10"/>
      <w:bookmarkEnd w:id="11"/>
      <w:bookmarkEnd w:id="12"/>
      <w:bookmarkEnd w:id="13"/>
      <w:bookmarkEnd w:id="14"/>
      <w:r>
        <w:rPr>
          <w:sz w:val="20"/>
          <w:szCs w:val="20"/>
        </w:rPr>
        <w:t>As comunicações entre o órgão ou entidade e a contratada devem ser realizadas por escrito sempre que o ato exigir tal formalidade, admitindo-se, excepcionalmente, o uso de mensagem eletrônica para esse fim (IN 5/2017, art. 44, §2º).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/>
      </w:pPr>
      <w:r>
        <w:rPr>
          <w:sz w:val="20"/>
          <w:szCs w:val="20"/>
        </w:rPr>
        <w:t>O órgão ou entidade poderá convocar representante da empresa para adoção de providências que devam ser cumpridas de imediato (IN 5/2017, art. 44, 31º).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sz w:val="20"/>
          <w:szCs w:val="20"/>
        </w:rPr>
      </w:pPr>
      <w:r>
        <w:rPr>
          <w:sz w:val="20"/>
          <w:szCs w:val="20"/>
        </w:rPr>
        <w:t>Antes do pagamento da nota fiscal ou da fatura, deverá ser consultada a situação da empresa junto ao SICAF.</w:t>
      </w:r>
    </w:p>
    <w:p>
      <w:pPr>
        <w:pStyle w:val="Nivel2"/>
        <w:numPr>
          <w:ilvl w:val="1"/>
          <w:numId w:val="5"/>
        </w:numPr>
        <w:spacing w:before="0" w:after="0"/>
        <w:ind w:left="0" w:hanging="0"/>
        <w:rPr>
          <w:sz w:val="20"/>
          <w:szCs w:val="20"/>
        </w:rPr>
      </w:pPr>
      <w:r>
        <w:rPr>
          <w:sz w:val="20"/>
          <w:szCs w:val="20"/>
        </w:rPr>
        <w:t>Serão exigidos a Certidão Negativa de Débito (CND) relativa a Créditos Tributários Federais e à Dívida Ativa da União, o Certificado de Regularidade do FGTS (CRF) e a Certidão Negativa de Débitos Trabalhistas (CNDT), caso esses documentos não estejam regularizados no SICAF.</w:t>
      </w:r>
    </w:p>
    <w:p>
      <w:pPr>
        <w:pStyle w:val="Nivel2"/>
        <w:spacing w:before="0" w:after="0"/>
        <w:ind w:left="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ivel1"/>
        <w:numPr>
          <w:ilvl w:val="0"/>
          <w:numId w:val="1"/>
        </w:numPr>
        <w:spacing w:before="0" w:after="0"/>
        <w:rPr>
          <w:i/>
          <w:i/>
          <w:iCs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 xml:space="preserve">FORMA E CRITÉRIOS DE SELEÇÃO DO FORNECEDOR MEDIANTE O USO DO SISTEMA DE DISPENSA ELETRÔNICA (art. 6º, inciso XXIII, alínea ‘h’, da Lei nº 14.133/2021) </w:t>
      </w:r>
    </w:p>
    <w:p>
      <w:pPr>
        <w:pStyle w:val="Normal"/>
        <w:rPr/>
      </w:pPr>
      <w:r>
        <w:rPr/>
      </w:r>
    </w:p>
    <w:p>
      <w:pPr>
        <w:pStyle w:val="Nivel2"/>
        <w:numPr>
          <w:ilvl w:val="1"/>
          <w:numId w:val="6"/>
        </w:numPr>
        <w:spacing w:before="0" w:after="0"/>
        <w:ind w:left="0" w:hanging="0"/>
        <w:rPr/>
      </w:pPr>
      <w:r>
        <w:rPr>
          <w:i/>
          <w:iCs/>
          <w:color w:val="000000"/>
          <w:sz w:val="20"/>
          <w:szCs w:val="20"/>
        </w:rPr>
        <w:t>O fornecedor será selecionado por meio da realização de procedimento de dispensa de licitação, na forma eletrônica, com fundamento na hipótese do art. 75, inciso II da Lei n.º 14.133/2021 (indicar um dos incisos do art. 75, da Lei n.º 14.133/2021, conforme o caso concreto), que culminará com a seleção da proposta de menor preço por grupo.</w:t>
      </w:r>
    </w:p>
    <w:p>
      <w:pPr>
        <w:pStyle w:val="Nivel2"/>
        <w:numPr>
          <w:ilvl w:val="1"/>
          <w:numId w:val="6"/>
        </w:numPr>
        <w:spacing w:before="0" w:after="0"/>
        <w:ind w:left="0" w:hanging="0"/>
        <w:rPr>
          <w:rFonts w:eastAsia="Times New Roman"/>
          <w:i/>
          <w:i/>
          <w:iCs/>
          <w:color w:val="FF0000"/>
          <w:sz w:val="20"/>
          <w:szCs w:val="20"/>
          <w:lang w:eastAsia="pt-BR"/>
        </w:rPr>
      </w:pPr>
      <w:r>
        <w:rPr>
          <w:rFonts w:eastAsia="Times New Roman"/>
          <w:i/>
          <w:iCs/>
          <w:color w:val="000000"/>
          <w:sz w:val="20"/>
          <w:szCs w:val="20"/>
          <w:lang w:eastAsia="pt-BR"/>
        </w:rPr>
        <w:t xml:space="preserve">As exigências de habilitação jurídica, </w:t>
      </w:r>
      <w:r>
        <w:rPr>
          <w:rFonts w:eastAsia="WenQuanYi Micro Hei"/>
          <w:i/>
          <w:iCs/>
          <w:color w:val="000000"/>
          <w:sz w:val="20"/>
          <w:szCs w:val="20"/>
          <w:lang w:eastAsia="zh-CN" w:bidi="hi-IN"/>
        </w:rPr>
        <w:t xml:space="preserve">fiscal, social e trabalhista </w:t>
      </w:r>
      <w:r>
        <w:rPr>
          <w:rFonts w:eastAsia="Times New Roman"/>
          <w:i/>
          <w:iCs/>
          <w:color w:val="000000"/>
          <w:sz w:val="20"/>
          <w:szCs w:val="20"/>
          <w:lang w:eastAsia="pt-BR"/>
        </w:rPr>
        <w:t xml:space="preserve">são as usuais para a generalidade dos objetos, conforme disciplinado no Anexo I do Aviso de </w:t>
      </w:r>
      <w:r>
        <w:rPr>
          <w:i/>
          <w:iCs/>
          <w:color w:val="000000"/>
          <w:sz w:val="20"/>
          <w:szCs w:val="20"/>
        </w:rPr>
        <w:t>Contratação</w:t>
      </w:r>
      <w:r>
        <w:rPr>
          <w:rFonts w:eastAsia="Times New Roman"/>
          <w:i/>
          <w:iCs/>
          <w:color w:val="000000"/>
          <w:sz w:val="20"/>
          <w:szCs w:val="20"/>
          <w:lang w:eastAsia="pt-BR"/>
        </w:rPr>
        <w:t xml:space="preserve"> Direta.</w:t>
      </w:r>
    </w:p>
    <w:p>
      <w:pPr>
        <w:pStyle w:val="Nivel2"/>
        <w:numPr>
          <w:ilvl w:val="1"/>
          <w:numId w:val="6"/>
        </w:numPr>
        <w:spacing w:before="0" w:after="0"/>
        <w:ind w:left="0" w:hanging="0"/>
        <w:rPr>
          <w:rFonts w:eastAsia="Times New Roman"/>
          <w:i/>
          <w:i/>
          <w:iCs/>
          <w:color w:val="FF0000"/>
          <w:sz w:val="20"/>
          <w:szCs w:val="20"/>
          <w:lang w:eastAsia="pt-BR"/>
        </w:rPr>
      </w:pPr>
      <w:r>
        <w:rPr>
          <w:rFonts w:eastAsia="Times New Roman"/>
          <w:i/>
          <w:iCs/>
          <w:color w:val="000000"/>
          <w:sz w:val="20"/>
          <w:szCs w:val="20"/>
          <w:lang w:eastAsia="pt-BR"/>
        </w:rPr>
        <w:t>Os critérios de habilitação econômico-financeira a serem atendidos pelo fornecedor estão previstos no Anexo I do Aviso de Contratação Direta.</w:t>
      </w:r>
    </w:p>
    <w:p>
      <w:pPr>
        <w:pStyle w:val="Nivel2"/>
        <w:numPr>
          <w:ilvl w:val="1"/>
          <w:numId w:val="6"/>
        </w:numPr>
        <w:spacing w:before="0" w:after="0"/>
        <w:ind w:left="0" w:hanging="0"/>
        <w:rPr/>
      </w:pPr>
      <w:r>
        <w:rPr>
          <w:rFonts w:eastAsia="Times New Roman"/>
          <w:i/>
          <w:iCs/>
          <w:color w:val="000000"/>
          <w:sz w:val="20"/>
          <w:szCs w:val="20"/>
          <w:lang w:eastAsia="pt-BR"/>
        </w:rPr>
        <w:t>Os critérios de habilitação técnica a serem atendidos pelo fornecedor serão:</w:t>
      </w:r>
    </w:p>
    <w:p>
      <w:pPr>
        <w:pStyle w:val="Nivel2"/>
        <w:numPr>
          <w:ilvl w:val="1"/>
          <w:numId w:val="6"/>
        </w:numPr>
        <w:spacing w:before="0" w:after="0"/>
        <w:ind w:left="0" w:hanging="0"/>
        <w:rPr/>
      </w:pPr>
      <w:r>
        <w:rPr>
          <w:i w:val="false"/>
          <w:iCs w:val="false"/>
          <w:color w:val="000000"/>
          <w:sz w:val="20"/>
          <w:szCs w:val="20"/>
        </w:rPr>
        <w:t>Comprovação</w:t>
      </w:r>
      <w:r>
        <w:rPr>
          <w:rFonts w:eastAsia="Times New Roman"/>
          <w:i w:val="false"/>
          <w:iCs w:val="false"/>
          <w:color w:val="000000"/>
          <w:sz w:val="20"/>
          <w:szCs w:val="20"/>
          <w:lang w:eastAsia="pt-BR"/>
        </w:rPr>
        <w:t xml:space="preserve"> de aptidão para o fornecimento de bens similares de complexidade tecnológica e operacional equivalente ou superior com o objeto desta contratação, ou com o item pertinente, por meio da apresentação de certidões ou atestados, por pessoas jurídicas de direito público ou privado, ou regularmente emitido(s) pelo conselho profissional competente, quando for o caso.</w:t>
      </w:r>
    </w:p>
    <w:p>
      <w:pPr>
        <w:pStyle w:val="Nivel2"/>
        <w:widowControl/>
        <w:numPr>
          <w:ilvl w:val="2"/>
          <w:numId w:val="6"/>
        </w:numPr>
        <w:bidi w:val="0"/>
        <w:spacing w:lineRule="auto" w:line="276" w:before="0" w:after="0"/>
        <w:ind w:left="0" w:right="0" w:firstLine="964"/>
        <w:jc w:val="both"/>
        <w:rPr/>
      </w:pPr>
      <w:r>
        <w:rPr>
          <w:i w:val="false"/>
          <w:iCs w:val="false"/>
          <w:color w:val="000000"/>
          <w:sz w:val="20"/>
          <w:szCs w:val="20"/>
        </w:rPr>
        <w:t xml:space="preserve">Para fins da comprovação de que trata este subitem, os atestados deverão dizer respeito a contratos executados com as seguintes características mínimas: </w:t>
      </w:r>
    </w:p>
    <w:p>
      <w:pPr>
        <w:pStyle w:val="Nivel2"/>
        <w:widowControl/>
        <w:numPr>
          <w:ilvl w:val="2"/>
          <w:numId w:val="6"/>
        </w:numPr>
        <w:bidi w:val="0"/>
        <w:spacing w:lineRule="auto" w:line="276" w:before="0" w:after="0"/>
        <w:ind w:left="0" w:right="0" w:firstLine="964"/>
        <w:jc w:val="both"/>
        <w:rPr/>
      </w:pPr>
      <w:r>
        <w:rPr>
          <w:rFonts w:cs="Arial"/>
          <w:i w:val="false"/>
          <w:iCs w:val="false"/>
          <w:color w:val="000000"/>
          <w:sz w:val="20"/>
          <w:szCs w:val="20"/>
        </w:rPr>
        <w:t>10% do valor total do lote a ser adquirido</w:t>
      </w:r>
    </w:p>
    <w:p>
      <w:pPr>
        <w:pStyle w:val="Nivel2"/>
        <w:widowControl/>
        <w:numPr>
          <w:ilvl w:val="2"/>
          <w:numId w:val="6"/>
        </w:numPr>
        <w:bidi w:val="0"/>
        <w:spacing w:lineRule="auto" w:line="276" w:before="0" w:after="0"/>
        <w:ind w:left="0" w:right="0" w:firstLine="964"/>
        <w:jc w:val="both"/>
        <w:rPr/>
      </w:pPr>
      <w:r>
        <w:rPr>
          <w:i w:val="false"/>
          <w:iCs w:val="false"/>
          <w:color w:val="000000"/>
          <w:sz w:val="20"/>
          <w:szCs w:val="20"/>
        </w:rPr>
        <w:t>Será admitida, para fins de comprovação de quantitativo mínimo, a apresentação e o somatório de diferentes atestados executados de forma concomitante.</w:t>
      </w:r>
    </w:p>
    <w:p>
      <w:pPr>
        <w:pStyle w:val="Nivel2"/>
        <w:widowControl/>
        <w:numPr>
          <w:ilvl w:val="2"/>
          <w:numId w:val="6"/>
        </w:numPr>
        <w:bidi w:val="0"/>
        <w:spacing w:lineRule="auto" w:line="276" w:before="0" w:after="0"/>
        <w:ind w:left="0" w:right="0" w:firstLine="964"/>
        <w:jc w:val="both"/>
        <w:rPr/>
      </w:pPr>
      <w:r>
        <w:rPr>
          <w:i w:val="false"/>
          <w:iCs w:val="false"/>
          <w:color w:val="000000"/>
          <w:sz w:val="20"/>
          <w:szCs w:val="20"/>
        </w:rPr>
        <w:t>Os atestados de capacidade técnica poderão ser apresentados em nome da matriz ou da filial do fornecedor.</w:t>
      </w:r>
    </w:p>
    <w:p>
      <w:pPr>
        <w:pStyle w:val="Nivel2"/>
        <w:widowControl/>
        <w:numPr>
          <w:ilvl w:val="2"/>
          <w:numId w:val="6"/>
        </w:numPr>
        <w:bidi w:val="0"/>
        <w:spacing w:lineRule="auto" w:line="276" w:before="0" w:after="0"/>
        <w:ind w:left="0" w:right="0" w:firstLine="964"/>
        <w:jc w:val="both"/>
        <w:rPr/>
      </w:pPr>
      <w:r>
        <w:rPr>
          <w:bCs/>
          <w:i w:val="false"/>
          <w:iCs w:val="false"/>
          <w:color w:val="000000"/>
          <w:sz w:val="20"/>
          <w:szCs w:val="20"/>
        </w:rPr>
        <w:t xml:space="preserve">O fornecedor </w:t>
      </w:r>
      <w:r>
        <w:rPr>
          <w:i w:val="false"/>
          <w:iCs w:val="false"/>
          <w:color w:val="000000"/>
          <w:sz w:val="20"/>
          <w:szCs w:val="20"/>
        </w:rPr>
        <w:t>disponibilizará</w:t>
      </w:r>
      <w:r>
        <w:rPr>
          <w:bCs/>
          <w:i w:val="false"/>
          <w:iCs w:val="false"/>
          <w:color w:val="000000"/>
          <w:sz w:val="20"/>
          <w:szCs w:val="20"/>
        </w:rPr>
        <w:t xml:space="preserve"> todas as informações necessárias à </w:t>
      </w:r>
      <w:r>
        <w:rPr>
          <w:i w:val="false"/>
          <w:iCs w:val="false"/>
          <w:color w:val="000000"/>
          <w:sz w:val="20"/>
          <w:szCs w:val="20"/>
        </w:rPr>
        <w:t>comprovação</w:t>
      </w:r>
      <w:r>
        <w:rPr>
          <w:bCs/>
          <w:i w:val="false"/>
          <w:iCs w:val="false"/>
          <w:color w:val="000000"/>
          <w:sz w:val="20"/>
          <w:szCs w:val="20"/>
        </w:rPr>
        <w:t xml:space="preserve"> da legitimidade dos atestados, apresentando, quando solicitado pela Administração, </w:t>
      </w:r>
      <w:r>
        <w:rPr>
          <w:i w:val="false"/>
          <w:iCs w:val="false"/>
          <w:color w:val="000000"/>
          <w:sz w:val="20"/>
          <w:szCs w:val="20"/>
        </w:rPr>
        <w:t>cópia</w:t>
      </w:r>
      <w:r>
        <w:rPr>
          <w:bCs/>
          <w:i w:val="false"/>
          <w:iCs w:val="false"/>
          <w:color w:val="000000"/>
          <w:sz w:val="20"/>
          <w:szCs w:val="20"/>
        </w:rPr>
        <w:t xml:space="preserve"> do contrato que deu suporte à contratação, endereço atual da contratante e local em que foi executado o objeto contratado, dentre outros documentos.</w:t>
      </w:r>
    </w:p>
    <w:p>
      <w:pPr>
        <w:pStyle w:val="Nivel2"/>
        <w:widowControl/>
        <w:numPr>
          <w:ilvl w:val="0"/>
          <w:numId w:val="0"/>
        </w:numPr>
        <w:bidi w:val="0"/>
        <w:spacing w:lineRule="auto" w:line="276" w:before="0" w:after="0"/>
        <w:ind w:left="1440" w:right="0" w:hanging="0"/>
        <w:jc w:val="both"/>
        <w:rPr>
          <w:rFonts w:ascii="Arial" w:hAnsi="Arial" w:cs="Arial"/>
          <w:bCs/>
          <w:i/>
          <w:i/>
          <w:color w:val="00000A"/>
          <w:sz w:val="20"/>
          <w:szCs w:val="20"/>
        </w:rPr>
      </w:pPr>
      <w:r>
        <w:rPr>
          <w:rFonts w:cs="Arial"/>
          <w:bCs/>
          <w:i/>
          <w:color w:val="00000A"/>
          <w:sz w:val="20"/>
          <w:szCs w:val="20"/>
        </w:rPr>
      </w:r>
    </w:p>
    <w:p>
      <w:pPr>
        <w:pStyle w:val="Nivel1"/>
        <w:numPr>
          <w:ilvl w:val="0"/>
          <w:numId w:val="1"/>
        </w:numPr>
        <w:spacing w:before="0" w:after="0"/>
        <w:rPr/>
      </w:pPr>
      <w:r>
        <w:rPr>
          <w:sz w:val="20"/>
          <w:szCs w:val="20"/>
        </w:rPr>
        <w:t xml:space="preserve">ADEQUAÇÃO ORÇAMENTÁRIA </w:t>
      </w:r>
    </w:p>
    <w:p>
      <w:pPr>
        <w:pStyle w:val="Nivel1"/>
        <w:numPr>
          <w:ilvl w:val="1"/>
          <w:numId w:val="1"/>
        </w:numPr>
        <w:spacing w:before="0" w:after="0"/>
        <w:rPr>
          <w:b w:val="false"/>
          <w:b w:val="false"/>
          <w:bCs w:val="false"/>
        </w:rPr>
      </w:pPr>
      <w:r>
        <w:rPr>
          <w:rFonts w:cs="Arial"/>
          <w:b w:val="false"/>
          <w:bCs w:val="false"/>
          <w:sz w:val="20"/>
          <w:szCs w:val="20"/>
        </w:rPr>
        <w:t>As despesas decorrentes da presente contratação correrão à conta de recursos específicos consignados no Orçamento Geral da União.</w:t>
      </w:r>
    </w:p>
    <w:p>
      <w:pPr>
        <w:pStyle w:val="ListParagraph"/>
        <w:spacing w:lineRule="auto" w:line="276" w:before="0" w:after="0"/>
        <w:ind w:left="716" w:hanging="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i/>
          <w:iCs/>
          <w:color w:val="FF0000"/>
          <w:sz w:val="20"/>
          <w:szCs w:val="20"/>
        </w:rPr>
      </w:r>
    </w:p>
    <w:p>
      <w:pPr>
        <w:pStyle w:val="ListParagraph"/>
        <w:numPr>
          <w:ilvl w:val="2"/>
          <w:numId w:val="1"/>
        </w:numPr>
        <w:spacing w:lineRule="auto" w:line="276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A contratação será atendida pela seguinte dotação:</w:t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left="1494" w:hanging="0"/>
        <w:jc w:val="both"/>
        <w:rPr>
          <w:rFonts w:ascii="Arial" w:hAnsi="Arial" w:eastAsia="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eastAsia="" w:cs="Arial" w:ascii="Arial" w:hAnsi="Arial"/>
          <w:b w:val="false"/>
          <w:bCs w:val="false"/>
          <w:color w:val="000000"/>
          <w:sz w:val="20"/>
          <w:szCs w:val="20"/>
        </w:rPr>
        <w:t>Gestão/Unidade: 0001/732200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left="1494" w:hanging="0"/>
        <w:jc w:val="both"/>
        <w:rPr>
          <w:rFonts w:ascii="Arial" w:hAnsi="Arial" w:eastAsia="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eastAsia="" w:cs="Arial" w:ascii="Arial" w:hAnsi="Arial"/>
          <w:b w:val="false"/>
          <w:bCs w:val="false"/>
          <w:color w:val="000000"/>
          <w:sz w:val="20"/>
          <w:szCs w:val="20"/>
        </w:rPr>
        <w:t>Fonte: 0100000000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left="1494" w:hanging="0"/>
        <w:jc w:val="both"/>
        <w:rPr>
          <w:rFonts w:ascii="Arial" w:hAnsi="Arial" w:eastAsia="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eastAsia="" w:cs="Arial" w:ascii="Arial" w:hAnsi="Arial"/>
          <w:b w:val="false"/>
          <w:bCs w:val="false"/>
          <w:color w:val="000000"/>
          <w:sz w:val="20"/>
          <w:szCs w:val="20"/>
        </w:rPr>
        <w:t>Programa de Trabalho: 174672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left="1494" w:hanging="0"/>
        <w:jc w:val="both"/>
        <w:rPr>
          <w:rFonts w:ascii="Arial" w:hAnsi="Arial" w:eastAsia="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eastAsia="" w:cs="Arial" w:ascii="Arial" w:hAnsi="Arial"/>
          <w:b w:val="false"/>
          <w:bCs w:val="false"/>
          <w:color w:val="000000"/>
          <w:sz w:val="20"/>
          <w:szCs w:val="20"/>
        </w:rPr>
        <w:t>Elemento de Despesa: 339030</w:t>
      </w:r>
    </w:p>
    <w:p>
      <w:pPr>
        <w:pStyle w:val="Normal"/>
        <w:numPr>
          <w:ilvl w:val="0"/>
          <w:numId w:val="0"/>
        </w:numPr>
        <w:spacing w:lineRule="auto" w:line="276" w:before="120" w:after="120"/>
        <w:ind w:left="1494" w:hanging="0"/>
        <w:jc w:val="both"/>
        <w:rPr>
          <w:rFonts w:ascii="Arial" w:hAnsi="Arial" w:eastAsia="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eastAsia="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highlight w:val="white"/>
          <w:u w:val="none"/>
          <w:vertAlign w:val="baseline"/>
        </w:rPr>
        <w:t xml:space="preserve">PI: </w:t>
      </w:r>
      <w:bookmarkStart w:id="15" w:name="manterPage%253Aform%253AmanterForm"/>
      <w:bookmarkStart w:id="16" w:name="manterPage%253Aform%253AmanterForm%253Ac"/>
      <w:bookmarkEnd w:id="15"/>
      <w:bookmarkEnd w:id="16"/>
      <w:r>
        <w:rPr>
          <w:rFonts w:eastAsia="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highlight w:val="white"/>
          <w:u w:val="none"/>
          <w:vertAlign w:val="baseline"/>
        </w:rPr>
        <w:t>G.472.MN.0.0.1.B4</w:t>
      </w:r>
    </w:p>
    <w:p>
      <w:pPr>
        <w:pStyle w:val="Normal"/>
        <w:spacing w:lineRule="auto" w:line="276" w:before="0" w:after="0"/>
        <w:jc w:val="both"/>
        <w:rPr>
          <w:rFonts w:ascii="Arial" w:hAnsi="Arial" w:eastAsia="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eastAsia="" w:cs="Arial" w:ascii="Arial" w:hAnsi="Arial"/>
          <w:b w:val="false"/>
          <w:bCs w:val="false"/>
          <w:color w:val="000000"/>
          <w:sz w:val="20"/>
          <w:szCs w:val="20"/>
        </w:rPr>
      </w:r>
    </w:p>
    <w:p>
      <w:pPr>
        <w:pStyle w:val="Normal"/>
        <w:widowControl/>
        <w:numPr>
          <w:ilvl w:val="0"/>
          <w:numId w:val="0"/>
        </w:numPr>
        <w:bidi w:val="0"/>
        <w:spacing w:before="0" w:after="360"/>
        <w:ind w:left="360" w:hanging="0"/>
        <w:jc w:val="left"/>
        <w:rPr/>
      </w:pPr>
      <w:r>
        <w:rPr>
          <w:rFonts w:cs="Arial"/>
          <w:b w:val="false"/>
          <w:bCs w:val="false"/>
          <w:color w:val="000000"/>
          <w:sz w:val="20"/>
          <w:szCs w:val="20"/>
        </w:rPr>
        <w:t xml:space="preserve">Rio de Janeiro, RJ. Em </w:t>
      </w:r>
      <w:r>
        <w:rPr>
          <w:rFonts w:cs="Arial"/>
          <w:b w:val="false"/>
          <w:bCs w:val="false"/>
          <w:color w:val="CE181E"/>
          <w:sz w:val="20"/>
          <w:szCs w:val="20"/>
        </w:rPr>
        <w:t xml:space="preserve">    </w:t>
      </w:r>
      <w:r>
        <w:rPr>
          <w:rFonts w:cs="Arial"/>
          <w:b w:val="false"/>
          <w:bCs w:val="false"/>
          <w:color w:val="000000"/>
          <w:sz w:val="20"/>
          <w:szCs w:val="20"/>
        </w:rPr>
        <w:t xml:space="preserve"> de </w:t>
      </w:r>
      <w:r>
        <w:rPr>
          <w:rFonts w:cs="Arial"/>
          <w:b w:val="false"/>
          <w:bCs w:val="false"/>
          <w:color w:val="CE181E"/>
          <w:sz w:val="20"/>
          <w:szCs w:val="20"/>
        </w:rPr>
        <w:t xml:space="preserve">               </w:t>
      </w:r>
      <w:r>
        <w:rPr>
          <w:rFonts w:cs="Arial"/>
          <w:b w:val="false"/>
          <w:bCs w:val="false"/>
          <w:color w:val="000000"/>
          <w:sz w:val="20"/>
          <w:szCs w:val="20"/>
        </w:rPr>
        <w:t xml:space="preserve"> de 2022.</w:t>
      </w:r>
    </w:p>
    <w:p>
      <w:pPr>
        <w:pStyle w:val="Normal"/>
        <w:widowControl/>
        <w:numPr>
          <w:ilvl w:val="0"/>
          <w:numId w:val="0"/>
        </w:numPr>
        <w:tabs>
          <w:tab w:val="left" w:pos="2836" w:leader="none"/>
        </w:tabs>
        <w:bidi w:val="0"/>
        <w:spacing w:lineRule="auto" w:line="240" w:before="0" w:after="0"/>
        <w:ind w:left="360" w:hanging="0"/>
        <w:jc w:val="center"/>
        <w:rPr>
          <w:rFonts w:ascii="Arial" w:hAnsi="Arial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</w:pPr>
      <w:r>
        <w:rPr>
          <w:rFonts w:cs="Times New Roman" w:ascii="Arial" w:hAnsi="Arial"/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left" w:pos="2836" w:leader="none"/>
        </w:tabs>
        <w:bidi w:val="0"/>
        <w:spacing w:lineRule="auto" w:line="240" w:before="0" w:after="0"/>
        <w:ind w:left="360" w:hanging="0"/>
        <w:jc w:val="left"/>
        <w:rPr/>
      </w:pP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  <w:t>Setor solicitante: Divisão de Serviços Gerais.</w:t>
      </w:r>
    </w:p>
    <w:p>
      <w:pPr>
        <w:pStyle w:val="Normal"/>
        <w:widowControl/>
        <w:tabs>
          <w:tab w:val="left" w:pos="2836" w:leader="none"/>
        </w:tabs>
        <w:bidi w:val="0"/>
        <w:spacing w:lineRule="auto" w:line="240" w:before="0" w:after="0"/>
        <w:jc w:val="center"/>
        <w:rPr>
          <w:rFonts w:cs="Times New Roman"/>
          <w:b w:val="false"/>
          <w:b w:val="false"/>
          <w:bCs w:val="false"/>
          <w:i w:val="false"/>
          <w:i w:val="false"/>
          <w:strike w:val="false"/>
          <w:dstrike w:val="false"/>
          <w:outline w:val="false"/>
          <w:shadow w:val="false"/>
          <w:color w:val="CE181E"/>
          <w:sz w:val="20"/>
          <w:szCs w:val="20"/>
          <w:u w:val="none"/>
          <w:em w:val="none"/>
        </w:rPr>
      </w:pPr>
      <w:r>
        <w:rPr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CE181E"/>
          <w:sz w:val="20"/>
          <w:szCs w:val="20"/>
          <w:u w:val="none"/>
          <w:em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left" w:pos="2836" w:leader="none"/>
        </w:tabs>
        <w:bidi w:val="0"/>
        <w:spacing w:lineRule="auto" w:line="240" w:before="0" w:after="0"/>
        <w:ind w:left="360" w:hanging="0"/>
        <w:jc w:val="center"/>
        <w:rPr>
          <w:rFonts w:cs="Times New Roman"/>
          <w:b w:val="false"/>
          <w:b w:val="false"/>
          <w:bCs w:val="false"/>
          <w:i w:val="false"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em w:val="none"/>
        </w:rPr>
      </w:pPr>
      <w:r>
        <w:rPr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em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left" w:pos="2836" w:leader="none"/>
        </w:tabs>
        <w:bidi w:val="0"/>
        <w:spacing w:lineRule="auto" w:line="240" w:before="0" w:after="0"/>
        <w:ind w:left="360" w:hanging="0"/>
        <w:jc w:val="center"/>
        <w:rPr>
          <w:rFonts w:cs="Times New Roman"/>
          <w:b w:val="false"/>
          <w:b w:val="false"/>
          <w:bCs w:val="false"/>
          <w:i w:val="false"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em w:val="none"/>
        </w:rPr>
      </w:pPr>
      <w:r>
        <w:rPr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sz w:val="20"/>
          <w:szCs w:val="20"/>
          <w:u w:val="none"/>
          <w:em w:val="none"/>
        </w:rPr>
      </w:r>
    </w:p>
    <w:p>
      <w:pPr>
        <w:pStyle w:val="Normal"/>
        <w:widowControl/>
        <w:numPr>
          <w:ilvl w:val="0"/>
          <w:numId w:val="0"/>
        </w:numPr>
        <w:tabs>
          <w:tab w:val="left" w:pos="2836" w:leader="none"/>
        </w:tabs>
        <w:bidi w:val="0"/>
        <w:spacing w:lineRule="auto" w:line="240" w:before="0" w:after="0"/>
        <w:ind w:left="360" w:hanging="0"/>
        <w:jc w:val="center"/>
        <w:rPr/>
      </w:pPr>
      <w:r>
        <w:rPr>
          <w:rFonts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  <w:t>LÉCIO AMARILIO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360" w:hanging="0"/>
        <w:jc w:val="center"/>
        <w:rPr/>
      </w:pPr>
      <w:r>
        <w:rPr>
          <w:rFonts w:cs="Arial"/>
          <w:color w:val="000000"/>
          <w:sz w:val="20"/>
          <w:szCs w:val="20"/>
        </w:rPr>
        <w:t>Primeiro Tenente (AFN)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360" w:hanging="0"/>
        <w:jc w:val="center"/>
        <w:rPr/>
      </w:pPr>
      <w:r>
        <w:rPr>
          <w:rFonts w:cs="Arial"/>
          <w:color w:val="000000"/>
          <w:sz w:val="20"/>
          <w:szCs w:val="20"/>
        </w:rPr>
        <w:t>Encarregado dos Serviços Gerais</w:t>
      </w:r>
    </w:p>
    <w:p>
      <w:pPr>
        <w:pStyle w:val="Normal"/>
        <w:widowControl/>
        <w:numPr>
          <w:ilvl w:val="0"/>
          <w:numId w:val="0"/>
        </w:numPr>
        <w:overflowPunct w:val="true"/>
        <w:bidi w:val="0"/>
        <w:spacing w:lineRule="auto" w:line="240" w:before="0" w:after="0"/>
        <w:ind w:left="360" w:hanging="0"/>
        <w:jc w:val="center"/>
        <w:rPr>
          <w:rFonts w:ascii="Arial" w:hAnsi="Arial" w:cs="Times New Roman"/>
          <w:color w:val="000000"/>
          <w:sz w:val="20"/>
          <w:szCs w:val="20"/>
        </w:rPr>
      </w:pPr>
      <w:r>
        <w:rPr>
          <w:rFonts w:cs="Times New Roman" w:ascii="Arial" w:hAnsi="Arial"/>
          <w:color w:val="000000"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before="0" w:after="360"/>
        <w:ind w:left="36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numPr>
          <w:ilvl w:val="0"/>
          <w:numId w:val="0"/>
        </w:numPr>
        <w:bidi w:val="0"/>
        <w:spacing w:before="0" w:after="360"/>
        <w:ind w:left="360" w:hanging="0"/>
        <w:jc w:val="left"/>
        <w:rPr/>
      </w:pPr>
      <w:r>
        <w:rPr>
          <w:rFonts w:cs="Arial"/>
          <w:sz w:val="20"/>
          <w:szCs w:val="20"/>
        </w:rPr>
        <w:t>Aprovo:</w:t>
      </w:r>
    </w:p>
    <w:p>
      <w:pPr>
        <w:pStyle w:val="Normal"/>
        <w:widowControl/>
        <w:numPr>
          <w:ilvl w:val="0"/>
          <w:numId w:val="0"/>
        </w:numPr>
        <w:overflowPunct w:val="true"/>
        <w:bidi w:val="0"/>
        <w:spacing w:before="0" w:after="75"/>
        <w:ind w:left="360" w:hanging="0"/>
        <w:jc w:val="center"/>
        <w:rPr/>
      </w:pPr>
      <w:r>
        <w:rPr>
          <w:rFonts w:cs="Arial"/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  <w:t>JOSÉ MAURO LOURENÇO JÚNIOR</w:t>
      </w:r>
    </w:p>
    <w:p>
      <w:pPr>
        <w:pStyle w:val="Normal"/>
        <w:widowControl/>
        <w:numPr>
          <w:ilvl w:val="0"/>
          <w:numId w:val="0"/>
        </w:numPr>
        <w:overflowPunct w:val="true"/>
        <w:bidi w:val="0"/>
        <w:spacing w:before="0" w:after="75"/>
        <w:ind w:left="360" w:hanging="0"/>
        <w:jc w:val="center"/>
        <w:rPr/>
      </w:pPr>
      <w:r>
        <w:rPr>
          <w:rFonts w:cs="Arial"/>
          <w:color w:val="000000"/>
          <w:sz w:val="20"/>
          <w:szCs w:val="20"/>
        </w:rPr>
        <w:t>Capitão de Mar e Guerra(FN)</w:t>
      </w:r>
    </w:p>
    <w:p>
      <w:pPr>
        <w:pStyle w:val="Normal"/>
        <w:widowControl/>
        <w:numPr>
          <w:ilvl w:val="0"/>
          <w:numId w:val="0"/>
        </w:numPr>
        <w:overflowPunct w:val="true"/>
        <w:bidi w:val="0"/>
        <w:spacing w:before="0" w:after="75"/>
        <w:ind w:left="360" w:hanging="0"/>
        <w:jc w:val="center"/>
        <w:rPr/>
      </w:pPr>
      <w:r>
        <w:rPr>
          <w:rFonts w:cs="Arial"/>
          <w:color w:val="000000"/>
          <w:sz w:val="20"/>
          <w:szCs w:val="20"/>
        </w:rPr>
        <w:t xml:space="preserve">Ordenador de Despesas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432" w:hanging="0"/>
        <w:jc w:val="both"/>
        <w:rPr/>
      </w:pPr>
      <w:r>
        <w:rPr/>
      </w:r>
    </w:p>
    <w:sectPr>
      <w:footerReference w:type="default" r:id="rId3"/>
      <w:type w:val="nextPage"/>
      <w:pgSz w:w="11906" w:h="16838"/>
      <w:pgMar w:left="1701" w:right="1134" w:header="0" w:top="1701" w:footer="708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sz w:val="12"/>
        <w:szCs w:val="12"/>
      </w:rPr>
    </w:pPr>
    <w:r>
      <w:rPr>
        <w:sz w:val="12"/>
        <w:szCs w:val="12"/>
      </w:rPr>
      <w:t>Termo de Referência – Compras – Lei nº 14.133/21 – Contratação Direta</w:t>
    </w:r>
  </w:p>
  <w:p>
    <w:pPr>
      <w:pStyle w:val="Rodap"/>
      <w:rPr/>
    </w:pPr>
    <w:r>
      <w:rPr>
        <w:sz w:val="12"/>
        <w:szCs w:val="12"/>
      </w:rPr>
      <w:t>Atualização: Junho/2022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0"/>
        <w:b/>
        <w:color w:val="00000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dstrike w:val="false"/>
        <w:strike w:val="false"/>
        <w:sz w:val="28"/>
        <w:i w:val="false"/>
        <w:u w:val="none"/>
        <w:b w:val="false"/>
        <w:effect w:val="none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sz w:val="20"/>
        <w:i w:val="false"/>
        <w:b/>
        <w:rFonts w:ascii="Arial" w:hAnsi="Arial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5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dstrike w:val="false"/>
        <w:strike w:val="false"/>
        <w:sz w:val="20"/>
        <w:i w:val="false"/>
        <w:u w:val="none"/>
        <w:b w:val="false"/>
        <w:effect w:val="none"/>
        <w:rFonts w:ascii="Arial" w:hAnsi="Arial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i w:val="false"/>
        <w:b w:val="false"/>
        <w:rFonts w:ascii="Arial" w:hAnsi="Arial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4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dstrike w:val="false"/>
        <w:strike w:val="false"/>
        <w:sz w:val="20"/>
        <w:i w:val="false"/>
        <w:u w:val="none"/>
        <w:b w:val="false"/>
        <w:effect w:val="none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i w:val="false"/>
        <w:b w:val="false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dstrike w:val="false"/>
        <w:strike w:val="false"/>
        <w:sz w:val="20"/>
        <w:i w:val="false"/>
        <w:u w:val="none"/>
        <w:b w:val="false"/>
        <w:effect w:val="none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i w:val="false"/>
        <w:b w:val="false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6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6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6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6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3.%4.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4.%5.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5.%6.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6.%7.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7.%8.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75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71e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unhideWhenUsed/>
    <w:rsid w:val="00fe71e3"/>
    <w:rPr>
      <w:color w:val="000080"/>
      <w:u w:val="single"/>
    </w:rPr>
  </w:style>
  <w:style w:type="character" w:styleId="CitaoChar" w:customStyle="1">
    <w:name w:val="Citação Char"/>
    <w:basedOn w:val="DefaultParagraphFont"/>
    <w:link w:val="Citao"/>
    <w:qFormat/>
    <w:rsid w:val="00fe71e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fe71e3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Ttulo1Char" w:customStyle="1">
    <w:name w:val="Título 1 Char"/>
    <w:basedOn w:val="DefaultParagraphFont"/>
    <w:link w:val="Ttulo1"/>
    <w:uiPriority w:val="9"/>
    <w:qFormat/>
    <w:rsid w:val="00fe71e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ormalchar1" w:customStyle="1">
    <w:name w:val="normal__char1"/>
    <w:qFormat/>
    <w:rsid w:val="00a45c1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42560b"/>
    <w:rPr>
      <w:b/>
      <w:bCs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c81183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unhideWhenUsed/>
    <w:qFormat/>
    <w:rsid w:val="0084366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843661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843661"/>
    <w:rPr>
      <w:b/>
      <w:bCs/>
      <w:sz w:val="20"/>
      <w:szCs w:val="20"/>
    </w:rPr>
  </w:style>
  <w:style w:type="character" w:styleId="Ttulo6Char" w:customStyle="1">
    <w:name w:val="Título 6 Char"/>
    <w:basedOn w:val="DefaultParagraphFont"/>
    <w:link w:val="Ttulo6"/>
    <w:uiPriority w:val="9"/>
    <w:semiHidden/>
    <w:qFormat/>
    <w:rsid w:val="008e1fe3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06410"/>
    <w:rPr>
      <w:color w:val="954F72" w:themeColor="followedHyperlink"/>
      <w:u w:val="single"/>
    </w:rPr>
  </w:style>
  <w:style w:type="character" w:styleId="QuoteChar" w:customStyle="1">
    <w:name w:val="Quote Char"/>
    <w:link w:val="Citao1"/>
    <w:qFormat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</w:rPr>
  </w:style>
  <w:style w:type="character" w:styleId="Markedcontent" w:customStyle="1">
    <w:name w:val="markedcontent"/>
    <w:basedOn w:val="DefaultParagraphFont"/>
    <w:qFormat/>
    <w:rsid w:val="00bd4caf"/>
    <w:rPr/>
  </w:style>
  <w:style w:type="character" w:styleId="Highlight" w:customStyle="1">
    <w:name w:val="highlight"/>
    <w:basedOn w:val="DefaultParagraphFont"/>
    <w:qFormat/>
    <w:rsid w:val="00bd4caf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e81162"/>
    <w:rPr>
      <w:rFonts w:ascii="Segoe UI" w:hAnsi="Segoe UI" w:cs="Segoe UI"/>
      <w:sz w:val="18"/>
      <w:szCs w:val="18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307e84"/>
    <w:rPr>
      <w:color w:val="605E5C"/>
      <w:shd w:fill="E1DFDD" w:val="clear"/>
    </w:rPr>
  </w:style>
  <w:style w:type="character" w:styleId="Nivel2Char" w:customStyle="1">
    <w:name w:val="Nivel 2 Char"/>
    <w:basedOn w:val="DefaultParagraphFont"/>
    <w:link w:val="Nivel2"/>
    <w:qFormat/>
    <w:locked/>
    <w:rsid w:val="00ff4094"/>
    <w:rPr>
      <w:rFonts w:ascii="Arial" w:hAnsi="Arial" w:cs="Arial"/>
      <w:color w:val="000000"/>
    </w:rPr>
  </w:style>
  <w:style w:type="character" w:styleId="Citao2Char" w:customStyle="1">
    <w:name w:val="citação 2 Char"/>
    <w:basedOn w:val="CitaoChar"/>
    <w:link w:val="citao2"/>
    <w:qFormat/>
    <w:rsid w:val="003e7046"/>
    <w:rPr>
      <w:rFonts w:ascii="Arial" w:hAnsi="Arial" w:eastAsia="Calibri" w:cs="Tahoma"/>
      <w:i/>
      <w:iCs/>
      <w:color w:val="000000"/>
      <w:sz w:val="20"/>
      <w:szCs w:val="20"/>
      <w:shd w:fill="FFFFCC" w:val="clear"/>
      <w:lang w:eastAsia="zh-CN" w:bidi="hi-IN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73140b"/>
    <w:rPr/>
  </w:style>
  <w:style w:type="character" w:styleId="RodapChar" w:customStyle="1">
    <w:name w:val="Rodapé Char"/>
    <w:basedOn w:val="DefaultParagraphFont"/>
    <w:link w:val="Rodap"/>
    <w:uiPriority w:val="99"/>
    <w:qFormat/>
    <w:rsid w:val="0073140b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f57d61"/>
    <w:rPr>
      <w:color w:val="605E5C"/>
      <w:shd w:fill="E1DFDD" w:val="clear"/>
    </w:rPr>
  </w:style>
  <w:style w:type="character" w:styleId="ListLabel1">
    <w:name w:val="ListLabel 1"/>
    <w:qFormat/>
    <w:rPr>
      <w:b/>
      <w:color w:val="00000A"/>
    </w:rPr>
  </w:style>
  <w:style w:type="character" w:styleId="ListLabel2">
    <w:name w:val="ListLabel 2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3">
    <w:name w:val="ListLabel 3"/>
    <w:qFormat/>
    <w:rPr>
      <w:rFonts w:ascii="Arial" w:hAnsi="Arial"/>
      <w:b/>
      <w:i w:val="false"/>
      <w:color w:val="00000A"/>
      <w:sz w:val="20"/>
    </w:rPr>
  </w:style>
  <w:style w:type="character" w:styleId="ListLabel4">
    <w:name w:val="ListLabel 4"/>
    <w:qFormat/>
    <w:rPr>
      <w:b/>
      <w:color w:val="00000A"/>
    </w:rPr>
  </w:style>
  <w:style w:type="character" w:styleId="ListLabel5">
    <w:name w:val="ListLabel 5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6">
    <w:name w:val="ListLabel 6"/>
    <w:qFormat/>
    <w:rPr>
      <w:b w:val="false"/>
      <w:i w:val="false"/>
      <w:color w:val="00000A"/>
      <w:sz w:val="20"/>
    </w:rPr>
  </w:style>
  <w:style w:type="character" w:styleId="ListLabel7">
    <w:name w:val="ListLabel 7"/>
    <w:qFormat/>
    <w:rPr>
      <w:rFonts w:ascii="Arial" w:hAnsi="Arial"/>
      <w:b/>
      <w:bCs/>
      <w:sz w:val="20"/>
    </w:rPr>
  </w:style>
  <w:style w:type="character" w:styleId="ListLabel8">
    <w:name w:val="ListLabel 8"/>
    <w:qFormat/>
    <w:rPr>
      <w:b/>
      <w:color w:val="00000A"/>
    </w:rPr>
  </w:style>
  <w:style w:type="character" w:styleId="ListLabel9">
    <w:name w:val="ListLabel 9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0">
    <w:name w:val="ListLabel 10"/>
    <w:qFormat/>
    <w:rPr>
      <w:b w:val="false"/>
      <w:i w:val="false"/>
      <w:color w:val="00000A"/>
    </w:rPr>
  </w:style>
  <w:style w:type="character" w:styleId="ListLabel11">
    <w:name w:val="ListLabel 11"/>
    <w:qFormat/>
    <w:rPr>
      <w:b/>
      <w:color w:val="00000A"/>
    </w:rPr>
  </w:style>
  <w:style w:type="character" w:styleId="ListLabel12">
    <w:name w:val="ListLabel 12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3">
    <w:name w:val="ListLabel 13"/>
    <w:qFormat/>
    <w:rPr>
      <w:b w:val="false"/>
      <w:i w:val="false"/>
      <w:color w:val="00000A"/>
    </w:rPr>
  </w:style>
  <w:style w:type="character" w:styleId="ListLabel14">
    <w:name w:val="ListLabel 14"/>
    <w:qFormat/>
    <w:rPr>
      <w:b/>
      <w:color w:val="00000A"/>
    </w:rPr>
  </w:style>
  <w:style w:type="character" w:styleId="ListLabel15">
    <w:name w:val="ListLabel 15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6">
    <w:name w:val="ListLabel 16"/>
    <w:qFormat/>
    <w:rPr>
      <w:b w:val="false"/>
      <w:i w:val="false"/>
      <w:color w:val="00000A"/>
    </w:rPr>
  </w:style>
  <w:style w:type="character" w:styleId="ListLabel17">
    <w:name w:val="ListLabel 17"/>
    <w:qFormat/>
    <w:rPr>
      <w:b/>
      <w:color w:val="00000A"/>
    </w:rPr>
  </w:style>
  <w:style w:type="character" w:styleId="ListLabel18">
    <w:name w:val="ListLabel 18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9">
    <w:name w:val="ListLabel 19"/>
    <w:qFormat/>
    <w:rPr>
      <w:b w:val="false"/>
      <w:i w:val="false"/>
      <w:color w:val="00000A"/>
    </w:rPr>
  </w:style>
  <w:style w:type="character" w:styleId="ListLabel20">
    <w:name w:val="ListLabel 20"/>
    <w:qFormat/>
    <w:rPr>
      <w:b/>
      <w:color w:val="00000A"/>
    </w:rPr>
  </w:style>
  <w:style w:type="character" w:styleId="ListLabel21">
    <w:name w:val="ListLabel 21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22">
    <w:name w:val="ListLabel 22"/>
    <w:qFormat/>
    <w:rPr>
      <w:rFonts w:ascii="Arial" w:hAnsi="Arial"/>
      <w:b w:val="false"/>
      <w:i w:val="false"/>
      <w:color w:val="00000A"/>
      <w:sz w:val="20"/>
    </w:rPr>
  </w:style>
  <w:style w:type="character" w:styleId="ListLabel23">
    <w:name w:val="ListLabel 23"/>
    <w:qFormat/>
    <w:rPr>
      <w:b/>
      <w:color w:val="00000A"/>
    </w:rPr>
  </w:style>
  <w:style w:type="character" w:styleId="ListLabel24">
    <w:name w:val="ListLabel 24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25">
    <w:name w:val="ListLabel 25"/>
    <w:qFormat/>
    <w:rPr>
      <w:b w:val="false"/>
      <w:i w:val="false"/>
      <w:color w:val="00000A"/>
    </w:rPr>
  </w:style>
  <w:style w:type="character" w:styleId="ListLabel26">
    <w:name w:val="ListLabel 26"/>
    <w:qFormat/>
    <w:rPr>
      <w:b/>
      <w:color w:val="00000A"/>
    </w:rPr>
  </w:style>
  <w:style w:type="character" w:styleId="ListLabel27">
    <w:name w:val="ListLabel 27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28">
    <w:name w:val="ListLabel 28"/>
    <w:qFormat/>
    <w:rPr>
      <w:b w:val="false"/>
      <w:i w:val="false"/>
      <w:color w:val="00000A"/>
    </w:rPr>
  </w:style>
  <w:style w:type="character" w:styleId="ListLabel29">
    <w:name w:val="ListLabel 29"/>
    <w:qFormat/>
    <w:rPr>
      <w:b/>
      <w:color w:val="00000A"/>
    </w:rPr>
  </w:style>
  <w:style w:type="character" w:styleId="ListLabel30">
    <w:name w:val="ListLabel 30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31">
    <w:name w:val="ListLabel 31"/>
    <w:qFormat/>
    <w:rPr>
      <w:rFonts w:ascii="Arial" w:hAnsi="Arial"/>
      <w:b/>
      <w:i w:val="false"/>
      <w:color w:val="00000A"/>
      <w:sz w:val="20"/>
    </w:rPr>
  </w:style>
  <w:style w:type="character" w:styleId="ListLabel32">
    <w:name w:val="ListLabel 32"/>
    <w:qFormat/>
    <w:rPr>
      <w:b/>
      <w:color w:val="00000A"/>
    </w:rPr>
  </w:style>
  <w:style w:type="character" w:styleId="ListLabel33">
    <w:name w:val="ListLabel 33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34">
    <w:name w:val="ListLabel 34"/>
    <w:qFormat/>
    <w:rPr>
      <w:rFonts w:ascii="Arial" w:hAnsi="Arial"/>
      <w:b w:val="false"/>
      <w:i w:val="false"/>
      <w:color w:val="00000A"/>
      <w:sz w:val="20"/>
    </w:rPr>
  </w:style>
  <w:style w:type="character" w:styleId="ListLabel35">
    <w:name w:val="ListLabel 35"/>
    <w:qFormat/>
    <w:rPr>
      <w:b/>
      <w:color w:val="00000A"/>
    </w:rPr>
  </w:style>
  <w:style w:type="character" w:styleId="ListLabel36">
    <w:name w:val="ListLabel 36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37">
    <w:name w:val="ListLabel 37"/>
    <w:qFormat/>
    <w:rPr>
      <w:rFonts w:ascii="Arial" w:hAnsi="Arial"/>
      <w:b w:val="false"/>
      <w:i w:val="false"/>
      <w:color w:val="00000A"/>
      <w:sz w:val="20"/>
    </w:rPr>
  </w:style>
  <w:style w:type="character" w:styleId="ListLabel38">
    <w:name w:val="ListLabel 38"/>
    <w:qFormat/>
    <w:rPr>
      <w:b/>
      <w:color w:val="00000A"/>
    </w:rPr>
  </w:style>
  <w:style w:type="character" w:styleId="ListLabel39">
    <w:name w:val="ListLabel 39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40">
    <w:name w:val="ListLabel 40"/>
    <w:qFormat/>
    <w:rPr>
      <w:b w:val="false"/>
      <w:i w:val="false"/>
      <w:color w:val="00000A"/>
    </w:rPr>
  </w:style>
  <w:style w:type="character" w:styleId="ListLabel41">
    <w:name w:val="ListLabel 41"/>
    <w:qFormat/>
    <w:rPr>
      <w:b/>
      <w:color w:val="00000A"/>
    </w:rPr>
  </w:style>
  <w:style w:type="character" w:styleId="ListLabel42">
    <w:name w:val="ListLabel 42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43">
    <w:name w:val="ListLabel 43"/>
    <w:qFormat/>
    <w:rPr>
      <w:b w:val="false"/>
      <w:i w:val="false"/>
      <w:color w:val="00000A"/>
    </w:rPr>
  </w:style>
  <w:style w:type="character" w:styleId="ListLabel44">
    <w:name w:val="ListLabel 44"/>
    <w:qFormat/>
    <w:rPr>
      <w:b/>
      <w:color w:val="00000A"/>
    </w:rPr>
  </w:style>
  <w:style w:type="character" w:styleId="ListLabel45">
    <w:name w:val="ListLabel 45"/>
    <w:qFormat/>
    <w:rPr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46">
    <w:name w:val="ListLabel 46"/>
    <w:qFormat/>
    <w:rPr>
      <w:b/>
      <w:i w:val="false"/>
      <w:color w:val="00000A"/>
      <w:sz w:val="20"/>
    </w:rPr>
  </w:style>
  <w:style w:type="character" w:styleId="ListLabel47">
    <w:name w:val="ListLabel 47"/>
    <w:qFormat/>
    <w:rPr>
      <w:b/>
      <w:color w:val="00000A"/>
    </w:rPr>
  </w:style>
  <w:style w:type="character" w:styleId="ListLabel48">
    <w:name w:val="ListLabel 48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49">
    <w:name w:val="ListLabel 49"/>
    <w:qFormat/>
    <w:rPr>
      <w:b w:val="false"/>
      <w:i w:val="false"/>
      <w:color w:val="FF0000"/>
    </w:rPr>
  </w:style>
  <w:style w:type="character" w:styleId="ListLabel50">
    <w:name w:val="ListLabel 50"/>
    <w:qFormat/>
    <w:rPr>
      <w:b/>
      <w:color w:val="00000A"/>
    </w:rPr>
  </w:style>
  <w:style w:type="character" w:styleId="ListLabel51">
    <w:name w:val="ListLabel 51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52">
    <w:name w:val="ListLabel 52"/>
    <w:qFormat/>
    <w:rPr>
      <w:b w:val="false"/>
      <w:i w:val="false"/>
      <w:color w:val="FF0000"/>
    </w:rPr>
  </w:style>
  <w:style w:type="character" w:styleId="ListLabel53">
    <w:name w:val="ListLabel 53"/>
    <w:qFormat/>
    <w:rPr>
      <w:b/>
      <w:color w:val="00000A"/>
    </w:rPr>
  </w:style>
  <w:style w:type="character" w:styleId="ListLabel54">
    <w:name w:val="ListLabel 54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55">
    <w:name w:val="ListLabel 55"/>
    <w:qFormat/>
    <w:rPr>
      <w:b w:val="false"/>
      <w:i w:val="false"/>
      <w:color w:val="FF0000"/>
    </w:rPr>
  </w:style>
  <w:style w:type="character" w:styleId="ListLabel56">
    <w:name w:val="ListLabel 56"/>
    <w:qFormat/>
    <w:rPr>
      <w:b/>
      <w:color w:val="00000A"/>
    </w:rPr>
  </w:style>
  <w:style w:type="character" w:styleId="ListLabel57">
    <w:name w:val="ListLabel 57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58">
    <w:name w:val="ListLabel 58"/>
    <w:qFormat/>
    <w:rPr>
      <w:b w:val="false"/>
      <w:i w:val="false"/>
      <w:color w:val="00000A"/>
    </w:rPr>
  </w:style>
  <w:style w:type="character" w:styleId="ListLabel59">
    <w:name w:val="ListLabel 59"/>
    <w:qFormat/>
    <w:rPr>
      <w:b/>
      <w:color w:val="00000A"/>
    </w:rPr>
  </w:style>
  <w:style w:type="character" w:styleId="ListLabel60">
    <w:name w:val="ListLabel 60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61">
    <w:name w:val="ListLabel 61"/>
    <w:qFormat/>
    <w:rPr>
      <w:rFonts w:ascii="Arial" w:hAnsi="Arial"/>
      <w:b w:val="false"/>
      <w:i w:val="false"/>
      <w:color w:val="00000A"/>
      <w:sz w:val="20"/>
    </w:rPr>
  </w:style>
  <w:style w:type="character" w:styleId="ListLabel62">
    <w:name w:val="ListLabel 62"/>
    <w:qFormat/>
    <w:rPr>
      <w:b/>
      <w:color w:val="00000A"/>
    </w:rPr>
  </w:style>
  <w:style w:type="character" w:styleId="ListLabel63">
    <w:name w:val="ListLabel 63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64">
    <w:name w:val="ListLabel 64"/>
    <w:qFormat/>
    <w:rPr>
      <w:b w:val="false"/>
      <w:i w:val="false"/>
      <w:color w:val="00000A"/>
    </w:rPr>
  </w:style>
  <w:style w:type="character" w:styleId="ListLabel65">
    <w:name w:val="ListLabel 65"/>
    <w:qFormat/>
    <w:rPr>
      <w:b w:val="false"/>
      <w:bCs/>
    </w:rPr>
  </w:style>
  <w:style w:type="character" w:styleId="ListLabel66">
    <w:name w:val="ListLabel 66"/>
    <w:qFormat/>
    <w:rPr>
      <w:b w:val="false"/>
      <w:bCs/>
      <w:i w:val="false"/>
      <w:iCs/>
      <w:color w:val="00000A"/>
    </w:rPr>
  </w:style>
  <w:style w:type="character" w:styleId="ListLabel67">
    <w:name w:val="ListLabel 67"/>
    <w:qFormat/>
    <w:rPr>
      <w:b/>
      <w:color w:val="00000A"/>
    </w:rPr>
  </w:style>
  <w:style w:type="character" w:styleId="ListLabel68">
    <w:name w:val="ListLabel 68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69">
    <w:name w:val="ListLabel 69"/>
    <w:qFormat/>
    <w:rPr>
      <w:b w:val="false"/>
      <w:i w:val="false"/>
      <w:color w:val="00000A"/>
    </w:rPr>
  </w:style>
  <w:style w:type="character" w:styleId="ListLabel70">
    <w:name w:val="ListLabel 70"/>
    <w:qFormat/>
    <w:rPr>
      <w:b/>
      <w:color w:val="00000A"/>
    </w:rPr>
  </w:style>
  <w:style w:type="character" w:styleId="ListLabel71">
    <w:name w:val="ListLabel 71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72">
    <w:name w:val="ListLabel 72"/>
    <w:qFormat/>
    <w:rPr>
      <w:b w:val="false"/>
      <w:i w:val="false"/>
      <w:color w:val="00000A"/>
    </w:rPr>
  </w:style>
  <w:style w:type="character" w:styleId="ListLabel73">
    <w:name w:val="ListLabel 73"/>
    <w:qFormat/>
    <w:rPr>
      <w:b/>
      <w:color w:val="00000A"/>
    </w:rPr>
  </w:style>
  <w:style w:type="character" w:styleId="ListLabel74">
    <w:name w:val="ListLabel 74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75">
    <w:name w:val="ListLabel 75"/>
    <w:qFormat/>
    <w:rPr>
      <w:rFonts w:ascii="Arial" w:hAnsi="Arial"/>
      <w:b w:val="false"/>
      <w:i w:val="false"/>
      <w:color w:val="00000A"/>
      <w:sz w:val="20"/>
    </w:rPr>
  </w:style>
  <w:style w:type="character" w:styleId="ListLabel76">
    <w:name w:val="ListLabel 76"/>
    <w:qFormat/>
    <w:rPr>
      <w:b/>
      <w:color w:val="00000A"/>
    </w:rPr>
  </w:style>
  <w:style w:type="character" w:styleId="ListLabel77">
    <w:name w:val="ListLabel 77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78">
    <w:name w:val="ListLabel 78"/>
    <w:qFormat/>
    <w:rPr>
      <w:rFonts w:ascii="Arial" w:hAnsi="Arial"/>
      <w:b w:val="false"/>
      <w:i w:val="false"/>
      <w:color w:val="00000A"/>
      <w:sz w:val="20"/>
    </w:rPr>
  </w:style>
  <w:style w:type="character" w:styleId="ListLabel79">
    <w:name w:val="ListLabel 79"/>
    <w:qFormat/>
    <w:rPr>
      <w:b/>
      <w:color w:val="00000A"/>
    </w:rPr>
  </w:style>
  <w:style w:type="character" w:styleId="ListLabel80">
    <w:name w:val="ListLabel 80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81">
    <w:name w:val="ListLabel 81"/>
    <w:qFormat/>
    <w:rPr>
      <w:rFonts w:ascii="Arial" w:hAnsi="Arial"/>
      <w:b w:val="false"/>
      <w:i w:val="false"/>
      <w:color w:val="00000A"/>
      <w:sz w:val="20"/>
    </w:rPr>
  </w:style>
  <w:style w:type="character" w:styleId="ListLabel82">
    <w:name w:val="ListLabel 82"/>
    <w:qFormat/>
    <w:rPr>
      <w:b/>
      <w:color w:val="00000A"/>
    </w:rPr>
  </w:style>
  <w:style w:type="character" w:styleId="ListLabel83">
    <w:name w:val="ListLabel 83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84">
    <w:name w:val="ListLabel 84"/>
    <w:qFormat/>
    <w:rPr>
      <w:rFonts w:ascii="Arial" w:hAnsi="Arial"/>
      <w:b w:val="false"/>
      <w:i w:val="false"/>
      <w:color w:val="00000A"/>
      <w:sz w:val="20"/>
    </w:rPr>
  </w:style>
  <w:style w:type="character" w:styleId="ListLabel85">
    <w:name w:val="ListLabel 85"/>
    <w:qFormat/>
    <w:rPr>
      <w:b/>
      <w:color w:val="00000A"/>
    </w:rPr>
  </w:style>
  <w:style w:type="character" w:styleId="ListLabel86">
    <w:name w:val="ListLabel 86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87">
    <w:name w:val="ListLabel 87"/>
    <w:qFormat/>
    <w:rPr>
      <w:b w:val="false"/>
      <w:i w:val="false"/>
      <w:color w:val="00000A"/>
    </w:rPr>
  </w:style>
  <w:style w:type="character" w:styleId="ListLabel88">
    <w:name w:val="ListLabel 88"/>
    <w:qFormat/>
    <w:rPr>
      <w:b/>
      <w:color w:val="00000A"/>
    </w:rPr>
  </w:style>
  <w:style w:type="character" w:styleId="ListLabel89">
    <w:name w:val="ListLabel 89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90">
    <w:name w:val="ListLabel 90"/>
    <w:qFormat/>
    <w:rPr>
      <w:b w:val="false"/>
      <w:i w:val="false"/>
      <w:color w:val="00000A"/>
    </w:rPr>
  </w:style>
  <w:style w:type="character" w:styleId="ListLabel91">
    <w:name w:val="ListLabel 91"/>
    <w:qFormat/>
    <w:rPr>
      <w:b/>
      <w:color w:val="00000A"/>
    </w:rPr>
  </w:style>
  <w:style w:type="character" w:styleId="ListLabel92">
    <w:name w:val="ListLabel 92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93">
    <w:name w:val="ListLabel 93"/>
    <w:qFormat/>
    <w:rPr>
      <w:b w:val="false"/>
      <w:i w:val="false"/>
      <w:color w:val="00000A"/>
    </w:rPr>
  </w:style>
  <w:style w:type="character" w:styleId="ListLabel94">
    <w:name w:val="ListLabel 94"/>
    <w:qFormat/>
    <w:rPr>
      <w:b/>
      <w:color w:val="00000A"/>
    </w:rPr>
  </w:style>
  <w:style w:type="character" w:styleId="ListLabel95">
    <w:name w:val="ListLabel 95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96">
    <w:name w:val="ListLabel 96"/>
    <w:qFormat/>
    <w:rPr>
      <w:b w:val="false"/>
      <w:i w:val="false"/>
      <w:color w:val="00000A"/>
    </w:rPr>
  </w:style>
  <w:style w:type="character" w:styleId="ListLabel97">
    <w:name w:val="ListLabel 97"/>
    <w:qFormat/>
    <w:rPr>
      <w:b/>
      <w:color w:val="00000A"/>
    </w:rPr>
  </w:style>
  <w:style w:type="character" w:styleId="ListLabel98">
    <w:name w:val="ListLabel 98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99">
    <w:name w:val="ListLabel 99"/>
    <w:qFormat/>
    <w:rPr>
      <w:b w:val="false"/>
      <w:i w:val="false"/>
      <w:color w:val="00000A"/>
    </w:rPr>
  </w:style>
  <w:style w:type="character" w:styleId="ListLabel100">
    <w:name w:val="ListLabel 100"/>
    <w:qFormat/>
    <w:rPr>
      <w:b/>
      <w:color w:val="00000A"/>
    </w:rPr>
  </w:style>
  <w:style w:type="character" w:styleId="ListLabel101">
    <w:name w:val="ListLabel 101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02">
    <w:name w:val="ListLabel 102"/>
    <w:qFormat/>
    <w:rPr>
      <w:b w:val="false"/>
      <w:i w:val="false"/>
      <w:color w:val="00000A"/>
    </w:rPr>
  </w:style>
  <w:style w:type="character" w:styleId="ListLabel103">
    <w:name w:val="ListLabel 103"/>
    <w:qFormat/>
    <w:rPr>
      <w:b/>
      <w:color w:val="00000A"/>
    </w:rPr>
  </w:style>
  <w:style w:type="character" w:styleId="ListLabel104">
    <w:name w:val="ListLabel 104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05">
    <w:name w:val="ListLabel 105"/>
    <w:qFormat/>
    <w:rPr>
      <w:b w:val="false"/>
      <w:i w:val="false"/>
      <w:color w:val="00000A"/>
    </w:rPr>
  </w:style>
  <w:style w:type="character" w:styleId="ListLabel106">
    <w:name w:val="ListLabel 106"/>
    <w:qFormat/>
    <w:rPr>
      <w:b/>
      <w:color w:val="00000A"/>
    </w:rPr>
  </w:style>
  <w:style w:type="character" w:styleId="ListLabel107">
    <w:name w:val="ListLabel 107"/>
    <w:qFormat/>
    <w:rPr>
      <w:rFonts w:ascii="Arial" w:hAnsi="Arial"/>
      <w:b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08">
    <w:name w:val="ListLabel 108"/>
    <w:qFormat/>
    <w:rPr>
      <w:b w:val="false"/>
      <w:i w:val="false"/>
      <w:color w:val="00000A"/>
    </w:rPr>
  </w:style>
  <w:style w:type="character" w:styleId="ListLabel109">
    <w:name w:val="ListLabel 109"/>
    <w:qFormat/>
    <w:rPr>
      <w:b/>
      <w:color w:val="00000A"/>
    </w:rPr>
  </w:style>
  <w:style w:type="character" w:styleId="ListLabel110">
    <w:name w:val="ListLabel 110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11">
    <w:name w:val="ListLabel 111"/>
    <w:qFormat/>
    <w:rPr>
      <w:b w:val="false"/>
      <w:i w:val="false"/>
      <w:color w:val="00000A"/>
    </w:rPr>
  </w:style>
  <w:style w:type="character" w:styleId="ListLabel112">
    <w:name w:val="ListLabel 112"/>
    <w:qFormat/>
    <w:rPr>
      <w:b/>
      <w:color w:val="00000A"/>
    </w:rPr>
  </w:style>
  <w:style w:type="character" w:styleId="ListLabel113">
    <w:name w:val="ListLabel 113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14">
    <w:name w:val="ListLabel 114"/>
    <w:qFormat/>
    <w:rPr>
      <w:b w:val="false"/>
      <w:i w:val="false"/>
      <w:color w:val="00000A"/>
    </w:rPr>
  </w:style>
  <w:style w:type="character" w:styleId="ListLabel115">
    <w:name w:val="ListLabel 115"/>
    <w:qFormat/>
    <w:rPr>
      <w:b/>
      <w:color w:val="00000A"/>
    </w:rPr>
  </w:style>
  <w:style w:type="character" w:styleId="ListLabel116">
    <w:name w:val="ListLabel 116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17">
    <w:name w:val="ListLabel 117"/>
    <w:qFormat/>
    <w:rPr>
      <w:b w:val="false"/>
      <w:i w:val="false"/>
      <w:color w:val="00000A"/>
    </w:rPr>
  </w:style>
  <w:style w:type="character" w:styleId="ListLabel118">
    <w:name w:val="ListLabel 118"/>
    <w:qFormat/>
    <w:rPr>
      <w:b w:val="false"/>
      <w:i w:val="false"/>
      <w:color w:val="00000A"/>
    </w:rPr>
  </w:style>
  <w:style w:type="character" w:styleId="ListLabel119">
    <w:name w:val="ListLabel 119"/>
    <w:qFormat/>
    <w:rPr>
      <w:sz w:val="20"/>
      <w:szCs w:val="20"/>
    </w:rPr>
  </w:style>
  <w:style w:type="character" w:styleId="ListLabel120">
    <w:name w:val="ListLabel 120"/>
    <w:qFormat/>
    <w:rPr>
      <w:sz w:val="20"/>
      <w:szCs w:val="20"/>
    </w:rPr>
  </w:style>
  <w:style w:type="character" w:styleId="ListLabel121">
    <w:name w:val="ListLabel 121"/>
    <w:qFormat/>
    <w:rPr>
      <w:b/>
      <w:color w:val="00000A"/>
    </w:rPr>
  </w:style>
  <w:style w:type="character" w:styleId="ListLabel122">
    <w:name w:val="ListLabel 122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23">
    <w:name w:val="ListLabel 123"/>
    <w:qFormat/>
    <w:rPr>
      <w:b w:val="false"/>
      <w:i w:val="false"/>
      <w:color w:val="00000A"/>
    </w:rPr>
  </w:style>
  <w:style w:type="character" w:styleId="ListLabel124">
    <w:name w:val="ListLabel 124"/>
    <w:qFormat/>
    <w:rPr>
      <w:b/>
      <w:color w:val="00000A"/>
    </w:rPr>
  </w:style>
  <w:style w:type="character" w:styleId="ListLabel125">
    <w:name w:val="ListLabel 125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26">
    <w:name w:val="ListLabel 126"/>
    <w:qFormat/>
    <w:rPr>
      <w:rFonts w:ascii="Arial" w:hAnsi="Arial"/>
      <w:b w:val="false"/>
      <w:i w:val="false"/>
      <w:color w:val="00000A"/>
      <w:sz w:val="20"/>
    </w:rPr>
  </w:style>
  <w:style w:type="character" w:styleId="ListLabel127">
    <w:name w:val="ListLabel 127"/>
    <w:qFormat/>
    <w:rPr>
      <w:b/>
      <w:color w:val="00000A"/>
    </w:rPr>
  </w:style>
  <w:style w:type="character" w:styleId="ListLabel128">
    <w:name w:val="ListLabel 128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29">
    <w:name w:val="ListLabel 129"/>
    <w:qFormat/>
    <w:rPr>
      <w:rFonts w:ascii="Arial" w:hAnsi="Arial"/>
      <w:b w:val="false"/>
      <w:i w:val="false"/>
      <w:color w:val="00000A"/>
      <w:sz w:val="20"/>
    </w:rPr>
  </w:style>
  <w:style w:type="character" w:styleId="ListLabel130">
    <w:name w:val="ListLabel 130"/>
    <w:qFormat/>
    <w:rPr>
      <w:b/>
      <w:color w:val="00000A"/>
    </w:rPr>
  </w:style>
  <w:style w:type="character" w:styleId="ListLabel131">
    <w:name w:val="ListLabel 131"/>
    <w:qFormat/>
    <w:rPr>
      <w:b w:val="false"/>
      <w:i w:val="false"/>
      <w:strike w:val="false"/>
      <w:dstrike w:val="false"/>
      <w:color w:val="00000A"/>
      <w:u w:val="none"/>
      <w:effect w:val="none"/>
    </w:rPr>
  </w:style>
  <w:style w:type="character" w:styleId="ListLabel132">
    <w:name w:val="ListLabel 132"/>
    <w:qFormat/>
    <w:rPr>
      <w:rFonts w:ascii="Arial" w:hAnsi="Arial"/>
      <w:b w:val="false"/>
      <w:i w:val="false"/>
      <w:color w:val="00000A"/>
      <w:sz w:val="20"/>
    </w:rPr>
  </w:style>
  <w:style w:type="character" w:styleId="Fontepargpadro">
    <w:name w:val="Fonte parág. padrão"/>
    <w:qFormat/>
    <w:rPr/>
  </w:style>
  <w:style w:type="character" w:styleId="Nfaseforte">
    <w:name w:val="Ênfase forte"/>
    <w:qFormat/>
    <w:rPr>
      <w:b/>
      <w:bCs/>
    </w:rPr>
  </w:style>
  <w:style w:type="character" w:styleId="ListLabel133">
    <w:name w:val="ListLabel 133"/>
    <w:qFormat/>
    <w:rPr>
      <w:b/>
      <w:color w:val="00000A"/>
      <w:sz w:val="20"/>
    </w:rPr>
  </w:style>
  <w:style w:type="character" w:styleId="ListLabel134">
    <w:name w:val="ListLabel 134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35">
    <w:name w:val="ListLabel 135"/>
    <w:qFormat/>
    <w:rPr>
      <w:rFonts w:ascii="Arial" w:hAnsi="Arial"/>
      <w:b/>
      <w:i w:val="false"/>
      <w:color w:val="00000A"/>
      <w:sz w:val="20"/>
    </w:rPr>
  </w:style>
  <w:style w:type="character" w:styleId="ListLabel136">
    <w:name w:val="ListLabel 136"/>
    <w:qFormat/>
    <w:rPr>
      <w:b/>
      <w:color w:val="00000A"/>
    </w:rPr>
  </w:style>
  <w:style w:type="character" w:styleId="ListLabel137">
    <w:name w:val="ListLabel 137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38">
    <w:name w:val="ListLabel 138"/>
    <w:qFormat/>
    <w:rPr>
      <w:rFonts w:ascii="Arial" w:hAnsi="Arial"/>
      <w:b w:val="false"/>
      <w:i w:val="false"/>
      <w:color w:val="00000A"/>
    </w:rPr>
  </w:style>
  <w:style w:type="character" w:styleId="ListLabel139">
    <w:name w:val="ListLabel 139"/>
    <w:qFormat/>
    <w:rPr>
      <w:b/>
      <w:color w:val="00000A"/>
    </w:rPr>
  </w:style>
  <w:style w:type="character" w:styleId="ListLabel140">
    <w:name w:val="ListLabel 140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41">
    <w:name w:val="ListLabel 141"/>
    <w:qFormat/>
    <w:rPr>
      <w:b w:val="false"/>
      <w:i w:val="false"/>
      <w:color w:val="00000A"/>
    </w:rPr>
  </w:style>
  <w:style w:type="character" w:styleId="ListLabel142">
    <w:name w:val="ListLabel 142"/>
    <w:qFormat/>
    <w:rPr>
      <w:b/>
      <w:color w:val="00000A"/>
    </w:rPr>
  </w:style>
  <w:style w:type="character" w:styleId="ListLabel143">
    <w:name w:val="ListLabel 143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44">
    <w:name w:val="ListLabel 144"/>
    <w:qFormat/>
    <w:rPr>
      <w:b w:val="false"/>
      <w:i w:val="false"/>
      <w:color w:val="00000A"/>
    </w:rPr>
  </w:style>
  <w:style w:type="character" w:styleId="ListLabel145">
    <w:name w:val="ListLabel 145"/>
    <w:qFormat/>
    <w:rPr>
      <w:b/>
      <w:color w:val="00000A"/>
      <w:sz w:val="20"/>
    </w:rPr>
  </w:style>
  <w:style w:type="character" w:styleId="ListLabel146">
    <w:name w:val="ListLabel 146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47">
    <w:name w:val="ListLabel 147"/>
    <w:qFormat/>
    <w:rPr>
      <w:rFonts w:ascii="Arial" w:hAnsi="Arial"/>
      <w:b/>
      <w:i w:val="false"/>
      <w:color w:val="00000A"/>
      <w:sz w:val="20"/>
    </w:rPr>
  </w:style>
  <w:style w:type="character" w:styleId="ListLabel148">
    <w:name w:val="ListLabel 148"/>
    <w:qFormat/>
    <w:rPr>
      <w:b/>
      <w:color w:val="00000A"/>
    </w:rPr>
  </w:style>
  <w:style w:type="character" w:styleId="ListLabel149">
    <w:name w:val="ListLabel 149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50">
    <w:name w:val="ListLabel 150"/>
    <w:qFormat/>
    <w:rPr>
      <w:rFonts w:ascii="Arial" w:hAnsi="Arial"/>
      <w:b w:val="false"/>
      <w:i w:val="false"/>
      <w:color w:val="00000A"/>
    </w:rPr>
  </w:style>
  <w:style w:type="character" w:styleId="ListLabel151">
    <w:name w:val="ListLabel 151"/>
    <w:qFormat/>
    <w:rPr>
      <w:b/>
      <w:color w:val="00000A"/>
    </w:rPr>
  </w:style>
  <w:style w:type="character" w:styleId="ListLabel152">
    <w:name w:val="ListLabel 152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53">
    <w:name w:val="ListLabel 153"/>
    <w:qFormat/>
    <w:rPr>
      <w:b w:val="false"/>
      <w:i w:val="false"/>
      <w:color w:val="00000A"/>
    </w:rPr>
  </w:style>
  <w:style w:type="character" w:styleId="ListLabel154">
    <w:name w:val="ListLabel 154"/>
    <w:qFormat/>
    <w:rPr>
      <w:b/>
      <w:color w:val="00000A"/>
    </w:rPr>
  </w:style>
  <w:style w:type="character" w:styleId="ListLabel155">
    <w:name w:val="ListLabel 155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56">
    <w:name w:val="ListLabel 156"/>
    <w:qFormat/>
    <w:rPr>
      <w:b w:val="false"/>
      <w:i w:val="false"/>
      <w:color w:val="00000A"/>
    </w:rPr>
  </w:style>
  <w:style w:type="character" w:styleId="ListLabel157">
    <w:name w:val="ListLabel 157"/>
    <w:qFormat/>
    <w:rPr>
      <w:b/>
      <w:color w:val="00000A"/>
      <w:sz w:val="20"/>
    </w:rPr>
  </w:style>
  <w:style w:type="character" w:styleId="ListLabel158">
    <w:name w:val="ListLabel 158"/>
    <w:qFormat/>
    <w:rPr>
      <w:b w:val="false"/>
      <w:i w:val="false"/>
      <w:strike w:val="false"/>
      <w:dstrike w:val="false"/>
      <w:color w:val="00000A"/>
      <w:sz w:val="28"/>
      <w:u w:val="none"/>
      <w:effect w:val="none"/>
    </w:rPr>
  </w:style>
  <w:style w:type="character" w:styleId="ListLabel159">
    <w:name w:val="ListLabel 159"/>
    <w:qFormat/>
    <w:rPr>
      <w:rFonts w:ascii="Arial" w:hAnsi="Arial"/>
      <w:b/>
      <w:i w:val="false"/>
      <w:color w:val="00000A"/>
      <w:sz w:val="20"/>
    </w:rPr>
  </w:style>
  <w:style w:type="character" w:styleId="ListLabel160">
    <w:name w:val="ListLabel 160"/>
    <w:qFormat/>
    <w:rPr>
      <w:b/>
      <w:color w:val="00000A"/>
    </w:rPr>
  </w:style>
  <w:style w:type="character" w:styleId="ListLabel161">
    <w:name w:val="ListLabel 161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62">
    <w:name w:val="ListLabel 162"/>
    <w:qFormat/>
    <w:rPr>
      <w:rFonts w:ascii="Arial" w:hAnsi="Arial"/>
      <w:b w:val="false"/>
      <w:i w:val="false"/>
      <w:color w:val="00000A"/>
    </w:rPr>
  </w:style>
  <w:style w:type="character" w:styleId="ListLabel163">
    <w:name w:val="ListLabel 163"/>
    <w:qFormat/>
    <w:rPr>
      <w:b/>
      <w:color w:val="00000A"/>
    </w:rPr>
  </w:style>
  <w:style w:type="character" w:styleId="ListLabel164">
    <w:name w:val="ListLabel 164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65">
    <w:name w:val="ListLabel 165"/>
    <w:qFormat/>
    <w:rPr>
      <w:b w:val="false"/>
      <w:i w:val="false"/>
      <w:color w:val="00000A"/>
    </w:rPr>
  </w:style>
  <w:style w:type="character" w:styleId="ListLabel166">
    <w:name w:val="ListLabel 166"/>
    <w:qFormat/>
    <w:rPr>
      <w:b/>
      <w:color w:val="00000A"/>
    </w:rPr>
  </w:style>
  <w:style w:type="character" w:styleId="ListLabel167">
    <w:name w:val="ListLabel 167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68">
    <w:name w:val="ListLabel 168"/>
    <w:qFormat/>
    <w:rPr>
      <w:b w:val="false"/>
      <w:i w:val="false"/>
      <w:color w:val="00000A"/>
    </w:rPr>
  </w:style>
  <w:style w:type="character" w:styleId="ListLabel169">
    <w:name w:val="ListLabel 169"/>
    <w:qFormat/>
    <w:rPr>
      <w:b/>
      <w:color w:val="00000A"/>
      <w:sz w:val="20"/>
    </w:rPr>
  </w:style>
  <w:style w:type="character" w:styleId="ListLabel170">
    <w:name w:val="ListLabel 170"/>
    <w:qFormat/>
    <w:rPr>
      <w:b w:val="false"/>
      <w:i w:val="false"/>
      <w:strike w:val="false"/>
      <w:dstrike w:val="false"/>
      <w:color w:val="00000A"/>
      <w:sz w:val="28"/>
      <w:u w:val="none"/>
      <w:effect w:val="none"/>
    </w:rPr>
  </w:style>
  <w:style w:type="character" w:styleId="ListLabel171">
    <w:name w:val="ListLabel 171"/>
    <w:qFormat/>
    <w:rPr>
      <w:rFonts w:ascii="Arial" w:hAnsi="Arial"/>
      <w:b/>
      <w:i w:val="false"/>
      <w:color w:val="00000A"/>
      <w:sz w:val="20"/>
    </w:rPr>
  </w:style>
  <w:style w:type="character" w:styleId="ListLabel172">
    <w:name w:val="ListLabel 172"/>
    <w:qFormat/>
    <w:rPr>
      <w:b/>
      <w:color w:val="00000A"/>
    </w:rPr>
  </w:style>
  <w:style w:type="character" w:styleId="ListLabel173">
    <w:name w:val="ListLabel 173"/>
    <w:qFormat/>
    <w:rPr>
      <w:rFonts w:ascii="Arial" w:hAnsi="Arial"/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74">
    <w:name w:val="ListLabel 174"/>
    <w:qFormat/>
    <w:rPr>
      <w:rFonts w:ascii="Arial" w:hAnsi="Arial"/>
      <w:b w:val="false"/>
      <w:i w:val="false"/>
      <w:color w:val="00000A"/>
    </w:rPr>
  </w:style>
  <w:style w:type="character" w:styleId="ListLabel175">
    <w:name w:val="ListLabel 175"/>
    <w:qFormat/>
    <w:rPr>
      <w:b/>
      <w:color w:val="00000A"/>
    </w:rPr>
  </w:style>
  <w:style w:type="character" w:styleId="ListLabel176">
    <w:name w:val="ListLabel 176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77">
    <w:name w:val="ListLabel 177"/>
    <w:qFormat/>
    <w:rPr>
      <w:b w:val="false"/>
      <w:i w:val="false"/>
      <w:color w:val="00000A"/>
    </w:rPr>
  </w:style>
  <w:style w:type="character" w:styleId="ListLabel178">
    <w:name w:val="ListLabel 178"/>
    <w:qFormat/>
    <w:rPr>
      <w:b/>
      <w:color w:val="00000A"/>
    </w:rPr>
  </w:style>
  <w:style w:type="character" w:styleId="ListLabel179">
    <w:name w:val="ListLabel 179"/>
    <w:qFormat/>
    <w:rPr>
      <w:b w:val="false"/>
      <w:i w:val="false"/>
      <w:strike w:val="false"/>
      <w:dstrike w:val="false"/>
      <w:color w:val="00000A"/>
      <w:sz w:val="20"/>
      <w:u w:val="none"/>
      <w:effect w:val="none"/>
    </w:rPr>
  </w:style>
  <w:style w:type="character" w:styleId="ListLabel180">
    <w:name w:val="ListLabel 180"/>
    <w:qFormat/>
    <w:rPr>
      <w:b w:val="false"/>
      <w:i w:val="false"/>
      <w:color w:val="00000A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Quote">
    <w:name w:val="Quote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</w:rPr>
  </w:style>
  <w:style w:type="paragraph" w:styleId="Nivel1" w:customStyle="1">
    <w:name w:val="Nivel1"/>
    <w:basedOn w:val="Ttulo1"/>
    <w:next w:val="Normal"/>
    <w:link w:val="Nivel1Char"/>
    <w:qFormat/>
    <w:rsid w:val="00fe71e3"/>
    <w:pPr>
      <w:spacing w:lineRule="auto" w:line="276" w:before="480" w:after="120"/>
      <w:jc w:val="both"/>
    </w:pPr>
    <w:rPr>
      <w:rFonts w:ascii="Arial" w:hAnsi="Arial" w:cs="Arial"/>
      <w:b/>
      <w:color w:val="000000"/>
    </w:rPr>
  </w:style>
  <w:style w:type="paragraph" w:styleId="ListParagraph">
    <w:name w:val="List Paragraph"/>
    <w:basedOn w:val="Normal"/>
    <w:uiPriority w:val="34"/>
    <w:qFormat/>
    <w:rsid w:val="00fe71e3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fe71e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ombreamentoMdio1nfase31" w:customStyle="1">
    <w:name w:val="Sombreamento Médio 1 - Ênfase 31"/>
    <w:basedOn w:val="Normal"/>
    <w:next w:val="Normal"/>
    <w:qFormat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lineRule="auto" w:line="240"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zh-CN"/>
    </w:rPr>
  </w:style>
  <w:style w:type="paragraph" w:styleId="Corpo" w:customStyle="1">
    <w:name w:val="corpo"/>
    <w:basedOn w:val="Normal"/>
    <w:qFormat/>
    <w:rsid w:val="00bb36b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84366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843661"/>
    <w:pPr/>
    <w:rPr>
      <w:b/>
      <w:bCs/>
    </w:rPr>
  </w:style>
  <w:style w:type="paragraph" w:styleId="Itemnivel2" w:customStyle="1">
    <w:name w:val="item_nivel2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Itemnivel1" w:customStyle="1">
    <w:name w:val="item_nivel1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Itemalinealetra" w:customStyle="1">
    <w:name w:val="item_alinea_letra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itao1" w:customStyle="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8116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ff4094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A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rsid w:val="00ff4094"/>
    <w:pPr>
      <w:spacing w:lineRule="auto" w:line="276" w:before="0" w:after="140"/>
    </w:pPr>
    <w:rPr/>
  </w:style>
  <w:style w:type="paragraph" w:styleId="Citao2" w:customStyle="1">
    <w:name w:val="citação 2"/>
    <w:basedOn w:val="Quote"/>
    <w:link w:val="citao2Char"/>
    <w:qFormat/>
    <w:rsid w:val="00ff4094"/>
    <w:pPr>
      <w:shd w:val="clear" w:fill="FFFFCC"/>
      <w:suppressAutoHyphens w:val="true"/>
    </w:pPr>
    <w:rPr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ff4094"/>
    <w:pPr>
      <w:spacing w:lineRule="auto" w:line="276" w:before="120" w:after="120"/>
      <w:jc w:val="both"/>
    </w:pPr>
    <w:rPr>
      <w:rFonts w:ascii="Arial" w:hAnsi="Arial" w:cs="Arial"/>
      <w:color w:val="000000"/>
    </w:rPr>
  </w:style>
  <w:style w:type="paragraph" w:styleId="Nivel3" w:customStyle="1">
    <w:name w:val="Nivel 3"/>
    <w:basedOn w:val="ListParagraph"/>
    <w:qFormat/>
    <w:rsid w:val="00ff4094"/>
    <w:pPr>
      <w:tabs>
        <w:tab w:val="left" w:pos="360" w:leader="none"/>
      </w:tabs>
      <w:spacing w:lineRule="auto" w:line="276" w:before="120" w:after="120"/>
      <w:ind w:left="425" w:hanging="0"/>
      <w:contextualSpacing/>
      <w:jc w:val="both"/>
    </w:pPr>
    <w:rPr>
      <w:rFonts w:ascii="Arial" w:hAnsi="Arial" w:eastAsia="Times New Roman" w:cs="Arial"/>
      <w:sz w:val="20"/>
      <w:szCs w:val="20"/>
      <w:lang w:eastAsia="pt-BR"/>
    </w:rPr>
  </w:style>
  <w:style w:type="paragraph" w:styleId="Nivel4" w:customStyle="1">
    <w:name w:val="Nivel 4"/>
    <w:basedOn w:val="Nivel3"/>
    <w:qFormat/>
    <w:rsid w:val="00ff4094"/>
    <w:pPr>
      <w:ind w:left="2491" w:hanging="648"/>
    </w:pPr>
    <w:rPr/>
  </w:style>
  <w:style w:type="paragraph" w:styleId="Nivel5" w:customStyle="1">
    <w:name w:val="Nivel 5"/>
    <w:basedOn w:val="Nivel4"/>
    <w:qFormat/>
    <w:rsid w:val="00ff4094"/>
    <w:pPr>
      <w:ind w:left="3485" w:hanging="792"/>
    </w:pPr>
    <w:rPr/>
  </w:style>
  <w:style w:type="paragraph" w:styleId="PADRO" w:customStyle="1">
    <w:name w:val="PADRÃO"/>
    <w:qFormat/>
    <w:rsid w:val="00ed4d94"/>
    <w:pPr>
      <w:keepNext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</w:pPr>
    <w:rPr>
      <w:rFonts w:ascii="Ecofont_Spranq_eco_Sans" w:hAnsi="Ecofont_Spranq_eco_Sans" w:eastAsia="WenQuanYi Micro Hei" w:cs="Lohit Hindi"/>
      <w:color w:val="00000A"/>
      <w:sz w:val="20"/>
      <w:szCs w:val="24"/>
      <w:lang w:val="pt-BR"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ntedodatabela">
    <w:name w:val="Conteúdo da tabela"/>
    <w:basedOn w:val="Normal"/>
    <w:qFormat/>
    <w:pPr/>
    <w:rPr/>
  </w:style>
  <w:style w:type="paragraph" w:styleId="Ttulodetabela">
    <w:name w:val="Título de tabela"/>
    <w:basedOn w:val="Contedodatabel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530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7446F-06E5-46E0-84F0-A1DE8612EA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LibreOffice/5.1.5.2$Windows_X86_64 LibreOffice_project/7a864d8825610a8c07cfc3bc01dd4fce6a9447e5</Application>
  <Pages>5</Pages>
  <Words>1907</Words>
  <Characters>10475</Characters>
  <CharactersWithSpaces>12201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2022-07-02T17:53:00Z</dcterms:created>
  <dc:creator>Marcela Ali Tarif</dc:creator>
  <dc:description/>
  <dc:language>pt-BR</dc:language>
  <cp:lastModifiedBy/>
  <dcterms:modified xsi:type="dcterms:W3CDTF">2022-10-26T15:27:13Z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0x01010012A2765E7DFD38469B2E626874CD0041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