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MARINHA DO BRASIL</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CENTRO DE INTENDÊNCIA DA MARINHA EM RIO GRANDE</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GRUPAMENTO DE FUZILEIROS NAVAIS DO RIO GRANDE</w:t>
      </w:r>
    </w:p>
    <w:p>
      <w:pPr>
        <w:pStyle w:val="Normal"/>
        <w:spacing w:lineRule="auto" w:line="276"/>
        <w:jc w:val="center"/>
        <w:rPr/>
      </w:pPr>
      <w:r>
        <w:rPr>
          <w:rFonts w:cs="Arial" w:ascii="CARLITO" w:hAnsi="CARLITO"/>
          <w:b/>
          <w:bCs/>
          <w:i w:val="false"/>
          <w:iCs w:val="false"/>
          <w:color w:val="000000"/>
          <w:sz w:val="24"/>
          <w:szCs w:val="24"/>
        </w:rPr>
        <w:t>AVISO DE DISPENSA ELETRÔNICA Nº 30209/2022</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napToGrid w:val="false"/>
        <w:spacing w:lineRule="auto" w:line="276" w:before="0" w:after="120"/>
        <w:ind w:left="0" w:right="-30" w:firstLine="540"/>
        <w:jc w:val="both"/>
        <w:rPr>
          <w:rFonts w:ascii="CARLITO" w:hAnsi="CARLITO"/>
          <w:sz w:val="24"/>
          <w:szCs w:val="24"/>
        </w:rPr>
      </w:pPr>
      <w:r>
        <w:rPr>
          <w:rFonts w:cs="Arial" w:ascii="CARLITO" w:hAnsi="CARLITO"/>
          <w:i w:val="false"/>
          <w:iCs w:val="false"/>
          <w:color w:val="000000"/>
          <w:sz w:val="24"/>
          <w:szCs w:val="24"/>
        </w:rPr>
        <w:t xml:space="preserve">Torna-se público que o centro de intendência da marinha em rio grande, realizará Dispensa Eletrônica, </w:t>
      </w:r>
      <w:r>
        <w:rPr>
          <w:rFonts w:cs="Arial" w:ascii="CARLITO" w:hAnsi="CARLITO"/>
          <w:bCs/>
          <w:i w:val="false"/>
          <w:iCs w:val="false"/>
          <w:color w:val="000000"/>
          <w:sz w:val="24"/>
          <w:szCs w:val="24"/>
        </w:rPr>
        <w:t>com critério de julgamento</w:t>
      </w:r>
      <w:r>
        <w:rPr>
          <w:rFonts w:cs="Arial" w:ascii="CARLITO" w:hAnsi="CARLITO"/>
          <w:b/>
          <w:bCs/>
          <w:i w:val="false"/>
          <w:iCs w:val="false"/>
          <w:color w:val="000000"/>
          <w:sz w:val="24"/>
          <w:szCs w:val="24"/>
        </w:rPr>
        <w:t xml:space="preserve"> </w:t>
      </w:r>
      <w:r>
        <w:rPr>
          <w:rFonts w:cs="Arial" w:ascii="CARLITO" w:hAnsi="CARLITO"/>
          <w:i w:val="false"/>
          <w:iCs w:val="false"/>
          <w:color w:val="000000"/>
          <w:sz w:val="24"/>
          <w:szCs w:val="24"/>
        </w:rPr>
        <w:t>menor preço</w:t>
      </w:r>
      <w:r>
        <w:rPr>
          <w:rFonts w:cs="Arial" w:ascii="CARLITO" w:hAnsi="CARLITO"/>
          <w:b w:val="false"/>
          <w:bCs w:val="false"/>
          <w:i w:val="false"/>
          <w:iCs w:val="false"/>
          <w:color w:val="000000"/>
          <w:sz w:val="24"/>
          <w:szCs w:val="24"/>
        </w:rPr>
        <w:t xml:space="preserve">, </w:t>
      </w:r>
      <w:r>
        <w:rPr>
          <w:rFonts w:cs="Arial" w:ascii="CARLITO" w:hAnsi="CARLITO"/>
          <w:i w:val="false"/>
          <w:iCs w:val="false"/>
          <w:color w:val="000000"/>
          <w:sz w:val="24"/>
          <w:szCs w:val="24"/>
        </w:rPr>
        <w:t xml:space="preserve">na hipótese do art. 75, inciso </w:t>
      </w:r>
      <w:r>
        <w:rPr>
          <w:rFonts w:cs="Arial" w:ascii="CARLITO" w:hAnsi="CARLITO"/>
          <w:b/>
          <w:i w:val="false"/>
          <w:iCs w:val="false"/>
          <w:color w:val="000000"/>
          <w:sz w:val="24"/>
          <w:szCs w:val="24"/>
        </w:rPr>
        <w:t>II</w:t>
      </w:r>
      <w:r>
        <w:rPr>
          <w:rFonts w:cs="Arial" w:ascii="CARLITO" w:hAnsi="CARLITO"/>
          <w:i w:val="false"/>
          <w:iCs w:val="false"/>
          <w:color w:val="000000"/>
          <w:sz w:val="24"/>
          <w:szCs w:val="24"/>
        </w:rPr>
        <w:t xml:space="preserve">, </w:t>
      </w:r>
      <w:r>
        <w:rPr>
          <w:rFonts w:cs="Arial" w:ascii="CARLITO" w:hAnsi="CARLITO"/>
          <w:bCs/>
          <w:i w:val="false"/>
          <w:iCs w:val="false"/>
          <w:color w:val="000000"/>
          <w:sz w:val="24"/>
          <w:szCs w:val="24"/>
        </w:rPr>
        <w:t>nos termos da Lei nº 14.133, de 1º de abril de 2021, da Instrução Normativa SEGES/ME nº 67/2021 e demais legislação aplicável</w:t>
      </w:r>
      <w:r>
        <w:rPr>
          <w:rFonts w:cs="Arial" w:ascii="CARLITO" w:hAnsi="CARLITO"/>
          <w:i w:val="false"/>
          <w:iCs w:val="false"/>
          <w:color w:val="000000"/>
          <w:sz w:val="24"/>
          <w:szCs w:val="24"/>
        </w:rPr>
        <w:t>.</w:t>
      </w:r>
    </w:p>
    <w:p>
      <w:pPr>
        <w:pStyle w:val="Normal"/>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jc w:val="both"/>
        <w:rPr/>
      </w:pPr>
      <w:r>
        <w:rPr>
          <w:rFonts w:cs="Arial" w:ascii="CARLITO" w:hAnsi="CARLITO"/>
          <w:i w:val="false"/>
          <w:iCs w:val="false"/>
          <w:color w:val="000000"/>
          <w:sz w:val="24"/>
          <w:szCs w:val="24"/>
        </w:rPr>
        <w:t>Data da sessão: 2</w:t>
      </w:r>
      <w:r>
        <w:rPr>
          <w:rFonts w:cs="Arial" w:ascii="CARLITO" w:hAnsi="CARLITO"/>
          <w:i w:val="false"/>
          <w:iCs w:val="false"/>
          <w:color w:val="000000"/>
          <w:sz w:val="24"/>
          <w:szCs w:val="24"/>
        </w:rPr>
        <w:t>4</w:t>
      </w:r>
      <w:r>
        <w:rPr>
          <w:rFonts w:cs="Arial" w:ascii="CARLITO" w:hAnsi="CARLITO"/>
          <w:i w:val="false"/>
          <w:iCs w:val="false"/>
          <w:color w:val="000000"/>
          <w:sz w:val="24"/>
          <w:szCs w:val="24"/>
        </w:rPr>
        <w:t>/11/2022</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t>Horário da Fase de Lances: 8:00 às 14:00hs</w:t>
      </w:r>
    </w:p>
    <w:p>
      <w:pPr>
        <w:pStyle w:val="PADRO"/>
        <w:keepNext w:val="true"/>
        <w:widowControl/>
        <w:shd w:val="clear" w:fill="FFFFFF"/>
        <w:spacing w:before="120" w:after="120"/>
        <w:ind w:left="360" w:right="0" w:hanging="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OBJETO DA CONTRATAÇÃO DIRETA</w:t>
      </w:r>
    </w:p>
    <w:p>
      <w:pPr>
        <w:pStyle w:val="PADRO"/>
        <w:widowControl/>
        <w:numPr>
          <w:ilvl w:val="1"/>
          <w:numId w:val="1"/>
        </w:numPr>
        <w:shd w:val="clear" w:fill="FFFFFF"/>
        <w:spacing w:before="120" w:after="120"/>
        <w:rPr/>
      </w:pPr>
      <w:r>
        <w:rPr>
          <w:rFonts w:ascii="CARLITO" w:hAnsi="CARLITO"/>
          <w:i w:val="false"/>
          <w:iCs w:val="false"/>
          <w:color w:val="000000"/>
          <w:sz w:val="24"/>
          <w:szCs w:val="24"/>
        </w:rPr>
        <w:t xml:space="preserve"> </w:t>
      </w:r>
      <w:r>
        <w:rPr>
          <w:rFonts w:eastAsia="WenQuanYi Micro Hei" w:cs="Lohit Hindi" w:ascii="CARLITO" w:hAnsi="CARLITO"/>
          <w:i w:val="false"/>
          <w:iCs w:val="false"/>
          <w:color w:val="000000"/>
          <w:kern w:val="0"/>
          <w:sz w:val="24"/>
          <w:szCs w:val="24"/>
          <w:lang w:val="pt-BR" w:eastAsia="zh-CN" w:bidi="hi-IN"/>
        </w:rPr>
        <w:t>Contratação de serviço de confecção</w:t>
      </w:r>
      <w:r>
        <w:rPr>
          <w:rFonts w:ascii="CARLITO" w:hAnsi="CARLITO"/>
          <w:i w:val="false"/>
          <w:iCs w:val="false"/>
          <w:color w:val="000000"/>
          <w:sz w:val="24"/>
          <w:szCs w:val="24"/>
        </w:rPr>
        <w:t xml:space="preserve"> de material de policiamento do Grupamento de Fuzileiros Navais do Rio Grande (GptFNRG).</w:t>
      </w:r>
    </w:p>
    <w:p>
      <w:pPr>
        <w:pStyle w:val="PADRO"/>
        <w:keepNext w:val="true"/>
        <w:widowControl/>
        <w:numPr>
          <w:ilvl w:val="1"/>
          <w:numId w:val="1"/>
        </w:numPr>
        <w:shd w:val="clear" w:fill="FFFFFF"/>
        <w:spacing w:before="120" w:after="120"/>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 contratação será dividida em itens</w:t>
      </w:r>
      <w:r>
        <w:rPr>
          <w:rFonts w:cs="Arial" w:ascii="CARLITO" w:hAnsi="CARLITO"/>
          <w:b/>
          <w:bCs/>
          <w:i w:val="false"/>
          <w:iCs w:val="false"/>
          <w:color w:val="000000"/>
          <w:sz w:val="24"/>
          <w:szCs w:val="24"/>
        </w:rPr>
        <w:t>,</w:t>
      </w:r>
      <w:r>
        <w:rPr>
          <w:rFonts w:cs="Arial" w:ascii="CARLITO" w:hAnsi="CARLITO"/>
          <w:i w:val="false"/>
          <w:iCs w:val="false"/>
          <w:color w:val="000000"/>
          <w:sz w:val="24"/>
          <w:szCs w:val="24"/>
        </w:rPr>
        <w:t xml:space="preserve"> conforme tabela constante abaixo.</w:t>
      </w:r>
    </w:p>
    <w:tbl>
      <w:tblPr>
        <w:tblW w:w="9796" w:type="dxa"/>
        <w:jc w:val="left"/>
        <w:tblInd w:w="-95" w:type="dxa"/>
        <w:tblLayout w:type="fixed"/>
        <w:tblCellMar>
          <w:top w:w="0" w:type="dxa"/>
          <w:left w:w="63" w:type="dxa"/>
          <w:bottom w:w="0" w:type="dxa"/>
          <w:right w:w="108" w:type="dxa"/>
        </w:tblCellMar>
      </w:tblPr>
      <w:tblGrid>
        <w:gridCol w:w="847"/>
        <w:gridCol w:w="2488"/>
        <w:gridCol w:w="1359"/>
        <w:gridCol w:w="1993"/>
        <w:gridCol w:w="1253"/>
        <w:gridCol w:w="1855"/>
      </w:tblGrid>
      <w:tr>
        <w:trPr/>
        <w:tc>
          <w:tcPr>
            <w:tcW w:w="847"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b/>
                <w:bCs/>
                <w:i w:val="false"/>
                <w:iCs w:val="false"/>
                <w:color w:val="000000"/>
                <w:kern w:val="0"/>
                <w:sz w:val="22"/>
                <w:szCs w:val="22"/>
                <w:lang w:val="pt-BR" w:eastAsia="zh-CN" w:bidi="hi-IN"/>
              </w:rPr>
              <w:t>ITEM</w:t>
            </w:r>
          </w:p>
        </w:tc>
        <w:tc>
          <w:tcPr>
            <w:tcW w:w="2488"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numPr>
                <w:ilvl w:val="0"/>
                <w:numId w:val="0"/>
              </w:numPr>
              <w:suppressAutoHyphens w:val="true"/>
              <w:overflowPunct w:val="false"/>
              <w:bidi w:val="0"/>
              <w:spacing w:before="0" w:after="0"/>
              <w:ind w:left="0" w:right="0" w:hanging="0"/>
              <w:jc w:val="center"/>
              <w:rPr>
                <w:sz w:val="22"/>
                <w:szCs w:val="22"/>
              </w:rPr>
            </w:pPr>
            <w:r>
              <w:rPr>
                <w:rFonts w:eastAsia="WenQuanYi Micro Hei" w:cs="Lohit Hindi" w:ascii="CARLITO" w:hAnsi="CARLITO"/>
                <w:b/>
                <w:bCs/>
                <w:i w:val="false"/>
                <w:iCs w:val="false"/>
                <w:color w:val="000000"/>
                <w:kern w:val="0"/>
                <w:sz w:val="22"/>
                <w:szCs w:val="22"/>
                <w:lang w:val="pt-BR" w:eastAsia="zh-CN" w:bidi="hi-IN"/>
              </w:rPr>
              <w:t>DESCRIÇÃO/ESPECIFICAÇÃO</w:t>
            </w:r>
          </w:p>
        </w:tc>
        <w:tc>
          <w:tcPr>
            <w:tcW w:w="1359"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numPr>
                <w:ilvl w:val="0"/>
                <w:numId w:val="0"/>
              </w:numPr>
              <w:suppressAutoHyphens w:val="true"/>
              <w:overflowPunct w:val="false"/>
              <w:bidi w:val="0"/>
              <w:spacing w:before="0" w:after="0"/>
              <w:ind w:left="0" w:right="0" w:hanging="0"/>
              <w:jc w:val="center"/>
              <w:rPr>
                <w:sz w:val="22"/>
                <w:szCs w:val="22"/>
              </w:rPr>
            </w:pPr>
            <w:r>
              <w:rPr>
                <w:rFonts w:eastAsia="WenQuanYi Micro Hei" w:cs="Lohit Hindi" w:ascii="CARLITO" w:hAnsi="CARLITO"/>
                <w:b/>
                <w:bCs/>
                <w:i w:val="false"/>
                <w:iCs w:val="false"/>
                <w:color w:val="000000"/>
                <w:kern w:val="0"/>
                <w:sz w:val="22"/>
                <w:szCs w:val="22"/>
                <w:lang w:val="pt-BR" w:eastAsia="zh-CN" w:bidi="hi-IN"/>
              </w:rPr>
              <w:t>CATSER</w:t>
            </w:r>
          </w:p>
        </w:tc>
        <w:tc>
          <w:tcPr>
            <w:tcW w:w="1993"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numPr>
                <w:ilvl w:val="0"/>
                <w:numId w:val="0"/>
              </w:numPr>
              <w:suppressAutoHyphens w:val="true"/>
              <w:overflowPunct w:val="false"/>
              <w:bidi w:val="0"/>
              <w:spacing w:before="0" w:after="0"/>
              <w:ind w:left="57" w:right="0" w:hanging="0"/>
              <w:jc w:val="center"/>
              <w:rPr>
                <w:sz w:val="22"/>
                <w:szCs w:val="22"/>
              </w:rPr>
            </w:pPr>
            <w:r>
              <w:rPr>
                <w:rFonts w:eastAsia="WenQuanYi Micro Hei" w:cs="Lohit Hindi" w:ascii="CARLITO" w:hAnsi="CARLITO"/>
                <w:b/>
                <w:bCs/>
                <w:i w:val="false"/>
                <w:iCs w:val="false"/>
                <w:color w:val="000000"/>
                <w:kern w:val="0"/>
                <w:sz w:val="22"/>
                <w:szCs w:val="22"/>
                <w:lang w:val="pt-BR" w:eastAsia="zh-CN" w:bidi="hi-IN"/>
              </w:rPr>
              <w:t>UNIDADE DE MEDIDA</w:t>
            </w:r>
          </w:p>
        </w:tc>
        <w:tc>
          <w:tcPr>
            <w:tcW w:w="1253"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numPr>
                <w:ilvl w:val="0"/>
                <w:numId w:val="0"/>
              </w:numPr>
              <w:suppressAutoHyphens w:val="true"/>
              <w:overflowPunct w:val="false"/>
              <w:bidi w:val="0"/>
              <w:spacing w:before="0" w:after="0"/>
              <w:ind w:left="0" w:right="0" w:hanging="0"/>
              <w:jc w:val="center"/>
              <w:rPr>
                <w:sz w:val="22"/>
                <w:szCs w:val="22"/>
              </w:rPr>
            </w:pPr>
            <w:r>
              <w:rPr>
                <w:rFonts w:eastAsia="WenQuanYi Micro Hei" w:cs="Lohit Hindi" w:ascii="CARLITO" w:hAnsi="CARLITO"/>
                <w:b/>
                <w:bCs/>
                <w:i w:val="false"/>
                <w:iCs w:val="false"/>
                <w:color w:val="000000"/>
                <w:kern w:val="0"/>
                <w:sz w:val="22"/>
                <w:szCs w:val="22"/>
                <w:lang w:val="pt-BR" w:eastAsia="zh-CN" w:bidi="hi-IN"/>
              </w:rPr>
              <w:t>QUANT.</w:t>
            </w:r>
          </w:p>
        </w:tc>
        <w:tc>
          <w:tcPr>
            <w:tcW w:w="1855"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numPr>
                <w:ilvl w:val="0"/>
                <w:numId w:val="0"/>
              </w:numPr>
              <w:suppressAutoHyphens w:val="true"/>
              <w:overflowPunct w:val="false"/>
              <w:bidi w:val="0"/>
              <w:spacing w:before="0" w:after="0"/>
              <w:ind w:left="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b/>
                <w:bCs/>
                <w:i w:val="false"/>
                <w:iCs w:val="false"/>
                <w:color w:val="000000"/>
                <w:kern w:val="0"/>
                <w:sz w:val="22"/>
                <w:szCs w:val="22"/>
                <w:lang w:val="pt-BR" w:eastAsia="zh-CN" w:bidi="hi-IN"/>
              </w:rPr>
              <w:t>PREÇO ESTIMADO</w:t>
            </w:r>
          </w:p>
        </w:tc>
      </w:tr>
      <w:tr>
        <w:trPr>
          <w:trHeight w:val="408" w:hRule="atLeast"/>
        </w:trPr>
        <w:tc>
          <w:tcPr>
            <w:tcW w:w="847"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numPr>
                <w:ilvl w:val="0"/>
                <w:numId w:val="0"/>
              </w:numPr>
              <w:tabs>
                <w:tab w:val="clear" w:pos="708"/>
                <w:tab w:val="left" w:pos="388" w:leader="none"/>
              </w:tabs>
              <w:suppressAutoHyphens w:val="true"/>
              <w:overflowPunct w:val="false"/>
              <w:bidi w:val="0"/>
              <w:spacing w:lineRule="auto" w:line="276" w:before="0" w:after="120"/>
              <w:ind w:left="36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1</w:t>
            </w:r>
          </w:p>
        </w:tc>
        <w:tc>
          <w:tcPr>
            <w:tcW w:w="2488" w:type="dxa"/>
            <w:tcBorders>
              <w:top w:val="single" w:sz="4" w:space="0" w:color="000001"/>
              <w:left w:val="single" w:sz="4" w:space="0" w:color="000001"/>
              <w:bottom w:val="single" w:sz="4" w:space="0" w:color="000001"/>
              <w:right w:val="single" w:sz="4" w:space="0" w:color="000001"/>
            </w:tcBorders>
            <w:shd w:fill="FFFFFF" w:val="clear"/>
            <w:vAlign w:val="center"/>
          </w:tcPr>
          <w:p>
            <w:pPr>
              <w:pStyle w:val="Contedodatabela"/>
              <w:widowControl w:val="false"/>
              <w:numPr>
                <w:ilvl w:val="0"/>
                <w:numId w:val="0"/>
              </w:numPr>
              <w:suppressAutoHyphens w:val="true"/>
              <w:overflowPunct w:val="false"/>
              <w:bidi w:val="0"/>
              <w:spacing w:before="0" w:after="0"/>
              <w:ind w:left="0" w:right="0" w:hanging="0"/>
              <w:jc w:val="center"/>
              <w:rPr/>
            </w:pPr>
            <w:r>
              <w:rPr>
                <w:rFonts w:eastAsia="WenQuanYi Micro Hei" w:cs="Lohit Hindi" w:ascii="CARLITO" w:hAnsi="CARLITO"/>
                <w:i w:val="false"/>
                <w:iCs w:val="false"/>
                <w:color w:val="000000"/>
                <w:kern w:val="0"/>
                <w:sz w:val="24"/>
                <w:szCs w:val="24"/>
                <w:lang w:val="pt-BR" w:eastAsia="zh-CN" w:bidi="hi-IN"/>
              </w:rPr>
              <w:t>BRAÇADEIRAS SP EM MATERIAL PLÁSTICO COM O BRASÃO DO GRUPAMENTO DE FUZILEIROS NAVAIS DO RIO GRANDE</w:t>
            </w:r>
          </w:p>
        </w:tc>
        <w:tc>
          <w:tcPr>
            <w:tcW w:w="1359" w:type="dxa"/>
            <w:tcBorders>
              <w:top w:val="single" w:sz="4" w:space="0" w:color="000001"/>
              <w:left w:val="single" w:sz="4" w:space="0" w:color="000001"/>
              <w:bottom w:val="single" w:sz="4" w:space="0" w:color="000001"/>
              <w:right w:val="single" w:sz="4" w:space="0" w:color="000001"/>
            </w:tcBorders>
            <w:shd w:fill="FFFFFF" w:val="clear"/>
            <w:vAlign w:val="center"/>
          </w:tcPr>
          <w:p>
            <w:pPr>
              <w:pStyle w:val="Contedodatabela"/>
              <w:widowControl w:val="false"/>
              <w:numPr>
                <w:ilvl w:val="0"/>
                <w:numId w:val="0"/>
              </w:numPr>
              <w:suppressAutoHyphens w:val="true"/>
              <w:overflowPunct w:val="false"/>
              <w:bidi w:val="0"/>
              <w:spacing w:before="0" w:after="0"/>
              <w:ind w:left="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10030</w:t>
            </w:r>
          </w:p>
        </w:tc>
        <w:tc>
          <w:tcPr>
            <w:tcW w:w="1993" w:type="dxa"/>
            <w:tcBorders>
              <w:top w:val="single" w:sz="4" w:space="0" w:color="000001"/>
              <w:left w:val="single" w:sz="4" w:space="0" w:color="000001"/>
              <w:bottom w:val="single" w:sz="4" w:space="0" w:color="000001"/>
              <w:right w:val="single" w:sz="4" w:space="0" w:color="000001"/>
            </w:tcBorders>
            <w:shd w:fill="FFFFFF" w:val="clear"/>
            <w:vAlign w:val="center"/>
          </w:tcPr>
          <w:p>
            <w:pPr>
              <w:pStyle w:val="Contedodatabela"/>
              <w:widowControl w:val="false"/>
              <w:numPr>
                <w:ilvl w:val="0"/>
                <w:numId w:val="0"/>
              </w:numPr>
              <w:suppressAutoHyphens w:val="true"/>
              <w:overflowPunct w:val="false"/>
              <w:bidi w:val="0"/>
              <w:spacing w:before="0" w:after="0"/>
              <w:ind w:left="57"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UN</w:t>
            </w:r>
          </w:p>
        </w:tc>
        <w:tc>
          <w:tcPr>
            <w:tcW w:w="1253" w:type="dxa"/>
            <w:tcBorders>
              <w:top w:val="single" w:sz="4" w:space="0" w:color="000001"/>
              <w:left w:val="single" w:sz="4" w:space="0" w:color="000001"/>
              <w:bottom w:val="single" w:sz="4" w:space="0" w:color="000001"/>
              <w:right w:val="single" w:sz="4" w:space="0" w:color="000001"/>
            </w:tcBorders>
            <w:shd w:fill="FFFFFF" w:val="clear"/>
            <w:vAlign w:val="center"/>
          </w:tcPr>
          <w:p>
            <w:pPr>
              <w:pStyle w:val="Contedodatabela"/>
              <w:widowControl w:val="false"/>
              <w:numPr>
                <w:ilvl w:val="0"/>
                <w:numId w:val="0"/>
              </w:numPr>
              <w:suppressAutoHyphens w:val="true"/>
              <w:overflowPunct w:val="false"/>
              <w:bidi w:val="0"/>
              <w:spacing w:before="0" w:after="0"/>
              <w:ind w:left="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50</w:t>
            </w:r>
          </w:p>
        </w:tc>
        <w:tc>
          <w:tcPr>
            <w:tcW w:w="1855" w:type="dxa"/>
            <w:tcBorders>
              <w:top w:val="single" w:sz="4" w:space="0" w:color="000001"/>
              <w:left w:val="single" w:sz="4" w:space="0" w:color="000001"/>
              <w:bottom w:val="single" w:sz="4" w:space="0" w:color="000001"/>
              <w:right w:val="single" w:sz="4" w:space="0" w:color="000001"/>
            </w:tcBorders>
            <w:shd w:fill="FFFFFF" w:val="clear"/>
            <w:vAlign w:val="center"/>
          </w:tcPr>
          <w:p>
            <w:pPr>
              <w:pStyle w:val="Contedodatabela"/>
              <w:widowControl w:val="false"/>
              <w:numPr>
                <w:ilvl w:val="0"/>
                <w:numId w:val="0"/>
              </w:numPr>
              <w:suppressAutoHyphens w:val="true"/>
              <w:overflowPunct w:val="false"/>
              <w:bidi w:val="0"/>
              <w:spacing w:before="0" w:after="0"/>
              <w:ind w:left="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R$ 55,00</w:t>
            </w:r>
          </w:p>
        </w:tc>
      </w:tr>
    </w:tbl>
    <w:p>
      <w:pPr>
        <w:pStyle w:val="PADRO"/>
        <w:widowControl/>
        <w:numPr>
          <w:ilvl w:val="2"/>
          <w:numId w:val="1"/>
        </w:numPr>
        <w:shd w:val="clear" w:fill="FFFFFF"/>
        <w:spacing w:before="120" w:after="120"/>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val="true"/>
        <w:widowControl/>
        <w:numPr>
          <w:ilvl w:val="1"/>
          <w:numId w:val="1"/>
        </w:numPr>
        <w:shd w:val="clear" w:fill="FFFFFF"/>
        <w:spacing w:before="120" w:after="120"/>
        <w:rPr>
          <w:rFonts w:ascii="CARLITO" w:hAnsi="CARLITO" w:cs="Arial"/>
          <w:i w:val="false"/>
          <w:i w:val="false"/>
          <w:iCs w:val="false"/>
          <w:color w:val="000000"/>
          <w:sz w:val="24"/>
          <w:szCs w:val="24"/>
        </w:rPr>
      </w:pPr>
      <w:r>
        <w:rPr>
          <w:rFonts w:cs="Arial" w:ascii="CARLITO" w:hAnsi="CARLITO"/>
          <w:i w:val="false"/>
          <w:iCs w:val="false"/>
          <w:color w:val="000000"/>
          <w:sz w:val="24"/>
          <w:szCs w:val="24"/>
        </w:rPr>
        <w:t>O critério de julgamento adotado será o menor preço, observadas as exigências contidas neste Aviso de Contratação Direta e seus Anexos quanto às especificações do objeto.</w:t>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PARTICIPAÇÃO NA DISPENSA ELETRÔNICA.</w:t>
      </w:r>
    </w:p>
    <w:p>
      <w:pPr>
        <w:pStyle w:val="Normal"/>
        <w:numPr>
          <w:ilvl w:val="1"/>
          <w:numId w:val="1"/>
        </w:numPr>
        <w:snapToGrid w:val="false"/>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 xml:space="preserve">A participação na presente dispensa eletrônica se dará mediante </w:t>
      </w:r>
      <w:r>
        <w:rPr>
          <w:rFonts w:cs="Arial" w:ascii="CARLITO" w:hAnsi="CARLITO"/>
          <w:bCs/>
          <w:i w:val="false"/>
          <w:iCs w:val="false"/>
          <w:color w:val="000000"/>
          <w:sz w:val="24"/>
          <w:szCs w:val="24"/>
        </w:rPr>
        <w:t>Sistema de Dispensa Eletrônica</w:t>
      </w:r>
      <w:r>
        <w:rPr>
          <w:rFonts w:cs="Arial" w:ascii="CARLITO" w:hAnsi="CARLITO"/>
          <w:i w:val="false"/>
          <w:iCs w:val="false"/>
          <w:color w:val="000000"/>
          <w:sz w:val="24"/>
          <w:szCs w:val="24"/>
        </w:rPr>
        <w:t xml:space="preserve"> integrante do Sistema de Compras do Governo Federal – Comprasnet 4.0, disponível no </w:t>
      </w:r>
      <w:r>
        <w:rPr>
          <w:rFonts w:cs="Arial" w:ascii="CARLITO" w:hAnsi="CARLITO"/>
          <w:bCs/>
          <w:i w:val="false"/>
          <w:iCs w:val="false"/>
          <w:color w:val="000000"/>
          <w:sz w:val="24"/>
          <w:szCs w:val="24"/>
        </w:rPr>
        <w:t>endereço eletrônico https://www.gov.br/compras/pt-br/.</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poderão participar desta dispensa os fornecedores: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atendam às condições deste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se enquadrem nas seguintes vedações: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ascii="CARLITO" w:hAnsi="CARLITO"/>
          <w:i w:val="false"/>
          <w:iCs w:val="false"/>
          <w:color w:val="000000"/>
          <w:sz w:val="24"/>
          <w:szCs w:val="24"/>
        </w:rPr>
        <w:t>empresas controladoras, controladas ou coligadas, nos termos da </w:t>
      </w:r>
      <w:hyperlink r:id="rId2">
        <w:r>
          <w:rPr>
            <w:rStyle w:val="LinkdaInternet"/>
            <w:rFonts w:eastAsia="Calibri" w:cs="Arial" w:ascii="CARLITO" w:hAnsi="CARLITO"/>
            <w:i w:val="false"/>
            <w:iCs w:val="false"/>
            <w:color w:val="000000"/>
            <w:sz w:val="24"/>
            <w:szCs w:val="24"/>
          </w:rPr>
          <w:t>Lei nº 6.404, de 15 de dezembro de 1976</w:t>
        </w:r>
      </w:hyperlink>
      <w:r>
        <w:rPr>
          <w:rFonts w:cs="Arial" w:ascii="CARLITO" w:hAnsi="CARLITO"/>
          <w:i w:val="false"/>
          <w:iCs w:val="false"/>
          <w:color w:val="000000"/>
          <w:sz w:val="24"/>
          <w:szCs w:val="24"/>
        </w:rPr>
        <w:t>, concorrendo entre si;</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Equiparam-se aos autores do projeto as empresas integrantes do mesmo grupo econômico;</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ascii="CARLITO" w:hAnsi="CARLITO"/>
          <w:i w:val="false"/>
          <w:i w:val="false"/>
          <w:iCs w:val="false"/>
          <w:color w:val="000000"/>
          <w:sz w:val="24"/>
          <w:szCs w:val="24"/>
        </w:rPr>
      </w:pPr>
      <w:r>
        <w:rPr>
          <w:rFonts w:ascii="CARLITO" w:hAnsi="CARLITO"/>
          <w:i w:val="false"/>
          <w:iCs w:val="false"/>
          <w:color w:val="000000"/>
          <w:sz w:val="24"/>
          <w:szCs w:val="24"/>
        </w:rPr>
        <w:t xml:space="preserve"> </w:t>
      </w:r>
      <w:r>
        <w:rPr>
          <w:rFonts w:ascii="CARLITO" w:hAnsi="CARLITO"/>
          <w:i w:val="false"/>
          <w:iCs w:val="false"/>
          <w:color w:val="000000"/>
          <w:sz w:val="24"/>
          <w:szCs w:val="24"/>
        </w:rPr>
        <w:t>Será permitida a participação de cooperativas, desde que apresentem demonstrativo de atuação em regime cooperado, com repartição de receitas e despesas entre os cooperados e atendam ao art. 16 da Lei nº 14.133/21.</w:t>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INGRESSO NA DISPENSA ELETRÔNICA E CADASTRAMENTO DA PROPOSTA INICIAL</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Todas as especificações do objeto contidas na proposta, em especial o preço, vinculam a Contratada.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A apresentação das propostas implica obrigatoriedade do cumprimento das disposições nelas contidas, em conformidade com o que dispõe o Aviso de Dispensa Eletrônica,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 xml:space="preserve">Uma vez enviada a proposta no sistema, os fornecedores </w:t>
      </w:r>
      <w:r>
        <w:rPr>
          <w:rFonts w:cs="Arial" w:ascii="CARLITO" w:hAnsi="CARLITO"/>
          <w:b/>
          <w:bCs/>
          <w:i w:val="false"/>
          <w:iCs w:val="false"/>
          <w:color w:val="000000"/>
          <w:sz w:val="24"/>
          <w:szCs w:val="24"/>
        </w:rPr>
        <w:t>NÃO</w:t>
      </w:r>
      <w:r>
        <w:rPr>
          <w:rFonts w:cs="Arial" w:ascii="CARLITO" w:hAnsi="CARLITO"/>
          <w:i w:val="false"/>
          <w:iCs w:val="false"/>
          <w:color w:val="000000"/>
          <w:sz w:val="24"/>
          <w:szCs w:val="24"/>
        </w:rPr>
        <w:t xml:space="preserve"> poderão retirá-la, substituí-la ou modificá-la;</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No cadastramento da proposta inicial, o fornecedor deverá, também, assinalar “sim” ou “não” em campo próprio do sistema eletrônico, às seguintes declarações:</w:t>
      </w:r>
      <w:r>
        <w:rPr>
          <w:rFonts w:eastAsia="Zurich BT" w:cs="Arial" w:ascii="CARLITO" w:hAnsi="CARLITO"/>
          <w:i w:val="false"/>
          <w:iCs w:val="false"/>
          <w:color w:val="000000"/>
          <w:sz w:val="24"/>
          <w:szCs w:val="24"/>
        </w:rPr>
        <w:t xml:space="preserve"> </w:t>
      </w:r>
    </w:p>
    <w:p>
      <w:pPr>
        <w:pStyle w:val="ListParagraph"/>
        <w:numPr>
          <w:ilvl w:val="0"/>
          <w:numId w:val="2"/>
        </w:numPr>
        <w:tabs>
          <w:tab w:val="clear" w:pos="708"/>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está ciente e concorda com as condições contidas no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ormal"/>
        <w:spacing w:lineRule="auto" w:line="276" w:before="120" w:after="120"/>
        <w:ind w:left="1224"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FASE DE LANCES</w:t>
      </w:r>
    </w:p>
    <w:p>
      <w:pPr>
        <w:pStyle w:val="ListParagraph"/>
        <w:numPr>
          <w:ilvl w:val="1"/>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ascii="CARLITO" w:hAnsi="CARLITO"/>
          <w:bCs/>
          <w:i w:val="false"/>
          <w:iCs w:val="false"/>
          <w:color w:val="000000"/>
          <w:sz w:val="24"/>
          <w:szCs w:val="24"/>
          <w:lang w:eastAsia="en-US"/>
        </w:rPr>
        <w:t>exclusivamente por meio do sistema eletrônico</w:t>
      </w:r>
      <w:r>
        <w:rPr>
          <w:rFonts w:cs="Arial" w:ascii="CARLITO" w:hAnsi="CARLITO"/>
          <w:i w:val="false"/>
          <w:iCs w:val="false"/>
          <w:color w:val="000000"/>
          <w:sz w:val="24"/>
          <w:szCs w:val="24"/>
          <w:lang w:eastAsia="en-US"/>
        </w:rPr>
        <w:t>, sendo encerrado no horário de finalização de lances também já previsto neste aviso.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lance deverá ser ofertado pelo valor unitário do item.</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O intervalo mínimo de diferença de valores ou percentuais entre os lances, que incidirá tanto em relação aos lances intermediários quanto em relação ao que cobrir a melhor oferta é de </w:t>
      </w:r>
      <w:r>
        <w:rPr>
          <w:rFonts w:cs="Arial" w:ascii="CARLITO" w:hAnsi="CARLITO"/>
          <w:i w:val="false"/>
          <w:iCs w:val="false"/>
          <w:color w:val="000000"/>
          <w:sz w:val="24"/>
          <w:szCs w:val="24"/>
          <w:lang w:eastAsia="en-US"/>
        </w:rPr>
        <w:t>R$ 0,01.</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encerramento da fase de lances ocorrerá de forma automática pontualmente no horário indicado, sem qualquer possibilidade de prorrogação e não havendo tempo aleatório ou mecanismo similar.</w:t>
      </w:r>
    </w:p>
    <w:p>
      <w:pPr>
        <w:pStyle w:val="ListParagraph"/>
        <w:spacing w:lineRule="auto" w:line="276" w:before="120" w:after="12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JULGAMENTO DAS PROPOSTAS DE PREÇO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ascii="CARLITO" w:hAnsi="CARLITO"/>
          <w:sz w:val="24"/>
          <w:szCs w:val="24"/>
        </w:rPr>
      </w:pPr>
      <w:r>
        <w:rPr>
          <w:rFonts w:cs="Arial" w:ascii="CARLITO" w:hAnsi="CARLITO"/>
          <w:i w:val="false"/>
          <w:iCs w:val="false"/>
          <w:color w:val="000000"/>
          <w:sz w:val="24"/>
          <w:szCs w:val="24"/>
        </w:rPr>
        <w:t>O prazo de validade da proposta não será inferior a 15 (quinze) dias</w:t>
      </w:r>
      <w:r>
        <w:rPr>
          <w:rFonts w:cs="Arial" w:ascii="CARLITO" w:hAnsi="CARLITO"/>
          <w:b/>
          <w:bCs/>
          <w:i w:val="false"/>
          <w:iCs w:val="false"/>
          <w:color w:val="000000"/>
          <w:sz w:val="24"/>
          <w:szCs w:val="24"/>
        </w:rPr>
        <w:t>,</w:t>
      </w:r>
      <w:r>
        <w:rPr>
          <w:rFonts w:cs="Arial" w:ascii="CARLITO" w:hAnsi="CARLITO"/>
          <w:i w:val="false"/>
          <w:iCs w:val="false"/>
          <w:color w:val="000000"/>
          <w:sz w:val="24"/>
          <w:szCs w:val="24"/>
        </w:rPr>
        <w:t xml:space="preserve"> a contar da data de sua apresentação.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contiver vícios insanáveis;</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obedecer às especificações técnicas pormenorizadas neste aviso ou em seus anexos;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tiverem sua exequibilidade demonstrada, quando exigido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en-US"/>
        </w:rPr>
        <w:t>Quando</w:t>
      </w:r>
      <w:r>
        <w:rPr>
          <w:rFonts w:cs="Arial" w:ascii="CARLITO" w:hAnsi="CARLITO"/>
          <w:i w:val="false"/>
          <w:iCs w:val="false"/>
          <w:color w:val="000000"/>
          <w:sz w:val="24"/>
          <w:szCs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ascii="CARLITO" w:hAnsi="CARLITO"/>
          <w:sz w:val="24"/>
          <w:szCs w:val="24"/>
        </w:rPr>
      </w:pPr>
      <w:r>
        <w:rPr>
          <w:rFonts w:cs="Arial" w:ascii="CARLITO" w:hAnsi="CARLITO"/>
          <w:i w:val="false"/>
          <w:iCs w:val="false"/>
          <w:color w:val="000000"/>
          <w:sz w:val="24"/>
          <w:szCs w:val="24"/>
          <w:lang w:eastAsia="en-US"/>
        </w:rPr>
        <w:t xml:space="preserve">Se houver indícios de inexequibilidade da proposta de preço, ou em caso da necessidade de esclarecimentos </w:t>
      </w:r>
      <w:r>
        <w:rPr>
          <w:rFonts w:cs="Arial" w:ascii="CARLITO" w:hAnsi="CARLITO"/>
          <w:i w:val="false"/>
          <w:iCs w:val="false"/>
          <w:color w:val="000000"/>
          <w:sz w:val="24"/>
          <w:szCs w:val="24"/>
        </w:rPr>
        <w:t>complementares</w:t>
      </w:r>
      <w:r>
        <w:rPr>
          <w:rFonts w:cs="Arial" w:ascii="CARLITO" w:hAnsi="CARLITO"/>
          <w:i w:val="false"/>
          <w:iCs w:val="false"/>
          <w:color w:val="000000"/>
          <w:sz w:val="24"/>
          <w:szCs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en-US"/>
        </w:rPr>
        <w:t xml:space="preserve">Erros no preenchimento da planilha não constituem motivo para a desclassificação da proposta. A planilha </w:t>
      </w:r>
      <w:r>
        <w:rPr>
          <w:rFonts w:cs="Arial" w:ascii="CARLITO" w:hAnsi="CARLITO"/>
          <w:i w:val="false"/>
          <w:iCs w:val="false"/>
          <w:color w:val="000000"/>
          <w:sz w:val="24"/>
          <w:szCs w:val="24"/>
        </w:rPr>
        <w:t>poderá́</w:t>
      </w:r>
      <w:r>
        <w:rPr>
          <w:rFonts w:cs="Arial" w:ascii="CARLITO" w:hAnsi="CARLITO"/>
          <w:i w:val="false"/>
          <w:iCs w:val="false"/>
          <w:color w:val="000000"/>
          <w:sz w:val="24"/>
          <w:szCs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Encerrada a análise quanto à aceitação da proposta, se iniciará a fase de habilitação, observado o disposto neste Aviso de Contratação Direta.</w:t>
      </w:r>
    </w:p>
    <w:p>
      <w:pPr>
        <w:pStyle w:val="ListParagraph"/>
        <w:spacing w:lineRule="auto" w:line="276" w:before="120" w:after="120"/>
        <w:ind w:left="1512"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HABILITAÇÃO</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lang w:eastAsia="ar-SA"/>
        </w:rPr>
        <w:t xml:space="preserve">Os </w:t>
      </w:r>
      <w:r>
        <w:rPr>
          <w:rFonts w:cs="Arial" w:ascii="CARLITO" w:hAnsi="CARLITO"/>
          <w:i w:val="false"/>
          <w:iCs w:val="false"/>
          <w:color w:val="000000"/>
          <w:sz w:val="24"/>
          <w:szCs w:val="24"/>
        </w:rPr>
        <w:t>documentos</w:t>
      </w:r>
      <w:r>
        <w:rPr>
          <w:rFonts w:cs="Arial" w:ascii="CARLITO" w:hAnsi="CARLITO"/>
          <w:i w:val="false"/>
          <w:iCs w:val="false"/>
          <w:color w:val="000000"/>
          <w:sz w:val="24"/>
          <w:szCs w:val="24"/>
          <w:lang w:eastAsia="ar-SA"/>
        </w:rPr>
        <w:t xml:space="preserve"> a serem exigidos para fins de habilitação constam do </w:t>
      </w:r>
      <w:r>
        <w:rPr>
          <w:rFonts w:cs="Arial" w:ascii="CARLITO" w:hAnsi="CARLITO"/>
          <w:b/>
          <w:i w:val="false"/>
          <w:iCs w:val="false"/>
          <w:color w:val="000000"/>
          <w:sz w:val="24"/>
          <w:szCs w:val="24"/>
          <w:lang w:eastAsia="ar-SA"/>
        </w:rPr>
        <w:t xml:space="preserve">ANEXO I – DOCUMENTAÇÃO EXIGIDA PARA HABILITAÇÃO </w:t>
      </w:r>
      <w:r>
        <w:rPr>
          <w:rFonts w:cs="Arial" w:ascii="CARLITO" w:hAnsi="CARLITO"/>
          <w:i w:val="false"/>
          <w:iCs w:val="false"/>
          <w:color w:val="000000"/>
          <w:sz w:val="24"/>
          <w:szCs w:val="24"/>
          <w:lang w:eastAsia="ar-SA"/>
        </w:rPr>
        <w:t>deste aviso e serão solicitados do fornecedor mais bem classificado da fase de lances.</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lang w:eastAsia="ar-SA"/>
        </w:rPr>
        <w:t xml:space="preserve">Como </w:t>
      </w:r>
      <w:r>
        <w:rPr>
          <w:rFonts w:cs="Arial" w:ascii="CARLITO" w:hAnsi="CARLITO"/>
          <w:i w:val="false"/>
          <w:iCs w:val="false"/>
          <w:color w:val="000000"/>
          <w:sz w:val="24"/>
          <w:szCs w:val="24"/>
        </w:rPr>
        <w:t>condição</w:t>
      </w:r>
      <w:r>
        <w:rPr>
          <w:rFonts w:cs="Arial" w:ascii="CARLITO" w:hAnsi="CARLITO"/>
          <w:i w:val="false"/>
          <w:iCs w:val="false"/>
          <w:color w:val="000000"/>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a) SICAF;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b) Cadastro Nacional de Empresas Inidôneas e Suspensas - CEIS, mantido pela Controladoria-Geral da União (</w:t>
      </w:r>
      <w:hyperlink r:id="rId3">
        <w:r>
          <w:rPr>
            <w:rStyle w:val="LinkdaInternet"/>
            <w:rFonts w:eastAsia="Calibri" w:cs="Arial" w:ascii="CARLITO" w:hAnsi="CARLITO"/>
            <w:i w:val="false"/>
            <w:iCs w:val="false"/>
            <w:color w:val="000000"/>
            <w:sz w:val="24"/>
            <w:szCs w:val="24"/>
            <w:lang w:eastAsia="ar-SA"/>
          </w:rPr>
          <w:t>www.portaldatransparencia.gov.br/ceis</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c) Cadastro Nacional de Condenações Cíveis por Atos de Improbidade Administrativa, mantido pelo Conselho Nacional de Justiça (</w:t>
      </w:r>
      <w:hyperlink r:id="rId4">
        <w:r>
          <w:rPr>
            <w:rStyle w:val="LinkdaInternet"/>
            <w:rFonts w:eastAsia="Calibri" w:cs="Arial" w:ascii="CARLITO" w:hAnsi="CARLITO"/>
            <w:i w:val="false"/>
            <w:iCs w:val="false"/>
            <w:color w:val="000000"/>
            <w:sz w:val="24"/>
            <w:szCs w:val="24"/>
            <w:lang w:eastAsia="ar-SA"/>
          </w:rPr>
          <w:t>www.cnj.jus.br/improbidade_adm/consultar_requerido.php</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ar-SA"/>
        </w:rPr>
        <w:t xml:space="preserve">Para a consulta de </w:t>
      </w:r>
      <w:r>
        <w:rPr>
          <w:rFonts w:cs="Arial" w:ascii="CARLITO" w:hAnsi="CARLITO"/>
          <w:i w:val="false"/>
          <w:iCs w:val="false"/>
          <w:color w:val="000000"/>
          <w:sz w:val="24"/>
          <w:szCs w:val="24"/>
        </w:rPr>
        <w:t>fornecedores</w:t>
      </w:r>
      <w:r>
        <w:rPr>
          <w:rFonts w:cs="Arial" w:ascii="CARLITO" w:hAnsi="CARLITO"/>
          <w:i w:val="false"/>
          <w:iCs w:val="false"/>
          <w:color w:val="000000"/>
          <w:sz w:val="24"/>
          <w:szCs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A consulta aos </w:t>
      </w:r>
      <w:r>
        <w:rPr>
          <w:rFonts w:cs="Arial" w:ascii="CARLITO" w:hAnsi="CARLITO"/>
          <w:i w:val="false"/>
          <w:iCs w:val="false"/>
          <w:color w:val="000000"/>
          <w:sz w:val="24"/>
          <w:szCs w:val="24"/>
          <w:lang w:eastAsia="ar-SA"/>
        </w:rPr>
        <w:t>cadastros</w:t>
      </w:r>
      <w:r>
        <w:rPr>
          <w:rFonts w:cs="Arial" w:ascii="CARLITO" w:hAnsi="CARLITO"/>
          <w:i w:val="false"/>
          <w:iCs w:val="false"/>
          <w:color w:val="000000"/>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rPr>
        <w:t>Caso atendidas as condições de participação, a habilitação dos fornecedores será verificada por meio do SICAF, nos documentos por ele abrangidos.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right="0" w:hanging="574"/>
        <w:contextualSpacing/>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bCs/>
          <w:i w:val="false"/>
          <w:iCs w:val="false"/>
          <w:color w:val="000000"/>
          <w:sz w:val="24"/>
          <w:szCs w:val="24"/>
        </w:rPr>
        <w:t xml:space="preserve">Havendo </w:t>
      </w:r>
      <w:r>
        <w:rPr>
          <w:rFonts w:cs="Arial" w:ascii="CARLITO" w:hAnsi="CARLITO"/>
          <w:i w:val="false"/>
          <w:iCs w:val="false"/>
          <w:color w:val="000000"/>
          <w:sz w:val="24"/>
          <w:szCs w:val="24"/>
          <w:lang w:eastAsia="en-US"/>
        </w:rPr>
        <w:t>necessidade</w:t>
      </w:r>
      <w:r>
        <w:rPr>
          <w:rFonts w:cs="Arial" w:ascii="CARLITO" w:hAnsi="CARLITO"/>
          <w:bCs/>
          <w:i w:val="false"/>
          <w:iCs w:val="false"/>
          <w:color w:val="000000"/>
          <w:sz w:val="24"/>
          <w:szCs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rPr>
        <w:t xml:space="preserve">Será inabilitado o fornecedor que não comprovar sua habilitação, seja por não apresentar </w:t>
      </w:r>
      <w:r>
        <w:rPr>
          <w:rFonts w:cs="Arial" w:ascii="CARLITO" w:hAnsi="CARLITO"/>
          <w:i w:val="false"/>
          <w:iCs w:val="false"/>
          <w:color w:val="000000"/>
          <w:sz w:val="24"/>
          <w:szCs w:val="24"/>
          <w:lang w:eastAsia="en-US"/>
        </w:rPr>
        <w:t>quaisquer</w:t>
      </w:r>
      <w:r>
        <w:rPr>
          <w:rFonts w:cs="Arial" w:ascii="CARLITO" w:hAnsi="CARLITO"/>
          <w:i w:val="false"/>
          <w:iCs w:val="false"/>
          <w:color w:val="000000"/>
          <w:sz w:val="24"/>
          <w:szCs w:val="24"/>
        </w:rPr>
        <w:t xml:space="preserve"> dos </w:t>
      </w:r>
      <w:r>
        <w:rPr>
          <w:rFonts w:cs="Arial" w:ascii="CARLITO" w:hAnsi="CARLITO"/>
          <w:bCs/>
          <w:i w:val="false"/>
          <w:iCs w:val="false"/>
          <w:color w:val="000000"/>
          <w:sz w:val="24"/>
          <w:szCs w:val="24"/>
        </w:rPr>
        <w:t>documentos</w:t>
      </w:r>
      <w:r>
        <w:rPr>
          <w:rFonts w:cs="Arial" w:ascii="CARLITO" w:hAnsi="CARLITO"/>
          <w:i w:val="false"/>
          <w:iCs w:val="false"/>
          <w:color w:val="000000"/>
          <w:sz w:val="24"/>
          <w:szCs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Constatado o atendimento às exigências de habilitação, o fornecedor será habilitado.</w:t>
      </w:r>
    </w:p>
    <w:p>
      <w:pPr>
        <w:pStyle w:val="ListParagraph"/>
        <w:spacing w:lineRule="auto" w:line="276" w:before="120" w:after="120"/>
        <w:ind w:left="1010"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CONTRATAÇÃO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rFonts w:ascii="CARLITO" w:hAnsi="CARLITO"/>
          <w:sz w:val="24"/>
          <w:szCs w:val="24"/>
        </w:rPr>
      </w:pPr>
      <w:r>
        <w:rPr>
          <w:rFonts w:eastAsia="Arial" w:cs="Arial" w:ascii="CARLITO" w:hAnsi="CARLITO"/>
          <w:i w:val="false"/>
          <w:iCs w:val="false"/>
          <w:color w:val="000000"/>
          <w:sz w:val="24"/>
          <w:szCs w:val="24"/>
        </w:rPr>
        <w:t xml:space="preserve">O prazo previsto para assinatura do contrato ou aceitação da nota de empenho ou instrumento equivalente poderá ser prorrogado </w:t>
      </w:r>
      <w:r>
        <w:rPr>
          <w:rFonts w:cs="Times New Roman" w:ascii="CARLITO" w:hAnsi="CARLITO"/>
          <w:bCs/>
          <w:i w:val="false"/>
          <w:iCs w:val="false"/>
          <w:color w:val="000000"/>
          <w:sz w:val="24"/>
          <w:szCs w:val="24"/>
        </w:rPr>
        <w:t>1 (uma) vez</w:t>
      </w:r>
      <w:r>
        <w:rPr>
          <w:rFonts w:eastAsia="Arial" w:cs="Arial" w:ascii="CARLITO" w:hAnsi="CARLITO"/>
          <w:i w:val="false"/>
          <w:iCs w:val="false"/>
          <w:color w:val="000000"/>
          <w:sz w:val="24"/>
          <w:szCs w:val="24"/>
        </w:rPr>
        <w:t>, por igual período, por solicitação justificada do adjudicatário e aceita pela Administração.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O Aceite da Nota de Empenho ou do instrumento equivalente, emitida à empresa adjudicada, implica no reconhecimento de que:</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se vincula à sua proposta e às previsões contidas no Aviso de Contratação Direta e seus anexos;</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O prazo de vigência da contratação é de 20 (vinte) dias.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confecção da Nota de empenho será exigida a comprovação das condições de habilitação e contratação consignadas neste aviso, que deverão ser mantidas pelo fornecedor durante a vigência do contrato.</w:t>
      </w:r>
    </w:p>
    <w:p>
      <w:pPr>
        <w:pStyle w:val="Normal"/>
        <w:spacing w:lineRule="auto" w:line="276" w:before="63" w:after="63"/>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SANÇÕES</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total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deixar de entregar a documentação exigida para o certame;</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manter a proposta, salvo em decorrência de fato superveniente devidamente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ensejar o retardamento da execução ou da entrega do objeto da licitação sem motivo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fraudar a dispensa eletrônica ou praticar ato fraudulento na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comportar-se de modo inidôneo ou cometer fraude de qualquer natureza;</w:t>
      </w:r>
    </w:p>
    <w:p>
      <w:pPr>
        <w:pStyle w:val="ListParagraph"/>
        <w:numPr>
          <w:ilvl w:val="3"/>
          <w:numId w:val="1"/>
        </w:numPr>
        <w:spacing w:lineRule="auto" w:line="276" w:before="63" w:after="63"/>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praticar atos ilícitos com vistas a frustrar os objetivos deste certame.</w:t>
      </w:r>
    </w:p>
    <w:p>
      <w:pPr>
        <w:pStyle w:val="Normal"/>
        <w:numPr>
          <w:ilvl w:val="2"/>
          <w:numId w:val="1"/>
        </w:numPr>
        <w:spacing w:lineRule="auto" w:line="276" w:before="63" w:after="63"/>
        <w:jc w:val="both"/>
        <w:rPr/>
      </w:pPr>
      <w:r>
        <w:rPr>
          <w:rFonts w:cs="Arial" w:ascii="CARLITO" w:hAnsi="CARLITO"/>
          <w:i w:val="false"/>
          <w:iCs w:val="false"/>
          <w:color w:val="000000"/>
          <w:sz w:val="24"/>
          <w:szCs w:val="24"/>
        </w:rPr>
        <w:t xml:space="preserve">praticar ato lesivo previsto no </w:t>
      </w:r>
      <w:r>
        <w:fldChar w:fldCharType="begin"/>
      </w:r>
      <w:r>
        <w:rPr>
          <w:rStyle w:val="LinkdaInternet"/>
          <w:sz w:val="24"/>
          <w:i w:val="false"/>
          <w:szCs w:val="24"/>
          <w:iCs w:val="false"/>
          <w:rFonts w:ascii="CARLITO" w:hAnsi="CARLITO"/>
          <w:color w:val="000000"/>
        </w:rPr>
        <w:instrText> HYPERLINK "http://www.planalto.gov.br/ccivil_03/_Ato2011-2014/2013/Lei/L12846.htm" \l "art5"</w:instrText>
      </w:r>
      <w:r>
        <w:rPr>
          <w:rStyle w:val="LinkdaInternet"/>
          <w:sz w:val="24"/>
          <w:i w:val="false"/>
          <w:szCs w:val="24"/>
          <w:iCs w:val="false"/>
          <w:rFonts w:ascii="CARLITO" w:hAnsi="CARLITO"/>
          <w:color w:val="000000"/>
        </w:rPr>
        <w:fldChar w:fldCharType="separate"/>
      </w:r>
      <w:r>
        <w:rPr>
          <w:rStyle w:val="LinkdaInternet"/>
          <w:rFonts w:ascii="CARLITO" w:hAnsi="CARLITO"/>
          <w:i w:val="false"/>
          <w:iCs w:val="false"/>
          <w:color w:val="000000"/>
          <w:sz w:val="24"/>
          <w:szCs w:val="24"/>
        </w:rPr>
        <w:t>art. 5º da Lei nº 12.846, de 1º de agosto de 2013.</w:t>
      </w:r>
      <w:r>
        <w:rPr>
          <w:rStyle w:val="LinkdaInternet"/>
          <w:sz w:val="24"/>
          <w:i w:val="false"/>
          <w:szCs w:val="24"/>
          <w:iCs w:val="false"/>
          <w:rFonts w:ascii="CARLITO" w:hAnsi="CARLITO"/>
          <w:color w:val="000000"/>
        </w:rPr>
        <w:fldChar w:fldCharType="end"/>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rFonts w:ascii="CARLITO" w:hAnsi="CARLITO"/>
          <w:sz w:val="24"/>
          <w:szCs w:val="24"/>
        </w:rPr>
      </w:pPr>
      <w:r>
        <w:rPr>
          <w:rFonts w:cs="Arial" w:ascii="CARLITO" w:hAnsi="CARLITO"/>
          <w:i w:val="false"/>
          <w:iCs w:val="false"/>
          <w:color w:val="000000"/>
          <w:sz w:val="24"/>
          <w:szCs w:val="24"/>
        </w:rPr>
        <w:t>Advertência pela falta do subitem 8.1.1 deste Aviso de Contratação Direta,</w:t>
      </w:r>
      <w:r>
        <w:rPr>
          <w:rFonts w:ascii="CARLITO" w:hAnsi="CARLITO"/>
          <w:i w:val="false"/>
          <w:iCs w:val="false"/>
          <w:color w:val="000000"/>
          <w:sz w:val="24"/>
          <w:szCs w:val="24"/>
        </w:rPr>
        <w:t xml:space="preserve"> </w:t>
      </w:r>
      <w:r>
        <w:rPr>
          <w:rFonts w:cs="Arial" w:ascii="CARLITO" w:hAnsi="CARLITO"/>
          <w:i w:val="false"/>
          <w:iCs w:val="false"/>
          <w:color w:val="000000"/>
          <w:sz w:val="24"/>
          <w:szCs w:val="24"/>
        </w:rPr>
        <w:t>quando não se justificar a imposição de penalidade mais grave;</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Multa de 0,5% (cinco decimos por cento) sobre o valor estimado do(s) item(s) prejudicado(s) pela conduta do fornecedor, por qualquer das infrações dos subitens 8.1.1 a 8.1.12;</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pPr>
        <w:pStyle w:val="Normal"/>
        <w:numPr>
          <w:ilvl w:val="1"/>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Na aplicação das sanções serão considerados: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a natureza e a gravidade da infração cometida;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peculiaridades do caso concreto;</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circunstâncias agravantes ou atenuantes;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os danos que dela provierem para a Administração Pública;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 implantação ou o aperfeiçoamento de programa de integridade, conforme normas e orientações dos órgãos de controle.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0" w:name="art156%252525252525252525252525C2%252525"/>
      <w:bookmarkStart w:id="1" w:name="art156%252525252525252525252525C2%252525"/>
      <w:bookmarkStart w:id="2" w:name="art156%252525252525252525252525C2%252525"/>
      <w:bookmarkEnd w:id="0"/>
      <w:bookmarkEnd w:id="1"/>
      <w:bookmarkEnd w:id="2"/>
      <w:r>
        <w:rPr>
          <w:rFonts w:cs="Arial" w:ascii="CARLITO" w:hAnsi="CARLITO"/>
          <w:i w:val="false"/>
          <w:iCs w:val="false"/>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3" w:name="art156%252525252525252525252525C2%252525"/>
      <w:bookmarkEnd w:id="3"/>
      <w:r>
        <w:rPr>
          <w:rFonts w:cs="Arial" w:ascii="CARLITO" w:hAnsi="CARLITO"/>
          <w:i w:val="false"/>
          <w:iCs w:val="false"/>
          <w:color w:val="000000"/>
          <w:sz w:val="24"/>
          <w:szCs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penalidade de multa pode ser aplicada cumulativamente com as demais sanções.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sanções por atos praticados no decorrer da contratação estão previstas nos anexos a este Aviso.</w:t>
      </w:r>
    </w:p>
    <w:p>
      <w:pPr>
        <w:pStyle w:val="Normal"/>
        <w:spacing w:lineRule="auto" w:line="276" w:before="120" w:after="120"/>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DAS DISPOSIÇÕES GERAIS</w:t>
      </w:r>
    </w:p>
    <w:p>
      <w:pPr>
        <w:pStyle w:val="Normal"/>
        <w:numPr>
          <w:ilvl w:val="1"/>
          <w:numId w:val="1"/>
        </w:numPr>
        <w:snapToGrid w:val="false"/>
        <w:spacing w:lineRule="auto" w:line="276"/>
        <w:ind w:left="425" w:right="0" w:hanging="0"/>
        <w:jc w:val="both"/>
        <w:rPr>
          <w:rFonts w:ascii="CARLITO" w:hAnsi="CARLITO"/>
          <w:i w:val="false"/>
          <w:i w:val="false"/>
          <w:iCs w:val="false"/>
          <w:color w:val="000000"/>
          <w:sz w:val="24"/>
          <w:szCs w:val="24"/>
        </w:rPr>
      </w:pPr>
      <w:r>
        <w:rPr>
          <w:rFonts w:ascii="CARLITO" w:hAnsi="CARLITO"/>
          <w:i w:val="false"/>
          <w:iCs w:val="false"/>
          <w:color w:val="000000"/>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todos os fornecedores restarem desclassificados ou inabilitados (procedimento fracassado), a Administração poderá:</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republicar o presente aviso com uma nova data;</w:t>
      </w:r>
    </w:p>
    <w:p>
      <w:pPr>
        <w:pStyle w:val="Normal"/>
        <w:numPr>
          <w:ilvl w:val="2"/>
          <w:numId w:val="1"/>
        </w:numPr>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do subitem anterior, a contratação será operacionalizada fora deste procedimento.</w:t>
      </w:r>
    </w:p>
    <w:p>
      <w:pPr>
        <w:pStyle w:val="Normal"/>
        <w:numPr>
          <w:ilvl w:val="2"/>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fixar prazo para que possa haver adequação das propostas ou da documentação de habilitação, conforme o caso.</w:t>
      </w:r>
    </w:p>
    <w:p>
      <w:pPr>
        <w:pStyle w:val="Normal"/>
        <w:numPr>
          <w:ilvl w:val="1"/>
          <w:numId w:val="1"/>
        </w:numPr>
        <w:spacing w:lineRule="auto" w:line="276" w:before="6" w:after="6"/>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right="0" w:hanging="0"/>
        <w:jc w:val="both"/>
        <w:rPr>
          <w:rFonts w:ascii="CARLITO" w:hAnsi="CARLITO"/>
          <w:sz w:val="24"/>
          <w:szCs w:val="24"/>
        </w:rPr>
      </w:pPr>
      <w:r>
        <w:rPr>
          <w:rFonts w:cs="Arial" w:ascii="CARLITO" w:hAnsi="CARLITO"/>
          <w:i w:val="false"/>
          <w:iCs w:val="false"/>
          <w:color w:val="000000"/>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Da sessão pública será divulgada Ata no sistema eletrônico.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Integram este Aviso de Contratação Direta, para todos os fins e efeitos, os seguintes anexos:</w:t>
      </w:r>
    </w:p>
    <w:p>
      <w:pPr>
        <w:pStyle w:val="Normal"/>
        <w:numPr>
          <w:ilvl w:val="2"/>
          <w:numId w:val="1"/>
        </w:numPr>
        <w:spacing w:lineRule="auto" w:line="276" w:before="63" w:after="63"/>
        <w:jc w:val="both"/>
        <w:rPr/>
      </w:pPr>
      <w:r>
        <w:rPr>
          <w:rFonts w:cs="Arial" w:ascii="CARLITO" w:hAnsi="CARLITO"/>
          <w:i w:val="false"/>
          <w:iCs w:val="false"/>
          <w:color w:val="000000"/>
          <w:sz w:val="24"/>
          <w:szCs w:val="24"/>
        </w:rPr>
        <w:t>ANEXO I – Documentação exigida para Habilitação.</w:t>
      </w:r>
    </w:p>
    <w:p>
      <w:pPr>
        <w:pStyle w:val="Normal"/>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120" w:after="120"/>
        <w:jc w:val="center"/>
        <w:rPr>
          <w:rFonts w:ascii="CARLITO" w:hAnsi="CARLITO"/>
          <w:i w:val="false"/>
          <w:i w:val="false"/>
          <w:iCs w:val="false"/>
          <w:color w:val="000000"/>
          <w:sz w:val="24"/>
          <w:szCs w:val="24"/>
        </w:rPr>
      </w:pPr>
      <w:r>
        <w:rPr>
          <w:rFonts w:ascii="CARLITO" w:hAnsi="CARLITO"/>
          <w:i w:val="false"/>
          <w:iCs w:val="false"/>
          <w:color w:val="000000"/>
          <w:sz w:val="24"/>
          <w:szCs w:val="24"/>
        </w:rPr>
        <w:t xml:space="preserve">Rio Grande - RS, ____ de </w:t>
      </w:r>
      <w:r>
        <w:rPr>
          <w:rFonts w:eastAsia="Times New Roman" w:cs="Tahoma" w:ascii="CARLITO" w:hAnsi="CARLITO"/>
          <w:i w:val="false"/>
          <w:iCs w:val="false"/>
          <w:color w:val="000000"/>
          <w:kern w:val="0"/>
          <w:sz w:val="24"/>
          <w:szCs w:val="24"/>
          <w:lang w:val="pt-BR" w:eastAsia="pt-BR" w:bidi="ar-SA"/>
        </w:rPr>
        <w:t>novembro</w:t>
      </w:r>
      <w:r>
        <w:rPr>
          <w:rFonts w:ascii="CARLITO" w:hAnsi="CARLITO"/>
          <w:i w:val="false"/>
          <w:iCs w:val="false"/>
          <w:color w:val="000000"/>
          <w:sz w:val="24"/>
          <w:szCs w:val="24"/>
        </w:rPr>
        <w:t xml:space="preserve"> de 2022</w:t>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BRUNNO FANARA DE SOUZA</w:t>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Capitão de Fragata (FN)</w:t>
      </w:r>
    </w:p>
    <w:p>
      <w:pPr>
        <w:pStyle w:val="Normal"/>
        <w:spacing w:lineRule="auto" w:line="276" w:before="0" w:after="120"/>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Ordenador de Despesas</w:t>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jc w:val="center"/>
        <w:rPr/>
      </w:pPr>
      <w:r>
        <w:rPr>
          <w:rFonts w:cs="Arial" w:ascii="CARLITO" w:hAnsi="CARLITO"/>
          <w:b/>
          <w:bCs/>
          <w:i w:val="false"/>
          <w:iCs w:val="false"/>
          <w:color w:val="000000"/>
          <w:sz w:val="24"/>
          <w:szCs w:val="24"/>
          <w:lang w:eastAsia="en-US"/>
        </w:rPr>
        <w:t>ANEXO I – DOCUMENTAÇÃO EXIGIDA PARA HABILITAÇÃO</w:t>
      </w:r>
    </w:p>
    <w:p>
      <w:pPr>
        <w:pStyle w:val="Normal"/>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r>
    </w:p>
    <w:p>
      <w:pPr>
        <w:pStyle w:val="PADRO"/>
        <w:keepNext w:val="true"/>
        <w:widowControl/>
        <w:numPr>
          <w:ilvl w:val="0"/>
          <w:numId w:val="3"/>
        </w:numPr>
        <w:shd w:val="clear" w:fill="FFFFFF"/>
        <w:spacing w:before="120" w:after="120"/>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 xml:space="preserve"> </w:t>
      </w:r>
      <w:r>
        <w:rPr>
          <w:rFonts w:cs="Arial" w:ascii="CARLITO" w:hAnsi="CARLITO"/>
          <w:b/>
          <w:bCs/>
          <w:i w:val="false"/>
          <w:iCs w:val="false"/>
          <w:color w:val="000000"/>
          <w:sz w:val="24"/>
          <w:szCs w:val="24"/>
        </w:rPr>
        <w:t>Regularidade fiscal, social e trabalhista:</w:t>
      </w:r>
    </w:p>
    <w:p>
      <w:pPr>
        <w:pStyle w:val="Normal"/>
        <w:numPr>
          <w:ilvl w:val="1"/>
          <w:numId w:val="3"/>
        </w:numPr>
        <w:tabs>
          <w:tab w:val="clear" w:pos="708"/>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inscrição no Cadastro Nacional de Pessoas Jurídicas ou no Cadastro de Pessoas Físicas, conforme o caso;</w:t>
      </w:r>
    </w:p>
    <w:p>
      <w:pPr>
        <w:pStyle w:val="Normal"/>
        <w:numPr>
          <w:ilvl w:val="1"/>
          <w:numId w:val="3"/>
        </w:numPr>
        <w:tabs>
          <w:tab w:val="clear" w:pos="708"/>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708"/>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regularidade com o Fundo de Garantia do Tempo de Serviço (FGTS);</w:t>
      </w:r>
    </w:p>
    <w:p>
      <w:pPr>
        <w:pStyle w:val="Normal"/>
        <w:numPr>
          <w:ilvl w:val="1"/>
          <w:numId w:val="3"/>
        </w:numPr>
        <w:tabs>
          <w:tab w:val="clear" w:pos="708"/>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708"/>
          <w:tab w:val="left" w:pos="1440" w:leader="none"/>
        </w:tabs>
        <w:snapToGrid w:val="false"/>
        <w:spacing w:lineRule="auto" w:line="276" w:before="120" w:after="120"/>
        <w:jc w:val="both"/>
        <w:rPr>
          <w:rFonts w:ascii="CARLITO" w:hAnsi="CARLITO"/>
          <w:sz w:val="24"/>
          <w:szCs w:val="24"/>
        </w:rPr>
      </w:pPr>
      <w:r>
        <w:rPr>
          <w:rFonts w:cs="Arial" w:ascii="CARLITO" w:hAnsi="CARLITO"/>
          <w:bCs/>
          <w:i w:val="false"/>
          <w:iCs w:val="false"/>
          <w:color w:val="000000"/>
          <w:sz w:val="24"/>
          <w:szCs w:val="24"/>
        </w:rPr>
        <w:t xml:space="preserve">prova de </w:t>
      </w:r>
      <w:r>
        <w:rPr>
          <w:rFonts w:cs="Arial" w:ascii="CARLITO" w:hAnsi="CARLITO"/>
          <w:i w:val="false"/>
          <w:iCs w:val="false"/>
          <w:color w:val="000000"/>
          <w:sz w:val="24"/>
          <w:szCs w:val="24"/>
        </w:rPr>
        <w:t>inscrição no cadastro de contribuintes estadual, relativo ao domicílio ou sede do fornecedor, pertinente ao seu ramo de atividade e compatível com o objeto contratual</w:t>
      </w:r>
      <w:r>
        <w:rPr>
          <w:rFonts w:cs="Arial" w:ascii="CARLITO" w:hAnsi="CARLITO"/>
          <w:bCs/>
          <w:i w:val="false"/>
          <w:iCs w:val="false"/>
          <w:color w:val="000000"/>
          <w:sz w:val="24"/>
          <w:szCs w:val="24"/>
        </w:rPr>
        <w:t xml:space="preserve">; </w:t>
      </w:r>
    </w:p>
    <w:p>
      <w:pPr>
        <w:pStyle w:val="Normal"/>
        <w:numPr>
          <w:ilvl w:val="1"/>
          <w:numId w:val="3"/>
        </w:numPr>
        <w:tabs>
          <w:tab w:val="clear" w:pos="708"/>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prova de regularidade com a Fazenda Estadual do domicílio ou sede do fornecedor, relativa à atividade em cujo exercício contrata ou concorre; </w:t>
      </w:r>
    </w:p>
    <w:p>
      <w:pPr>
        <w:pStyle w:val="Normal"/>
        <w:numPr>
          <w:ilvl w:val="1"/>
          <w:numId w:val="3"/>
        </w:numPr>
        <w:tabs>
          <w:tab w:val="clear" w:pos="708"/>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caso o fornecedor seja considerado isento dos tributos estaduais relacionados ao objeto contratual, deverá comprovar tal condição mediante a apresentação de declaração da Fazenda respectiva do seu domicílio ou sede, ou outra equivalente, na forma da lei; </w:t>
      </w:r>
    </w:p>
    <w:p>
      <w:pPr>
        <w:pStyle w:val="PADRO"/>
        <w:keepNext w:val="true"/>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1866900" cy="2457450"/>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5"/>
                    <a:stretch>
                      <a:fillRect/>
                    </a:stretch>
                  </pic:blipFill>
                  <pic:spPr bwMode="auto">
                    <a:xfrm>
                      <a:off x="0" y="0"/>
                      <a:ext cx="1866900" cy="2457450"/>
                    </a:xfrm>
                    <a:prstGeom prst="rect">
                      <a:avLst/>
                    </a:prstGeom>
                  </pic:spPr>
                </pic:pic>
              </a:graphicData>
            </a:graphic>
          </wp:anchor>
        </w:drawing>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keepNext w:val="true"/>
        <w:widowControl/>
        <w:shd w:val="clear" w:fill="FFFFFF"/>
        <w:overflowPunct w:val="false"/>
        <w:bidi w:val="0"/>
        <w:spacing w:lineRule="auto" w:line="276" w:before="120" w:after="120"/>
        <w:ind w:left="1247" w:right="0" w:hanging="0"/>
        <w:jc w:val="left"/>
        <w:textAlignment w:val="baseline"/>
        <w:rPr>
          <w:b/>
          <w:b/>
          <w:bCs/>
        </w:rPr>
      </w:pPr>
      <w:r>
        <w:rPr>
          <w:b/>
          <w:bCs/>
        </w:rPr>
        <w:t>BRASÃO GRUPAMENTO DE FUZILEIROS NAVAIS DO RIO GRANDE</w:t>
      </w:r>
    </w:p>
    <w:p>
      <w:pPr>
        <w:pStyle w:val="PADRO"/>
        <w:widowControl/>
        <w:shd w:val="clear" w:fill="FFFFFF"/>
        <w:spacing w:before="120" w:after="120"/>
        <w:ind w:left="2421" w:right="0" w:hanging="0"/>
        <w:rPr/>
      </w:pPr>
      <w:r>
        <w:rPr/>
        <w:drawing>
          <wp:anchor behindDoc="0" distT="0" distB="0" distL="0" distR="0" simplePos="0" locked="0" layoutInCell="0" allowOverlap="1" relativeHeight="3">
            <wp:simplePos x="0" y="0"/>
            <wp:positionH relativeFrom="column">
              <wp:posOffset>768350</wp:posOffset>
            </wp:positionH>
            <wp:positionV relativeFrom="paragraph">
              <wp:posOffset>941070</wp:posOffset>
            </wp:positionV>
            <wp:extent cx="4403090" cy="2343785"/>
            <wp:effectExtent l="0" t="0" r="0" b="0"/>
            <wp:wrapSquare wrapText="largest"/>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6"/>
                    <a:stretch>
                      <a:fillRect/>
                    </a:stretch>
                  </pic:blipFill>
                  <pic:spPr bwMode="auto">
                    <a:xfrm>
                      <a:off x="0" y="0"/>
                      <a:ext cx="4403090" cy="2343785"/>
                    </a:xfrm>
                    <a:prstGeom prst="rect">
                      <a:avLst/>
                    </a:prstGeom>
                  </pic:spPr>
                </pic:pic>
              </a:graphicData>
            </a:graphic>
          </wp:anchor>
        </w:drawing>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keepNext w:val="true"/>
        <w:widowControl/>
        <w:shd w:val="clear" w:fill="FFFFFF"/>
        <w:overflowPunct w:val="false"/>
        <w:bidi w:val="0"/>
        <w:spacing w:lineRule="auto" w:line="276" w:before="120" w:after="120"/>
        <w:ind w:left="567" w:right="0" w:hanging="0"/>
        <w:jc w:val="both"/>
        <w:textAlignment w:val="baseline"/>
        <w:rPr>
          <w:b/>
          <w:b/>
          <w:bCs/>
        </w:rPr>
      </w:pPr>
      <w:r>
        <w:rPr>
          <w:b/>
          <w:bCs/>
        </w:rPr>
        <w:t>BRAÇADEIRA SP GRUPAMENTO DE FUZILEIROS NAVAIS DO RIO GRANDE</w:t>
      </w:r>
    </w:p>
    <w:p>
      <w:pPr>
        <w:pStyle w:val="PADRO"/>
        <w:widowControl/>
        <w:shd w:val="clear" w:fill="FFFFFF"/>
        <w:overflowPunct w:val="false"/>
        <w:bidi w:val="0"/>
        <w:spacing w:lineRule="auto" w:line="276" w:before="120" w:after="120"/>
        <w:ind w:left="567" w:right="0" w:hanging="0"/>
        <w:jc w:val="both"/>
        <w:textAlignment w:val="baseline"/>
        <w:rPr>
          <w:b/>
          <w:b/>
          <w:bCs/>
        </w:rPr>
      </w:pPr>
      <w:r>
        <w:rPr>
          <w:b/>
          <w:bCs/>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p>
      <w:pPr>
        <w:pStyle w:val="PADRO"/>
        <w:widowControl/>
        <w:shd w:val="clear" w:fill="FFFFFF"/>
        <w:spacing w:before="120" w:after="120"/>
        <w:ind w:left="2421" w:right="0" w:hanging="0"/>
        <w:rPr/>
      </w:pPr>
      <w:r>
        <w:rPr/>
      </w:r>
    </w:p>
    <w:sectPr>
      <w:footerReference w:type="default" r:id="rId7"/>
      <w:type w:val="nextPage"/>
      <w:pgSz w:w="11906" w:h="16838"/>
      <w:pgMar w:left="1701" w:right="850" w:header="0" w:top="850" w:footer="850" w:bottom="1559" w:gutter="0"/>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RLITO">
    <w:altName w:val="Calibri"/>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sz w:val="24"/>
        <w:b/>
        <w:szCs w:val="24"/>
        <w:rFonts w:ascii="CARLITO" w:hAnsi="CARLITO"/>
      </w:rPr>
    </w:lvl>
    <w:lvl w:ilvl="1">
      <w:start w:val="1"/>
      <w:numFmt w:val="decimal"/>
      <w:lvlText w:val="%1.%2."/>
      <w:lvlJc w:val="left"/>
      <w:pPr>
        <w:tabs>
          <w:tab w:val="num" w:pos="0"/>
        </w:tabs>
        <w:ind w:left="792" w:hanging="432"/>
      </w:pPr>
      <w:rPr>
        <w:sz w:val="24"/>
        <w:i w:val="false"/>
        <w:b/>
        <w:iCs/>
        <w:rFonts w:ascii="CARLITO" w:hAnsi="CARLITO"/>
        <w:color w:val="00000A"/>
      </w:rPr>
    </w:lvl>
    <w:lvl w:ilvl="2">
      <w:start w:val="1"/>
      <w:numFmt w:val="decimal"/>
      <w:lvlText w:val="%1.%2.%3."/>
      <w:lvlJc w:val="left"/>
      <w:pPr>
        <w:tabs>
          <w:tab w:val="num" w:pos="0"/>
        </w:tabs>
        <w:ind w:left="1224" w:hanging="504"/>
      </w:pPr>
      <w:rPr>
        <w:sz w:val="24"/>
        <w:i w:val="false"/>
        <w:b/>
        <w:iCs/>
        <w:rFonts w:ascii="CARLITO" w:hAnsi="CARLITO" w:cs="Arial"/>
        <w:color w:val="00000A"/>
      </w:rPr>
    </w:lvl>
    <w:lvl w:ilvl="3">
      <w:start w:val="1"/>
      <w:numFmt w:val="decimal"/>
      <w:lvlText w:val="%1.%2.%3.%4."/>
      <w:lvlJc w:val="left"/>
      <w:pPr>
        <w:tabs>
          <w:tab w:val="num" w:pos="0"/>
        </w:tabs>
        <w:ind w:left="1728" w:hanging="648"/>
      </w:pPr>
      <w:rPr>
        <w:sz w:val="24"/>
        <w:b/>
        <w:bCs/>
        <w:rFonts w:ascii="CARLITO" w:hAnsi="CARLITO"/>
        <w:color w:val="00000A"/>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sz w:val="24"/>
        <w:b/>
        <w:rFonts w:ascii="CARLITO" w:hAnsi="CARLITO"/>
      </w:rPr>
    </w:lvl>
    <w:lvl w:ilvl="2">
      <w:start w:val="1"/>
      <w:numFmt w:val="decimal"/>
      <w:lvlText w:val="%1.%2.%3"/>
      <w:lvlJc w:val="left"/>
      <w:pPr>
        <w:tabs>
          <w:tab w:val="num" w:pos="0"/>
        </w:tabs>
        <w:ind w:left="1854" w:hanging="720"/>
      </w:pPr>
      <w:rPr>
        <w:b/>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00000A"/>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sz w:val="24"/>
        <w:i w:val="false"/>
        <w:b w:val="false"/>
        <w:iCs/>
        <w:rFonts w:ascii="CARLITO" w:hAnsi="CARLITO"/>
        <w:color w:val="00000A"/>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85"/>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Cs w:val="22"/>
        <w:lang w:val="pt-BR" w:eastAsia="en-US" w:bidi="ar-SA"/>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qFormat/>
    <w:pPr>
      <w:keepNext w:val="true"/>
      <w:keepLines/>
      <w:spacing w:before="240" w:after="0"/>
      <w:outlineLvl w:val="0"/>
    </w:pPr>
    <w:rPr>
      <w:rFonts w:ascii="Calibri Light" w:hAnsi="Calibri Light" w:eastAsia="Calibri" w:cs="DejaVu Sans"/>
      <w:color w:val="2F5496"/>
      <w:sz w:val="32"/>
      <w:szCs w:val="32"/>
    </w:rPr>
  </w:style>
  <w:style w:type="character" w:styleId="DefaultParagraphFont">
    <w:name w:val="Default Paragraph Font"/>
    <w:qFormat/>
    <w:rPr/>
  </w:style>
  <w:style w:type="character" w:styleId="CitaoChar">
    <w:name w:val="Citação Char"/>
    <w:basedOn w:val="DefaultParagraphFont"/>
    <w:qFormat/>
    <w:rPr>
      <w:rFonts w:ascii="Arial" w:hAnsi="Arial" w:eastAsia="Calibri" w:cs="Tahoma"/>
      <w:i/>
      <w:iCs/>
      <w:color w:val="000000"/>
      <w:sz w:val="20"/>
      <w:szCs w:val="24"/>
      <w:highlight w:val="yellow"/>
    </w:rPr>
  </w:style>
  <w:style w:type="character" w:styleId="Nivel01Char">
    <w:name w:val="Nivel 01 Char"/>
    <w:qFormat/>
    <w:rPr>
      <w:rFonts w:ascii="Arial" w:hAnsi="Arial" w:eastAsia="Calibri" w:cs="Times New Roman"/>
      <w:b/>
      <w:bCs/>
      <w:color w:val="000000"/>
      <w:sz w:val="20"/>
      <w:szCs w:val="20"/>
      <w:lang w:eastAsia="pt-BR"/>
    </w:rPr>
  </w:style>
  <w:style w:type="character" w:styleId="Ttulo1Char">
    <w:name w:val="Título 1 Char"/>
    <w:basedOn w:val="DefaultParagraphFont"/>
    <w:qFormat/>
    <w:rPr>
      <w:rFonts w:ascii="Calibri Light" w:hAnsi="Calibri Light" w:eastAsia="Calibri" w:cs="DejaVu Sans"/>
      <w:color w:val="2F5496"/>
      <w:sz w:val="32"/>
      <w:szCs w:val="32"/>
      <w:lang w:eastAsia="pt-BR"/>
    </w:rPr>
  </w:style>
  <w:style w:type="character" w:styleId="Citao2Char">
    <w:name w:val="citação 2 Char"/>
    <w:basedOn w:val="CitaoChar"/>
    <w:qFormat/>
    <w:rPr>
      <w:rFonts w:ascii="Arial" w:hAnsi="Arial" w:eastAsia="Calibri" w:cs="Tahoma"/>
      <w:i/>
      <w:iCs/>
      <w:color w:val="000000"/>
      <w:sz w:val="20"/>
      <w:szCs w:val="20"/>
      <w:highlight w:val="yellow"/>
    </w:rPr>
  </w:style>
  <w:style w:type="character" w:styleId="QuoteChar">
    <w:name w:val="Quote Char"/>
    <w:basedOn w:val="DefaultParagraphFont"/>
    <w:qFormat/>
    <w:rPr>
      <w:rFonts w:ascii="Ecofont_Spranq_eco_Sans" w:hAnsi="Ecofont_Spranq_eco_Sans" w:eastAsia="Calibri" w:cs="Tahoma"/>
      <w:i/>
      <w:iCs/>
      <w:color w:val="000000"/>
      <w:highlight w:val="yellow"/>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Arial" w:hAnsi="Arial" w:eastAsia="Times New Roman" w:cs="Tahoma"/>
      <w:sz w:val="20"/>
      <w:szCs w:val="20"/>
      <w:lang w:eastAsia="pt-BR"/>
    </w:rPr>
  </w:style>
  <w:style w:type="character" w:styleId="AssuntodocomentrioChar">
    <w:name w:val="Assunto do comentário Char"/>
    <w:basedOn w:val="TextodecomentrioChar"/>
    <w:qFormat/>
    <w:rPr>
      <w:rFonts w:ascii="Arial" w:hAnsi="Arial" w:eastAsia="Times New Roman" w:cs="Tahoma"/>
      <w:b/>
      <w:bCs/>
      <w:sz w:val="20"/>
      <w:szCs w:val="20"/>
      <w:lang w:eastAsia="pt-BR"/>
    </w:rPr>
  </w:style>
  <w:style w:type="character" w:styleId="LinkdaInternet">
    <w:name w:val="Link da Internet"/>
    <w:rPr>
      <w:color w:val="000080"/>
      <w:u w:val="single"/>
    </w:rPr>
  </w:style>
  <w:style w:type="character" w:styleId="Nivel4Char">
    <w:name w:val="Nivel 4 Char"/>
    <w:basedOn w:val="DefaultParagraphFont"/>
    <w:qFormat/>
    <w:rPr>
      <w:rFonts w:ascii="Ecofont_Spranq_eco_Sans" w:hAnsi="Ecofont_Spranq_eco_Sans" w:eastAsia="Arial Unicode MS" w:cs="Arial"/>
      <w:sz w:val="20"/>
      <w:szCs w:val="20"/>
      <w:lang w:eastAsia="pt-BR"/>
    </w:rPr>
  </w:style>
  <w:style w:type="character" w:styleId="TextodebaloChar">
    <w:name w:val="Texto de balão Char"/>
    <w:basedOn w:val="DefaultParagraphFont"/>
    <w:qFormat/>
    <w:rPr>
      <w:rFonts w:ascii="Segoe UI" w:hAnsi="Segoe UI" w:eastAsia="Times New Roman" w:cs="Segoe UI"/>
      <w:sz w:val="18"/>
      <w:szCs w:val="18"/>
      <w:lang w:eastAsia="pt-BR"/>
    </w:rPr>
  </w:style>
  <w:style w:type="character" w:styleId="CabealhoChar">
    <w:name w:val="Cabeçalho Char"/>
    <w:basedOn w:val="DefaultParagraphFont"/>
    <w:qFormat/>
    <w:rPr>
      <w:rFonts w:ascii="Arial" w:hAnsi="Arial" w:eastAsia="Times New Roman" w:cs="Tahoma"/>
      <w:sz w:val="20"/>
      <w:szCs w:val="24"/>
      <w:lang w:eastAsia="pt-BR"/>
    </w:rPr>
  </w:style>
  <w:style w:type="character" w:styleId="RodapChar">
    <w:name w:val="Rodapé Char"/>
    <w:basedOn w:val="DefaultParagraphFont"/>
    <w:qFormat/>
    <w:rPr>
      <w:rFonts w:ascii="Arial" w:hAnsi="Arial" w:eastAsia="Times New Roman" w:cs="Tahoma"/>
      <w:sz w:val="20"/>
      <w:szCs w:val="24"/>
      <w:lang w:eastAsia="pt-BR"/>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tulododocumento">
    <w:name w:val="Title"/>
    <w:basedOn w:val="Normal"/>
    <w:qFormat/>
    <w:pPr>
      <w:keepNext w:val="true"/>
      <w:spacing w:before="240" w:after="120"/>
    </w:pPr>
    <w:rPr>
      <w:rFonts w:ascii="Liberation Sans" w:hAnsi="Liberation Sans" w:eastAsia="Noto Sans CJK SC" w:cs="Lohit Devanagari"/>
      <w:sz w:val="28"/>
      <w:szCs w:val="28"/>
    </w:rPr>
  </w:style>
  <w:style w:type="paragraph" w:styleId="Caption">
    <w:name w:val="caption"/>
    <w:basedOn w:val="Normal"/>
    <w:qFormat/>
    <w:pPr>
      <w:suppressLineNumbers/>
      <w:spacing w:before="120" w:after="120"/>
    </w:pPr>
    <w:rPr>
      <w:rFonts w:cs="Lohit Devanagari"/>
      <w:i/>
      <w:iCs/>
      <w:sz w:val="24"/>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lang w:eastAsia="en-US"/>
    </w:rPr>
  </w:style>
  <w:style w:type="paragraph" w:styleId="Nivel01">
    <w:name w:val="Nivel 01"/>
    <w:basedOn w:val="Ttulo1"/>
    <w:next w:val="Normal"/>
    <w:qFormat/>
    <w:pPr>
      <w:spacing w:lineRule="auto" w:line="276" w:before="480" w:after="120"/>
      <w:ind w:left="0" w:right="-15" w:hanging="0"/>
      <w:jc w:val="both"/>
    </w:pPr>
    <w:rPr>
      <w:rFonts w:ascii="Arial" w:hAnsi="Arial" w:cs="Times New Roman"/>
      <w:b/>
      <w:bCs/>
      <w:color w:val="000000"/>
      <w:sz w:val="20"/>
      <w:szCs w:val="20"/>
    </w:rPr>
  </w:style>
  <w:style w:type="paragraph" w:styleId="PADRO">
    <w:name w:val="PADRÃO"/>
    <w:qFormat/>
    <w:pPr>
      <w:keepNext w:val="true"/>
      <w:widowControl w:val="false"/>
      <w:shd w:val="clear" w:fill="FFFFFF"/>
      <w:suppressAutoHyphens w:val="true"/>
      <w:overflowPunct w:val="fals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qFormat/>
    <w:pPr>
      <w:spacing w:before="0" w:after="0"/>
      <w:ind w:left="720" w:right="0" w:hanging="0"/>
      <w:contextualSpacing/>
    </w:pPr>
    <w:rPr/>
  </w:style>
  <w:style w:type="paragraph" w:styleId="Citao2">
    <w:name w:val="citação 2"/>
    <w:basedOn w:val="Quote"/>
    <w:qFormat/>
    <w:pPr>
      <w:shd w:val="clear" w:fill="FFFFCC"/>
    </w:pPr>
    <w:rPr>
      <w:szCs w:val="20"/>
    </w:rPr>
  </w:style>
  <w:style w:type="paragraph"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qFormat/>
    <w:pPr/>
    <w:rPr>
      <w:szCs w:val="20"/>
    </w:rPr>
  </w:style>
  <w:style w:type="paragraph" w:styleId="Annotationsubject">
    <w:name w:val="annotation subject"/>
    <w:basedOn w:val="Annotationtext"/>
    <w:qFormat/>
    <w:pPr/>
    <w:rPr>
      <w:b/>
      <w:bCs/>
    </w:rPr>
  </w:style>
  <w:style w:type="paragraph" w:styleId="Nivel1">
    <w:name w:val="Nivel1"/>
    <w:basedOn w:val="Ttulo1"/>
    <w:qFormat/>
    <w:pPr>
      <w:spacing w:lineRule="auto" w:line="276" w:before="480" w:after="0"/>
      <w:ind w:left="644" w:right="0" w:hanging="360"/>
      <w:jc w:val="both"/>
    </w:pPr>
    <w:rPr>
      <w:rFonts w:ascii="Arial" w:hAnsi="Arial" w:cs="Times New Roman"/>
      <w:b/>
      <w:color w:val="000000"/>
      <w:sz w:val="20"/>
      <w:szCs w:val="20"/>
    </w:rPr>
  </w:style>
  <w:style w:type="paragraph" w:styleId="Nivel2">
    <w:name w:val="Nivel 2"/>
    <w:qFormat/>
    <w:pPr>
      <w:widowControl/>
      <w:suppressAutoHyphens w:val="true"/>
      <w:overflowPunct w:val="false"/>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name w:val="Nivel 1"/>
    <w:basedOn w:val="Nivel2"/>
    <w:qFormat/>
    <w:pPr/>
    <w:rPr>
      <w:rFonts w:cs="Arial"/>
      <w:b/>
    </w:rPr>
  </w:style>
  <w:style w:type="paragraph" w:styleId="Nivel3">
    <w:name w:val="Nivel 3"/>
    <w:basedOn w:val="Nivel2"/>
    <w:qFormat/>
    <w:pPr/>
    <w:rPr>
      <w:rFonts w:cs="Arial"/>
      <w:color w:val="000000"/>
    </w:rPr>
  </w:style>
  <w:style w:type="paragraph" w:styleId="Nivel4">
    <w:name w:val="Nivel 4"/>
    <w:basedOn w:val="Nivel3"/>
    <w:qFormat/>
    <w:pPr/>
    <w:rPr>
      <w:color w:val="00000A"/>
    </w:rPr>
  </w:style>
  <w:style w:type="paragraph" w:styleId="Nivel5">
    <w:name w:val="Nivel 5"/>
    <w:basedOn w:val="Nivel4"/>
    <w:qFormat/>
    <w:pPr>
      <w:tabs>
        <w:tab w:val="clear" w:pos="708"/>
        <w:tab w:val="left" w:pos="360" w:leader="none"/>
      </w:tabs>
    </w:pPr>
    <w:rPr/>
  </w:style>
  <w:style w:type="paragraph" w:styleId="BalloonText">
    <w:name w:val="Balloon Text"/>
    <w:basedOn w:val="Normal"/>
    <w:qFormat/>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pPr>
      <w:tabs>
        <w:tab w:val="clear" w:pos="708"/>
        <w:tab w:val="center" w:pos="4252" w:leader="none"/>
        <w:tab w:val="right" w:pos="8504" w:leader="none"/>
      </w:tabs>
    </w:pPr>
    <w:rPr/>
  </w:style>
  <w:style w:type="paragraph" w:styleId="Rodap">
    <w:name w:val="Footer"/>
    <w:basedOn w:val="Normal"/>
    <w:pPr>
      <w:tabs>
        <w:tab w:val="clear" w:pos="708"/>
        <w:tab w:val="center" w:pos="4252" w:leader="none"/>
        <w:tab w:val="right" w:pos="8504" w:leader="none"/>
      </w:tabs>
    </w:pPr>
    <w:rPr/>
  </w:style>
  <w:style w:type="paragraph" w:styleId="Contedodatabela">
    <w:name w:val="Conteúdo da tabela"/>
    <w:basedOn w:val="Normal"/>
    <w:qFormat/>
    <w:pPr/>
    <w:rPr/>
  </w:style>
  <w:style w:type="paragraph" w:styleId="Ttulodetabela">
    <w:name w:val="Título de tabela"/>
    <w:basedOn w:val="Contedodatabela"/>
    <w:qFormat/>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1088</TotalTime>
  <Application>LibreOffice/7.0.6.2$Linux_X86_64 LibreOffice_project/144abb84a525d8e30c9dbbefa69cbbf2d8d4ae3b</Application>
  <AppVersion>15.0000</AppVersion>
  <Pages>15</Pages>
  <Words>4739</Words>
  <Characters>27175</Characters>
  <CharactersWithSpaces>31607</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2022-05-04T22:03:00Z</dcterms:created>
  <dc:creator>Hugo Sales</dc:creator>
  <dc:description/>
  <dc:language>pt-BR</dc:language>
  <cp:lastModifiedBy/>
  <cp:lastPrinted>2022-09-15T13:38:53Z</cp:lastPrinted>
  <dcterms:modified xsi:type="dcterms:W3CDTF">2022-11-21T09:57:47Z</dcterms:modified>
  <cp:revision>81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