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media/image1.jpeg" ContentType="image/jpe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357" w:right="0" w:hanging="0"/>
        <w:jc w:val="center"/>
        <w:rPr>
          <w:rFonts w:ascii="Calibri" w:hAnsi="Calibri"/>
          <w:b/>
          <w:b/>
          <w:bCs/>
          <w:sz w:val="24"/>
          <w:szCs w:val="24"/>
        </w:rPr>
      </w:pPr>
      <w:r>
        <w:drawing>
          <wp:anchor behindDoc="0" distT="0" distB="0" distL="0" distR="0" simplePos="0" locked="0" layoutInCell="1" allowOverlap="1" relativeHeight="7">
            <wp:simplePos x="0" y="0"/>
            <wp:positionH relativeFrom="column">
              <wp:align>center</wp:align>
            </wp:positionH>
            <wp:positionV relativeFrom="paragraph">
              <wp:posOffset>111760</wp:posOffset>
            </wp:positionV>
            <wp:extent cx="794385" cy="7943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tretch>
                      <a:fillRect/>
                    </a:stretch>
                  </pic:blipFill>
                  <pic:spPr bwMode="auto">
                    <a:xfrm>
                      <a:off x="0" y="0"/>
                      <a:ext cx="794385" cy="794385"/>
                    </a:xfrm>
                    <a:prstGeom prst="rect">
                      <a:avLst/>
                    </a:prstGeom>
                  </pic:spPr>
                </pic:pic>
              </a:graphicData>
            </a:graphic>
          </wp:anchor>
        </w:drawing>
      </w:r>
      <w:r>
        <w:rPr>
          <w:rFonts w:ascii="Calibri" w:hAnsi="Calibri"/>
          <w:b/>
          <w:bCs/>
          <w:sz w:val="24"/>
          <w:szCs w:val="24"/>
        </w:rPr>
        <w:t>M</w:t>
      </w:r>
      <w:r>
        <w:rPr>
          <w:rFonts w:ascii="Calibri" w:hAnsi="Calibri"/>
          <w:b/>
          <w:bCs/>
          <w:sz w:val="24"/>
          <w:szCs w:val="24"/>
        </w:rPr>
        <w:t>INISTÉRIO DA DEFESA</w:t>
      </w:r>
    </w:p>
    <w:p>
      <w:pPr>
        <w:pStyle w:val="Normal"/>
        <w:ind w:left="357" w:right="0" w:hanging="0"/>
        <w:jc w:val="center"/>
        <w:rPr>
          <w:rFonts w:ascii="Calibri" w:hAnsi="Calibri"/>
          <w:b/>
          <w:b/>
          <w:bCs/>
          <w:sz w:val="24"/>
          <w:szCs w:val="24"/>
        </w:rPr>
      </w:pPr>
      <w:r>
        <w:rPr>
          <w:rFonts w:ascii="Calibri" w:hAnsi="Calibri"/>
          <w:b/>
          <w:bCs/>
          <w:sz w:val="24"/>
          <w:szCs w:val="24"/>
        </w:rPr>
        <w:t>MARINHA DO BRASIL</w:t>
      </w:r>
    </w:p>
    <w:p>
      <w:pPr>
        <w:pStyle w:val="Normal"/>
        <w:bidi w:val="0"/>
        <w:ind w:left="357" w:right="0" w:hanging="0"/>
        <w:jc w:val="center"/>
        <w:rPr>
          <w:rFonts w:ascii="Calibri" w:hAnsi="Calibri"/>
          <w:b/>
          <w:b/>
          <w:bCs/>
          <w:sz w:val="24"/>
          <w:szCs w:val="24"/>
          <w:lang w:val="pt-BR" w:eastAsia="zh-CN" w:bidi="hi-IN"/>
        </w:rPr>
      </w:pPr>
      <w:r>
        <w:rPr>
          <w:rFonts w:ascii="Calibri" w:hAnsi="Calibri"/>
          <w:b/>
          <w:bCs/>
          <w:sz w:val="24"/>
          <w:szCs w:val="24"/>
          <w:lang w:val="pt-BR" w:eastAsia="zh-CN" w:bidi="hi-IN"/>
        </w:rPr>
        <w:t>CENTRO DE INSTRUÇÃO ALMIRANTE ALEXANDRINO - CIAA</w:t>
      </w:r>
    </w:p>
    <w:p>
      <w:pPr>
        <w:pStyle w:val="Normal"/>
        <w:ind w:left="357" w:right="0" w:hanging="0"/>
        <w:jc w:val="center"/>
        <w:rPr>
          <w:rFonts w:ascii="Calibri" w:hAnsi="Calibri"/>
          <w:b/>
          <w:b/>
          <w:bCs/>
          <w:sz w:val="24"/>
          <w:szCs w:val="24"/>
        </w:rPr>
      </w:pPr>
      <w:r>
        <w:rPr>
          <w:rFonts w:ascii="Calibri" w:hAnsi="Calibri"/>
          <w:b/>
          <w:bCs/>
          <w:sz w:val="24"/>
          <w:szCs w:val="24"/>
        </w:rPr>
        <w:t>TERMO DE REFERÊNCIA PARA DISPENSA ELETRÔNICA</w:t>
      </w:r>
    </w:p>
    <w:p>
      <w:pPr>
        <w:pStyle w:val="Normal"/>
        <w:ind w:left="357" w:right="0" w:hanging="0"/>
        <w:jc w:val="center"/>
        <w:rPr>
          <w:rFonts w:ascii="Calibri" w:hAnsi="Calibri"/>
          <w:b/>
          <w:b/>
          <w:bCs/>
          <w:sz w:val="24"/>
          <w:szCs w:val="24"/>
        </w:rPr>
      </w:pPr>
      <w:r>
        <w:rPr>
          <w:rFonts w:ascii="Calibri" w:hAnsi="Calibri"/>
          <w:b/>
          <w:bCs/>
          <w:sz w:val="24"/>
          <w:szCs w:val="24"/>
        </w:rPr>
        <w:t>(Processo Administrativo nº 63191.000415/2022-17 )</w:t>
      </w:r>
    </w:p>
    <w:p>
      <w:pPr>
        <w:pStyle w:val="TextBody"/>
        <w:rPr>
          <w:rStyle w:val="LinkdaInternet"/>
          <w:rFonts w:ascii="Calibri" w:hAnsi="Calibri"/>
        </w:rPr>
      </w:pPr>
      <w:r>
        <w:rPr>
          <w:rFonts w:ascii="Calibri" w:hAnsi="Calibri"/>
        </w:rPr>
      </w:r>
    </w:p>
    <w:p>
      <w:pPr>
        <w:pStyle w:val="TextBody"/>
        <w:rPr>
          <w:rFonts w:ascii="Calibri" w:hAnsi="Calibri"/>
        </w:rPr>
      </w:pPr>
      <w:r>
        <w:rPr>
          <w:rFonts w:ascii="Calibri" w:hAnsi="Calibri"/>
        </w:rPr>
      </w:r>
    </w:p>
    <w:p>
      <w:pPr>
        <w:pStyle w:val="Ttulo11"/>
        <w:numPr>
          <w:ilvl w:val="0"/>
          <w:numId w:val="1"/>
        </w:numPr>
        <w:rPr>
          <w:rFonts w:ascii="Calibri" w:hAnsi="Calibri"/>
          <w:b/>
          <w:b/>
          <w:bCs/>
          <w:sz w:val="24"/>
          <w:szCs w:val="24"/>
        </w:rPr>
      </w:pPr>
      <w:r>
        <w:rPr>
          <w:rFonts w:ascii="Calibri" w:hAnsi="Calibri"/>
          <w:b/>
          <w:bCs/>
          <w:sz w:val="24"/>
          <w:szCs w:val="24"/>
        </w:rPr>
        <w:t>OBJETO</w:t>
      </w:r>
    </w:p>
    <w:p>
      <w:pPr>
        <w:pStyle w:val="Ttulo11"/>
        <w:rPr>
          <w:rFonts w:ascii="Calibri" w:hAnsi="Calibri"/>
        </w:rPr>
      </w:pPr>
      <w:r>
        <w:rPr>
          <w:rFonts w:ascii="Calibri" w:hAnsi="Calibri"/>
        </w:rPr>
      </w:r>
    </w:p>
    <w:tbl>
      <w:tblPr>
        <w:tblW w:w="9874" w:type="dxa"/>
        <w:jc w:val="left"/>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3" w:type="dxa"/>
          <w:bottom w:w="0" w:type="dxa"/>
          <w:right w:w="108" w:type="dxa"/>
        </w:tblCellMar>
      </w:tblPr>
      <w:tblGrid>
        <w:gridCol w:w="675"/>
        <w:gridCol w:w="4254"/>
        <w:gridCol w:w="1132"/>
        <w:gridCol w:w="1828"/>
        <w:gridCol w:w="1985"/>
      </w:tblGrid>
      <w:tr>
        <w:trPr>
          <w:trHeight w:val="1064" w:hRule="atLeast"/>
        </w:trPr>
        <w:tc>
          <w:tcPr>
            <w:tcW w:w="6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2F2F2" w:val="clear"/>
            <w:vAlign w:val="center"/>
          </w:tcPr>
          <w:p>
            <w:pPr>
              <w:pStyle w:val="Standard"/>
              <w:spacing w:before="0" w:after="160"/>
              <w:rPr/>
            </w:pPr>
            <w:r>
              <w:rPr/>
              <w:t>Item</w:t>
            </w:r>
          </w:p>
        </w:tc>
        <w:tc>
          <w:tcPr>
            <w:tcW w:w="425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2F2F2" w:val="clear"/>
            <w:vAlign w:val="center"/>
          </w:tcPr>
          <w:p>
            <w:pPr>
              <w:pStyle w:val="Standard"/>
              <w:spacing w:before="0" w:after="160"/>
              <w:rPr/>
            </w:pPr>
            <w:r>
              <w:rPr/>
              <w:t>Descrição detalhada</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2F2F2" w:val="clear"/>
            <w:vAlign w:val="center"/>
          </w:tcPr>
          <w:p>
            <w:pPr>
              <w:pStyle w:val="Standard"/>
              <w:spacing w:before="0" w:after="160"/>
              <w:rPr/>
            </w:pPr>
            <w:r>
              <w:rPr/>
              <w:t>Qtd</w:t>
            </w:r>
          </w:p>
        </w:tc>
        <w:tc>
          <w:tcPr>
            <w:tcW w:w="18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2F2F2" w:val="clear"/>
            <w:vAlign w:val="center"/>
          </w:tcPr>
          <w:p>
            <w:pPr>
              <w:pStyle w:val="Standard"/>
              <w:spacing w:before="0" w:after="160"/>
              <w:rPr/>
            </w:pPr>
            <w:r>
              <w:rPr/>
              <w:t>Preço unitário de referência</w:t>
            </w:r>
          </w:p>
        </w:tc>
        <w:tc>
          <w:tcPr>
            <w:tcW w:w="198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F2F2F2" w:val="clear"/>
            <w:tcMar>
              <w:left w:w="-5" w:type="dxa"/>
              <w:right w:w="10" w:type="dxa"/>
            </w:tcMar>
            <w:vAlign w:val="center"/>
          </w:tcPr>
          <w:p>
            <w:pPr>
              <w:pStyle w:val="Standard"/>
              <w:spacing w:before="0" w:after="160"/>
              <w:rPr/>
            </w:pPr>
            <w:r>
              <w:rPr/>
              <w:t>Preço total anual</w:t>
            </w:r>
          </w:p>
        </w:tc>
      </w:tr>
      <w:tr>
        <w:trPr/>
        <w:tc>
          <w:tcPr>
            <w:tcW w:w="6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tandard"/>
              <w:spacing w:before="0" w:after="160"/>
              <w:jc w:val="center"/>
              <w:rPr/>
            </w:pPr>
            <w:r>
              <w:rPr/>
              <w:t>01</w:t>
            </w:r>
          </w:p>
        </w:tc>
        <w:tc>
          <w:tcPr>
            <w:tcW w:w="425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tandard"/>
              <w:spacing w:before="0" w:after="160"/>
              <w:jc w:val="center"/>
              <w:rPr/>
            </w:pPr>
            <w:r>
              <w:rPr/>
              <w:t>DISCO DE EMBREAGEM - 21882313</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tandard"/>
              <w:spacing w:before="0" w:after="160"/>
              <w:jc w:val="center"/>
              <w:rPr/>
            </w:pPr>
            <w:r>
              <w:rPr/>
              <w:t>01</w:t>
            </w:r>
          </w:p>
        </w:tc>
        <w:tc>
          <w:tcPr>
            <w:tcW w:w="18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center"/>
              <w:rPr>
                <w:rFonts w:ascii="Calibri" w:hAnsi="Calibri"/>
              </w:rPr>
            </w:pPr>
            <w:r>
              <w:rPr>
                <w:rFonts w:ascii="Calibri" w:hAnsi="Calibri"/>
              </w:rPr>
              <w:t>R$ 6.538,28</w:t>
            </w:r>
          </w:p>
        </w:tc>
        <w:tc>
          <w:tcPr>
            <w:tcW w:w="198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5" w:type="dxa"/>
              <w:right w:w="10" w:type="dxa"/>
            </w:tcMar>
            <w:vAlign w:val="center"/>
          </w:tcPr>
          <w:p>
            <w:pPr>
              <w:pStyle w:val="Standard"/>
              <w:spacing w:before="0" w:after="160"/>
              <w:jc w:val="center"/>
              <w:rPr/>
            </w:pPr>
            <w:r>
              <w:rPr/>
              <w:t>R$ 6.538,28</w:t>
            </w:r>
          </w:p>
        </w:tc>
      </w:tr>
    </w:tbl>
    <w:p>
      <w:pPr>
        <w:pStyle w:val="Ttulo11"/>
        <w:rPr>
          <w:rFonts w:ascii="Calibri" w:hAnsi="Calibri"/>
        </w:rPr>
      </w:pPr>
      <w:r>
        <w:rPr>
          <w:rFonts w:ascii="Calibri" w:hAnsi="Calibri"/>
        </w:rPr>
      </w:r>
    </w:p>
    <w:p>
      <w:pPr>
        <w:pStyle w:val="ListParagraph"/>
        <w:numPr>
          <w:ilvl w:val="1"/>
          <w:numId w:val="2"/>
        </w:numPr>
        <w:jc w:val="both"/>
        <w:rPr>
          <w:rFonts w:ascii="Calibri" w:hAnsi="Calibri"/>
        </w:rPr>
      </w:pPr>
      <w:r>
        <w:rPr>
          <w:rFonts w:ascii="Calibri" w:hAnsi="Calibri"/>
        </w:rPr>
        <w:t>Caso o item apresente descrição diferente daquela registrada no sistema, deverá ser considerada a constante deste documento, tendo em vista não haver Catmat disponível com a descrição exata do item pretendido.</w:t>
      </w:r>
    </w:p>
    <w:p>
      <w:pPr>
        <w:pStyle w:val="ListParagraph"/>
        <w:numPr>
          <w:ilvl w:val="1"/>
          <w:numId w:val="2"/>
        </w:numPr>
        <w:jc w:val="both"/>
        <w:rPr>
          <w:rFonts w:ascii="Calibri" w:hAnsi="Calibri"/>
        </w:rPr>
      </w:pPr>
      <w:r>
        <w:rPr>
          <w:rFonts w:ascii="Calibri" w:hAnsi="Calibri"/>
        </w:rPr>
        <w:t>O valor total previsto para esta Dispensa Eletrônica é de R$ 6.538,28 (Seis mil quinhentos e trinta e oito reais e vinte e oito centavos).</w:t>
      </w:r>
    </w:p>
    <w:p>
      <w:pPr>
        <w:pStyle w:val="TextBody"/>
        <w:numPr>
          <w:ilvl w:val="1"/>
          <w:numId w:val="2"/>
        </w:numPr>
        <w:jc w:val="both"/>
        <w:rPr>
          <w:rFonts w:ascii="Calibri" w:hAnsi="Calibri"/>
        </w:rPr>
      </w:pPr>
      <w:r>
        <w:rPr>
          <w:rFonts w:ascii="Calibri" w:hAnsi="Calibri"/>
        </w:rPr>
        <w:t>Devendo ser entendido como o valor máximo total admissível para a contratação, respeitados os valores máximos individuais de cada item.</w:t>
      </w:r>
    </w:p>
    <w:p>
      <w:pPr>
        <w:pStyle w:val="TextBody"/>
        <w:jc w:val="both"/>
        <w:rPr>
          <w:rFonts w:ascii="Calibri" w:hAnsi="Calibri"/>
        </w:rPr>
      </w:pPr>
      <w:r>
        <w:rPr>
          <w:rFonts w:ascii="Calibri" w:hAnsi="Calibri"/>
        </w:rPr>
      </w:r>
    </w:p>
    <w:p>
      <w:pPr>
        <w:pStyle w:val="TextBody"/>
        <w:numPr>
          <w:ilvl w:val="0"/>
          <w:numId w:val="2"/>
        </w:numPr>
        <w:jc w:val="both"/>
        <w:rPr>
          <w:rFonts w:ascii="Calibri" w:hAnsi="Calibri"/>
          <w:b/>
          <w:b/>
          <w:bCs/>
          <w:sz w:val="24"/>
          <w:szCs w:val="24"/>
        </w:rPr>
      </w:pPr>
      <w:r>
        <w:rPr>
          <w:rFonts w:ascii="Calibri" w:hAnsi="Calibri"/>
          <w:b/>
          <w:bCs/>
          <w:sz w:val="24"/>
          <w:szCs w:val="24"/>
        </w:rPr>
        <w:t>FUNDAMENTO LEGAL</w:t>
      </w:r>
    </w:p>
    <w:p>
      <w:pPr>
        <w:pStyle w:val="ListParagraph"/>
        <w:numPr>
          <w:ilvl w:val="1"/>
          <w:numId w:val="2"/>
        </w:numPr>
        <w:jc w:val="both"/>
        <w:rPr/>
      </w:pPr>
      <w:r>
        <w:rPr>
          <w:rFonts w:ascii="Calibri" w:hAnsi="Calibri"/>
        </w:rPr>
        <w:t xml:space="preserve">A aquisição será feita mediante dispensa eletrônica, conforme inciso II, do artigo 75, da Lei n. 14.133/21 e </w:t>
      </w:r>
      <w:bookmarkStart w:id="0" w:name="_Hlk80001077"/>
      <w:r>
        <w:rPr>
          <w:rFonts w:ascii="Calibri" w:hAnsi="Calibri"/>
        </w:rPr>
        <w:t>Instrução Normativa SEGES/ME n.º 67/21</w:t>
      </w:r>
      <w:bookmarkEnd w:id="0"/>
      <w:r>
        <w:rPr>
          <w:rFonts w:ascii="Calibri" w:hAnsi="Calibri"/>
        </w:rPr>
        <w:t>, pelo menor preço por item.</w:t>
      </w:r>
    </w:p>
    <w:p>
      <w:pPr>
        <w:pStyle w:val="TextBody"/>
        <w:jc w:val="both"/>
        <w:rPr>
          <w:rFonts w:ascii="Calibri" w:hAnsi="Calibri"/>
        </w:rPr>
      </w:pPr>
      <w:r>
        <w:rPr>
          <w:rFonts w:ascii="Calibri" w:hAnsi="Calibri"/>
        </w:rPr>
      </w:r>
    </w:p>
    <w:p>
      <w:pPr>
        <w:pStyle w:val="Ttulo11"/>
        <w:numPr>
          <w:ilvl w:val="0"/>
          <w:numId w:val="2"/>
        </w:numPr>
        <w:jc w:val="both"/>
        <w:rPr>
          <w:rFonts w:ascii="Calibri" w:hAnsi="Calibri"/>
          <w:b/>
          <w:b/>
          <w:bCs/>
          <w:sz w:val="24"/>
          <w:szCs w:val="24"/>
        </w:rPr>
      </w:pPr>
      <w:r>
        <w:rPr>
          <w:rFonts w:ascii="Calibri" w:hAnsi="Calibri"/>
          <w:b/>
          <w:bCs/>
          <w:sz w:val="24"/>
          <w:szCs w:val="24"/>
        </w:rPr>
        <w:t>DA RAZÃO DA ESCOLHA DO CONTRATADO</w:t>
      </w:r>
    </w:p>
    <w:p>
      <w:pPr>
        <w:pStyle w:val="Ttulo11"/>
        <w:numPr>
          <w:ilvl w:val="1"/>
          <w:numId w:val="2"/>
        </w:numPr>
        <w:jc w:val="both"/>
        <w:rPr>
          <w:rFonts w:ascii="Calibri" w:hAnsi="Calibri"/>
        </w:rPr>
      </w:pPr>
      <w:r>
        <w:rPr>
          <w:rFonts w:ascii="Calibri" w:hAnsi="Calibri"/>
        </w:rPr>
        <w:t>O critério para escolha do contratado é o menor preço por item, desde que o lance ofertado seja igual ou inferior ao valor estimado por item, e desde que o fornecedor cumpra os requisitos de habilitação listados no subitem 7.5. deste Termo de Referência.</w:t>
      </w:r>
    </w:p>
    <w:p>
      <w:pPr>
        <w:pStyle w:val="Ttulo11"/>
        <w:numPr>
          <w:ilvl w:val="1"/>
          <w:numId w:val="2"/>
        </w:numPr>
        <w:jc w:val="both"/>
        <w:rPr>
          <w:rFonts w:ascii="Calibri" w:hAnsi="Calibri"/>
        </w:rPr>
      </w:pPr>
      <w:r>
        <w:rPr>
          <w:rFonts w:ascii="Calibri" w:hAnsi="Calibri"/>
        </w:rPr>
        <w:t>No caso de Dispensa Eletrônica fracassada ou deserta, o CIAA poderá se valer de proposta obtida na pesquisa de preços que serviu de base ao procedimento, privilegiando-se os menores preços, sempre que possível, e desde que atendidas as condições de habilitação exigidas no subitem 7.5. deste Termo de Referência.</w:t>
      </w:r>
    </w:p>
    <w:p>
      <w:pPr>
        <w:pStyle w:val="Ttulo11"/>
        <w:jc w:val="both"/>
        <w:rPr>
          <w:rFonts w:ascii="Calibri" w:hAnsi="Calibri"/>
        </w:rPr>
      </w:pPr>
      <w:r>
        <w:rPr>
          <w:rFonts w:ascii="Calibri" w:hAnsi="Calibri"/>
        </w:rPr>
      </w:r>
    </w:p>
    <w:p>
      <w:pPr>
        <w:pStyle w:val="TextBody"/>
        <w:numPr>
          <w:ilvl w:val="0"/>
          <w:numId w:val="2"/>
        </w:numPr>
        <w:jc w:val="both"/>
        <w:rPr>
          <w:rFonts w:ascii="Calibri" w:hAnsi="Calibri"/>
          <w:b/>
          <w:b/>
          <w:bCs/>
          <w:sz w:val="24"/>
          <w:szCs w:val="24"/>
        </w:rPr>
      </w:pPr>
      <w:r>
        <w:rPr>
          <w:rFonts w:ascii="Calibri" w:hAnsi="Calibri"/>
          <w:b/>
          <w:bCs/>
          <w:sz w:val="24"/>
          <w:szCs w:val="24"/>
        </w:rPr>
        <w:t>CONDIÇÕES DE PARTICIPAÇÃO</w:t>
      </w:r>
    </w:p>
    <w:p>
      <w:pPr>
        <w:pStyle w:val="TextBody"/>
        <w:numPr>
          <w:ilvl w:val="1"/>
          <w:numId w:val="2"/>
        </w:numPr>
        <w:jc w:val="both"/>
        <w:rPr>
          <w:rFonts w:ascii="Calibri" w:hAnsi="Calibri"/>
        </w:rPr>
      </w:pPr>
      <w:r>
        <w:rPr>
          <w:rFonts w:ascii="Calibri" w:hAnsi="Calibri"/>
        </w:rPr>
        <w:t>É vedada a participação de consórcios e de empresas impedidas de licitar e/ou contratar com a Administração Pública, na forma estabelecida em lei.</w:t>
      </w:r>
    </w:p>
    <w:p>
      <w:pPr>
        <w:pStyle w:val="TextBody"/>
        <w:jc w:val="both"/>
        <w:rPr>
          <w:rFonts w:ascii="Calibri" w:hAnsi="Calibri"/>
        </w:rPr>
      </w:pPr>
      <w:r>
        <w:rPr>
          <w:rFonts w:ascii="Calibri" w:hAnsi="Calibri"/>
        </w:rPr>
      </w:r>
    </w:p>
    <w:p>
      <w:pPr>
        <w:pStyle w:val="TextBody"/>
        <w:numPr>
          <w:ilvl w:val="0"/>
          <w:numId w:val="2"/>
        </w:numPr>
        <w:jc w:val="both"/>
        <w:rPr>
          <w:rFonts w:ascii="Calibri" w:hAnsi="Calibri"/>
          <w:b/>
          <w:b/>
          <w:bCs/>
          <w:sz w:val="24"/>
          <w:szCs w:val="24"/>
        </w:rPr>
      </w:pPr>
      <w:r>
        <w:rPr>
          <w:rFonts w:ascii="Calibri" w:hAnsi="Calibri"/>
          <w:b/>
          <w:bCs/>
          <w:sz w:val="24"/>
          <w:szCs w:val="24"/>
        </w:rPr>
        <w:t>ENVIO DE PROPOSTAS E LANCES</w:t>
      </w:r>
    </w:p>
    <w:p>
      <w:pPr>
        <w:pStyle w:val="ListParagraph"/>
        <w:numPr>
          <w:ilvl w:val="1"/>
          <w:numId w:val="2"/>
        </w:numPr>
        <w:jc w:val="both"/>
        <w:rPr/>
      </w:pPr>
      <w:r>
        <w:rPr>
          <w:rFonts w:ascii="Calibri" w:hAnsi="Calibri"/>
        </w:rPr>
        <w:t xml:space="preserve">O envio de propostas e lances deverá ocorrer exclusivamente, por meio eletrônico, pela Internet, no endereço eletrônico </w:t>
      </w:r>
      <w:r>
        <w:rPr>
          <w:rFonts w:ascii="Calibri" w:hAnsi="Calibri"/>
          <w:i/>
          <w:iCs/>
        </w:rPr>
        <w:t xml:space="preserve">www.comprasgovernamentais.gov.br </w:t>
      </w:r>
      <w:r>
        <w:rPr>
          <w:rFonts w:ascii="Calibri" w:hAnsi="Calibri"/>
        </w:rPr>
        <w:t>— Portal de Compras do Governo Federal — Comprasnet, vedada sua remessa em papel.</w:t>
      </w:r>
    </w:p>
    <w:p>
      <w:pPr>
        <w:pStyle w:val="ListParagraph"/>
        <w:numPr>
          <w:ilvl w:val="1"/>
          <w:numId w:val="2"/>
        </w:numPr>
        <w:jc w:val="both"/>
        <w:rPr/>
      </w:pPr>
      <w:r>
        <w:rPr>
          <w:rFonts w:ascii="Calibri" w:hAnsi="Calibri"/>
        </w:rPr>
        <w:t>A fim de aferir o atendimento das especificações exigidas para o item, referente ao produto ofertado pelo Fornecedor, o Gestor de Compras poderá solicitar, via e-mail, para que seja disponibilizada a proposta comercial, acompanhada de documentos onde se possam aferir as características técnicas do material (manual, folder, fotos, etc).</w:t>
      </w:r>
    </w:p>
    <w:p>
      <w:pPr>
        <w:pStyle w:val="TextBody"/>
        <w:jc w:val="both"/>
        <w:rPr>
          <w:rFonts w:ascii="Calibri" w:hAnsi="Calibri"/>
        </w:rPr>
      </w:pPr>
      <w:r>
        <w:rPr>
          <w:rFonts w:ascii="Calibri" w:hAnsi="Calibri"/>
        </w:rPr>
      </w:r>
    </w:p>
    <w:p>
      <w:pPr>
        <w:pStyle w:val="Ttulo11"/>
        <w:numPr>
          <w:ilvl w:val="0"/>
          <w:numId w:val="2"/>
        </w:numPr>
        <w:jc w:val="both"/>
        <w:rPr>
          <w:rFonts w:ascii="Calibri" w:hAnsi="Calibri"/>
          <w:b/>
          <w:b/>
          <w:bCs/>
          <w:sz w:val="24"/>
          <w:szCs w:val="24"/>
        </w:rPr>
      </w:pPr>
      <w:r>
        <w:rPr>
          <w:rFonts w:ascii="Calibri" w:hAnsi="Calibri"/>
          <w:b/>
          <w:bCs/>
          <w:sz w:val="24"/>
          <w:szCs w:val="24"/>
        </w:rPr>
        <w:t>DISPENSA ELETRÔNICA</w:t>
      </w:r>
    </w:p>
    <w:p>
      <w:pPr>
        <w:pStyle w:val="ListParagraph"/>
        <w:numPr>
          <w:ilvl w:val="1"/>
          <w:numId w:val="2"/>
        </w:numPr>
        <w:jc w:val="both"/>
        <w:rPr/>
      </w:pPr>
      <w:r>
        <w:rPr>
          <w:rFonts w:ascii="Calibri" w:hAnsi="Calibri"/>
        </w:rPr>
        <w:t xml:space="preserve">A dispensa eletrônica será conduzida no endereço eletrônico </w:t>
      </w:r>
      <w:r>
        <w:rPr>
          <w:rStyle w:val="LinkdaInternet"/>
          <w:rFonts w:ascii="Calibri" w:hAnsi="Calibri"/>
          <w:i/>
          <w:iCs/>
        </w:rPr>
        <w:t>wwv.comprasnet.gov.br</w:t>
      </w:r>
      <w:r>
        <w:rPr>
          <w:rFonts w:ascii="Calibri" w:hAnsi="Calibri"/>
        </w:rPr>
        <w:t>, em data, horário e condições estabelecidos no Pedido de Dispensa Eletrônica de Preços, de acordo com as “Manual do Sistema de Dispensa Eletrônica” e com as demais normas contidas neste instrumento.</w:t>
      </w:r>
    </w:p>
    <w:p>
      <w:pPr>
        <w:pStyle w:val="ListParagraph"/>
        <w:numPr>
          <w:ilvl w:val="1"/>
          <w:numId w:val="2"/>
        </w:numPr>
        <w:jc w:val="both"/>
        <w:rPr>
          <w:rFonts w:ascii="Calibri" w:hAnsi="Calibri"/>
        </w:rPr>
      </w:pPr>
      <w:r>
        <w:rPr>
          <w:rFonts w:ascii="Calibri" w:hAnsi="Calibri"/>
        </w:rPr>
        <w:t>Para participar da Dispensa Eletrônica, o fornecedor deverá digitar seu CNPJ e senha de acesso no Sistema e assinalar, em campo próprio, a inexistência de fato impeditivo para licitar e/ou contratar com o CIAA, ou com toda a Administração Pública, e o pleno conhecimento e aceitação das regras de que trata o subitem anterior.</w:t>
      </w:r>
    </w:p>
    <w:p>
      <w:pPr>
        <w:pStyle w:val="ListParagraph"/>
        <w:numPr>
          <w:ilvl w:val="1"/>
          <w:numId w:val="2"/>
        </w:numPr>
        <w:jc w:val="both"/>
        <w:rPr>
          <w:rFonts w:ascii="Calibri" w:hAnsi="Calibri"/>
        </w:rPr>
      </w:pPr>
      <w:r>
        <w:rPr>
          <w:rFonts w:ascii="Calibri" w:hAnsi="Calibri"/>
        </w:rPr>
        <w:t>A cotação de preços, bem como os lances subsequentes deverão ser registrados, em reais, para o item, com validade de 30 dias.</w:t>
      </w:r>
    </w:p>
    <w:p>
      <w:pPr>
        <w:pStyle w:val="ListParagraph"/>
        <w:numPr>
          <w:ilvl w:val="1"/>
          <w:numId w:val="2"/>
        </w:numPr>
        <w:jc w:val="both"/>
        <w:rPr>
          <w:rFonts w:ascii="Calibri" w:hAnsi="Calibri"/>
        </w:rPr>
      </w:pPr>
      <w:r>
        <w:rPr>
          <w:rFonts w:ascii="Calibri" w:hAnsi="Calibri"/>
        </w:rPr>
        <w:t>Será considerado vencedor da dispensa eletrônica aquele que apresentar, durante o período da cotação, o lance de menor valor sendo-lhe adjudicado o objeto, desde que atenda as especificações exigidas para o item.</w:t>
      </w:r>
    </w:p>
    <w:p>
      <w:pPr>
        <w:pStyle w:val="ListParagraph"/>
        <w:numPr>
          <w:ilvl w:val="1"/>
          <w:numId w:val="2"/>
        </w:numPr>
        <w:jc w:val="both"/>
        <w:rPr>
          <w:rFonts w:ascii="Calibri" w:hAnsi="Calibri"/>
        </w:rPr>
      </w:pPr>
      <w:r>
        <w:rPr>
          <w:rFonts w:ascii="Calibri" w:hAnsi="Calibri"/>
        </w:rPr>
        <w:t>Apresentar as documentações de regularidade junto ao INSS, FGTS, Receita Federal, CNDT, as quais poderão ser substituídas pela certidão emitida no SICAF, desde que apresentem datas vigentes, além disso, deverá apresentar a Declaração que não emprega menor.</w:t>
      </w:r>
    </w:p>
    <w:p>
      <w:pPr>
        <w:pStyle w:val="TextBody"/>
        <w:numPr>
          <w:ilvl w:val="1"/>
          <w:numId w:val="2"/>
        </w:numPr>
        <w:jc w:val="both"/>
        <w:rPr>
          <w:rFonts w:ascii="Calibri" w:hAnsi="Calibri"/>
        </w:rPr>
      </w:pPr>
      <w:r>
        <w:rPr>
          <w:rFonts w:ascii="Calibri" w:hAnsi="Calibri"/>
        </w:rPr>
        <w:t>O CIAA poderá anular ou cancelar a Dispensa Eletrônica, total ou parcialmente, sem que disso resulte, para o proponente, direito a qualquer indenização ou reclamação.</w:t>
      </w:r>
    </w:p>
    <w:p>
      <w:pPr>
        <w:pStyle w:val="TextBody"/>
        <w:jc w:val="both"/>
        <w:rPr>
          <w:rFonts w:ascii="Calibri" w:hAnsi="Calibri"/>
        </w:rPr>
      </w:pPr>
      <w:r>
        <w:rPr>
          <w:rFonts w:ascii="Calibri" w:hAnsi="Calibri"/>
        </w:rPr>
      </w:r>
    </w:p>
    <w:p>
      <w:pPr>
        <w:pStyle w:val="Ttulo11"/>
        <w:numPr>
          <w:ilvl w:val="0"/>
          <w:numId w:val="2"/>
        </w:numPr>
        <w:jc w:val="both"/>
        <w:rPr>
          <w:rFonts w:ascii="Calibri" w:hAnsi="Calibri"/>
          <w:b/>
          <w:b/>
          <w:bCs/>
          <w:sz w:val="24"/>
          <w:szCs w:val="24"/>
        </w:rPr>
      </w:pPr>
      <w:r>
        <w:rPr>
          <w:rFonts w:ascii="Calibri" w:hAnsi="Calibri"/>
          <w:b/>
          <w:bCs/>
          <w:sz w:val="24"/>
          <w:szCs w:val="24"/>
        </w:rPr>
        <w:t>CONTRATAÇÃO</w:t>
      </w:r>
    </w:p>
    <w:p>
      <w:pPr>
        <w:pStyle w:val="ListParagraph"/>
        <w:numPr>
          <w:ilvl w:val="1"/>
          <w:numId w:val="2"/>
        </w:numPr>
        <w:jc w:val="both"/>
        <w:rPr>
          <w:rFonts w:ascii="Calibri" w:hAnsi="Calibri"/>
        </w:rPr>
      </w:pPr>
      <w:r>
        <w:rPr>
          <w:rFonts w:ascii="Calibri" w:hAnsi="Calibri"/>
        </w:rPr>
        <w:t>As contratações oriundas das dispensas eletrônicas serão formalizadas pela emissão de Nota de Empenho, a qual será encaminhada ao adjudicatário.</w:t>
      </w:r>
    </w:p>
    <w:p>
      <w:pPr>
        <w:pStyle w:val="ListParagraph"/>
        <w:numPr>
          <w:ilvl w:val="1"/>
          <w:numId w:val="2"/>
        </w:numPr>
        <w:jc w:val="both"/>
        <w:rPr>
          <w:rFonts w:ascii="Calibri" w:hAnsi="Calibri"/>
        </w:rPr>
      </w:pPr>
      <w:r>
        <w:rPr>
          <w:rFonts w:ascii="Calibri" w:hAnsi="Calibri"/>
        </w:rPr>
        <w:t>As obrigações recíprocas entre a Contratada e o CIAA correspondem ao estabelecido no presente Termo de Referência, seus anexos e no Pedido de Dispensa Eletrônica de Preços, sem prejuízo das disposições legais vigente.</w:t>
      </w:r>
    </w:p>
    <w:p>
      <w:pPr>
        <w:pStyle w:val="ListParagraph"/>
        <w:numPr>
          <w:ilvl w:val="1"/>
          <w:numId w:val="2"/>
        </w:numPr>
        <w:jc w:val="both"/>
        <w:rPr>
          <w:rFonts w:ascii="Calibri" w:hAnsi="Calibri"/>
        </w:rPr>
      </w:pPr>
      <w:r>
        <w:rPr>
          <w:rFonts w:ascii="Calibri" w:hAnsi="Calibri"/>
        </w:rPr>
        <w:t>Em caso de manifestação de desistência do fornecedor, fica caracterizado o descumprimento total da obrigação assumida, consoante o estabelecido no Art. 90, § 5º da Lei nº 14.133/21, sujeitando-o às penalidades legalmente estabelecidas.</w:t>
      </w:r>
    </w:p>
    <w:p>
      <w:pPr>
        <w:pStyle w:val="ListParagraph"/>
        <w:numPr>
          <w:ilvl w:val="1"/>
          <w:numId w:val="2"/>
        </w:numPr>
        <w:jc w:val="both"/>
        <w:rPr>
          <w:rFonts w:ascii="Calibri" w:hAnsi="Calibri"/>
        </w:rPr>
      </w:pPr>
      <w:r>
        <w:rPr>
          <w:rFonts w:ascii="Calibri" w:hAnsi="Calibri"/>
        </w:rPr>
        <w:t>A anulação do procedimento licitatório por motivo de ilegalidade não gera obrigação de indenizar, ressalvado o disposto no parágrafo único do art. 149 da Lei nº 14.133/21.</w:t>
      </w:r>
    </w:p>
    <w:p>
      <w:pPr>
        <w:pStyle w:val="ListParagraph"/>
        <w:ind w:left="919" w:right="0" w:hanging="0"/>
        <w:jc w:val="both"/>
        <w:rPr>
          <w:rFonts w:ascii="Calibri" w:hAnsi="Calibri"/>
        </w:rPr>
      </w:pPr>
      <w:r>
        <w:rPr>
          <w:rFonts w:ascii="Calibri" w:hAnsi="Calibri"/>
        </w:rPr>
      </w:r>
    </w:p>
    <w:p>
      <w:pPr>
        <w:pStyle w:val="Ttulo11"/>
        <w:numPr>
          <w:ilvl w:val="0"/>
          <w:numId w:val="2"/>
        </w:numPr>
        <w:jc w:val="both"/>
        <w:rPr>
          <w:rFonts w:ascii="Calibri" w:hAnsi="Calibri"/>
          <w:b/>
          <w:b/>
          <w:bCs/>
          <w:sz w:val="24"/>
          <w:szCs w:val="24"/>
        </w:rPr>
      </w:pPr>
      <w:r>
        <w:rPr>
          <w:rFonts w:ascii="Calibri" w:hAnsi="Calibri"/>
          <w:b/>
          <w:bCs/>
          <w:sz w:val="24"/>
          <w:szCs w:val="24"/>
        </w:rPr>
        <w:t>RESCISÃO</w:t>
      </w:r>
    </w:p>
    <w:p>
      <w:pPr>
        <w:pStyle w:val="TextBody"/>
        <w:numPr>
          <w:ilvl w:val="1"/>
          <w:numId w:val="2"/>
        </w:numPr>
        <w:jc w:val="both"/>
        <w:rPr>
          <w:rFonts w:ascii="Calibri" w:hAnsi="Calibri"/>
        </w:rPr>
      </w:pPr>
      <w:r>
        <w:rPr>
          <w:rFonts w:ascii="Calibri" w:hAnsi="Calibri"/>
        </w:rPr>
        <w:t>Constituem motivos para a extinção do contrato os casos previstos no Art. 137 e Incisos da Lei Nº 14.133/21.</w:t>
      </w:r>
    </w:p>
    <w:p>
      <w:pPr>
        <w:pStyle w:val="TextBody"/>
        <w:ind w:left="1149" w:right="0" w:hanging="0"/>
        <w:jc w:val="both"/>
        <w:rPr>
          <w:rFonts w:ascii="Calibri" w:hAnsi="Calibri"/>
        </w:rPr>
      </w:pPr>
      <w:r>
        <w:rPr>
          <w:rFonts w:ascii="Calibri" w:hAnsi="Calibri"/>
        </w:rPr>
      </w:r>
    </w:p>
    <w:p>
      <w:pPr>
        <w:pStyle w:val="Ttulo11"/>
        <w:numPr>
          <w:ilvl w:val="0"/>
          <w:numId w:val="2"/>
        </w:numPr>
        <w:jc w:val="both"/>
        <w:rPr>
          <w:rFonts w:ascii="Calibri" w:hAnsi="Calibri"/>
          <w:b/>
          <w:b/>
          <w:bCs/>
          <w:sz w:val="24"/>
          <w:szCs w:val="24"/>
        </w:rPr>
      </w:pPr>
      <w:r>
        <w:rPr>
          <w:rFonts w:ascii="Calibri" w:hAnsi="Calibri"/>
          <w:b/>
          <w:bCs/>
          <w:sz w:val="24"/>
          <w:szCs w:val="24"/>
        </w:rPr>
        <w:t>LOCAL DE ENTREGA</w:t>
      </w:r>
    </w:p>
    <w:p>
      <w:pPr>
        <w:pStyle w:val="Ttulo11"/>
        <w:numPr>
          <w:ilvl w:val="1"/>
          <w:numId w:val="2"/>
        </w:numPr>
        <w:jc w:val="both"/>
        <w:rPr>
          <w:rFonts w:ascii="Calibri" w:hAnsi="Calibri"/>
        </w:rPr>
      </w:pPr>
      <w:r>
        <w:rPr>
          <w:rFonts w:ascii="Calibri" w:hAnsi="Calibri"/>
        </w:rPr>
        <w:t>O material deve ser entregue no CENTRO DE INSTRUÇÃO ALMIRANTE ALEXANDRINO – CIAA - Av. Brasil, n° 10.946, Penha, Rio de Janeiro RJ, CEP: 21012-350, no horário das 08:00h às 16:00h, de segunda a sexta-feira.</w:t>
      </w:r>
    </w:p>
    <w:p>
      <w:pPr>
        <w:pStyle w:val="Ttulo11"/>
        <w:numPr>
          <w:ilvl w:val="1"/>
          <w:numId w:val="2"/>
        </w:numPr>
        <w:jc w:val="both"/>
        <w:rPr>
          <w:rFonts w:ascii="Calibri" w:hAnsi="Calibri"/>
        </w:rPr>
      </w:pPr>
      <w:r>
        <w:rPr>
          <w:rFonts w:ascii="Calibri" w:hAnsi="Calibri"/>
        </w:rPr>
        <w:t>Não será permitida entrega em finais de semana e feriados (regionais ou nacionais), bem como após as 16:00h.</w:t>
      </w:r>
    </w:p>
    <w:p>
      <w:pPr>
        <w:pStyle w:val="TextBody"/>
        <w:jc w:val="both"/>
        <w:rPr>
          <w:rFonts w:ascii="Calibri" w:hAnsi="Calibri"/>
        </w:rPr>
      </w:pPr>
      <w:r>
        <w:rPr>
          <w:rFonts w:ascii="Calibri" w:hAnsi="Calibri"/>
        </w:rPr>
      </w:r>
    </w:p>
    <w:p>
      <w:pPr>
        <w:pStyle w:val="Ttulo11"/>
        <w:numPr>
          <w:ilvl w:val="0"/>
          <w:numId w:val="2"/>
        </w:numPr>
        <w:jc w:val="both"/>
        <w:rPr>
          <w:rFonts w:ascii="Calibri" w:hAnsi="Calibri"/>
          <w:b/>
          <w:b/>
          <w:bCs/>
          <w:sz w:val="24"/>
          <w:szCs w:val="24"/>
        </w:rPr>
      </w:pPr>
      <w:r>
        <w:rPr>
          <w:rFonts w:ascii="Calibri" w:hAnsi="Calibri"/>
          <w:b/>
          <w:bCs/>
          <w:sz w:val="24"/>
          <w:szCs w:val="24"/>
        </w:rPr>
        <w:t>DO PRAZO E DAS CONDIÇÕES DE ENTREGA DOS MATERIAIS</w:t>
      </w:r>
    </w:p>
    <w:p>
      <w:pPr>
        <w:pStyle w:val="ListParagraph"/>
        <w:numPr>
          <w:ilvl w:val="1"/>
          <w:numId w:val="2"/>
        </w:numPr>
        <w:rPr>
          <w:rFonts w:ascii="Calibri" w:hAnsi="Calibri"/>
        </w:rPr>
      </w:pPr>
      <w:r>
        <w:rPr>
          <w:rFonts w:ascii="Calibri" w:hAnsi="Calibri"/>
        </w:rPr>
        <w:t>A Contratada deverá realizar a entrega dos materiais no endereço acima citado, no prazo máximo de 10 (dez) dias corridos, contados a partir da retirada/recebimento da nota de empenho pela contratada;</w:t>
      </w:r>
    </w:p>
    <w:p>
      <w:pPr>
        <w:pStyle w:val="ListParagraph"/>
        <w:numPr>
          <w:ilvl w:val="1"/>
          <w:numId w:val="2"/>
        </w:numPr>
        <w:jc w:val="both"/>
        <w:rPr>
          <w:rFonts w:ascii="Calibri" w:hAnsi="Calibri"/>
        </w:rPr>
      </w:pPr>
      <w:r>
        <w:rPr>
          <w:rFonts w:ascii="Calibri" w:hAnsi="Calibri"/>
        </w:rPr>
        <w:t>Os bens serão recebidos provisoriamente no prazo de 2 (dois) dias, pelo(a) representante do Setor Requisitante, para efeito de posterior verificação de sua conformidade com as especificações constantes neste Termo de Referência e na proposta.</w:t>
      </w:r>
    </w:p>
    <w:p>
      <w:pPr>
        <w:pStyle w:val="ListParagraph"/>
        <w:numPr>
          <w:ilvl w:val="1"/>
          <w:numId w:val="2"/>
        </w:numPr>
        <w:jc w:val="both"/>
        <w:rPr>
          <w:rFonts w:ascii="Calibri" w:hAnsi="Calibri"/>
        </w:rPr>
      </w:pPr>
      <w:r>
        <w:rPr>
          <w:rFonts w:ascii="Calibri" w:hAnsi="Calibri"/>
        </w:rPr>
        <w:t>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pPr>
        <w:pStyle w:val="TextBody"/>
        <w:numPr>
          <w:ilvl w:val="1"/>
          <w:numId w:val="2"/>
        </w:numPr>
        <w:jc w:val="both"/>
        <w:rPr>
          <w:rFonts w:ascii="Calibri" w:hAnsi="Calibri"/>
        </w:rPr>
      </w:pPr>
      <w:r>
        <w:rPr>
          <w:rFonts w:ascii="Calibri" w:hAnsi="Calibri"/>
        </w:rPr>
        <w:t>Os bens serão recebidos definitivamente no prazo de 8 (oito) dias, contados do recebimento provisório, após a verificação da qualidade e quantidade do material e consequente aceitação mediante termo circunstanciado.</w:t>
      </w:r>
    </w:p>
    <w:p>
      <w:pPr>
        <w:pStyle w:val="ListParagraph"/>
        <w:numPr>
          <w:ilvl w:val="1"/>
          <w:numId w:val="2"/>
        </w:numPr>
        <w:jc w:val="both"/>
        <w:rPr>
          <w:rFonts w:ascii="Calibri" w:hAnsi="Calibri"/>
        </w:rPr>
      </w:pPr>
      <w:r>
        <w:rPr>
          <w:rFonts w:ascii="Calibri" w:hAnsi="Calibri"/>
        </w:rPr>
        <w:t>Na hipótese de a verificação a que se refere o subitem anterior não ser procedida dentro do prazo fixado, reputar-se-á como realizada, consumando-se o recebimento definitivo no dia do esgotamento do prazo.</w:t>
      </w:r>
    </w:p>
    <w:p>
      <w:pPr>
        <w:pStyle w:val="ListParagraph"/>
        <w:numPr>
          <w:ilvl w:val="1"/>
          <w:numId w:val="2"/>
        </w:numPr>
        <w:jc w:val="both"/>
        <w:rPr>
          <w:rFonts w:ascii="Calibri" w:hAnsi="Calibri"/>
        </w:rPr>
      </w:pPr>
      <w:r>
        <w:rPr>
          <w:rFonts w:ascii="Calibri" w:hAnsi="Calibri"/>
        </w:rPr>
        <w:t>O recebimento provisório ou definitivo do objeto não exclui a responsabilidade da contratada pelos prejuízos resultantes da incorreta execução.</w:t>
      </w:r>
    </w:p>
    <w:p>
      <w:pPr>
        <w:pStyle w:val="ListParagraph"/>
        <w:ind w:left="919" w:right="0" w:hanging="0"/>
        <w:jc w:val="both"/>
        <w:rPr>
          <w:rFonts w:ascii="Calibri" w:hAnsi="Calibri"/>
        </w:rPr>
      </w:pPr>
      <w:r>
        <w:rPr>
          <w:rFonts w:ascii="Calibri" w:hAnsi="Calibri"/>
        </w:rPr>
      </w:r>
    </w:p>
    <w:p>
      <w:pPr>
        <w:pStyle w:val="ListParagraph"/>
        <w:numPr>
          <w:ilvl w:val="0"/>
          <w:numId w:val="2"/>
        </w:numPr>
        <w:jc w:val="both"/>
        <w:rPr>
          <w:rFonts w:ascii="Calibri" w:hAnsi="Calibri"/>
          <w:b/>
          <w:b/>
          <w:bCs/>
          <w:sz w:val="24"/>
          <w:szCs w:val="24"/>
        </w:rPr>
      </w:pPr>
      <w:r>
        <w:rPr>
          <w:rFonts w:ascii="Calibri" w:hAnsi="Calibri"/>
          <w:b/>
          <w:bCs/>
          <w:sz w:val="24"/>
          <w:szCs w:val="24"/>
        </w:rPr>
        <w:t>SANÇÕES PARA O CASO DE INADIMPLEMENTO</w:t>
      </w:r>
    </w:p>
    <w:p>
      <w:pPr>
        <w:pStyle w:val="TextBody"/>
        <w:numPr>
          <w:ilvl w:val="1"/>
          <w:numId w:val="2"/>
        </w:numPr>
        <w:jc w:val="both"/>
        <w:rPr>
          <w:rFonts w:ascii="Calibri" w:hAnsi="Calibri"/>
        </w:rPr>
      </w:pPr>
      <w:r>
        <w:rPr>
          <w:rFonts w:ascii="Calibri" w:hAnsi="Calibri"/>
        </w:rPr>
        <w:t>A CONTRATADA estará sujeita a sanção administrativa todas as vezes que os materiais e/ou serviços prestados não cumprirem o prescrito na proposta comercial aceita pela Administração Pública.</w:t>
      </w:r>
    </w:p>
    <w:p>
      <w:pPr>
        <w:pStyle w:val="TextBody"/>
        <w:numPr>
          <w:ilvl w:val="1"/>
          <w:numId w:val="2"/>
        </w:numPr>
        <w:jc w:val="both"/>
        <w:rPr>
          <w:rFonts w:ascii="Calibri" w:hAnsi="Calibri"/>
        </w:rPr>
      </w:pPr>
      <w:r>
        <w:rPr>
          <w:rFonts w:ascii="Calibri" w:hAnsi="Calibri"/>
        </w:rPr>
        <w:t>Pela inexecução total ou parcial das obrigações do contrato, a Administração poderá, garantida a prévia defesa, aplicar à contratada, segundo a extensão da falta cometida, as seguintes penalidades, previstas no artigo 104 da Lei nº 14.133/21, sem prejuízo da inscrição no Registro de Ocorrências do SICAF:</w:t>
      </w:r>
    </w:p>
    <w:p>
      <w:pPr>
        <w:pStyle w:val="TextBody"/>
        <w:numPr>
          <w:ilvl w:val="2"/>
          <w:numId w:val="2"/>
        </w:numPr>
        <w:jc w:val="both"/>
        <w:rPr>
          <w:rFonts w:ascii="Calibri" w:hAnsi="Calibri"/>
        </w:rPr>
      </w:pPr>
      <w:r>
        <w:rPr>
          <w:rFonts w:ascii="Calibri" w:hAnsi="Calibri"/>
        </w:rPr>
        <w:t>Advertência, nas hipóteses de execução irregular das obrigações assumidas no contrato, que não resulte prejuízo para o serviço desta OM;</w:t>
      </w:r>
    </w:p>
    <w:p>
      <w:pPr>
        <w:pStyle w:val="TextBody"/>
        <w:numPr>
          <w:ilvl w:val="2"/>
          <w:numId w:val="2"/>
        </w:numPr>
        <w:jc w:val="both"/>
        <w:rPr>
          <w:rFonts w:ascii="Calibri" w:hAnsi="Calibri"/>
        </w:rPr>
      </w:pPr>
      <w:r>
        <w:rPr>
          <w:rFonts w:ascii="Calibri" w:hAnsi="Calibri"/>
        </w:rPr>
        <w:t xml:space="preserve">Multas: </w:t>
      </w:r>
    </w:p>
    <w:p>
      <w:pPr>
        <w:pStyle w:val="ListParagraph"/>
        <w:numPr>
          <w:ilvl w:val="3"/>
          <w:numId w:val="2"/>
        </w:numPr>
        <w:jc w:val="both"/>
        <w:rPr>
          <w:rFonts w:ascii="Calibri" w:hAnsi="Calibri"/>
        </w:rPr>
      </w:pPr>
      <w:r>
        <w:rPr>
          <w:rFonts w:ascii="Calibri" w:hAnsi="Calibri"/>
        </w:rPr>
        <w:t>Multas moratórias de 0,33% (trinta e três centésimos por cento) por dia de atraso injustificado sobre o valor da parcela inadimplida, até o limite de 30 (trinta) dias.</w:t>
      </w:r>
    </w:p>
    <w:p>
      <w:pPr>
        <w:pStyle w:val="ListParagraph"/>
        <w:numPr>
          <w:ilvl w:val="3"/>
          <w:numId w:val="2"/>
        </w:numPr>
        <w:jc w:val="both"/>
        <w:rPr>
          <w:rFonts w:ascii="Calibri" w:hAnsi="Calibri"/>
        </w:rPr>
      </w:pPr>
      <w:r>
        <w:rPr>
          <w:rFonts w:ascii="Calibri" w:hAnsi="Calibri"/>
        </w:rPr>
        <w:t>Multa compensatória de 20% (vinte por cento) a ser calculada sobre o valor total da contratação, no caso de inadimplemento total por parte da Contratada, sem prejuízo das demais sanções administrativas e indenização suplementar por perdas e danos.</w:t>
      </w:r>
    </w:p>
    <w:p>
      <w:pPr>
        <w:pStyle w:val="ListParagraph"/>
        <w:numPr>
          <w:ilvl w:val="3"/>
          <w:numId w:val="2"/>
        </w:numPr>
        <w:jc w:val="both"/>
        <w:rPr>
          <w:rFonts w:ascii="Calibri" w:hAnsi="Calibri"/>
        </w:rPr>
      </w:pPr>
      <w:r>
        <w:rPr>
          <w:rFonts w:ascii="Calibri" w:hAnsi="Calibri"/>
        </w:rPr>
        <w:t>Em caso de inexecução parcial, a multa compensatória, no mesmo percentual do subitem acima, será aplicada de forma proporcional à obrigação inadimplida;</w:t>
      </w:r>
    </w:p>
    <w:p>
      <w:pPr>
        <w:pStyle w:val="ListParagraph"/>
        <w:numPr>
          <w:ilvl w:val="2"/>
          <w:numId w:val="2"/>
        </w:numPr>
        <w:jc w:val="both"/>
        <w:rPr>
          <w:rFonts w:ascii="Calibri" w:hAnsi="Calibri"/>
        </w:rPr>
      </w:pPr>
      <w:r>
        <w:rPr>
          <w:rFonts w:ascii="Calibri" w:hAnsi="Calibri"/>
        </w:rPr>
        <w:t>Impedimento de licitar e contratar com a Administração, aplicada ao responsável pelas infrações administrativas previstas nos incisos II, III, IV, V, VI e VII do caput do art. 155 da Lei nº 14.133/21, quando não se justificar a imposição de penalidade mais grave, e impedirá o responsável de licitar ou contratar no âmbito da Administração Pública direta e indireta do ente federativo que tiver aplicado a sanção, pelo prazo máximo de 3 (três) anos por prazo não superior a 3 (três) anos.</w:t>
      </w:r>
    </w:p>
    <w:p>
      <w:pPr>
        <w:pStyle w:val="ListParagraph"/>
        <w:numPr>
          <w:ilvl w:val="2"/>
          <w:numId w:val="2"/>
        </w:numPr>
        <w:jc w:val="both"/>
        <w:rPr>
          <w:rFonts w:ascii="Calibri" w:hAnsi="Calibri"/>
        </w:rPr>
      </w:pPr>
      <w:r>
        <w:rPr>
          <w:rFonts w:ascii="Calibri" w:hAnsi="Calibri"/>
        </w:rPr>
        <w:t>Declaração de inidoneidade para licitar   ou   contratar   com   a   Administração Pública, aplicada ao responsável pelas infrações administrativas previstas nos incisos VIII, IX, X, XI e XII do caput do art. 155 da Lei nº 14.133/21,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pPr>
        <w:pStyle w:val="TextBody"/>
        <w:numPr>
          <w:ilvl w:val="1"/>
          <w:numId w:val="2"/>
        </w:numPr>
        <w:jc w:val="both"/>
        <w:rPr>
          <w:rFonts w:ascii="Calibri" w:hAnsi="Calibri"/>
        </w:rPr>
      </w:pPr>
      <w:r>
        <w:rPr>
          <w:rFonts w:ascii="Calibri" w:hAnsi="Calibri"/>
        </w:rPr>
        <w:t>As importâncias relativas a multas serão descontadas do pagamento porventura devido à Contratada, ou efetuada a sua cobrança na forma prevista em lei.</w:t>
      </w:r>
    </w:p>
    <w:p>
      <w:pPr>
        <w:pStyle w:val="ListParagraph"/>
        <w:numPr>
          <w:ilvl w:val="1"/>
          <w:numId w:val="2"/>
        </w:numPr>
        <w:jc w:val="both"/>
        <w:rPr>
          <w:rFonts w:ascii="Calibri" w:hAnsi="Calibri"/>
        </w:rPr>
      </w:pPr>
      <w:r>
        <w:rPr>
          <w:rFonts w:ascii="Calibri" w:hAnsi="Calibri"/>
        </w:rPr>
        <w:t>O Órgão Contratante poderá, ainda, cancelar a Nota de Empenho decorrente da Dispensa Eletrônica, sem prejuízo das penalidades previstas nos subitens anteriores e de outras previstas em lei.</w:t>
      </w:r>
    </w:p>
    <w:p>
      <w:pPr>
        <w:pStyle w:val="TextBody"/>
        <w:jc w:val="both"/>
        <w:rPr>
          <w:rFonts w:ascii="Calibri" w:hAnsi="Calibri"/>
        </w:rPr>
      </w:pPr>
      <w:r>
        <w:rPr>
          <w:rFonts w:ascii="Calibri" w:hAnsi="Calibri"/>
        </w:rPr>
      </w:r>
    </w:p>
    <w:p>
      <w:pPr>
        <w:pStyle w:val="Ttulo11"/>
        <w:numPr>
          <w:ilvl w:val="0"/>
          <w:numId w:val="2"/>
        </w:numPr>
        <w:jc w:val="both"/>
        <w:rPr>
          <w:rFonts w:ascii="Calibri" w:hAnsi="Calibri"/>
          <w:b/>
          <w:b/>
          <w:bCs/>
          <w:sz w:val="24"/>
          <w:szCs w:val="24"/>
        </w:rPr>
      </w:pPr>
      <w:r>
        <w:rPr>
          <w:rFonts w:ascii="Calibri" w:hAnsi="Calibri"/>
          <w:b/>
          <w:bCs/>
          <w:sz w:val="24"/>
          <w:szCs w:val="24"/>
        </w:rPr>
        <w:t>FATURAMENTO</w:t>
      </w:r>
    </w:p>
    <w:p>
      <w:pPr>
        <w:pStyle w:val="ListParagraph"/>
        <w:numPr>
          <w:ilvl w:val="1"/>
          <w:numId w:val="2"/>
        </w:numPr>
        <w:jc w:val="both"/>
        <w:rPr>
          <w:rFonts w:ascii="Calibri" w:hAnsi="Calibri"/>
        </w:rPr>
      </w:pPr>
      <w:r>
        <w:rPr>
          <w:rFonts w:ascii="Calibri" w:hAnsi="Calibri"/>
        </w:rPr>
        <w:t>A nota fiscal e/ou fatura deverá ser emitida em nome do Centro de Instrução Almirante Alexandrino, conforme dados da Nota de Empenho, fazendo constar a descrição/marca/quantidade do item fornecido/valor unitário/valor total.</w:t>
      </w:r>
    </w:p>
    <w:p>
      <w:pPr>
        <w:pStyle w:val="ListParagraph"/>
        <w:numPr>
          <w:ilvl w:val="1"/>
          <w:numId w:val="2"/>
        </w:numPr>
        <w:jc w:val="both"/>
        <w:rPr>
          <w:rFonts w:ascii="Calibri" w:hAnsi="Calibri"/>
        </w:rPr>
      </w:pPr>
      <w:r>
        <w:rPr>
          <w:rFonts w:ascii="Calibri" w:hAnsi="Calibri"/>
        </w:rPr>
        <w:t>Caso a nota fiscal e/ou fatura contenha erro, o contratado se responsabilizará pela correção.</w:t>
      </w:r>
    </w:p>
    <w:p>
      <w:pPr>
        <w:pStyle w:val="TextBody"/>
        <w:jc w:val="both"/>
        <w:rPr>
          <w:rFonts w:ascii="Calibri" w:hAnsi="Calibri"/>
        </w:rPr>
      </w:pPr>
      <w:r>
        <w:rPr>
          <w:rFonts w:ascii="Calibri" w:hAnsi="Calibri"/>
        </w:rPr>
      </w:r>
    </w:p>
    <w:p>
      <w:pPr>
        <w:pStyle w:val="Ttulo11"/>
        <w:numPr>
          <w:ilvl w:val="0"/>
          <w:numId w:val="2"/>
        </w:numPr>
        <w:jc w:val="both"/>
        <w:rPr>
          <w:rFonts w:ascii="Calibri" w:hAnsi="Calibri"/>
          <w:b/>
          <w:b/>
          <w:bCs/>
          <w:sz w:val="24"/>
          <w:szCs w:val="24"/>
        </w:rPr>
      </w:pPr>
      <w:r>
        <w:rPr>
          <w:rFonts w:ascii="Calibri" w:hAnsi="Calibri"/>
          <w:b/>
          <w:bCs/>
          <w:sz w:val="24"/>
          <w:szCs w:val="24"/>
        </w:rPr>
        <w:t>PRAZO PARA PAGAMENTO</w:t>
      </w:r>
    </w:p>
    <w:p>
      <w:pPr>
        <w:pStyle w:val="ListParagraph"/>
        <w:numPr>
          <w:ilvl w:val="1"/>
          <w:numId w:val="2"/>
        </w:numPr>
        <w:jc w:val="both"/>
        <w:rPr>
          <w:rFonts w:ascii="Calibri" w:hAnsi="Calibri"/>
        </w:rPr>
      </w:pPr>
      <w:r>
        <w:rPr>
          <w:rFonts w:ascii="Calibri" w:hAnsi="Calibri"/>
        </w:rPr>
        <w:t>O pagamento será efetuado mediante ordem bancária de pagamento, depois do recebimento definitivo do material e da apresentação da Nota Fiscal pela contratada, conforme discriminado nesta Dispensa Eletrônica, no prazo de até 30 (trinta) dias úteis após recebimento definitivo.</w:t>
      </w:r>
    </w:p>
    <w:p>
      <w:pPr>
        <w:pStyle w:val="ListParagraph"/>
        <w:numPr>
          <w:ilvl w:val="1"/>
          <w:numId w:val="2"/>
        </w:numPr>
        <w:jc w:val="both"/>
        <w:rPr>
          <w:rFonts w:ascii="Calibri" w:hAnsi="Calibri"/>
        </w:rPr>
      </w:pPr>
      <w:r>
        <w:rPr>
          <w:rFonts w:ascii="Calibri" w:hAnsi="Calibri"/>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pPr>
        <w:pStyle w:val="Normal"/>
        <w:tabs>
          <w:tab w:val="clear" w:pos="567"/>
        </w:tabs>
        <w:spacing w:lineRule="auto" w:line="276"/>
        <w:ind w:left="227" w:right="0" w:hanging="0"/>
        <w:jc w:val="both"/>
        <w:rPr>
          <w:rFonts w:ascii="Calibri" w:hAnsi="Calibri"/>
        </w:rPr>
      </w:pPr>
      <w:r>
        <w:rPr>
          <w:rFonts w:ascii="Calibri" w:hAnsi="Calibri"/>
        </w:rPr>
        <w:t>EM = I X N VP, sendo:</w:t>
      </w:r>
    </w:p>
    <w:p>
      <w:pPr>
        <w:pStyle w:val="Normal"/>
        <w:tabs>
          <w:tab w:val="clear" w:pos="567"/>
        </w:tabs>
        <w:spacing w:lineRule="auto" w:line="276"/>
        <w:ind w:left="227" w:right="0" w:hanging="0"/>
        <w:jc w:val="both"/>
        <w:rPr>
          <w:rFonts w:ascii="Calibri" w:hAnsi="Calibri"/>
        </w:rPr>
      </w:pPr>
      <w:r>
        <w:rPr>
          <w:rFonts w:ascii="Calibri" w:hAnsi="Calibri"/>
        </w:rPr>
        <w:t>EM = Encargos moratórios;</w:t>
      </w:r>
    </w:p>
    <w:p>
      <w:pPr>
        <w:pStyle w:val="Normal"/>
        <w:tabs>
          <w:tab w:val="clear" w:pos="567"/>
        </w:tabs>
        <w:spacing w:lineRule="auto" w:line="276"/>
        <w:ind w:left="227" w:right="0" w:hanging="0"/>
        <w:jc w:val="both"/>
        <w:rPr>
          <w:rFonts w:ascii="Calibri" w:hAnsi="Calibri"/>
        </w:rPr>
      </w:pPr>
      <w:r>
        <w:rPr>
          <w:rFonts w:ascii="Calibri" w:hAnsi="Calibri"/>
        </w:rPr>
        <w:t>N = Número de dias entre a data prevista para o pagamento e a do efetivo pagamento;</w:t>
      </w:r>
    </w:p>
    <w:p>
      <w:pPr>
        <w:pStyle w:val="Normal"/>
        <w:tabs>
          <w:tab w:val="clear" w:pos="567"/>
        </w:tabs>
        <w:spacing w:lineRule="auto" w:line="276"/>
        <w:ind w:left="227" w:right="0" w:hanging="0"/>
        <w:jc w:val="both"/>
        <w:rPr>
          <w:rFonts w:ascii="Calibri" w:hAnsi="Calibri"/>
        </w:rPr>
      </w:pPr>
      <w:r>
        <w:rPr>
          <w:rFonts w:ascii="Calibri" w:hAnsi="Calibri"/>
        </w:rPr>
        <w:t>VP = Valor da parcela a ser paga.</w:t>
      </w:r>
    </w:p>
    <w:p>
      <w:pPr>
        <w:pStyle w:val="Normal"/>
        <w:tabs>
          <w:tab w:val="clear" w:pos="567"/>
        </w:tabs>
        <w:spacing w:lineRule="auto" w:line="276"/>
        <w:ind w:left="227" w:right="0" w:hanging="0"/>
        <w:jc w:val="both"/>
        <w:rPr>
          <w:rFonts w:ascii="Calibri" w:hAnsi="Calibri"/>
        </w:rPr>
      </w:pPr>
      <w:r>
        <w:rPr>
          <w:rFonts w:ascii="Calibri" w:hAnsi="Calibri"/>
        </w:rPr>
        <w:t>I = Índice de compensação financeira = 0,00016438, assim apurada:</w:t>
      </w:r>
    </w:p>
    <w:p>
      <w:pPr>
        <w:pStyle w:val="Normal"/>
        <w:tabs>
          <w:tab w:val="clear" w:pos="567"/>
        </w:tabs>
        <w:spacing w:lineRule="auto" w:line="276"/>
        <w:ind w:left="227" w:right="0" w:hanging="0"/>
        <w:jc w:val="both"/>
        <w:rPr>
          <w:rStyle w:val="Fontepargpadro"/>
          <w:rFonts w:ascii="Calibri" w:hAnsi="Calibri"/>
        </w:rPr>
      </w:pPr>
      <w:r>
        <w:rPr>
          <w:rFonts w:ascii="Calibri" w:hAnsi="Calibri"/>
        </w:rPr>
      </w:r>
    </w:p>
    <w:tbl>
      <w:tblPr>
        <w:tblW w:w="8642" w:type="dxa"/>
        <w:jc w:val="left"/>
        <w:tblInd w:w="425" w:type="dxa"/>
        <w:tblBorders/>
        <w:tblCellMar>
          <w:top w:w="0" w:type="dxa"/>
          <w:left w:w="108" w:type="dxa"/>
          <w:bottom w:w="0" w:type="dxa"/>
          <w:right w:w="108" w:type="dxa"/>
        </w:tblCellMar>
      </w:tblPr>
      <w:tblGrid>
        <w:gridCol w:w="2149"/>
        <w:gridCol w:w="747"/>
        <w:gridCol w:w="1409"/>
        <w:gridCol w:w="4337"/>
      </w:tblGrid>
      <w:tr>
        <w:trPr>
          <w:trHeight w:val="392" w:hRule="atLeast"/>
        </w:trPr>
        <w:tc>
          <w:tcPr>
            <w:tcW w:w="2149" w:type="dxa"/>
            <w:tcBorders/>
            <w:shd w:fill="auto" w:val="clear"/>
            <w:vAlign w:val="center"/>
          </w:tcPr>
          <w:p>
            <w:pPr>
              <w:pStyle w:val="Normal"/>
              <w:tabs>
                <w:tab w:val="left" w:pos="1701" w:leader="none"/>
              </w:tabs>
              <w:spacing w:lineRule="auto" w:line="276"/>
              <w:ind w:left="357" w:right="0" w:hanging="0"/>
              <w:jc w:val="center"/>
              <w:rPr>
                <w:rFonts w:ascii="Calibri" w:hAnsi="Calibri" w:eastAsia="ＭＳ 明朝" w:cs="Arial"/>
                <w:color w:val="000000"/>
                <w:szCs w:val="20"/>
                <w:lang w:eastAsia="en-US"/>
              </w:rPr>
            </w:pPr>
            <w:r>
              <w:rPr>
                <w:rFonts w:eastAsia="ＭＳ 明朝" w:cs="Arial" w:ascii="Calibri" w:hAnsi="Calibri"/>
                <w:color w:val="000000"/>
                <w:szCs w:val="20"/>
                <w:lang w:eastAsia="en-US"/>
              </w:rPr>
              <w:t>I = (TX)</w:t>
            </w:r>
          </w:p>
        </w:tc>
        <w:tc>
          <w:tcPr>
            <w:tcW w:w="747" w:type="dxa"/>
            <w:tcBorders/>
            <w:shd w:fill="auto" w:val="clear"/>
            <w:vAlign w:val="center"/>
          </w:tcPr>
          <w:p>
            <w:pPr>
              <w:pStyle w:val="Normal"/>
              <w:tabs>
                <w:tab w:val="left" w:pos="1701" w:leader="none"/>
              </w:tabs>
              <w:spacing w:lineRule="auto" w:line="276"/>
              <w:rPr>
                <w:rFonts w:ascii="Calibri" w:hAnsi="Calibri" w:eastAsia="ＭＳ 明朝" w:cs="Arial"/>
                <w:color w:val="000000"/>
                <w:szCs w:val="20"/>
                <w:lang w:eastAsia="en-US"/>
              </w:rPr>
            </w:pPr>
            <w:r>
              <w:rPr>
                <w:rFonts w:eastAsia="ＭＳ 明朝" w:cs="Arial" w:ascii="Calibri" w:hAnsi="Calibri"/>
                <w:color w:val="000000"/>
                <w:szCs w:val="20"/>
                <w:lang w:eastAsia="en-US"/>
              </w:rPr>
              <w:t xml:space="preserve">I= </w:t>
            </w:r>
          </w:p>
        </w:tc>
        <w:tc>
          <w:tcPr>
            <w:tcW w:w="1409" w:type="dxa"/>
            <w:tcBorders>
              <w:top w:val="single" w:sz="4" w:space="0" w:color="000000"/>
              <w:bottom w:val="single" w:sz="4" w:space="0" w:color="000000"/>
              <w:insideH w:val="single" w:sz="4" w:space="0" w:color="000000"/>
            </w:tcBorders>
            <w:shd w:fill="auto" w:val="clear"/>
          </w:tcPr>
          <w:p>
            <w:pPr>
              <w:pStyle w:val="Normal"/>
              <w:tabs>
                <w:tab w:val="left" w:pos="1701" w:leader="none"/>
              </w:tabs>
              <w:spacing w:lineRule="auto" w:line="276"/>
              <w:ind w:left="357" w:right="0" w:hanging="0"/>
              <w:jc w:val="center"/>
              <w:rPr>
                <w:rFonts w:ascii="Calibri" w:hAnsi="Calibri" w:eastAsia="ＭＳ 明朝" w:cs="Arial"/>
                <w:color w:val="000000"/>
                <w:szCs w:val="20"/>
                <w:lang w:eastAsia="en-US"/>
              </w:rPr>
            </w:pPr>
            <w:r>
              <w:rPr>
                <w:rFonts w:eastAsia="ＭＳ 明朝" w:cs="Arial" w:ascii="Calibri" w:hAnsi="Calibri"/>
                <w:color w:val="000000"/>
                <w:szCs w:val="20"/>
                <w:lang w:eastAsia="en-US"/>
              </w:rPr>
            </w:r>
          </w:p>
          <w:p>
            <w:pPr>
              <w:pStyle w:val="Normal"/>
              <w:tabs>
                <w:tab w:val="left" w:pos="1701" w:leader="none"/>
              </w:tabs>
              <w:spacing w:lineRule="auto" w:line="276"/>
              <w:ind w:left="357" w:right="0" w:hanging="0"/>
              <w:jc w:val="center"/>
              <w:rPr>
                <w:rFonts w:ascii="Calibri" w:hAnsi="Calibri" w:eastAsia="ＭＳ 明朝" w:cs="Arial"/>
                <w:color w:val="000000"/>
                <w:szCs w:val="20"/>
                <w:lang w:eastAsia="en-US"/>
              </w:rPr>
            </w:pPr>
            <w:r>
              <w:rPr>
                <w:rFonts w:eastAsia="ＭＳ 明朝" w:cs="Arial" w:ascii="Calibri" w:hAnsi="Calibri"/>
                <w:color w:val="000000"/>
                <w:szCs w:val="20"/>
                <w:lang w:eastAsia="en-US"/>
              </w:rPr>
              <w:t>( 6 / 100 )</w:t>
            </w:r>
          </w:p>
        </w:tc>
        <w:tc>
          <w:tcPr>
            <w:tcW w:w="4337" w:type="dxa"/>
            <w:tcBorders/>
            <w:shd w:fill="auto" w:val="clear"/>
            <w:vAlign w:val="center"/>
          </w:tcPr>
          <w:p>
            <w:pPr>
              <w:pStyle w:val="Normal"/>
              <w:tabs>
                <w:tab w:val="left" w:pos="1701" w:leader="none"/>
              </w:tabs>
              <w:spacing w:lineRule="auto" w:line="276"/>
              <w:ind w:left="357" w:right="0" w:hanging="0"/>
              <w:rPr>
                <w:rFonts w:ascii="Calibri" w:hAnsi="Calibri" w:eastAsia="ＭＳ 明朝" w:cs="Arial"/>
                <w:color w:val="000000"/>
                <w:szCs w:val="20"/>
                <w:lang w:eastAsia="en-US"/>
              </w:rPr>
            </w:pPr>
            <w:r>
              <w:rPr>
                <w:rFonts w:eastAsia="ＭＳ 明朝" w:cs="Arial" w:ascii="Calibri" w:hAnsi="Calibri"/>
                <w:color w:val="000000"/>
                <w:szCs w:val="20"/>
                <w:lang w:eastAsia="en-US"/>
              </w:rPr>
              <w:t>I = 0,00016438</w:t>
            </w:r>
          </w:p>
          <w:p>
            <w:pPr>
              <w:pStyle w:val="Normal"/>
              <w:tabs>
                <w:tab w:val="left" w:pos="1701" w:leader="none"/>
              </w:tabs>
              <w:spacing w:lineRule="auto" w:line="276"/>
              <w:ind w:left="357" w:right="0" w:hanging="0"/>
              <w:rPr>
                <w:rFonts w:ascii="Calibri" w:hAnsi="Calibri" w:eastAsia="ＭＳ 明朝" w:cs="Arial"/>
                <w:color w:val="000000"/>
                <w:szCs w:val="20"/>
                <w:lang w:eastAsia="en-US"/>
              </w:rPr>
            </w:pPr>
            <w:r>
              <w:rPr>
                <w:rFonts w:eastAsia="ＭＳ 明朝" w:cs="Arial" w:ascii="Calibri" w:hAnsi="Calibri"/>
                <w:color w:val="000000"/>
                <w:szCs w:val="20"/>
                <w:lang w:eastAsia="en-US"/>
              </w:rPr>
              <w:t>TX = Percentual da taxa anual = 6%</w:t>
            </w:r>
          </w:p>
        </w:tc>
      </w:tr>
    </w:tbl>
    <w:p>
      <w:pPr>
        <w:pStyle w:val="Normal"/>
        <w:tabs>
          <w:tab w:val="clear" w:pos="567"/>
        </w:tabs>
        <w:spacing w:lineRule="auto" w:line="276"/>
        <w:ind w:left="227" w:right="0" w:hanging="0"/>
        <w:jc w:val="left"/>
        <w:rPr>
          <w:rFonts w:ascii="Calibri" w:hAnsi="Calibri"/>
        </w:rPr>
      </w:pPr>
      <w:r>
        <w:rPr>
          <w:rFonts w:ascii="Calibri" w:hAnsi="Calibri"/>
        </w:rPr>
        <w:t xml:space="preserve">                                                                         </w:t>
      </w:r>
      <w:r>
        <w:rPr>
          <w:rFonts w:ascii="Calibri" w:hAnsi="Calibri"/>
        </w:rPr>
        <w:t>365</w:t>
      </w:r>
    </w:p>
    <w:p>
      <w:pPr>
        <w:sectPr>
          <w:footerReference w:type="default" r:id="rId3"/>
          <w:type w:val="nextPage"/>
          <w:pgSz w:w="11906" w:h="16838"/>
          <w:pgMar w:left="720" w:right="720" w:header="0" w:top="720" w:footer="720" w:bottom="777" w:gutter="0"/>
          <w:pgNumType w:fmt="decimal"/>
          <w:formProt w:val="false"/>
          <w:textDirection w:val="lrTb"/>
          <w:docGrid w:type="default" w:linePitch="240" w:charSpace="1638"/>
        </w:sectPr>
      </w:pPr>
    </w:p>
    <w:p>
      <w:pPr>
        <w:pStyle w:val="TextBody"/>
        <w:jc w:val="both"/>
        <w:rPr>
          <w:rFonts w:ascii="Calibri" w:hAnsi="Calibri"/>
        </w:rPr>
      </w:pPr>
      <w:r>
        <w:rPr>
          <w:rFonts w:ascii="Calibri" w:hAnsi="Calibri"/>
        </w:rPr>
      </w:r>
    </w:p>
    <w:p>
      <w:pPr>
        <w:pStyle w:val="Ttulo11"/>
        <w:numPr>
          <w:ilvl w:val="0"/>
          <w:numId w:val="2"/>
        </w:numPr>
        <w:jc w:val="both"/>
        <w:rPr>
          <w:rFonts w:ascii="Calibri" w:hAnsi="Calibri"/>
          <w:b/>
          <w:b/>
          <w:bCs/>
          <w:sz w:val="24"/>
          <w:szCs w:val="24"/>
        </w:rPr>
      </w:pPr>
      <w:r>
        <w:rPr>
          <w:rFonts w:ascii="Calibri" w:hAnsi="Calibri"/>
          <w:b/>
          <w:bCs/>
          <w:sz w:val="24"/>
          <w:szCs w:val="24"/>
        </w:rPr>
        <w:t>DAS OBRIGAÇÕES DA CONTRATADA</w:t>
      </w:r>
    </w:p>
    <w:p>
      <w:pPr>
        <w:pStyle w:val="ListParagraph"/>
        <w:numPr>
          <w:ilvl w:val="1"/>
          <w:numId w:val="2"/>
        </w:numPr>
        <w:jc w:val="both"/>
        <w:rPr>
          <w:rFonts w:ascii="Calibri" w:hAnsi="Calibri"/>
        </w:rPr>
      </w:pPr>
      <w:r>
        <w:rPr>
          <w:rFonts w:ascii="Calibri" w:hAnsi="Calibri"/>
        </w:rPr>
        <w:t>A Contratada deverá cumprir todas as obrigações constantes neste documento/legislações correlatas, e na sua proposta, assumindo como exclusivamente seus os riscos e as despesas decorrentes da boa perfeita execução do objeto e, ainda:</w:t>
      </w:r>
    </w:p>
    <w:p>
      <w:pPr>
        <w:pStyle w:val="ListParagraph"/>
        <w:numPr>
          <w:ilvl w:val="2"/>
          <w:numId w:val="2"/>
        </w:numPr>
        <w:jc w:val="both"/>
        <w:rPr>
          <w:rFonts w:ascii="Calibri" w:hAnsi="Calibri"/>
        </w:rPr>
      </w:pPr>
      <w:r>
        <w:rPr>
          <w:rFonts w:ascii="Calibri" w:hAnsi="Calibri"/>
        </w:rPr>
        <w:t>Efetuar a entrega do objeto em perfeitas condições, conforme especificações, prazo e local constantes desde documento, acompanhado da respectiva nota fiscal, qual constarão as indicações referentes a: número da nota de empenho, marca, fabricante, modelo, e prazo de garantia do produto;</w:t>
      </w:r>
    </w:p>
    <w:p>
      <w:pPr>
        <w:pStyle w:val="ListParagraph"/>
        <w:numPr>
          <w:ilvl w:val="2"/>
          <w:numId w:val="2"/>
        </w:numPr>
        <w:jc w:val="both"/>
        <w:rPr>
          <w:rFonts w:ascii="Calibri" w:hAnsi="Calibri"/>
        </w:rPr>
      </w:pPr>
      <w:r>
        <w:rPr>
          <w:rFonts w:ascii="Calibri" w:hAnsi="Calibri"/>
        </w:rPr>
        <w:t>O objeto deve estar acompanhado do manual do usuário, com uma versão em português, e da relação da rede de assistência técnica autorizada;</w:t>
      </w:r>
    </w:p>
    <w:p>
      <w:pPr>
        <w:pStyle w:val="ListParagraph"/>
        <w:numPr>
          <w:ilvl w:val="2"/>
          <w:numId w:val="2"/>
        </w:numPr>
        <w:jc w:val="both"/>
        <w:rPr>
          <w:rFonts w:ascii="Calibri" w:hAnsi="Calibri"/>
        </w:rPr>
      </w:pPr>
      <w:r>
        <w:rPr>
          <w:rFonts w:ascii="Calibri" w:hAnsi="Calibri"/>
        </w:rPr>
        <w:t>Responsabilizar-se pelos vícios e danos decorrentes do objeto, de acordo com os artigos 12. 13 e 17 a 27. Do Código de Defesa do Consumidor (Lei nº 8.078. de 1990);</w:t>
      </w:r>
    </w:p>
    <w:p>
      <w:pPr>
        <w:pStyle w:val="ListParagraph"/>
        <w:numPr>
          <w:ilvl w:val="2"/>
          <w:numId w:val="2"/>
        </w:numPr>
        <w:jc w:val="both"/>
        <w:rPr>
          <w:rFonts w:ascii="Calibri" w:hAnsi="Calibri"/>
        </w:rPr>
      </w:pPr>
      <w:r>
        <w:rPr>
          <w:rFonts w:ascii="Calibri" w:hAnsi="Calibri"/>
        </w:rPr>
        <w:t>Substituir, reparar ou corrigir, as suas expensas, no prazo de 10 (dez) dias, o objeto com avarias ou defeitos.</w:t>
      </w:r>
    </w:p>
    <w:p>
      <w:pPr>
        <w:pStyle w:val="ListParagraph"/>
        <w:numPr>
          <w:ilvl w:val="2"/>
          <w:numId w:val="2"/>
        </w:numPr>
        <w:jc w:val="both"/>
        <w:rPr>
          <w:rFonts w:ascii="Calibri" w:hAnsi="Calibri"/>
        </w:rPr>
      </w:pPr>
      <w:r>
        <w:rPr>
          <w:rFonts w:ascii="Calibri" w:hAnsi="Calibri"/>
        </w:rPr>
        <w:t>Comunicar à Contratante, no prazo máximo de 24 (vinte e quatro) horas que antecede a data da entrega, os motivos que impossibilitem o cumprimento do prazo previsto, com a devida comprovação.</w:t>
      </w:r>
    </w:p>
    <w:p>
      <w:pPr>
        <w:pStyle w:val="ListParagraph"/>
        <w:numPr>
          <w:ilvl w:val="2"/>
          <w:numId w:val="2"/>
        </w:numPr>
        <w:jc w:val="both"/>
        <w:rPr>
          <w:rFonts w:ascii="Calibri" w:hAnsi="Calibri"/>
        </w:rPr>
      </w:pPr>
      <w:r>
        <w:rPr>
          <w:rFonts w:ascii="Calibri" w:hAnsi="Calibri"/>
        </w:rPr>
        <w:t>Manter, durante toda a execução do contrato, em compatibilidade com as obrigações assumidas, todas as condições de habilitação e qualificação exigidas na licitação;</w:t>
      </w:r>
    </w:p>
    <w:p>
      <w:pPr>
        <w:pStyle w:val="ListParagraph"/>
        <w:numPr>
          <w:ilvl w:val="2"/>
          <w:numId w:val="2"/>
        </w:numPr>
        <w:jc w:val="both"/>
        <w:rPr>
          <w:rFonts w:ascii="Calibri" w:hAnsi="Calibri"/>
        </w:rPr>
      </w:pPr>
      <w:r>
        <w:rPr>
          <w:rFonts w:ascii="Calibri" w:hAnsi="Calibri"/>
        </w:rPr>
        <w:t>Indicar preposto para epresenta-la durante a execução do contrato.</w:t>
      </w:r>
    </w:p>
    <w:p>
      <w:pPr>
        <w:pStyle w:val="TextBody"/>
        <w:jc w:val="both"/>
        <w:rPr>
          <w:rFonts w:ascii="Calibri" w:hAnsi="Calibri"/>
        </w:rPr>
      </w:pPr>
      <w:r>
        <w:rPr>
          <w:rFonts w:ascii="Calibri" w:hAnsi="Calibri"/>
        </w:rPr>
      </w:r>
    </w:p>
    <w:p>
      <w:pPr>
        <w:pStyle w:val="Ttulo11"/>
        <w:numPr>
          <w:ilvl w:val="0"/>
          <w:numId w:val="2"/>
        </w:numPr>
        <w:jc w:val="both"/>
        <w:rPr>
          <w:rFonts w:ascii="Calibri" w:hAnsi="Calibri"/>
          <w:b/>
          <w:b/>
          <w:bCs/>
          <w:sz w:val="24"/>
          <w:szCs w:val="24"/>
        </w:rPr>
      </w:pPr>
      <w:r>
        <w:rPr>
          <w:rFonts w:ascii="Calibri" w:hAnsi="Calibri"/>
          <w:b/>
          <w:bCs/>
          <w:sz w:val="24"/>
          <w:szCs w:val="24"/>
        </w:rPr>
        <w:t>DAS OBRIGAÇÕES DA CONTRATANTE</w:t>
      </w:r>
    </w:p>
    <w:p>
      <w:pPr>
        <w:pStyle w:val="TextBody"/>
        <w:numPr>
          <w:ilvl w:val="1"/>
          <w:numId w:val="2"/>
        </w:numPr>
        <w:jc w:val="both"/>
        <w:rPr>
          <w:rFonts w:ascii="Calibri" w:hAnsi="Calibri"/>
        </w:rPr>
      </w:pPr>
      <w:r>
        <w:rPr>
          <w:rFonts w:ascii="Calibri" w:hAnsi="Calibri"/>
        </w:rPr>
        <w:t>Encaminhar a Nota de Empenho para a Contratada, podendo para isso utilizar mensagem via e-mail</w:t>
      </w:r>
    </w:p>
    <w:p>
      <w:pPr>
        <w:pStyle w:val="TextBody"/>
        <w:numPr>
          <w:ilvl w:val="1"/>
          <w:numId w:val="2"/>
        </w:numPr>
        <w:jc w:val="both"/>
        <w:rPr>
          <w:rFonts w:ascii="Calibri" w:hAnsi="Calibri"/>
        </w:rPr>
      </w:pPr>
      <w:r>
        <w:rPr>
          <w:rFonts w:ascii="Calibri" w:hAnsi="Calibri"/>
        </w:rPr>
        <w:t>Receber o objeto no prazo e condições estabelecidas neste termo e seus anexos:</w:t>
      </w:r>
    </w:p>
    <w:p>
      <w:pPr>
        <w:pStyle w:val="TextBody"/>
        <w:numPr>
          <w:ilvl w:val="1"/>
          <w:numId w:val="2"/>
        </w:numPr>
        <w:jc w:val="both"/>
        <w:rPr>
          <w:rFonts w:ascii="Calibri" w:hAnsi="Calibri"/>
        </w:rPr>
      </w:pPr>
      <w:r>
        <w:rPr>
          <w:rFonts w:ascii="Calibri" w:hAnsi="Calibri"/>
        </w:rPr>
        <w:t>Verificar minuciosamente, no prazo fixado, a conformidade dos bens recebidos provisoriamente com as especificações constantes deste Termo e da proposta, para fins de aceitação e recebimento definitivo;</w:t>
      </w:r>
    </w:p>
    <w:p>
      <w:pPr>
        <w:pStyle w:val="TextBody"/>
        <w:numPr>
          <w:ilvl w:val="1"/>
          <w:numId w:val="2"/>
        </w:numPr>
        <w:jc w:val="both"/>
        <w:rPr>
          <w:rFonts w:ascii="Calibri" w:hAnsi="Calibri"/>
        </w:rPr>
      </w:pPr>
      <w:r>
        <w:rPr>
          <w:rFonts w:ascii="Calibri" w:hAnsi="Calibri"/>
        </w:rPr>
        <w:t>Comunicar à Contratada, por escrito, sobre imperfeições, falhas ou irregularidades verificadas no objeto fornecido, para que seja substituído, reparado ou corrigido;</w:t>
      </w:r>
    </w:p>
    <w:p>
      <w:pPr>
        <w:pStyle w:val="TextBody"/>
        <w:numPr>
          <w:ilvl w:val="1"/>
          <w:numId w:val="2"/>
        </w:numPr>
        <w:jc w:val="both"/>
        <w:rPr>
          <w:rFonts w:ascii="Calibri" w:hAnsi="Calibri"/>
        </w:rPr>
      </w:pPr>
      <w:r>
        <w:rPr>
          <w:rFonts w:ascii="Calibri" w:hAnsi="Calibri"/>
        </w:rPr>
        <w:t>Acompanhar e fiscalizar o cumprimento das obrigações da Contratada, através de comissão/servidor especialmente designado;</w:t>
      </w:r>
    </w:p>
    <w:p>
      <w:pPr>
        <w:pStyle w:val="TextBody"/>
        <w:numPr>
          <w:ilvl w:val="1"/>
          <w:numId w:val="2"/>
        </w:numPr>
        <w:jc w:val="both"/>
        <w:rPr>
          <w:rFonts w:ascii="Calibri" w:hAnsi="Calibri"/>
        </w:rPr>
      </w:pPr>
      <w:r>
        <w:rPr>
          <w:rFonts w:ascii="Calibri" w:hAnsi="Calibri"/>
        </w:rPr>
        <w:t>Efetuar o pagamento à Contratada no valor correspondente ao fornecimento do objeto, no prazo e forma estabelecidos no Edital e seus anexos:</w:t>
      </w:r>
    </w:p>
    <w:p>
      <w:pPr>
        <w:pStyle w:val="TextBody"/>
        <w:numPr>
          <w:ilvl w:val="1"/>
          <w:numId w:val="2"/>
        </w:numPr>
        <w:jc w:val="both"/>
        <w:rPr>
          <w:rFonts w:ascii="Calibri" w:hAnsi="Calibri"/>
        </w:rPr>
      </w:pPr>
      <w:r>
        <w:rPr>
          <w:rFonts w:ascii="Calibri" w:hAnsi="Calibri"/>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TextBody"/>
        <w:jc w:val="both"/>
        <w:rPr>
          <w:rFonts w:ascii="Calibri" w:hAnsi="Calibri"/>
        </w:rPr>
      </w:pPr>
      <w:r>
        <w:rPr>
          <w:rFonts w:ascii="Calibri" w:hAnsi="Calibri"/>
        </w:rPr>
      </w:r>
    </w:p>
    <w:p>
      <w:pPr>
        <w:pStyle w:val="ListParagraph"/>
        <w:numPr>
          <w:ilvl w:val="0"/>
          <w:numId w:val="2"/>
        </w:numPr>
        <w:jc w:val="both"/>
        <w:rPr>
          <w:rFonts w:ascii="Calibri" w:hAnsi="Calibri"/>
          <w:b/>
          <w:b/>
          <w:bCs/>
          <w:sz w:val="24"/>
          <w:szCs w:val="24"/>
        </w:rPr>
      </w:pPr>
      <w:r>
        <w:rPr>
          <w:rFonts w:ascii="Calibri" w:hAnsi="Calibri"/>
          <w:b/>
          <w:bCs/>
          <w:sz w:val="24"/>
          <w:szCs w:val="24"/>
        </w:rPr>
        <w:t>INFORMAÇÕES E CASOS OMISSOS</w:t>
      </w:r>
    </w:p>
    <w:p>
      <w:pPr>
        <w:pStyle w:val="ListParagraph"/>
        <w:numPr>
          <w:ilvl w:val="1"/>
          <w:numId w:val="2"/>
        </w:numPr>
        <w:jc w:val="both"/>
        <w:rPr/>
      </w:pPr>
      <w:r>
        <w:rPr>
          <w:rFonts w:ascii="Calibri" w:hAnsi="Calibri"/>
        </w:rPr>
        <w:t>Informações complementares poderão ser obtidas junto à CONTRATANTE, a partir da divulgação do Aviso de Dispensa Eletrônica de Preços, pelo telefone (21) 2126-6131, ou pelo e-mail remo.santos</w:t>
      </w:r>
      <w:r>
        <w:rPr>
          <w:rFonts w:ascii="Calibri" w:hAnsi="Calibri"/>
          <w:i/>
          <w:iCs/>
        </w:rPr>
        <w:t>@marinha.mil.br</w:t>
      </w:r>
      <w:hyperlink r:id="rId4">
        <w:r>
          <w:rPr>
            <w:rStyle w:val="LinkdaInternet"/>
            <w:rFonts w:ascii="Calibri" w:hAnsi="Calibri"/>
          </w:rPr>
          <w:t>,</w:t>
        </w:r>
      </w:hyperlink>
      <w:r>
        <w:rPr>
          <w:rFonts w:ascii="Calibri" w:hAnsi="Calibri"/>
        </w:rPr>
        <w:t xml:space="preserve"> sendo resolvidos os casos pelo Departamento de Obtenção do CIAA.</w:t>
      </w:r>
    </w:p>
    <w:p>
      <w:pPr>
        <w:pStyle w:val="ListParagraph"/>
        <w:jc w:val="both"/>
        <w:rPr>
          <w:b/>
          <w:b/>
        </w:rPr>
      </w:pPr>
      <w:r>
        <w:rPr>
          <w:b/>
        </w:rPr>
      </w:r>
    </w:p>
    <w:p>
      <w:pPr>
        <w:pStyle w:val="TextBody"/>
        <w:rPr>
          <w:rFonts w:ascii="Calibri" w:hAnsi="Calibri"/>
        </w:rPr>
      </w:pPr>
      <w:r>
        <w:rPr>
          <w:rFonts w:ascii="Calibri" w:hAnsi="Calibri"/>
        </w:rPr>
      </w:r>
    </w:p>
    <w:p>
      <w:pPr>
        <w:pStyle w:val="TextBody"/>
        <w:rPr>
          <w:rFonts w:ascii="Calibri" w:hAnsi="Calibri"/>
        </w:rPr>
      </w:pPr>
      <w:r>
        <w:rPr>
          <w:rFonts w:ascii="Calibri" w:hAnsi="Calibri"/>
        </w:rPr>
      </w:r>
    </w:p>
    <w:p>
      <w:pPr>
        <w:pStyle w:val="Normal"/>
        <w:jc w:val="right"/>
        <w:rPr>
          <w:rFonts w:ascii="Calibri" w:hAnsi="Calibri"/>
        </w:rPr>
      </w:pPr>
      <w:r>
        <w:rPr>
          <w:rFonts w:ascii="Calibri" w:hAnsi="Calibri"/>
        </w:rPr>
        <w:t>Rio de Janeiro, RJ, ___ de ____________ de 2022.</w:t>
      </w:r>
    </w:p>
    <w:p>
      <w:pPr>
        <w:pStyle w:val="TextBody"/>
        <w:rPr>
          <w:rFonts w:ascii="Calibri" w:hAnsi="Calibri"/>
        </w:rPr>
      </w:pPr>
      <w:r>
        <w:rPr>
          <w:rFonts w:ascii="Calibri" w:hAnsi="Calibri"/>
        </w:rPr>
      </w:r>
    </w:p>
    <w:p>
      <w:pPr>
        <w:pStyle w:val="TextBody"/>
        <w:rPr>
          <w:rFonts w:ascii="Calibri" w:hAnsi="Calibri"/>
        </w:rPr>
      </w:pPr>
      <w:r>
        <w:rPr>
          <w:rFonts w:ascii="Calibri" w:hAnsi="Calibri"/>
        </w:rPr>
      </w:r>
    </w:p>
    <w:p>
      <w:pPr>
        <w:pStyle w:val="TextBody"/>
        <w:jc w:val="center"/>
        <w:rPr>
          <w:rFonts w:ascii="Calibri" w:hAnsi="Calibri"/>
        </w:rPr>
      </w:pPr>
      <w:r>
        <w:rPr>
          <w:rFonts w:ascii="Calibri" w:hAnsi="Calibri"/>
        </w:rPr>
        <w:t>____________________________</w:t>
      </w:r>
    </w:p>
    <w:p>
      <w:pPr>
        <w:pStyle w:val="TextBody"/>
        <w:jc w:val="center"/>
        <w:rPr>
          <w:rFonts w:ascii="Calibri" w:hAnsi="Calibri"/>
          <w:b/>
          <w:b/>
          <w:bCs/>
        </w:rPr>
      </w:pPr>
      <w:r>
        <w:rPr>
          <w:rFonts w:ascii="Calibri" w:hAnsi="Calibri"/>
          <w:b/>
          <w:bCs/>
        </w:rPr>
        <w:t>ADILSON CARLOS DO PRADO</w:t>
      </w:r>
    </w:p>
    <w:p>
      <w:pPr>
        <w:pStyle w:val="TextBody"/>
        <w:jc w:val="center"/>
        <w:rPr>
          <w:rFonts w:ascii="Calibri" w:hAnsi="Calibri"/>
        </w:rPr>
      </w:pPr>
      <w:r>
        <w:rPr>
          <w:rFonts w:ascii="Calibri" w:hAnsi="Calibri"/>
        </w:rPr>
        <w:t>Primeiro -Tenente (AA)</w:t>
      </w:r>
    </w:p>
    <w:p>
      <w:pPr>
        <w:pStyle w:val="TextBody"/>
        <w:jc w:val="center"/>
        <w:rPr>
          <w:rFonts w:ascii="Calibri" w:hAnsi="Calibri"/>
        </w:rPr>
      </w:pPr>
      <w:r>
        <w:rPr>
          <w:rFonts w:ascii="Calibri" w:hAnsi="Calibri"/>
        </w:rPr>
        <w:t>Chefe do Departamento de Serviços Gerais</w:t>
      </w:r>
    </w:p>
    <w:p>
      <w:pPr>
        <w:pStyle w:val="TextBody"/>
        <w:rPr>
          <w:rFonts w:ascii="Calibri" w:hAnsi="Calibri"/>
        </w:rPr>
      </w:pPr>
      <w:r>
        <w:rPr>
          <w:rFonts w:ascii="Calibri" w:hAnsi="Calibri"/>
        </w:rPr>
      </w:r>
    </w:p>
    <w:p>
      <w:pPr>
        <w:pStyle w:val="TextBody"/>
        <w:rPr>
          <w:b/>
          <w:b/>
        </w:rPr>
      </w:pPr>
      <w:r>
        <w:rPr>
          <w:b/>
        </w:rPr>
      </w:r>
    </w:p>
    <w:p>
      <w:pPr>
        <w:sectPr>
          <w:type w:val="continuous"/>
          <w:pgSz w:w="11906" w:h="16838"/>
          <w:pgMar w:left="720" w:right="720" w:header="0" w:top="720" w:footer="720" w:bottom="777" w:gutter="0"/>
          <w:formProt w:val="false"/>
          <w:textDirection w:val="lrTb"/>
          <w:docGrid w:type="default" w:linePitch="240" w:charSpace="1638"/>
        </w:sectPr>
      </w:pPr>
    </w:p>
    <w:p>
      <w:pPr>
        <w:pStyle w:val="Normal"/>
        <w:rPr>
          <w:rFonts w:ascii="Calibri" w:hAnsi="Calibri"/>
        </w:rPr>
      </w:pPr>
      <w:r>
        <w:rPr>
          <w:rFonts w:ascii="Calibri" w:hAnsi="Calibri"/>
        </w:rPr>
      </w:r>
    </w:p>
    <w:p>
      <w:pPr>
        <w:pStyle w:val="Normal"/>
        <w:rPr>
          <w:rFonts w:ascii="Calibri" w:hAnsi="Calibri"/>
        </w:rPr>
      </w:pPr>
      <w:r>
        <w:rPr>
          <w:rFonts w:ascii="Calibri" w:hAnsi="Calibri"/>
        </w:rPr>
      </w:r>
    </w:p>
    <w:p>
      <w:pPr>
        <w:pStyle w:val="Normal"/>
        <w:rPr>
          <w:rFonts w:ascii="Calibri" w:hAnsi="Calibri"/>
        </w:rPr>
      </w:pPr>
      <w:r>
        <w:rPr>
          <w:rFonts w:ascii="Calibri" w:hAnsi="Calibri"/>
        </w:rPr>
      </w:r>
    </w:p>
    <w:p>
      <w:pPr>
        <w:pStyle w:val="Normal"/>
        <w:rPr>
          <w:rFonts w:ascii="Calibri" w:hAnsi="Calibri"/>
        </w:rPr>
      </w:pPr>
      <w:r>
        <w:rPr>
          <w:rFonts w:ascii="Calibri" w:hAnsi="Calibri"/>
        </w:rPr>
      </w:r>
    </w:p>
    <w:p>
      <w:pPr>
        <w:sectPr>
          <w:type w:val="continuous"/>
          <w:pgSz w:w="11906" w:h="16838"/>
          <w:pgMar w:left="720" w:right="720" w:header="0" w:top="720" w:footer="720" w:bottom="777" w:gutter="0"/>
          <w:formProt w:val="false"/>
          <w:textDirection w:val="lrTb"/>
          <w:docGrid w:type="default" w:linePitch="240" w:charSpace="1638"/>
        </w:sectPr>
      </w:pPr>
    </w:p>
    <w:p>
      <w:pPr>
        <w:pStyle w:val="Normal"/>
        <w:rPr/>
      </w:pPr>
      <w:r>
        <w:rPr/>
      </w:r>
    </w:p>
    <w:p>
      <w:pPr>
        <w:sectPr>
          <w:type w:val="continuous"/>
          <w:pgSz w:w="11906" w:h="16838"/>
          <w:pgMar w:left="720" w:right="720" w:header="0" w:top="720" w:footer="720" w:bottom="777" w:gutter="0"/>
          <w:formProt w:val="false"/>
          <w:textDirection w:val="lrTb"/>
          <w:docGrid w:type="default" w:linePitch="240" w:charSpace="1638"/>
        </w:sectPr>
      </w:pPr>
    </w:p>
    <w:p>
      <w:pPr>
        <w:pStyle w:val="Normal"/>
        <w:rPr/>
      </w:pPr>
      <w:r>
        <w:rPr/>
      </w:r>
    </w:p>
    <w:p>
      <w:pPr>
        <w:sectPr>
          <w:type w:val="continuous"/>
          <w:pgSz w:w="11906" w:h="16838"/>
          <w:pgMar w:left="720" w:right="720" w:header="0" w:top="720" w:footer="720" w:bottom="777" w:gutter="0"/>
          <w:formProt w:val="false"/>
          <w:textDirection w:val="lrTb"/>
          <w:docGrid w:type="default" w:linePitch="240" w:charSpace="1638"/>
        </w:sectPr>
      </w:pPr>
    </w:p>
    <w:p>
      <w:pPr>
        <w:pStyle w:val="Normal"/>
        <w:rPr/>
      </w:pPr>
      <w:r>
        <w:rPr/>
      </w:r>
    </w:p>
    <w:p>
      <w:pPr>
        <w:sectPr>
          <w:type w:val="continuous"/>
          <w:pgSz w:w="11906" w:h="16838"/>
          <w:pgMar w:left="720" w:right="720" w:header="0" w:top="720" w:footer="720" w:bottom="777" w:gutter="0"/>
          <w:formProt w:val="false"/>
          <w:textDirection w:val="lrTb"/>
          <w:docGrid w:type="default" w:linePitch="240" w:charSpace="1638"/>
        </w:sectPr>
      </w:pPr>
    </w:p>
    <w:p>
      <w:pPr>
        <w:pStyle w:val="Normal"/>
        <w:rPr/>
      </w:pPr>
      <w:r>
        <w:rPr/>
      </w:r>
    </w:p>
    <w:p>
      <w:pPr>
        <w:sectPr>
          <w:type w:val="continuous"/>
          <w:pgSz w:w="11906" w:h="16838"/>
          <w:pgMar w:left="720" w:right="720" w:header="0" w:top="720" w:footer="720" w:bottom="777" w:gutter="0"/>
          <w:formProt w:val="false"/>
          <w:textDirection w:val="lrTb"/>
          <w:docGrid w:type="default" w:linePitch="240" w:charSpace="1638"/>
        </w:sectPr>
      </w:pPr>
    </w:p>
    <w:sectPr>
      <w:type w:val="continuous"/>
      <w:pgSz w:w="11906" w:h="16838"/>
      <w:pgMar w:left="720" w:right="720" w:header="0" w:top="720" w:footer="720" w:bottom="777" w:gutter="0"/>
      <w:pgNumType w:fmt="decimal"/>
      <w:formProt w:val="false"/>
      <w:textDirection w:val="lrTb"/>
      <w:docGrid w:type="default" w:linePitch="24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Tahoma">
    <w:charset w:val="01"/>
    <w:family w:val="roman"/>
    <w:pitch w:val="variable"/>
  </w:font>
  <w:font w:name="Liberation Sans">
    <w:altName w:val="Arial"/>
    <w:charset w:val="01"/>
    <w:family w:val="swiss"/>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mc:AlternateContent>
        <mc:Choice Requires="wps">
          <w:drawing>
            <wp:anchor behindDoc="1" distT="0" distB="0" distL="114300" distR="114300" simplePos="0" locked="0" layoutInCell="1" allowOverlap="1" relativeHeight="6">
              <wp:simplePos x="0" y="0"/>
              <wp:positionH relativeFrom="column">
                <wp:posOffset>223520</wp:posOffset>
              </wp:positionH>
              <wp:positionV relativeFrom="paragraph">
                <wp:posOffset>135255</wp:posOffset>
              </wp:positionV>
              <wp:extent cx="6510020" cy="3810"/>
              <wp:effectExtent l="0" t="0" r="0" b="0"/>
              <wp:wrapNone/>
              <wp:docPr id="2" name="Figura1"/>
              <a:graphic xmlns:a="http://schemas.openxmlformats.org/drawingml/2006/main">
                <a:graphicData uri="http://schemas.microsoft.com/office/word/2010/wordprocessingShape">
                  <wps:wsp>
                    <wps:cNvSpPr/>
                    <wps:spPr>
                      <a:xfrm>
                        <a:off x="0" y="0"/>
                        <a:ext cx="6509520" cy="3240"/>
                      </a:xfrm>
                      <a:custGeom>
                        <a:avLst/>
                        <a:gdLst/>
                        <a:ahLst/>
                        <a:rect l="l" t="t" r="r" b="b"/>
                        <a:pathLst>
                          <a:path w="21600" h="21600">
                            <a:moveTo>
                              <a:pt x="0" y="0"/>
                            </a:moveTo>
                            <a:lnTo>
                              <a:pt x="21600" y="21600"/>
                            </a:lnTo>
                          </a:path>
                        </a:pathLst>
                      </a:custGeom>
                      <a:noFill/>
                      <a:ln>
                        <a:solidFill>
                          <a:srgbClr val="000000"/>
                        </a:solidFill>
                      </a:ln>
                    </wps:spPr>
                    <wps:style>
                      <a:lnRef idx="0"/>
                      <a:fillRef idx="0"/>
                      <a:effectRef idx="0"/>
                      <a:fontRef idx="minor"/>
                    </wps:style>
                    <wps:bodyPr/>
                  </wps:wsp>
                </a:graphicData>
              </a:graphic>
            </wp:anchor>
          </w:drawing>
        </mc:Choice>
        <mc:Fallback>
          <w:pict/>
        </mc:Fallback>
      </mc:AlternateContent>
    </w:r>
  </w:p>
  <w:p>
    <w:pPr>
      <w:pStyle w:val="Footer"/>
      <w:jc w:val="left"/>
      <w:rPr/>
    </w:pPr>
    <w:r>
      <w:rPr>
        <w:rFonts w:ascii="Calibri" w:hAnsi="Calibri"/>
      </w:rPr>
      <w:t>Dispensa de Licitação – Dispensa Eletrônica</w:t>
      <w:tab/>
    </w:r>
    <w:r>
      <w:rPr/>
      <w:tab/>
    </w:r>
  </w:p>
  <w:p>
    <w:pPr>
      <w:pStyle w:val="Footer"/>
      <w:tabs>
        <w:tab w:val="center" w:pos="4252" w:leader="none"/>
        <w:tab w:val="left" w:pos="8076" w:leader="none"/>
        <w:tab w:val="right" w:pos="8504" w:leader="none"/>
        <w:tab w:val="right" w:pos="10466" w:leader="none"/>
      </w:tabs>
      <w:jc w:val="center"/>
      <w:rPr>
        <w:rFonts w:ascii="Calibri" w:hAnsi="Calibri"/>
        <w:sz w:val="20"/>
        <w:szCs w:val="20"/>
      </w:rPr>
    </w:pPr>
    <w:r>
      <w:rPr>
        <w:rFonts w:ascii="Calibri" w:hAnsi="Calibri"/>
        <w:sz w:val="20"/>
        <w:szCs w:val="20"/>
      </w:rPr>
      <w:fldChar w:fldCharType="begin"/>
    </w:r>
    <w:r>
      <w:rPr>
        <w:sz w:val="20"/>
        <w:szCs w:val="20"/>
        <w:rFonts w:ascii="Calibri" w:hAnsi="Calibri"/>
      </w:rPr>
      <w:instrText> PAGE </w:instrText>
    </w:r>
    <w:r>
      <w:rPr>
        <w:sz w:val="20"/>
        <w:szCs w:val="20"/>
        <w:rFonts w:ascii="Calibri" w:hAnsi="Calibri"/>
      </w:rPr>
      <w:fldChar w:fldCharType="separate"/>
    </w:r>
    <w:r>
      <w:rPr>
        <w:sz w:val="20"/>
        <w:szCs w:val="20"/>
        <w:rFonts w:ascii="Calibri" w:hAnsi="Calibri"/>
      </w:rPr>
      <w:t>5</w:t>
    </w:r>
    <w:r>
      <w:rPr>
        <w:sz w:val="20"/>
        <w:szCs w:val="20"/>
        <w:rFonts w:ascii="Calibri" w:hAnsi="Calibri"/>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1"/>
      <w:numFmt w:val="decimal"/>
      <w:lvlText w:val="%1."/>
      <w:lvlJc w:val="left"/>
      <w:pPr>
        <w:ind w:left="360" w:hanging="360"/>
      </w:pPr>
      <w:rPr>
        <w:sz w:val="22"/>
        <w:b/>
        <w:rFonts w:ascii="Calibri" w:hAnsi="Calibri"/>
      </w:rPr>
    </w:lvl>
    <w:lvl w:ilvl="1">
      <w:start w:val="1"/>
      <w:numFmt w:val="decimal"/>
      <w:lvlText w:val="%1.%2."/>
      <w:lvlJc w:val="left"/>
      <w:pPr>
        <w:ind w:left="792" w:hanging="432"/>
      </w:pPr>
    </w:lvl>
    <w:lvl w:ilvl="2">
      <w:start w:val="1"/>
      <w:numFmt w:val="decimal"/>
      <w:lvlText w:val="%1.%2.%3."/>
      <w:lvlJc w:val="left"/>
      <w:pPr>
        <w:ind w:left="1224" w:hanging="504"/>
      </w:pPr>
      <w:rPr>
        <w:i w:val="false"/>
        <w:iCs/>
        <w:rFonts w:ascii="Calibri" w:hAnsi="Calibri"/>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efaultTabStop w:val="567"/>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DejaVu Sans"/>
        <w:szCs w:val="22"/>
        <w:lang w:val="pt-BR" w:eastAsia="en-US" w:bidi="ar-SA"/>
      </w:rPr>
    </w:rPrDefault>
    <w:pPrDefault>
      <w:pPr/>
    </w:pPrDefault>
  </w:docDefaults>
  <w:style w:type="paragraph" w:styleId="Normal">
    <w:name w:val="Normal"/>
    <w:qFormat/>
    <w:pPr>
      <w:widowControl/>
      <w:kinsoku w:val="true"/>
      <w:overflowPunct w:val="true"/>
      <w:autoSpaceDE w:val="true"/>
      <w:bidi w:val="0"/>
      <w:ind w:left="357" w:right="0" w:hanging="0"/>
      <w:jc w:val="left"/>
    </w:pPr>
    <w:rPr>
      <w:rFonts w:ascii="Times New Roman" w:hAnsi="Times New Roman" w:eastAsia="Times New Roman" w:cs="Times New Roman"/>
      <w:color w:val="auto"/>
      <w:kern w:val="0"/>
      <w:sz w:val="22"/>
      <w:szCs w:val="22"/>
      <w:lang w:val="pt-BR" w:eastAsia="en-US" w:bidi="ar-SA"/>
    </w:rPr>
  </w:style>
  <w:style w:type="character" w:styleId="DefaultParagraphFont">
    <w:name w:val="Default Paragraph Font"/>
    <w:qFormat/>
    <w:rPr/>
  </w:style>
  <w:style w:type="character" w:styleId="TextodebaloChar">
    <w:name w:val="Texto de balão Char"/>
    <w:basedOn w:val="DefaultParagraphFont"/>
    <w:qFormat/>
    <w:rPr>
      <w:rFonts w:ascii="Tahoma" w:hAnsi="Tahoma" w:eastAsia="Times New Roman" w:cs="Tahoma"/>
      <w:sz w:val="16"/>
      <w:szCs w:val="16"/>
    </w:rPr>
  </w:style>
  <w:style w:type="character" w:styleId="MapadoDocumentoChar">
    <w:name w:val="Mapa do Documento Char"/>
    <w:basedOn w:val="DefaultParagraphFont"/>
    <w:qFormat/>
    <w:rPr>
      <w:rFonts w:ascii="Tahoma" w:hAnsi="Tahoma" w:eastAsia="Times New Roman" w:cs="Tahoma"/>
      <w:sz w:val="16"/>
      <w:szCs w:val="16"/>
    </w:rPr>
  </w:style>
  <w:style w:type="character" w:styleId="CabealhoChar">
    <w:name w:val="Cabeçalho Char"/>
    <w:basedOn w:val="DefaultParagraphFont"/>
    <w:qFormat/>
    <w:rPr>
      <w:rFonts w:ascii="Times New Roman" w:hAnsi="Times New Roman" w:eastAsia="Times New Roman" w:cs="Times New Roman"/>
    </w:rPr>
  </w:style>
  <w:style w:type="character" w:styleId="RodapChar">
    <w:name w:val="Rodapé Char"/>
    <w:basedOn w:val="DefaultParagraphFont"/>
    <w:qFormat/>
    <w:rPr>
      <w:rFonts w:ascii="Times New Roman" w:hAnsi="Times New Roman" w:eastAsia="Times New Roman" w:cs="Times New Roman"/>
    </w:rPr>
  </w:style>
  <w:style w:type="character" w:styleId="Linenumber">
    <w:name w:val="line number"/>
    <w:basedOn w:val="DefaultParagraphFont"/>
    <w:qFormat/>
    <w:rPr/>
  </w:style>
  <w:style w:type="character" w:styleId="LinkdaInternet">
    <w:name w:val="Link da Internet"/>
    <w:basedOn w:val="DefaultParagraphFont"/>
    <w:qFormat/>
    <w:rPr>
      <w:color w:val="0000FF"/>
      <w:u w:val="single"/>
    </w:rPr>
  </w:style>
  <w:style w:type="character" w:styleId="ListLabel1">
    <w:name w:val="ListLabel 1"/>
    <w:qFormat/>
    <w:rPr>
      <w:lang w:eastAsia="en-US" w:bidi="ar-SA"/>
    </w:rPr>
  </w:style>
  <w:style w:type="character" w:styleId="ListLabel2">
    <w:name w:val="ListLabel 2"/>
    <w:qFormat/>
    <w:rPr>
      <w:lang w:eastAsia="en-US" w:bidi="ar-SA"/>
    </w:rPr>
  </w:style>
  <w:style w:type="character" w:styleId="ListLabel3">
    <w:name w:val="ListLabel 3"/>
    <w:qFormat/>
    <w:rPr>
      <w:lang w:eastAsia="en-US" w:bidi="ar-SA"/>
    </w:rPr>
  </w:style>
  <w:style w:type="character" w:styleId="ListLabel4">
    <w:name w:val="ListLabel 4"/>
    <w:qFormat/>
    <w:rPr>
      <w:lang w:eastAsia="en-US" w:bidi="ar-SA"/>
    </w:rPr>
  </w:style>
  <w:style w:type="character" w:styleId="ListLabel5">
    <w:name w:val="ListLabel 5"/>
    <w:qFormat/>
    <w:rPr>
      <w:lang w:eastAsia="en-US" w:bidi="ar-SA"/>
    </w:rPr>
  </w:style>
  <w:style w:type="character" w:styleId="ListLabel6">
    <w:name w:val="ListLabel 6"/>
    <w:qFormat/>
    <w:rPr>
      <w:lang w:eastAsia="en-US" w:bidi="ar-SA"/>
    </w:rPr>
  </w:style>
  <w:style w:type="character" w:styleId="ListLabel7">
    <w:name w:val="ListLabel 7"/>
    <w:qFormat/>
    <w:rPr>
      <w:lang w:eastAsia="en-US" w:bidi="ar-SA"/>
    </w:rPr>
  </w:style>
  <w:style w:type="character" w:styleId="ListLabel8">
    <w:name w:val="ListLabel 8"/>
    <w:qFormat/>
    <w:rPr>
      <w:lang w:eastAsia="en-US" w:bidi="ar-SA"/>
    </w:rPr>
  </w:style>
  <w:style w:type="character" w:styleId="ListLabel9">
    <w:name w:val="ListLabel 9"/>
    <w:qFormat/>
    <w:rPr>
      <w:lang w:eastAsia="en-US" w:bidi="ar-SA"/>
    </w:rPr>
  </w:style>
  <w:style w:type="character" w:styleId="ListLabel10">
    <w:name w:val="ListLabel 10"/>
    <w:qFormat/>
    <w:rPr>
      <w:lang w:eastAsia="en-US" w:bidi="ar-SA"/>
    </w:rPr>
  </w:style>
  <w:style w:type="character" w:styleId="ListLabel11">
    <w:name w:val="ListLabel 11"/>
    <w:qFormat/>
    <w:rPr>
      <w:lang w:eastAsia="en-US" w:bidi="ar-SA"/>
    </w:rPr>
  </w:style>
  <w:style w:type="character" w:styleId="ListLabel12">
    <w:name w:val="ListLabel 12"/>
    <w:qFormat/>
    <w:rPr>
      <w:lang w:eastAsia="en-US" w:bidi="ar-SA"/>
    </w:rPr>
  </w:style>
  <w:style w:type="character" w:styleId="ListLabel13">
    <w:name w:val="ListLabel 13"/>
    <w:qFormat/>
    <w:rPr>
      <w:lang w:eastAsia="en-US" w:bidi="ar-SA"/>
    </w:rPr>
  </w:style>
  <w:style w:type="character" w:styleId="ListLabel14">
    <w:name w:val="ListLabel 14"/>
    <w:qFormat/>
    <w:rPr>
      <w:lang w:eastAsia="en-US" w:bidi="ar-SA"/>
    </w:rPr>
  </w:style>
  <w:style w:type="character" w:styleId="ListLabel15">
    <w:name w:val="ListLabel 15"/>
    <w:qFormat/>
    <w:rPr>
      <w:lang w:eastAsia="en-US" w:bidi="ar-SA"/>
    </w:rPr>
  </w:style>
  <w:style w:type="character" w:styleId="ListLabel16">
    <w:name w:val="ListLabel 16"/>
    <w:qFormat/>
    <w:rPr>
      <w:lang w:eastAsia="en-US" w:bidi="ar-SA"/>
    </w:rPr>
  </w:style>
  <w:style w:type="character" w:styleId="ListLabel17">
    <w:name w:val="ListLabel 17"/>
    <w:qFormat/>
    <w:rPr>
      <w:lang w:eastAsia="en-US" w:bidi="ar-SA"/>
    </w:rPr>
  </w:style>
  <w:style w:type="character" w:styleId="ListLabel18">
    <w:name w:val="ListLabel 18"/>
    <w:qFormat/>
    <w:rPr>
      <w:lang w:eastAsia="en-US" w:bidi="ar-SA"/>
    </w:rPr>
  </w:style>
  <w:style w:type="character" w:styleId="ListLabel19">
    <w:name w:val="ListLabel 19"/>
    <w:qFormat/>
    <w:rPr>
      <w:lang w:eastAsia="en-US" w:bidi="ar-SA"/>
    </w:rPr>
  </w:style>
  <w:style w:type="character" w:styleId="ListLabel20">
    <w:name w:val="ListLabel 20"/>
    <w:qFormat/>
    <w:rPr>
      <w:lang w:eastAsia="en-US" w:bidi="ar-SA"/>
    </w:rPr>
  </w:style>
  <w:style w:type="character" w:styleId="ListLabel21">
    <w:name w:val="ListLabel 21"/>
    <w:qFormat/>
    <w:rPr>
      <w:lang w:eastAsia="en-US" w:bidi="ar-SA"/>
    </w:rPr>
  </w:style>
  <w:style w:type="character" w:styleId="ListLabel22">
    <w:name w:val="ListLabel 22"/>
    <w:qFormat/>
    <w:rPr>
      <w:lang w:eastAsia="en-US" w:bidi="ar-SA"/>
    </w:rPr>
  </w:style>
  <w:style w:type="character" w:styleId="ListLabel23">
    <w:name w:val="ListLabel 23"/>
    <w:qFormat/>
    <w:rPr>
      <w:w w:val="105"/>
      <w:lang w:eastAsia="en-US" w:bidi="ar-SA"/>
    </w:rPr>
  </w:style>
  <w:style w:type="character" w:styleId="ListLabel24">
    <w:name w:val="ListLabel 24"/>
    <w:qFormat/>
    <w:rPr>
      <w:lang w:eastAsia="en-US" w:bidi="ar-SA"/>
    </w:rPr>
  </w:style>
  <w:style w:type="character" w:styleId="ListLabel25">
    <w:name w:val="ListLabel 25"/>
    <w:qFormat/>
    <w:rPr>
      <w:lang w:eastAsia="en-US" w:bidi="ar-SA"/>
    </w:rPr>
  </w:style>
  <w:style w:type="character" w:styleId="ListLabel26">
    <w:name w:val="ListLabel 26"/>
    <w:qFormat/>
    <w:rPr>
      <w:lang w:eastAsia="en-US" w:bidi="ar-SA"/>
    </w:rPr>
  </w:style>
  <w:style w:type="character" w:styleId="ListLabel27">
    <w:name w:val="ListLabel 27"/>
    <w:qFormat/>
    <w:rPr>
      <w:lang w:eastAsia="en-US" w:bidi="ar-SA"/>
    </w:rPr>
  </w:style>
  <w:style w:type="character" w:styleId="ListLabel28">
    <w:name w:val="ListLabel 28"/>
    <w:qFormat/>
    <w:rPr>
      <w:lang w:eastAsia="en-US" w:bidi="ar-SA"/>
    </w:rPr>
  </w:style>
  <w:style w:type="character" w:styleId="ListLabel29">
    <w:name w:val="ListLabel 29"/>
    <w:qFormat/>
    <w:rPr>
      <w:lang w:eastAsia="en-US" w:bidi="ar-SA"/>
    </w:rPr>
  </w:style>
  <w:style w:type="character" w:styleId="ListLabel30">
    <w:name w:val="ListLabel 30"/>
    <w:qFormat/>
    <w:rPr>
      <w:lang w:eastAsia="en-US" w:bidi="ar-SA"/>
    </w:rPr>
  </w:style>
  <w:style w:type="character" w:styleId="ListLabel31">
    <w:name w:val="ListLabel 31"/>
    <w:qFormat/>
    <w:rPr>
      <w:lang w:eastAsia="en-US" w:bidi="ar-SA"/>
    </w:rPr>
  </w:style>
  <w:style w:type="character" w:styleId="ListLabel32">
    <w:name w:val="ListLabel 32"/>
    <w:qFormat/>
    <w:rPr>
      <w:lang w:eastAsia="en-US" w:bidi="ar-SA"/>
    </w:rPr>
  </w:style>
  <w:style w:type="character" w:styleId="ListLabel33">
    <w:name w:val="ListLabel 33"/>
    <w:qFormat/>
    <w:rPr>
      <w:lang w:eastAsia="en-US" w:bidi="ar-SA"/>
    </w:rPr>
  </w:style>
  <w:style w:type="character" w:styleId="ListLabel34">
    <w:name w:val="ListLabel 34"/>
    <w:qFormat/>
    <w:rPr>
      <w:lang w:eastAsia="en-US" w:bidi="ar-SA"/>
    </w:rPr>
  </w:style>
  <w:style w:type="character" w:styleId="ListLabel35">
    <w:name w:val="ListLabel 35"/>
    <w:qFormat/>
    <w:rPr>
      <w:lang w:eastAsia="en-US" w:bidi="ar-SA"/>
    </w:rPr>
  </w:style>
  <w:style w:type="character" w:styleId="ListLabel36">
    <w:name w:val="ListLabel 36"/>
    <w:qFormat/>
    <w:rPr>
      <w:lang w:eastAsia="en-US" w:bidi="ar-SA"/>
    </w:rPr>
  </w:style>
  <w:style w:type="character" w:styleId="ListLabel37">
    <w:name w:val="ListLabel 37"/>
    <w:qFormat/>
    <w:rPr>
      <w:lang w:eastAsia="en-US" w:bidi="ar-SA"/>
    </w:rPr>
  </w:style>
  <w:style w:type="character" w:styleId="ListLabel38">
    <w:name w:val="ListLabel 38"/>
    <w:qFormat/>
    <w:rPr>
      <w:lang w:eastAsia="en-US" w:bidi="ar-SA"/>
    </w:rPr>
  </w:style>
  <w:style w:type="character" w:styleId="ListLabel39">
    <w:name w:val="ListLabel 39"/>
    <w:qFormat/>
    <w:rPr>
      <w:lang w:eastAsia="en-US" w:bidi="ar-SA"/>
    </w:rPr>
  </w:style>
  <w:style w:type="character" w:styleId="ListLabel40">
    <w:name w:val="ListLabel 40"/>
    <w:qFormat/>
    <w:rPr>
      <w:lang w:eastAsia="en-US" w:bidi="ar-SA"/>
    </w:rPr>
  </w:style>
  <w:style w:type="character" w:styleId="ListLabel41">
    <w:name w:val="ListLabel 41"/>
    <w:qFormat/>
    <w:rPr>
      <w:lang w:eastAsia="en-US" w:bidi="ar-SA"/>
    </w:rPr>
  </w:style>
  <w:style w:type="character" w:styleId="ListLabel42">
    <w:name w:val="ListLabel 42"/>
    <w:qFormat/>
    <w:rPr>
      <w:lang w:eastAsia="en-US" w:bidi="ar-SA"/>
    </w:rPr>
  </w:style>
  <w:style w:type="character" w:styleId="ListLabel43">
    <w:name w:val="ListLabel 43"/>
    <w:qFormat/>
    <w:rPr>
      <w:lang w:eastAsia="en-US" w:bidi="ar-SA"/>
    </w:rPr>
  </w:style>
  <w:style w:type="character" w:styleId="ListLabel44">
    <w:name w:val="ListLabel 44"/>
    <w:qFormat/>
    <w:rPr>
      <w:lang w:eastAsia="en-US" w:bidi="ar-SA"/>
    </w:rPr>
  </w:style>
  <w:style w:type="character" w:styleId="ListLabel45">
    <w:name w:val="ListLabel 45"/>
    <w:qFormat/>
    <w:rPr>
      <w:lang w:eastAsia="en-US" w:bidi="ar-SA"/>
    </w:rPr>
  </w:style>
  <w:style w:type="character" w:styleId="ListLabel46">
    <w:name w:val="ListLabel 46"/>
    <w:qFormat/>
    <w:rPr>
      <w:w w:val="109"/>
      <w:lang w:eastAsia="en-US" w:bidi="ar-SA"/>
    </w:rPr>
  </w:style>
  <w:style w:type="character" w:styleId="ListLabel47">
    <w:name w:val="ListLabel 47"/>
    <w:qFormat/>
    <w:rPr>
      <w:lang w:eastAsia="en-US" w:bidi="ar-SA"/>
    </w:rPr>
  </w:style>
  <w:style w:type="character" w:styleId="ListLabel48">
    <w:name w:val="ListLabel 48"/>
    <w:qFormat/>
    <w:rPr>
      <w:lang w:eastAsia="en-US" w:bidi="ar-SA"/>
    </w:rPr>
  </w:style>
  <w:style w:type="character" w:styleId="ListLabel49">
    <w:name w:val="ListLabel 49"/>
    <w:qFormat/>
    <w:rPr>
      <w:lang w:eastAsia="en-US" w:bidi="ar-SA"/>
    </w:rPr>
  </w:style>
  <w:style w:type="character" w:styleId="ListLabel50">
    <w:name w:val="ListLabel 50"/>
    <w:qFormat/>
    <w:rPr>
      <w:lang w:eastAsia="en-US" w:bidi="ar-SA"/>
    </w:rPr>
  </w:style>
  <w:style w:type="character" w:styleId="ListLabel51">
    <w:name w:val="ListLabel 51"/>
    <w:qFormat/>
    <w:rPr>
      <w:lang w:eastAsia="en-US" w:bidi="ar-SA"/>
    </w:rPr>
  </w:style>
  <w:style w:type="character" w:styleId="ListLabel52">
    <w:name w:val="ListLabel 52"/>
    <w:qFormat/>
    <w:rPr>
      <w:lang w:eastAsia="en-US" w:bidi="ar-SA"/>
    </w:rPr>
  </w:style>
  <w:style w:type="character" w:styleId="ListLabel53">
    <w:name w:val="ListLabel 53"/>
    <w:qFormat/>
    <w:rPr>
      <w:lang w:eastAsia="en-US" w:bidi="ar-SA"/>
    </w:rPr>
  </w:style>
  <w:style w:type="character" w:styleId="ListLabel54">
    <w:name w:val="ListLabel 54"/>
    <w:qFormat/>
    <w:rPr>
      <w:b/>
    </w:rPr>
  </w:style>
  <w:style w:type="character" w:styleId="ListLabel55">
    <w:name w:val="ListLabel 55"/>
    <w:qFormat/>
    <w:rPr>
      <w:b/>
      <w:sz w:val="22"/>
    </w:rPr>
  </w:style>
  <w:style w:type="character" w:styleId="UnresolvedMention">
    <w:name w:val="Unresolved Mention"/>
    <w:basedOn w:val="DefaultParagraphFont"/>
    <w:qFormat/>
    <w:rPr>
      <w:color w:val="605E5C"/>
      <w:highlight w:val="lightGray"/>
    </w:rPr>
  </w:style>
  <w:style w:type="character" w:styleId="ListLabel56">
    <w:name w:val="ListLabel 56"/>
    <w:qFormat/>
    <w:rPr>
      <w:b/>
      <w:sz w:val="22"/>
    </w:rPr>
  </w:style>
  <w:style w:type="character" w:styleId="ListLabel57">
    <w:name w:val="ListLabel 57"/>
    <w:qFormat/>
    <w:rPr>
      <w:i w:val="false"/>
      <w:iCs/>
    </w:rPr>
  </w:style>
  <w:style w:type="character" w:styleId="ListLabel58">
    <w:name w:val="ListLabel 58"/>
    <w:qFormat/>
    <w:rPr>
      <w:bCs/>
      <w:i/>
      <w:iCs/>
    </w:rPr>
  </w:style>
  <w:style w:type="character" w:styleId="ListLabel59">
    <w:name w:val="ListLabel 59"/>
    <w:qFormat/>
    <w:rPr/>
  </w:style>
  <w:style w:type="character" w:styleId="ListLabel60">
    <w:name w:val="ListLabel 60"/>
    <w:qFormat/>
    <w:rPr>
      <w:color w:val="auto"/>
    </w:rPr>
  </w:style>
  <w:style w:type="character" w:styleId="Smbolosdenumerao">
    <w:name w:val="Símbolos de numeração"/>
    <w:qFormat/>
    <w:rPr>
      <w:rFonts w:ascii="Calibri" w:hAnsi="Calibri"/>
    </w:rPr>
  </w:style>
  <w:style w:type="character" w:styleId="Fontepargpadro">
    <w:name w:val="Fonte parág. padrão"/>
    <w:qFormat/>
    <w:rPr/>
  </w:style>
  <w:style w:type="character" w:styleId="ListLabel61">
    <w:name w:val="ListLabel 61"/>
    <w:qFormat/>
    <w:rPr>
      <w:rFonts w:ascii="Calibri" w:hAnsi="Calibri"/>
      <w:b/>
      <w:sz w:val="22"/>
    </w:rPr>
  </w:style>
  <w:style w:type="character" w:styleId="ListLabel62">
    <w:name w:val="ListLabel 62"/>
    <w:qFormat/>
    <w:rPr>
      <w:rFonts w:ascii="Calibri" w:hAnsi="Calibri"/>
      <w:i w:val="false"/>
      <w:iCs/>
    </w:rPr>
  </w:style>
  <w:style w:type="character" w:styleId="ListLabel63">
    <w:name w:val="ListLabel 63"/>
    <w:qFormat/>
    <w:rPr>
      <w:rFonts w:ascii="Calibri" w:hAnsi="Calibri"/>
      <w:i/>
      <w:iCs/>
    </w:rPr>
  </w:style>
  <w:style w:type="character" w:styleId="ListLabel64">
    <w:name w:val="ListLabel 64"/>
    <w:qFormat/>
    <w:rPr>
      <w:rFonts w:ascii="Calibri" w:hAnsi="Calibri"/>
    </w:rPr>
  </w:style>
  <w:style w:type="character" w:styleId="ListLabel65">
    <w:name w:val="ListLabel 65"/>
    <w:qFormat/>
    <w:rPr>
      <w:rFonts w:ascii="Calibri" w:hAnsi="Calibri"/>
      <w:b/>
      <w:sz w:val="22"/>
    </w:rPr>
  </w:style>
  <w:style w:type="character" w:styleId="ListLabel66">
    <w:name w:val="ListLabel 66"/>
    <w:qFormat/>
    <w:rPr>
      <w:rFonts w:ascii="Calibri" w:hAnsi="Calibri"/>
      <w:i w:val="false"/>
      <w:iCs/>
    </w:rPr>
  </w:style>
  <w:style w:type="character" w:styleId="ListLabel67">
    <w:name w:val="ListLabel 67"/>
    <w:qFormat/>
    <w:rPr>
      <w:rFonts w:ascii="Calibri" w:hAnsi="Calibri"/>
      <w:i/>
      <w:iCs/>
    </w:rPr>
  </w:style>
  <w:style w:type="character" w:styleId="ListLabel68">
    <w:name w:val="ListLabel 68"/>
    <w:qFormat/>
    <w:rPr>
      <w:rFonts w:ascii="Calibri" w:hAnsi="Calibri"/>
    </w:rPr>
  </w:style>
  <w:style w:type="character" w:styleId="ListLabel69">
    <w:name w:val="ListLabel 69"/>
    <w:qFormat/>
    <w:rPr>
      <w:rFonts w:ascii="Calibri" w:hAnsi="Calibri"/>
      <w:b/>
      <w:sz w:val="22"/>
    </w:rPr>
  </w:style>
  <w:style w:type="character" w:styleId="ListLabel70">
    <w:name w:val="ListLabel 70"/>
    <w:qFormat/>
    <w:rPr>
      <w:rFonts w:ascii="Calibri" w:hAnsi="Calibri"/>
      <w:i w:val="false"/>
      <w:iCs/>
    </w:rPr>
  </w:style>
  <w:style w:type="character" w:styleId="ListLabel71">
    <w:name w:val="ListLabel 71"/>
    <w:qFormat/>
    <w:rPr>
      <w:rFonts w:ascii="Calibri" w:hAnsi="Calibri"/>
      <w:i/>
      <w:iCs/>
    </w:rPr>
  </w:style>
  <w:style w:type="character" w:styleId="ListLabel72">
    <w:name w:val="ListLabel 72"/>
    <w:qFormat/>
    <w:rPr>
      <w:rFonts w:ascii="Calibri" w:hAnsi="Calibri"/>
    </w:rPr>
  </w:style>
  <w:style w:type="character" w:styleId="ListLabel73">
    <w:name w:val="ListLabel 73"/>
    <w:qFormat/>
    <w:rPr>
      <w:rFonts w:ascii="Calibri" w:hAnsi="Calibri"/>
      <w:b/>
      <w:sz w:val="22"/>
    </w:rPr>
  </w:style>
  <w:style w:type="character" w:styleId="ListLabel74">
    <w:name w:val="ListLabel 74"/>
    <w:qFormat/>
    <w:rPr>
      <w:rFonts w:ascii="Calibri" w:hAnsi="Calibri"/>
      <w:i w:val="false"/>
      <w:iCs/>
    </w:rPr>
  </w:style>
  <w:style w:type="character" w:styleId="ListLabel75">
    <w:name w:val="ListLabel 75"/>
    <w:qFormat/>
    <w:rPr>
      <w:rFonts w:ascii="Calibri" w:hAnsi="Calibri"/>
      <w:i/>
      <w:iCs/>
    </w:rPr>
  </w:style>
  <w:style w:type="character" w:styleId="InternetLink">
    <w:name w:val="Internet Link"/>
    <w:rPr>
      <w:color w:val="000080"/>
      <w:u w:val="single"/>
      <w:lang w:val="zxx" w:eastAsia="zxx" w:bidi="zxx"/>
    </w:rPr>
  </w:style>
  <w:style w:type="character" w:styleId="ListLabel76">
    <w:name w:val="ListLabel 76"/>
    <w:qFormat/>
    <w:rPr>
      <w:rFonts w:ascii="Calibri" w:hAnsi="Calibri"/>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Ttulo">
    <w:name w:val="Título"/>
    <w:basedOn w:val="Normal"/>
    <w:qFormat/>
    <w:pPr>
      <w:keepNext w:val="true"/>
      <w:spacing w:before="240" w:after="120"/>
    </w:pPr>
    <w:rPr>
      <w:rFonts w:ascii="Liberation Sans" w:hAnsi="Liberation Sans" w:eastAsia="Noto Sans CJK SC" w:cs="Lohit Devanagari"/>
      <w:sz w:val="28"/>
      <w:szCs w:val="28"/>
    </w:rPr>
  </w:style>
  <w:style w:type="paragraph" w:styleId="Ndice">
    <w:name w:val="Índice"/>
    <w:basedOn w:val="Normal"/>
    <w:qFormat/>
    <w:pPr>
      <w:suppressLineNumbers/>
    </w:pPr>
    <w:rPr>
      <w:rFonts w:cs="Lucida Sans"/>
    </w:rPr>
  </w:style>
  <w:style w:type="paragraph" w:styleId="Ttulo11">
    <w:name w:val="Título 11"/>
    <w:basedOn w:val="Normal"/>
    <w:qFormat/>
    <w:pPr>
      <w:numPr>
        <w:ilvl w:val="0"/>
        <w:numId w:val="0"/>
      </w:numPr>
      <w:ind w:left="103" w:right="0" w:hanging="0"/>
      <w:outlineLvl w:val="1"/>
    </w:pPr>
    <w:rPr>
      <w:sz w:val="23"/>
      <w:szCs w:val="23"/>
    </w:rPr>
  </w:style>
  <w:style w:type="paragraph" w:styleId="Title">
    <w:name w:val="Title"/>
    <w:basedOn w:val="Normal"/>
    <w:qFormat/>
    <w:pPr>
      <w:keepNext w:val="true"/>
      <w:spacing w:before="240" w:after="120"/>
    </w:pPr>
    <w:rPr>
      <w:rFonts w:ascii="Liberation Sans" w:hAnsi="Liberation Sans" w:eastAsia="Microsoft YaHei" w:cs="Lucida Sans"/>
      <w:sz w:val="28"/>
      <w:szCs w:val="28"/>
    </w:rPr>
  </w:style>
  <w:style w:type="paragraph" w:styleId="Caption1">
    <w:name w:val="caption"/>
    <w:basedOn w:val="Normal"/>
    <w:qFormat/>
    <w:pPr>
      <w:suppressLineNumbers/>
      <w:spacing w:before="120" w:after="120"/>
    </w:pPr>
    <w:rPr>
      <w:rFonts w:cs="Lucida Sans"/>
      <w:i/>
      <w:iCs/>
      <w:sz w:val="24"/>
      <w:szCs w:val="24"/>
    </w:rPr>
  </w:style>
  <w:style w:type="paragraph" w:styleId="ListParagraph">
    <w:name w:val="List Paragraph"/>
    <w:basedOn w:val="Normal"/>
    <w:qFormat/>
    <w:pPr>
      <w:ind w:left="859" w:right="0" w:hanging="732"/>
    </w:pPr>
    <w:rPr/>
  </w:style>
  <w:style w:type="paragraph" w:styleId="TableParagraph">
    <w:name w:val="Table Paragraph"/>
    <w:basedOn w:val="Normal"/>
    <w:qFormat/>
    <w:pPr/>
    <w:rPr>
      <w:rFonts w:ascii="Calibri" w:hAnsi="Calibri" w:eastAsia="Calibri" w:cs="Calibri"/>
    </w:rPr>
  </w:style>
  <w:style w:type="paragraph" w:styleId="BalloonText">
    <w:name w:val="Balloon Text"/>
    <w:basedOn w:val="Normal"/>
    <w:qFormat/>
    <w:pPr/>
    <w:rPr>
      <w:rFonts w:ascii="Tahoma" w:hAnsi="Tahoma" w:cs="Tahoma"/>
      <w:sz w:val="16"/>
      <w:szCs w:val="16"/>
    </w:rPr>
  </w:style>
  <w:style w:type="paragraph" w:styleId="DocumentMap">
    <w:name w:val="Document Map"/>
    <w:basedOn w:val="Normal"/>
    <w:qFormat/>
    <w:pPr/>
    <w:rPr>
      <w:rFonts w:ascii="Tahoma" w:hAnsi="Tahoma" w:cs="Tahoma"/>
      <w:sz w:val="16"/>
      <w:szCs w:val="16"/>
    </w:rPr>
  </w:style>
  <w:style w:type="paragraph" w:styleId="Header">
    <w:name w:val="Header"/>
    <w:basedOn w:val="Normal"/>
    <w:pPr>
      <w:tabs>
        <w:tab w:val="center" w:pos="4252" w:leader="none"/>
        <w:tab w:val="right" w:pos="8504" w:leader="none"/>
      </w:tabs>
    </w:pPr>
    <w:rPr/>
  </w:style>
  <w:style w:type="paragraph" w:styleId="Footer">
    <w:name w:val="Footer"/>
    <w:basedOn w:val="Normal"/>
    <w:pPr>
      <w:tabs>
        <w:tab w:val="center" w:pos="4252" w:leader="none"/>
        <w:tab w:val="right" w:pos="8504" w:leader="none"/>
      </w:tabs>
    </w:pPr>
    <w:rPr/>
  </w:style>
  <w:style w:type="paragraph" w:styleId="Contedodatabela">
    <w:name w:val="Conteúdo da tabela"/>
    <w:basedOn w:val="Normal"/>
    <w:qFormat/>
    <w:pPr/>
    <w:rPr/>
  </w:style>
  <w:style w:type="paragraph" w:styleId="Standard">
    <w:name w:val="Standard"/>
    <w:qFormat/>
    <w:pPr>
      <w:widowControl/>
      <w:suppressAutoHyphens w:val="true"/>
      <w:kinsoku w:val="true"/>
      <w:overflowPunct w:val="true"/>
      <w:autoSpaceDE w:val="true"/>
      <w:bidi w:val="0"/>
      <w:spacing w:lineRule="auto" w:line="259" w:before="0" w:after="160"/>
      <w:jc w:val="left"/>
      <w:textAlignment w:val="baseline"/>
    </w:pPr>
    <w:rPr>
      <w:rFonts w:ascii="Calibri" w:hAnsi="Calibri" w:eastAsia="Calibri" w:cs="DejaVu Sans"/>
      <w:color w:val="auto"/>
      <w:kern w:val="0"/>
      <w:sz w:val="22"/>
      <w:szCs w:val="22"/>
      <w:lang w:val="pt-BR" w:eastAsia="en-US" w:bidi="ar-SA"/>
    </w:rPr>
  </w:style>
  <w:style w:type="paragraph" w:styleId="TableContents">
    <w:name w:val="Table Contents"/>
    <w:basedOn w:val="Normal"/>
    <w:qFormat/>
    <w:pPr>
      <w:suppressLineNumbers/>
    </w:pPr>
    <w:rPr/>
  </w:style>
  <w:style w:type="numbering" w:styleId="NoList">
    <w:name w:val="No List"/>
    <w:qFormat/>
  </w:style>
  <w:style w:type="numbering" w:styleId="Estilo1">
    <w:name w:val="Estil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hyperlink" Target="mailto:salc4bavex@gmail.com,"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867</TotalTime>
  <Application>LibreOffice/6.0.7.3$Linux_X86_64 LibreOffice_project/00m0$Build-3</Application>
  <Pages>5</Pages>
  <Words>2114</Words>
  <Characters>11660</Characters>
  <CharactersWithSpaces>13682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2021-08-10T18:02:00Z</dcterms:created>
  <dc:creator>4º BAvEx Selva</dc:creator>
  <dc:description/>
  <dc:language>pt-BR</dc:language>
  <cp:lastModifiedBy/>
  <cp:lastPrinted>2022-01-14T10:29:15Z</cp:lastPrinted>
  <dcterms:modified xsi:type="dcterms:W3CDTF">2022-01-14T14:40:01Z</dcterms:modified>
  <cp:revision>78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reated">
    <vt:filetime>2021-08-10T00:00:00Z</vt:filetime>
  </property>
  <property fmtid="{D5CDD505-2E9C-101B-9397-08002B2CF9AE}" pid="4" name="DocSecurity">
    <vt:i4>0</vt:i4>
  </property>
  <property fmtid="{D5CDD505-2E9C-101B-9397-08002B2CF9AE}" pid="5" name="HyperlinksChanged">
    <vt:bool>0</vt:bool>
  </property>
  <property fmtid="{D5CDD505-2E9C-101B-9397-08002B2CF9AE}" pid="6" name="LastSaved">
    <vt:filetime>2021-08-10T00:00:00Z</vt:filetime>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