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cs="Calibri" w:cstheme="minorHAnsi"/>
          <w:b/>
          <w:b/>
          <w:bCs/>
          <w:sz w:val="24"/>
          <w:szCs w:val="24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136525</wp:posOffset>
            </wp:positionV>
            <wp:extent cx="719455" cy="719455"/>
            <wp:effectExtent l="0" t="0" r="0" b="0"/>
            <wp:wrapTopAndBottom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Calibri" w:cstheme="minorHAnsi"/>
          <w:b/>
          <w:bCs/>
          <w:sz w:val="24"/>
          <w:szCs w:val="24"/>
        </w:rPr>
        <w:t>MARINHA DO BRASIL</w:t>
      </w:r>
    </w:p>
    <w:p>
      <w:pPr>
        <w:pStyle w:val="Normal"/>
        <w:spacing w:lineRule="auto" w:line="240" w:before="0" w:after="0"/>
        <w:jc w:val="center"/>
        <w:rPr>
          <w:rFonts w:cs="Calibri" w:cstheme="minorHAnsi"/>
          <w:b/>
          <w:b/>
          <w:bCs/>
          <w:color w:val="000000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  <w:shd w:fill="FFFFFF" w:val="clear"/>
        </w:rPr>
        <w:t>HOSPITAL NAVAL MARCÍLIO DIAS</w:t>
      </w:r>
    </w:p>
    <w:p>
      <w:pPr>
        <w:pStyle w:val="Normal"/>
        <w:spacing w:lineRule="auto" w:line="240" w:before="0" w:after="0"/>
        <w:jc w:val="center"/>
        <w:rPr>
          <w:rFonts w:cs="Calibri" w:cstheme="minorHAnsi"/>
          <w:b/>
          <w:b/>
          <w:bCs/>
          <w:color w:val="000000"/>
          <w:sz w:val="24"/>
          <w:szCs w:val="24"/>
          <w:highlight w:val="yellow"/>
        </w:rPr>
      </w:pPr>
      <w:r>
        <w:rPr>
          <w:rFonts w:cs="Calibri" w:cstheme="minorHAnsi"/>
          <w:b/>
          <w:bCs/>
          <w:color w:val="000000"/>
          <w:sz w:val="24"/>
          <w:szCs w:val="24"/>
          <w:shd w:fill="FFFFFF" w:val="clear"/>
        </w:rPr>
        <w:t>CLINICA DE GASTROENTEROLOGIA</w:t>
      </w:r>
    </w:p>
    <w:p>
      <w:pPr>
        <w:pStyle w:val="Normal"/>
        <w:spacing w:before="0" w:after="0"/>
        <w:jc w:val="center"/>
        <w:rPr>
          <w:rFonts w:cs="Calibri" w:cstheme="minorHAnsi"/>
          <w:b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  <w:t xml:space="preserve">ESTUDO TÉCNICO PRELIMINAR DE ACORDO COM A IN 5/2017, 40/2020 e 58/2022 </w:t>
      </w:r>
    </w:p>
    <w:p>
      <w:pPr>
        <w:pStyle w:val="Normal"/>
        <w:shd w:val="clear" w:color="auto" w:fill="FFFFFF"/>
        <w:spacing w:before="0" w:after="0"/>
        <w:jc w:val="center"/>
        <w:textAlignment w:val="baseline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tbl>
      <w:tblPr>
        <w:tblStyle w:val="Tabelacomgrade"/>
        <w:tblW w:w="10329" w:type="dxa"/>
        <w:jc w:val="left"/>
        <w:tblInd w:w="-445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10329"/>
      </w:tblGrid>
      <w:tr>
        <w:trPr/>
        <w:tc>
          <w:tcPr>
            <w:tcW w:w="10329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Contedodatabela"/>
              <w:widowControl w:val="false"/>
              <w:suppressAutoHyphens w:val="true"/>
              <w:spacing w:before="0" w:after="0"/>
              <w:ind w:left="39" w:hanging="39"/>
              <w:jc w:val="center"/>
              <w:rPr>
                <w:rFonts w:ascii="Liberation Serif" w:hAnsi="Liberation Serif" w:eastAsia="Calibri" w:cs="Calibri" w:cstheme="minorHAnsi"/>
                <w:b/>
                <w:b/>
                <w:color w:val="000000" w:themeColor="text1"/>
                <w:sz w:val="24"/>
                <w:szCs w:val="24"/>
                <w:lang w:eastAsia="zh-CN" w:bidi="hi-IN"/>
              </w:rPr>
            </w:pPr>
            <w:r>
              <w:rPr>
                <w:rFonts w:eastAsia="NSimSun" w:cs="Calibri" w:ascii="Liberation Serif" w:hAnsi="Liberation Serif" w:cstheme="minorHAnsi"/>
                <w:b/>
                <w:bCs/>
                <w:color w:val="000000" w:themeColor="text1"/>
                <w:kern w:val="0"/>
                <w:sz w:val="24"/>
                <w:szCs w:val="24"/>
                <w:lang w:val="pt-BR" w:eastAsia="zh-CN" w:bidi="hi-IN"/>
              </w:rPr>
              <w:t>I – N</w:t>
            </w:r>
            <w:r>
              <w:rPr>
                <w:rFonts w:eastAsia="NSimSun" w:cs="Calibri" w:ascii="Liberation Serif" w:hAnsi="Liberation Serif" w:cstheme="minorHAnsi"/>
                <w:b/>
                <w:color w:val="000000" w:themeColor="text1"/>
                <w:kern w:val="0"/>
                <w:sz w:val="24"/>
                <w:szCs w:val="24"/>
                <w:lang w:val="pt-BR" w:eastAsia="zh-CN" w:bidi="hi-IN"/>
              </w:rPr>
              <w:t>ecessidade da co</w:t>
            </w:r>
            <w:r>
              <w:rPr>
                <w:rFonts w:eastAsia="Calibri" w:cs="Calibri" w:ascii="Liberation Serif" w:hAnsi="Liberation Serif" w:cstheme="minorHAnsi"/>
                <w:b/>
                <w:color w:val="000000" w:themeColor="text1"/>
                <w:kern w:val="0"/>
                <w:sz w:val="24"/>
                <w:szCs w:val="24"/>
                <w:lang w:val="pt-BR" w:eastAsia="zh-CN" w:bidi="hi-IN"/>
              </w:rPr>
              <w:t>ntratação</w:t>
            </w:r>
          </w:p>
        </w:tc>
      </w:tr>
      <w:tr>
        <w:trPr/>
        <w:tc>
          <w:tcPr>
            <w:tcW w:w="10329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39" w:firstLine="425"/>
              <w:jc w:val="both"/>
              <w:rPr>
                <w:rFonts w:cs="Calibri" w:cstheme="minorHAnsi"/>
                <w:kern w:val="0"/>
                <w:sz w:val="24"/>
                <w:szCs w:val="24"/>
                <w:lang w:val="pt-BR"/>
              </w:rPr>
            </w:pPr>
            <w:r>
              <w:rPr>
                <w:rFonts w:cs="Calibri" w:cstheme="minorHAnsi"/>
                <w:kern w:val="0"/>
                <w:sz w:val="20"/>
                <w:szCs w:val="24"/>
                <w:lang w:val="pt-B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360" w:before="0" w:after="0"/>
              <w:ind w:left="57" w:right="0" w:firstLine="227"/>
              <w:jc w:val="both"/>
              <w:rPr/>
            </w:pPr>
            <w:r>
              <w:rPr>
                <w:rFonts w:cs="Calibri" w:cstheme="minorHAnsi"/>
                <w:kern w:val="0"/>
                <w:sz w:val="24"/>
                <w:szCs w:val="24"/>
                <w:lang w:val="pt-BR"/>
              </w:rPr>
              <w:t>O setor de Gastroenterologia do HNMD (Hospital Naval Marcílio Dias) que pertence ao nível terciária de saúde, oferece para a família naval diversos tratamentos tais como: colocação de  gastrostomia, colonoscopia, endoscopia, ecoendoscopia, enteroscopia e temos atendimento ambulatoriais no qual há   consultas ambulatoriais para  doenças intestinais inflamatórias, tratamento de doença do fígado e doenças do pâncreas.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29"/>
              <w:ind w:left="57" w:right="0" w:firstLine="170"/>
              <w:jc w:val="both"/>
              <w:rPr/>
            </w:pPr>
            <w:r>
              <w:rPr>
                <w:rFonts w:cs="Calibri" w:cstheme="minorHAnsi"/>
                <w:kern w:val="0"/>
                <w:sz w:val="24"/>
                <w:szCs w:val="24"/>
                <w:lang w:val="pt-BR"/>
              </w:rPr>
              <w:t>A clínica realizou 349 no mês de novembro tais como: colonoscopia, endoscopia, enteroscopia, ecoendoscopia. Com o uso ininterrupto dos equipamentos, consequentemente houve  um desgate das peças, mesmo manipulando com o total cuidado necessário.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86"/>
              <w:ind w:left="57" w:right="0" w:firstLine="170"/>
              <w:jc w:val="both"/>
              <w:rPr>
                <w:rFonts w:ascii="Calibri" w:hAnsi="Calibri"/>
              </w:rPr>
            </w:pPr>
            <w:r>
              <w:rPr>
                <w:rFonts w:cs="Calibri" w:cstheme="minorHAnsi"/>
                <w:kern w:val="0"/>
                <w:sz w:val="24"/>
                <w:szCs w:val="24"/>
                <w:lang w:val="pt-BR"/>
              </w:rPr>
              <w:t xml:space="preserve">Os equipamentos </w:t>
            </w:r>
            <w:r>
              <w:rPr>
                <w:rFonts w:eastAsia="Calibri" w:cs="Calibri" w:cstheme="minorHAnsi"/>
                <w:color w:val="00000A"/>
                <w:kern w:val="0"/>
                <w:sz w:val="24"/>
                <w:szCs w:val="24"/>
                <w:lang w:val="pt-BR" w:eastAsia="en-US" w:bidi="ar-SA"/>
              </w:rPr>
              <w:t>existente no setor</w:t>
            </w:r>
            <w:r>
              <w:rPr>
                <w:rFonts w:cs="Calibri" w:cstheme="minorHAnsi"/>
                <w:kern w:val="0"/>
                <w:sz w:val="24"/>
                <w:szCs w:val="24"/>
                <w:lang w:val="pt-BR"/>
              </w:rPr>
              <w:t xml:space="preserve"> são de alta complexidade que exigem uma mão de obra especializada e peças originais a fim mantê-los com em pleno funcionamento.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86"/>
              <w:ind w:left="57" w:right="0" w:firstLine="113"/>
              <w:jc w:val="both"/>
              <w:rPr>
                <w:rFonts w:ascii="Calibri" w:hAnsi="Calibri"/>
              </w:rPr>
            </w:pPr>
            <w:r>
              <w:rPr/>
            </w:r>
          </w:p>
        </w:tc>
      </w:tr>
      <w:tr>
        <w:trPr/>
        <w:tc>
          <w:tcPr>
            <w:tcW w:w="10329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Contedodatabela"/>
              <w:widowControl w:val="false"/>
              <w:suppressAutoHyphens w:val="true"/>
              <w:spacing w:before="0" w:after="0"/>
              <w:ind w:left="39" w:firstLine="851"/>
              <w:jc w:val="center"/>
              <w:rPr>
                <w:rFonts w:ascii="Liberation Serif" w:hAnsi="Liberation Serif" w:eastAsia="NSimSun" w:cs="Calibri" w:cstheme="minorHAnsi"/>
                <w:b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eastAsia="NSimSun" w:cs="Calibri" w:cstheme="minorHAnsi" w:ascii="Liberation Serif" w:hAnsi="Liberation Serif"/>
                <w:b/>
                <w:color w:val="000000"/>
                <w:kern w:val="0"/>
                <w:sz w:val="20"/>
                <w:szCs w:val="24"/>
                <w:lang w:val="pt-BR" w:eastAsia="zh-CN" w:bidi="hi-IN"/>
              </w:rPr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ind w:left="39" w:firstLine="851"/>
              <w:jc w:val="center"/>
              <w:rPr>
                <w:rFonts w:cs="Calibri" w:cstheme="minorHAnsi"/>
                <w:b/>
                <w:b/>
                <w:color w:val="000000"/>
                <w:sz w:val="24"/>
                <w:szCs w:val="24"/>
              </w:rPr>
            </w:pPr>
            <w:r>
              <w:rPr>
                <w:rFonts w:eastAsia="NSimSun" w:cs="Calibri" w:ascii="Liberation Serif" w:hAnsi="Liberation Serif" w:cstheme="minorHAnsi"/>
                <w:b/>
                <w:color w:val="000000"/>
                <w:kern w:val="0"/>
                <w:sz w:val="24"/>
                <w:szCs w:val="24"/>
                <w:lang w:val="pt-BR" w:eastAsia="zh-CN" w:bidi="hi-IN"/>
              </w:rPr>
              <w:t>II – Descrição dos requisitos necessários e suficientes à escolha da solução, prevendo critérios e práticas de sustentabilidade</w:t>
            </w:r>
          </w:p>
        </w:tc>
      </w:tr>
      <w:tr>
        <w:trPr/>
        <w:tc>
          <w:tcPr>
            <w:tcW w:w="10329" w:type="dxa"/>
            <w:tcBorders/>
            <w:shd w:color="auto" w:fill="FFFFFF" w:themeFill="background1" w:val="clear"/>
          </w:tcPr>
          <w:p>
            <w:pPr>
              <w:pStyle w:val="Corpodotexto"/>
              <w:widowControl w:val="false"/>
              <w:tabs>
                <w:tab w:val="clear" w:pos="720"/>
                <w:tab w:val="left" w:pos="0" w:leader="none"/>
              </w:tabs>
              <w:suppressAutoHyphens w:val="tru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Corpodotexto"/>
              <w:widowControl w:val="false"/>
              <w:tabs>
                <w:tab w:val="clear" w:pos="720"/>
                <w:tab w:val="left" w:pos="0" w:leader="none"/>
              </w:tabs>
              <w:suppressAutoHyphens w:val="true"/>
              <w:spacing w:lineRule="auto" w:line="276" w:before="0" w:after="0"/>
              <w:ind w:firstLine="39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kern w:val="0"/>
                <w:sz w:val="24"/>
                <w:szCs w:val="24"/>
                <w:lang w:val="pt-BR"/>
              </w:rPr>
              <w:t xml:space="preserve">  </w:t>
            </w:r>
            <w:r>
              <w:rPr>
                <w:rFonts w:cs="Calibri" w:cstheme="minorHAnsi"/>
                <w:kern w:val="0"/>
                <w:sz w:val="24"/>
                <w:szCs w:val="24"/>
                <w:lang w:val="pt-BR"/>
              </w:rPr>
              <w:t>A clínica de Gastroenterologia escolheu o fornecedor que apresentou o menor preço de mercado referente as peças solicitadas para os aparelhos de endoscopia e  o fornecimento de peças originais.</w:t>
            </w:r>
          </w:p>
          <w:p>
            <w:pPr>
              <w:pStyle w:val="Corpodotexto"/>
              <w:widowControl w:val="false"/>
              <w:tabs>
                <w:tab w:val="clear" w:pos="720"/>
                <w:tab w:val="left" w:pos="0" w:leader="none"/>
              </w:tabs>
              <w:suppressAutoHyphens w:val="true"/>
              <w:spacing w:lineRule="auto" w:line="276" w:before="0" w:after="0"/>
              <w:jc w:val="both"/>
              <w:rPr>
                <w:rFonts w:cs="Calibri" w:cstheme="minorHAnsi"/>
                <w:sz w:val="24"/>
                <w:szCs w:val="18"/>
              </w:rPr>
            </w:pPr>
            <w:r>
              <w:rPr>
                <w:rFonts w:cs="Calibri" w:cstheme="minorHAnsi"/>
                <w:sz w:val="24"/>
                <w:szCs w:val="18"/>
              </w:rPr>
            </w:r>
          </w:p>
        </w:tc>
      </w:tr>
      <w:tr>
        <w:trPr/>
        <w:tc>
          <w:tcPr>
            <w:tcW w:w="10329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Contedodatabela"/>
              <w:widowControl w:val="false"/>
              <w:suppressAutoHyphens w:val="true"/>
              <w:spacing w:before="0" w:after="0"/>
              <w:ind w:left="39" w:hanging="0"/>
              <w:jc w:val="center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NSimSun" w:cs="Calibri" w:ascii="Liberation Serif" w:hAnsi="Liberation Serif" w:cstheme="minorHAnsi"/>
                <w:b/>
                <w:kern w:val="0"/>
                <w:sz w:val="24"/>
                <w:szCs w:val="24"/>
                <w:shd w:fill="D9D9D9" w:val="clear"/>
                <w:lang w:val="pt-BR" w:eastAsia="zh-CN" w:bidi="hi-IN"/>
              </w:rPr>
              <w:t>III – Levantamento de mercado</w:t>
            </w:r>
          </w:p>
        </w:tc>
      </w:tr>
      <w:tr>
        <w:trPr/>
        <w:tc>
          <w:tcPr>
            <w:tcW w:w="10329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left"/>
              <w:rPr>
                <w:rFonts w:ascii="Segoe UI" w:hAnsi="Segoe UI" w:eastAsia="Times New Roman" w:cs="Segoe UI"/>
                <w:color w:val="auto"/>
                <w:sz w:val="19"/>
                <w:szCs w:val="19"/>
                <w:lang w:eastAsia="pt-BR"/>
              </w:rPr>
            </w:pPr>
            <w:r>
              <w:rPr>
                <w:rFonts w:eastAsia="Times New Roman" w:cs="Segoe UI" w:ascii="Segoe UI" w:hAnsi="Segoe UI"/>
                <w:color w:val="auto"/>
                <w:sz w:val="20"/>
                <w:szCs w:val="19"/>
                <w:lang w:eastAsia="pt-BR"/>
              </w:rPr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eastAsia="Times New Roman" w:cs="Calibri" w:cstheme="minorHAnsi"/>
                <w:color w:val="auto"/>
                <w:sz w:val="24"/>
                <w:szCs w:val="24"/>
                <w:lang w:eastAsia="pt-BR"/>
              </w:rPr>
            </w:pPr>
            <w:r>
              <w:rPr>
                <w:rFonts w:eastAsia="Times New Roman" w:cs="Calibri" w:cstheme="minorHAnsi"/>
                <w:color w:val="auto"/>
                <w:kern w:val="0"/>
                <w:sz w:val="24"/>
                <w:szCs w:val="24"/>
                <w:lang w:val="pt-BR" w:eastAsia="pt-BR"/>
              </w:rPr>
              <w:t xml:space="preserve"> </w:t>
            </w:r>
            <w:r>
              <w:rPr>
                <w:rFonts w:eastAsia="Times New Roman" w:cs="Calibri" w:cstheme="minorHAnsi"/>
                <w:color w:val="auto"/>
                <w:kern w:val="0"/>
                <w:sz w:val="24"/>
                <w:szCs w:val="24"/>
                <w:lang w:val="pt-BR" w:eastAsia="pt-BR"/>
              </w:rPr>
              <w:t>Foi solicitado cotação para as empresas que fornecem no mercado atual os acessórios dos aparelhos de endoscopia da marca Fujifilm.</w:t>
            </w:r>
          </w:p>
        </w:tc>
      </w:tr>
      <w:tr>
        <w:trPr/>
        <w:tc>
          <w:tcPr>
            <w:tcW w:w="10329" w:type="dxa"/>
            <w:tcBorders>
              <w:top w:val="nil"/>
            </w:tcBorders>
            <w:shd w:color="auto" w:fill="D9D9D9" w:themeFill="background1" w:themeFillShade="d9" w:val="clear"/>
            <w:vAlign w:val="center"/>
          </w:tcPr>
          <w:p>
            <w:pPr>
              <w:pStyle w:val="ListParagraph"/>
              <w:widowControl w:val="false"/>
              <w:tabs>
                <w:tab w:val="clear" w:pos="720"/>
                <w:tab w:val="left" w:pos="993" w:leader="none"/>
                <w:tab w:val="left" w:pos="1134" w:leader="none"/>
              </w:tabs>
              <w:spacing w:before="0" w:after="0"/>
              <w:ind w:left="39" w:hanging="0"/>
              <w:contextualSpacing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cs="Calibri" w:cstheme="minorHAnsi"/>
                <w:b/>
                <w:color w:val="000000"/>
                <w:kern w:val="0"/>
                <w:sz w:val="24"/>
                <w:szCs w:val="24"/>
                <w:highlight w:val="yellow"/>
              </w:rPr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993" w:leader="none"/>
                <w:tab w:val="left" w:pos="1134" w:leader="none"/>
              </w:tabs>
              <w:spacing w:before="0" w:after="0"/>
              <w:ind w:left="39" w:hanging="0"/>
              <w:contextualSpacing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cs="Calibri" w:cstheme="minorHAnsi"/>
                <w:b/>
                <w:color w:val="000000"/>
                <w:kern w:val="0"/>
                <w:sz w:val="24"/>
                <w:szCs w:val="24"/>
                <w:lang w:val="pt-BR"/>
              </w:rPr>
              <w:t>IV – Descrição da solução como um todo</w:t>
            </w:r>
          </w:p>
        </w:tc>
      </w:tr>
      <w:tr>
        <w:trPr/>
        <w:tc>
          <w:tcPr>
            <w:tcW w:w="10329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62" w:after="62"/>
              <w:ind w:left="39" w:firstLine="141"/>
              <w:jc w:val="both"/>
              <w:rPr>
                <w:rFonts w:eastAsia="Calibri" w:cs="Calibri" w:cs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kern w:val="0"/>
                <w:sz w:val="24"/>
                <w:szCs w:val="24"/>
                <w:lang w:val="pt-BR"/>
              </w:rPr>
              <w:t>O objetivo da dispensa eletrônica será a compra dos acessórios específicos para os equipamentos de alta complexidade da clínica de gastroenterologia a fim evitar a interrupção dos atendimentos dos usuários do Sistema de Saúde da Marinha.</w:t>
            </w:r>
          </w:p>
          <w:p>
            <w:pPr>
              <w:pStyle w:val="Normal"/>
              <w:widowControl w:val="false"/>
              <w:suppressAutoHyphens w:val="true"/>
              <w:spacing w:before="62" w:after="62"/>
              <w:ind w:left="39" w:firstLine="141"/>
              <w:jc w:val="both"/>
              <w:rPr>
                <w:rFonts w:cs="Calibri" w:cstheme="minorHAnsi"/>
                <w:sz w:val="24"/>
                <w:szCs w:val="24"/>
                <w:highlight w:val="yellow"/>
              </w:rPr>
            </w:pPr>
            <w:r>
              <w:rPr>
                <w:rFonts w:cs="Calibri" w:cstheme="minorHAnsi"/>
                <w:sz w:val="20"/>
                <w:szCs w:val="24"/>
                <w:highlight w:val="yellow"/>
              </w:rPr>
            </w:r>
          </w:p>
        </w:tc>
      </w:tr>
      <w:tr>
        <w:trPr>
          <w:trHeight w:val="661" w:hRule="atLeast"/>
        </w:trPr>
        <w:tc>
          <w:tcPr>
            <w:tcW w:w="10329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Contedodatabela"/>
              <w:widowControl w:val="false"/>
              <w:suppressAutoHyphens w:val="true"/>
              <w:spacing w:before="0" w:after="0"/>
              <w:ind w:left="39" w:hanging="0"/>
              <w:jc w:val="center"/>
              <w:rPr>
                <w:rFonts w:cs="Calibri" w:cstheme="minorHAnsi"/>
                <w:sz w:val="24"/>
                <w:szCs w:val="24"/>
                <w:highlight w:val="yellow"/>
              </w:rPr>
            </w:pPr>
            <w:r>
              <w:rPr>
                <w:rFonts w:eastAsia="NSimSun" w:cs="Calibri" w:ascii="Liberation Serif" w:hAnsi="Liberation Serif" w:cstheme="minorHAnsi"/>
                <w:b/>
                <w:bCs/>
                <w:color w:val="000000" w:themeColor="text1"/>
                <w:kern w:val="0"/>
                <w:sz w:val="24"/>
                <w:szCs w:val="24"/>
                <w:lang w:val="pt-BR" w:eastAsia="zh-CN" w:bidi="hi-IN"/>
              </w:rPr>
              <w:t xml:space="preserve">V – </w:t>
            </w:r>
            <w:r>
              <w:rPr>
                <w:rFonts w:eastAsia="NSimSun" w:cs="Calibri" w:ascii="Liberation Serif" w:hAnsi="Liberation Serif" w:cstheme="minorHAnsi"/>
                <w:b/>
                <w:color w:val="000000" w:themeColor="text1"/>
                <w:kern w:val="0"/>
                <w:sz w:val="24"/>
                <w:szCs w:val="24"/>
                <w:lang w:val="pt-BR" w:eastAsia="zh-CN" w:bidi="hi-IN"/>
              </w:rPr>
              <w:t>Estimativa das quantidades, acompanhadas da memória de cálculo e dos documentos que lhe dão suporte</w:t>
            </w:r>
          </w:p>
        </w:tc>
      </w:tr>
      <w:tr>
        <w:trPr/>
        <w:tc>
          <w:tcPr>
            <w:tcW w:w="10329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ind w:left="39" w:firstLine="283"/>
              <w:jc w:val="left"/>
              <w:rPr>
                <w:rFonts w:eastAsia="Calibri" w:cs="Calibri" w:cs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kern w:val="0"/>
                <w:sz w:val="24"/>
                <w:szCs w:val="24"/>
                <w:lang w:val="pt-BR"/>
              </w:rPr>
              <w:t xml:space="preserve"> 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lang w:val="pt-BR"/>
              </w:rPr>
              <w:t>Estamos solicitando um mínimo de quantitativo dos acessórios solicitados visando atender a demanda atual de peças para o uso  adequado dos aparelhos.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ind w:left="39" w:firstLine="283"/>
              <w:jc w:val="left"/>
              <w:rPr>
                <w:rFonts w:eastAsia="Calibri" w:cs="Calibri" w:cstheme="minorHAnsi"/>
                <w:sz w:val="24"/>
                <w:szCs w:val="24"/>
              </w:rPr>
            </w:pPr>
            <w:r>
              <w:rPr>
                <w:rFonts w:eastAsia="Calibri" w:cs="Calibri" w:cstheme="minorHAnsi"/>
                <w:kern w:val="0"/>
                <w:sz w:val="24"/>
                <w:szCs w:val="24"/>
                <w:lang w:val="pt-BR"/>
              </w:rPr>
              <w:t xml:space="preserve">  </w:t>
            </w:r>
            <w:r>
              <w:rPr>
                <w:rFonts w:eastAsia="Calibri" w:cs="Calibri" w:cstheme="minorHAnsi"/>
                <w:kern w:val="0"/>
                <w:sz w:val="24"/>
                <w:szCs w:val="24"/>
                <w:lang w:val="pt-BR"/>
              </w:rPr>
              <w:t>Os preços das peças estão na  tabela constante no Termo de Referência e no orçamento e nas notas fiscais da referida contratada.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ind w:left="39" w:firstLine="851"/>
              <w:jc w:val="both"/>
              <w:rPr>
                <w:rFonts w:cs="Calibri" w:cstheme="minorHAnsi"/>
                <w:sz w:val="24"/>
                <w:szCs w:val="24"/>
                <w:highlight w:val="yellow"/>
              </w:rPr>
            </w:pPr>
            <w:r>
              <w:rPr>
                <w:rFonts w:cs="Calibri" w:cstheme="minorHAnsi"/>
                <w:sz w:val="20"/>
                <w:szCs w:val="24"/>
                <w:highlight w:val="yellow"/>
              </w:rPr>
            </w:r>
          </w:p>
        </w:tc>
      </w:tr>
      <w:tr>
        <w:trPr>
          <w:trHeight w:val="100" w:hRule="atLeast"/>
        </w:trPr>
        <w:tc>
          <w:tcPr>
            <w:tcW w:w="10329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Contedodatabela"/>
              <w:widowControl w:val="false"/>
              <w:suppressAutoHyphens w:val="true"/>
              <w:spacing w:before="0" w:after="0"/>
              <w:ind w:left="39" w:hanging="0"/>
              <w:jc w:val="center"/>
              <w:rPr>
                <w:rFonts w:cs="Calibri" w:cstheme="minorHAnsi"/>
                <w:sz w:val="24"/>
                <w:szCs w:val="24"/>
                <w:highlight w:val="yellow"/>
              </w:rPr>
            </w:pPr>
            <w:r>
              <w:rPr>
                <w:rFonts w:eastAsia="NSimSun" w:cs="Calibri" w:ascii="Liberation Serif" w:hAnsi="Liberation Serif" w:cstheme="minorHAnsi"/>
                <w:b/>
                <w:bCs/>
                <w:kern w:val="0"/>
                <w:sz w:val="24"/>
                <w:szCs w:val="24"/>
                <w:lang w:val="pt-BR" w:eastAsia="zh-CN" w:bidi="hi-IN"/>
              </w:rPr>
              <w:t xml:space="preserve">VI – </w:t>
            </w:r>
            <w:r>
              <w:rPr>
                <w:rFonts w:eastAsia="NSimSun" w:cs="Calibri" w:ascii="Liberation Serif" w:hAnsi="Liberation Serif" w:cstheme="minorHAnsi"/>
                <w:b/>
                <w:kern w:val="0"/>
                <w:sz w:val="24"/>
                <w:szCs w:val="24"/>
                <w:lang w:val="pt-BR" w:eastAsia="zh-CN" w:bidi="hi-IN"/>
              </w:rPr>
              <w:t>Estimativas de valor</w:t>
            </w:r>
          </w:p>
        </w:tc>
      </w:tr>
      <w:tr>
        <w:trPr/>
        <w:tc>
          <w:tcPr>
            <w:tcW w:w="10329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62" w:after="62"/>
              <w:ind w:left="39" w:firstLine="425"/>
              <w:jc w:val="both"/>
              <w:rPr>
                <w:rFonts w:cs="Calibri" w:cstheme="minorHAnsi"/>
                <w:sz w:val="24"/>
                <w:szCs w:val="24"/>
                <w:highlight w:val="yellow"/>
              </w:rPr>
            </w:pPr>
            <w:r>
              <w:rPr>
                <w:rFonts w:cs="Calibri" w:cstheme="minorHAnsi"/>
                <w:kern w:val="0"/>
                <w:sz w:val="24"/>
                <w:szCs w:val="24"/>
                <w:shd w:fill="FFFFFF" w:val="clear"/>
                <w:lang w:val="pt-BR"/>
              </w:rPr>
              <w:t>A despesa total estimada da aquisição é de R$</w:t>
            </w:r>
            <w:r>
              <w:rPr>
                <w:rFonts w:cs="Calibri" w:cstheme="minorHAnsi"/>
                <w:kern w:val="0"/>
                <w:sz w:val="24"/>
                <w:szCs w:val="24"/>
                <w:shd w:fill="auto" w:val="clear"/>
                <w:lang w:val="pt-BR"/>
              </w:rPr>
              <w:t xml:space="preserve">  </w:t>
            </w:r>
            <w:r>
              <w:rPr>
                <w:rFonts w:cs="Calibri" w:cstheme="minorHAnsi"/>
                <w:kern w:val="0"/>
                <w:sz w:val="24"/>
                <w:szCs w:val="24"/>
                <w:shd w:fill="auto" w:val="clear"/>
                <w:lang w:val="pt-BR"/>
              </w:rPr>
              <w:t>23.499,99.</w:t>
            </w:r>
          </w:p>
        </w:tc>
      </w:tr>
      <w:tr>
        <w:trPr/>
        <w:tc>
          <w:tcPr>
            <w:tcW w:w="10329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ListParagraph"/>
              <w:widowControl w:val="false"/>
              <w:tabs>
                <w:tab w:val="clear" w:pos="720"/>
                <w:tab w:val="left" w:pos="993" w:leader="none"/>
                <w:tab w:val="left" w:pos="1134" w:leader="none"/>
              </w:tabs>
              <w:suppressAutoHyphens w:val="false"/>
              <w:bidi w:val="0"/>
              <w:spacing w:lineRule="auto" w:line="276" w:before="0" w:after="0"/>
              <w:ind w:left="57" w:right="0" w:firstLine="113"/>
              <w:contextualSpacing/>
              <w:jc w:val="left"/>
              <w:rPr>
                <w:rFonts w:ascii="Calibri" w:hAnsi="Calibri" w:cs="Calibri" w:asciiTheme="minorHAnsi" w:cstheme="minorHAnsi" w:hAnsiTheme="minorHAnsi"/>
                <w:b/>
                <w:b/>
                <w:kern w:val="0"/>
                <w:sz w:val="24"/>
                <w:szCs w:val="24"/>
              </w:rPr>
            </w:pPr>
            <w:r>
              <w:rPr>
                <w:rFonts w:cs="Calibri" w:cstheme="minorHAnsi"/>
                <w:b/>
                <w:color w:val="000000" w:themeColor="text1"/>
                <w:kern w:val="0"/>
                <w:sz w:val="24"/>
                <w:szCs w:val="24"/>
                <w:lang w:val="pt-BR"/>
              </w:rPr>
              <w:t>VII – Justificativas para o para o parcelamento ou não da solução, se aplicável</w:t>
            </w:r>
          </w:p>
        </w:tc>
      </w:tr>
      <w:tr>
        <w:trPr/>
        <w:tc>
          <w:tcPr>
            <w:tcW w:w="10329" w:type="dxa"/>
            <w:tcBorders/>
            <w:shd w:fill="auto" w:val="clea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before="0" w:after="0"/>
              <w:ind w:left="39" w:firstLine="425"/>
              <w:jc w:val="both"/>
              <w:textAlignment w:val="baseline"/>
              <w:rPr>
                <w:rFonts w:cs="Calibri" w:cstheme="minorHAnsi"/>
                <w:color w:val="000000" w:themeColor="text1"/>
                <w:sz w:val="24"/>
                <w:szCs w:val="24"/>
              </w:rPr>
            </w:pPr>
            <w:r>
              <w:rPr>
                <w:rFonts w:cs="Calibri" w:cstheme="minorHAnsi"/>
                <w:color w:val="000000" w:themeColor="text1"/>
                <w:kern w:val="0"/>
                <w:sz w:val="24"/>
                <w:szCs w:val="24"/>
                <w:lang w:val="pt-BR"/>
              </w:rPr>
              <w:t>Não se aplica.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before="0" w:after="0"/>
              <w:ind w:left="39" w:firstLine="851"/>
              <w:jc w:val="both"/>
              <w:textAlignment w:val="baseline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0"/>
                <w:szCs w:val="24"/>
              </w:rPr>
            </w:r>
          </w:p>
        </w:tc>
      </w:tr>
      <w:tr>
        <w:trPr/>
        <w:tc>
          <w:tcPr>
            <w:tcW w:w="10329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Contedodatabela"/>
              <w:widowControl w:val="false"/>
              <w:tabs>
                <w:tab w:val="clear" w:pos="720"/>
                <w:tab w:val="left" w:pos="573" w:leader="none"/>
                <w:tab w:val="left" w:pos="993" w:leader="none"/>
              </w:tabs>
              <w:suppressAutoHyphens w:val="true"/>
              <w:bidi w:val="0"/>
              <w:spacing w:lineRule="auto" w:line="276" w:before="0" w:after="0"/>
              <w:ind w:left="57" w:right="0" w:hanging="0"/>
              <w:jc w:val="left"/>
              <w:rPr>
                <w:rFonts w:cs="Calibri" w:cstheme="minorHAnsi"/>
                <w:b/>
                <w:b/>
                <w:bCs/>
                <w:sz w:val="24"/>
                <w:szCs w:val="24"/>
              </w:rPr>
            </w:pPr>
            <w:r>
              <w:rPr>
                <w:rFonts w:eastAsia="NSimSun" w:cs="Calibri" w:ascii="Liberation Serif" w:hAnsi="Liberation Serif" w:cstheme="minorHAnsi"/>
                <w:b/>
                <w:bCs/>
                <w:kern w:val="0"/>
                <w:sz w:val="24"/>
                <w:szCs w:val="24"/>
                <w:lang w:val="pt-BR" w:eastAsia="zh-CN" w:bidi="hi-IN"/>
              </w:rPr>
              <w:t>VIII – Contratações correlatas e/ou interdependentes</w:t>
            </w:r>
          </w:p>
        </w:tc>
      </w:tr>
      <w:tr>
        <w:trPr/>
        <w:tc>
          <w:tcPr>
            <w:tcW w:w="10329" w:type="dxa"/>
            <w:tcBorders>
              <w:top w:val="nil"/>
            </w:tcBorders>
            <w:shd w:fill="auto" w:val="clear"/>
            <w:vAlign w:val="center"/>
          </w:tcPr>
          <w:p>
            <w:pPr>
              <w:pStyle w:val="NormalWeb"/>
              <w:widowControl w:val="false"/>
              <w:suppressAutoHyphens w:val="true"/>
              <w:spacing w:lineRule="auto" w:line="276" w:beforeAutospacing="0" w:before="0" w:afterAutospacing="0" w:after="0"/>
              <w:ind w:left="39" w:firstLine="425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kern w:val="0"/>
                <w:lang w:val="pt-BR"/>
              </w:rPr>
              <w:t>Não há no âmbito deste Hospital contratações correlatas e/ou interdependentes com o objeto da presente contratação.</w:t>
            </w:r>
          </w:p>
          <w:p>
            <w:pPr>
              <w:pStyle w:val="NormalWeb"/>
              <w:widowControl w:val="false"/>
              <w:suppressAutoHyphens w:val="true"/>
              <w:spacing w:lineRule="auto" w:line="276" w:beforeAutospacing="0" w:before="0" w:afterAutospacing="0" w:after="0"/>
              <w:ind w:left="39" w:firstLine="425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</w:rPr>
            </w:r>
          </w:p>
          <w:p>
            <w:pPr>
              <w:pStyle w:val="NormalWeb"/>
              <w:widowControl w:val="false"/>
              <w:suppressAutoHyphens w:val="true"/>
              <w:spacing w:lineRule="auto" w:line="276" w:beforeAutospacing="0" w:before="0" w:afterAutospacing="0" w:after="0"/>
              <w:ind w:left="39" w:firstLine="425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</w:rPr>
            </w:r>
          </w:p>
          <w:p>
            <w:pPr>
              <w:pStyle w:val="NormalWeb"/>
              <w:widowControl w:val="false"/>
              <w:suppressAutoHyphens w:val="true"/>
              <w:spacing w:lineRule="auto" w:line="276" w:beforeAutospacing="0" w:before="0" w:afterAutospacing="0" w:after="0"/>
              <w:ind w:left="39" w:firstLine="425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</w:rPr>
            </w:r>
          </w:p>
          <w:p>
            <w:pPr>
              <w:pStyle w:val="NormalWeb"/>
              <w:widowControl w:val="false"/>
              <w:suppressAutoHyphens w:val="true"/>
              <w:spacing w:lineRule="auto" w:line="276" w:beforeAutospacing="0" w:before="0" w:afterAutospacing="0" w:after="0"/>
              <w:ind w:left="39" w:firstLine="425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</w:rPr>
            </w:r>
          </w:p>
          <w:p>
            <w:pPr>
              <w:pStyle w:val="NormalWeb"/>
              <w:widowControl w:val="false"/>
              <w:suppressAutoHyphens w:val="true"/>
              <w:spacing w:lineRule="auto" w:line="276" w:beforeAutospacing="0" w:before="0" w:afterAutospacing="0" w:after="0"/>
              <w:ind w:left="39" w:firstLine="425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cstheme="minorHAnsi" w:ascii="Calibri" w:hAnsi="Calibri"/>
              </w:rPr>
            </w:r>
          </w:p>
        </w:tc>
      </w:tr>
      <w:tr>
        <w:trPr/>
        <w:tc>
          <w:tcPr>
            <w:tcW w:w="10329" w:type="dxa"/>
            <w:tcBorders>
              <w:top w:val="nil"/>
            </w:tcBorders>
            <w:shd w:color="auto" w:fill="BFBFBF" w:themeFill="background1" w:themeFillShade="bf" w:val="clear"/>
            <w:vAlign w:val="center"/>
          </w:tcPr>
          <w:p>
            <w:pPr>
              <w:pStyle w:val="Contedodatabela"/>
              <w:widowControl w:val="false"/>
              <w:tabs>
                <w:tab w:val="clear" w:pos="720"/>
                <w:tab w:val="left" w:pos="993" w:leader="none"/>
                <w:tab w:val="left" w:pos="1134" w:leader="none"/>
              </w:tabs>
              <w:suppressAutoHyphens w:val="true"/>
              <w:bidi w:val="0"/>
              <w:spacing w:lineRule="auto" w:line="276" w:before="0" w:after="0"/>
              <w:ind w:left="57" w:right="0" w:hanging="57"/>
              <w:jc w:val="center"/>
              <w:rPr>
                <w:rFonts w:cs="Calibri" w:cstheme="minorHAnsi"/>
                <w:b/>
                <w:b/>
                <w:sz w:val="24"/>
                <w:szCs w:val="24"/>
                <w:highlight w:val="yellow"/>
              </w:rPr>
            </w:pPr>
            <w:r>
              <w:rPr>
                <w:rFonts w:eastAsia="NSimSun" w:cs="Calibri" w:ascii="Liberation Serif" w:hAnsi="Liberation Serif" w:cstheme="minorHAnsi"/>
                <w:b/>
                <w:color w:val="000000"/>
                <w:kern w:val="0"/>
                <w:sz w:val="24"/>
                <w:szCs w:val="24"/>
                <w:lang w:val="pt-BR" w:eastAsia="zh-CN" w:bidi="hi-IN"/>
              </w:rPr>
              <w:t>IX – Demonstração do alinhamento entre a contratação e o planejamento do Órgão, identificando a previsão no plano anual de contratações ou, se for o caso, justificando a ausência da previsão.</w:t>
            </w:r>
          </w:p>
        </w:tc>
      </w:tr>
      <w:tr>
        <w:trPr>
          <w:trHeight w:val="1160" w:hRule="atLeast"/>
        </w:trPr>
        <w:tc>
          <w:tcPr>
            <w:tcW w:w="10329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94" w:after="62"/>
              <w:ind w:left="39" w:firstLine="425"/>
              <w:jc w:val="left"/>
              <w:textAlignment w:val="baseline"/>
              <w:rPr>
                <w:rFonts w:eastAsia="Calibri" w:cs="Calibri" w:cstheme="minorHAnsi"/>
                <w:color w:val="000000"/>
                <w:sz w:val="24"/>
                <w:szCs w:val="24"/>
              </w:rPr>
            </w:pPr>
            <w:r>
              <w:rPr>
                <w:rFonts w:eastAsia="Calibri" w:cs="Calibri" w:cstheme="minorHAnsi"/>
                <w:color w:val="000000"/>
                <w:sz w:val="24"/>
                <w:szCs w:val="24"/>
              </w:rPr>
              <w:t>Futuramente os itens solicitados serão incluídos no Pregão Eletrônico da Clínica de Gastroenterologia.</w:t>
            </w:r>
          </w:p>
        </w:tc>
      </w:tr>
      <w:tr>
        <w:trPr/>
        <w:tc>
          <w:tcPr>
            <w:tcW w:w="10329" w:type="dxa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993" w:leader="none"/>
                <w:tab w:val="left" w:pos="1134" w:leader="none"/>
              </w:tabs>
              <w:suppressAutoHyphens w:val="true"/>
              <w:bidi w:val="0"/>
              <w:spacing w:lineRule="auto" w:line="276" w:before="0" w:after="0"/>
              <w:ind w:left="57" w:right="0" w:firstLine="227"/>
              <w:jc w:val="left"/>
              <w:rPr>
                <w:rFonts w:cs="Calibri" w:cstheme="minorHAnsi"/>
                <w:b/>
                <w:b/>
                <w:sz w:val="24"/>
                <w:szCs w:val="24"/>
                <w:highlight w:val="yellow"/>
              </w:rPr>
            </w:pPr>
            <w:r>
              <w:rPr>
                <w:rFonts w:cs="Calibri" w:cstheme="minorHAnsi"/>
                <w:b/>
                <w:kern w:val="0"/>
                <w:sz w:val="24"/>
                <w:szCs w:val="24"/>
                <w:lang w:val="pt-BR"/>
              </w:rPr>
              <w:t>X – Resultados pretendidos, em termos de efetividade e de desenvolvimento nacional sustentável</w:t>
            </w:r>
          </w:p>
        </w:tc>
      </w:tr>
      <w:tr>
        <w:trPr>
          <w:trHeight w:val="1702" w:hRule="atLeast"/>
        </w:trPr>
        <w:tc>
          <w:tcPr>
            <w:tcW w:w="10329" w:type="dxa"/>
            <w:tcBorders/>
            <w:shd w:fill="auto" w:val="clear"/>
          </w:tcPr>
          <w:p>
            <w:pPr>
              <w:pStyle w:val="NormalWeb"/>
              <w:widowControl w:val="false"/>
              <w:shd w:val="clear" w:color="auto" w:fill="FFFFFF"/>
              <w:suppressAutoHyphens w:val="true"/>
              <w:spacing w:lineRule="auto" w:line="276" w:beforeAutospacing="0" w:before="90" w:afterAutospacing="0" w:after="62"/>
              <w:ind w:left="39" w:firstLine="851"/>
              <w:jc w:val="both"/>
              <w:textAlignment w:val="baseline"/>
              <w:rPr>
                <w:rFonts w:ascii="Calibri" w:hAnsi="Calibri" w:eastAsia="Calibri" w:cs="Calibri" w:asciiTheme="minorHAnsi" w:cstheme="minorHAnsi" w:eastAsiaTheme="minorHAnsi" w:hAnsiTheme="minorHAnsi"/>
                <w:highlight w:val="none"/>
                <w:shd w:fill="auto" w:val="clear"/>
              </w:rPr>
            </w:pPr>
            <w:r>
              <w:rPr>
                <w:rFonts w:eastAsia="Calibri" w:cs="Calibri" w:ascii="Calibri" w:hAnsi="Calibri" w:cstheme="minorHAnsi" w:eastAsiaTheme="minorHAnsi"/>
                <w:kern w:val="0"/>
                <w:shd w:fill="auto" w:val="clear"/>
                <w:lang w:val="pt-BR"/>
              </w:rPr>
              <w:t>A aquisição das peças para os aparelhos da clínica visam manter o parque endoscópico em  pleno funcionamento, a fim de garantir precisão nos resultados dos exames dos pacientes.Isso visa, proporcionar a redução dos custos para Administração Pública com retrabalho ou paralisação da atividade; elaboração de processos mais céleres; e economicidade na utilização de recursos.</w:t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lineRule="auto" w:line="276" w:beforeAutospacing="0" w:before="90" w:afterAutospacing="0" w:after="62"/>
              <w:ind w:left="39" w:firstLine="851"/>
              <w:jc w:val="both"/>
              <w:textAlignment w:val="baseline"/>
              <w:rPr>
                <w:rFonts w:ascii="Calibri" w:hAnsi="Calibri" w:eastAsia="Calibri" w:cs="Calibri"/>
                <w:b/>
                <w:b/>
                <w:bCs/>
                <w:color w:val="C9211E"/>
                <w:highlight w:val="yellow"/>
              </w:rPr>
            </w:pPr>
            <w:r>
              <w:rPr>
                <w:rFonts w:eastAsia="Calibri" w:cs="Calibri" w:ascii="Calibri" w:hAnsi="Calibri"/>
                <w:b/>
                <w:bCs/>
                <w:color w:val="C9211E"/>
                <w:highlight w:val="yellow"/>
              </w:rPr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lineRule="auto" w:line="276" w:beforeAutospacing="0" w:before="90" w:afterAutospacing="0" w:after="62"/>
              <w:ind w:left="39" w:firstLine="851"/>
              <w:jc w:val="both"/>
              <w:textAlignment w:val="baseline"/>
              <w:rPr>
                <w:rFonts w:ascii="Calibri" w:hAnsi="Calibri" w:eastAsia="Calibri" w:cs="Calibri"/>
                <w:b/>
                <w:b/>
                <w:bCs/>
                <w:color w:val="C9211E"/>
                <w:highlight w:val="yellow"/>
              </w:rPr>
            </w:pPr>
            <w:r>
              <w:rPr>
                <w:rFonts w:eastAsia="Calibri" w:cs="Calibri" w:ascii="Calibri" w:hAnsi="Calibri"/>
                <w:b/>
                <w:bCs/>
                <w:color w:val="C9211E"/>
                <w:highlight w:val="yellow"/>
              </w:rPr>
            </w:r>
          </w:p>
        </w:tc>
      </w:tr>
      <w:tr>
        <w:trPr>
          <w:trHeight w:val="81" w:hRule="atLeast"/>
        </w:trPr>
        <w:tc>
          <w:tcPr>
            <w:tcW w:w="10329" w:type="dxa"/>
            <w:tcBorders/>
            <w:shd w:color="auto" w:fill="BFBFBF" w:themeFill="background1" w:themeFillShade="bf" w:val="clear"/>
          </w:tcPr>
          <w:p>
            <w:pPr>
              <w:pStyle w:val="NormalWeb"/>
              <w:widowControl w:val="false"/>
              <w:suppressAutoHyphens w:val="true"/>
              <w:spacing w:beforeAutospacing="0" w:before="0" w:afterAutospacing="0" w:after="0"/>
              <w:ind w:left="39" w:firstLine="851"/>
              <w:jc w:val="center"/>
              <w:rPr>
                <w:rFonts w:ascii="Calibri" w:hAnsi="Calibri" w:cs="Calibri" w:asciiTheme="minorHAnsi" w:cstheme="minorHAnsi" w:hAnsiTheme="minorHAnsi"/>
                <w:highlight w:val="yellow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kern w:val="0"/>
                <w:lang w:val="pt-BR"/>
              </w:rPr>
              <w:t>XI – Providências a serem adotadas pela administração previamente à celebração do contrato, inclusive quanto à capacitação de servidores ou de empregados para fiscalização e gestão contratual ou adequação do ambiente da organização:</w:t>
            </w:r>
          </w:p>
        </w:tc>
      </w:tr>
      <w:tr>
        <w:trPr/>
        <w:tc>
          <w:tcPr>
            <w:tcW w:w="10329" w:type="dxa"/>
            <w:tcBorders/>
            <w:shd w:fill="auto" w:val="clea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before="62" w:after="62"/>
              <w:ind w:left="39" w:firstLine="851"/>
              <w:jc w:val="both"/>
              <w:textAlignment w:val="baseline"/>
              <w:rPr>
                <w:rFonts w:cs="Calibri" w:cstheme="minorHAnsi"/>
                <w:color w:val="000000"/>
                <w:sz w:val="24"/>
                <w:szCs w:val="24"/>
                <w:highlight w:val="yellow"/>
              </w:rPr>
            </w:pPr>
            <w:r>
              <w:rPr>
                <w:rStyle w:val="LinkdaInternet"/>
                <w:rFonts w:cs="Calibri" w:cstheme="minorHAnsi"/>
                <w:color w:val="000000"/>
                <w:kern w:val="0"/>
                <w:sz w:val="24"/>
                <w:szCs w:val="24"/>
                <w:u w:val="none"/>
                <w:lang w:val="pt-BR"/>
              </w:rPr>
              <w:t>N</w:t>
            </w:r>
            <w:r>
              <w:rPr>
                <w:rFonts w:cs="Calibri" w:cstheme="minorHAnsi"/>
                <w:color w:val="000000"/>
                <w:kern w:val="0"/>
                <w:sz w:val="24"/>
                <w:szCs w:val="24"/>
                <w:shd w:fill="auto" w:val="clear"/>
                <w:lang w:val="pt-BR"/>
              </w:rPr>
              <w:t>ão há nenhuma necessidade de adequação para o início das atividades desta tipologia de serviços.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before="62" w:after="62"/>
              <w:ind w:left="39" w:firstLine="851"/>
              <w:jc w:val="both"/>
              <w:textAlignment w:val="baseline"/>
              <w:rPr>
                <w:rFonts w:cs="Calibri" w:cstheme="minorHAnsi"/>
                <w:sz w:val="24"/>
                <w:szCs w:val="24"/>
                <w:highlight w:val="yellow"/>
              </w:rPr>
            </w:pPr>
            <w:r>
              <w:rPr>
                <w:rFonts w:cs="Calibri" w:cstheme="minorHAnsi"/>
                <w:sz w:val="20"/>
                <w:szCs w:val="24"/>
                <w:highlight w:val="yellow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before="62" w:after="62"/>
              <w:ind w:left="39" w:firstLine="851"/>
              <w:jc w:val="both"/>
              <w:textAlignment w:val="baseline"/>
              <w:rPr>
                <w:rFonts w:cs="Calibri" w:cstheme="minorHAnsi"/>
                <w:sz w:val="24"/>
                <w:szCs w:val="24"/>
                <w:highlight w:val="yellow"/>
              </w:rPr>
            </w:pPr>
            <w:r>
              <w:rPr>
                <w:rFonts w:cs="Calibri" w:cstheme="minorHAnsi"/>
                <w:sz w:val="20"/>
                <w:szCs w:val="24"/>
                <w:highlight w:val="yellow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before="62" w:after="62"/>
              <w:ind w:left="39" w:firstLine="851"/>
              <w:jc w:val="both"/>
              <w:textAlignment w:val="baseline"/>
              <w:rPr>
                <w:rFonts w:cs="Calibri" w:cstheme="minorHAnsi"/>
                <w:sz w:val="24"/>
                <w:szCs w:val="24"/>
                <w:highlight w:val="yellow"/>
              </w:rPr>
            </w:pPr>
            <w:r>
              <w:rPr>
                <w:rFonts w:cs="Calibri" w:cstheme="minorHAnsi"/>
                <w:sz w:val="20"/>
                <w:szCs w:val="24"/>
                <w:highlight w:val="yellow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before="62" w:after="62"/>
              <w:ind w:left="39" w:firstLine="851"/>
              <w:jc w:val="both"/>
              <w:textAlignment w:val="baseline"/>
              <w:rPr>
                <w:rFonts w:cs="Calibri" w:cstheme="minorHAnsi"/>
                <w:sz w:val="24"/>
                <w:szCs w:val="24"/>
                <w:highlight w:val="yellow"/>
              </w:rPr>
            </w:pPr>
            <w:r>
              <w:rPr>
                <w:rFonts w:cs="Calibri" w:cstheme="minorHAnsi"/>
                <w:sz w:val="20"/>
                <w:szCs w:val="24"/>
                <w:highlight w:val="yellow"/>
              </w:rPr>
            </w:r>
          </w:p>
        </w:tc>
      </w:tr>
      <w:tr>
        <w:trPr/>
        <w:tc>
          <w:tcPr>
            <w:tcW w:w="10329" w:type="dxa"/>
            <w:tcBorders/>
            <w:shd w:color="auto" w:fill="BFBFBF" w:themeFill="background1" w:themeFillShade="bf" w:val="clear"/>
          </w:tcPr>
          <w:p>
            <w:pPr>
              <w:pStyle w:val="Contedodatabela"/>
              <w:widowControl w:val="false"/>
              <w:tabs>
                <w:tab w:val="clear" w:pos="720"/>
                <w:tab w:val="left" w:pos="993" w:leader="none"/>
                <w:tab w:val="left" w:pos="1134" w:leader="none"/>
              </w:tabs>
              <w:suppressAutoHyphens w:val="true"/>
              <w:spacing w:before="0" w:after="0"/>
              <w:ind w:left="39" w:hanging="0"/>
              <w:jc w:val="center"/>
              <w:rPr>
                <w:rFonts w:cs="Calibri" w:cstheme="minorHAnsi"/>
                <w:b/>
                <w:b/>
                <w:bCs/>
                <w:kern w:val="0"/>
                <w:sz w:val="24"/>
                <w:szCs w:val="24"/>
                <w:lang w:val="pt-BR"/>
              </w:rPr>
            </w:pPr>
            <w:r>
              <w:rPr>
                <w:rFonts w:eastAsia="NSimSun" w:cs="Calibri" w:ascii="Liberation Serif" w:hAnsi="Liberation Serif" w:cstheme="minorHAnsi"/>
                <w:b/>
                <w:bCs/>
                <w:kern w:val="0"/>
                <w:sz w:val="24"/>
                <w:szCs w:val="24"/>
                <w:shd w:fill="auto" w:val="clear"/>
                <w:lang w:val="pt-BR" w:eastAsia="zh-CN" w:bidi="hi-IN"/>
              </w:rPr>
              <w:t>XII – Possíveis impactos ambientais e respectivas medidas de tratamento</w:t>
            </w:r>
          </w:p>
        </w:tc>
      </w:tr>
      <w:tr>
        <w:trPr/>
        <w:tc>
          <w:tcPr>
            <w:tcW w:w="10329" w:type="dxa"/>
            <w:tcBorders>
              <w:top w:val="nil"/>
            </w:tcBorders>
            <w:shd w:fill="auto" w:val="clear"/>
          </w:tcPr>
          <w:p>
            <w:pPr>
              <w:pStyle w:val="NormalWeb"/>
              <w:widowControl w:val="false"/>
              <w:shd w:val="clear" w:color="auto" w:fill="FFFFFF"/>
              <w:suppressAutoHyphens w:val="true"/>
              <w:spacing w:lineRule="auto" w:line="276" w:beforeAutospacing="0" w:before="0" w:afterAutospacing="0" w:after="0"/>
              <w:ind w:left="39" w:firstLine="851"/>
              <w:jc w:val="both"/>
              <w:textAlignment w:val="baseline"/>
              <w:rPr>
                <w:rFonts w:ascii="Calibri" w:hAnsi="Calibri" w:cs="Calibri" w:asciiTheme="minorHAnsi" w:cstheme="minorHAnsi" w:hAnsiTheme="minorHAnsi"/>
                <w:bCs/>
                <w:color w:val="000000"/>
                <w:kern w:val="0"/>
                <w:lang w:val="pt-BR"/>
              </w:rPr>
            </w:pPr>
            <w:r>
              <w:rPr>
                <w:rFonts w:cs="Calibri" w:cstheme="minorHAnsi" w:ascii="Calibri" w:hAnsi="Calibri"/>
                <w:bCs/>
                <w:color w:val="000000"/>
                <w:kern w:val="0"/>
                <w:lang w:val="pt-BR"/>
              </w:rPr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lineRule="auto" w:line="276" w:beforeAutospacing="0" w:before="0" w:afterAutospacing="0" w:after="0"/>
              <w:ind w:left="39" w:firstLine="851"/>
              <w:jc w:val="both"/>
              <w:textAlignment w:val="baseline"/>
              <w:rPr>
                <w:rFonts w:ascii="Calibri" w:hAnsi="Calibri" w:cs="Calibri" w:asciiTheme="minorHAnsi" w:cstheme="minorHAnsi" w:hAnsiTheme="minorHAnsi"/>
                <w:bCs/>
                <w:color w:val="000000"/>
                <w:kern w:val="0"/>
                <w:lang w:val="pt-BR"/>
              </w:rPr>
            </w:pPr>
            <w:r>
              <w:rPr>
                <w:rFonts w:cs="Calibri" w:cstheme="minorHAnsi" w:ascii="Calibri" w:hAnsi="Calibri"/>
                <w:bCs/>
                <w:color w:val="000000"/>
                <w:kern w:val="0"/>
                <w:lang w:val="pt-BR"/>
              </w:rPr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lineRule="auto" w:line="276" w:beforeAutospacing="0" w:before="0" w:afterAutospacing="0" w:after="0"/>
              <w:ind w:left="39" w:firstLine="851"/>
              <w:jc w:val="both"/>
              <w:textAlignment w:val="baseline"/>
              <w:rPr>
                <w:rFonts w:ascii="Calibri" w:hAnsi="Calibri" w:cs="Calibri" w:asciiTheme="minorHAnsi" w:cstheme="minorHAnsi" w:hAnsiTheme="minorHAnsi"/>
                <w:bCs/>
                <w:color w:val="000000"/>
                <w:kern w:val="0"/>
                <w:lang w:val="pt-BR"/>
              </w:rPr>
            </w:pPr>
            <w:r>
              <w:rPr>
                <w:rFonts w:cs="Calibri" w:ascii="Calibri" w:hAnsi="Calibri" w:cstheme="minorHAnsi"/>
                <w:bCs/>
                <w:color w:val="000000"/>
                <w:kern w:val="0"/>
                <w:shd w:fill="auto" w:val="clear"/>
                <w:lang w:val="pt-BR"/>
              </w:rPr>
              <w:t>A contratação observará em todas as fases as orientações e normas voltadas para a sustentabilidade ambiental. Dentre as recomendações voltadas para a sustentabilidade ambiental, a presente licitação observará também os seguintes critérios elencados na Instrução Normativa n° 1 de 19 de janeiro de 2010 da Secretaria de Logística e Tecnologia da Informação do Ministério do Planejamento, Orçamento e Gestão.</w:t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lineRule="auto" w:line="276" w:beforeAutospacing="0" w:before="0" w:afterAutospacing="0" w:after="0"/>
              <w:ind w:left="39" w:firstLine="851"/>
              <w:jc w:val="both"/>
              <w:textAlignment w:val="baseline"/>
              <w:rPr>
                <w:rFonts w:ascii="Calibri" w:hAnsi="Calibri" w:cs="Calibri" w:asciiTheme="minorHAnsi" w:cstheme="minorHAnsi" w:hAnsiTheme="minorHAnsi"/>
                <w:highlight w:val="yellow"/>
              </w:rPr>
            </w:pPr>
            <w:r>
              <w:rPr>
                <w:rFonts w:cs="Calibri" w:cstheme="minorHAnsi" w:ascii="Calibri" w:hAnsi="Calibri"/>
                <w:highlight w:val="yellow"/>
              </w:rPr>
            </w:r>
          </w:p>
        </w:tc>
      </w:tr>
      <w:tr>
        <w:trPr/>
        <w:tc>
          <w:tcPr>
            <w:tcW w:w="10329" w:type="dxa"/>
            <w:tcBorders>
              <w:top w:val="nil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9" w:firstLine="851"/>
              <w:jc w:val="center"/>
              <w:rPr>
                <w:rFonts w:eastAsia="Times New Roman" w:cs="Calibri"/>
                <w:b/>
                <w:b/>
                <w:color w:val="000000"/>
                <w:kern w:val="0"/>
                <w:sz w:val="24"/>
                <w:szCs w:val="24"/>
                <w:lang w:val="pt-BR" w:eastAsia="pt-BR"/>
              </w:rPr>
            </w:pPr>
            <w:r>
              <w:rPr>
                <w:rFonts w:eastAsia="Times New Roman" w:cs="Calibri"/>
                <w:b/>
                <w:color w:val="000000"/>
                <w:kern w:val="0"/>
                <w:sz w:val="20"/>
                <w:szCs w:val="24"/>
                <w:lang w:val="pt-BR" w:eastAsia="pt-B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9" w:firstLine="851"/>
              <w:jc w:val="center"/>
              <w:rPr>
                <w:rFonts w:eastAsia="Times New Roman" w:cs="Calibri"/>
                <w:b/>
                <w:b/>
                <w:color w:val="000000"/>
                <w:kern w:val="0"/>
                <w:sz w:val="24"/>
                <w:szCs w:val="24"/>
                <w:lang w:val="pt-BR" w:eastAsia="pt-BR"/>
              </w:rPr>
            </w:pPr>
            <w:r>
              <w:rPr>
                <w:rFonts w:eastAsia="Times New Roman" w:cs="Calibri" w:cstheme="minorHAnsi"/>
                <w:b/>
                <w:color w:val="000000" w:themeColor="text1"/>
                <w:kern w:val="0"/>
                <w:sz w:val="24"/>
                <w:szCs w:val="24"/>
                <w:shd w:fill="auto" w:val="clear"/>
                <w:lang w:val="pt-BR" w:eastAsia="pt-BR"/>
              </w:rPr>
              <w:t>XIII – Posicionamento conclusivo sobre a viabilidade e razoabilidade da Contratação</w:t>
            </w:r>
          </w:p>
        </w:tc>
      </w:tr>
      <w:tr>
        <w:trPr/>
        <w:tc>
          <w:tcPr>
            <w:tcW w:w="10329" w:type="dxa"/>
            <w:tcBorders/>
            <w:shd w:fill="auto" w:val="clea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120" w:after="120"/>
              <w:ind w:left="39" w:firstLine="851"/>
              <w:jc w:val="both"/>
              <w:textAlignment w:val="baseline"/>
              <w:rPr>
                <w:rFonts w:eastAsia="Times New Roman" w:cs="Calibri"/>
                <w:color w:val="000000"/>
                <w:kern w:val="0"/>
                <w:sz w:val="24"/>
                <w:szCs w:val="24"/>
                <w:lang w:val="pt-BR" w:eastAsia="pt-BR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4"/>
                <w:szCs w:val="24"/>
                <w:shd w:fill="auto" w:val="clear"/>
                <w:lang w:val="pt-BR" w:eastAsia="pt-BR"/>
              </w:rPr>
              <w:t>Assim, considerando os elementos obtidos neste instrumento, avalia-se como VIÁVEL e razoável a presente contratação.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120" w:after="120"/>
              <w:ind w:left="39" w:firstLine="851"/>
              <w:jc w:val="both"/>
              <w:textAlignment w:val="baseline"/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val="pt-BR" w:eastAsia="pt-BR"/>
              </w:rPr>
            </w:pPr>
            <w:r>
              <w:rPr>
                <w:rFonts w:eastAsia="Times New Roman" w:cs="Calibri" w:cstheme="minorHAnsi"/>
                <w:color w:val="000000"/>
                <w:kern w:val="0"/>
                <w:sz w:val="20"/>
                <w:szCs w:val="24"/>
                <w:lang w:val="pt-BR" w:eastAsia="pt-BR"/>
              </w:rPr>
            </w:r>
          </w:p>
        </w:tc>
      </w:tr>
    </w:tbl>
    <w:p>
      <w:pPr>
        <w:pStyle w:val="Normal"/>
        <w:spacing w:before="0" w:after="0"/>
        <w:jc w:val="right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before="0" w:after="0"/>
        <w:jc w:val="both"/>
        <w:rPr>
          <w:rFonts w:cs="Calibri" w:cs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Observação: Conforme previsto no art. 14º da Instrução Normativa nº 58, de 08 de agosto de 2022, é facultada a elaboração do ETP nas hipóteses dos incisos I, II, VII e VIII do art. 75 e do § 7º do art. 90 da Lei nº 14.133, de 2021 e dispensada na hipótese do inciso III do art. 75 da Lei nº 14.133, de 2021, e nos casos de prorrogações dos contratos de serviços e fornecimentos contínuos.</w:t>
      </w:r>
    </w:p>
    <w:p>
      <w:pPr>
        <w:pStyle w:val="Normal"/>
        <w:spacing w:before="0" w:after="0"/>
        <w:jc w:val="both"/>
        <w:rPr>
          <w:rFonts w:eastAsia="Times New Roman" w:cs="Calibri" w:cstheme="minorHAnsi"/>
          <w:sz w:val="24"/>
          <w:szCs w:val="24"/>
          <w:lang w:eastAsia="pt-BR"/>
        </w:rPr>
      </w:pPr>
      <w:r>
        <w:rPr>
          <w:rFonts w:eastAsia="Times New Roman" w:cs="Calibri" w:cstheme="minorHAnsi"/>
          <w:sz w:val="24"/>
          <w:szCs w:val="24"/>
          <w:lang w:eastAsia="pt-BR"/>
        </w:rPr>
      </w:r>
    </w:p>
    <w:p>
      <w:pPr>
        <w:pStyle w:val="Normal"/>
        <w:spacing w:before="0" w:after="0"/>
        <w:jc w:val="right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sz w:val="24"/>
          <w:szCs w:val="24"/>
          <w:lang w:eastAsia="pt-BR"/>
        </w:rPr>
        <w:t>Rio de Janeiro, RJ, 24 de novembro de 2023.</w:t>
      </w:r>
    </w:p>
    <w:p>
      <w:pPr>
        <w:pStyle w:val="Contedodatabela"/>
        <w:spacing w:before="0" w:after="0"/>
        <w:jc w:val="both"/>
        <w:rPr>
          <w:rFonts w:cs="Calibri" w:cstheme="minorHAnsi"/>
          <w:b/>
          <w:b/>
          <w:bCs/>
          <w:color w:val="000000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</w:r>
    </w:p>
    <w:p>
      <w:pPr>
        <w:pStyle w:val="Contedodatabela"/>
        <w:spacing w:before="0" w:after="0"/>
        <w:jc w:val="right"/>
        <w:rPr>
          <w:rFonts w:cs="Calibri" w:cstheme="minorHAnsi"/>
          <w:b/>
          <w:b/>
          <w:bCs/>
          <w:color w:val="000000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</w:r>
    </w:p>
    <w:p>
      <w:pPr>
        <w:pStyle w:val="Contedodatabela"/>
        <w:spacing w:before="0" w:after="0"/>
        <w:jc w:val="right"/>
        <w:rPr>
          <w:rFonts w:cs="Calibri" w:cstheme="minorHAnsi"/>
          <w:b/>
          <w:b/>
          <w:bCs/>
          <w:color w:val="000000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</w:r>
    </w:p>
    <w:p>
      <w:pPr>
        <w:pStyle w:val="Contedodatabela"/>
        <w:spacing w:before="0" w:after="0"/>
        <w:jc w:val="right"/>
        <w:rPr>
          <w:rFonts w:cs="Calibri" w:cstheme="minorHAnsi"/>
          <w:b/>
          <w:b/>
          <w:bCs/>
          <w:color w:val="000000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</w:r>
    </w:p>
    <w:p>
      <w:pPr>
        <w:pStyle w:val="Contedodatabela"/>
        <w:spacing w:before="0" w:after="0"/>
        <w:jc w:val="right"/>
        <w:rPr>
          <w:rFonts w:cs="Calibri" w:cstheme="minorHAnsi"/>
          <w:b/>
          <w:b/>
          <w:bCs/>
          <w:color w:val="000000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</w:r>
    </w:p>
    <w:p>
      <w:pPr>
        <w:pStyle w:val="Contedodatabela"/>
        <w:spacing w:before="0" w:after="0"/>
        <w:jc w:val="right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  <w:t>Membros da Equipe de Planejamento da Contratação e Fiscalização:</w:t>
      </w:r>
    </w:p>
    <w:p>
      <w:pPr>
        <w:pStyle w:val="Contedodatabela"/>
        <w:spacing w:lineRule="auto" w:line="240" w:before="0" w:after="0"/>
        <w:jc w:val="right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</w:r>
    </w:p>
    <w:p>
      <w:pPr>
        <w:pStyle w:val="Contedodatabela"/>
        <w:spacing w:lineRule="auto" w:line="240" w:before="0" w:after="0"/>
        <w:jc w:val="right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</w:r>
    </w:p>
    <w:p>
      <w:pPr>
        <w:pStyle w:val="Contedodatabela"/>
        <w:spacing w:lineRule="auto" w:line="240" w:before="0" w:after="0"/>
        <w:jc w:val="right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</w:r>
    </w:p>
    <w:tbl>
      <w:tblPr>
        <w:tblW w:w="9638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8333"/>
        <w:gridCol w:w="1304"/>
      </w:tblGrid>
      <w:tr>
        <w:trPr/>
        <w:tc>
          <w:tcPr>
            <w:tcW w:w="833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Calibri" w:cstheme="minorHAnsi"/>
                <w:sz w:val="24"/>
                <w:szCs w:val="24"/>
                <w:shd w:fill="auto" w:val="clear"/>
              </w:rPr>
              <w:t>BRUNA FERNANDES FERREIRA DA SILVA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Calibri" w:cstheme="minorHAnsi"/>
                <w:sz w:val="24"/>
                <w:szCs w:val="24"/>
                <w:shd w:fill="auto" w:val="clear"/>
              </w:rPr>
              <w:t>Capitão de Corveta (Md)</w:t>
            </w:r>
          </w:p>
          <w:p>
            <w:pPr>
              <w:pStyle w:val="Contedodatabela"/>
              <w:widowControl w:val="false"/>
              <w:tabs>
                <w:tab w:val="clear" w:pos="720"/>
                <w:tab w:val="left" w:pos="4111" w:leader="none"/>
              </w:tabs>
              <w:suppressAutoHyphens w:val="false"/>
              <w:spacing w:lineRule="auto" w:line="240" w:before="0" w:after="0"/>
              <w:jc w:val="center"/>
              <w:rPr>
                <w:rFonts w:eastAsia="MS Mincho;ＭＳ 明朝" w:cs="Calibri"/>
                <w:color w:val="000000"/>
                <w:kern w:val="2"/>
                <w:sz w:val="24"/>
                <w:szCs w:val="24"/>
                <w:highlight w:val="none"/>
                <w:shd w:fill="auto" w:val="clear"/>
                <w:lang w:eastAsia="pt-BR"/>
              </w:rPr>
            </w:pPr>
            <w:r>
              <w:rPr>
                <w:rFonts w:eastAsia="MS Mincho;ＭＳ 明朝" w:cs="Calibri" w:cstheme="minorHAnsi"/>
                <w:color w:val="000000"/>
                <w:kern w:val="2"/>
                <w:sz w:val="24"/>
                <w:szCs w:val="24"/>
                <w:shd w:fill="auto" w:val="clear"/>
                <w:lang w:eastAsia="pt-BR"/>
              </w:rPr>
              <w:t>Encarregada da  Clínica de Gastroenterologia</w:t>
            </w:r>
          </w:p>
        </w:tc>
        <w:tc>
          <w:tcPr>
            <w:tcW w:w="1304" w:type="dxa"/>
            <w:tcBorders/>
            <w:shd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2268" w:leader="none"/>
              </w:tabs>
              <w:snapToGrid w:val="false"/>
              <w:spacing w:lineRule="auto" w:line="240" w:before="0" w:after="0"/>
              <w:jc w:val="right"/>
              <w:rPr>
                <w:rFonts w:cs="Calibri" w:cstheme="minorHAnsi"/>
                <w:color w:val="000000"/>
                <w:sz w:val="24"/>
                <w:szCs w:val="24"/>
                <w:lang w:eastAsia="pt-BR"/>
              </w:rPr>
            </w:pPr>
            <w:r>
              <w:rPr>
                <w:rFonts w:cs="Calibri" w:cstheme="minorHAnsi"/>
                <w:color w:val="000000"/>
                <w:sz w:val="24"/>
                <w:szCs w:val="24"/>
                <w:lang w:eastAsia="pt-BR"/>
              </w:rPr>
            </w:r>
          </w:p>
        </w:tc>
      </w:tr>
    </w:tbl>
    <w:p>
      <w:pPr>
        <w:pStyle w:val="Normal"/>
        <w:spacing w:lineRule="auto" w:line="240" w:before="0" w:after="31"/>
        <w:jc w:val="center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Corpodotexto"/>
        <w:spacing w:lineRule="auto" w:line="276" w:before="0" w:after="0"/>
        <w:jc w:val="both"/>
        <w:rPr>
          <w:rFonts w:cs="Calibri" w:cs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Corpodotexto"/>
        <w:spacing w:lineRule="auto" w:line="276" w:before="0" w:after="0"/>
        <w:jc w:val="both"/>
        <w:rPr>
          <w:rFonts w:cs="Calibri" w:cs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Corpodotexto"/>
        <w:spacing w:lineRule="auto" w:line="276" w:before="0" w:after="0"/>
        <w:jc w:val="both"/>
        <w:rPr>
          <w:rFonts w:cs="Calibri" w:cs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Corpodotexto"/>
        <w:spacing w:lineRule="auto" w:line="276" w:before="0" w:after="0"/>
        <w:jc w:val="both"/>
        <w:rPr>
          <w:rFonts w:cs="Calibri" w:cs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Corpodotexto"/>
        <w:spacing w:lineRule="auto" w:line="276" w:before="0" w:after="0"/>
        <w:jc w:val="both"/>
        <w:rPr>
          <w:rFonts w:cs="Calibri" w:cs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Corpodotexto"/>
        <w:spacing w:lineRule="auto" w:line="276" w:before="0" w:after="0"/>
        <w:jc w:val="both"/>
        <w:rPr>
          <w:rFonts w:cs="Calibri" w:cs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Corpodotexto"/>
        <w:spacing w:lineRule="auto" w:line="276" w:before="0" w:after="0"/>
        <w:jc w:val="both"/>
        <w:rPr>
          <w:rFonts w:cs="Calibri" w:cs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Ato de aprovação.</w:t>
      </w:r>
    </w:p>
    <w:p>
      <w:pPr>
        <w:pStyle w:val="Corpodotexto"/>
        <w:spacing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Corpodotexto"/>
        <w:spacing w:before="0" w:after="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Aprovo o Estudo Técnico Preliminar, diante do exposto, restrito aos aspectos legais e formais do processo, entendendo pelo prosseguimento do mesmo. </w:t>
      </w:r>
    </w:p>
    <w:p>
      <w:pPr>
        <w:pStyle w:val="Corpodotexto"/>
        <w:spacing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Corpodotexto"/>
        <w:spacing w:lineRule="auto" w:line="240"/>
        <w:jc w:val="right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  <w:t>Rio de Janeiro, RJ   24  de novembro  de 2023.</w:t>
      </w:r>
    </w:p>
    <w:p>
      <w:pPr>
        <w:pStyle w:val="Corpodotexto"/>
        <w:spacing w:lineRule="auto" w:line="240" w:before="0" w:after="0"/>
        <w:jc w:val="center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Corpodotexto"/>
        <w:spacing w:lineRule="auto" w:line="240" w:before="0" w:after="0"/>
        <w:jc w:val="center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Corpodotexto"/>
        <w:spacing w:lineRule="auto" w:line="240" w:before="0" w:after="0"/>
        <w:jc w:val="center"/>
        <w:rPr>
          <w:rFonts w:cs="Calibri" w:cstheme="minorHAnsi"/>
        </w:rPr>
      </w:pPr>
      <w:r>
        <w:rPr>
          <w:rFonts w:cs="Calibri" w:cstheme="minorHAnsi"/>
          <w:color w:val="000000"/>
          <w:sz w:val="24"/>
          <w:szCs w:val="24"/>
        </w:rPr>
        <w:t xml:space="preserve">PAULO HENRIQUE DIAS VEIGA </w:t>
      </w:r>
    </w:p>
    <w:p>
      <w:pPr>
        <w:pStyle w:val="Corpodotexto"/>
        <w:spacing w:lineRule="auto" w:line="240" w:before="0" w:after="0"/>
        <w:jc w:val="center"/>
        <w:rPr>
          <w:rFonts w:cs="Calibri" w:cstheme="minorHAnsi"/>
        </w:rPr>
      </w:pPr>
      <w:r>
        <w:rPr>
          <w:rFonts w:cs="Calibri" w:cstheme="minorHAnsi"/>
          <w:color w:val="000000"/>
          <w:sz w:val="24"/>
          <w:szCs w:val="24"/>
        </w:rPr>
        <w:t>Capitão de Mar e Guerra (IM)</w:t>
      </w:r>
    </w:p>
    <w:p>
      <w:pPr>
        <w:pStyle w:val="Corpodotexto"/>
        <w:spacing w:lineRule="auto" w:line="240" w:before="0" w:after="0"/>
        <w:jc w:val="center"/>
        <w:rPr/>
      </w:pPr>
      <w:r>
        <w:rPr>
          <w:rFonts w:eastAsia="Times New Roman" w:cs="Calibri" w:cstheme="minorHAnsi"/>
          <w:color w:val="000000"/>
          <w:sz w:val="24"/>
          <w:szCs w:val="24"/>
          <w:lang w:eastAsia="pt-BR"/>
        </w:rPr>
        <w:t>Ordenador de Despesa</w:t>
      </w:r>
    </w:p>
    <w:sectPr>
      <w:headerReference w:type="default" r:id="rId3"/>
      <w:footerReference w:type="default" r:id="rId4"/>
      <w:footerReference w:type="first" r:id="rId5"/>
      <w:type w:val="nextPage"/>
      <w:pgSz w:w="11906" w:h="16838"/>
      <w:pgMar w:left="1134" w:right="1134" w:gutter="0" w:header="1134" w:top="1191" w:footer="1134" w:bottom="119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egoe U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center"/>
      <w:rPr/>
    </w:pPr>
    <w:r>
      <w:rPr>
        <w:sz w:val="24"/>
        <w:szCs w:val="24"/>
      </w:rPr>
      <w:t xml:space="preserve">-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  <w:r>
      <w:rPr>
        <w:sz w:val="24"/>
        <w:szCs w:val="24"/>
      </w:rPr>
      <w:t xml:space="preserve"> de 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4</w:t>
    </w:r>
    <w:r>
      <w:rPr/>
      <w:fldChar w:fldCharType="end"/>
    </w:r>
    <w:r>
      <w:rPr>
        <w:sz w:val="24"/>
        <w:szCs w:val="24"/>
      </w:rPr>
      <w:t xml:space="preserve"> -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center"/>
      <w:rPr/>
    </w:pPr>
    <w:r>
      <w:rPr>
        <w:sz w:val="24"/>
        <w:szCs w:val="24"/>
      </w:rPr>
      <w:t xml:space="preserve">-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  <w:r>
      <w:rPr>
        <w:sz w:val="24"/>
        <w:szCs w:val="24"/>
      </w:rPr>
      <w:t xml:space="preserve"> de 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4</w:t>
    </w:r>
    <w:r>
      <w:rPr/>
      <w:fldChar w:fldCharType="end"/>
    </w:r>
    <w:r>
      <w:rPr>
        <w:sz w:val="24"/>
        <w:szCs w:val="24"/>
      </w:rPr>
      <w:t xml:space="preserve"> -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/>
    </w:pPr>
    <w:r>
      <w:rPr/>
      <w:t>Continuação dos Estudos Preliminares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Ttulo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mirrorMargins/>
  <w:defaultTabStop w:val="720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7431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t-BR" w:eastAsia="en-US" w:bidi="ar-SA"/>
    </w:rPr>
  </w:style>
  <w:style w:type="paragraph" w:styleId="Ttulo1" w:customStyle="1">
    <w:name w:val="Heading 1"/>
    <w:basedOn w:val="Normal"/>
    <w:next w:val="Normal"/>
    <w:link w:val="Ttulo1Char"/>
    <w:uiPriority w:val="9"/>
    <w:qFormat/>
    <w:rsid w:val="00467520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tulo3" w:customStyle="1">
    <w:name w:val="Heading 3"/>
    <w:basedOn w:val="Ttulododocumento"/>
    <w:qFormat/>
    <w:rsid w:val="005d03e4"/>
    <w:pPr>
      <w:numPr>
        <w:ilvl w:val="2"/>
        <w:numId w:val="1"/>
      </w:numPr>
      <w:spacing w:before="140" w:after="120"/>
      <w:outlineLvl w:val="2"/>
    </w:pPr>
    <w:rPr>
      <w:rFonts w:ascii="Liberation Serif" w:hAnsi="Liberation Serif" w:eastAsia="NSimSun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ubttuloTRChar" w:customStyle="1">
    <w:name w:val="Subtítulo TR Char"/>
    <w:basedOn w:val="DefaultParagraphFont"/>
    <w:link w:val="SubttuloTR"/>
    <w:qFormat/>
    <w:rsid w:val="001a145d"/>
    <w:rPr>
      <w:rFonts w:ascii="Times New Roman" w:hAnsi="Times New Roman" w:eastAsia="MS Mincho"/>
      <w:b/>
      <w:color w:val="000000"/>
      <w:sz w:val="24"/>
      <w:szCs w:val="24"/>
      <w:lang w:eastAsia="ja-JP"/>
    </w:rPr>
  </w:style>
  <w:style w:type="character" w:styleId="LinkdaInternet" w:customStyle="1">
    <w:name w:val="Link da Internet"/>
    <w:basedOn w:val="DefaultParagraphFont"/>
    <w:uiPriority w:val="99"/>
    <w:unhideWhenUsed/>
    <w:rsid w:val="00031051"/>
    <w:rPr>
      <w:color w:val="0000FF" w:themeColor="hyperlink"/>
      <w:u w:val="single"/>
    </w:rPr>
  </w:style>
  <w:style w:type="character" w:styleId="Ttulo1Char" w:customStyle="1">
    <w:name w:val="Título 1 Char"/>
    <w:basedOn w:val="DefaultParagraphFont"/>
    <w:link w:val="Heading1"/>
    <w:uiPriority w:val="9"/>
    <w:qFormat/>
    <w:rsid w:val="00467520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7a4738"/>
    <w:rPr>
      <w:b/>
      <w:bCs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f3704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semiHidden/>
    <w:qFormat/>
    <w:rsid w:val="002f3704"/>
    <w:rPr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2f3704"/>
    <w:rPr>
      <w:b/>
      <w:bCs/>
      <w:sz w:val="20"/>
      <w:szCs w:val="20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2f3704"/>
    <w:rPr>
      <w:rFonts w:ascii="Tahoma" w:hAnsi="Tahoma" w:cs="Tahoma"/>
      <w:sz w:val="16"/>
      <w:szCs w:val="16"/>
    </w:rPr>
  </w:style>
  <w:style w:type="character" w:styleId="CitaoChar" w:customStyle="1">
    <w:name w:val="Citação Char"/>
    <w:basedOn w:val="DefaultParagraphFont"/>
    <w:link w:val="Citao"/>
    <w:uiPriority w:val="29"/>
    <w:qFormat/>
    <w:rsid w:val="00e3762e"/>
    <w:rPr>
      <w:rFonts w:ascii="Arial" w:hAnsi="Arial" w:eastAsia="Calibri" w:cs="Times New Roman"/>
      <w:i/>
      <w:iCs/>
      <w:color w:val="000000"/>
      <w:sz w:val="20"/>
      <w:szCs w:val="24"/>
      <w:shd w:fill="FFFFCC" w:val="clear"/>
    </w:rPr>
  </w:style>
  <w:style w:type="character" w:styleId="Linkdainternetvisitado" w:customStyle="1">
    <w:name w:val="Link da internet visitado"/>
    <w:basedOn w:val="DefaultParagraphFont"/>
    <w:uiPriority w:val="99"/>
    <w:semiHidden/>
    <w:unhideWhenUsed/>
    <w:qFormat/>
    <w:rsid w:val="00ba2fbe"/>
    <w:rPr>
      <w:color w:val="800080" w:themeColor="followedHyperlink"/>
      <w:u w:val="single"/>
    </w:rPr>
  </w:style>
  <w:style w:type="character" w:styleId="WW8Num4z0" w:customStyle="1">
    <w:name w:val="WW8Num4z0"/>
    <w:qFormat/>
    <w:rsid w:val="00ec665d"/>
    <w:rPr>
      <w:b/>
      <w:color w:val="00000A"/>
      <w:sz w:val="22"/>
    </w:rPr>
  </w:style>
  <w:style w:type="character" w:styleId="WW8Num4z1" w:customStyle="1">
    <w:name w:val="WW8Num4z1"/>
    <w:qFormat/>
    <w:rsid w:val="00ec665d"/>
    <w:rPr>
      <w:b/>
      <w:iCs/>
      <w:lang w:val="pt-BR"/>
    </w:rPr>
  </w:style>
  <w:style w:type="character" w:styleId="WW8Num4z3" w:customStyle="1">
    <w:name w:val="WW8Num4z3"/>
    <w:qFormat/>
    <w:rsid w:val="00ec665d"/>
    <w:rPr/>
  </w:style>
  <w:style w:type="character" w:styleId="WW8Num4z4" w:customStyle="1">
    <w:name w:val="WW8Num4z4"/>
    <w:qFormat/>
    <w:rsid w:val="00ec665d"/>
    <w:rPr/>
  </w:style>
  <w:style w:type="character" w:styleId="WW8Num4z5" w:customStyle="1">
    <w:name w:val="WW8Num4z5"/>
    <w:qFormat/>
    <w:rsid w:val="00ec665d"/>
    <w:rPr/>
  </w:style>
  <w:style w:type="character" w:styleId="WW8Num4z6" w:customStyle="1">
    <w:name w:val="WW8Num4z6"/>
    <w:qFormat/>
    <w:rsid w:val="00ec665d"/>
    <w:rPr/>
  </w:style>
  <w:style w:type="character" w:styleId="WW8Num4z7" w:customStyle="1">
    <w:name w:val="WW8Num4z7"/>
    <w:qFormat/>
    <w:rsid w:val="00ec665d"/>
    <w:rPr/>
  </w:style>
  <w:style w:type="character" w:styleId="WW8Num4z8" w:customStyle="1">
    <w:name w:val="WW8Num4z8"/>
    <w:qFormat/>
    <w:rsid w:val="00ec665d"/>
    <w:rPr/>
  </w:style>
  <w:style w:type="character" w:styleId="WW8Num2z0" w:customStyle="1">
    <w:name w:val="WW8Num2z0"/>
    <w:qFormat/>
    <w:rsid w:val="00ec665d"/>
    <w:rPr>
      <w:rFonts w:eastAsia="Lucida Sans Unicode" w:cs="Times New Roman"/>
      <w:color w:val="000000"/>
      <w:sz w:val="24"/>
      <w:szCs w:val="24"/>
      <w:lang w:val="pt-BR" w:eastAsia="zh-CN" w:bidi="ar-SA"/>
    </w:rPr>
  </w:style>
  <w:style w:type="character" w:styleId="Marcadores" w:customStyle="1">
    <w:name w:val="Marcadores"/>
    <w:qFormat/>
    <w:rsid w:val="00f1230c"/>
    <w:rPr>
      <w:rFonts w:ascii="OpenSymbol" w:hAnsi="OpenSymbol" w:eastAsia="OpenSymbol" w:cs="OpenSymbol"/>
    </w:rPr>
  </w:style>
  <w:style w:type="character" w:styleId="WW8Num3z1" w:customStyle="1">
    <w:name w:val="WW8Num3z1"/>
    <w:qFormat/>
    <w:rsid w:val="00d3008b"/>
    <w:rPr/>
  </w:style>
  <w:style w:type="character" w:styleId="CabealhoChar" w:customStyle="1">
    <w:name w:val="Cabeçalho Char"/>
    <w:basedOn w:val="DefaultParagraphFont"/>
    <w:uiPriority w:val="99"/>
    <w:semiHidden/>
    <w:qFormat/>
    <w:rsid w:val="00b3275e"/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eastAsia="en-US" w:bidi="ar-SA"/>
    </w:rPr>
  </w:style>
  <w:style w:type="character" w:styleId="RodapChar" w:customStyle="1">
    <w:name w:val="Rodapé Char"/>
    <w:basedOn w:val="DefaultParagraphFont"/>
    <w:uiPriority w:val="99"/>
    <w:semiHidden/>
    <w:qFormat/>
    <w:rsid w:val="00b3275e"/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eastAsia="en-US" w:bidi="ar-SA"/>
    </w:rPr>
  </w:style>
  <w:style w:type="character" w:styleId="CabealhoChar1" w:customStyle="1">
    <w:name w:val="Cabeçalho Char1"/>
    <w:basedOn w:val="DefaultParagraphFont"/>
    <w:link w:val="Header"/>
    <w:uiPriority w:val="99"/>
    <w:semiHidden/>
    <w:qFormat/>
    <w:rsid w:val="00230f81"/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eastAsia="en-US" w:bidi="ar-SA"/>
    </w:rPr>
  </w:style>
  <w:style w:type="character" w:styleId="RodapChar1" w:customStyle="1">
    <w:name w:val="Rodapé Char1"/>
    <w:basedOn w:val="DefaultParagraphFont"/>
    <w:link w:val="Footer"/>
    <w:uiPriority w:val="99"/>
    <w:semiHidden/>
    <w:qFormat/>
    <w:rsid w:val="00230f81"/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eastAsia="en-US" w:bidi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rsid w:val="00ec665d"/>
    <w:pPr>
      <w:spacing w:lineRule="auto" w:line="288" w:before="0" w:after="140"/>
    </w:pPr>
    <w:rPr/>
  </w:style>
  <w:style w:type="paragraph" w:styleId="Lista">
    <w:name w:val="List"/>
    <w:basedOn w:val="Corpodotexto"/>
    <w:rsid w:val="00ec665d"/>
    <w:pPr/>
    <w:rPr>
      <w:rFonts w:cs="Lucida Sans"/>
    </w:rPr>
  </w:style>
  <w:style w:type="paragraph" w:styleId="Legenda" w:customStyle="1">
    <w:name w:val="Caption"/>
    <w:basedOn w:val="Normal"/>
    <w:qFormat/>
    <w:rsid w:val="00ec665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ec665d"/>
    <w:pPr>
      <w:suppressLineNumbers/>
    </w:pPr>
    <w:rPr>
      <w:rFonts w:cs="Lucida Sans"/>
    </w:rPr>
  </w:style>
  <w:style w:type="paragraph" w:styleId="Ttulododocumento">
    <w:name w:val="Title"/>
    <w:basedOn w:val="Normal"/>
    <w:qFormat/>
    <w:rsid w:val="00ec665d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ubttuloTR" w:customStyle="1">
    <w:name w:val="Subtítulo TR"/>
    <w:basedOn w:val="Normal"/>
    <w:next w:val="Normal"/>
    <w:link w:val="SubttuloTRChar"/>
    <w:qFormat/>
    <w:rsid w:val="001a145d"/>
    <w:pPr>
      <w:spacing w:lineRule="auto" w:line="240" w:before="240" w:after="240"/>
      <w:jc w:val="both"/>
    </w:pPr>
    <w:rPr>
      <w:rFonts w:ascii="Times New Roman" w:hAnsi="Times New Roman" w:eastAsia="MS Mincho"/>
      <w:b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qFormat/>
    <w:rsid w:val="00f1230c"/>
    <w:pPr>
      <w:suppressAutoHyphens w:val="false"/>
      <w:spacing w:before="0" w:after="200"/>
      <w:ind w:left="720" w:hanging="0"/>
      <w:contextualSpacing/>
    </w:pPr>
    <w:rPr>
      <w:rFonts w:ascii="Calibri" w:hAnsi="Calibri" w:eastAsia="Times New Roman" w:cs="Times New Roman"/>
      <w:kern w:val="2"/>
    </w:rPr>
  </w:style>
  <w:style w:type="paragraph" w:styleId="Nivel1" w:customStyle="1">
    <w:name w:val="Nivel1"/>
    <w:basedOn w:val="Ttulo1"/>
    <w:next w:val="Normal"/>
    <w:qFormat/>
    <w:rsid w:val="00467520"/>
    <w:pPr>
      <w:spacing w:before="480" w:after="120"/>
      <w:jc w:val="both"/>
      <w:outlineLvl w:val="9"/>
    </w:pPr>
    <w:rPr>
      <w:rFonts w:ascii="Arial" w:hAnsi="Arial"/>
      <w:bCs w:val="false"/>
      <w:color w:val="000000"/>
      <w:lang w:eastAsia="pt-BR"/>
    </w:rPr>
  </w:style>
  <w:style w:type="paragraph" w:styleId="NormalWeb">
    <w:name w:val="Normal (Web)"/>
    <w:basedOn w:val="Normal"/>
    <w:uiPriority w:val="99"/>
    <w:unhideWhenUsed/>
    <w:qFormat/>
    <w:rsid w:val="007a473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2f370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AssuntodocomentrioChar"/>
    <w:uiPriority w:val="99"/>
    <w:semiHidden/>
    <w:unhideWhenUsed/>
    <w:qFormat/>
    <w:rsid w:val="002f3704"/>
    <w:pPr/>
    <w:rPr>
      <w:b/>
      <w:bCs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2f370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CitaoChar"/>
    <w:uiPriority w:val="29"/>
    <w:qFormat/>
    <w:rsid w:val="00e3762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lineRule="auto" w:line="240" w:before="120" w:after="0"/>
      <w:jc w:val="both"/>
    </w:pPr>
    <w:rPr>
      <w:rFonts w:ascii="Arial" w:hAnsi="Arial" w:eastAsia="Calibri" w:cs="Times New Roman"/>
      <w:i/>
      <w:iCs/>
      <w:color w:val="000000"/>
      <w:sz w:val="20"/>
      <w:szCs w:val="24"/>
    </w:rPr>
  </w:style>
  <w:style w:type="paragraph" w:styleId="Contedodatabela" w:customStyle="1">
    <w:name w:val="Conteúdo da tabela"/>
    <w:basedOn w:val="Normal"/>
    <w:qFormat/>
    <w:rsid w:val="00ec665d"/>
    <w:pPr/>
    <w:rPr/>
  </w:style>
  <w:style w:type="paragraph" w:styleId="Ttulodetabela" w:customStyle="1">
    <w:name w:val="Título de tabela"/>
    <w:basedOn w:val="Contedodatabela"/>
    <w:qFormat/>
    <w:rsid w:val="00ec665d"/>
    <w:pPr/>
    <w:rPr/>
  </w:style>
  <w:style w:type="paragraph" w:styleId="LOnormal" w:customStyle="1">
    <w:name w:val="LO-normal"/>
    <w:qFormat/>
    <w:rsid w:val="00ec665d"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000000"/>
      <w:kern w:val="0"/>
      <w:sz w:val="22"/>
      <w:szCs w:val="22"/>
      <w:lang w:val="pt-BR" w:eastAsia="zh-CN" w:bidi="ar-SA"/>
    </w:rPr>
  </w:style>
  <w:style w:type="paragraph" w:styleId="CabealhoeRodap" w:customStyle="1">
    <w:name w:val="Cabeçalho e Rodapé"/>
    <w:basedOn w:val="Normal"/>
    <w:qFormat/>
    <w:rsid w:val="00f1230c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" w:customStyle="1">
    <w:name w:val="Header"/>
    <w:basedOn w:val="Normal"/>
    <w:link w:val="CabealhoChar1"/>
    <w:uiPriority w:val="99"/>
    <w:semiHidden/>
    <w:unhideWhenUsed/>
    <w:rsid w:val="00230f81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 w:customStyle="1">
    <w:name w:val="Footer"/>
    <w:basedOn w:val="Normal"/>
    <w:link w:val="RodapChar1"/>
    <w:uiPriority w:val="99"/>
    <w:semiHidden/>
    <w:unhideWhenUsed/>
    <w:rsid w:val="00230f81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Corpodotextorecuado">
    <w:name w:val="Body Text Indent"/>
    <w:basedOn w:val="Normal"/>
    <w:rsid w:val="00f1230c"/>
    <w:pPr>
      <w:spacing w:before="0" w:after="120"/>
      <w:ind w:left="283" w:hanging="0"/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a57e57"/>
  </w:style>
  <w:style w:type="numbering" w:styleId="WW8Num4" w:customStyle="1">
    <w:name w:val="WW8Num4"/>
    <w:qFormat/>
    <w:rsid w:val="00ec665d"/>
  </w:style>
  <w:style w:type="numbering" w:styleId="WW8Num2" w:customStyle="1">
    <w:name w:val="WW8Num2"/>
    <w:qFormat/>
    <w:rsid w:val="00ec665d"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6268e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uiPriority w:val="99"/>
    <w:rsid w:val="00467520"/>
    <w:rPr>
      <w:lang w:eastAsia="pt-BR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AFB5A-BFA6-41EA-8BCC-BB73CDD23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Application>LibreOffice/7.2.1.2$Windows_X86_64 LibreOffice_project/87b77fad49947c1441b67c559c339af8f3517e22</Application>
  <AppVersion>15.0000</AppVersion>
  <Pages>4</Pages>
  <Words>781</Words>
  <Characters>4411</Characters>
  <CharactersWithSpaces>5182</CharactersWithSpaces>
  <Paragraphs>48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2022-12-19T13:41:00Z</dcterms:created>
  <dc:creator>CHRISTINE CACERES BURGHART</dc:creator>
  <dc:description/>
  <dc:language>pt-BR</dc:language>
  <cp:lastModifiedBy/>
  <cp:lastPrinted>2023-11-27T10:48:16Z</cp:lastPrinted>
  <dcterms:modified xsi:type="dcterms:W3CDTF">2023-11-27T10:48:06Z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