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contextualSpacing/>
        <w:jc w:val="center"/>
        <w:rPr>
          <w:rFonts w:ascii="Calibri" w:hAnsi="Calibri"/>
          <w:sz w:val="24"/>
          <w:szCs w:val="24"/>
        </w:rPr>
      </w:pPr>
      <w:r>
        <w:rPr>
          <w:rFonts w:cs="Arial" w:ascii="Calibri" w:hAnsi="Calibri"/>
          <w:b/>
          <w:bCs/>
          <w:i w:val="false"/>
          <w:iCs w:val="false"/>
          <w:color w:val="000000"/>
          <w:sz w:val="24"/>
          <w:szCs w:val="24"/>
        </w:rPr>
        <w:t>ESCOLA DE APRENDIZES MARINHEIROS DO CEARÁ</w:t>
      </w:r>
    </w:p>
    <w:p>
      <w:pPr>
        <w:pStyle w:val="Normal"/>
        <w:spacing w:lineRule="auto" w:line="240" w:before="0" w:after="0"/>
        <w:contextualSpacing/>
        <w:jc w:val="center"/>
        <w:rPr>
          <w:rFonts w:ascii="Calibri" w:hAnsi="Calibri"/>
          <w:sz w:val="24"/>
          <w:szCs w:val="24"/>
        </w:rPr>
      </w:pPr>
      <w:r>
        <w:rPr>
          <w:rFonts w:cs="Arial" w:ascii="Calibri" w:hAnsi="Calibri"/>
          <w:b/>
          <w:bCs/>
          <w:i w:val="false"/>
          <w:iCs w:val="false"/>
          <w:color w:val="000000" w:themeColor="text1"/>
          <w:sz w:val="24"/>
          <w:szCs w:val="24"/>
        </w:rPr>
        <w:t>AVISO DE DISPENSA ELETRÔNICA Nº</w:t>
      </w:r>
      <w:r>
        <w:rPr>
          <w:rFonts w:cs="Arial" w:ascii="Calibri" w:hAnsi="Calibri"/>
          <w:b/>
          <w:bCs/>
          <w:i w:val="false"/>
          <w:iCs w:val="false"/>
          <w:color w:val="auto"/>
          <w:sz w:val="24"/>
          <w:szCs w:val="24"/>
        </w:rPr>
        <w:t xml:space="preserve"> </w:t>
      </w:r>
      <w:r>
        <w:rPr>
          <w:rFonts w:eastAsia="Times New Roman" w:cs="Arial" w:ascii="Calibri" w:hAnsi="Calibri"/>
          <w:b/>
          <w:bCs/>
          <w:i w:val="false"/>
          <w:iCs w:val="false"/>
          <w:color w:val="auto"/>
          <w:sz w:val="24"/>
          <w:szCs w:val="24"/>
          <w:lang w:eastAsia="pt-BR"/>
        </w:rPr>
        <w:t>1</w:t>
      </w:r>
      <w:r>
        <w:rPr>
          <w:rFonts w:eastAsia="Times New Roman" w:cs="Arial" w:ascii="Calibri" w:hAnsi="Calibri"/>
          <w:b/>
          <w:bCs/>
          <w:i w:val="false"/>
          <w:iCs w:val="false"/>
          <w:color w:val="auto"/>
          <w:sz w:val="24"/>
          <w:szCs w:val="24"/>
          <w:lang w:eastAsia="pt-BR"/>
        </w:rPr>
        <w:t>4</w:t>
      </w:r>
      <w:r>
        <w:rPr>
          <w:rFonts w:cs="Arial" w:ascii="Calibri" w:hAnsi="Calibri"/>
          <w:b/>
          <w:bCs/>
          <w:i w:val="false"/>
          <w:iCs w:val="false"/>
          <w:color w:val="auto"/>
          <w:sz w:val="24"/>
          <w:szCs w:val="24"/>
        </w:rPr>
        <w:t>/2023</w:t>
      </w:r>
    </w:p>
    <w:p>
      <w:pPr>
        <w:pStyle w:val="Normal"/>
        <w:spacing w:lineRule="auto" w:line="240" w:before="0" w:after="0"/>
        <w:ind w:right="-15" w:hanging="0"/>
        <w:contextualSpacing/>
        <w:jc w:val="center"/>
        <w:rPr>
          <w:color w:val="auto"/>
        </w:rPr>
      </w:pPr>
      <w:r>
        <w:rPr>
          <w:rFonts w:cs="Arial" w:ascii="Calibri" w:hAnsi="Calibri"/>
          <w:b/>
          <w:bCs/>
          <w:i w:val="false"/>
          <w:iCs w:val="false"/>
          <w:color w:val="auto"/>
          <w:sz w:val="24"/>
          <w:szCs w:val="24"/>
        </w:rPr>
        <w:t>(Processo Administrativo n.°63116.0074</w:t>
      </w:r>
      <w:r>
        <w:rPr>
          <w:rFonts w:cs="Arial" w:ascii="Calibri" w:hAnsi="Calibri"/>
          <w:b/>
          <w:bCs/>
          <w:i w:val="false"/>
          <w:iCs w:val="false"/>
          <w:color w:val="auto"/>
          <w:sz w:val="24"/>
          <w:szCs w:val="24"/>
        </w:rPr>
        <w:t>88</w:t>
      </w:r>
      <w:r>
        <w:rPr>
          <w:rFonts w:cs="Arial" w:ascii="Calibri" w:hAnsi="Calibri"/>
          <w:b/>
          <w:bCs/>
          <w:i w:val="false"/>
          <w:iCs w:val="false"/>
          <w:color w:val="auto"/>
          <w:sz w:val="24"/>
          <w:szCs w:val="24"/>
        </w:rPr>
        <w:t>/2023-</w:t>
      </w:r>
      <w:r>
        <w:rPr>
          <w:rFonts w:cs="Arial" w:ascii="Calibri" w:hAnsi="Calibri"/>
          <w:b/>
          <w:bCs/>
          <w:i w:val="false"/>
          <w:iCs w:val="false"/>
          <w:color w:val="auto"/>
          <w:sz w:val="24"/>
          <w:szCs w:val="24"/>
        </w:rPr>
        <w:t>13</w:t>
      </w:r>
      <w:r>
        <w:rPr>
          <w:rFonts w:cs="Arial" w:ascii="Calibri" w:hAnsi="Calibri"/>
          <w:b/>
          <w:bCs/>
          <w:i w:val="false"/>
          <w:iCs w:val="false"/>
          <w:color w:val="auto"/>
          <w:sz w:val="24"/>
          <w:szCs w:val="24"/>
        </w:rPr>
        <w:t>)</w:t>
      </w:r>
    </w:p>
    <w:p>
      <w:pPr>
        <w:pStyle w:val="Normal"/>
        <w:spacing w:before="0" w:after="0"/>
        <w:contextualSpacing/>
        <w:rPr>
          <w:rFonts w:ascii="Calibri" w:hAnsi="Calibri" w:cs="Arial"/>
          <w:color w:val="auto"/>
          <w:sz w:val="24"/>
          <w:szCs w:val="24"/>
        </w:rPr>
      </w:pPr>
      <w:r>
        <w:rPr>
          <w:rFonts w:cs="Arial" w:ascii="Calibri" w:hAnsi="Calibri"/>
          <w:color w:val="auto"/>
          <w:sz w:val="24"/>
          <w:szCs w:val="24"/>
        </w:rPr>
      </w:r>
    </w:p>
    <w:p>
      <w:pPr>
        <w:pStyle w:val="Normal"/>
        <w:snapToGrid w:val="false"/>
        <w:spacing w:lineRule="auto" w:line="276" w:before="0" w:after="0"/>
        <w:ind w:right="-30" w:firstLine="540"/>
        <w:contextualSpacing/>
        <w:jc w:val="both"/>
        <w:rPr>
          <w:rFonts w:ascii="Calibri" w:hAnsi="Calibri"/>
          <w:sz w:val="24"/>
          <w:szCs w:val="24"/>
        </w:rPr>
      </w:pPr>
      <w:r>
        <w:rPr>
          <w:rFonts w:cs="Arial" w:ascii="Calibri" w:hAnsi="Calibri"/>
          <w:color w:val="000000" w:themeColor="text1"/>
          <w:sz w:val="24"/>
          <w:szCs w:val="24"/>
        </w:rPr>
        <w:t xml:space="preserve">Torna-se público que </w:t>
      </w:r>
      <w:r>
        <w:rPr>
          <w:rFonts w:cs="Arial" w:ascii="Calibri" w:hAnsi="Calibri"/>
          <w:i w:val="false"/>
          <w:iCs w:val="false"/>
          <w:color w:val="000000"/>
          <w:sz w:val="24"/>
          <w:szCs w:val="24"/>
        </w:rPr>
        <w:t>a</w:t>
      </w:r>
      <w:r>
        <w:rPr>
          <w:rFonts w:eastAsia="Arial" w:cs="Arial" w:ascii="Calibri" w:hAnsi="Calibri"/>
          <w:i w:val="false"/>
          <w:iCs w:val="false"/>
          <w:color w:val="000000"/>
          <w:sz w:val="24"/>
          <w:szCs w:val="24"/>
        </w:rPr>
        <w:t xml:space="preserve"> </w:t>
      </w:r>
      <w:r>
        <w:rPr>
          <w:rFonts w:cs="Arial" w:ascii="Calibri" w:hAnsi="Calibri"/>
          <w:i w:val="false"/>
          <w:iCs w:val="false"/>
          <w:color w:val="000000"/>
          <w:sz w:val="24"/>
          <w:szCs w:val="24"/>
        </w:rPr>
        <w:t>Escola de Aprendizes-Marinheiros do Ceará</w:t>
      </w:r>
      <w:r>
        <w:rPr>
          <w:rFonts w:cs="Arial" w:ascii="Calibri" w:hAnsi="Calibri"/>
          <w:color w:val="000000" w:themeColor="text1"/>
          <w:sz w:val="24"/>
          <w:szCs w:val="24"/>
        </w:rPr>
        <w:t xml:space="preserve">, por meio </w:t>
      </w:r>
      <w:r>
        <w:rPr>
          <w:rFonts w:cs="Arial" w:ascii="Calibri" w:hAnsi="Calibri"/>
          <w:i w:val="false"/>
          <w:iCs w:val="false"/>
          <w:color w:val="000000"/>
          <w:sz w:val="24"/>
          <w:szCs w:val="24"/>
        </w:rPr>
        <w:t>da Divisão de Obtenção</w:t>
      </w:r>
      <w:r>
        <w:rPr>
          <w:rFonts w:cs="Arial" w:ascii="Calibri" w:hAnsi="Calibri"/>
          <w:color w:val="000000" w:themeColor="text1"/>
          <w:sz w:val="24"/>
          <w:szCs w:val="24"/>
        </w:rPr>
        <w:t xml:space="preserve">, realizará Dispensa Eletrônica, </w:t>
      </w:r>
      <w:r>
        <w:rPr>
          <w:rFonts w:cs="Arial" w:ascii="Calibri" w:hAnsi="Calibri"/>
          <w:bCs/>
          <w:color w:val="000000" w:themeColor="text1"/>
          <w:sz w:val="24"/>
          <w:szCs w:val="24"/>
        </w:rPr>
        <w:t>com critério de julgamento</w:t>
      </w:r>
      <w:r>
        <w:rPr>
          <w:rFonts w:cs="Arial" w:ascii="Calibri" w:hAnsi="Calibri"/>
          <w:b/>
          <w:bCs/>
          <w:color w:val="000000" w:themeColor="text1"/>
          <w:sz w:val="24"/>
          <w:szCs w:val="24"/>
        </w:rPr>
        <w:t xml:space="preserve"> </w:t>
      </w:r>
      <w:r>
        <w:rPr>
          <w:rFonts w:cs="Arial" w:ascii="Calibri" w:hAnsi="Calibri"/>
          <w:i/>
          <w:color w:val="auto"/>
          <w:sz w:val="24"/>
          <w:szCs w:val="24"/>
        </w:rPr>
        <w:t>menor preço</w:t>
      </w:r>
      <w:r>
        <w:rPr>
          <w:rFonts w:cs="Arial" w:ascii="Calibri" w:hAnsi="Calibri"/>
          <w:b/>
          <w:bCs/>
          <w:i/>
          <w:color w:val="auto"/>
          <w:sz w:val="24"/>
          <w:szCs w:val="24"/>
        </w:rPr>
        <w:t xml:space="preserve">, </w:t>
      </w:r>
      <w:r>
        <w:rPr>
          <w:rFonts w:cs="Arial" w:ascii="Calibri" w:hAnsi="Calibri"/>
          <w:color w:val="000000" w:themeColor="text1"/>
          <w:sz w:val="24"/>
          <w:szCs w:val="24"/>
        </w:rPr>
        <w:t>na hipótese do art. 75</w:t>
      </w:r>
      <w:r>
        <w:rPr>
          <w:rFonts w:cs="Arial" w:ascii="Calibri" w:hAnsi="Calibri"/>
          <w:i/>
          <w:iCs/>
          <w:color w:val="000000" w:themeColor="text1"/>
          <w:sz w:val="24"/>
          <w:szCs w:val="24"/>
        </w:rPr>
        <w:t>,</w:t>
      </w:r>
      <w:r>
        <w:rPr>
          <w:rFonts w:cs="Arial" w:ascii="Calibri" w:hAnsi="Calibri"/>
          <w:i/>
          <w:iCs/>
          <w:color w:val="auto"/>
          <w:sz w:val="24"/>
          <w:szCs w:val="24"/>
        </w:rPr>
        <w:t xml:space="preserve"> inciso </w:t>
      </w:r>
      <w:r>
        <w:rPr>
          <w:rFonts w:cs="Arial" w:ascii="Calibri" w:hAnsi="Calibri"/>
          <w:b w:val="false"/>
          <w:bCs w:val="false"/>
          <w:i/>
          <w:iCs/>
          <w:color w:val="auto"/>
          <w:sz w:val="24"/>
          <w:szCs w:val="24"/>
        </w:rPr>
        <w:t>II</w:t>
      </w:r>
      <w:r>
        <w:rPr>
          <w:rFonts w:cs="Arial" w:ascii="Calibri" w:hAnsi="Calibri"/>
          <w:i/>
          <w:iCs/>
          <w:color w:val="auto"/>
          <w:sz w:val="24"/>
          <w:szCs w:val="24"/>
        </w:rPr>
        <w:t>,</w:t>
      </w:r>
      <w:r>
        <w:rPr>
          <w:rFonts w:cs="Arial" w:ascii="Calibri" w:hAnsi="Calibri"/>
          <w:color w:val="auto"/>
          <w:sz w:val="24"/>
          <w:szCs w:val="24"/>
        </w:rPr>
        <w:t xml:space="preserve"> </w:t>
      </w:r>
      <w:r>
        <w:rPr>
          <w:rFonts w:cs="Arial" w:ascii="Calibri" w:hAnsi="Calibri"/>
          <w:bCs/>
          <w:color w:val="000000"/>
          <w:sz w:val="24"/>
          <w:szCs w:val="24"/>
        </w:rPr>
        <w:t>nos termos da Lei nº 14.133, de 1º de abril de 2021, da Instrução Normativa SEGES/ME nº 67/2021 e demais legislação aplicável</w:t>
      </w:r>
      <w:r>
        <w:rPr>
          <w:rFonts w:cs="Arial" w:ascii="Calibri" w:hAnsi="Calibri"/>
          <w:color w:val="000000"/>
          <w:sz w:val="24"/>
          <w:szCs w:val="24"/>
        </w:rPr>
        <w:t>.</w:t>
      </w:r>
    </w:p>
    <w:p>
      <w:pPr>
        <w:pStyle w:val="Normal"/>
        <w:spacing w:lineRule="auto" w:line="276" w:before="0" w:after="0"/>
        <w:contextualSpacing/>
        <w:jc w:val="both"/>
        <w:rPr>
          <w:rFonts w:ascii="Calibri" w:hAnsi="Calibri" w:cs="Arial"/>
          <w:color w:val="000000" w:themeColor="text1"/>
          <w:sz w:val="24"/>
          <w:szCs w:val="24"/>
        </w:rPr>
      </w:pPr>
      <w:r>
        <w:rPr>
          <w:rFonts w:cs="Arial" w:ascii="Calibri" w:hAnsi="Calibri"/>
          <w:color w:val="000000" w:themeColor="text1"/>
          <w:sz w:val="24"/>
          <w:szCs w:val="24"/>
        </w:rPr>
      </w:r>
    </w:p>
    <w:p>
      <w:pPr>
        <w:pStyle w:val="Normal"/>
        <w:spacing w:lineRule="auto" w:line="276" w:before="0" w:after="0"/>
        <w:contextualSpacing/>
        <w:jc w:val="both"/>
        <w:rPr>
          <w:rFonts w:ascii="Calibri" w:hAnsi="Calibri"/>
          <w:sz w:val="24"/>
          <w:szCs w:val="24"/>
        </w:rPr>
      </w:pPr>
      <w:r>
        <w:rPr>
          <w:rFonts w:cs="Arial" w:ascii="Calibri" w:hAnsi="Calibri"/>
          <w:color w:val="000000" w:themeColor="text1"/>
          <w:sz w:val="24"/>
          <w:szCs w:val="24"/>
        </w:rPr>
        <w:t xml:space="preserve">Data da sessão: </w:t>
      </w:r>
      <w:r>
        <w:rPr>
          <w:rFonts w:cs="Arial" w:ascii="Calibri" w:hAnsi="Calibri"/>
          <w:color w:val="000000" w:themeColor="text1"/>
          <w:sz w:val="24"/>
          <w:szCs w:val="24"/>
        </w:rPr>
        <w:t>14</w:t>
      </w:r>
      <w:r>
        <w:rPr>
          <w:rFonts w:cs="Arial" w:ascii="Calibri" w:hAnsi="Calibri"/>
          <w:color w:val="auto"/>
          <w:sz w:val="24"/>
          <w:szCs w:val="24"/>
        </w:rPr>
        <w:t>/12/2023</w:t>
      </w:r>
    </w:p>
    <w:p>
      <w:pPr>
        <w:pStyle w:val="Normal"/>
        <w:spacing w:before="0" w:after="0"/>
        <w:contextualSpacing/>
        <w:rPr>
          <w:rFonts w:ascii="Calibri" w:hAnsi="Calibri"/>
          <w:sz w:val="24"/>
          <w:szCs w:val="24"/>
        </w:rPr>
      </w:pPr>
      <w:r>
        <w:rPr>
          <w:rFonts w:cs="Arial" w:ascii="Calibri" w:hAnsi="Calibri"/>
          <w:color w:val="000000" w:themeColor="text1"/>
          <w:sz w:val="24"/>
          <w:szCs w:val="24"/>
        </w:rPr>
        <w:t xml:space="preserve">Link: </w:t>
      </w:r>
    </w:p>
    <w:p>
      <w:pPr>
        <w:pStyle w:val="Normal"/>
        <w:spacing w:before="0" w:after="0"/>
        <w:contextualSpacing/>
        <w:rPr>
          <w:rFonts w:ascii="Calibri" w:hAnsi="Calibri"/>
          <w:sz w:val="24"/>
          <w:szCs w:val="24"/>
        </w:rPr>
      </w:pPr>
      <w:r>
        <w:rPr>
          <w:rFonts w:cs="Arial" w:ascii="Calibri" w:hAnsi="Calibri"/>
          <w:color w:val="000000" w:themeColor="text1"/>
          <w:sz w:val="24"/>
          <w:szCs w:val="24"/>
        </w:rPr>
        <w:t>Horário da Fase de Lances: 8:00 às 1</w:t>
      </w:r>
      <w:r>
        <w:rPr>
          <w:rFonts w:cs="Arial" w:ascii="Calibri" w:hAnsi="Calibri"/>
          <w:color w:val="000000" w:themeColor="text1"/>
          <w:sz w:val="24"/>
          <w:szCs w:val="24"/>
        </w:rPr>
        <w:t>4:</w:t>
      </w:r>
      <w:r>
        <w:rPr>
          <w:rFonts w:cs="Arial" w:ascii="Calibri" w:hAnsi="Calibri"/>
          <w:color w:val="000000" w:themeColor="text1"/>
          <w:sz w:val="24"/>
          <w:szCs w:val="24"/>
        </w:rPr>
        <w:t>00</w:t>
      </w:r>
    </w:p>
    <w:p>
      <w:pPr>
        <w:pStyle w:val="PADRO"/>
        <w:keepNext w:val="false"/>
        <w:widowControl/>
        <w:shd w:val="clear" w:color="auto" w:fill="auto"/>
        <w:spacing w:before="0" w:after="0"/>
        <w:ind w:left="360" w:hanging="0"/>
        <w:contextualSpacing/>
        <w:rPr>
          <w:rFonts w:ascii="Calibri" w:hAnsi="Calibri" w:cs="Arial"/>
          <w:b/>
          <w:b/>
          <w:sz w:val="24"/>
          <w:szCs w:val="24"/>
        </w:rPr>
      </w:pPr>
      <w:r>
        <w:rPr>
          <w:rFonts w:cs="Arial" w:ascii="Calibri" w:hAnsi="Calibri"/>
          <w:b/>
          <w:sz w:val="24"/>
          <w:szCs w:val="24"/>
        </w:rPr>
      </w:r>
    </w:p>
    <w:p>
      <w:pPr>
        <w:pStyle w:val="Ttulo1"/>
        <w:numPr>
          <w:ilvl w:val="0"/>
          <w:numId w:val="2"/>
        </w:numPr>
        <w:spacing w:before="0" w:after="0"/>
        <w:contextualSpacing/>
        <w:rPr>
          <w:rFonts w:ascii="Calibri" w:hAnsi="Calibri"/>
          <w:sz w:val="24"/>
          <w:szCs w:val="24"/>
        </w:rPr>
      </w:pPr>
      <w:bookmarkStart w:id="0" w:name="_Toc104906818"/>
      <w:r>
        <w:rPr>
          <w:rFonts w:cs="Arial" w:ascii="Calibri" w:hAnsi="Calibri"/>
          <w:color w:val="auto"/>
          <w:sz w:val="24"/>
          <w:szCs w:val="24"/>
        </w:rPr>
        <w:t>OBJETO DA CONTRATAÇÃO DIRETA</w:t>
      </w:r>
      <w:bookmarkEnd w:id="0"/>
    </w:p>
    <w:p>
      <w:pPr>
        <w:pStyle w:val="Normal"/>
        <w:spacing w:before="0" w:after="0"/>
        <w:contextualSpacing/>
        <w:rPr>
          <w:rFonts w:ascii="Calibri" w:hAnsi="Calibri" w:cs="Arial"/>
          <w:color w:val="auto"/>
          <w:sz w:val="24"/>
          <w:szCs w:val="24"/>
        </w:rPr>
      </w:pPr>
      <w:r>
        <w:rPr>
          <w:rFonts w:cs="Arial" w:ascii="Calibri" w:hAnsi="Calibri"/>
          <w:color w:val="auto"/>
          <w:sz w:val="24"/>
          <w:szCs w:val="24"/>
        </w:rPr>
      </w:r>
    </w:p>
    <w:p>
      <w:pPr>
        <w:pStyle w:val="PADRO"/>
        <w:keepNext w:val="false"/>
        <w:widowControl/>
        <w:numPr>
          <w:ilvl w:val="1"/>
          <w:numId w:val="2"/>
        </w:numPr>
        <w:shd w:val="clear" w:color="auto" w:fill="auto"/>
        <w:spacing w:before="0" w:after="0"/>
        <w:contextualSpacing/>
        <w:rPr>
          <w:rFonts w:ascii="Calibri" w:hAnsi="Calibri"/>
          <w:sz w:val="24"/>
          <w:szCs w:val="24"/>
        </w:rPr>
      </w:pPr>
      <w:r>
        <w:rPr>
          <w:rFonts w:cs="Arial" w:ascii="Calibri" w:hAnsi="Calibri"/>
          <w:color w:val="000000" w:themeColor="text1"/>
          <w:sz w:val="24"/>
          <w:szCs w:val="24"/>
        </w:rPr>
        <w:t>O objeto da presente dispensa de licitação em apreço tem como o objeto contratação de</w:t>
      </w:r>
    </w:p>
    <w:p>
      <w:pPr>
        <w:pStyle w:val="PADRO"/>
        <w:widowControl/>
        <w:numPr>
          <w:ilvl w:val="0"/>
          <w:numId w:val="0"/>
        </w:numPr>
        <w:shd w:val="clear" w:color="auto" w:fill="auto"/>
        <w:spacing w:before="0" w:after="0"/>
        <w:ind w:left="792" w:hanging="0"/>
        <w:contextualSpacing/>
        <w:rPr>
          <w:rFonts w:ascii="Calibri" w:hAnsi="Calibri"/>
          <w:sz w:val="24"/>
          <w:szCs w:val="24"/>
        </w:rPr>
      </w:pPr>
      <w:r>
        <w:rPr>
          <w:rFonts w:cs="Arial" w:ascii="Calibri" w:hAnsi="Calibri"/>
          <w:color w:val="000000" w:themeColor="text1"/>
          <w:sz w:val="24"/>
          <w:szCs w:val="24"/>
        </w:rPr>
        <w:t>serviço de tr</w:t>
      </w:r>
      <w:r>
        <w:rPr>
          <w:rFonts w:eastAsia="WenQuanYi Micro Hei" w:cs="Arial" w:ascii="Calibri" w:hAnsi="Calibri"/>
          <w:color w:val="000000" w:themeColor="text1"/>
          <w:kern w:val="0"/>
          <w:sz w:val="24"/>
          <w:szCs w:val="24"/>
          <w:lang w:val="pt-BR" w:eastAsia="zh-CN" w:bidi="hi-IN"/>
        </w:rPr>
        <w:t xml:space="preserve">ês pontos de acesso à </w:t>
      </w:r>
      <w:r>
        <w:rPr>
          <w:rFonts w:cs="Arial" w:ascii="Calibri" w:hAnsi="Calibri"/>
          <w:color w:val="000000" w:themeColor="text1"/>
          <w:sz w:val="24"/>
          <w:szCs w:val="24"/>
        </w:rPr>
        <w:t>internet banda larga, com velocidade de 600Mbps para atender ao Hotel de Tr</w:t>
      </w:r>
      <w:r>
        <w:rPr>
          <w:rFonts w:eastAsia="WenQuanYi Micro Hei" w:cs="Arial" w:ascii="Calibri" w:hAnsi="Calibri"/>
          <w:color w:val="000000" w:themeColor="text1"/>
          <w:kern w:val="0"/>
          <w:sz w:val="24"/>
          <w:szCs w:val="24"/>
          <w:lang w:val="pt-BR" w:eastAsia="zh-CN" w:bidi="hi-IN"/>
        </w:rPr>
        <w:t xml:space="preserve">ânsito, Biblioteca e Departamento de Saúde da </w:t>
      </w:r>
      <w:r>
        <w:rPr>
          <w:rFonts w:cs="Arial" w:ascii="Calibri" w:hAnsi="Calibri"/>
          <w:b w:val="false"/>
          <w:bCs w:val="false"/>
          <w:color w:val="auto"/>
          <w:sz w:val="24"/>
          <w:szCs w:val="24"/>
        </w:rPr>
        <w:t>Escola de Aprendizes-marinheiros do Ceará</w:t>
      </w:r>
      <w:r>
        <w:rPr>
          <w:rFonts w:cs="Arial" w:ascii="Calibri" w:hAnsi="Calibri"/>
          <w:b/>
          <w:bCs/>
          <w:color w:val="auto"/>
          <w:sz w:val="24"/>
          <w:szCs w:val="24"/>
        </w:rPr>
        <w:t>,</w:t>
      </w:r>
      <w:r>
        <w:rPr>
          <w:rFonts w:cs="Arial" w:ascii="Calibri" w:hAnsi="Calibri"/>
          <w:color w:val="auto"/>
          <w:sz w:val="24"/>
          <w:szCs w:val="24"/>
        </w:rPr>
        <w:t xml:space="preserve"> conforme condições, quantidades e exigências estabelecidas neste Aviso de Contratação Direta e seus anexos.</w:t>
      </w:r>
    </w:p>
    <w:p>
      <w:pPr>
        <w:pStyle w:val="PADRO"/>
        <w:widowControl/>
        <w:numPr>
          <w:ilvl w:val="0"/>
          <w:numId w:val="0"/>
        </w:numPr>
        <w:shd w:val="clear" w:color="auto" w:fill="auto"/>
        <w:spacing w:before="0" w:after="0"/>
        <w:ind w:left="792" w:hanging="0"/>
        <w:contextualSpacing/>
        <w:rPr>
          <w:rFonts w:ascii="Calibri" w:hAnsi="Calibri"/>
          <w:sz w:val="24"/>
          <w:szCs w:val="24"/>
        </w:rPr>
      </w:pPr>
      <w:r>
        <w:rPr/>
      </w:r>
    </w:p>
    <w:p>
      <w:pPr>
        <w:pStyle w:val="PADRO"/>
        <w:keepNext w:val="false"/>
        <w:widowControl/>
        <w:numPr>
          <w:ilvl w:val="0"/>
          <w:numId w:val="0"/>
        </w:numPr>
        <w:shd w:val="clear" w:color="auto" w:fill="auto"/>
        <w:spacing w:before="0" w:after="0"/>
        <w:ind w:left="792" w:hanging="0"/>
        <w:contextualSpacing/>
        <w:rPr>
          <w:color w:val="auto"/>
        </w:rPr>
      </w:pPr>
      <w:r>
        <w:rPr>
          <w:rFonts w:cs="Arial" w:ascii="Calibri" w:hAnsi="Calibri"/>
          <w:i/>
          <w:iCs/>
          <w:color w:val="auto"/>
          <w:sz w:val="24"/>
          <w:szCs w:val="24"/>
        </w:rPr>
        <w:t>A contratação será dividida em itens</w:t>
      </w:r>
      <w:r>
        <w:rPr>
          <w:rFonts w:cs="Arial" w:ascii="Calibri" w:hAnsi="Calibri"/>
          <w:b/>
          <w:bCs/>
          <w:i/>
          <w:iCs/>
          <w:color w:val="auto"/>
          <w:sz w:val="24"/>
          <w:szCs w:val="24"/>
        </w:rPr>
        <w:t>,</w:t>
      </w:r>
      <w:r>
        <w:rPr>
          <w:rFonts w:cs="Arial" w:ascii="Calibri" w:hAnsi="Calibri"/>
          <w:i/>
          <w:iCs/>
          <w:color w:val="auto"/>
          <w:sz w:val="24"/>
          <w:szCs w:val="24"/>
        </w:rPr>
        <w:t xml:space="preserve"> conforme tabela constante abaixo.</w:t>
      </w:r>
    </w:p>
    <w:p>
      <w:pPr>
        <w:pStyle w:val="PADRO"/>
        <w:widowControl/>
        <w:numPr>
          <w:ilvl w:val="0"/>
          <w:numId w:val="0"/>
        </w:numPr>
        <w:shd w:val="clear" w:color="auto" w:fill="auto"/>
        <w:spacing w:before="0" w:after="0"/>
        <w:ind w:left="792" w:hanging="0"/>
        <w:contextualSpacing/>
        <w:rPr>
          <w:color w:val="auto"/>
        </w:rPr>
      </w:pPr>
      <w:r>
        <w:rPr/>
      </w:r>
    </w:p>
    <w:tbl>
      <w:tblPr>
        <w:tblW w:w="10035"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682"/>
        <w:gridCol w:w="2550"/>
        <w:gridCol w:w="845"/>
        <w:gridCol w:w="859"/>
        <w:gridCol w:w="791"/>
        <w:gridCol w:w="1078"/>
        <w:gridCol w:w="1131"/>
        <w:gridCol w:w="1078"/>
        <w:gridCol w:w="1020"/>
      </w:tblGrid>
      <w:tr>
        <w:trPr/>
        <w:tc>
          <w:tcPr>
            <w:tcW w:w="68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ITEM</w:t>
            </w:r>
          </w:p>
          <w:p>
            <w:pPr>
              <w:pStyle w:val="Normal"/>
              <w:widowControl w:val="false"/>
              <w:suppressAutoHyphens w:val="true"/>
              <w:spacing w:before="0" w:after="0"/>
              <w:contextualSpacing/>
              <w:jc w:val="center"/>
              <w:rPr>
                <w:rFonts w:ascii="Calibri" w:hAnsi="Calibri" w:cs="Arial"/>
                <w:b/>
                <w:b/>
                <w:bCs/>
                <w:i w:val="false"/>
                <w:i w:val="false"/>
                <w:iCs w:val="false"/>
                <w:color w:val="auto"/>
                <w:sz w:val="16"/>
                <w:szCs w:val="16"/>
              </w:rPr>
            </w:pPr>
            <w:r>
              <w:rPr>
                <w:rFonts w:cs="Arial" w:ascii="Calibri" w:hAnsi="Calibri"/>
                <w:b/>
                <w:bCs/>
                <w:i w:val="false"/>
                <w:iCs w:val="false"/>
                <w:color w:val="auto"/>
                <w:sz w:val="16"/>
                <w:szCs w:val="16"/>
              </w:rPr>
            </w:r>
          </w:p>
        </w:tc>
        <w:tc>
          <w:tcPr>
            <w:tcW w:w="255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0" w:after="0"/>
              <w:contextualSpacing/>
              <w:jc w:val="center"/>
              <w:rPr>
                <w:sz w:val="16"/>
                <w:szCs w:val="16"/>
              </w:rPr>
            </w:pPr>
            <w:r>
              <w:rPr>
                <w:rFonts w:cs="Arial" w:ascii="Calibri" w:hAnsi="Calibri"/>
                <w:b/>
                <w:bCs/>
                <w:i w:val="false"/>
                <w:iCs w:val="false"/>
                <w:color w:val="auto"/>
                <w:sz w:val="16"/>
                <w:szCs w:val="16"/>
              </w:rPr>
              <w:t>DESCRIÇÃO/</w:t>
            </w:r>
          </w:p>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ESPECIFICAÇÃO</w:t>
            </w:r>
          </w:p>
        </w:tc>
        <w:tc>
          <w:tcPr>
            <w:tcW w:w="845"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CATSER/</w:t>
            </w:r>
          </w:p>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CATMAT</w:t>
            </w:r>
          </w:p>
        </w:tc>
        <w:tc>
          <w:tcPr>
            <w:tcW w:w="8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UN. MEDIDA</w:t>
            </w:r>
          </w:p>
        </w:tc>
        <w:tc>
          <w:tcPr>
            <w:tcW w:w="79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QUANT</w:t>
            </w:r>
          </w:p>
        </w:tc>
        <w:tc>
          <w:tcPr>
            <w:tcW w:w="1078"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 xml:space="preserve">PREÇO </w:t>
            </w:r>
            <w:r>
              <w:rPr>
                <w:rFonts w:cs="Arial" w:ascii="Calibri" w:hAnsi="Calibri"/>
                <w:b/>
                <w:bCs/>
                <w:i w:val="false"/>
                <w:iCs w:val="false"/>
                <w:color w:val="auto"/>
                <w:sz w:val="16"/>
                <w:szCs w:val="16"/>
              </w:rPr>
              <w:t>MENSAL</w:t>
            </w:r>
          </w:p>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 xml:space="preserve">ESTIMADO </w:t>
            </w:r>
            <w:r>
              <w:rPr>
                <w:rFonts w:cs="Arial" w:ascii="Calibri" w:hAnsi="Calibri"/>
                <w:b/>
                <w:bCs/>
                <w:i w:val="false"/>
                <w:iCs w:val="false"/>
                <w:color w:val="auto"/>
                <w:sz w:val="16"/>
                <w:szCs w:val="16"/>
              </w:rPr>
              <w:t>POR PONTO</w:t>
            </w:r>
          </w:p>
        </w:tc>
        <w:tc>
          <w:tcPr>
            <w:tcW w:w="113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 xml:space="preserve">PREÇO </w:t>
            </w:r>
            <w:r>
              <w:rPr>
                <w:rFonts w:cs="Arial" w:ascii="Calibri" w:hAnsi="Calibri"/>
                <w:b/>
                <w:bCs/>
                <w:i w:val="false"/>
                <w:iCs w:val="false"/>
                <w:color w:val="auto"/>
                <w:sz w:val="16"/>
                <w:szCs w:val="16"/>
              </w:rPr>
              <w:t>ANUAL</w:t>
            </w:r>
          </w:p>
          <w:p>
            <w:pPr>
              <w:pStyle w:val="Normal"/>
              <w:widowControl w:val="false"/>
              <w:suppressAutoHyphens w:val="true"/>
              <w:spacing w:before="0" w:after="0"/>
              <w:contextualSpacing/>
              <w:jc w:val="center"/>
              <w:rPr>
                <w:rFonts w:ascii="Calibri" w:hAnsi="Calibri"/>
                <w:sz w:val="16"/>
                <w:szCs w:val="16"/>
              </w:rPr>
            </w:pPr>
            <w:r>
              <w:rPr>
                <w:rFonts w:cs="Arial" w:ascii="Calibri" w:hAnsi="Calibri"/>
                <w:b/>
                <w:bCs/>
                <w:i w:val="false"/>
                <w:iCs w:val="false"/>
                <w:color w:val="auto"/>
                <w:sz w:val="16"/>
                <w:szCs w:val="16"/>
              </w:rPr>
              <w:t xml:space="preserve">ESTIMADO </w:t>
            </w:r>
            <w:r>
              <w:rPr>
                <w:rFonts w:cs="Arial" w:ascii="Calibri" w:hAnsi="Calibri"/>
                <w:b/>
                <w:bCs/>
                <w:i w:val="false"/>
                <w:iCs w:val="false"/>
                <w:color w:val="auto"/>
                <w:sz w:val="16"/>
                <w:szCs w:val="16"/>
              </w:rPr>
              <w:t>POR PONTO</w:t>
            </w:r>
          </w:p>
        </w:tc>
        <w:tc>
          <w:tcPr>
            <w:tcW w:w="107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LOCAL DE EXECUÇÃO</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before="0" w:after="0"/>
              <w:contextualSpacing/>
              <w:jc w:val="center"/>
              <w:rPr>
                <w:sz w:val="16"/>
                <w:szCs w:val="16"/>
              </w:rPr>
            </w:pPr>
            <w:r>
              <w:rPr>
                <w:rFonts w:cs="Arial" w:ascii="Calibri" w:hAnsi="Calibri"/>
                <w:b/>
                <w:bCs/>
                <w:i w:val="false"/>
                <w:iCs w:val="false"/>
                <w:color w:val="auto"/>
                <w:sz w:val="16"/>
                <w:szCs w:val="16"/>
              </w:rPr>
              <w:t>PRAZO DE EXECUÇÃO</w:t>
            </w:r>
          </w:p>
        </w:tc>
      </w:tr>
      <w:tr>
        <w:trPr>
          <w:trHeight w:val="6573" w:hRule="atLeast"/>
        </w:trPr>
        <w:tc>
          <w:tcPr>
            <w:tcW w:w="6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contextualSpacing/>
              <w:jc w:val="both"/>
              <w:rPr>
                <w:sz w:val="16"/>
                <w:szCs w:val="16"/>
              </w:rPr>
            </w:pPr>
            <w:r>
              <w:rPr>
                <w:rFonts w:cs="Arial" w:ascii="Calibri" w:hAnsi="Calibri"/>
                <w:b/>
                <w:i w:val="false"/>
                <w:iCs w:val="false"/>
                <w:color w:val="auto"/>
                <w:sz w:val="16"/>
                <w:szCs w:val="16"/>
              </w:rPr>
              <w:t>1</w:t>
            </w:r>
          </w:p>
        </w:tc>
        <w:tc>
          <w:tcPr>
            <w:tcW w:w="255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02"/>
                <w:tab w:val="left" w:pos="709" w:leader="none"/>
              </w:tabs>
              <w:suppressAutoHyphens w:val="true"/>
              <w:bidi w:val="0"/>
              <w:spacing w:lineRule="auto" w:line="276" w:before="0" w:after="120"/>
              <w:ind w:left="0" w:right="57" w:hanging="0"/>
              <w:jc w:val="center"/>
              <w:rPr>
                <w:rFonts w:ascii="Carlito" w:hAnsi="Carlito"/>
                <w:color w:val="000000"/>
                <w:sz w:val="16"/>
                <w:szCs w:val="16"/>
              </w:rPr>
            </w:pPr>
            <w:r>
              <w:rPr>
                <w:rFonts w:cs="Arial" w:ascii="Calibri" w:hAnsi="Calibri"/>
                <w:b w:val="false"/>
                <w:bCs w:val="false"/>
                <w:i w:val="false"/>
                <w:strike w:val="false"/>
                <w:dstrike w:val="false"/>
                <w:outline w:val="false"/>
                <w:shadow w:val="false"/>
                <w:color w:val="auto"/>
                <w:kern w:val="2"/>
                <w:sz w:val="16"/>
                <w:szCs w:val="16"/>
                <w:u w:val="none"/>
                <w:em w:val="none"/>
              </w:rPr>
              <w:t>Prestação de serviços de acesso à internet banda larga, via fibra</w:t>
            </w:r>
            <w:r>
              <w:rPr>
                <w:rFonts w:eastAsia="Times New Roman" w:cs="Arial" w:ascii="Calibri" w:hAnsi="Calibri"/>
                <w:b w:val="false"/>
                <w:bCs w:val="false"/>
                <w:i w:val="false"/>
                <w:strike w:val="false"/>
                <w:dstrike w:val="false"/>
                <w:outline w:val="false"/>
                <w:shadow w:val="false"/>
                <w:color w:val="auto"/>
                <w:kern w:val="2"/>
                <w:sz w:val="16"/>
                <w:szCs w:val="16"/>
                <w:u w:val="none"/>
                <w:em w:val="none"/>
              </w:rPr>
              <w:t xml:space="preserve"> ó</w:t>
            </w:r>
            <w:r>
              <w:rPr>
                <w:rFonts w:cs="Arial" w:ascii="Calibri" w:hAnsi="Calibri"/>
                <w:b w:val="false"/>
                <w:bCs w:val="false"/>
                <w:i w:val="false"/>
                <w:strike w:val="false"/>
                <w:dstrike w:val="false"/>
                <w:outline w:val="false"/>
                <w:shadow w:val="false"/>
                <w:color w:val="auto"/>
                <w:kern w:val="2"/>
                <w:sz w:val="16"/>
                <w:szCs w:val="16"/>
                <w:u w:val="none"/>
                <w:em w:val="none"/>
              </w:rPr>
              <w:t xml:space="preserve">ptica. Disponibilização de </w:t>
            </w:r>
            <w:r>
              <w:rPr>
                <w:rFonts w:cs="Arial" w:ascii="Calibri" w:hAnsi="Calibri"/>
                <w:b w:val="false"/>
                <w:bCs w:val="false"/>
                <w:i w:val="false"/>
                <w:strike w:val="false"/>
                <w:dstrike w:val="false"/>
                <w:outline w:val="false"/>
                <w:shadow w:val="false"/>
                <w:color w:val="auto"/>
                <w:kern w:val="2"/>
                <w:sz w:val="16"/>
                <w:szCs w:val="16"/>
                <w:u w:val="none"/>
                <w:em w:val="none"/>
              </w:rPr>
              <w:t xml:space="preserve">1 (um) </w:t>
            </w:r>
            <w:r>
              <w:rPr>
                <w:rFonts w:cs="Arial" w:ascii="Calibri" w:hAnsi="Calibri"/>
                <w:b w:val="false"/>
                <w:bCs w:val="false"/>
                <w:i w:val="false"/>
                <w:strike w:val="false"/>
                <w:dstrike w:val="false"/>
                <w:outline w:val="false"/>
                <w:shadow w:val="false"/>
                <w:color w:val="auto"/>
                <w:kern w:val="2"/>
                <w:sz w:val="16"/>
                <w:szCs w:val="16"/>
                <w:u w:val="none"/>
                <w:em w:val="none"/>
              </w:rPr>
              <w:t xml:space="preserve">ponto </w:t>
            </w:r>
            <w:r>
              <w:rPr>
                <w:rFonts w:cs="Arial" w:ascii="Calibri" w:hAnsi="Calibri"/>
                <w:b w:val="false"/>
                <w:bCs w:val="false"/>
                <w:i w:val="false"/>
                <w:strike w:val="false"/>
                <w:dstrike w:val="false"/>
                <w:outline w:val="false"/>
                <w:shadow w:val="false"/>
                <w:color w:val="auto"/>
                <w:kern w:val="2"/>
                <w:sz w:val="16"/>
                <w:szCs w:val="16"/>
                <w:u w:val="none"/>
                <w:em w:val="none"/>
              </w:rPr>
              <w:t xml:space="preserve">de </w:t>
            </w:r>
            <w:r>
              <w:rPr>
                <w:rFonts w:cs="Arial" w:ascii="Calibri" w:hAnsi="Calibri"/>
                <w:b w:val="false"/>
                <w:bCs w:val="false"/>
                <w:i w:val="false"/>
                <w:strike w:val="false"/>
                <w:dstrike w:val="false"/>
                <w:outline w:val="false"/>
                <w:shadow w:val="false"/>
                <w:color w:val="auto"/>
                <w:kern w:val="2"/>
                <w:sz w:val="16"/>
                <w:szCs w:val="16"/>
                <w:u w:val="none"/>
                <w:em w:val="none"/>
              </w:rPr>
              <w:t xml:space="preserve">acesso, </w:t>
            </w:r>
            <w:r>
              <w:rPr>
                <w:rFonts w:cs="Arial" w:ascii="Calibri" w:hAnsi="Calibri"/>
                <w:b w:val="false"/>
                <w:bCs w:val="false"/>
                <w:i w:val="false"/>
                <w:strike w:val="false"/>
                <w:dstrike w:val="false"/>
                <w:outline w:val="false"/>
                <w:shadow w:val="false"/>
                <w:color w:val="auto"/>
                <w:kern w:val="2"/>
                <w:sz w:val="16"/>
                <w:szCs w:val="16"/>
                <w:u w:val="none"/>
                <w:em w:val="none"/>
              </w:rPr>
              <w:t>com link dedicado</w:t>
            </w:r>
            <w:r>
              <w:rPr>
                <w:rFonts w:cs="Arial" w:ascii="Calibri" w:hAnsi="Calibri"/>
                <w:b w:val="false"/>
                <w:bCs w:val="false"/>
                <w:i w:val="false"/>
                <w:strike w:val="false"/>
                <w:dstrike w:val="false"/>
                <w:outline w:val="false"/>
                <w:shadow w:val="false"/>
                <w:color w:val="auto"/>
                <w:kern w:val="2"/>
                <w:sz w:val="16"/>
                <w:szCs w:val="16"/>
                <w:u w:val="none"/>
                <w:em w:val="none"/>
              </w:rPr>
              <w:t xml:space="preserve">, </w:t>
            </w:r>
            <w:r>
              <w:rPr>
                <w:rFonts w:cs="Arial" w:ascii="Calibri" w:hAnsi="Calibri"/>
                <w:b w:val="false"/>
                <w:bCs w:val="false"/>
                <w:i w:val="false"/>
                <w:strike w:val="false"/>
                <w:dstrike w:val="false"/>
                <w:outline w:val="false"/>
                <w:shadow w:val="false"/>
                <w:color w:val="auto"/>
                <w:kern w:val="2"/>
                <w:sz w:val="16"/>
                <w:szCs w:val="16"/>
                <w:u w:val="none"/>
                <w:em w:val="none"/>
              </w:rPr>
              <w:t>com</w:t>
            </w:r>
            <w:r>
              <w:rPr>
                <w:rFonts w:cs="Arial" w:ascii="Calibri" w:hAnsi="Calibri"/>
                <w:b w:val="false"/>
                <w:bCs w:val="false"/>
                <w:i w:val="false"/>
                <w:strike w:val="false"/>
                <w:dstrike w:val="false"/>
                <w:outline w:val="false"/>
                <w:shadow w:val="false"/>
                <w:color w:val="auto"/>
                <w:kern w:val="2"/>
                <w:sz w:val="16"/>
                <w:szCs w:val="16"/>
                <w:u w:val="none"/>
                <w:em w:val="none"/>
              </w:rPr>
              <w:t xml:space="preserve"> velocidade de </w:t>
            </w:r>
            <w:r>
              <w:rPr>
                <w:rFonts w:cs="Arial" w:ascii="Calibri" w:hAnsi="Calibri"/>
                <w:b w:val="false"/>
                <w:bCs w:val="false"/>
                <w:i w:val="false"/>
                <w:strike w:val="false"/>
                <w:dstrike w:val="false"/>
                <w:outline w:val="false"/>
                <w:shadow w:val="false"/>
                <w:color w:val="auto"/>
                <w:kern w:val="2"/>
                <w:sz w:val="16"/>
                <w:szCs w:val="16"/>
                <w:u w:val="none"/>
                <w:em w:val="none"/>
              </w:rPr>
              <w:t xml:space="preserve">600 </w:t>
            </w:r>
            <w:r>
              <w:rPr>
                <w:rFonts w:cs="Arial" w:ascii="Calibri" w:hAnsi="Calibri"/>
                <w:b w:val="false"/>
                <w:bCs w:val="false"/>
                <w:i w:val="false"/>
                <w:strike w:val="false"/>
                <w:dstrike w:val="false"/>
                <w:outline w:val="false"/>
                <w:shadow w:val="false"/>
                <w:color w:val="auto"/>
                <w:kern w:val="2"/>
                <w:sz w:val="16"/>
                <w:szCs w:val="16"/>
                <w:u w:val="none"/>
                <w:em w:val="none"/>
              </w:rPr>
              <w:t>Mbps.</w:t>
            </w:r>
          </w:p>
          <w:p>
            <w:pPr>
              <w:pStyle w:val="Normal"/>
              <w:widowControl w:val="false"/>
              <w:suppressAutoHyphens w:val="true"/>
              <w:spacing w:lineRule="auto" w:line="276" w:before="0" w:after="0"/>
              <w:contextualSpacing/>
              <w:jc w:val="both"/>
              <w:rPr>
                <w:rFonts w:ascii="Calibri" w:hAnsi="Calibri"/>
                <w:b w:val="false"/>
                <w:b w:val="false"/>
                <w:i w:val="false"/>
                <w:i w:val="false"/>
                <w:strike w:val="false"/>
                <w:dstrike w:val="false"/>
                <w:outline w:val="false"/>
                <w:shadow w:val="false"/>
                <w:color w:val="auto"/>
                <w:sz w:val="16"/>
                <w:szCs w:val="16"/>
                <w:u w:val="none"/>
                <w:em w:val="none"/>
              </w:rPr>
            </w:pPr>
            <w:r>
              <w:rPr>
                <w:rFonts w:ascii="Calibri" w:hAnsi="Calibri"/>
                <w:b w:val="false"/>
                <w:i w:val="false"/>
                <w:strike w:val="false"/>
                <w:dstrike w:val="false"/>
                <w:outline w:val="false"/>
                <w:shadow w:val="false"/>
                <w:color w:val="auto"/>
                <w:sz w:val="16"/>
                <w:szCs w:val="16"/>
                <w:u w:val="none"/>
                <w:em w:val="none"/>
              </w:rPr>
            </w:r>
          </w:p>
          <w:p>
            <w:pPr>
              <w:pStyle w:val="Normal"/>
              <w:widowControl w:val="false"/>
              <w:suppressAutoHyphens w:val="true"/>
              <w:spacing w:lineRule="auto" w:line="276" w:before="0" w:after="0"/>
              <w:contextualSpacing/>
              <w:jc w:val="both"/>
              <w:rPr>
                <w:rFonts w:ascii="Calibri" w:hAnsi="Calibri"/>
                <w:color w:val="auto"/>
                <w:sz w:val="16"/>
                <w:szCs w:val="16"/>
              </w:rPr>
            </w:pPr>
            <w:r>
              <w:rPr>
                <w:rFonts w:ascii="Calibri" w:hAnsi="Calibri"/>
                <w:color w:val="auto"/>
                <w:sz w:val="16"/>
                <w:szCs w:val="16"/>
              </w:rPr>
            </w:r>
          </w:p>
          <w:p>
            <w:pPr>
              <w:pStyle w:val="Normal"/>
              <w:widowControl w:val="false"/>
              <w:suppressAutoHyphens w:val="true"/>
              <w:spacing w:lineRule="auto" w:line="276" w:before="0" w:after="0"/>
              <w:contextualSpacing/>
              <w:jc w:val="both"/>
              <w:rPr>
                <w:rFonts w:ascii="Calibri" w:hAnsi="Calibri" w:eastAsia="Times New Roman" w:cs="Times New Roman"/>
                <w:b w:val="false"/>
                <w:b w:val="false"/>
                <w:bCs w:val="false"/>
                <w:i w:val="false"/>
                <w:i w:val="false"/>
                <w:iCs w:val="false"/>
                <w:caps w:val="false"/>
                <w:smallCaps w:val="false"/>
                <w:strike w:val="false"/>
                <w:dstrike w:val="false"/>
                <w:outline w:val="false"/>
                <w:shadow w:val="false"/>
                <w:color w:val="auto"/>
                <w:spacing w:val="0"/>
                <w:kern w:val="2"/>
                <w:sz w:val="16"/>
                <w:szCs w:val="16"/>
                <w:u w:val="none"/>
                <w:em w:val="none"/>
                <w:lang w:val="pt-BR" w:eastAsia="pt-BR" w:bidi="hi-IN"/>
              </w:rPr>
            </w:pPr>
            <w:r>
              <w:rPr>
                <w:rFonts w:eastAsia="Times New Roman" w:cs="Times New Roman" w:ascii="Calibri" w:hAnsi="Calibri"/>
                <w:b w:val="false"/>
                <w:bCs w:val="false"/>
                <w:i w:val="false"/>
                <w:iCs w:val="false"/>
                <w:caps w:val="false"/>
                <w:smallCaps w:val="false"/>
                <w:strike w:val="false"/>
                <w:dstrike w:val="false"/>
                <w:outline w:val="false"/>
                <w:shadow w:val="false"/>
                <w:color w:val="auto"/>
                <w:spacing w:val="0"/>
                <w:kern w:val="2"/>
                <w:sz w:val="16"/>
                <w:szCs w:val="16"/>
                <w:u w:val="none"/>
                <w:em w:val="none"/>
                <w:lang w:val="pt-BR" w:eastAsia="pt-BR" w:bidi="hi-IN"/>
              </w:rPr>
            </w:r>
          </w:p>
        </w:tc>
        <w:tc>
          <w:tcPr>
            <w:tcW w:w="845" w:type="dxa"/>
            <w:tcBorders>
              <w:top w:val="single" w:sz="4" w:space="0" w:color="000000"/>
              <w:left w:val="single" w:sz="4" w:space="0" w:color="000000"/>
              <w:bottom w:val="single" w:sz="4" w:space="0" w:color="000000"/>
            </w:tcBorders>
            <w:shd w:fill="auto" w:val="clear"/>
            <w:vAlign w:val="center"/>
          </w:tcPr>
          <w:p>
            <w:pPr>
              <w:pStyle w:val="Normal"/>
              <w:widowControl w:val="false"/>
              <w:suppressAutoHyphens w:val="true"/>
              <w:bidi w:val="0"/>
              <w:spacing w:lineRule="auto" w:line="276" w:before="0" w:after="120"/>
              <w:jc w:val="both"/>
              <w:rPr>
                <w:sz w:val="16"/>
                <w:szCs w:val="16"/>
              </w:rPr>
            </w:pPr>
            <w:r>
              <w:rPr>
                <w:rFonts w:cs="Arial" w:ascii="Calibri" w:hAnsi="Calibri"/>
                <w:b/>
                <w:i w:val="false"/>
                <w:iCs w:val="false"/>
                <w:strike w:val="false"/>
                <w:dstrike w:val="false"/>
                <w:outline w:val="false"/>
                <w:shadow w:val="false"/>
                <w:color w:val="auto"/>
                <w:sz w:val="16"/>
                <w:szCs w:val="16"/>
                <w:u w:val="none"/>
                <w:em w:val="none"/>
              </w:rPr>
              <w:t>26484</w:t>
            </w:r>
          </w:p>
          <w:p>
            <w:pPr>
              <w:pStyle w:val="Normal"/>
              <w:widowControl w:val="false"/>
              <w:suppressAutoHyphens w:val="true"/>
              <w:spacing w:lineRule="auto" w:line="276" w:before="0" w:after="0"/>
              <w:contextualSpacing/>
              <w:jc w:val="both"/>
              <w:rPr>
                <w:rFonts w:ascii="Calibri" w:hAnsi="Calibri" w:cs="Arial"/>
                <w:b/>
                <w:b/>
                <w:i w:val="false"/>
                <w:i w:val="false"/>
                <w:iCs w:val="false"/>
                <w:strike w:val="false"/>
                <w:dstrike w:val="false"/>
                <w:outline w:val="false"/>
                <w:shadow w:val="false"/>
                <w:color w:val="auto"/>
                <w:sz w:val="16"/>
                <w:szCs w:val="16"/>
                <w:u w:val="none"/>
                <w:em w:val="none"/>
              </w:rPr>
            </w:pPr>
            <w:r>
              <w:rPr>
                <w:rFonts w:cs="Arial" w:ascii="Calibri" w:hAnsi="Calibri"/>
                <w:b/>
                <w:i w:val="false"/>
                <w:iCs w:val="false"/>
                <w:strike w:val="false"/>
                <w:dstrike w:val="false"/>
                <w:outline w:val="false"/>
                <w:shadow w:val="false"/>
                <w:color w:val="auto"/>
                <w:sz w:val="16"/>
                <w:szCs w:val="16"/>
                <w:u w:val="none"/>
                <w:em w:val="none"/>
              </w:rPr>
            </w:r>
          </w:p>
          <w:p>
            <w:pPr>
              <w:pStyle w:val="Normal"/>
              <w:widowControl w:val="false"/>
              <w:suppressAutoHyphens w:val="true"/>
              <w:spacing w:lineRule="auto" w:line="276" w:before="0" w:after="0"/>
              <w:contextualSpacing/>
              <w:jc w:val="both"/>
              <w:rPr>
                <w:rFonts w:ascii="Calibri" w:hAnsi="Calibri" w:cs="Arial"/>
                <w:b w:val="false"/>
                <w:b w:val="false"/>
                <w:i w:val="false"/>
                <w:i w:val="false"/>
                <w:iCs w:val="false"/>
                <w:strike w:val="false"/>
                <w:dstrike w:val="false"/>
                <w:outline w:val="false"/>
                <w:shadow w:val="false"/>
                <w:color w:val="auto"/>
                <w:sz w:val="16"/>
                <w:szCs w:val="16"/>
                <w:u w:val="none"/>
                <w:em w:val="none"/>
              </w:rPr>
            </w:pPr>
            <w:r>
              <w:rPr>
                <w:rFonts w:cs="Arial" w:ascii="Calibri" w:hAnsi="Calibri"/>
                <w:b w:val="false"/>
                <w:i w:val="false"/>
                <w:iCs w:val="false"/>
                <w:strike w:val="false"/>
                <w:dstrike w:val="false"/>
                <w:outline w:val="false"/>
                <w:shadow w:val="false"/>
                <w:color w:val="auto"/>
                <w:sz w:val="16"/>
                <w:szCs w:val="16"/>
                <w:u w:val="none"/>
                <w:em w:val="none"/>
              </w:rPr>
            </w:r>
          </w:p>
          <w:p>
            <w:pPr>
              <w:pStyle w:val="Normal"/>
              <w:widowControl w:val="false"/>
              <w:suppressAutoHyphens w:val="true"/>
              <w:spacing w:lineRule="auto" w:line="276" w:before="0" w:after="0"/>
              <w:contextualSpacing/>
              <w:jc w:val="both"/>
              <w:rPr>
                <w:rFonts w:ascii="Calibri" w:hAnsi="Calibri" w:cs="Arial"/>
                <w:b/>
                <w:b/>
                <w:i w:val="false"/>
                <w:i w:val="false"/>
                <w:iCs w:val="false"/>
                <w:strike w:val="false"/>
                <w:dstrike w:val="false"/>
                <w:outline w:val="false"/>
                <w:shadow w:val="false"/>
                <w:color w:val="auto"/>
                <w:sz w:val="16"/>
                <w:szCs w:val="16"/>
                <w:u w:val="none"/>
                <w:em w:val="none"/>
              </w:rPr>
            </w:pPr>
            <w:r>
              <w:rPr>
                <w:rFonts w:cs="Arial" w:ascii="Calibri" w:hAnsi="Calibri"/>
                <w:b/>
                <w:i w:val="false"/>
                <w:iCs w:val="false"/>
                <w:strike w:val="false"/>
                <w:dstrike w:val="false"/>
                <w:outline w:val="false"/>
                <w:shadow w:val="false"/>
                <w:color w:val="auto"/>
                <w:sz w:val="16"/>
                <w:szCs w:val="16"/>
                <w:u w:val="none"/>
                <w:em w:val="none"/>
              </w:rPr>
            </w:r>
          </w:p>
          <w:p>
            <w:pPr>
              <w:pStyle w:val="Normal"/>
              <w:widowControl w:val="false"/>
              <w:suppressAutoHyphens w:val="true"/>
              <w:spacing w:lineRule="auto" w:line="276" w:before="0" w:after="0"/>
              <w:contextualSpacing/>
              <w:jc w:val="both"/>
              <w:rPr>
                <w:rFonts w:ascii="Calibri" w:hAnsi="Calibri" w:cs="Arial"/>
                <w:i w:val="false"/>
                <w:i w:val="false"/>
                <w:iCs w:val="false"/>
                <w:color w:val="auto"/>
                <w:sz w:val="16"/>
                <w:szCs w:val="16"/>
              </w:rPr>
            </w:pPr>
            <w:r>
              <w:rPr>
                <w:rFonts w:cs="Arial" w:ascii="Calibri" w:hAnsi="Calibri"/>
                <w:i w:val="false"/>
                <w:iCs w:val="false"/>
                <w:color w:val="auto"/>
                <w:sz w:val="16"/>
                <w:szCs w:val="16"/>
              </w:rPr>
            </w:r>
          </w:p>
        </w:tc>
        <w:tc>
          <w:tcPr>
            <w:tcW w:w="85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276" w:before="0" w:after="0"/>
              <w:contextualSpacing/>
              <w:jc w:val="both"/>
              <w:rPr>
                <w:sz w:val="16"/>
                <w:szCs w:val="16"/>
              </w:rPr>
            </w:pPr>
            <w:r>
              <w:rPr>
                <w:rFonts w:cs="Calibri" w:ascii="Calibri" w:hAnsi="Calibri"/>
                <w:b/>
                <w:i w:val="false"/>
                <w:iCs w:val="false"/>
                <w:strike w:val="false"/>
                <w:dstrike w:val="false"/>
                <w:outline w:val="false"/>
                <w:shadow w:val="false"/>
                <w:color w:val="auto"/>
                <w:sz w:val="16"/>
                <w:szCs w:val="16"/>
                <w:u w:val="none"/>
                <w:em w:val="none"/>
              </w:rPr>
              <w:t>sv</w:t>
            </w:r>
          </w:p>
          <w:p>
            <w:pPr>
              <w:pStyle w:val="Normal"/>
              <w:widowControl w:val="false"/>
              <w:suppressAutoHyphens w:val="true"/>
              <w:spacing w:lineRule="auto" w:line="276" w:before="0" w:after="0"/>
              <w:contextualSpacing/>
              <w:jc w:val="both"/>
              <w:rPr>
                <w:rFonts w:ascii="Calibri" w:hAnsi="Calibri" w:cs="Calibri"/>
                <w:i w:val="false"/>
                <w:i w:val="false"/>
                <w:iCs w:val="false"/>
                <w:color w:val="auto"/>
                <w:sz w:val="16"/>
                <w:szCs w:val="16"/>
              </w:rPr>
            </w:pPr>
            <w:r>
              <w:rPr>
                <w:rFonts w:cs="Calibri" w:ascii="Calibri" w:hAnsi="Calibri"/>
                <w:i w:val="false"/>
                <w:iCs w:val="false"/>
                <w:color w:val="auto"/>
                <w:sz w:val="16"/>
                <w:szCs w:val="16"/>
              </w:rPr>
            </w:r>
          </w:p>
        </w:tc>
        <w:tc>
          <w:tcPr>
            <w:tcW w:w="79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contextualSpacing/>
              <w:jc w:val="both"/>
              <w:rPr>
                <w:sz w:val="16"/>
                <w:szCs w:val="16"/>
              </w:rPr>
            </w:pPr>
            <w:r>
              <w:rPr>
                <w:rFonts w:cs="Arial" w:ascii="Calibri" w:hAnsi="Calibri"/>
                <w:i w:val="false"/>
                <w:iCs w:val="false"/>
                <w:color w:val="auto"/>
                <w:sz w:val="16"/>
                <w:szCs w:val="16"/>
              </w:rPr>
              <w:t>3</w:t>
            </w:r>
          </w:p>
        </w:tc>
        <w:tc>
          <w:tcPr>
            <w:tcW w:w="1078" w:type="dxa"/>
            <w:tcBorders>
              <w:top w:val="single" w:sz="4" w:space="0" w:color="000000"/>
              <w:left w:val="single" w:sz="4" w:space="0" w:color="000000"/>
              <w:bottom w:val="single" w:sz="4" w:space="0" w:color="000000"/>
            </w:tcBorders>
            <w:shd w:fill="auto" w:val="clear"/>
            <w:vAlign w:val="center"/>
          </w:tcPr>
          <w:p>
            <w:pPr>
              <w:pStyle w:val="Normal"/>
              <w:widowControl w:val="false"/>
              <w:suppressAutoHyphens w:val="true"/>
              <w:spacing w:lineRule="auto" w:line="276" w:before="0" w:after="0"/>
              <w:contextualSpacing/>
              <w:jc w:val="both"/>
              <w:rPr>
                <w:rFonts w:ascii="Calibri" w:hAnsi="Calibri" w:cs="Arial"/>
                <w:i w:val="false"/>
                <w:i w:val="false"/>
                <w:iCs w:val="false"/>
                <w:color w:val="auto"/>
                <w:sz w:val="16"/>
                <w:szCs w:val="16"/>
              </w:rPr>
            </w:pPr>
            <w:r>
              <w:rPr>
                <w:rFonts w:cs="Arial" w:ascii="Calibri" w:hAnsi="Calibri"/>
                <w:i w:val="false"/>
                <w:iCs w:val="false"/>
                <w:color w:val="auto"/>
                <w:sz w:val="16"/>
                <w:szCs w:val="16"/>
              </w:rPr>
            </w:r>
          </w:p>
          <w:p>
            <w:pPr>
              <w:pStyle w:val="Normal"/>
              <w:widowControl w:val="false"/>
              <w:suppressAutoHyphens w:val="true"/>
              <w:spacing w:lineRule="auto" w:line="276" w:before="0" w:after="0"/>
              <w:contextualSpacing/>
              <w:jc w:val="both"/>
              <w:rPr>
                <w:sz w:val="16"/>
                <w:szCs w:val="16"/>
              </w:rPr>
            </w:pPr>
            <w:r>
              <w:rPr>
                <w:rFonts w:cs="Arial" w:ascii="Calibri" w:hAnsi="Calibri"/>
                <w:b w:val="false"/>
                <w:i w:val="false"/>
                <w:iCs w:val="false"/>
                <w:strike w:val="false"/>
                <w:dstrike w:val="false"/>
                <w:outline w:val="false"/>
                <w:shadow w:val="false"/>
                <w:color w:val="auto"/>
                <w:sz w:val="16"/>
                <w:szCs w:val="16"/>
                <w:u w:val="none"/>
                <w:em w:val="none"/>
              </w:rPr>
              <w:t xml:space="preserve">R$ </w:t>
            </w:r>
            <w:r>
              <w:rPr>
                <w:rFonts w:cs="Arial" w:ascii="Calibri" w:hAnsi="Calibri"/>
                <w:b w:val="false"/>
                <w:i w:val="false"/>
                <w:iCs w:val="false"/>
                <w:strike w:val="false"/>
                <w:dstrike w:val="false"/>
                <w:outline w:val="false"/>
                <w:shadow w:val="false"/>
                <w:color w:val="auto"/>
                <w:sz w:val="16"/>
                <w:szCs w:val="16"/>
                <w:u w:val="none"/>
                <w:em w:val="none"/>
              </w:rPr>
              <w:t>1</w:t>
            </w:r>
            <w:r>
              <w:rPr>
                <w:rFonts w:cs="Arial" w:ascii="Carlito" w:hAnsi="Carlito"/>
                <w:b w:val="false"/>
                <w:i w:val="false"/>
                <w:iCs w:val="false"/>
                <w:strike w:val="false"/>
                <w:dstrike w:val="false"/>
                <w:outline w:val="false"/>
                <w:shadow w:val="false"/>
                <w:color w:val="auto"/>
                <w:sz w:val="16"/>
                <w:szCs w:val="16"/>
                <w:u w:val="none"/>
                <w:em w:val="none"/>
              </w:rPr>
              <w:t>45,00</w:t>
            </w:r>
          </w:p>
          <w:p>
            <w:pPr>
              <w:pStyle w:val="Normal"/>
              <w:widowControl w:val="false"/>
              <w:suppressAutoHyphens w:val="true"/>
              <w:spacing w:lineRule="auto" w:line="276" w:before="0" w:after="0"/>
              <w:contextualSpacing/>
              <w:jc w:val="both"/>
              <w:rPr>
                <w:rFonts w:ascii="Calibri" w:hAnsi="Calibri" w:cs="Arial"/>
                <w:b w:val="false"/>
                <w:b w:val="false"/>
                <w:i w:val="false"/>
                <w:i w:val="false"/>
                <w:iCs w:val="false"/>
                <w:strike w:val="false"/>
                <w:dstrike w:val="false"/>
                <w:outline w:val="false"/>
                <w:shadow w:val="false"/>
                <w:color w:val="auto"/>
                <w:sz w:val="16"/>
                <w:szCs w:val="16"/>
                <w:u w:val="none"/>
                <w:em w:val="none"/>
              </w:rPr>
            </w:pPr>
            <w:r>
              <w:rPr>
                <w:rFonts w:cs="Arial" w:ascii="Calibri" w:hAnsi="Calibri"/>
                <w:b w:val="false"/>
                <w:i w:val="false"/>
                <w:iCs w:val="false"/>
                <w:strike w:val="false"/>
                <w:dstrike w:val="false"/>
                <w:outline w:val="false"/>
                <w:shadow w:val="false"/>
                <w:color w:val="auto"/>
                <w:sz w:val="16"/>
                <w:szCs w:val="16"/>
                <w:u w:val="none"/>
                <w:em w:val="none"/>
              </w:rPr>
            </w:r>
          </w:p>
          <w:p>
            <w:pPr>
              <w:pStyle w:val="Normal"/>
              <w:widowControl w:val="false"/>
              <w:suppressAutoHyphens w:val="true"/>
              <w:spacing w:lineRule="auto" w:line="276" w:before="0" w:after="0"/>
              <w:contextualSpacing/>
              <w:jc w:val="both"/>
              <w:rPr>
                <w:rFonts w:ascii="Calibri" w:hAnsi="Calibri" w:cs="Arial"/>
                <w:i w:val="false"/>
                <w:i w:val="false"/>
                <w:iCs w:val="false"/>
                <w:color w:val="auto"/>
                <w:sz w:val="16"/>
                <w:szCs w:val="16"/>
              </w:rPr>
            </w:pPr>
            <w:r>
              <w:rPr>
                <w:rFonts w:cs="Arial" w:ascii="Calibri" w:hAnsi="Calibri"/>
                <w:i w:val="false"/>
                <w:iCs w:val="false"/>
                <w:color w:val="auto"/>
                <w:sz w:val="16"/>
                <w:szCs w:val="16"/>
              </w:rPr>
            </w:r>
          </w:p>
        </w:tc>
        <w:tc>
          <w:tcPr>
            <w:tcW w:w="113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contextualSpacing/>
              <w:jc w:val="both"/>
              <w:rPr>
                <w:rFonts w:ascii="Calibri" w:hAnsi="Calibri" w:cs="Arial"/>
                <w:i w:val="false"/>
                <w:i w:val="false"/>
                <w:iCs w:val="false"/>
                <w:color w:val="auto"/>
                <w:sz w:val="16"/>
                <w:szCs w:val="16"/>
              </w:rPr>
            </w:pPr>
            <w:r>
              <w:rPr>
                <w:rFonts w:cs="Arial" w:ascii="Calibri" w:hAnsi="Calibri"/>
                <w:i w:val="false"/>
                <w:iCs w:val="false"/>
                <w:color w:val="auto"/>
                <w:sz w:val="16"/>
                <w:szCs w:val="16"/>
              </w:rPr>
              <w:t>R$1.745,00</w:t>
            </w:r>
          </w:p>
        </w:tc>
        <w:tc>
          <w:tcPr>
            <w:tcW w:w="1078" w:type="dxa"/>
            <w:tcBorders>
              <w:top w:val="single" w:sz="4" w:space="0" w:color="000000"/>
              <w:left w:val="single" w:sz="4" w:space="0" w:color="000000"/>
              <w:bottom w:val="single" w:sz="4" w:space="0" w:color="000000"/>
              <w:right w:val="single" w:sz="4" w:space="0" w:color="000000"/>
            </w:tcBorders>
            <w:shd w:fill="auto" w:val="clear"/>
            <w:textDirection w:val="btLr"/>
            <w:vAlign w:val="center"/>
          </w:tcPr>
          <w:p>
            <w:pPr>
              <w:pStyle w:val="Normal"/>
              <w:widowControl w:val="false"/>
              <w:suppressAutoHyphens w:val="true"/>
              <w:spacing w:lineRule="auto" w:line="240" w:before="0" w:after="0"/>
              <w:ind w:left="0" w:hanging="0"/>
              <w:contextualSpacing/>
              <w:jc w:val="both"/>
              <w:rPr>
                <w:sz w:val="16"/>
                <w:szCs w:val="16"/>
              </w:rPr>
            </w:pPr>
            <w:r>
              <w:rPr>
                <w:rFonts w:cs="Arial" w:ascii="Calibri" w:hAnsi="Calibri"/>
                <w:i w:val="false"/>
                <w:iCs w:val="false"/>
                <w:color w:val="auto"/>
                <w:sz w:val="16"/>
                <w:szCs w:val="16"/>
              </w:rPr>
              <w:t>Av. Filomeno Gomes, 30 – Jacareganga, Fortaleza/CE</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40" w:before="0" w:after="0"/>
              <w:contextualSpacing/>
              <w:jc w:val="both"/>
              <w:rPr>
                <w:sz w:val="16"/>
                <w:szCs w:val="16"/>
              </w:rPr>
            </w:pPr>
            <w:r>
              <w:rPr>
                <w:rFonts w:cs="Arial" w:ascii="Calibri" w:hAnsi="Calibri"/>
                <w:i w:val="false"/>
                <w:iCs w:val="false"/>
                <w:color w:val="auto"/>
                <w:sz w:val="16"/>
                <w:szCs w:val="16"/>
              </w:rPr>
              <w:t>15</w:t>
            </w:r>
            <w:bookmarkStart w:id="1" w:name="__DdeLink__5456_678249507"/>
            <w:r>
              <w:rPr>
                <w:rFonts w:cs="Arial" w:ascii="Calibri" w:hAnsi="Calibri"/>
                <w:i w:val="false"/>
                <w:iCs w:val="false"/>
                <w:color w:val="auto"/>
                <w:sz w:val="16"/>
                <w:szCs w:val="16"/>
              </w:rPr>
              <w:t xml:space="preserve"> dias</w:t>
            </w:r>
            <w:bookmarkEnd w:id="1"/>
          </w:p>
        </w:tc>
      </w:tr>
    </w:tbl>
    <w:p>
      <w:pPr>
        <w:pStyle w:val="PADRO"/>
        <w:keepNext w:val="false"/>
        <w:widowControl/>
        <w:numPr>
          <w:ilvl w:val="0"/>
          <w:numId w:val="0"/>
        </w:numPr>
        <w:shd w:val="clear" w:color="auto" w:fill="auto"/>
        <w:spacing w:before="0" w:after="0"/>
        <w:ind w:left="1224" w:hanging="0"/>
        <w:contextualSpacing/>
        <w:rPr>
          <w:rFonts w:ascii="Calibri" w:hAnsi="Calibri" w:cs="Arial"/>
          <w:sz w:val="24"/>
          <w:szCs w:val="24"/>
        </w:rPr>
      </w:pPr>
      <w:r>
        <w:rPr>
          <w:rFonts w:cs="Arial" w:ascii="Calibri" w:hAnsi="Calibri"/>
          <w:sz w:val="24"/>
          <w:szCs w:val="24"/>
        </w:rPr>
      </w:r>
    </w:p>
    <w:p>
      <w:pPr>
        <w:pStyle w:val="PADRO"/>
        <w:widowControl/>
        <w:numPr>
          <w:ilvl w:val="2"/>
          <w:numId w:val="2"/>
        </w:numPr>
        <w:shd w:val="clear" w:color="auto" w:fill="auto"/>
        <w:spacing w:before="0" w:after="0"/>
        <w:contextualSpacing/>
        <w:rPr>
          <w:rFonts w:ascii="Calibri" w:hAnsi="Calibri"/>
          <w:sz w:val="24"/>
          <w:szCs w:val="24"/>
        </w:rPr>
      </w:pPr>
      <w:r>
        <w:rPr>
          <w:rFonts w:cs="Arial" w:ascii="Calibri" w:hAnsi="Calibri"/>
          <w:sz w:val="24"/>
          <w:szCs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2"/>
        </w:numPr>
        <w:shd w:val="clear" w:color="auto" w:fill="auto"/>
        <w:spacing w:before="0" w:after="0"/>
        <w:contextualSpacing/>
        <w:rPr>
          <w:rFonts w:ascii="Calibri" w:hAnsi="Calibri"/>
          <w:sz w:val="24"/>
          <w:szCs w:val="24"/>
        </w:rPr>
      </w:pPr>
      <w:r>
        <w:rPr>
          <w:rFonts w:cs="Arial" w:ascii="Calibri" w:hAnsi="Calibri"/>
          <w:sz w:val="24"/>
          <w:szCs w:val="24"/>
        </w:rPr>
        <w:t>O critério de julgamento adotado será o</w:t>
      </w:r>
      <w:r>
        <w:rPr>
          <w:rFonts w:cs="Arial" w:ascii="Calibri" w:hAnsi="Calibri"/>
          <w:i/>
          <w:iCs/>
          <w:sz w:val="24"/>
          <w:szCs w:val="24"/>
        </w:rPr>
        <w:t xml:space="preserve"> </w:t>
      </w:r>
      <w:r>
        <w:rPr>
          <w:rFonts w:cs="Arial" w:ascii="Calibri" w:hAnsi="Calibri"/>
          <w:i/>
          <w:iCs/>
          <w:color w:val="auto"/>
          <w:sz w:val="24"/>
          <w:szCs w:val="24"/>
        </w:rPr>
        <w:t>menor preço,</w:t>
      </w:r>
      <w:r>
        <w:rPr>
          <w:rFonts w:cs="Arial" w:ascii="Calibri" w:hAnsi="Calibri"/>
          <w:color w:val="FF0000"/>
          <w:sz w:val="24"/>
          <w:szCs w:val="24"/>
        </w:rPr>
        <w:t xml:space="preserve"> </w:t>
      </w:r>
      <w:r>
        <w:rPr>
          <w:rFonts w:cs="Arial" w:ascii="Calibri" w:hAnsi="Calibri"/>
          <w:sz w:val="24"/>
          <w:szCs w:val="24"/>
        </w:rPr>
        <w:t>observadas as exigências contidas neste Aviso de Contratação Direta e seus Anexos quanto às especificações do objeto.</w:t>
      </w:r>
      <w:r>
        <w:rPr>
          <w:rFonts w:ascii="Calibri" w:hAnsi="Calibri"/>
          <w:sz w:val="24"/>
          <w:szCs w:val="24"/>
        </w:rPr>
        <w:t xml:space="preserve"> </w:t>
      </w:r>
      <w:bookmarkStart w:id="2" w:name="_Toc104906819"/>
      <w:r>
        <w:rPr>
          <w:rFonts w:cs="Arial" w:ascii="Calibri" w:hAnsi="Calibri"/>
          <w:color w:val="auto"/>
          <w:sz w:val="24"/>
          <w:szCs w:val="24"/>
        </w:rPr>
        <w:t>PARTICIPAÇÃO NA DISPENSA ELETRÔNICA.</w:t>
      </w:r>
      <w:bookmarkEnd w:id="2"/>
    </w:p>
    <w:p>
      <w:pPr>
        <w:pStyle w:val="Normal"/>
        <w:numPr>
          <w:ilvl w:val="1"/>
          <w:numId w:val="2"/>
        </w:numPr>
        <w:snapToGrid w:val="false"/>
        <w:spacing w:lineRule="auto" w:line="276" w:before="0" w:after="0"/>
        <w:contextualSpacing/>
        <w:jc w:val="both"/>
        <w:rPr>
          <w:rFonts w:ascii="Calibri" w:hAnsi="Calibri"/>
          <w:sz w:val="24"/>
          <w:szCs w:val="24"/>
        </w:rPr>
      </w:pPr>
      <w:r>
        <w:rPr>
          <w:rFonts w:cs="Arial" w:ascii="Calibri" w:hAnsi="Calibri"/>
          <w:sz w:val="24"/>
          <w:szCs w:val="24"/>
        </w:rPr>
        <w:t xml:space="preserve">A participação na presente dispensa eletrônica se dará mediante </w:t>
      </w:r>
      <w:r>
        <w:rPr>
          <w:rFonts w:cs="Arial" w:ascii="Calibri" w:hAnsi="Calibri"/>
          <w:bCs/>
          <w:sz w:val="24"/>
          <w:szCs w:val="24"/>
        </w:rPr>
        <w:t>Sistema de Dispensa Eletrônica</w:t>
      </w:r>
      <w:r>
        <w:rPr>
          <w:rFonts w:cs="Arial" w:ascii="Calibri" w:hAnsi="Calibri"/>
          <w:sz w:val="24"/>
          <w:szCs w:val="24"/>
        </w:rPr>
        <w:t xml:space="preserve"> integrante do Sistema de Compras do Governo Federal – Comprasnet 4.0, disponível no </w:t>
      </w:r>
      <w:r>
        <w:rPr>
          <w:rFonts w:cs="Arial" w:ascii="Calibri" w:hAnsi="Calibri"/>
          <w:bCs/>
          <w:sz w:val="24"/>
          <w:szCs w:val="24"/>
        </w:rPr>
        <w:t xml:space="preserve">endereço eletrônico </w:t>
      </w:r>
      <w:r>
        <w:rPr>
          <w:rFonts w:cs="Arial" w:ascii="Calibri" w:hAnsi="Calibri"/>
          <w:bCs/>
          <w:i w:val="false"/>
          <w:iCs w:val="false"/>
          <w:color w:val="auto"/>
          <w:sz w:val="24"/>
          <w:szCs w:val="24"/>
        </w:rPr>
        <w:t>www.gov.br/compras/pt-br.</w:t>
      </w:r>
    </w:p>
    <w:p>
      <w:pPr>
        <w:pStyle w:val="Normal"/>
        <w:numPr>
          <w:ilvl w:val="2"/>
          <w:numId w:val="2"/>
        </w:numPr>
        <w:snapToGrid w:val="false"/>
        <w:spacing w:lineRule="auto" w:line="276" w:before="0" w:after="0"/>
        <w:contextualSpacing/>
        <w:jc w:val="both"/>
        <w:rPr>
          <w:rFonts w:ascii="Calibri" w:hAnsi="Calibri"/>
          <w:sz w:val="24"/>
          <w:szCs w:val="24"/>
        </w:rPr>
      </w:pPr>
      <w:r>
        <w:rPr>
          <w:rFonts w:cs="Arial" w:ascii="Calibri" w:hAnsi="Calibri"/>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2"/>
        </w:numPr>
        <w:snapToGrid w:val="false"/>
        <w:spacing w:lineRule="auto" w:line="276" w:before="0" w:after="0"/>
        <w:contextualSpacing/>
        <w:jc w:val="both"/>
        <w:rPr>
          <w:rFonts w:ascii="Calibri" w:hAnsi="Calibri"/>
          <w:sz w:val="24"/>
          <w:szCs w:val="24"/>
        </w:rPr>
      </w:pPr>
      <w:r>
        <w:rPr>
          <w:rFonts w:cs="Arial" w:ascii="Calibri" w:hAnsi="Calibri"/>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themeColor="text1"/>
          <w:sz w:val="24"/>
          <w:szCs w:val="24"/>
        </w:rPr>
        <w:t>Não poderão participar desta dispensa os fornecedores: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que não atendam às condições deste Aviso de Contratação Direta e seu(s) anexo(s);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estrangeiros que não tenham representação legal no Brasil com poderes expressos para receber citação e responder administrativa ou judicialmente;</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que se enquadrem nas seguintes vedações:</w:t>
      </w:r>
    </w:p>
    <w:p>
      <w:pPr>
        <w:pStyle w:val="Normal"/>
        <w:numPr>
          <w:ilvl w:val="3"/>
          <w:numId w:val="5"/>
        </w:numPr>
        <w:spacing w:lineRule="auto" w:line="276" w:before="0" w:after="0"/>
        <w:contextualSpacing/>
        <w:jc w:val="both"/>
        <w:rPr>
          <w:rFonts w:ascii="Calibri" w:hAnsi="Calibri"/>
          <w:sz w:val="24"/>
          <w:szCs w:val="24"/>
        </w:rPr>
      </w:pPr>
      <w:r>
        <w:rPr>
          <w:rFonts w:cs="Arial" w:ascii="Calibri" w:hAnsi="Calibri"/>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5"/>
        </w:numPr>
        <w:spacing w:lineRule="auto" w:line="276" w:before="0" w:after="0"/>
        <w:contextualSpacing/>
        <w:jc w:val="both"/>
        <w:rPr>
          <w:rFonts w:ascii="Calibri" w:hAnsi="Calibri"/>
          <w:sz w:val="24"/>
          <w:szCs w:val="24"/>
        </w:rPr>
      </w:pPr>
      <w:r>
        <w:rPr>
          <w:rFonts w:cs="Arial" w:ascii="Calibri" w:hAnsi="Calibri"/>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sectPr>
          <w:type w:val="nextPage"/>
          <w:pgSz w:w="11906" w:h="16838"/>
          <w:pgMar w:left="1080" w:right="1080" w:gutter="0" w:header="0" w:top="1440" w:footer="0" w:bottom="1440"/>
          <w:pgNumType w:fmt="decimal"/>
          <w:formProt w:val="false"/>
          <w:textDirection w:val="lrTb"/>
          <w:docGrid w:type="default" w:linePitch="360" w:charSpace="0"/>
        </w:sectPr>
        <w:pStyle w:val="Normal"/>
        <w:numPr>
          <w:ilvl w:val="3"/>
          <w:numId w:val="5"/>
        </w:numPr>
        <w:spacing w:lineRule="auto" w:line="276" w:before="0" w:after="0"/>
        <w:contextualSpacing/>
        <w:jc w:val="both"/>
        <w:rPr>
          <w:rFonts w:ascii="Calibri" w:hAnsi="Calibri"/>
          <w:sz w:val="24"/>
          <w:szCs w:val="24"/>
        </w:rPr>
      </w:pPr>
      <w:r>
        <w:rPr>
          <w:rFonts w:cs="Arial" w:ascii="Calibri" w:hAnsi="Calibri"/>
          <w:color w:val="000000"/>
          <w:sz w:val="24"/>
          <w:szCs w:val="24"/>
        </w:rPr>
        <w:t>pessoa física ou jurídica que se encontre, ao tempo da contratação, impossibilitada de contratar em decorrência de sanção que lhe foi imposta;</w:t>
      </w:r>
    </w:p>
    <w:p>
      <w:pPr>
        <w:pStyle w:val="Normal"/>
        <w:numPr>
          <w:ilvl w:val="3"/>
          <w:numId w:val="5"/>
        </w:numPr>
        <w:spacing w:lineRule="auto" w:line="276" w:before="0" w:after="0"/>
        <w:contextualSpacing/>
        <w:jc w:val="both"/>
        <w:rPr>
          <w:rFonts w:ascii="Calibri" w:hAnsi="Calibri"/>
          <w:sz w:val="24"/>
          <w:szCs w:val="24"/>
        </w:rPr>
      </w:pPr>
      <w:r>
        <w:rPr>
          <w:rFonts w:cs="Arial" w:ascii="Calibri" w:hAnsi="Calibri"/>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5"/>
        </w:numPr>
        <w:spacing w:lineRule="auto" w:line="276" w:before="0" w:after="0"/>
        <w:contextualSpacing/>
        <w:jc w:val="both"/>
        <w:rPr/>
      </w:pPr>
      <w:r>
        <w:rPr>
          <w:rFonts w:cs="Arial" w:ascii="Calibri" w:hAnsi="Calibri"/>
          <w:color w:val="000000"/>
          <w:sz w:val="24"/>
          <w:szCs w:val="24"/>
        </w:rPr>
        <w:t>empresas controladoras, controladas ou coligadas, nos termos da </w:t>
      </w:r>
      <w:hyperlink r:id="rId2">
        <w:r>
          <w:rPr>
            <w:rStyle w:val="LinkdaInternet"/>
            <w:rFonts w:eastAsia="Calibri" w:cs="Arial" w:ascii="Calibri" w:hAnsi="Calibri"/>
            <w:sz w:val="24"/>
            <w:szCs w:val="24"/>
          </w:rPr>
          <w:t>Lei nº 6.404, de 15 de dezembro de 1976</w:t>
        </w:r>
      </w:hyperlink>
      <w:r>
        <w:rPr>
          <w:rFonts w:cs="Arial" w:ascii="Calibri" w:hAnsi="Calibri"/>
          <w:color w:val="000000"/>
          <w:sz w:val="24"/>
          <w:szCs w:val="24"/>
        </w:rPr>
        <w:t>, concorrendo entre si;</w:t>
      </w:r>
    </w:p>
    <w:p>
      <w:pPr>
        <w:pStyle w:val="Normal"/>
        <w:numPr>
          <w:ilvl w:val="3"/>
          <w:numId w:val="5"/>
        </w:numPr>
        <w:spacing w:lineRule="auto" w:line="276" w:before="0" w:after="0"/>
        <w:contextualSpacing/>
        <w:jc w:val="both"/>
        <w:rPr>
          <w:rFonts w:ascii="Calibri" w:hAnsi="Calibri"/>
          <w:sz w:val="24"/>
          <w:szCs w:val="24"/>
        </w:rPr>
      </w:pPr>
      <w:r>
        <w:rPr>
          <w:rFonts w:cs="Arial" w:ascii="Calibri" w:hAnsi="Calibri"/>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2"/>
        </w:numPr>
        <w:spacing w:lineRule="auto" w:line="276" w:before="0" w:after="0"/>
        <w:contextualSpacing/>
        <w:jc w:val="both"/>
        <w:rPr>
          <w:rFonts w:ascii="Calibri" w:hAnsi="Calibri"/>
          <w:sz w:val="24"/>
          <w:szCs w:val="24"/>
        </w:rPr>
      </w:pPr>
      <w:r>
        <w:rPr>
          <w:rFonts w:cs="Arial" w:ascii="Calibri" w:hAnsi="Calibri"/>
          <w:color w:val="000000"/>
          <w:sz w:val="24"/>
          <w:szCs w:val="24"/>
        </w:rPr>
        <w:t>Equiparam-se aos autores do projeto as empresas integrantes do mesmo grupo econômico;</w:t>
      </w:r>
    </w:p>
    <w:p>
      <w:pPr>
        <w:pStyle w:val="Normal"/>
        <w:numPr>
          <w:ilvl w:val="3"/>
          <w:numId w:val="2"/>
        </w:numPr>
        <w:spacing w:lineRule="auto" w:line="276" w:before="0" w:after="0"/>
        <w:contextualSpacing/>
        <w:jc w:val="both"/>
        <w:rPr>
          <w:rFonts w:ascii="Calibri" w:hAnsi="Calibri"/>
          <w:sz w:val="24"/>
          <w:szCs w:val="24"/>
        </w:rPr>
      </w:pPr>
      <w:r>
        <w:rPr>
          <w:rFonts w:cs="Arial" w:ascii="Calibri" w:hAnsi="Calibri"/>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organizações da Sociedade Civil de Interesse Público - OSCIP, atuando nessa condição (Acórdão nº 746/2014-TCU-Plenário); e</w:t>
      </w:r>
    </w:p>
    <w:p>
      <w:pPr>
        <w:pStyle w:val="Normal"/>
        <w:numPr>
          <w:ilvl w:val="0"/>
          <w:numId w:val="0"/>
        </w:numPr>
        <w:spacing w:lineRule="auto" w:line="276" w:before="0" w:after="0"/>
        <w:ind w:left="1224" w:hanging="0"/>
        <w:contextualSpacing/>
        <w:jc w:val="both"/>
        <w:rPr>
          <w:rFonts w:ascii="Calibri" w:hAnsi="Calibri" w:cs="Arial"/>
          <w:color w:val="000000"/>
          <w:sz w:val="24"/>
          <w:szCs w:val="24"/>
        </w:rPr>
      </w:pPr>
      <w:r>
        <w:rPr>
          <w:rFonts w:cs="Arial" w:ascii="Calibri" w:hAnsi="Calibri"/>
          <w:color w:val="000000"/>
          <w:sz w:val="24"/>
          <w:szCs w:val="24"/>
        </w:rPr>
      </w:r>
    </w:p>
    <w:p>
      <w:pPr>
        <w:pStyle w:val="Ttulo1"/>
        <w:numPr>
          <w:ilvl w:val="0"/>
          <w:numId w:val="2"/>
        </w:numPr>
        <w:spacing w:before="0" w:after="0"/>
        <w:contextualSpacing/>
        <w:rPr>
          <w:rFonts w:ascii="Calibri" w:hAnsi="Calibri"/>
          <w:sz w:val="24"/>
          <w:szCs w:val="24"/>
        </w:rPr>
      </w:pPr>
      <w:bookmarkStart w:id="3" w:name="_Toc104906820"/>
      <w:r>
        <w:rPr>
          <w:rFonts w:cs="Arial" w:ascii="Calibri" w:hAnsi="Calibri"/>
          <w:color w:val="auto"/>
          <w:sz w:val="24"/>
          <w:szCs w:val="24"/>
        </w:rPr>
        <w:t>INGRESSO NA DISPENSA ELETRÔNICA E CADASTRAMENTO DA PROPOSTA INICIAL</w:t>
      </w:r>
      <w:bookmarkEnd w:id="3"/>
    </w:p>
    <w:p>
      <w:pPr>
        <w:pStyle w:val="Normal"/>
        <w:numPr>
          <w:ilvl w:val="1"/>
          <w:numId w:val="2"/>
        </w:numPr>
        <w:snapToGrid w:val="false"/>
        <w:spacing w:lineRule="auto" w:line="276" w:before="0" w:after="0"/>
        <w:ind w:left="857" w:hanging="432"/>
        <w:contextualSpacing/>
        <w:jc w:val="both"/>
        <w:rPr>
          <w:rFonts w:ascii="Calibri" w:hAnsi="Calibri"/>
          <w:sz w:val="24"/>
          <w:szCs w:val="24"/>
        </w:rPr>
      </w:pPr>
      <w:r>
        <w:rPr>
          <w:rFonts w:cs="Arial" w:ascii="Calibri" w:hAnsi="Calibri"/>
          <w:color w:val="000000" w:themeColor="text1"/>
          <w:sz w:val="24"/>
          <w:szCs w:val="24"/>
        </w:rPr>
        <w:t>O ingresso do fornecedor na disputa da dispensa eletrônica se dará com o cadastramento de sua proposta inicial, na forma deste item.</w:t>
      </w:r>
    </w:p>
    <w:p>
      <w:pPr>
        <w:pStyle w:val="Normal"/>
        <w:numPr>
          <w:ilvl w:val="1"/>
          <w:numId w:val="2"/>
        </w:numPr>
        <w:snapToGrid w:val="false"/>
        <w:spacing w:lineRule="auto" w:line="276" w:before="0" w:after="0"/>
        <w:ind w:left="425" w:hanging="0"/>
        <w:contextualSpacing/>
        <w:jc w:val="both"/>
        <w:rPr>
          <w:rFonts w:ascii="Calibri" w:hAnsi="Calibri"/>
          <w:sz w:val="24"/>
          <w:szCs w:val="24"/>
        </w:rPr>
      </w:pPr>
      <w:r>
        <w:rPr>
          <w:rFonts w:cs="Arial" w:ascii="Calibri" w:hAnsi="Calibri"/>
          <w:color w:val="000000" w:themeColor="text1"/>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 xml:space="preserve">Todas as especificações do </w:t>
      </w:r>
      <w:r>
        <w:rPr>
          <w:rFonts w:cs="Arial" w:ascii="Calibri" w:hAnsi="Calibri"/>
          <w:color w:val="000000" w:themeColor="text1"/>
          <w:sz w:val="24"/>
          <w:szCs w:val="24"/>
        </w:rPr>
        <w:t>objeto</w:t>
      </w:r>
      <w:r>
        <w:rPr>
          <w:rFonts w:cs="Arial" w:ascii="Calibri" w:hAnsi="Calibri"/>
          <w:sz w:val="24"/>
          <w:szCs w:val="24"/>
        </w:rPr>
        <w:t xml:space="preserve"> contidas na proposta, em especial o preço, vinculam a Contratada.</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Independentemente do percentual de tributo inserido na planilha, no pagamento serão retidos na fonte os percentuais estabelecidos na legislação vigente.</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 xml:space="preserve">A apresentação das propostas implica obrigatoriedade do cumprimento das disposições nelas contidas, em conformidade com o que dispõe o </w:t>
      </w:r>
      <w:r>
        <w:rPr>
          <w:rFonts w:cs="Arial" w:ascii="Calibri" w:hAnsi="Calibri"/>
          <w:i/>
          <w:color w:val="auto"/>
          <w:sz w:val="24"/>
          <w:szCs w:val="24"/>
        </w:rPr>
        <w:t>Termo de Referência</w:t>
      </w:r>
      <w:r>
        <w:rPr>
          <w:rFonts w:cs="Arial" w:ascii="Calibri" w:hAnsi="Calibri"/>
          <w:sz w:val="24"/>
          <w:szCs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 xml:space="preserve">Uma vez enviada a proposta no sistema, os fornecedores </w:t>
      </w:r>
      <w:r>
        <w:rPr>
          <w:rFonts w:cs="Arial" w:ascii="Calibri" w:hAnsi="Calibri"/>
          <w:b/>
          <w:bCs/>
          <w:sz w:val="24"/>
          <w:szCs w:val="24"/>
        </w:rPr>
        <w:t>NÃO</w:t>
      </w:r>
      <w:r>
        <w:rPr>
          <w:rFonts w:cs="Arial" w:ascii="Calibri" w:hAnsi="Calibri"/>
          <w:sz w:val="24"/>
          <w:szCs w:val="24"/>
        </w:rPr>
        <w:t xml:space="preserve"> poderão retirá-la, substituí-la ou modificá-la</w:t>
      </w:r>
      <w:r>
        <w:rPr>
          <w:rFonts w:cs="Arial" w:ascii="Calibri" w:hAnsi="Calibri"/>
          <w:color w:val="000000"/>
          <w:sz w:val="24"/>
          <w:szCs w:val="24"/>
        </w:rPr>
        <w:t>;</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 xml:space="preserve">No cadastramento da proposta inicial, o fornecedor deverá, também, assinalar “sim” ou “não” em campo </w:t>
      </w:r>
      <w:r>
        <w:rPr>
          <w:rFonts w:cs="Arial" w:ascii="Calibri" w:hAnsi="Calibri"/>
          <w:sz w:val="24"/>
          <w:szCs w:val="24"/>
        </w:rPr>
        <w:t>próprio</w:t>
      </w:r>
      <w:r>
        <w:rPr>
          <w:rFonts w:cs="Arial" w:ascii="Calibri" w:hAnsi="Calibri"/>
          <w:color w:val="000000"/>
          <w:sz w:val="24"/>
          <w:szCs w:val="24"/>
        </w:rPr>
        <w:t xml:space="preserve"> do sistema eletrônico, às seguintes declarações:</w:t>
      </w:r>
      <w:r>
        <w:rPr>
          <w:rFonts w:eastAsia="Zurich BT" w:cs="Arial" w:ascii="Calibri" w:hAnsi="Calibri"/>
          <w:color w:val="000000"/>
          <w:sz w:val="24"/>
          <w:szCs w:val="24"/>
        </w:rPr>
        <w:t xml:space="preserve"> </w:t>
      </w:r>
    </w:p>
    <w:p>
      <w:pPr>
        <w:pStyle w:val="ListParagraph"/>
        <w:numPr>
          <w:ilvl w:val="0"/>
          <w:numId w:val="3"/>
        </w:numPr>
        <w:tabs>
          <w:tab w:val="clear" w:pos="302"/>
          <w:tab w:val="left" w:pos="1440" w:leader="none"/>
        </w:tabs>
        <w:snapToGrid w:val="false"/>
        <w:spacing w:lineRule="auto" w:line="276" w:before="0" w:after="0"/>
        <w:contextualSpacing/>
        <w:jc w:val="both"/>
        <w:rPr>
          <w:rFonts w:ascii="Calibri" w:hAnsi="Calibri" w:cs="Arial"/>
          <w:bCs/>
          <w:vanish/>
          <w:color w:val="000000"/>
          <w:sz w:val="24"/>
          <w:szCs w:val="24"/>
        </w:rPr>
      </w:pPr>
      <w:r>
        <w:rPr>
          <w:rFonts w:cs="Arial" w:ascii="Calibri" w:hAnsi="Calibri"/>
          <w:bCs/>
          <w:vanish/>
          <w:color w:val="000000"/>
          <w:sz w:val="24"/>
          <w:szCs w:val="24"/>
        </w:rPr>
      </w:r>
    </w:p>
    <w:p>
      <w:pPr>
        <w:pStyle w:val="ListParagraph"/>
        <w:numPr>
          <w:ilvl w:val="1"/>
          <w:numId w:val="3"/>
        </w:numPr>
        <w:tabs>
          <w:tab w:val="clear" w:pos="302"/>
          <w:tab w:val="left" w:pos="1440" w:leader="none"/>
        </w:tabs>
        <w:snapToGrid w:val="false"/>
        <w:spacing w:lineRule="auto" w:line="276" w:before="0" w:after="0"/>
        <w:contextualSpacing/>
        <w:jc w:val="both"/>
        <w:rPr>
          <w:rFonts w:ascii="Calibri" w:hAnsi="Calibri" w:cs="Arial"/>
          <w:bCs/>
          <w:vanish/>
          <w:color w:val="000000"/>
          <w:sz w:val="24"/>
          <w:szCs w:val="24"/>
        </w:rPr>
      </w:pPr>
      <w:r>
        <w:rPr>
          <w:rFonts w:cs="Arial" w:ascii="Calibri" w:hAnsi="Calibri"/>
          <w:bCs/>
          <w:vanish/>
          <w:color w:val="000000"/>
          <w:sz w:val="24"/>
          <w:szCs w:val="24"/>
        </w:rPr>
      </w:r>
    </w:p>
    <w:p>
      <w:pPr>
        <w:pStyle w:val="ListParagraph"/>
        <w:numPr>
          <w:ilvl w:val="1"/>
          <w:numId w:val="3"/>
        </w:numPr>
        <w:tabs>
          <w:tab w:val="clear" w:pos="302"/>
          <w:tab w:val="left" w:pos="1440" w:leader="none"/>
        </w:tabs>
        <w:snapToGrid w:val="false"/>
        <w:spacing w:lineRule="auto" w:line="276" w:before="0" w:after="0"/>
        <w:contextualSpacing/>
        <w:jc w:val="both"/>
        <w:rPr>
          <w:rFonts w:ascii="Calibri" w:hAnsi="Calibri" w:cs="Arial"/>
          <w:bCs/>
          <w:vanish/>
          <w:color w:val="000000"/>
          <w:sz w:val="24"/>
          <w:szCs w:val="24"/>
        </w:rPr>
      </w:pPr>
      <w:r>
        <w:rPr>
          <w:rFonts w:cs="Arial" w:ascii="Calibri" w:hAnsi="Calibri"/>
          <w:bCs/>
          <w:vanish/>
          <w:color w:val="000000"/>
          <w:sz w:val="24"/>
          <w:szCs w:val="24"/>
        </w:rPr>
      </w:r>
    </w:p>
    <w:p>
      <w:pPr>
        <w:pStyle w:val="ListParagraph"/>
        <w:numPr>
          <w:ilvl w:val="1"/>
          <w:numId w:val="3"/>
        </w:numPr>
        <w:tabs>
          <w:tab w:val="clear" w:pos="302"/>
          <w:tab w:val="left" w:pos="1440" w:leader="none"/>
        </w:tabs>
        <w:snapToGrid w:val="false"/>
        <w:spacing w:lineRule="auto" w:line="276" w:before="0" w:after="0"/>
        <w:contextualSpacing/>
        <w:jc w:val="both"/>
        <w:rPr>
          <w:rFonts w:ascii="Calibri" w:hAnsi="Calibri" w:cs="Arial"/>
          <w:bCs/>
          <w:vanish/>
          <w:color w:val="000000"/>
          <w:sz w:val="24"/>
          <w:szCs w:val="24"/>
        </w:rPr>
      </w:pPr>
      <w:r>
        <w:rPr>
          <w:rFonts w:cs="Arial" w:ascii="Calibri" w:hAnsi="Calibri"/>
          <w:bCs/>
          <w:vanish/>
          <w:color w:val="000000"/>
          <w:sz w:val="24"/>
          <w:szCs w:val="24"/>
        </w:rPr>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que inexistem fatos impeditivos para sua habilitação no certame, ciente da obrigatoriedade de declarar ocorrências posteriores;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 xml:space="preserve">que </w:t>
      </w:r>
      <w:r>
        <w:rPr>
          <w:rFonts w:cs="Arial" w:ascii="Calibri" w:hAnsi="Calibri"/>
          <w:color w:val="000000"/>
          <w:sz w:val="24"/>
          <w:szCs w:val="24"/>
        </w:rPr>
        <w:t>cumpre</w:t>
      </w:r>
      <w:r>
        <w:rPr>
          <w:rFonts w:cs="Arial" w:ascii="Calibri" w:hAnsi="Calibri"/>
          <w:color w:val="000000" w:themeColor="text1"/>
          <w:sz w:val="24"/>
          <w:szCs w:val="24"/>
        </w:rPr>
        <w:t xml:space="preserve"> os requisitos estabelecidos no artigo 3° da Lei Complementar nº 123, de 2006, estando apto a usufruir do tratamento favorecido estabelecido em seus arts. 42 a 49.</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que está ciente e concorda com as condições contidas no Aviso de Contratação Direta e seus anexos;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que assume a responsabilidade pelas transações que forem efetuadas no sistema, assumindo como firmes e verdadeiras;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que cumpre as exigências de reserva de cargos para pessoa com deficiência e para reabilitado da Previdência Social, de que trata o art. 93 da Lei nº 8.213/91.</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2"/>
        </w:numPr>
        <w:spacing w:lineRule="auto" w:line="276" w:before="0" w:after="0"/>
        <w:contextualSpacing/>
        <w:jc w:val="both"/>
        <w:rPr>
          <w:rFonts w:ascii="Calibri" w:hAnsi="Calibri"/>
          <w:sz w:val="24"/>
          <w:szCs w:val="24"/>
        </w:rPr>
      </w:pPr>
      <w:r>
        <w:rPr>
          <w:rFonts w:cs="Arial" w:ascii="Calibri" w:hAnsi="Calibri"/>
          <w:i/>
          <w:color w:val="auto"/>
          <w:sz w:val="24"/>
          <w:szCs w:val="24"/>
        </w:rPr>
        <w:t>Fica facultado ao fornecedor, ao cadastrar sua proposta inicial, a parametrização de valor final mínimo, com o registro do seu lance final aceitável (menor preço ou maior desconto, conforme o caso).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i/>
          <w:color w:val="auto"/>
          <w:sz w:val="24"/>
          <w:szCs w:val="24"/>
        </w:rPr>
        <w:t xml:space="preserve">Feita essa opção os lances serão enviados automaticamente pelo sistema, respeitados os limites cadastrados pelo fornecedor e o intervalo mínimo entre lances previsto neste aviso. </w:t>
      </w:r>
    </w:p>
    <w:p>
      <w:pPr>
        <w:pStyle w:val="Normal"/>
        <w:numPr>
          <w:ilvl w:val="3"/>
          <w:numId w:val="2"/>
        </w:numPr>
        <w:rPr>
          <w:rFonts w:ascii="Calibri" w:hAnsi="Calibri"/>
          <w:sz w:val="24"/>
          <w:szCs w:val="24"/>
        </w:rPr>
      </w:pPr>
      <w:r>
        <w:rPr>
          <w:rFonts w:cs="Arial" w:ascii="Calibri" w:hAnsi="Calibri"/>
          <w:i/>
          <w:color w:val="auto"/>
          <w:sz w:val="24"/>
          <w:szCs w:val="24"/>
        </w:rPr>
        <w:t>Sem prejuízo do disposto acima, os lances poderão ser enviados manualmente, na forma da seção respectiva deste Aviso de Contratação Direta;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i/>
          <w:color w:val="auto"/>
          <w:sz w:val="24"/>
          <w:szCs w:val="24"/>
        </w:rPr>
        <w:t>O valor final mínimo poderá ser alterado pelo fornecedor durante a fase de disputa, desde que não assuma valor superior a lance já registrado por ele no sistema.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i/>
          <w:color w:val="auto"/>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Normal"/>
        <w:spacing w:lineRule="auto" w:line="276" w:before="0" w:after="0"/>
        <w:ind w:left="720" w:hanging="0"/>
        <w:contextualSpacing/>
        <w:jc w:val="both"/>
        <w:rPr>
          <w:rFonts w:ascii="Calibri" w:hAnsi="Calibri" w:cs="Arial"/>
          <w:i/>
          <w:i/>
          <w:color w:val="FF0000"/>
          <w:sz w:val="24"/>
          <w:szCs w:val="24"/>
        </w:rPr>
      </w:pPr>
      <w:r>
        <w:rPr>
          <w:rFonts w:cs="Arial" w:ascii="Calibri" w:hAnsi="Calibri"/>
          <w:i/>
          <w:color w:val="FF0000"/>
          <w:sz w:val="24"/>
          <w:szCs w:val="24"/>
        </w:rPr>
      </w:r>
    </w:p>
    <w:p>
      <w:pPr>
        <w:pStyle w:val="Ttulo1"/>
        <w:numPr>
          <w:ilvl w:val="0"/>
          <w:numId w:val="2"/>
        </w:numPr>
        <w:spacing w:before="0" w:after="0"/>
        <w:contextualSpacing/>
        <w:rPr>
          <w:rFonts w:ascii="Calibri" w:hAnsi="Calibri"/>
          <w:sz w:val="24"/>
          <w:szCs w:val="24"/>
        </w:rPr>
      </w:pPr>
      <w:bookmarkStart w:id="4" w:name="_Toc104906821"/>
      <w:r>
        <w:rPr>
          <w:rFonts w:cs="Arial" w:ascii="Calibri" w:hAnsi="Calibri"/>
          <w:color w:val="auto"/>
          <w:sz w:val="24"/>
          <w:szCs w:val="24"/>
        </w:rPr>
        <w:t>FASE DE LANCES</w:t>
      </w:r>
      <w:bookmarkEnd w:id="4"/>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 xml:space="preserve">A partir das 8:00h da data estabelecida neste Aviso de Contratação Direta, a sessão pública será automaticamente aberta pelo sistema para o envio de lances públicos e sucessivos, </w:t>
      </w:r>
      <w:r>
        <w:rPr>
          <w:rFonts w:cs="Arial" w:ascii="Calibri" w:hAnsi="Calibri"/>
          <w:bCs/>
          <w:sz w:val="24"/>
          <w:szCs w:val="24"/>
          <w:lang w:eastAsia="en-US"/>
        </w:rPr>
        <w:t>exclusivamente por meio do sistema eletrônico</w:t>
      </w:r>
      <w:r>
        <w:rPr>
          <w:rFonts w:cs="Arial" w:ascii="Calibri" w:hAnsi="Calibri"/>
          <w:sz w:val="24"/>
          <w:szCs w:val="24"/>
          <w:lang w:eastAsia="en-US"/>
        </w:rPr>
        <w:t xml:space="preserve">, </w:t>
      </w:r>
      <w:r>
        <w:rPr>
          <w:rFonts w:cs="Arial" w:ascii="Calibri" w:hAnsi="Calibri"/>
          <w:color w:val="000000" w:themeColor="text1"/>
          <w:sz w:val="24"/>
          <w:szCs w:val="24"/>
          <w:lang w:eastAsia="en-US"/>
        </w:rPr>
        <w:t>sendo encerrado no horário de finalização de lances também já previsto neste aviso.</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i/>
          <w:iCs/>
          <w:color w:val="auto"/>
          <w:sz w:val="24"/>
          <w:szCs w:val="24"/>
        </w:rPr>
        <w:t>O lance deverá ser ofertado pelo valor unitário do item.</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O fornecedor somente poderá oferecer valor inferior ou maior percentual de desconto em relação ao último lance por ele ofertado e registrado pelo sistema.</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sz w:val="24"/>
          <w:szCs w:val="24"/>
        </w:rPr>
        <w:t>O intervalo mínimo de diferença de valores ou percentuais entre os lances, que incidirá tanto em relação aos lances intermediários quanto em relação ao que cobrir a melhor oferta é de</w:t>
      </w:r>
      <w:r>
        <w:rPr>
          <w:rFonts w:cs="Arial" w:ascii="Calibri" w:hAnsi="Calibri"/>
          <w:i/>
          <w:iCs/>
          <w:sz w:val="24"/>
          <w:szCs w:val="24"/>
        </w:rPr>
        <w:t xml:space="preserve"> </w:t>
      </w:r>
      <w:r>
        <w:rPr>
          <w:rFonts w:cs="Arial" w:ascii="Calibri" w:hAnsi="Calibri"/>
          <w:i w:val="false"/>
          <w:iCs w:val="false"/>
          <w:color w:val="auto"/>
          <w:sz w:val="24"/>
          <w:szCs w:val="24"/>
          <w:lang w:eastAsia="en-US"/>
        </w:rPr>
        <w:t>0,01(hum centavo).</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Havendo lances iguais ao menor já ofertado, prevalecerá aquele que for recebido e registrado primeiro no sistema.</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Caso o fornecedor não apresente lances, concorrerá com o valor de sua proposta.</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Durante o procedimento, os fornecedores serão informados, em tempo real, do valor do menor lance registrado, vedada a identificação do fornecedor.</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0" w:after="0"/>
        <w:ind w:left="720" w:hanging="0"/>
        <w:contextualSpacing/>
        <w:jc w:val="both"/>
        <w:rPr>
          <w:rFonts w:ascii="Calibri" w:hAnsi="Calibri" w:cs="Arial"/>
          <w:sz w:val="24"/>
          <w:szCs w:val="24"/>
        </w:rPr>
      </w:pPr>
      <w:r>
        <w:rPr>
          <w:rFonts w:cs="Arial" w:ascii="Calibri" w:hAnsi="Calibri"/>
          <w:sz w:val="24"/>
          <w:szCs w:val="24"/>
        </w:rPr>
      </w:r>
    </w:p>
    <w:p>
      <w:pPr>
        <w:pStyle w:val="Ttulo1"/>
        <w:numPr>
          <w:ilvl w:val="0"/>
          <w:numId w:val="2"/>
        </w:numPr>
        <w:spacing w:before="0" w:after="0"/>
        <w:contextualSpacing/>
        <w:rPr>
          <w:rFonts w:ascii="Calibri" w:hAnsi="Calibri"/>
          <w:sz w:val="24"/>
          <w:szCs w:val="24"/>
        </w:rPr>
      </w:pPr>
      <w:bookmarkStart w:id="5" w:name="_Toc104906822"/>
      <w:r>
        <w:rPr>
          <w:rFonts w:cs="Arial" w:ascii="Calibri" w:hAnsi="Calibri"/>
          <w:color w:val="auto"/>
          <w:sz w:val="24"/>
          <w:szCs w:val="24"/>
        </w:rPr>
        <w:t>JULGAMENTO DAS PROPOSTAS DE PREÇO</w:t>
      </w:r>
      <w:bookmarkEnd w:id="5"/>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sz w:val="24"/>
          <w:szCs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sz w:val="24"/>
          <w:szCs w:val="24"/>
        </w:rPr>
        <w:t>No caso de o preço da proposta vencedora estar acima do estimado pela Administração, poderá haver a negociação de condições mais vantajosas.</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Neste caso, será encaminhada contraproposta ao fornecedor que tenha apresentado o melhor preço, para que seja obtida melhor proposta com preço compatível ao estimado pela Administração.</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sz w:val="24"/>
          <w:szCs w:val="24"/>
        </w:rPr>
        <w:t>Em qualquer caso, concluída a negociação, o resultado será registrado na ata do procedimento da dispensa eletrônica.</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sz w:val="24"/>
          <w:szCs w:val="24"/>
        </w:rPr>
        <w:t>Estando o preço compatível, será solicitado o envio da proposta e, se necessário, de documentos complementares, adequada ao último lance.</w:t>
      </w:r>
    </w:p>
    <w:p>
      <w:pPr>
        <w:pStyle w:val="Normal"/>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 xml:space="preserve">O prazo de validade </w:t>
      </w:r>
      <w:r>
        <w:rPr>
          <w:rFonts w:cs="Arial" w:ascii="Calibri" w:hAnsi="Calibri"/>
          <w:sz w:val="24"/>
          <w:szCs w:val="24"/>
        </w:rPr>
        <w:t>da</w:t>
      </w:r>
      <w:r>
        <w:rPr>
          <w:rFonts w:cs="Arial" w:ascii="Calibri" w:hAnsi="Calibri"/>
          <w:color w:val="000000" w:themeColor="text1"/>
          <w:sz w:val="24"/>
          <w:szCs w:val="24"/>
        </w:rPr>
        <w:t xml:space="preserve"> proposta não será inferior a </w:t>
      </w:r>
      <w:r>
        <w:rPr>
          <w:rFonts w:eastAsia="Times New Roman" w:cs="Arial" w:ascii="Calibri" w:hAnsi="Calibri"/>
          <w:i w:val="false"/>
          <w:iCs w:val="false"/>
          <w:color w:val="auto"/>
          <w:sz w:val="24"/>
          <w:szCs w:val="24"/>
          <w:lang w:eastAsia="pt-BR"/>
        </w:rPr>
        <w:t>60</w:t>
      </w:r>
      <w:r>
        <w:rPr>
          <w:rFonts w:cs="Arial" w:ascii="Calibri" w:hAnsi="Calibri"/>
          <w:i w:val="false"/>
          <w:iCs w:val="false"/>
          <w:color w:val="auto"/>
          <w:sz w:val="24"/>
          <w:szCs w:val="24"/>
        </w:rPr>
        <w:t xml:space="preserve"> (</w:t>
      </w:r>
      <w:r>
        <w:rPr>
          <w:rFonts w:eastAsia="Times New Roman" w:cs="Arial" w:ascii="Calibri" w:hAnsi="Calibri"/>
          <w:i w:val="false"/>
          <w:iCs w:val="false"/>
          <w:color w:val="auto"/>
          <w:sz w:val="24"/>
          <w:szCs w:val="24"/>
          <w:lang w:eastAsia="pt-BR"/>
        </w:rPr>
        <w:t>sessenta</w:t>
      </w:r>
      <w:r>
        <w:rPr>
          <w:rFonts w:cs="Arial" w:ascii="Calibri" w:hAnsi="Calibri"/>
          <w:i w:val="false"/>
          <w:iCs w:val="false"/>
          <w:color w:val="auto"/>
          <w:sz w:val="24"/>
          <w:szCs w:val="24"/>
        </w:rPr>
        <w:t>) dias</w:t>
      </w:r>
      <w:r>
        <w:rPr>
          <w:rFonts w:cs="Arial" w:ascii="Calibri" w:hAnsi="Calibri"/>
          <w:b/>
          <w:bCs/>
          <w:color w:val="000000" w:themeColor="text1"/>
          <w:sz w:val="24"/>
          <w:szCs w:val="24"/>
        </w:rPr>
        <w:t>,</w:t>
      </w:r>
      <w:r>
        <w:rPr>
          <w:rFonts w:cs="Arial" w:ascii="Calibri" w:hAnsi="Calibri"/>
          <w:color w:val="000000" w:themeColor="text1"/>
          <w:sz w:val="24"/>
          <w:szCs w:val="24"/>
        </w:rPr>
        <w:t xml:space="preserve"> a contar da data de sua apresentação.</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 xml:space="preserve">Será desclassificada a proposta vencedora que: </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contiver vícios insanáveis</w:t>
      </w:r>
      <w:r>
        <w:rPr>
          <w:rFonts w:cs="Arial" w:ascii="Calibri" w:hAnsi="Calibri"/>
          <w:iCs/>
          <w:color w:val="000000" w:themeColor="text1"/>
          <w:sz w:val="24"/>
          <w:szCs w:val="24"/>
        </w:rPr>
        <w:t>;</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não obedecer às especificações técnicas pormenorizadas neste aviso ou em seus anexos</w:t>
      </w:r>
      <w:r>
        <w:rPr>
          <w:rFonts w:cs="Arial" w:ascii="Calibri" w:hAnsi="Calibri"/>
          <w:iCs/>
          <w:color w:val="000000" w:themeColor="text1"/>
          <w:sz w:val="24"/>
          <w:szCs w:val="24"/>
        </w:rPr>
        <w:t>;</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apresentar preços inexequíveis ou permanecerem acima do preço máximo definido para a contratação;</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não tiverem sua exequibilidade demonstrada, quando exigido pela Administração</w:t>
      </w:r>
      <w:r>
        <w:rPr>
          <w:rFonts w:cs="Arial" w:ascii="Calibri" w:hAnsi="Calibri"/>
          <w:iCs/>
          <w:color w:val="000000" w:themeColor="text1"/>
          <w:sz w:val="24"/>
          <w:szCs w:val="24"/>
        </w:rPr>
        <w:t>;</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apresentar desconformidade com quaisquer outras exigências deste aviso ou seus anexos, desde que insanável.</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Quando</w:t>
      </w:r>
      <w:r>
        <w:rPr>
          <w:rFonts w:cs="Arial" w:ascii="Calibri" w:hAnsi="Calibri"/>
          <w:sz w:val="24"/>
          <w:szCs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sz w:val="24"/>
          <w:szCs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2"/>
        </w:numPr>
        <w:spacing w:lineRule="auto" w:line="276" w:before="0" w:after="0"/>
        <w:ind w:left="792" w:right="-15" w:hanging="432"/>
        <w:contextualSpacing/>
        <w:jc w:val="both"/>
        <w:rPr>
          <w:rFonts w:ascii="Calibri" w:hAnsi="Calibri"/>
          <w:sz w:val="24"/>
          <w:szCs w:val="24"/>
        </w:rPr>
      </w:pPr>
      <w:r>
        <w:rPr>
          <w:rFonts w:cs="Arial" w:ascii="Calibri" w:hAnsi="Calibri"/>
          <w:color w:val="000000" w:themeColor="text1"/>
          <w:sz w:val="24"/>
          <w:szCs w:val="24"/>
          <w:lang w:eastAsia="en-US"/>
        </w:rPr>
        <w:t xml:space="preserve">Se houver indícios de inexequibilidade da proposta de preço, ou em caso da necessidade de esclarecimentos </w:t>
      </w:r>
      <w:r>
        <w:rPr>
          <w:rFonts w:cs="Arial" w:ascii="Calibri" w:hAnsi="Calibri"/>
          <w:sz w:val="24"/>
          <w:szCs w:val="24"/>
        </w:rPr>
        <w:t>complementares</w:t>
      </w:r>
      <w:r>
        <w:rPr>
          <w:rFonts w:cs="Arial" w:ascii="Calibri" w:hAnsi="Calibri"/>
          <w:color w:val="000000" w:themeColor="text1"/>
          <w:sz w:val="24"/>
          <w:szCs w:val="24"/>
          <w:lang w:eastAsia="en-US"/>
        </w:rPr>
        <w:t xml:space="preserve">, poderão ser efetuadas diligências, para que a empresa comprove a exequibilidade da proposta.  </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 xml:space="preserve">Erros no preenchimento da planilha não constituem motivo para a desclassificação da proposta. A planilha </w:t>
      </w:r>
      <w:r>
        <w:rPr>
          <w:rFonts w:cs="Arial" w:ascii="Calibri" w:hAnsi="Calibri"/>
          <w:sz w:val="24"/>
          <w:szCs w:val="24"/>
        </w:rPr>
        <w:t>poderá</w:t>
      </w:r>
      <w:r>
        <w:rPr>
          <w:rFonts w:cs="Arial" w:ascii="Calibri" w:hAnsi="Calibri"/>
          <w:color w:val="000000" w:themeColor="text1"/>
          <w:sz w:val="24"/>
          <w:szCs w:val="24"/>
          <w:lang w:eastAsia="en-US"/>
        </w:rPr>
        <w:t xml:space="preserve"> ser ajustada pelo fornecedor, no prazo indicado pelo sistema, desde que não haja majoração do preço.</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O ajuste de que trata este dispositivo se limita a sanar erros ou falhas que não alterem a substância das propostas;</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Se a proposta ou lance vencedor for desclassificado, será examinada a proposta ou lance subsequente, e, assim sucessivamente, na ordem de classificação.</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Havendo necessidade, a sessão será suspensa, informando-se no “chat” a nova data e horário para a sua continuidade.</w:t>
      </w:r>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lang w:eastAsia="en-US"/>
        </w:rPr>
        <w:t>Encerrada a análise quanto à aceitação da proposta, se iniciará a fase de habilitação, observado o disposto neste Aviso de Contratação Direta.</w:t>
      </w:r>
    </w:p>
    <w:p>
      <w:pPr>
        <w:pStyle w:val="Normal"/>
        <w:spacing w:lineRule="auto" w:line="276" w:before="0" w:after="0"/>
        <w:ind w:left="360" w:hanging="0"/>
        <w:contextualSpacing/>
        <w:jc w:val="both"/>
        <w:rPr>
          <w:rFonts w:ascii="Calibri" w:hAnsi="Calibri" w:cs="Arial"/>
          <w:color w:val="000000" w:themeColor="text1"/>
          <w:sz w:val="24"/>
          <w:szCs w:val="24"/>
          <w:lang w:eastAsia="en-US"/>
        </w:rPr>
      </w:pPr>
      <w:r>
        <w:rPr>
          <w:rFonts w:cs="Arial" w:ascii="Calibri" w:hAnsi="Calibri"/>
          <w:color w:val="000000" w:themeColor="text1"/>
          <w:sz w:val="24"/>
          <w:szCs w:val="24"/>
          <w:lang w:eastAsia="en-US"/>
        </w:rPr>
      </w:r>
    </w:p>
    <w:p>
      <w:pPr>
        <w:pStyle w:val="Ttulo1"/>
        <w:numPr>
          <w:ilvl w:val="0"/>
          <w:numId w:val="2"/>
        </w:numPr>
        <w:spacing w:before="0" w:after="0"/>
        <w:contextualSpacing/>
        <w:rPr>
          <w:rFonts w:ascii="Calibri" w:hAnsi="Calibri"/>
          <w:sz w:val="24"/>
          <w:szCs w:val="24"/>
        </w:rPr>
      </w:pPr>
      <w:bookmarkStart w:id="6" w:name="_Toc104906823"/>
      <w:r>
        <w:rPr>
          <w:rFonts w:cs="Arial" w:ascii="Calibri" w:hAnsi="Calibri"/>
          <w:color w:val="auto"/>
          <w:sz w:val="24"/>
          <w:szCs w:val="24"/>
        </w:rPr>
        <w:t>HABILITAÇÃO</w:t>
      </w:r>
      <w:bookmarkEnd w:id="6"/>
    </w:p>
    <w:p>
      <w:pPr>
        <w:pStyle w:val="ListParagraph"/>
        <w:numPr>
          <w:ilvl w:val="1"/>
          <w:numId w:val="2"/>
        </w:numPr>
        <w:spacing w:lineRule="auto" w:line="276" w:before="0" w:after="0"/>
        <w:contextualSpacing/>
        <w:jc w:val="both"/>
        <w:rPr>
          <w:rFonts w:ascii="Calibri" w:hAnsi="Calibri"/>
          <w:sz w:val="24"/>
          <w:szCs w:val="24"/>
        </w:rPr>
      </w:pPr>
      <w:r>
        <w:rPr>
          <w:rFonts w:cs="Arial" w:ascii="Calibri" w:hAnsi="Calibri"/>
          <w:sz w:val="24"/>
          <w:szCs w:val="24"/>
          <w:lang w:eastAsia="ar-SA"/>
        </w:rPr>
        <w:t xml:space="preserve">Os </w:t>
      </w:r>
      <w:r>
        <w:rPr>
          <w:rFonts w:cs="Arial" w:ascii="Calibri" w:hAnsi="Calibri"/>
          <w:color w:val="000000"/>
          <w:sz w:val="24"/>
          <w:szCs w:val="24"/>
        </w:rPr>
        <w:t>documentos</w:t>
      </w:r>
      <w:r>
        <w:rPr>
          <w:rFonts w:cs="Arial" w:ascii="Calibri" w:hAnsi="Calibri"/>
          <w:sz w:val="24"/>
          <w:szCs w:val="24"/>
          <w:lang w:eastAsia="ar-SA"/>
        </w:rPr>
        <w:t xml:space="preserve"> a serem exigidos para fins de habilitação constam do </w:t>
      </w:r>
      <w:r>
        <w:rPr>
          <w:rFonts w:cs="Arial" w:ascii="Calibri" w:hAnsi="Calibri"/>
          <w:b/>
          <w:sz w:val="24"/>
          <w:szCs w:val="24"/>
          <w:lang w:eastAsia="ar-SA"/>
        </w:rPr>
        <w:t xml:space="preserve">ANEXO I – DOCUMENTAÇÃO EXIGIDA PARA HABILITAÇÃO </w:t>
      </w:r>
      <w:r>
        <w:rPr>
          <w:rFonts w:cs="Arial" w:ascii="Calibri" w:hAnsi="Calibri"/>
          <w:sz w:val="24"/>
          <w:szCs w:val="24"/>
          <w:lang w:eastAsia="ar-SA"/>
        </w:rPr>
        <w:t>deste aviso e serão solicitados do fornecedor mais bem classificado da fase de lances.</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sz w:val="24"/>
          <w:szCs w:val="24"/>
          <w:lang w:eastAsia="ar-SA"/>
        </w:rPr>
        <w:t xml:space="preserve">Como </w:t>
      </w:r>
      <w:r>
        <w:rPr>
          <w:rFonts w:cs="Arial" w:ascii="Calibri" w:hAnsi="Calibri"/>
          <w:color w:val="000000"/>
          <w:sz w:val="24"/>
          <w:szCs w:val="24"/>
        </w:rPr>
        <w:t>condição</w:t>
      </w:r>
      <w:r>
        <w:rPr>
          <w:rFonts w:cs="Arial" w:ascii="Calibri" w:hAnsi="Calibri"/>
          <w:sz w:val="24"/>
          <w:szCs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0" w:after="0"/>
        <w:ind w:left="1134" w:hanging="0"/>
        <w:contextualSpacing/>
        <w:jc w:val="both"/>
        <w:rPr>
          <w:rFonts w:ascii="Calibri" w:hAnsi="Calibri"/>
          <w:sz w:val="24"/>
          <w:szCs w:val="24"/>
        </w:rPr>
      </w:pPr>
      <w:r>
        <w:rPr>
          <w:rFonts w:cs="Arial" w:ascii="Calibri" w:hAnsi="Calibri"/>
          <w:sz w:val="24"/>
          <w:szCs w:val="24"/>
          <w:lang w:eastAsia="ar-SA"/>
        </w:rPr>
        <w:t xml:space="preserve">a) SICAF;  </w:t>
      </w:r>
    </w:p>
    <w:p>
      <w:pPr>
        <w:pStyle w:val="ListParagraph"/>
        <w:spacing w:lineRule="auto" w:line="276" w:before="0" w:after="0"/>
        <w:ind w:left="1134" w:hanging="0"/>
        <w:contextualSpacing/>
        <w:jc w:val="both"/>
        <w:rPr/>
      </w:pPr>
      <w:r>
        <w:rPr>
          <w:rFonts w:cs="Arial" w:ascii="Calibri" w:hAnsi="Calibri"/>
          <w:sz w:val="24"/>
          <w:szCs w:val="24"/>
          <w:lang w:eastAsia="ar-SA"/>
        </w:rPr>
        <w:t>b) Cadastro Nacional de Empresas Inidôneas e Suspensas - CEIS, mantido pela Controladoria-Geral da União (</w:t>
      </w:r>
      <w:hyperlink r:id="rId3">
        <w:r>
          <w:rPr>
            <w:rStyle w:val="LinkdaInternet"/>
            <w:rFonts w:eastAsia="Calibri" w:cs="Arial" w:ascii="Calibri" w:hAnsi="Calibri"/>
            <w:sz w:val="24"/>
            <w:szCs w:val="24"/>
            <w:lang w:eastAsia="ar-SA"/>
          </w:rPr>
          <w:t>www.portaldatransparencia.gov.br/ceis</w:t>
        </w:r>
      </w:hyperlink>
      <w:r>
        <w:rPr>
          <w:rFonts w:cs="Arial" w:ascii="Calibri" w:hAnsi="Calibri"/>
          <w:sz w:val="24"/>
          <w:szCs w:val="24"/>
          <w:lang w:eastAsia="ar-SA"/>
        </w:rPr>
        <w:t xml:space="preserve">);  </w:t>
      </w:r>
    </w:p>
    <w:p>
      <w:pPr>
        <w:pStyle w:val="ListParagraph"/>
        <w:spacing w:lineRule="auto" w:line="276" w:before="0" w:after="0"/>
        <w:ind w:left="1134" w:hanging="0"/>
        <w:contextualSpacing/>
        <w:jc w:val="both"/>
        <w:rPr/>
      </w:pPr>
      <w:r>
        <w:rPr>
          <w:rFonts w:cs="Arial" w:ascii="Calibri" w:hAnsi="Calibri"/>
          <w:sz w:val="24"/>
          <w:szCs w:val="24"/>
          <w:lang w:eastAsia="ar-SA"/>
        </w:rPr>
        <w:t>c) Cadastro Nacional de Condenações Cíveis por Atos de Improbidade Administrativa, mantido pelo Conselho Nacional de Justiça (</w:t>
      </w:r>
      <w:hyperlink r:id="rId4">
        <w:r>
          <w:rPr>
            <w:rStyle w:val="LinkdaInternet"/>
            <w:rFonts w:eastAsia="Calibri" w:cs="Arial" w:ascii="Calibri" w:hAnsi="Calibri"/>
            <w:sz w:val="24"/>
            <w:szCs w:val="24"/>
            <w:lang w:eastAsia="ar-SA"/>
          </w:rPr>
          <w:t>www.cnj.jus.br/improbidade_adm/consultar_requerido.php</w:t>
        </w:r>
      </w:hyperlink>
      <w:r>
        <w:rPr>
          <w:rFonts w:cs="Arial" w:ascii="Calibri" w:hAnsi="Calibri"/>
          <w:sz w:val="24"/>
          <w:szCs w:val="24"/>
          <w:lang w:eastAsia="ar-SA"/>
        </w:rPr>
        <w:t xml:space="preserve">).  </w:t>
      </w:r>
    </w:p>
    <w:p>
      <w:pPr>
        <w:pStyle w:val="ListParagraph"/>
        <w:spacing w:lineRule="auto" w:line="276" w:before="0" w:after="0"/>
        <w:ind w:left="1134" w:hanging="0"/>
        <w:contextualSpacing/>
        <w:jc w:val="both"/>
        <w:rPr>
          <w:rFonts w:ascii="Calibri" w:hAnsi="Calibri"/>
          <w:sz w:val="24"/>
          <w:szCs w:val="24"/>
        </w:rPr>
      </w:pPr>
      <w:r>
        <w:rPr>
          <w:rFonts w:cs="Arial" w:ascii="Calibri" w:hAnsi="Calibri"/>
          <w:sz w:val="24"/>
          <w:szCs w:val="24"/>
          <w:lang w:eastAsia="ar-SA"/>
        </w:rPr>
        <w:t xml:space="preserve">d) Lista de Inidôneos mantida pelo Tribunal de Contas da União - TCU; </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sz w:val="24"/>
          <w:szCs w:val="24"/>
          <w:lang w:eastAsia="ar-SA"/>
        </w:rPr>
        <w:t xml:space="preserve">Para a consulta de </w:t>
      </w:r>
      <w:r>
        <w:rPr>
          <w:rFonts w:cs="Arial" w:ascii="Calibri" w:hAnsi="Calibri"/>
          <w:color w:val="000000" w:themeColor="text1"/>
          <w:sz w:val="24"/>
          <w:szCs w:val="24"/>
        </w:rPr>
        <w:t>fornecedores</w:t>
      </w:r>
      <w:r>
        <w:rPr>
          <w:rFonts w:cs="Arial" w:ascii="Calibri" w:hAnsi="Calibri"/>
          <w:sz w:val="24"/>
          <w:szCs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 xml:space="preserve">A consulta aos </w:t>
      </w:r>
      <w:r>
        <w:rPr>
          <w:rFonts w:cs="Arial" w:ascii="Calibri" w:hAnsi="Calibri"/>
          <w:sz w:val="24"/>
          <w:szCs w:val="24"/>
          <w:lang w:eastAsia="ar-SA"/>
        </w:rPr>
        <w:t>cadastros</w:t>
      </w:r>
      <w:r>
        <w:rPr>
          <w:rFonts w:cs="Arial" w:ascii="Calibri" w:hAnsi="Calibri"/>
          <w:color w:val="000000" w:themeColor="text1"/>
          <w:sz w:val="24"/>
          <w:szCs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A tentativa de burla será verificada por meio dos vínculos societários, linhas de fornecimento similares, dentre outros.</w:t>
      </w:r>
    </w:p>
    <w:p>
      <w:pPr>
        <w:pStyle w:val="ListParagraph"/>
        <w:numPr>
          <w:ilvl w:val="4"/>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O fornecedor será convocado para manifestação previamente à sua desclassificação</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Constatada a existência de sanção, o fornecedor será reputado inabilitado, por falta de condição de participação.</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color w:val="000000" w:themeColor="text1"/>
          <w:sz w:val="24"/>
          <w:szCs w:val="24"/>
        </w:rPr>
        <w:t xml:space="preserve">Caso atendidas as condições de participação, </w:t>
      </w:r>
      <w:r>
        <w:rPr>
          <w:rFonts w:cs="Arial" w:ascii="Calibri" w:hAnsi="Calibri"/>
          <w:sz w:val="24"/>
          <w:szCs w:val="24"/>
        </w:rPr>
        <w:t>a habilitação dos fornecedores será verificada por meio do SICAF, nos documentos por ele abrangidos</w:t>
      </w:r>
      <w:r>
        <w:rPr>
          <w:rFonts w:cs="Arial" w:ascii="Calibri" w:hAnsi="Calibri"/>
          <w:color w:val="000000" w:themeColor="text1"/>
          <w:sz w:val="24"/>
          <w:szCs w:val="24"/>
        </w:rPr>
        <w:t>.</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themeColor="text1"/>
          <w:sz w:val="24"/>
          <w:szCs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color w:val="000000" w:themeColor="text1"/>
          <w:sz w:val="24"/>
          <w:szCs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color w:val="000000" w:themeColor="text1"/>
          <w:sz w:val="24"/>
          <w:szCs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bCs/>
          <w:sz w:val="24"/>
          <w:szCs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i/>
          <w:color w:val="auto"/>
          <w:sz w:val="24"/>
          <w:szCs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i/>
          <w:color w:val="auto"/>
          <w:sz w:val="24"/>
          <w:szCs w:val="24"/>
        </w:rPr>
        <w:t>Não havendo a comprovação cumulativa dos requisitos de habilitação, a inabilitação recairá sobre o(s) item(ns) de menor(es) valor(es) cuja retirada(s) seja(m) suficiente(s) para a habilitação do fornecedor nos remanescentes.</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bCs/>
          <w:sz w:val="24"/>
          <w:szCs w:val="24"/>
        </w:rPr>
        <w:t xml:space="preserve">Havendo </w:t>
      </w:r>
      <w:r>
        <w:rPr>
          <w:rFonts w:cs="Arial" w:ascii="Calibri" w:hAnsi="Calibri"/>
          <w:iCs/>
          <w:sz w:val="24"/>
          <w:szCs w:val="24"/>
          <w:lang w:eastAsia="en-US"/>
        </w:rPr>
        <w:t>necessidade</w:t>
      </w:r>
      <w:r>
        <w:rPr>
          <w:rFonts w:cs="Arial" w:ascii="Calibri" w:hAnsi="Calibri"/>
          <w:bCs/>
          <w:sz w:val="24"/>
          <w:szCs w:val="24"/>
        </w:rPr>
        <w:t xml:space="preserve"> de analisar minuciosamente os documentos exigidos, a sessão será suspensa, sendo informada a nova data e horário para a sua continuidade.</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color w:val="000000"/>
          <w:sz w:val="24"/>
          <w:szCs w:val="24"/>
        </w:rPr>
        <w:t xml:space="preserve">Será inabilitado o fornecedor que não comprovar sua habilitação, seja por não apresentar </w:t>
      </w:r>
      <w:r>
        <w:rPr>
          <w:rFonts w:cs="Arial" w:ascii="Calibri" w:hAnsi="Calibri"/>
          <w:iCs/>
          <w:sz w:val="24"/>
          <w:szCs w:val="24"/>
          <w:lang w:eastAsia="en-US"/>
        </w:rPr>
        <w:t>quaisquer</w:t>
      </w:r>
      <w:r>
        <w:rPr>
          <w:rFonts w:cs="Arial" w:ascii="Calibri" w:hAnsi="Calibri"/>
          <w:color w:val="000000"/>
          <w:sz w:val="24"/>
          <w:szCs w:val="24"/>
        </w:rPr>
        <w:t xml:space="preserve"> dos </w:t>
      </w:r>
      <w:r>
        <w:rPr>
          <w:rFonts w:cs="Arial" w:ascii="Calibri" w:hAnsi="Calibri"/>
          <w:bCs/>
          <w:sz w:val="24"/>
          <w:szCs w:val="24"/>
        </w:rPr>
        <w:t>documentos</w:t>
      </w:r>
      <w:r>
        <w:rPr>
          <w:rFonts w:cs="Arial" w:ascii="Calibri" w:hAnsi="Calibri"/>
          <w:color w:val="000000"/>
          <w:sz w:val="24"/>
          <w:szCs w:val="24"/>
        </w:rPr>
        <w:t xml:space="preserve"> exigidos, ou apresentá-los em desacordo com o estabelecido neste Aviso de Contratação Direta.</w:t>
      </w:r>
    </w:p>
    <w:p>
      <w:pPr>
        <w:pStyle w:val="ListParagraph"/>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2"/>
        </w:numPr>
        <w:spacing w:lineRule="auto" w:line="276" w:before="0" w:after="0"/>
        <w:ind w:left="792" w:hanging="574"/>
        <w:contextualSpacing/>
        <w:jc w:val="both"/>
        <w:rPr>
          <w:rFonts w:ascii="Calibri" w:hAnsi="Calibri"/>
          <w:sz w:val="24"/>
          <w:szCs w:val="24"/>
        </w:rPr>
      </w:pPr>
      <w:r>
        <w:rPr>
          <w:rFonts w:cs="Arial" w:ascii="Calibri" w:hAnsi="Calibri"/>
          <w:iCs/>
          <w:sz w:val="24"/>
          <w:szCs w:val="24"/>
          <w:lang w:eastAsia="en-US"/>
        </w:rPr>
        <w:t>Constatado o atendimento às exigências de habilitação, o fornecedor será habilitado</w:t>
      </w:r>
    </w:p>
    <w:p>
      <w:pPr>
        <w:pStyle w:val="Normal"/>
        <w:spacing w:lineRule="auto" w:line="276" w:before="0" w:after="0"/>
        <w:ind w:left="218" w:hanging="0"/>
        <w:contextualSpacing/>
        <w:jc w:val="both"/>
        <w:rPr>
          <w:rFonts w:ascii="Calibri" w:hAnsi="Calibri" w:cs="Arial"/>
          <w:iCs/>
          <w:sz w:val="24"/>
          <w:szCs w:val="24"/>
          <w:lang w:eastAsia="en-US"/>
        </w:rPr>
      </w:pPr>
      <w:r>
        <w:rPr>
          <w:rFonts w:cs="Arial" w:ascii="Calibri" w:hAnsi="Calibri"/>
          <w:iCs/>
          <w:sz w:val="24"/>
          <w:szCs w:val="24"/>
          <w:lang w:eastAsia="en-US"/>
        </w:rPr>
      </w:r>
    </w:p>
    <w:p>
      <w:pPr>
        <w:pStyle w:val="Ttulo1"/>
        <w:numPr>
          <w:ilvl w:val="0"/>
          <w:numId w:val="2"/>
        </w:numPr>
        <w:spacing w:before="0" w:after="0"/>
        <w:contextualSpacing/>
        <w:rPr>
          <w:rFonts w:ascii="Calibri" w:hAnsi="Calibri"/>
          <w:sz w:val="24"/>
          <w:szCs w:val="24"/>
        </w:rPr>
      </w:pPr>
      <w:bookmarkStart w:id="7" w:name="_Toc104906824"/>
      <w:r>
        <w:rPr>
          <w:rFonts w:cs="Arial" w:ascii="Calibri" w:hAnsi="Calibri"/>
          <w:color w:val="auto"/>
          <w:sz w:val="24"/>
          <w:szCs w:val="24"/>
        </w:rPr>
        <w:t>CONTRATAÇÃO</w:t>
      </w:r>
      <w:bookmarkEnd w:id="7"/>
    </w:p>
    <w:p>
      <w:pPr>
        <w:pStyle w:val="Normal"/>
        <w:numPr>
          <w:ilvl w:val="1"/>
          <w:numId w:val="2"/>
        </w:numPr>
        <w:spacing w:lineRule="auto" w:line="276" w:before="0" w:after="0"/>
        <w:ind w:left="857" w:hanging="432"/>
        <w:contextualSpacing/>
        <w:jc w:val="both"/>
        <w:rPr>
          <w:rFonts w:ascii="Calibri" w:hAnsi="Calibri"/>
          <w:sz w:val="24"/>
          <w:szCs w:val="24"/>
        </w:rPr>
      </w:pPr>
      <w:r>
        <w:rPr>
          <w:rFonts w:eastAsia="Arial" w:cs="Arial" w:ascii="Calibri" w:hAnsi="Calibri"/>
          <w:color w:val="000000"/>
          <w:sz w:val="24"/>
          <w:szCs w:val="24"/>
        </w:rPr>
        <w:t>Após a homologação e adjudicação, caso se conclua pela contratação, será firmado Termo de Contrato ou emitido instrumento equivalente.</w:t>
      </w:r>
    </w:p>
    <w:p>
      <w:pPr>
        <w:pStyle w:val="Normal"/>
        <w:numPr>
          <w:ilvl w:val="1"/>
          <w:numId w:val="2"/>
        </w:numPr>
        <w:spacing w:lineRule="auto" w:line="276" w:before="0" w:after="0"/>
        <w:contextualSpacing/>
        <w:jc w:val="both"/>
        <w:rPr>
          <w:rFonts w:ascii="Calibri" w:hAnsi="Calibri"/>
          <w:sz w:val="24"/>
          <w:szCs w:val="24"/>
        </w:rPr>
      </w:pPr>
      <w:r>
        <w:rPr>
          <w:rFonts w:eastAsia="Arial" w:cs="Arial" w:ascii="Calibri" w:hAnsi="Calibri"/>
          <w:color w:val="000000"/>
          <w:sz w:val="24"/>
          <w:szCs w:val="24"/>
        </w:rPr>
        <w:t xml:space="preserve">O adjudicatário terá o prazo de </w:t>
      </w:r>
      <w:r>
        <w:rPr>
          <w:rFonts w:eastAsia="Arial" w:cs="Arial" w:ascii="Calibri" w:hAnsi="Calibri"/>
          <w:i w:val="false"/>
          <w:iCs w:val="false"/>
          <w:color w:val="auto"/>
          <w:sz w:val="24"/>
          <w:szCs w:val="24"/>
          <w:lang w:eastAsia="pt-BR"/>
        </w:rPr>
        <w:t xml:space="preserve">5 </w:t>
      </w:r>
      <w:r>
        <w:rPr>
          <w:rFonts w:eastAsia="Arial" w:cs="Arial" w:ascii="Calibri" w:hAnsi="Calibri"/>
          <w:i w:val="false"/>
          <w:iCs w:val="false"/>
          <w:color w:val="auto"/>
          <w:sz w:val="24"/>
          <w:szCs w:val="24"/>
        </w:rPr>
        <w:t>(</w:t>
      </w:r>
      <w:r>
        <w:rPr>
          <w:rFonts w:eastAsia="Arial" w:cs="Arial" w:ascii="Calibri" w:hAnsi="Calibri"/>
          <w:i w:val="false"/>
          <w:iCs w:val="false"/>
          <w:color w:val="auto"/>
          <w:sz w:val="24"/>
          <w:szCs w:val="24"/>
          <w:lang w:eastAsia="pt-BR"/>
        </w:rPr>
        <w:t>cinco</w:t>
      </w:r>
      <w:r>
        <w:rPr>
          <w:rFonts w:eastAsia="Arial" w:cs="Arial" w:ascii="Calibri" w:hAnsi="Calibri"/>
          <w:i w:val="false"/>
          <w:iCs w:val="false"/>
          <w:color w:val="auto"/>
          <w:sz w:val="24"/>
          <w:szCs w:val="24"/>
        </w:rPr>
        <w:t>) dias úteis</w:t>
      </w:r>
      <w:r>
        <w:rPr>
          <w:rFonts w:eastAsia="Arial" w:cs="Arial" w:ascii="Calibri" w:hAnsi="Calibri"/>
          <w:color w:val="000000"/>
          <w:sz w:val="24"/>
          <w:szCs w:val="24"/>
        </w:rPr>
        <w:t xml:space="preserve">, contados a partir da data de sua convocação, para </w:t>
      </w:r>
      <w:r>
        <w:rPr>
          <w:rFonts w:eastAsia="Arial" w:cs="Arial" w:ascii="Calibri" w:hAnsi="Calibri"/>
          <w:color w:val="auto"/>
          <w:sz w:val="24"/>
          <w:szCs w:val="24"/>
        </w:rPr>
        <w:t xml:space="preserve">assinar o Termo de Contrato ou aceitar instrumento equivalente, conforme o caso (Nota de Empenho/Carta Contrato/Autorização), </w:t>
      </w:r>
      <w:r>
        <w:rPr>
          <w:rFonts w:eastAsia="Arial" w:cs="Arial" w:ascii="Calibri" w:hAnsi="Calibri"/>
          <w:color w:val="000000"/>
          <w:sz w:val="24"/>
          <w:szCs w:val="24"/>
        </w:rPr>
        <w:t xml:space="preserve">sob pena de decair do direito à contratação, sem prejuízo das sanções previstas neste Aviso de Contratação Direta. </w:t>
      </w:r>
    </w:p>
    <w:p>
      <w:pPr>
        <w:pStyle w:val="Normal"/>
        <w:numPr>
          <w:ilvl w:val="2"/>
          <w:numId w:val="2"/>
        </w:numPr>
        <w:spacing w:lineRule="auto" w:line="276" w:before="0" w:after="0"/>
        <w:contextualSpacing/>
        <w:jc w:val="both"/>
        <w:rPr>
          <w:rFonts w:ascii="Calibri" w:hAnsi="Calibri"/>
          <w:sz w:val="24"/>
          <w:szCs w:val="24"/>
        </w:rPr>
      </w:pPr>
      <w:r>
        <w:rPr>
          <w:rFonts w:eastAsia="Arial" w:cs="Arial" w:ascii="Calibri" w:hAnsi="Calibri"/>
          <w:i/>
          <w:color w:val="auto"/>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Pr>
          <w:rFonts w:eastAsia="Arial" w:cs="Arial" w:ascii="Calibri" w:hAnsi="Calibri"/>
          <w:i w:val="false"/>
          <w:iCs w:val="false"/>
          <w:color w:val="auto"/>
          <w:sz w:val="24"/>
          <w:szCs w:val="24"/>
          <w:lang w:eastAsia="pt-BR"/>
        </w:rPr>
        <w:t xml:space="preserve">5 </w:t>
      </w:r>
      <w:r>
        <w:rPr>
          <w:rFonts w:eastAsia="Arial" w:cs="Arial" w:ascii="Calibri" w:hAnsi="Calibri"/>
          <w:i w:val="false"/>
          <w:iCs w:val="false"/>
          <w:color w:val="auto"/>
          <w:sz w:val="24"/>
          <w:szCs w:val="24"/>
        </w:rPr>
        <w:t>(</w:t>
      </w:r>
      <w:r>
        <w:rPr>
          <w:rFonts w:eastAsia="Arial" w:cs="Arial" w:ascii="Calibri" w:hAnsi="Calibri"/>
          <w:i w:val="false"/>
          <w:iCs w:val="false"/>
          <w:color w:val="auto"/>
          <w:sz w:val="24"/>
          <w:szCs w:val="24"/>
          <w:lang w:eastAsia="pt-BR"/>
        </w:rPr>
        <w:t>cinco</w:t>
      </w:r>
      <w:r>
        <w:rPr>
          <w:rFonts w:eastAsia="Arial" w:cs="Arial" w:ascii="Calibri" w:hAnsi="Calibri"/>
          <w:i w:val="false"/>
          <w:iCs w:val="false"/>
          <w:color w:val="auto"/>
          <w:sz w:val="24"/>
          <w:szCs w:val="24"/>
        </w:rPr>
        <w:t>) dias</w:t>
      </w:r>
      <w:r>
        <w:rPr>
          <w:rFonts w:eastAsia="Arial" w:cs="Arial" w:ascii="Calibri" w:hAnsi="Calibri"/>
          <w:i/>
          <w:color w:val="auto"/>
          <w:sz w:val="24"/>
          <w:szCs w:val="24"/>
        </w:rPr>
        <w:t xml:space="preserve">, a contar da data de seu recebimento. </w:t>
      </w:r>
    </w:p>
    <w:p>
      <w:pPr>
        <w:pStyle w:val="Normal"/>
        <w:numPr>
          <w:ilvl w:val="2"/>
          <w:numId w:val="2"/>
        </w:numPr>
        <w:spacing w:lineRule="auto" w:line="276" w:before="0" w:after="0"/>
        <w:contextualSpacing/>
        <w:jc w:val="both"/>
        <w:rPr>
          <w:rFonts w:ascii="Calibri" w:hAnsi="Calibri"/>
          <w:sz w:val="24"/>
          <w:szCs w:val="24"/>
        </w:rPr>
      </w:pPr>
      <w:r>
        <w:rPr>
          <w:rFonts w:eastAsia="Arial" w:cs="Arial" w:ascii="Calibri" w:hAnsi="Calibri"/>
          <w:color w:val="000000"/>
          <w:sz w:val="24"/>
          <w:szCs w:val="24"/>
        </w:rPr>
        <w:t xml:space="preserve">O prazo previsto para assinatura do contrato ou aceitação da nota de empenho ou instrumento equivalente poderá ser prorrogado </w:t>
      </w:r>
      <w:r>
        <w:rPr>
          <w:rFonts w:cs="Arial" w:ascii="Calibri" w:hAnsi="Calibri"/>
          <w:bCs/>
          <w:sz w:val="24"/>
          <w:szCs w:val="24"/>
        </w:rPr>
        <w:t>1 (uma) vez</w:t>
      </w:r>
      <w:r>
        <w:rPr>
          <w:rFonts w:eastAsia="Arial" w:cs="Arial" w:ascii="Calibri" w:hAnsi="Calibri"/>
          <w:sz w:val="24"/>
          <w:szCs w:val="24"/>
        </w:rPr>
        <w:t xml:space="preserve">, </w:t>
      </w:r>
      <w:r>
        <w:rPr>
          <w:rFonts w:eastAsia="Arial" w:cs="Arial" w:ascii="Calibri" w:hAnsi="Calibri"/>
          <w:color w:val="000000"/>
          <w:sz w:val="24"/>
          <w:szCs w:val="24"/>
        </w:rPr>
        <w:t>por igual período, por solicitação justificada do adjudicatário e aceita pela Administração.</w:t>
      </w:r>
    </w:p>
    <w:p>
      <w:pPr>
        <w:pStyle w:val="Normal"/>
        <w:numPr>
          <w:ilvl w:val="1"/>
          <w:numId w:val="2"/>
        </w:numPr>
        <w:spacing w:lineRule="auto" w:line="276" w:before="0" w:after="0"/>
        <w:ind w:left="425" w:hanging="0"/>
        <w:contextualSpacing/>
        <w:jc w:val="both"/>
        <w:rPr>
          <w:rFonts w:ascii="Calibri" w:hAnsi="Calibri"/>
          <w:sz w:val="24"/>
          <w:szCs w:val="24"/>
        </w:rPr>
      </w:pPr>
      <w:r>
        <w:rPr>
          <w:rFonts w:eastAsia="Arial" w:cs="Arial" w:ascii="Calibri" w:hAnsi="Calibri"/>
          <w:i/>
          <w:color w:val="auto"/>
          <w:sz w:val="24"/>
          <w:szCs w:val="24"/>
        </w:rPr>
        <w:t>O Aceite da Nota de Empenho ou do instrumento equivalente, emitida à empresa adjudicada, implica no reconhecimento de que:</w:t>
      </w:r>
    </w:p>
    <w:p>
      <w:pPr>
        <w:pStyle w:val="Normal"/>
        <w:numPr>
          <w:ilvl w:val="2"/>
          <w:numId w:val="2"/>
        </w:numPr>
        <w:spacing w:lineRule="auto" w:line="276" w:before="0" w:after="0"/>
        <w:contextualSpacing/>
        <w:jc w:val="both"/>
        <w:rPr>
          <w:rFonts w:ascii="Calibri" w:hAnsi="Calibri"/>
          <w:sz w:val="24"/>
          <w:szCs w:val="24"/>
        </w:rPr>
      </w:pPr>
      <w:r>
        <w:rPr>
          <w:rFonts w:eastAsia="Arial" w:cs="Arial" w:ascii="Calibri" w:hAnsi="Calibri"/>
          <w:i/>
          <w:color w:val="auto"/>
          <w:sz w:val="24"/>
          <w:szCs w:val="24"/>
        </w:rPr>
        <w:t>referida Nota está substituindo o contrato, aplicando-se à relação de negócios ali estabelecida as disposições da Lei nº 14.133, de 2021;</w:t>
      </w:r>
    </w:p>
    <w:p>
      <w:pPr>
        <w:pStyle w:val="Normal"/>
        <w:numPr>
          <w:ilvl w:val="2"/>
          <w:numId w:val="2"/>
        </w:numPr>
        <w:spacing w:lineRule="auto" w:line="276" w:before="0" w:after="0"/>
        <w:contextualSpacing/>
        <w:jc w:val="both"/>
        <w:rPr>
          <w:rFonts w:ascii="Calibri" w:hAnsi="Calibri"/>
          <w:sz w:val="24"/>
          <w:szCs w:val="24"/>
        </w:rPr>
      </w:pPr>
      <w:r>
        <w:rPr>
          <w:rFonts w:eastAsia="Arial" w:cs="Arial" w:ascii="Calibri" w:hAnsi="Calibri"/>
          <w:i/>
          <w:color w:val="auto"/>
          <w:sz w:val="24"/>
          <w:szCs w:val="24"/>
        </w:rPr>
        <w:t>a contratada se vincula à sua proposta e às previsões contidas no Aviso de Contratação Direta e seus anexos;</w:t>
      </w:r>
    </w:p>
    <w:p>
      <w:pPr>
        <w:pStyle w:val="Normal"/>
        <w:numPr>
          <w:ilvl w:val="2"/>
          <w:numId w:val="2"/>
        </w:numPr>
        <w:spacing w:lineRule="auto" w:line="276" w:before="0" w:after="0"/>
        <w:contextualSpacing/>
        <w:jc w:val="both"/>
        <w:rPr>
          <w:rFonts w:ascii="Calibri" w:hAnsi="Calibri"/>
          <w:sz w:val="24"/>
          <w:szCs w:val="24"/>
        </w:rPr>
      </w:pPr>
      <w:r>
        <w:rPr>
          <w:rFonts w:eastAsia="Arial" w:cs="Arial" w:ascii="Calibri" w:hAnsi="Calibri"/>
          <w:i/>
          <w:color w:val="auto"/>
          <w:sz w:val="24"/>
          <w:szCs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2"/>
        </w:numPr>
        <w:spacing w:lineRule="auto" w:line="276" w:before="0" w:after="0"/>
        <w:contextualSpacing/>
        <w:jc w:val="both"/>
        <w:rPr>
          <w:rFonts w:ascii="Calibri" w:hAnsi="Calibri"/>
          <w:sz w:val="24"/>
          <w:szCs w:val="24"/>
        </w:rPr>
      </w:pPr>
      <w:r>
        <w:rPr>
          <w:rFonts w:eastAsia="Arial" w:cs="Arial" w:ascii="Calibri" w:hAnsi="Calibri"/>
          <w:color w:val="000000"/>
          <w:sz w:val="24"/>
          <w:szCs w:val="24"/>
        </w:rPr>
        <w:t xml:space="preserve">O prazo de vigência da contratação é de </w:t>
      </w:r>
      <w:r>
        <w:rPr>
          <w:rFonts w:eastAsia="Arial" w:cs="Arial" w:ascii="Calibri" w:hAnsi="Calibri"/>
          <w:i w:val="false"/>
          <w:iCs w:val="false"/>
          <w:color w:val="auto"/>
          <w:sz w:val="24"/>
          <w:szCs w:val="24"/>
        </w:rPr>
        <w:t>12 meses</w:t>
      </w:r>
      <w:r>
        <w:rPr>
          <w:rFonts w:eastAsia="Arial" w:cs="Arial" w:ascii="Calibri" w:hAnsi="Calibri"/>
          <w:color w:val="FF0000"/>
          <w:sz w:val="24"/>
          <w:szCs w:val="24"/>
        </w:rPr>
        <w:t xml:space="preserve"> </w:t>
      </w:r>
      <w:r>
        <w:rPr>
          <w:rFonts w:eastAsia="Arial" w:cs="Arial" w:ascii="Calibri" w:hAnsi="Calibri"/>
          <w:color w:val="000000"/>
          <w:sz w:val="24"/>
          <w:szCs w:val="24"/>
        </w:rPr>
        <w:t xml:space="preserve">prorrogável conforme previsão nos anexos a este Aviso de Contratação Direta. </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0" w:after="0"/>
        <w:ind w:left="425" w:hanging="0"/>
        <w:contextualSpacing/>
        <w:jc w:val="both"/>
        <w:rPr>
          <w:rFonts w:ascii="Calibri" w:hAnsi="Calibri" w:eastAsia="Arial" w:cs="Arial"/>
          <w:color w:val="000000"/>
          <w:sz w:val="24"/>
          <w:szCs w:val="24"/>
        </w:rPr>
      </w:pPr>
      <w:r>
        <w:rPr>
          <w:rFonts w:eastAsia="Arial" w:cs="Arial" w:ascii="Calibri" w:hAnsi="Calibri"/>
          <w:color w:val="000000"/>
          <w:sz w:val="24"/>
          <w:szCs w:val="24"/>
        </w:rPr>
      </w:r>
    </w:p>
    <w:p>
      <w:pPr>
        <w:pStyle w:val="Ttulo1"/>
        <w:numPr>
          <w:ilvl w:val="0"/>
          <w:numId w:val="2"/>
        </w:numPr>
        <w:spacing w:before="0" w:after="0"/>
        <w:contextualSpacing/>
        <w:rPr>
          <w:rFonts w:ascii="Calibri" w:hAnsi="Calibri"/>
          <w:sz w:val="24"/>
          <w:szCs w:val="24"/>
        </w:rPr>
      </w:pPr>
      <w:bookmarkStart w:id="8" w:name="_Toc104906825"/>
      <w:r>
        <w:rPr>
          <w:rFonts w:cs="Arial" w:ascii="Calibri" w:hAnsi="Calibri"/>
          <w:color w:val="auto"/>
          <w:sz w:val="24"/>
          <w:szCs w:val="24"/>
        </w:rPr>
        <w:t>SANÇÕES</w:t>
      </w:r>
      <w:bookmarkEnd w:id="8"/>
    </w:p>
    <w:p>
      <w:pPr>
        <w:pStyle w:val="Normal"/>
        <w:numPr>
          <w:ilvl w:val="1"/>
          <w:numId w:val="2"/>
        </w:numPr>
        <w:spacing w:lineRule="auto" w:line="276" w:before="0" w:after="0"/>
        <w:ind w:left="857" w:hanging="432"/>
        <w:contextualSpacing/>
        <w:jc w:val="both"/>
        <w:rPr>
          <w:rFonts w:ascii="Calibri" w:hAnsi="Calibri"/>
          <w:sz w:val="24"/>
          <w:szCs w:val="24"/>
        </w:rPr>
      </w:pPr>
      <w:r>
        <w:rPr>
          <w:rFonts w:cs="Arial" w:ascii="Calibri" w:hAnsi="Calibri"/>
          <w:sz w:val="24"/>
          <w:szCs w:val="24"/>
        </w:rPr>
        <w:t xml:space="preserve">Comete infração administrativa o fornecedor que cometer quaisquer das infrações previstas no art. 155 da Lei nº 14.133, de 2021, quais sejam: </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dar causa à inexecução parcial do contrato</w:t>
      </w:r>
      <w:r>
        <w:rPr>
          <w:rFonts w:cs="Arial" w:ascii="Calibri" w:hAnsi="Calibri"/>
          <w:sz w:val="24"/>
          <w:szCs w:val="24"/>
        </w:rPr>
        <w:t>;</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dar causa à inexecução parcial do contrato que cause grave dano à Administração, ao funcionamento dos serviços públicos ou ao interesse coletivo;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dar causa à inexecução total do contrato;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deixar de entregar a documentação exigida para o certame;</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não manter a proposta, salvo em decorrência de fato superveniente devidamente justificado;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não celebrar o contrato ou não entregar a documentação exigida para a contratação, quando convocado dentro do prazo de validade de sua proposta;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ensejar o retardamento da execução ou da entrega do objeto da licitação sem motivo justificado;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apresentar declaração ou documentação falsa exigida para o certame ou prestar declaração falsa durante a dispensa eletrônica ou a execução do contrato;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fraudar a dispensa eletrônica ou praticar ato fraudulento na execução do contrato;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comportar-se de modo inidôneo ou cometer fraude de qualquer natureza;</w:t>
      </w:r>
    </w:p>
    <w:p>
      <w:pPr>
        <w:pStyle w:val="ListParagraph"/>
        <w:numPr>
          <w:ilvl w:val="3"/>
          <w:numId w:val="2"/>
        </w:numPr>
        <w:spacing w:lineRule="auto" w:line="276" w:before="0" w:after="0"/>
        <w:contextualSpacing/>
        <w:jc w:val="both"/>
        <w:rPr>
          <w:rFonts w:ascii="Calibri" w:hAnsi="Calibri"/>
          <w:sz w:val="24"/>
          <w:szCs w:val="24"/>
        </w:rPr>
      </w:pPr>
      <w:r>
        <w:rPr>
          <w:rFonts w:cs="Arial" w:ascii="Calibri" w:hAnsi="Calibri"/>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praticar atos ilícitos com vistas a frustrar os objetivos deste certame.</w:t>
      </w:r>
    </w:p>
    <w:p>
      <w:pPr>
        <w:pStyle w:val="Normal"/>
        <w:numPr>
          <w:ilvl w:val="2"/>
          <w:numId w:val="2"/>
        </w:numPr>
        <w:spacing w:lineRule="auto" w:line="276" w:before="0" w:after="0"/>
        <w:contextualSpacing/>
        <w:jc w:val="both"/>
        <w:rPr/>
      </w:pPr>
      <w:r>
        <w:rPr>
          <w:rFonts w:cs="Arial" w:ascii="Calibri" w:hAnsi="Calibri"/>
          <w:color w:val="000000"/>
          <w:sz w:val="24"/>
          <w:szCs w:val="24"/>
        </w:rPr>
        <w:t>praticar ato lesivo previsto no </w:t>
      </w:r>
      <w:r>
        <w:fldChar w:fldCharType="begin"/>
      </w:r>
      <w:r>
        <w:rPr>
          <w:sz w:val="24"/>
          <w:szCs w:val="24"/>
          <w:rFonts w:cs="Arial" w:ascii="Calibri" w:hAnsi="Calibri"/>
          <w:color w:val="000000"/>
        </w:rPr>
        <w:instrText xml:space="preserve"> HYPERLINK "http://www.planalto.gov.br/ccivil_03/_Ato2011-2014/2013/Lei/L12846.htm" \l "art5"</w:instrText>
      </w:r>
      <w:r>
        <w:rPr>
          <w:sz w:val="24"/>
          <w:szCs w:val="24"/>
          <w:rFonts w:cs="Arial" w:ascii="Calibri" w:hAnsi="Calibri"/>
          <w:color w:val="000000"/>
        </w:rPr>
        <w:fldChar w:fldCharType="separate"/>
      </w:r>
      <w:r>
        <w:rPr>
          <w:rFonts w:cs="Arial" w:ascii="Calibri" w:hAnsi="Calibri"/>
          <w:color w:val="000000"/>
          <w:sz w:val="24"/>
          <w:szCs w:val="24"/>
        </w:rPr>
        <w:t>art. 5º da Lei nº 12.846, de 1º de agosto de 2013.</w:t>
      </w:r>
      <w:r>
        <w:rPr>
          <w:sz w:val="24"/>
          <w:szCs w:val="24"/>
          <w:rFonts w:cs="Arial" w:ascii="Calibri" w:hAnsi="Calibri"/>
          <w:color w:val="000000"/>
        </w:rPr>
        <w:fldChar w:fldCharType="end"/>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O fornecedor que cometer qualquer das infrações discriminadas nos subitens anteriores ficará sujeito, sem prejuízo da responsabilidade civil e criminal, às seguintes sanções:</w:t>
      </w:r>
    </w:p>
    <w:p>
      <w:pPr>
        <w:pStyle w:val="Normal"/>
        <w:numPr>
          <w:ilvl w:val="2"/>
          <w:numId w:val="6"/>
        </w:numPr>
        <w:spacing w:lineRule="auto" w:line="276" w:before="0" w:after="0"/>
        <w:contextualSpacing/>
        <w:jc w:val="both"/>
        <w:rPr>
          <w:rFonts w:ascii="Calibri" w:hAnsi="Calibri"/>
          <w:sz w:val="24"/>
          <w:szCs w:val="24"/>
        </w:rPr>
      </w:pPr>
      <w:r>
        <w:rPr>
          <w:rFonts w:cs="Arial" w:ascii="Calibri" w:hAnsi="Calibri"/>
          <w:sz w:val="24"/>
          <w:szCs w:val="24"/>
        </w:rPr>
        <w:t>Advertência pela falta do subitem 8.1.1 deste Aviso de Contratação Direta, quando não se justificar a imposição de penalidade mais grave;</w:t>
      </w:r>
    </w:p>
    <w:p>
      <w:pPr>
        <w:pStyle w:val="Normal"/>
        <w:numPr>
          <w:ilvl w:val="2"/>
          <w:numId w:val="6"/>
        </w:numPr>
        <w:spacing w:lineRule="auto" w:line="276" w:before="0" w:after="0"/>
        <w:contextualSpacing/>
        <w:jc w:val="both"/>
        <w:rPr>
          <w:rFonts w:ascii="Calibri" w:hAnsi="Calibri"/>
          <w:sz w:val="24"/>
          <w:szCs w:val="24"/>
        </w:rPr>
      </w:pPr>
      <w:r>
        <w:rPr>
          <w:rFonts w:cs="Arial" w:ascii="Calibri" w:hAnsi="Calibri"/>
          <w:sz w:val="24"/>
          <w:szCs w:val="24"/>
        </w:rPr>
        <w:t xml:space="preserve">Multa de </w:t>
      </w:r>
      <w:r>
        <w:rPr>
          <w:rFonts w:cs="Arial" w:ascii="Calibri" w:hAnsi="Calibri"/>
          <w:i w:val="false"/>
          <w:iCs w:val="false"/>
          <w:color w:val="auto"/>
          <w:sz w:val="24"/>
          <w:szCs w:val="24"/>
        </w:rPr>
        <w:t>2% (dois por cento)</w:t>
      </w:r>
      <w:r>
        <w:rPr>
          <w:rFonts w:cs="Arial" w:ascii="Calibri" w:hAnsi="Calibri"/>
          <w:color w:val="FF0000"/>
          <w:sz w:val="24"/>
          <w:szCs w:val="24"/>
        </w:rPr>
        <w:t xml:space="preserve"> </w:t>
      </w:r>
      <w:r>
        <w:rPr>
          <w:rFonts w:cs="Arial" w:ascii="Calibri" w:hAnsi="Calibri"/>
          <w:sz w:val="24"/>
          <w:szCs w:val="24"/>
        </w:rPr>
        <w:t>sobre o valor estimado do(s) item(s) prejudicado(s) pela conduta do fornecedor, por qualquer das infrações dos subitens 8.1.1 a 8.1.12;</w:t>
      </w:r>
    </w:p>
    <w:p>
      <w:pPr>
        <w:pStyle w:val="Normal"/>
        <w:numPr>
          <w:ilvl w:val="2"/>
          <w:numId w:val="6"/>
        </w:numPr>
        <w:spacing w:lineRule="auto" w:line="276" w:before="0" w:after="0"/>
        <w:contextualSpacing/>
        <w:jc w:val="both"/>
        <w:rPr>
          <w:rFonts w:ascii="Calibri" w:hAnsi="Calibri"/>
          <w:sz w:val="24"/>
          <w:szCs w:val="24"/>
        </w:rPr>
      </w:pPr>
      <w:r>
        <w:rPr>
          <w:rFonts w:cs="Arial" w:ascii="Calibri" w:hAnsi="Calibri"/>
          <w:color w:val="000000"/>
          <w:sz w:val="24"/>
          <w:szCs w:val="24"/>
        </w:rPr>
        <w:t>Impedimento de licitar e contratar</w:t>
      </w:r>
      <w:r>
        <w:rPr>
          <w:rFonts w:cs="Arial" w:ascii="Calibri" w:hAnsi="Calibri"/>
          <w:sz w:val="24"/>
          <w:szCs w:val="24"/>
        </w:rPr>
        <w:t xml:space="preserve"> </w:t>
      </w:r>
      <w:r>
        <w:rPr>
          <w:rFonts w:cs="Arial" w:ascii="Calibri" w:hAnsi="Calibri"/>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libri" w:hAnsi="Calibri"/>
          <w:sz w:val="24"/>
          <w:szCs w:val="24"/>
        </w:rPr>
        <w:t>;</w:t>
      </w:r>
    </w:p>
    <w:p>
      <w:pPr>
        <w:pStyle w:val="Normal"/>
        <w:numPr>
          <w:ilvl w:val="2"/>
          <w:numId w:val="6"/>
        </w:numPr>
        <w:spacing w:lineRule="auto" w:line="276" w:before="0" w:after="0"/>
        <w:contextualSpacing/>
        <w:jc w:val="both"/>
        <w:rPr>
          <w:rFonts w:ascii="Calibri" w:hAnsi="Calibri"/>
          <w:sz w:val="24"/>
          <w:szCs w:val="24"/>
        </w:rPr>
      </w:pPr>
      <w:r>
        <w:rPr>
          <w:rFonts w:cs="Arial" w:ascii="Calibri" w:hAnsi="Calibri"/>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libri" w:hAnsi="Calibri"/>
          <w:sz w:val="24"/>
          <w:szCs w:val="24"/>
        </w:rPr>
        <w:t>;</w:t>
      </w:r>
    </w:p>
    <w:p>
      <w:pPr>
        <w:pStyle w:val="Normal"/>
        <w:numPr>
          <w:ilvl w:val="1"/>
          <w:numId w:val="2"/>
        </w:numPr>
        <w:spacing w:lineRule="auto" w:line="276" w:before="0" w:after="0"/>
        <w:contextualSpacing/>
        <w:jc w:val="both"/>
        <w:rPr>
          <w:rFonts w:ascii="Calibri" w:hAnsi="Calibri"/>
          <w:sz w:val="24"/>
          <w:szCs w:val="24"/>
        </w:rPr>
      </w:pPr>
      <w:r>
        <w:rPr>
          <w:rFonts w:cs="Arial" w:ascii="Calibri" w:hAnsi="Calibri"/>
          <w:bCs/>
          <w:sz w:val="24"/>
          <w:szCs w:val="24"/>
        </w:rPr>
        <w:t>Na aplicação das sanções serão considerados: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bCs/>
          <w:sz w:val="24"/>
          <w:szCs w:val="24"/>
        </w:rPr>
        <w:t>a natureza e a gravidade da infração cometida;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bCs/>
          <w:sz w:val="24"/>
          <w:szCs w:val="24"/>
        </w:rPr>
        <w:t>as peculiaridades do caso concreto;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bCs/>
          <w:sz w:val="24"/>
          <w:szCs w:val="24"/>
        </w:rPr>
        <w:t>as circunstâncias agravantes ou atenuantes;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bCs/>
          <w:sz w:val="24"/>
          <w:szCs w:val="24"/>
        </w:rPr>
        <w:t>os danos que dela provierem para a Administração Pública;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bCs/>
          <w:sz w:val="24"/>
          <w:szCs w:val="24"/>
        </w:rPr>
        <w:t>a implantação ou o aperfeiçoamento de programa de integridade, conforme normas e orientações dos órgãos de controle.</w:t>
      </w:r>
    </w:p>
    <w:p>
      <w:pPr>
        <w:pStyle w:val="Normal"/>
        <w:numPr>
          <w:ilvl w:val="1"/>
          <w:numId w:val="2"/>
        </w:numPr>
        <w:spacing w:lineRule="auto" w:line="276" w:before="0" w:after="0"/>
        <w:ind w:left="425" w:hanging="0"/>
        <w:contextualSpacing/>
        <w:jc w:val="both"/>
        <w:rPr>
          <w:rFonts w:ascii="Calibri" w:hAnsi="Calibri"/>
          <w:sz w:val="24"/>
          <w:szCs w:val="24"/>
        </w:rPr>
      </w:pPr>
      <w:bookmarkStart w:id="9" w:name="art156%25252525252525252525252525252525C"/>
      <w:bookmarkStart w:id="10" w:name="art156%25252525252525252525252525252525C"/>
      <w:bookmarkStart w:id="11" w:name="art156%25252525252525252525252525252525C"/>
      <w:bookmarkEnd w:id="9"/>
      <w:bookmarkEnd w:id="10"/>
      <w:bookmarkEnd w:id="11"/>
      <w:r>
        <w:rPr>
          <w:rFonts w:cs="Arial" w:ascii="Calibri" w:hAnsi="Calibri"/>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2"/>
        </w:numPr>
        <w:spacing w:lineRule="auto" w:line="276" w:before="0" w:after="0"/>
        <w:ind w:left="425" w:hanging="0"/>
        <w:contextualSpacing/>
        <w:jc w:val="both"/>
        <w:rPr>
          <w:rFonts w:ascii="Calibri" w:hAnsi="Calibri"/>
          <w:sz w:val="24"/>
          <w:szCs w:val="24"/>
        </w:rPr>
      </w:pPr>
      <w:bookmarkStart w:id="12" w:name="art156%25252525252525252525252525252525C"/>
      <w:bookmarkEnd w:id="12"/>
      <w:r>
        <w:rPr>
          <w:rFonts w:cs="Arial" w:ascii="Calibri" w:hAnsi="Calibri"/>
          <w:sz w:val="24"/>
          <w:szCs w:val="24"/>
        </w:rPr>
        <w:t>A aplicação das sanções previstas neste Aviso de Contratação Direta, em hipótese alguma, a obrigação de reparação integral do dano causado à Administração Pública.</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A penalidade de multa pode ser aplicada cumulativamente com as demais sanções.</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sz w:val="24"/>
          <w:szCs w:val="24"/>
        </w:rPr>
        <w:t>As sanções por atos praticados no decorrer da contratação estão previstas nos anexos a este Aviso.</w:t>
      </w:r>
    </w:p>
    <w:p>
      <w:pPr>
        <w:pStyle w:val="Normal"/>
        <w:spacing w:lineRule="auto" w:line="276" w:before="0" w:after="0"/>
        <w:ind w:left="425" w:hanging="0"/>
        <w:contextualSpacing/>
        <w:jc w:val="both"/>
        <w:rPr>
          <w:rFonts w:ascii="Calibri" w:hAnsi="Calibri" w:cs="Arial"/>
          <w:sz w:val="24"/>
          <w:szCs w:val="24"/>
        </w:rPr>
      </w:pPr>
      <w:r>
        <w:rPr>
          <w:rFonts w:cs="Arial" w:ascii="Calibri" w:hAnsi="Calibri"/>
          <w:sz w:val="24"/>
          <w:szCs w:val="24"/>
        </w:rPr>
      </w:r>
    </w:p>
    <w:p>
      <w:pPr>
        <w:pStyle w:val="Ttulo1"/>
        <w:numPr>
          <w:ilvl w:val="0"/>
          <w:numId w:val="2"/>
        </w:numPr>
        <w:spacing w:before="0" w:after="0"/>
        <w:contextualSpacing/>
        <w:rPr>
          <w:rFonts w:ascii="Calibri" w:hAnsi="Calibri"/>
          <w:sz w:val="24"/>
          <w:szCs w:val="24"/>
        </w:rPr>
      </w:pPr>
      <w:bookmarkStart w:id="13" w:name="_Toc104906826"/>
      <w:r>
        <w:rPr>
          <w:rFonts w:cs="Arial" w:ascii="Calibri" w:hAnsi="Calibri"/>
          <w:color w:val="auto"/>
          <w:sz w:val="24"/>
          <w:szCs w:val="24"/>
        </w:rPr>
        <w:t>DAS DISPOSIÇÕES GERAIS</w:t>
      </w:r>
      <w:bookmarkEnd w:id="13"/>
    </w:p>
    <w:p>
      <w:pPr>
        <w:pStyle w:val="Normal"/>
        <w:numPr>
          <w:ilvl w:val="1"/>
          <w:numId w:val="2"/>
        </w:numPr>
        <w:snapToGrid w:val="false"/>
        <w:spacing w:lineRule="auto" w:line="276" w:before="0" w:after="0"/>
        <w:ind w:left="857" w:hanging="432"/>
        <w:contextualSpacing/>
        <w:jc w:val="both"/>
        <w:rPr>
          <w:rFonts w:ascii="Calibri" w:hAnsi="Calibri"/>
          <w:sz w:val="24"/>
          <w:szCs w:val="24"/>
        </w:rPr>
      </w:pPr>
      <w:r>
        <w:rPr>
          <w:rFonts w:cs="Arial" w:ascii="Calibri" w:hAnsi="Calibri"/>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No caso de todos os fornecedores restarem desclassificados ou inabilitados (procedimento fracassado), a Administração poderá:</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republicar o presente aviso com uma nova data;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2"/>
        </w:numPr>
        <w:spacing w:lineRule="auto" w:line="276" w:before="0" w:after="0"/>
        <w:contextualSpacing/>
        <w:jc w:val="both"/>
        <w:rPr>
          <w:rFonts w:ascii="Calibri" w:hAnsi="Calibri"/>
          <w:sz w:val="24"/>
          <w:szCs w:val="24"/>
        </w:rPr>
      </w:pPr>
      <w:r>
        <w:rPr>
          <w:rFonts w:cs="Arial" w:ascii="Calibri" w:hAnsi="Calibri"/>
          <w:color w:val="000000"/>
          <w:sz w:val="24"/>
          <w:szCs w:val="24"/>
        </w:rPr>
        <w:t>No caso do subitem anterior, a contratação será operacionalizada fora deste procedimento.</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000000"/>
          <w:sz w:val="24"/>
          <w:szCs w:val="24"/>
        </w:rPr>
        <w:t>fixar prazo para que possa haver adequação das propostas ou da documentação de habilitação, conforme o caso.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As providências dos subitens 9.2.1 e 9.2.2 acima poderão ser utilizadas se não houver o comparecimento de quaisquer fornecedores interessados (procedimento deserto)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Da sessão pública será divulgada Ata no sistema eletrônico.</w:t>
      </w:r>
    </w:p>
    <w:p>
      <w:pPr>
        <w:pStyle w:val="Normal"/>
        <w:numPr>
          <w:ilvl w:val="1"/>
          <w:numId w:val="2"/>
        </w:numPr>
        <w:spacing w:lineRule="auto" w:line="276" w:before="0" w:after="0"/>
        <w:ind w:left="425" w:hanging="0"/>
        <w:contextualSpacing/>
        <w:jc w:val="both"/>
        <w:rPr>
          <w:rFonts w:ascii="Calibri" w:hAnsi="Calibri"/>
          <w:sz w:val="24"/>
          <w:szCs w:val="24"/>
        </w:rPr>
      </w:pPr>
      <w:r>
        <w:rPr>
          <w:rFonts w:cs="Arial" w:ascii="Calibri" w:hAnsi="Calibri"/>
          <w:color w:val="000000"/>
          <w:sz w:val="24"/>
          <w:szCs w:val="24"/>
        </w:rPr>
        <w:t>Integram este Aviso de Contratação Direta, para todos os fins e efeitos, os seguintes anexos:</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auto"/>
          <w:sz w:val="24"/>
          <w:szCs w:val="24"/>
        </w:rPr>
        <w:t>ANEXO I – Aviso da Dispensa Eletrônica;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color w:val="auto"/>
          <w:sz w:val="24"/>
          <w:szCs w:val="24"/>
        </w:rPr>
        <w:t xml:space="preserve">ANEXO II - </w:t>
      </w:r>
      <w:r>
        <w:rPr>
          <w:rFonts w:cs="Arial" w:ascii="Calibri" w:hAnsi="Calibri"/>
          <w:i/>
          <w:iCs/>
          <w:color w:val="auto"/>
          <w:sz w:val="24"/>
          <w:szCs w:val="24"/>
        </w:rPr>
        <w:t>Estudo Técnico Preliminar</w:t>
      </w:r>
      <w:r>
        <w:rPr>
          <w:rFonts w:cs="Arial" w:ascii="Calibri" w:hAnsi="Calibri"/>
          <w:color w:val="auto"/>
          <w:sz w:val="24"/>
          <w:szCs w:val="24"/>
        </w:rPr>
        <w:t xml:space="preserve">; </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i/>
          <w:iCs/>
          <w:color w:val="auto"/>
          <w:sz w:val="24"/>
          <w:szCs w:val="24"/>
        </w:rPr>
        <w:t>ANEXO III - Formalização da Demanda;</w:t>
      </w:r>
    </w:p>
    <w:p>
      <w:pPr>
        <w:pStyle w:val="Normal"/>
        <w:numPr>
          <w:ilvl w:val="2"/>
          <w:numId w:val="2"/>
        </w:numPr>
        <w:spacing w:lineRule="auto" w:line="276" w:before="0" w:after="0"/>
        <w:contextualSpacing/>
        <w:jc w:val="both"/>
        <w:rPr>
          <w:rFonts w:ascii="Calibri" w:hAnsi="Calibri"/>
          <w:sz w:val="24"/>
          <w:szCs w:val="24"/>
        </w:rPr>
      </w:pPr>
      <w:r>
        <w:rPr>
          <w:rFonts w:cs="Arial" w:ascii="Calibri" w:hAnsi="Calibri"/>
          <w:i/>
          <w:iCs/>
          <w:color w:val="auto"/>
          <w:sz w:val="24"/>
          <w:szCs w:val="24"/>
        </w:rPr>
        <w:t>ANEXO VI – Termo de Referência.</w:t>
      </w:r>
    </w:p>
    <w:p>
      <w:pPr>
        <w:pStyle w:val="Normal"/>
        <w:numPr>
          <w:ilvl w:val="0"/>
          <w:numId w:val="0"/>
        </w:numPr>
        <w:spacing w:lineRule="auto" w:line="276" w:before="0" w:after="0"/>
        <w:ind w:left="1224" w:hanging="0"/>
        <w:contextualSpacing/>
        <w:jc w:val="both"/>
        <w:rPr>
          <w:rFonts w:ascii="Calibri" w:hAnsi="Calibri" w:cs="Arial"/>
          <w:i/>
          <w:i/>
          <w:iCs/>
          <w:color w:val="FF0000"/>
          <w:sz w:val="24"/>
          <w:szCs w:val="24"/>
        </w:rPr>
      </w:pPr>
      <w:r>
        <w:rPr>
          <w:rFonts w:cs="Arial" w:ascii="Calibri" w:hAnsi="Calibri"/>
          <w:i/>
          <w:iCs/>
          <w:color w:val="FF0000"/>
          <w:sz w:val="24"/>
          <w:szCs w:val="24"/>
        </w:rPr>
      </w:r>
    </w:p>
    <w:p>
      <w:pPr>
        <w:pStyle w:val="Normal"/>
        <w:spacing w:lineRule="auto" w:line="240" w:before="0" w:after="0"/>
        <w:ind w:left="360" w:right="-15" w:hanging="0"/>
        <w:contextualSpacing/>
        <w:jc w:val="right"/>
        <w:rPr>
          <w:color w:val="auto"/>
        </w:rPr>
      </w:pPr>
      <w:r>
        <w:rPr>
          <w:rFonts w:cs="Arial" w:ascii="Calibri" w:hAnsi="Calibri"/>
          <w:i w:val="false"/>
          <w:iCs w:val="false"/>
          <w:color w:val="auto"/>
          <w:sz w:val="24"/>
          <w:szCs w:val="24"/>
        </w:rPr>
        <w:t xml:space="preserve">Fortaleza - CE, </w:t>
      </w:r>
      <w:r>
        <w:rPr>
          <w:rFonts w:cs="Arial" w:ascii="Calibri" w:hAnsi="Calibri"/>
          <w:i w:val="false"/>
          <w:iCs w:val="false"/>
          <w:color w:val="auto"/>
          <w:sz w:val="24"/>
          <w:szCs w:val="24"/>
        </w:rPr>
        <w:t>1</w:t>
      </w:r>
      <w:r>
        <w:rPr>
          <w:rFonts w:cs="Arial" w:ascii="Calibri" w:hAnsi="Calibri"/>
          <w:i w:val="false"/>
          <w:iCs w:val="false"/>
          <w:color w:val="auto"/>
          <w:sz w:val="24"/>
          <w:szCs w:val="24"/>
        </w:rPr>
        <w:t>1 de dezembro de 2023</w:t>
      </w:r>
    </w:p>
    <w:p>
      <w:pPr>
        <w:pStyle w:val="Normal"/>
        <w:spacing w:lineRule="auto" w:line="276" w:before="0" w:after="0"/>
        <w:contextualSpacing/>
        <w:jc w:val="center"/>
        <w:rPr>
          <w:rFonts w:ascii="Calibri" w:hAnsi="Calibri" w:cs="Arial"/>
          <w:b/>
          <w:b/>
          <w:bCs/>
          <w:iCs/>
          <w:color w:val="000000"/>
          <w:sz w:val="24"/>
          <w:szCs w:val="24"/>
        </w:rPr>
      </w:pPr>
      <w:r>
        <w:rPr>
          <w:rFonts w:cs="Arial" w:ascii="Calibri" w:hAnsi="Calibri"/>
          <w:b/>
          <w:bCs/>
          <w:iCs/>
          <w:color w:val="000000"/>
          <w:sz w:val="24"/>
          <w:szCs w:val="24"/>
        </w:rPr>
      </w:r>
    </w:p>
    <w:p>
      <w:pPr>
        <w:pStyle w:val="Normal"/>
        <w:spacing w:lineRule="auto" w:line="276" w:before="0" w:after="0"/>
        <w:contextualSpacing/>
        <w:jc w:val="center"/>
        <w:rPr>
          <w:rFonts w:ascii="Calibri" w:hAnsi="Calibri" w:cs="Arial"/>
          <w:b/>
          <w:b/>
          <w:bCs/>
          <w:iCs/>
          <w:color w:val="000000"/>
          <w:sz w:val="24"/>
          <w:szCs w:val="24"/>
        </w:rPr>
      </w:pPr>
      <w:r>
        <w:rPr>
          <w:rFonts w:cs="Arial" w:ascii="Calibri" w:hAnsi="Calibri"/>
          <w:b/>
          <w:bCs/>
          <w:iCs/>
          <w:color w:val="000000"/>
          <w:sz w:val="24"/>
          <w:szCs w:val="24"/>
        </w:rPr>
      </w:r>
    </w:p>
    <w:p>
      <w:pPr>
        <w:pStyle w:val="Normal"/>
        <w:spacing w:lineRule="auto" w:line="240" w:before="0" w:after="0"/>
        <w:ind w:left="360" w:right="-15" w:hanging="0"/>
        <w:contextualSpacing/>
        <w:jc w:val="center"/>
        <w:rPr>
          <w:rFonts w:ascii="Calibri" w:hAnsi="Calibri"/>
          <w:sz w:val="24"/>
          <w:szCs w:val="24"/>
        </w:rPr>
      </w:pPr>
      <w:r>
        <w:rPr>
          <w:rFonts w:eastAsia="Times New Roman" w:cs="Arial" w:ascii="Calibri" w:hAnsi="Calibri"/>
          <w:b w:val="false"/>
          <w:bCs w:val="false"/>
          <w:i w:val="false"/>
          <w:iCs w:val="false"/>
          <w:color w:val="auto"/>
          <w:sz w:val="24"/>
          <w:szCs w:val="24"/>
          <w:lang w:eastAsia="pt-BR"/>
        </w:rPr>
        <w:t>DANIEL ROCHA</w:t>
      </w:r>
    </w:p>
    <w:p>
      <w:pPr>
        <w:pStyle w:val="Normal"/>
        <w:spacing w:lineRule="auto" w:line="240" w:before="0" w:after="0"/>
        <w:ind w:left="360" w:right="-15" w:hanging="0"/>
        <w:contextualSpacing/>
        <w:jc w:val="center"/>
        <w:rPr>
          <w:rFonts w:ascii="Calibri" w:hAnsi="Calibri"/>
          <w:sz w:val="24"/>
          <w:szCs w:val="24"/>
        </w:rPr>
      </w:pPr>
      <w:r>
        <w:rPr>
          <w:rFonts w:eastAsia="Times New Roman" w:cs="Arial" w:ascii="Calibri" w:hAnsi="Calibri"/>
          <w:b w:val="false"/>
          <w:bCs w:val="false"/>
          <w:i w:val="false"/>
          <w:iCs w:val="false"/>
          <w:color w:val="auto"/>
          <w:sz w:val="24"/>
          <w:szCs w:val="24"/>
          <w:lang w:eastAsia="pt-BR"/>
        </w:rPr>
        <w:t xml:space="preserve">Capitão de Fragata </w:t>
      </w:r>
    </w:p>
    <w:p>
      <w:pPr>
        <w:pStyle w:val="Normal"/>
        <w:spacing w:lineRule="auto" w:line="240" w:before="0" w:after="0"/>
        <w:ind w:left="360" w:right="-15" w:hanging="0"/>
        <w:contextualSpacing/>
        <w:jc w:val="center"/>
        <w:rPr>
          <w:rFonts w:ascii="Calibri" w:hAnsi="Calibri"/>
          <w:sz w:val="24"/>
          <w:szCs w:val="24"/>
        </w:rPr>
      </w:pPr>
      <w:r>
        <w:rPr>
          <w:rFonts w:eastAsia="Times New Roman" w:cs="Arial" w:ascii="Calibri" w:hAnsi="Calibri"/>
          <w:b w:val="false"/>
          <w:bCs w:val="false"/>
          <w:i w:val="false"/>
          <w:iCs w:val="false"/>
          <w:color w:val="auto"/>
          <w:sz w:val="24"/>
          <w:szCs w:val="24"/>
          <w:lang w:eastAsia="pt-BR"/>
        </w:rPr>
        <w:t xml:space="preserve">Ordenador de Depesas </w:t>
      </w:r>
    </w:p>
    <w:p>
      <w:pPr>
        <w:pStyle w:val="Normal"/>
        <w:spacing w:lineRule="auto" w:line="259" w:before="0" w:after="0"/>
        <w:contextualSpacing/>
        <w:rPr>
          <w:rFonts w:ascii="Calibri" w:hAnsi="Calibri" w:cs="Arial"/>
          <w:b/>
          <w:b/>
          <w:bCs/>
          <w:iCs/>
          <w:color w:val="000000"/>
          <w:sz w:val="24"/>
          <w:szCs w:val="24"/>
        </w:rPr>
      </w:pPr>
      <w:r>
        <w:rPr>
          <w:rFonts w:cs="Arial" w:ascii="Calibri" w:hAnsi="Calibri"/>
          <w:b/>
          <w:bCs/>
          <w:iCs/>
          <w:color w:val="000000"/>
          <w:sz w:val="24"/>
          <w:szCs w:val="24"/>
        </w:rPr>
      </w:r>
      <w:r>
        <w:br w:type="page"/>
      </w:r>
    </w:p>
    <w:p>
      <w:pPr>
        <w:pStyle w:val="Normal"/>
        <w:spacing w:lineRule="auto" w:line="276" w:before="0" w:after="0"/>
        <w:contextualSpacing/>
        <w:jc w:val="center"/>
        <w:rPr>
          <w:rFonts w:ascii="Calibri" w:hAnsi="Calibri" w:cs="Arial"/>
          <w:sz w:val="24"/>
          <w:szCs w:val="24"/>
        </w:rPr>
      </w:pPr>
      <w:r>
        <w:rPr>
          <w:rFonts w:cs="Arial" w:ascii="Calibri" w:hAnsi="Calibri"/>
          <w:sz w:val="24"/>
          <w:szCs w:val="24"/>
        </w:rPr>
      </w:r>
    </w:p>
    <w:p>
      <w:pPr>
        <w:pStyle w:val="Ttulododocumento"/>
        <w:spacing w:before="0" w:after="0"/>
        <w:contextualSpacing/>
        <w:jc w:val="center"/>
        <w:rPr>
          <w:rFonts w:ascii="Calibri" w:hAnsi="Calibri"/>
          <w:sz w:val="24"/>
          <w:szCs w:val="24"/>
        </w:rPr>
      </w:pPr>
      <w:r>
        <w:rPr>
          <w:rFonts w:cs="Arial" w:ascii="Calibri" w:hAnsi="Calibri"/>
          <w:sz w:val="24"/>
          <w:szCs w:val="24"/>
        </w:rPr>
        <w:t>ANEXO I – DOCUMENTAÇÃO EXIGIDA PARA HABILITAÇÃO</w:t>
      </w:r>
    </w:p>
    <w:p>
      <w:pPr>
        <w:pStyle w:val="Normal"/>
        <w:spacing w:before="0" w:after="0"/>
        <w:contextualSpacing/>
        <w:rPr>
          <w:rFonts w:ascii="Calibri" w:hAnsi="Calibri" w:cs="Arial"/>
          <w:sz w:val="24"/>
          <w:szCs w:val="24"/>
          <w:lang w:eastAsia="en-US"/>
        </w:rPr>
      </w:pPr>
      <w:r>
        <w:rPr>
          <w:rFonts w:cs="Arial" w:ascii="Calibri" w:hAnsi="Calibri"/>
          <w:sz w:val="24"/>
          <w:szCs w:val="24"/>
          <w:lang w:eastAsia="en-US"/>
        </w:rPr>
      </w:r>
    </w:p>
    <w:p>
      <w:pPr>
        <w:pStyle w:val="Normal"/>
        <w:spacing w:before="0" w:after="0"/>
        <w:contextualSpacing/>
        <w:rPr>
          <w:rFonts w:ascii="Calibri" w:hAnsi="Calibri" w:cs="Arial"/>
          <w:sz w:val="24"/>
          <w:szCs w:val="24"/>
          <w:lang w:eastAsia="en-US"/>
        </w:rPr>
      </w:pPr>
      <w:r>
        <w:rPr>
          <w:rFonts w:cs="Arial" w:ascii="Calibri" w:hAnsi="Calibri"/>
          <w:sz w:val="24"/>
          <w:szCs w:val="24"/>
          <w:lang w:eastAsia="en-US"/>
        </w:rPr>
      </w:r>
    </w:p>
    <w:p>
      <w:pPr>
        <w:pStyle w:val="PADRO"/>
        <w:keepNext w:val="false"/>
        <w:widowControl/>
        <w:numPr>
          <w:ilvl w:val="0"/>
          <w:numId w:val="4"/>
        </w:numPr>
        <w:shd w:val="clear" w:fill="FFFFFF"/>
        <w:spacing w:before="0" w:after="0"/>
        <w:contextualSpacing/>
        <w:rPr>
          <w:rFonts w:ascii="Calibri" w:hAnsi="Calibri"/>
          <w:sz w:val="24"/>
          <w:szCs w:val="24"/>
        </w:rPr>
      </w:pPr>
      <w:r>
        <w:rPr>
          <w:rFonts w:cs="Arial" w:ascii="Calibri" w:hAnsi="Calibri"/>
          <w:b/>
          <w:bCs/>
          <w:color w:val="000000"/>
          <w:sz w:val="24"/>
          <w:szCs w:val="24"/>
        </w:rPr>
        <w:t xml:space="preserve">Habilitação jurídica: </w:t>
      </w:r>
    </w:p>
    <w:p>
      <w:pPr>
        <w:pStyle w:val="PADRO"/>
        <w:widowControl/>
        <w:numPr>
          <w:ilvl w:val="0"/>
          <w:numId w:val="0"/>
        </w:numPr>
        <w:shd w:val="clear" w:fill="FFFFFF"/>
        <w:spacing w:before="0" w:after="0"/>
        <w:ind w:left="360" w:hanging="0"/>
        <w:contextualSpacing/>
        <w:rPr>
          <w:rFonts w:cs="Arial"/>
          <w:b/>
          <w:b/>
          <w:bCs/>
          <w:color w:val="000000"/>
        </w:rPr>
      </w:pPr>
      <w:r>
        <w:rPr>
          <w:rFonts w:cs="Arial"/>
          <w:b/>
          <w:bCs/>
          <w:color w:val="000000"/>
        </w:rPr>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sz w:val="24"/>
          <w:szCs w:val="24"/>
        </w:rPr>
        <w:t>no caso de empresário individual, inscrição no Registro Público de Empresas Mercantis, a cargo da Junta Comercial da respectiva sede;</w:t>
      </w:r>
    </w:p>
    <w:p>
      <w:pPr>
        <w:pStyle w:val="ListParagraph"/>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inscrição no Registro Público de Empresas Mercantis onde opera, com averbação no Registro onde tem sede a matriz, no caso de ser o participante sucursal, filial ou agência;</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No caso de sociedade simples: inscrição do ato constitutivo no Registro Civil das Pessoas Jurídicas do local de sua sede, acompanhada de prova da indicação dos seus administradores;</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decreto de autorização, em se tratando de sociedade empresária estrangeira em funcionamento no País;</w:t>
      </w:r>
    </w:p>
    <w:p>
      <w:pPr>
        <w:pStyle w:val="ListParagraph"/>
        <w:numPr>
          <w:ilvl w:val="1"/>
          <w:numId w:val="4"/>
        </w:numPr>
        <w:spacing w:lineRule="auto" w:line="276" w:before="0" w:after="0"/>
        <w:contextualSpacing/>
        <w:jc w:val="both"/>
        <w:rPr>
          <w:rFonts w:ascii="Calibri" w:hAnsi="Calibri"/>
          <w:sz w:val="24"/>
          <w:szCs w:val="24"/>
        </w:rPr>
      </w:pPr>
      <w:r>
        <w:rPr>
          <w:rFonts w:cs="Arial" w:ascii="Calibri" w:hAnsi="Calibri"/>
          <w:bCs/>
          <w:color w:val="000000"/>
          <w:sz w:val="24"/>
          <w:szCs w:val="24"/>
        </w:rPr>
        <w:t>Os documentos acima deverão estar acompanhados de todas as alterações ou da consolidação respectiva.</w:t>
      </w:r>
    </w:p>
    <w:p>
      <w:pPr>
        <w:pStyle w:val="ListParagraph"/>
        <w:spacing w:lineRule="auto" w:line="276" w:before="0" w:after="0"/>
        <w:ind w:left="1134" w:hanging="0"/>
        <w:contextualSpacing/>
        <w:jc w:val="both"/>
        <w:rPr>
          <w:rFonts w:ascii="Calibri" w:hAnsi="Calibri" w:cs="Arial"/>
          <w:bCs/>
          <w:color w:val="000000"/>
          <w:sz w:val="24"/>
          <w:szCs w:val="24"/>
        </w:rPr>
      </w:pPr>
      <w:r>
        <w:rPr>
          <w:rFonts w:cs="Arial" w:ascii="Calibri" w:hAnsi="Calibri"/>
          <w:bCs/>
          <w:color w:val="000000"/>
          <w:sz w:val="24"/>
          <w:szCs w:val="24"/>
        </w:rPr>
      </w:r>
    </w:p>
    <w:p>
      <w:pPr>
        <w:pStyle w:val="PADRO"/>
        <w:keepNext w:val="false"/>
        <w:widowControl/>
        <w:numPr>
          <w:ilvl w:val="0"/>
          <w:numId w:val="4"/>
        </w:numPr>
        <w:shd w:val="clear" w:fill="FFFFFF"/>
        <w:spacing w:before="0" w:after="0"/>
        <w:contextualSpacing/>
        <w:rPr>
          <w:rFonts w:ascii="Calibri" w:hAnsi="Calibri"/>
          <w:sz w:val="24"/>
          <w:szCs w:val="24"/>
        </w:rPr>
      </w:pPr>
      <w:r>
        <w:rPr>
          <w:rFonts w:cs="Arial" w:ascii="Calibri" w:hAnsi="Calibri"/>
          <w:b/>
          <w:bCs/>
          <w:color w:val="000000"/>
          <w:sz w:val="24"/>
          <w:szCs w:val="24"/>
        </w:rPr>
        <w:t xml:space="preserve"> </w:t>
      </w:r>
      <w:r>
        <w:rPr>
          <w:rFonts w:cs="Arial" w:ascii="Calibri" w:hAnsi="Calibri"/>
          <w:b/>
          <w:bCs/>
          <w:color w:val="000000"/>
          <w:sz w:val="24"/>
          <w:szCs w:val="24"/>
        </w:rPr>
        <w:t>Regularidade fiscal, social e trabalhista:</w:t>
      </w:r>
    </w:p>
    <w:p>
      <w:pPr>
        <w:pStyle w:val="PADRO"/>
        <w:widowControl/>
        <w:numPr>
          <w:ilvl w:val="0"/>
          <w:numId w:val="0"/>
        </w:numPr>
        <w:shd w:val="clear" w:fill="FFFFFF"/>
        <w:spacing w:before="0" w:after="0"/>
        <w:ind w:left="360" w:hanging="0"/>
        <w:contextualSpacing/>
        <w:rPr>
          <w:rFonts w:cs="Arial"/>
          <w:b/>
          <w:b/>
          <w:bCs/>
          <w:color w:val="000000"/>
        </w:rPr>
      </w:pPr>
      <w:r>
        <w:rPr>
          <w:rFonts w:cs="Arial"/>
          <w:b/>
          <w:bCs/>
          <w:color w:val="000000"/>
        </w:rPr>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sz w:val="24"/>
          <w:szCs w:val="24"/>
          <w:lang w:eastAsia="en-US"/>
        </w:rPr>
        <w:t>prova de inscrição no Cadastro Nacional de Pessoas Jurídicas ou no Cadastro de Pessoas Físicas, conforme o caso;</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lang w:eastAsia="en-US"/>
        </w:rPr>
        <w:t>prova de regularidade com o Fundo de Garantia do Tempo de Serviço (FGTS);</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sz w:val="24"/>
          <w:szCs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bCs/>
          <w:sz w:val="24"/>
          <w:szCs w:val="24"/>
        </w:rPr>
        <w:t xml:space="preserve">prova de </w:t>
      </w:r>
      <w:r>
        <w:rPr>
          <w:rFonts w:cs="Arial" w:ascii="Calibri" w:hAnsi="Calibri"/>
          <w:color w:val="000000"/>
          <w:sz w:val="24"/>
          <w:szCs w:val="24"/>
        </w:rPr>
        <w:t xml:space="preserve">inscrição no cadastro de contribuintes </w:t>
      </w:r>
      <w:r>
        <w:rPr>
          <w:rFonts w:cs="Arial" w:ascii="Calibri" w:hAnsi="Calibri"/>
          <w:i/>
          <w:iCs/>
          <w:color w:val="auto"/>
          <w:sz w:val="24"/>
          <w:szCs w:val="24"/>
        </w:rPr>
        <w:t>estadual e/ou municipal</w:t>
      </w:r>
      <w:r>
        <w:rPr>
          <w:rFonts w:cs="Arial" w:ascii="Calibri" w:hAnsi="Calibri"/>
          <w:color w:val="auto"/>
          <w:sz w:val="24"/>
          <w:szCs w:val="24"/>
        </w:rPr>
        <w:t xml:space="preserve">, </w:t>
      </w:r>
      <w:r>
        <w:rPr>
          <w:rFonts w:cs="Arial" w:ascii="Calibri" w:hAnsi="Calibri"/>
          <w:color w:val="000000"/>
          <w:sz w:val="24"/>
          <w:szCs w:val="24"/>
        </w:rPr>
        <w:t>relativo ao domicílio ou sede do fornecedor, pertinente ao seu ramo de atividade e compatível com o objeto contratual</w:t>
      </w:r>
      <w:r>
        <w:rPr>
          <w:rFonts w:cs="Arial" w:ascii="Calibri" w:hAnsi="Calibri"/>
          <w:bCs/>
          <w:sz w:val="24"/>
          <w:szCs w:val="24"/>
        </w:rPr>
        <w:t xml:space="preserve">; </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auto"/>
          <w:sz w:val="24"/>
          <w:szCs w:val="24"/>
        </w:rPr>
        <w:t xml:space="preserve">prova de regularidade com a Fazenda </w:t>
      </w:r>
      <w:r>
        <w:rPr>
          <w:rFonts w:cs="Arial" w:ascii="Calibri" w:hAnsi="Calibri"/>
          <w:i/>
          <w:iCs/>
          <w:color w:val="auto"/>
          <w:sz w:val="24"/>
          <w:szCs w:val="24"/>
        </w:rPr>
        <w:t>Estadual e/ou Municipal</w:t>
      </w:r>
      <w:r>
        <w:rPr>
          <w:rFonts w:cs="Arial" w:ascii="Calibri" w:hAnsi="Calibri"/>
          <w:color w:val="auto"/>
          <w:sz w:val="24"/>
          <w:szCs w:val="24"/>
        </w:rPr>
        <w:t xml:space="preserve"> do domicílio ou sede do fornecedor, relativa à atividade em cujo exercício contrata ou concorre; </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auto"/>
          <w:sz w:val="24"/>
          <w:szCs w:val="24"/>
        </w:rPr>
        <w:t xml:space="preserve">caso o fornecedor seja considerado isento dos tributos </w:t>
      </w:r>
      <w:r>
        <w:rPr>
          <w:rFonts w:cs="Arial" w:ascii="Calibri" w:hAnsi="Calibri"/>
          <w:i/>
          <w:color w:val="auto"/>
          <w:sz w:val="24"/>
          <w:szCs w:val="24"/>
        </w:rPr>
        <w:t xml:space="preserve">estaduais </w:t>
      </w:r>
      <w:r>
        <w:rPr>
          <w:rFonts w:cs="Arial" w:ascii="Calibri" w:hAnsi="Calibri"/>
          <w:b/>
          <w:i/>
          <w:color w:val="auto"/>
          <w:sz w:val="24"/>
          <w:szCs w:val="24"/>
          <w:u w:val="single"/>
        </w:rPr>
        <w:t>ou</w:t>
      </w:r>
      <w:r>
        <w:rPr>
          <w:rFonts w:cs="Arial" w:ascii="Calibri" w:hAnsi="Calibri"/>
          <w:i/>
          <w:color w:val="auto"/>
          <w:sz w:val="24"/>
          <w:szCs w:val="24"/>
        </w:rPr>
        <w:t xml:space="preserve"> municipais</w:t>
      </w:r>
      <w:r>
        <w:rPr>
          <w:rFonts w:cs="Arial" w:ascii="Calibri" w:hAnsi="Calibri"/>
          <w:color w:val="auto"/>
          <w:sz w:val="24"/>
          <w:szCs w:val="24"/>
        </w:rPr>
        <w:t xml:space="preserve"> relacionados ao objeto contratual, deverá comprovar tal condição mediante a apresentação de declaração da Fazenda respectiva do seu domicílio ou sede, ou</w:t>
      </w:r>
      <w:r>
        <w:rPr>
          <w:rFonts w:cs="Arial" w:ascii="Calibri" w:hAnsi="Calibri"/>
          <w:sz w:val="24"/>
          <w:szCs w:val="24"/>
        </w:rPr>
        <w:t xml:space="preserve"> outra equivalente, na forma da lei; </w:t>
      </w:r>
    </w:p>
    <w:p>
      <w:pPr>
        <w:pStyle w:val="Normal"/>
        <w:numPr>
          <w:ilvl w:val="0"/>
          <w:numId w:val="0"/>
        </w:numPr>
        <w:tabs>
          <w:tab w:val="clear" w:pos="302"/>
          <w:tab w:val="left" w:pos="1440" w:leader="none"/>
        </w:tabs>
        <w:snapToGrid w:val="false"/>
        <w:spacing w:lineRule="auto" w:line="276" w:before="0" w:after="0"/>
        <w:ind w:left="927" w:hanging="0"/>
        <w:contextualSpacing/>
        <w:jc w:val="both"/>
        <w:rPr>
          <w:rFonts w:ascii="Calibri" w:hAnsi="Calibri" w:cs="Arial"/>
          <w:b/>
          <w:b/>
          <w:sz w:val="24"/>
          <w:szCs w:val="24"/>
        </w:rPr>
      </w:pPr>
      <w:r>
        <w:rPr>
          <w:rFonts w:cs="Arial" w:ascii="Calibri" w:hAnsi="Calibri"/>
          <w:b/>
          <w:sz w:val="24"/>
          <w:szCs w:val="24"/>
        </w:rPr>
      </w:r>
    </w:p>
    <w:p>
      <w:pPr>
        <w:pStyle w:val="PADRO"/>
        <w:keepNext w:val="false"/>
        <w:widowControl/>
        <w:numPr>
          <w:ilvl w:val="0"/>
          <w:numId w:val="4"/>
        </w:numPr>
        <w:shd w:val="clear" w:fill="FFFFFF"/>
        <w:spacing w:before="0" w:after="0"/>
        <w:contextualSpacing/>
        <w:rPr>
          <w:rFonts w:ascii="Calibri" w:hAnsi="Calibri"/>
          <w:sz w:val="24"/>
          <w:szCs w:val="24"/>
        </w:rPr>
      </w:pPr>
      <w:r>
        <w:rPr>
          <w:rFonts w:cs="Arial" w:ascii="Calibri" w:hAnsi="Calibri"/>
          <w:b/>
          <w:color w:val="000000"/>
          <w:sz w:val="24"/>
          <w:szCs w:val="24"/>
        </w:rPr>
        <w:t>Qualificação Econômico-Financeira:</w:t>
      </w:r>
      <w:r>
        <w:rPr>
          <w:rFonts w:cs="Arial" w:ascii="Calibri" w:hAnsi="Calibri"/>
          <w:b/>
          <w:bCs/>
          <w:iCs/>
          <w:color w:val="000000"/>
          <w:sz w:val="24"/>
          <w:szCs w:val="24"/>
        </w:rPr>
        <w:t xml:space="preserve"> </w:t>
      </w:r>
    </w:p>
    <w:p>
      <w:pPr>
        <w:pStyle w:val="PADRO"/>
        <w:widowControl/>
        <w:numPr>
          <w:ilvl w:val="0"/>
          <w:numId w:val="0"/>
        </w:numPr>
        <w:shd w:val="clear" w:fill="FFFFFF"/>
        <w:spacing w:before="0" w:after="0"/>
        <w:ind w:left="360" w:hanging="0"/>
        <w:contextualSpacing/>
        <w:rPr>
          <w:rFonts w:cs="Arial"/>
          <w:b/>
          <w:b/>
          <w:bCs/>
          <w:iCs/>
          <w:color w:val="000000"/>
        </w:rPr>
      </w:pPr>
      <w:r>
        <w:rPr>
          <w:rFonts w:cs="Arial"/>
          <w:b/>
          <w:bCs/>
          <w:iCs/>
          <w:color w:val="000000"/>
        </w:rPr>
      </w:r>
    </w:p>
    <w:p>
      <w:pPr>
        <w:pStyle w:val="ListParagraph"/>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certidão negativa de falência expedida pelo distribuidor da sede do fornecedor;</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balanço patrimonial, demonstração de resultado de exercício e demais demonstrações contábeis dos 2 (dois) últimos exercícios sociais;</w:t>
      </w:r>
    </w:p>
    <w:p>
      <w:pPr>
        <w:pStyle w:val="Normal"/>
        <w:numPr>
          <w:ilvl w:val="2"/>
          <w:numId w:val="4"/>
        </w:numPr>
        <w:spacing w:lineRule="auto" w:line="276" w:before="0" w:after="0"/>
        <w:contextualSpacing/>
        <w:jc w:val="both"/>
        <w:rPr>
          <w:rFonts w:ascii="Calibri" w:hAnsi="Calibri"/>
          <w:sz w:val="24"/>
          <w:szCs w:val="24"/>
        </w:rPr>
      </w:pPr>
      <w:r>
        <w:rPr>
          <w:rFonts w:cs="Arial" w:ascii="Calibri" w:hAnsi="Calibri"/>
          <w:color w:val="000000"/>
          <w:sz w:val="24"/>
          <w:szCs w:val="24"/>
        </w:rPr>
        <w:t>As empresas criadas no exercício financeiro da dispensa deverão atender a todas as exigências da habilitação e poderão substituir os demonstrativos contábeis pelo balanço de abertura.</w:t>
      </w:r>
    </w:p>
    <w:p>
      <w:pPr>
        <w:pStyle w:val="Normal"/>
        <w:numPr>
          <w:ilvl w:val="2"/>
          <w:numId w:val="4"/>
        </w:numPr>
        <w:spacing w:lineRule="auto" w:line="276" w:before="0" w:after="0"/>
        <w:contextualSpacing/>
        <w:jc w:val="both"/>
        <w:rPr>
          <w:rFonts w:ascii="Calibri" w:hAnsi="Calibri"/>
          <w:sz w:val="24"/>
          <w:szCs w:val="24"/>
        </w:rPr>
      </w:pPr>
      <w:r>
        <w:rPr>
          <w:rFonts w:cs="Arial" w:ascii="Calibri" w:hAnsi="Calibri"/>
          <w:color w:val="000000"/>
          <w:sz w:val="24"/>
          <w:szCs w:val="24"/>
        </w:rPr>
        <w:t>Os documentos referidos acima limitar-se-ão ao último exercício no caso de a pessoa jurídica ter sido constituída há menos de 2 (dois) anos.</w:t>
      </w:r>
    </w:p>
    <w:p>
      <w:pPr>
        <w:pStyle w:val="Normal"/>
        <w:numPr>
          <w:ilvl w:val="1"/>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4" w:type="dxa"/>
        <w:tblLayout w:type="fixed"/>
        <w:tblCellMar>
          <w:top w:w="0" w:type="dxa"/>
          <w:left w:w="148" w:type="dxa"/>
          <w:bottom w:w="0" w:type="dxa"/>
          <w:right w:w="108" w:type="dxa"/>
        </w:tblCellMar>
        <w:tblLook w:val="04a0" w:noHBand="0" w:noVBand="1" w:firstColumn="1" w:lastRow="0" w:lastColumn="0" w:firstRow="1"/>
      </w:tblPr>
      <w:tblGrid>
        <w:gridCol w:w="2234"/>
        <w:gridCol w:w="4252"/>
      </w:tblGrid>
      <w:tr>
        <w:trPr/>
        <w:tc>
          <w:tcPr>
            <w:tcW w:w="2234" w:type="dxa"/>
            <w:vMerge w:val="restart"/>
            <w:tcBorders>
              <w:top w:val="nil"/>
              <w:left w:val="nil"/>
              <w:bottom w:val="nil"/>
              <w:right w:val="nil"/>
            </w:tcBorders>
            <w:shd w:fill="auto" w:val="clear"/>
            <w:vAlign w:val="cente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LG =</w:t>
            </w:r>
          </w:p>
        </w:tc>
        <w:tc>
          <w:tcPr>
            <w:tcW w:w="4252" w:type="dxa"/>
            <w:tcBorders>
              <w:top w:val="nil"/>
              <w:left w:val="nil"/>
              <w:right w:val="nil"/>
            </w:tcBorders>
            <w:shd w:fill="auto" w:val="clear"/>
            <w:vAlign w:val="bottom"/>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Ativo Circulante + Realizável a Longo Prazo</w:t>
            </w:r>
          </w:p>
        </w:tc>
      </w:tr>
      <w:tr>
        <w:trPr/>
        <w:tc>
          <w:tcPr>
            <w:tcW w:w="2234" w:type="dxa"/>
            <w:vMerge w:val="continue"/>
            <w:tcBorders>
              <w:top w:val="nil"/>
              <w:left w:val="nil"/>
              <w:bottom w:val="nil"/>
              <w:right w:val="nil"/>
            </w:tcBorders>
            <w:shd w:fill="auto" w:val="clea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eastAsia="" w:cs="Times New Roman" w:eastAsiaTheme="minorEastAsia"/>
                <w:color w:val="000000"/>
                <w:sz w:val="24"/>
                <w:szCs w:val="24"/>
              </w:rPr>
            </w:pPr>
            <w:r>
              <w:rPr>
                <w:rFonts w:eastAsia="" w:cs="Times New Roman" w:eastAsiaTheme="minorEastAsia" w:ascii="Calibri" w:hAnsi="Calibri"/>
                <w:color w:val="000000"/>
                <w:sz w:val="24"/>
                <w:szCs w:val="24"/>
              </w:rPr>
            </w:r>
          </w:p>
        </w:tc>
        <w:tc>
          <w:tcPr>
            <w:tcW w:w="4252" w:type="dxa"/>
            <w:tcBorders>
              <w:top w:val="nil"/>
              <w:left w:val="nil"/>
              <w:bottom w:val="nil"/>
              <w:right w:val="nil"/>
            </w:tcBorders>
            <w:shd w:fill="auto" w:val="clea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Passivo Circulante + Passivo Não Circulante</w:t>
            </w:r>
          </w:p>
        </w:tc>
      </w:tr>
    </w:tbl>
    <w:p>
      <w:pPr>
        <w:pStyle w:val="Normal"/>
        <w:tabs>
          <w:tab w:val="clear" w:pos="302"/>
          <w:tab w:val="left" w:pos="1440" w:leader="none"/>
        </w:tabs>
        <w:snapToGrid w:val="false"/>
        <w:spacing w:lineRule="auto" w:line="276" w:before="0" w:after="0"/>
        <w:ind w:left="1134" w:hanging="0"/>
        <w:contextualSpacing/>
        <w:jc w:val="both"/>
        <w:rPr>
          <w:rFonts w:ascii="Calibri" w:hAnsi="Calibri" w:cs="Arial"/>
          <w:color w:val="000000"/>
          <w:sz w:val="24"/>
          <w:szCs w:val="24"/>
        </w:rPr>
      </w:pPr>
      <w:r>
        <w:rPr>
          <w:rFonts w:cs="Arial" w:ascii="Calibri" w:hAnsi="Calibri"/>
          <w:color w:val="000000"/>
          <w:sz w:val="24"/>
          <w:szCs w:val="24"/>
        </w:rPr>
      </w:r>
    </w:p>
    <w:tbl>
      <w:tblPr>
        <w:tblStyle w:val="Tabelacomgrade"/>
        <w:tblW w:w="6629" w:type="dxa"/>
        <w:jc w:val="left"/>
        <w:tblInd w:w="1134" w:type="dxa"/>
        <w:tblLayout w:type="fixed"/>
        <w:tblCellMar>
          <w:top w:w="0" w:type="dxa"/>
          <w:left w:w="148" w:type="dxa"/>
          <w:bottom w:w="0" w:type="dxa"/>
          <w:right w:w="108" w:type="dxa"/>
        </w:tblCellMar>
        <w:tblLook w:val="04a0" w:noHBand="0" w:noVBand="1" w:firstColumn="1" w:lastRow="0" w:lastColumn="0" w:firstRow="1"/>
      </w:tblPr>
      <w:tblGrid>
        <w:gridCol w:w="2234"/>
        <w:gridCol w:w="4394"/>
      </w:tblGrid>
      <w:tr>
        <w:trPr>
          <w:cantSplit w:val="true"/>
        </w:trPr>
        <w:tc>
          <w:tcPr>
            <w:tcW w:w="2234" w:type="dxa"/>
            <w:vMerge w:val="restart"/>
            <w:tcBorders>
              <w:top w:val="nil"/>
              <w:left w:val="nil"/>
              <w:bottom w:val="nil"/>
              <w:right w:val="nil"/>
            </w:tcBorders>
            <w:shd w:fill="auto" w:val="clear"/>
            <w:vAlign w:val="cente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SG =</w:t>
            </w:r>
          </w:p>
        </w:tc>
        <w:tc>
          <w:tcPr>
            <w:tcW w:w="4394" w:type="dxa"/>
            <w:tcBorders>
              <w:top w:val="nil"/>
              <w:left w:val="nil"/>
              <w:right w:val="nil"/>
            </w:tcBorders>
            <w:shd w:fill="auto" w:val="clear"/>
            <w:vAlign w:val="bottom"/>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Ativo Total</w:t>
            </w:r>
          </w:p>
        </w:tc>
      </w:tr>
      <w:tr>
        <w:trPr>
          <w:cantSplit w:val="true"/>
        </w:trPr>
        <w:tc>
          <w:tcPr>
            <w:tcW w:w="2234" w:type="dxa"/>
            <w:vMerge w:val="continue"/>
            <w:tcBorders>
              <w:top w:val="nil"/>
              <w:left w:val="nil"/>
              <w:bottom w:val="nil"/>
              <w:right w:val="nil"/>
            </w:tcBorders>
            <w:shd w:fill="auto" w:val="clea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eastAsia="" w:cs="Times New Roman" w:eastAsiaTheme="minorEastAsia"/>
                <w:color w:val="000000"/>
                <w:sz w:val="24"/>
                <w:szCs w:val="24"/>
              </w:rPr>
            </w:pPr>
            <w:r>
              <w:rPr>
                <w:rFonts w:eastAsia="" w:cs="Times New Roman" w:eastAsiaTheme="minorEastAsia" w:ascii="Calibri" w:hAnsi="Calibri"/>
                <w:color w:val="000000"/>
                <w:sz w:val="24"/>
                <w:szCs w:val="24"/>
              </w:rPr>
            </w:r>
          </w:p>
        </w:tc>
        <w:tc>
          <w:tcPr>
            <w:tcW w:w="4394" w:type="dxa"/>
            <w:tcBorders>
              <w:top w:val="nil"/>
              <w:left w:val="nil"/>
              <w:bottom w:val="nil"/>
              <w:right w:val="nil"/>
            </w:tcBorders>
            <w:shd w:fill="auto" w:val="clea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Passivo Circulante + Passivo Não Circulante</w:t>
            </w:r>
          </w:p>
        </w:tc>
      </w:tr>
    </w:tbl>
    <w:p>
      <w:pPr>
        <w:pStyle w:val="Normal"/>
        <w:tabs>
          <w:tab w:val="clear" w:pos="302"/>
          <w:tab w:val="left" w:pos="1440" w:leader="none"/>
        </w:tabs>
        <w:snapToGrid w:val="false"/>
        <w:spacing w:lineRule="auto" w:line="276" w:before="0" w:after="0"/>
        <w:ind w:left="1134" w:hanging="0"/>
        <w:contextualSpacing/>
        <w:jc w:val="both"/>
        <w:rPr>
          <w:rFonts w:ascii="Calibri" w:hAnsi="Calibri" w:cs="Arial"/>
          <w:color w:val="000000"/>
          <w:sz w:val="24"/>
          <w:szCs w:val="24"/>
        </w:rPr>
      </w:pPr>
      <w:r>
        <w:rPr>
          <w:rFonts w:cs="Arial" w:ascii="Calibri" w:hAnsi="Calibri"/>
          <w:color w:val="000000"/>
          <w:sz w:val="24"/>
          <w:szCs w:val="24"/>
        </w:rPr>
      </w:r>
    </w:p>
    <w:tbl>
      <w:tblPr>
        <w:tblStyle w:val="Tabelacomgrade"/>
        <w:tblW w:w="4786" w:type="dxa"/>
        <w:jc w:val="left"/>
        <w:tblInd w:w="1134" w:type="dxa"/>
        <w:tblLayout w:type="fixed"/>
        <w:tblCellMar>
          <w:top w:w="0" w:type="dxa"/>
          <w:left w:w="148" w:type="dxa"/>
          <w:bottom w:w="0" w:type="dxa"/>
          <w:right w:w="108" w:type="dxa"/>
        </w:tblCellMar>
        <w:tblLook w:val="04a0" w:noHBand="0" w:noVBand="1" w:firstColumn="1" w:lastRow="0" w:lastColumn="0" w:firstRow="1"/>
      </w:tblPr>
      <w:tblGrid>
        <w:gridCol w:w="2235"/>
        <w:gridCol w:w="2550"/>
      </w:tblGrid>
      <w:tr>
        <w:trPr/>
        <w:tc>
          <w:tcPr>
            <w:tcW w:w="2235" w:type="dxa"/>
            <w:vMerge w:val="restart"/>
            <w:tcBorders>
              <w:top w:val="nil"/>
              <w:left w:val="nil"/>
              <w:bottom w:val="nil"/>
              <w:right w:val="nil"/>
            </w:tcBorders>
            <w:shd w:fill="auto" w:val="clear"/>
            <w:vAlign w:val="cente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LC =</w:t>
            </w:r>
          </w:p>
        </w:tc>
        <w:tc>
          <w:tcPr>
            <w:tcW w:w="2550" w:type="dxa"/>
            <w:tcBorders>
              <w:top w:val="nil"/>
              <w:left w:val="nil"/>
              <w:right w:val="nil"/>
            </w:tcBorders>
            <w:shd w:fill="auto" w:val="clear"/>
            <w:vAlign w:val="bottom"/>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Ativo Circulante</w:t>
            </w:r>
          </w:p>
        </w:tc>
      </w:tr>
      <w:tr>
        <w:trPr/>
        <w:tc>
          <w:tcPr>
            <w:tcW w:w="2235" w:type="dxa"/>
            <w:vMerge w:val="continue"/>
            <w:tcBorders>
              <w:top w:val="nil"/>
              <w:left w:val="nil"/>
              <w:bottom w:val="nil"/>
              <w:right w:val="nil"/>
            </w:tcBorders>
            <w:shd w:fill="auto" w:val="clea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eastAsia="" w:cs="Times New Roman" w:eastAsiaTheme="minorEastAsia"/>
                <w:color w:val="000000"/>
                <w:sz w:val="24"/>
                <w:szCs w:val="24"/>
              </w:rPr>
            </w:pPr>
            <w:r>
              <w:rPr>
                <w:rFonts w:eastAsia="" w:cs="Times New Roman" w:eastAsiaTheme="minorEastAsia" w:ascii="Calibri" w:hAnsi="Calibri"/>
                <w:color w:val="000000"/>
                <w:sz w:val="24"/>
                <w:szCs w:val="24"/>
              </w:rPr>
            </w:r>
          </w:p>
        </w:tc>
        <w:tc>
          <w:tcPr>
            <w:tcW w:w="2550" w:type="dxa"/>
            <w:tcBorders>
              <w:top w:val="nil"/>
              <w:left w:val="nil"/>
              <w:bottom w:val="nil"/>
              <w:right w:val="nil"/>
            </w:tcBorders>
            <w:shd w:fill="auto" w:val="clear"/>
          </w:tcPr>
          <w:p>
            <w:pPr>
              <w:pStyle w:val="Normal"/>
              <w:widowControl w:val="false"/>
              <w:tabs>
                <w:tab w:val="clear" w:pos="302"/>
                <w:tab w:val="left" w:pos="1440" w:leader="none"/>
              </w:tabs>
              <w:suppressAutoHyphens w:val="true"/>
              <w:snapToGrid w:val="false"/>
              <w:spacing w:lineRule="auto" w:line="276" w:before="0" w:after="0"/>
              <w:contextualSpacing/>
              <w:jc w:val="both"/>
              <w:rPr>
                <w:rFonts w:ascii="Calibri" w:hAnsi="Calibri"/>
                <w:sz w:val="24"/>
                <w:szCs w:val="24"/>
              </w:rPr>
            </w:pPr>
            <w:r>
              <w:rPr>
                <w:rFonts w:eastAsia="" w:cs="Arial" w:ascii="Calibri" w:hAnsi="Calibri"/>
                <w:color w:val="000000"/>
                <w:sz w:val="24"/>
                <w:szCs w:val="24"/>
              </w:rPr>
              <w:t>Passivo Circulante</w:t>
            </w:r>
          </w:p>
        </w:tc>
      </w:tr>
    </w:tbl>
    <w:p>
      <w:pPr>
        <w:pStyle w:val="Normal"/>
        <w:numPr>
          <w:ilvl w:val="2"/>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color w:val="000000"/>
          <w:sz w:val="24"/>
          <w:szCs w:val="24"/>
        </w:rPr>
        <w:t>As empresas, que apresentarem resultado inferior ou igual a 1(um) em qualquer dos índices de Liquidez Geral (LG), Solvência Geral (SG) e Liquidez Corrente (LC), deverão comprovar capital ou patrimônio líquido mínimo de</w:t>
      </w:r>
      <w:r>
        <w:rPr>
          <w:rFonts w:cs="Arial" w:ascii="Calibri" w:hAnsi="Calibri"/>
          <w:i/>
          <w:iCs/>
          <w:color w:val="FF0000"/>
          <w:sz w:val="24"/>
          <w:szCs w:val="24"/>
        </w:rPr>
        <w:t xml:space="preserve"> </w:t>
      </w:r>
      <w:r>
        <w:rPr>
          <w:rFonts w:cs="Arial" w:ascii="Calibri" w:hAnsi="Calibri"/>
          <w:i w:val="false"/>
          <w:iCs w:val="false"/>
          <w:color w:val="auto"/>
          <w:sz w:val="24"/>
          <w:szCs w:val="24"/>
        </w:rPr>
        <w:t>10% (dez por cento)</w:t>
      </w:r>
      <w:r>
        <w:rPr>
          <w:rFonts w:cs="Arial" w:ascii="Calibri" w:hAnsi="Calibri"/>
          <w:i/>
          <w:iCs/>
          <w:color w:val="FF0000"/>
          <w:sz w:val="24"/>
          <w:szCs w:val="24"/>
        </w:rPr>
        <w:t xml:space="preserve"> </w:t>
      </w:r>
      <w:r>
        <w:rPr>
          <w:rFonts w:cs="Arial" w:ascii="Calibri" w:hAnsi="Calibri"/>
          <w:color w:val="000000"/>
          <w:sz w:val="24"/>
          <w:szCs w:val="24"/>
        </w:rPr>
        <w:t xml:space="preserve">do valor total estimado da contratação ou do item pertinente. </w:t>
      </w:r>
    </w:p>
    <w:p>
      <w:pPr>
        <w:pStyle w:val="Normal"/>
        <w:numPr>
          <w:ilvl w:val="2"/>
          <w:numId w:val="4"/>
        </w:numPr>
        <w:tabs>
          <w:tab w:val="clear" w:pos="302"/>
          <w:tab w:val="left" w:pos="1440" w:leader="none"/>
        </w:tabs>
        <w:snapToGrid w:val="false"/>
        <w:spacing w:lineRule="auto" w:line="276" w:before="0" w:after="0"/>
        <w:contextualSpacing/>
        <w:jc w:val="both"/>
        <w:rPr>
          <w:rFonts w:ascii="Calibri" w:hAnsi="Calibri"/>
          <w:sz w:val="24"/>
          <w:szCs w:val="24"/>
        </w:rPr>
      </w:pPr>
      <w:r>
        <w:rPr>
          <w:rFonts w:cs="Arial" w:ascii="Calibri" w:hAnsi="Calibri"/>
          <w:i/>
          <w:iCs/>
          <w:color w:val="auto"/>
          <w:sz w:val="24"/>
          <w:szCs w:val="24"/>
          <w:lang w:eastAsia="en-US"/>
        </w:rPr>
        <w:t>O atendimento dos índices econômicos previstos neste item deverá ser atestado mediante declaração assinada por profissional habilitado da área contábil, apresentada pelo fornecedor.</w:t>
      </w:r>
    </w:p>
    <w:p>
      <w:pPr>
        <w:pStyle w:val="Normal"/>
        <w:spacing w:before="0" w:after="0"/>
        <w:contextualSpacing/>
        <w:rPr>
          <w:rFonts w:ascii="Calibri" w:hAnsi="Calibri" w:cs="Arial"/>
          <w:sz w:val="24"/>
          <w:szCs w:val="24"/>
          <w:lang w:eastAsia="en-US"/>
        </w:rPr>
      </w:pPr>
      <w:r>
        <w:rPr>
          <w:rFonts w:cs="Arial" w:ascii="Calibri" w:hAnsi="Calibri"/>
          <w:sz w:val="24"/>
          <w:szCs w:val="24"/>
          <w:lang w:eastAsia="en-US"/>
        </w:rPr>
      </w:r>
    </w:p>
    <w:p>
      <w:pPr>
        <w:pStyle w:val="PADRO"/>
        <w:keepNext w:val="false"/>
        <w:widowControl/>
        <w:numPr>
          <w:ilvl w:val="0"/>
          <w:numId w:val="0"/>
        </w:numPr>
        <w:shd w:val="clear" w:fill="FFFFFF"/>
        <w:spacing w:before="0" w:after="0"/>
        <w:ind w:left="360" w:hanging="0"/>
        <w:contextualSpacing/>
        <w:rPr>
          <w:rFonts w:ascii="Calibri" w:hAnsi="Calibri"/>
          <w:sz w:val="24"/>
          <w:szCs w:val="24"/>
        </w:rPr>
      </w:pPr>
      <w:r>
        <w:rPr/>
      </w:r>
    </w:p>
    <w:sectPr>
      <w:type w:val="nextPage"/>
      <w:pgSz w:w="11906" w:h="16838"/>
      <w:pgMar w:left="1080" w:right="1080" w:gutter="0" w:header="0" w:top="708" w:footer="0" w:bottom="70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rlito">
    <w:altName w:val="Calibri"/>
    <w:charset w:val="01"/>
    <w:family w:val="swiss"/>
    <w:pitch w:val="variable"/>
  </w:font>
  <w:font w:name="Carlito">
    <w:altName w:val="Calibri"/>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360" w:hanging="360"/>
      </w:pPr>
      <w:rPr>
        <w:sz w:val="24"/>
        <w:b/>
      </w:rPr>
    </w:lvl>
    <w:lvl w:ilvl="1">
      <w:start w:val="1"/>
      <w:numFmt w:val="decimal"/>
      <w:lvlText w:val="%1.%2."/>
      <w:lvlJc w:val="left"/>
      <w:pPr>
        <w:tabs>
          <w:tab w:val="num" w:pos="0"/>
        </w:tabs>
        <w:ind w:left="792" w:hanging="432"/>
      </w:pPr>
      <w:rPr>
        <w:sz w:val="24"/>
        <w:i w:val="false"/>
        <w:b/>
        <w:iCs/>
        <w:color w:val="auto"/>
      </w:rPr>
    </w:lvl>
    <w:lvl w:ilvl="2">
      <w:start w:val="1"/>
      <w:numFmt w:val="decimal"/>
      <w:lvlText w:val="%1.%2.%3."/>
      <w:lvlJc w:val="left"/>
      <w:pPr>
        <w:tabs>
          <w:tab w:val="num" w:pos="0"/>
        </w:tabs>
        <w:ind w:left="1224" w:hanging="504"/>
      </w:pPr>
      <w:rPr>
        <w:sz w:val="24"/>
        <w:i w:val="false"/>
        <w:b/>
        <w:iCs/>
        <w:rFonts w:cs="Arial"/>
        <w:color w:val="auto"/>
      </w:rPr>
    </w:lvl>
    <w:lvl w:ilvl="3">
      <w:start w:val="1"/>
      <w:numFmt w:val="decimal"/>
      <w:lvlText w:val="%1.%2.%3.%4."/>
      <w:lvlJc w:val="left"/>
      <w:pPr>
        <w:tabs>
          <w:tab w:val="num" w:pos="0"/>
        </w:tabs>
        <w:ind w:left="1728" w:hanging="648"/>
      </w:pPr>
      <w:rPr>
        <w:color w:val="auto"/>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Arial" w:hAnsi="Arial"/>
      </w:rPr>
    </w:lvl>
    <w:lvl w:ilvl="2">
      <w:start w:val="1"/>
      <w:numFmt w:val="decimal"/>
      <w:lvlText w:val="%1.%2.%3"/>
      <w:lvlJc w:val="left"/>
      <w:pPr>
        <w:tabs>
          <w:tab w:val="num" w:pos="0"/>
        </w:tabs>
        <w:ind w:left="1854" w:hanging="720"/>
      </w:pPr>
      <w:rPr>
        <w:sz w:val="22"/>
        <w:b/>
        <w:rFonts w:ascii="Arial" w:hAnsi="Arial"/>
        <w:color w:val="auto"/>
      </w:rPr>
    </w:lvl>
    <w:lvl w:ilvl="3">
      <w:start w:val="1"/>
      <w:numFmt w:val="decimal"/>
      <w:lvlText w:val="%1.%2.%3.%4"/>
      <w:lvlJc w:val="left"/>
      <w:pPr>
        <w:tabs>
          <w:tab w:val="num" w:pos="0"/>
        </w:tabs>
        <w:ind w:left="2421" w:hanging="720"/>
      </w:pPr>
      <w:rPr>
        <w:color w:val="auto"/>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sz w:val="24"/>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defaultTabStop w:val="302"/>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4">
    <w:name w:val="Heading 4"/>
    <w:basedOn w:val="Ttulo"/>
    <w:qFormat/>
    <w:pPr>
      <w:numPr>
        <w:ilvl w:val="3"/>
        <w:numId w:val="1"/>
      </w:numPr>
      <w:spacing w:before="120" w:after="120"/>
      <w:outlineLvl w:val="3"/>
    </w:pPr>
    <w:rPr>
      <w:b/>
      <w:bCs/>
      <w:i/>
      <w:iCs/>
      <w:sz w:val="27"/>
      <w:szCs w:val="27"/>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link w:val="Ttulo"/>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name w:val="Vínculo de índice"/>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302"/>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302"/>
        <w:tab w:val="center" w:pos="4252" w:leader="none"/>
        <w:tab w:val="right" w:pos="8504" w:leader="none"/>
      </w:tabs>
    </w:pPr>
    <w:rPr/>
  </w:style>
  <w:style w:type="paragraph" w:styleId="Rodap">
    <w:name w:val="Footer"/>
    <w:basedOn w:val="Normal"/>
    <w:link w:val="RodapChar"/>
    <w:uiPriority w:val="99"/>
    <w:unhideWhenUsed/>
    <w:rsid w:val="00805244"/>
    <w:pPr>
      <w:tabs>
        <w:tab w:val="clear" w:pos="302"/>
        <w:tab w:val="center" w:pos="4252" w:leader="none"/>
        <w:tab w:val="right" w:pos="8504" w:leader="none"/>
      </w:tabs>
    </w:pPr>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9a58ef"/>
    <w:pPr>
      <w:spacing w:lineRule="auto" w:line="259"/>
    </w:pPr>
    <w:rPr/>
  </w:style>
  <w:style w:type="paragraph" w:styleId="Ttulododocumento">
    <w:name w:val="Title"/>
    <w:basedOn w:val="Normal"/>
    <w:next w:val="Normal"/>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Sumrio1">
    <w:name w:val="TOC 1"/>
    <w:basedOn w:val="Normal"/>
    <w:next w:val="Normal"/>
    <w:autoRedefine/>
    <w:uiPriority w:val="39"/>
    <w:unhideWhenUsed/>
    <w:rsid w:val="00441059"/>
    <w:pPr>
      <w:spacing w:before="0" w:after="100"/>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Application>LibreOffice/7.3.7.2$Linux_X86_64 LibreOffice_project/30$Build-2</Application>
  <AppVersion>15.0000</AppVersion>
  <Pages>14</Pages>
  <Words>5307</Words>
  <Characters>30568</Characters>
  <CharactersWithSpaces>35485</CharactersWithSpaces>
  <Paragraphs>241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creator/>
  <dc:description/>
  <dc:language>pt-BR</dc:language>
  <cp:lastModifiedBy/>
  <dcterms:modified xsi:type="dcterms:W3CDTF">2023-12-11T10:54:08Z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