
<file path=[Content_Types].xml><?xml version="1.0" encoding="utf-8"?>
<Types xmlns="http://schemas.openxmlformats.org/package/2006/content-types">
  <Override PartName="/_rels/.rels" ContentType="application/vnd.openxmlformats-package.relationships+xml"/>
  <Override PartName="/customXml/itemProps4.xml" ContentType="application/vnd.openxmlformats-officedocument.customXmlProperties+xml"/>
  <Override PartName="/customXml/item1.xml" ContentType="application/xml"/>
  <Override PartName="/customXml/itemProps1.xml" ContentType="application/vnd.openxmlformats-officedocument.customXmlProperties+xml"/>
  <Override PartName="/customXml/item2.xml" ContentType="application/xml"/>
  <Override PartName="/customXml/item4.xml" ContentType="application/xml"/>
  <Override PartName="/customXml/itemProps3.xml" ContentType="application/vnd.openxmlformats-officedocument.customXmlProperties+xml"/>
  <Override PartName="/customXml/_rels/item4.xml.rels" ContentType="application/vnd.openxmlformats-package.relationships+xml"/>
  <Override PartName="/customXml/_rels/item3.xml.rels" ContentType="application/vnd.openxmlformats-package.relationships+xml"/>
  <Override PartName="/customXml/_rels/item1.xml.rels" ContentType="application/vnd.openxmlformats-package.relationships+xml"/>
  <Override PartName="/customXml/_rels/item2.xml.rels" ContentType="application/vnd.openxmlformats-package.relationships+xml"/>
  <Override PartName="/customXml/itemProps2.xml" ContentType="application/vnd.openxmlformats-officedocument.customXmlProperties+xml"/>
  <Override PartName="/customXml/item3.xml" ContentType="application/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word/embeddings/oleObject1.bin" ContentType="application/vnd.openxmlformats-officedocument.oleObject"/>
  <Override PartName="/word/media/image1.emf" ContentType="image/x-emf"/>
  <Override PartName="/word/header1.xml" ContentType="application/vnd.openxmlformats-officedocument.wordprocessingml.header+xml"/>
  <Override PartName="/word/footer1.xml" ContentType="application/vnd.openxmlformats-officedocument.wordprocessingml.footer+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ind w:left="0" w:right="-15" w:hanging="0"/>
        <w:jc w:val="center"/>
        <w:rPr>
          <w:rFonts w:ascii="Calibri" w:hAnsi="Calibri"/>
          <w:sz w:val="24"/>
          <w:szCs w:val="24"/>
        </w:rPr>
      </w:pPr>
      <w:r>
        <w:rPr/>
        <w:object>
          <v:shape id="ole_rId2" style="width:64.9pt;height:65.5pt" o:ole="">
            <v:imagedata r:id="rId3" o:title=""/>
          </v:shape>
          <o:OLEObject Type="Embed" ProgID="" ShapeID="ole_rId2" DrawAspect="Content" ObjectID="_156141005" r:id="rId2"/>
        </w:object>
      </w:r>
    </w:p>
    <w:p>
      <w:pPr>
        <w:pStyle w:val="Normal"/>
        <w:spacing w:lineRule="auto" w:line="240" w:before="0" w:after="0"/>
        <w:jc w:val="center"/>
        <w:rPr>
          <w:rFonts w:ascii="Calibri" w:hAnsi="Calibri" w:cs="Calibri"/>
          <w:b/>
          <w:b/>
          <w:sz w:val="24"/>
          <w:szCs w:val="24"/>
          <w:lang w:eastAsia="ar-SA"/>
        </w:rPr>
      </w:pPr>
      <w:r>
        <w:rPr>
          <w:rFonts w:cs="Calibri" w:ascii="Calibri" w:hAnsi="Calibri"/>
          <w:b/>
          <w:sz w:val="24"/>
          <w:szCs w:val="24"/>
          <w:lang w:eastAsia="ar-SA"/>
        </w:rPr>
        <w:t>MINISTÉRIO DA DEFESA</w:t>
      </w:r>
    </w:p>
    <w:p>
      <w:pPr>
        <w:pStyle w:val="Normal"/>
        <w:spacing w:lineRule="auto" w:line="240" w:before="0" w:after="0"/>
        <w:jc w:val="center"/>
        <w:rPr>
          <w:rFonts w:ascii="Calibri" w:hAnsi="Calibri" w:cs="Calibri"/>
          <w:b/>
          <w:b/>
          <w:sz w:val="24"/>
          <w:szCs w:val="24"/>
          <w:lang w:eastAsia="ar-SA"/>
        </w:rPr>
      </w:pPr>
      <w:r>
        <w:rPr>
          <w:rFonts w:cs="Calibri" w:ascii="Calibri" w:hAnsi="Calibri"/>
          <w:b/>
          <w:sz w:val="24"/>
          <w:szCs w:val="24"/>
          <w:lang w:eastAsia="ar-SA"/>
        </w:rPr>
        <w:t>COMANDO DA MARINHA</w:t>
      </w:r>
    </w:p>
    <w:p>
      <w:pPr>
        <w:pStyle w:val="Normal"/>
        <w:spacing w:lineRule="auto" w:line="240" w:before="0" w:after="0"/>
        <w:jc w:val="center"/>
        <w:rPr>
          <w:rFonts w:ascii="Calibri" w:hAnsi="Calibri" w:cs="Calibri"/>
          <w:b/>
          <w:b/>
          <w:sz w:val="24"/>
          <w:szCs w:val="24"/>
          <w:lang w:eastAsia="ar-SA"/>
        </w:rPr>
      </w:pPr>
      <w:r>
        <w:rPr>
          <w:rFonts w:cs="Calibri" w:ascii="Calibri" w:hAnsi="Calibri"/>
          <w:b/>
          <w:sz w:val="24"/>
          <w:szCs w:val="24"/>
          <w:lang w:eastAsia="ar-SA"/>
        </w:rPr>
        <w:t>COMANDO DE OPERAÇÕES NAVAIS</w:t>
      </w:r>
    </w:p>
    <w:p>
      <w:pPr>
        <w:pStyle w:val="Normal"/>
        <w:spacing w:lineRule="auto" w:line="240" w:before="0" w:after="0"/>
        <w:jc w:val="center"/>
        <w:rPr>
          <w:rFonts w:ascii="Calibri" w:hAnsi="Calibri" w:cs="Calibri"/>
          <w:b/>
          <w:b/>
          <w:sz w:val="24"/>
          <w:szCs w:val="24"/>
          <w:lang w:eastAsia="ar-SA"/>
        </w:rPr>
      </w:pPr>
      <w:r>
        <w:rPr>
          <w:rFonts w:cs="Calibri" w:ascii="Calibri" w:hAnsi="Calibri"/>
          <w:b/>
          <w:sz w:val="24"/>
          <w:szCs w:val="24"/>
          <w:lang w:eastAsia="ar-SA"/>
        </w:rPr>
        <w:t>COMANDO EM CHEFE DA ESQUADRA</w:t>
      </w:r>
    </w:p>
    <w:p>
      <w:pPr>
        <w:pStyle w:val="Normal"/>
        <w:spacing w:lineRule="auto" w:line="240" w:before="0" w:after="0"/>
        <w:ind w:left="0" w:right="-17" w:hanging="0"/>
        <w:jc w:val="center"/>
        <w:rPr>
          <w:rFonts w:ascii="Calibri" w:hAnsi="Calibri" w:cs="Calibri"/>
          <w:b/>
          <w:b/>
          <w:bCs/>
          <w:color w:val="000000"/>
          <w:sz w:val="24"/>
          <w:szCs w:val="24"/>
          <w:lang w:eastAsia="ar-SA"/>
        </w:rPr>
      </w:pPr>
      <w:r>
        <w:rPr>
          <w:rFonts w:cs="Calibri" w:ascii="Calibri" w:hAnsi="Calibri"/>
          <w:b/>
          <w:bCs/>
          <w:color w:val="000000"/>
          <w:sz w:val="24"/>
          <w:szCs w:val="24"/>
          <w:lang w:eastAsia="ar-SA"/>
        </w:rPr>
        <w:t>BASE NAVAL DO RIO DE JANEIRO</w:t>
      </w:r>
    </w:p>
    <w:p>
      <w:pPr>
        <w:pStyle w:val="Normal"/>
        <w:spacing w:lineRule="auto" w:line="240" w:before="0" w:after="0"/>
        <w:ind w:left="0" w:right="-17" w:hanging="0"/>
        <w:jc w:val="center"/>
        <w:rPr>
          <w:rFonts w:ascii="Calibri" w:hAnsi="Calibri" w:cs="Calibri"/>
          <w:b/>
          <w:b/>
          <w:bCs/>
          <w:color w:val="000000"/>
          <w:sz w:val="24"/>
          <w:szCs w:val="24"/>
          <w:lang w:eastAsia="ar-SA"/>
        </w:rPr>
      </w:pPr>
      <w:r>
        <w:rPr>
          <w:rFonts w:cs="Calibri" w:ascii="Calibri" w:hAnsi="Calibri"/>
          <w:b/>
          <w:bCs/>
          <w:color w:val="000000"/>
          <w:sz w:val="24"/>
          <w:szCs w:val="24"/>
          <w:lang w:eastAsia="ar-SA"/>
        </w:rPr>
      </w:r>
    </w:p>
    <w:p>
      <w:pPr>
        <w:pStyle w:val="Normal"/>
        <w:spacing w:lineRule="auto" w:line="240" w:before="0" w:after="0"/>
        <w:ind w:left="0" w:right="-17" w:hanging="0"/>
        <w:jc w:val="center"/>
        <w:rPr>
          <w:rFonts w:ascii="Calibri" w:hAnsi="Calibri" w:cs="Calibri"/>
          <w:b/>
          <w:b/>
          <w:bCs/>
          <w:color w:val="000000"/>
          <w:sz w:val="24"/>
          <w:szCs w:val="24"/>
        </w:rPr>
      </w:pPr>
      <w:r>
        <w:rPr>
          <w:rFonts w:cs="Calibri" w:ascii="Calibri" w:hAnsi="Calibri"/>
          <w:b/>
          <w:bCs/>
          <w:color w:val="000000"/>
          <w:sz w:val="24"/>
          <w:szCs w:val="24"/>
        </w:rPr>
        <w:t>TERMO DE REFERÊNCIA</w:t>
      </w:r>
    </w:p>
    <w:p>
      <w:pPr>
        <w:pStyle w:val="Normal"/>
        <w:spacing w:lineRule="auto" w:line="240" w:before="0" w:after="0"/>
        <w:ind w:left="0" w:right="-17" w:hanging="0"/>
        <w:jc w:val="center"/>
        <w:rPr>
          <w:rFonts w:ascii="Calibri" w:hAnsi="Calibri" w:cs="Calibri"/>
          <w:bCs/>
          <w:color w:val="000000"/>
          <w:sz w:val="24"/>
          <w:szCs w:val="24"/>
        </w:rPr>
      </w:pPr>
      <w:r>
        <w:rPr>
          <w:rFonts w:cs="Calibri" w:ascii="Calibri" w:hAnsi="Calibri"/>
          <w:bCs/>
          <w:color w:val="000000"/>
          <w:sz w:val="24"/>
          <w:szCs w:val="24"/>
        </w:rPr>
      </w:r>
    </w:p>
    <w:p>
      <w:pPr>
        <w:pStyle w:val="Normal"/>
        <w:spacing w:lineRule="auto" w:line="240" w:before="0" w:after="0"/>
        <w:ind w:left="0" w:right="-15" w:hanging="0"/>
        <w:jc w:val="center"/>
        <w:rPr>
          <w:rFonts w:ascii="Calibri" w:hAnsi="Calibri" w:cs="Calibri"/>
          <w:b/>
          <w:b/>
          <w:bCs/>
          <w:color w:val="000000"/>
          <w:sz w:val="24"/>
          <w:szCs w:val="24"/>
        </w:rPr>
      </w:pPr>
      <w:r>
        <w:rPr>
          <w:rFonts w:cs="Arial" w:ascii="Calibri" w:hAnsi="Calibri"/>
          <w:b/>
          <w:bCs/>
          <w:color w:val="000000" w:themeColor="text1"/>
          <w:sz w:val="24"/>
          <w:szCs w:val="24"/>
          <w:lang w:eastAsia="ar-SA"/>
        </w:rPr>
        <w:t>(Processo Administrativo n.°..……………......…)</w:t>
      </w:r>
    </w:p>
    <w:p>
      <w:pPr>
        <w:pStyle w:val="Nivel01"/>
        <w:numPr>
          <w:ilvl w:val="0"/>
          <w:numId w:val="2"/>
        </w:numPr>
        <w:ind w:left="0" w:hanging="0"/>
        <w:rPr>
          <w:rFonts w:eastAsia="Arial"/>
        </w:rPr>
      </w:pPr>
      <w:r>
        <w:rPr>
          <w:sz w:val="24"/>
          <w:szCs w:val="24"/>
        </w:rPr>
        <w:t>CONDIÇÕES GERAIS DA CONTRATAÇÃO</w:t>
      </w:r>
    </w:p>
    <w:p>
      <w:pPr>
        <w:pStyle w:val="Nivel2"/>
        <w:widowControl/>
        <w:numPr>
          <w:ilvl w:val="1"/>
          <w:numId w:val="1"/>
        </w:numPr>
        <w:bidi w:val="0"/>
        <w:spacing w:lineRule="auto" w:line="276" w:before="120" w:after="120"/>
        <w:ind w:left="0" w:right="0" w:hanging="0"/>
        <w:jc w:val="both"/>
        <w:rPr>
          <w:rFonts w:ascii="Calibri" w:hAnsi="Calibri" w:eastAsia="Arial" w:cs="Arial"/>
          <w:color w:val="000000"/>
          <w:sz w:val="24"/>
          <w:szCs w:val="24"/>
          <w:lang w:eastAsia="pt-BR"/>
        </w:rPr>
      </w:pPr>
      <w:r>
        <w:rPr>
          <w:rFonts w:eastAsia="Arial" w:cs="Arial"/>
          <w:color w:val="000000"/>
          <w:sz w:val="24"/>
          <w:szCs w:val="24"/>
          <w:lang w:eastAsia="pt-BR"/>
        </w:rPr>
        <w:t>Aquisição de material elétrico e ferramentas de uso imediato pelos militares da Oficina Elétrica da Base Naval do Rio de Janeiro, nos termos da tabela abaixo, conforme condições e exigências estabelecidas neste instrumento.</w:t>
      </w:r>
    </w:p>
    <w:tbl>
      <w:tblPr>
        <w:tblW w:w="9639" w:type="dxa"/>
        <w:jc w:val="lef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noVBand="1" w:val="04a0" w:noHBand="0" w:lastColumn="0" w:firstColumn="1" w:lastRow="0" w:firstRow="1"/>
      </w:tblPr>
      <w:tblGrid>
        <w:gridCol w:w="911"/>
        <w:gridCol w:w="1783"/>
        <w:gridCol w:w="1132"/>
        <w:gridCol w:w="1417"/>
        <w:gridCol w:w="1725"/>
        <w:gridCol w:w="1255"/>
        <w:gridCol w:w="1415"/>
      </w:tblGrid>
      <w:tr>
        <w:trPr/>
        <w:tc>
          <w:tcPr>
            <w:tcW w:w="9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Arial" w:hAnsi="Arial" w:eastAsia="Arial" w:cs="Arial"/>
                <w:b/>
                <w:b/>
                <w:bCs/>
                <w:color w:val="000000"/>
                <w:sz w:val="20"/>
                <w:szCs w:val="20"/>
              </w:rPr>
            </w:pPr>
            <w:r>
              <w:rPr>
                <w:rFonts w:eastAsia="Arial" w:cs="Arial" w:ascii="Calibri" w:hAnsi="Calibri"/>
                <w:b/>
                <w:bCs/>
                <w:color w:val="000000" w:themeColor="text1"/>
                <w:sz w:val="24"/>
                <w:szCs w:val="24"/>
              </w:rPr>
              <w:t>ITEM</w:t>
            </w:r>
          </w:p>
          <w:p>
            <w:pPr>
              <w:pStyle w:val="Normal"/>
              <w:widowControl w:val="false"/>
              <w:suppressAutoHyphens w:val="true"/>
              <w:spacing w:lineRule="auto" w:line="312" w:before="120" w:after="288"/>
              <w:jc w:val="center"/>
              <w:rPr>
                <w:rFonts w:ascii="Calibri" w:hAnsi="Calibri" w:eastAsia="Arial" w:cs="Arial"/>
                <w:b/>
                <w:b/>
                <w:bCs/>
                <w:color w:val="000000"/>
                <w:sz w:val="24"/>
                <w:szCs w:val="24"/>
              </w:rPr>
            </w:pPr>
            <w:r>
              <w:rPr>
                <w:rFonts w:eastAsia="Arial" w:cs="Arial" w:ascii="Calibri" w:hAnsi="Calibri"/>
                <w:b/>
                <w:bCs/>
                <w:color w:val="000000"/>
                <w:sz w:val="24"/>
                <w:szCs w:val="24"/>
              </w:rPr>
            </w:r>
          </w:p>
        </w:tc>
        <w:tc>
          <w:tcPr>
            <w:tcW w:w="17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Arial" w:hAnsi="Arial" w:eastAsia="Arial" w:cs="Arial"/>
                <w:color w:val="000000"/>
                <w:sz w:val="20"/>
                <w:szCs w:val="20"/>
              </w:rPr>
            </w:pPr>
            <w:r>
              <w:rPr>
                <w:rFonts w:eastAsia="Arial" w:cs="Arial" w:ascii="Calibri" w:hAnsi="Calibri"/>
                <w:b/>
                <w:bCs/>
                <w:color w:val="000000" w:themeColor="text1"/>
                <w:sz w:val="24"/>
                <w:szCs w:val="24"/>
              </w:rPr>
              <w:t>ESPECIFICAÇÃO</w:t>
            </w:r>
          </w:p>
        </w:tc>
        <w:tc>
          <w:tcPr>
            <w:tcW w:w="11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Arial" w:hAnsi="Arial" w:eastAsia="Arial" w:cs="Arial"/>
                <w:color w:val="000000"/>
                <w:sz w:val="20"/>
                <w:szCs w:val="20"/>
              </w:rPr>
            </w:pPr>
            <w:r>
              <w:rPr>
                <w:rFonts w:eastAsia="Arial" w:cs="Arial" w:ascii="Calibri" w:hAnsi="Calibri"/>
                <w:b/>
                <w:bCs/>
                <w:color w:val="000000" w:themeColor="text1"/>
                <w:sz w:val="24"/>
                <w:szCs w:val="24"/>
              </w:rPr>
              <w:t>CATMAT</w:t>
            </w:r>
          </w:p>
        </w:tc>
        <w:tc>
          <w:tcPr>
            <w:tcW w:w="141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Arial" w:hAnsi="Arial" w:eastAsia="Arial" w:cs="Arial"/>
                <w:color w:val="000000"/>
                <w:sz w:val="20"/>
                <w:szCs w:val="20"/>
              </w:rPr>
            </w:pPr>
            <w:r>
              <w:rPr>
                <w:rFonts w:eastAsia="Arial" w:cs="Arial" w:ascii="Calibri" w:hAnsi="Calibri"/>
                <w:b/>
                <w:bCs/>
                <w:color w:val="000000" w:themeColor="text1"/>
                <w:sz w:val="24"/>
                <w:szCs w:val="24"/>
              </w:rPr>
              <w:t>UNIDADE DE MEDIDA</w:t>
            </w:r>
          </w:p>
        </w:tc>
        <w:tc>
          <w:tcPr>
            <w:tcW w:w="17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Arial" w:hAnsi="Arial" w:eastAsia="Arial" w:cs="Arial"/>
                <w:b/>
                <w:b/>
                <w:bCs/>
                <w:sz w:val="20"/>
                <w:szCs w:val="20"/>
              </w:rPr>
            </w:pPr>
            <w:r>
              <w:rPr>
                <w:rFonts w:eastAsia="Arial" w:cs="Arial" w:ascii="Calibri" w:hAnsi="Calibri"/>
                <w:b/>
                <w:bCs/>
                <w:sz w:val="24"/>
                <w:szCs w:val="24"/>
              </w:rPr>
              <w:t>QUANTIDADE</w:t>
            </w:r>
          </w:p>
        </w:tc>
        <w:tc>
          <w:tcPr>
            <w:tcW w:w="125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sz w:val="24"/>
                <w:szCs w:val="24"/>
              </w:rPr>
            </w:pPr>
            <w:r>
              <w:rPr>
                <w:rFonts w:eastAsia="Arial" w:cs="Arial" w:ascii="Calibri" w:hAnsi="Calibri"/>
                <w:b/>
                <w:bCs/>
                <w:sz w:val="24"/>
                <w:szCs w:val="24"/>
              </w:rPr>
              <w:t>VALOR MÉDIO UNITÁRIO</w:t>
            </w:r>
          </w:p>
        </w:tc>
        <w:tc>
          <w:tcPr>
            <w:tcW w:w="14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sz w:val="24"/>
                <w:szCs w:val="24"/>
              </w:rPr>
            </w:pPr>
            <w:r>
              <w:rPr>
                <w:rFonts w:eastAsia="Arial" w:cs="Arial" w:ascii="Calibri" w:hAnsi="Calibri"/>
                <w:b/>
                <w:bCs/>
                <w:sz w:val="24"/>
                <w:szCs w:val="24"/>
              </w:rPr>
              <w:t>VALOR MÉDIO TOTAL</w:t>
            </w:r>
          </w:p>
        </w:tc>
      </w:tr>
      <w:tr>
        <w:trPr/>
        <w:tc>
          <w:tcPr>
            <w:tcW w:w="9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Arial" w:hAnsi="Arial" w:eastAsia="Arial" w:cs="Arial"/>
                <w:b/>
                <w:b/>
                <w:bCs/>
                <w:color w:val="000000"/>
                <w:sz w:val="20"/>
                <w:szCs w:val="20"/>
              </w:rPr>
            </w:pPr>
            <w:r>
              <w:rPr>
                <w:rFonts w:eastAsia="Arial" w:cs="Arial" w:ascii="Calibri" w:hAnsi="Calibri"/>
                <w:b/>
                <w:bCs/>
                <w:color w:val="000000" w:themeColor="text1"/>
                <w:sz w:val="24"/>
                <w:szCs w:val="24"/>
              </w:rPr>
              <w:t>1</w:t>
            </w:r>
          </w:p>
        </w:tc>
        <w:tc>
          <w:tcPr>
            <w:tcW w:w="17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b w:val="false"/>
                <w:i w:val="false"/>
                <w:strike w:val="false"/>
                <w:dstrike w:val="false"/>
                <w:outline w:val="false"/>
                <w:shadow w:val="false"/>
                <w:color w:val="000000"/>
                <w:sz w:val="24"/>
                <w:szCs w:val="24"/>
                <w:u w:val="none"/>
                <w:em w:val="none"/>
              </w:rPr>
              <w:t>Conjunto com luva, porta e anel de vedação 1 1/2”</w:t>
            </w:r>
          </w:p>
        </w:tc>
        <w:tc>
          <w:tcPr>
            <w:tcW w:w="11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308220</w:t>
            </w:r>
          </w:p>
        </w:tc>
        <w:tc>
          <w:tcPr>
            <w:tcW w:w="141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UN</w:t>
            </w:r>
          </w:p>
        </w:tc>
        <w:tc>
          <w:tcPr>
            <w:tcW w:w="17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70</w:t>
            </w:r>
          </w:p>
        </w:tc>
        <w:tc>
          <w:tcPr>
            <w:tcW w:w="125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R$ 15,10</w:t>
            </w:r>
          </w:p>
        </w:tc>
        <w:tc>
          <w:tcPr>
            <w:tcW w:w="14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R$ 1.057,00</w:t>
            </w:r>
          </w:p>
        </w:tc>
      </w:tr>
      <w:tr>
        <w:trPr/>
        <w:tc>
          <w:tcPr>
            <w:tcW w:w="9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Arial" w:hAnsi="Arial" w:eastAsia="Arial" w:cs="Arial"/>
                <w:b/>
                <w:b/>
                <w:bCs/>
                <w:color w:val="000000"/>
                <w:sz w:val="20"/>
                <w:szCs w:val="20"/>
              </w:rPr>
            </w:pPr>
            <w:r>
              <w:rPr>
                <w:rFonts w:eastAsia="Arial" w:cs="Arial" w:ascii="Calibri" w:hAnsi="Calibri"/>
                <w:b/>
                <w:bCs/>
                <w:color w:val="000000" w:themeColor="text1"/>
                <w:sz w:val="24"/>
                <w:szCs w:val="24"/>
              </w:rPr>
              <w:t>2</w:t>
            </w:r>
          </w:p>
        </w:tc>
        <w:tc>
          <w:tcPr>
            <w:tcW w:w="17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b w:val="false"/>
                <w:i w:val="false"/>
                <w:strike w:val="false"/>
                <w:dstrike w:val="false"/>
                <w:outline w:val="false"/>
                <w:shadow w:val="false"/>
                <w:color w:val="000000"/>
                <w:sz w:val="24"/>
                <w:szCs w:val="24"/>
                <w:u w:val="none"/>
                <w:em w:val="none"/>
              </w:rPr>
              <w:t>Prensa cabo PG 19 (Cabos entre 12 e 15mm)</w:t>
            </w:r>
          </w:p>
        </w:tc>
        <w:tc>
          <w:tcPr>
            <w:tcW w:w="11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b w:val="false"/>
                <w:i w:val="false"/>
                <w:strike w:val="false"/>
                <w:dstrike w:val="false"/>
                <w:outline w:val="false"/>
                <w:shadow w:val="false"/>
                <w:color w:val="000000"/>
                <w:sz w:val="24"/>
                <w:szCs w:val="24"/>
                <w:u w:val="none"/>
                <w:em w:val="none"/>
              </w:rPr>
              <w:t>470696</w:t>
            </w:r>
          </w:p>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r>
          </w:p>
        </w:tc>
        <w:tc>
          <w:tcPr>
            <w:tcW w:w="141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Style w:val="LinkdaInternet"/>
                <w:rFonts w:ascii="Calibri" w:hAnsi="Calibri" w:cs="Calibri"/>
                <w:b w:val="false"/>
                <w:b w:val="false"/>
                <w:bCs/>
                <w:i w:val="false"/>
                <w:i w:val="false"/>
                <w:iCs w:val="false"/>
                <w:color w:val="000000"/>
                <w:u w:val="none"/>
                <w:lang w:eastAsia="en-US"/>
              </w:rPr>
            </w:pPr>
            <w:r>
              <w:rPr>
                <w:rFonts w:eastAsia="Arial" w:cs="Arial" w:ascii="Calibri" w:hAnsi="Calibri"/>
                <w:color w:val="000000"/>
                <w:sz w:val="24"/>
                <w:szCs w:val="24"/>
              </w:rPr>
              <w:t>UN</w:t>
            </w:r>
          </w:p>
        </w:tc>
        <w:tc>
          <w:tcPr>
            <w:tcW w:w="17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40</w:t>
            </w:r>
          </w:p>
        </w:tc>
        <w:tc>
          <w:tcPr>
            <w:tcW w:w="125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R$ 13,77</w:t>
            </w:r>
          </w:p>
        </w:tc>
        <w:tc>
          <w:tcPr>
            <w:tcW w:w="14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R$ 550,67</w:t>
            </w:r>
          </w:p>
        </w:tc>
      </w:tr>
      <w:tr>
        <w:trPr/>
        <w:tc>
          <w:tcPr>
            <w:tcW w:w="9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Arial" w:hAnsi="Arial" w:eastAsia="Arial" w:cs="Arial"/>
                <w:b/>
                <w:b/>
                <w:bCs/>
                <w:color w:val="000000"/>
                <w:sz w:val="20"/>
                <w:szCs w:val="20"/>
              </w:rPr>
            </w:pPr>
            <w:r>
              <w:rPr>
                <w:rFonts w:eastAsia="Arial" w:cs="Arial" w:ascii="Calibri" w:hAnsi="Calibri"/>
                <w:b/>
                <w:bCs/>
                <w:color w:val="000000" w:themeColor="text1"/>
                <w:sz w:val="24"/>
                <w:szCs w:val="24"/>
              </w:rPr>
              <w:t>3</w:t>
            </w:r>
          </w:p>
        </w:tc>
        <w:tc>
          <w:tcPr>
            <w:tcW w:w="17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b w:val="false"/>
                <w:i w:val="false"/>
                <w:strike w:val="false"/>
                <w:dstrike w:val="false"/>
                <w:outline w:val="false"/>
                <w:shadow w:val="false"/>
                <w:color w:val="000000"/>
                <w:sz w:val="24"/>
                <w:szCs w:val="24"/>
                <w:u w:val="none"/>
                <w:em w:val="none"/>
              </w:rPr>
              <w:t>Rolo de 30m de cabo PP 5 vias 2.5mm2</w:t>
            </w:r>
          </w:p>
        </w:tc>
        <w:tc>
          <w:tcPr>
            <w:tcW w:w="11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b w:val="false"/>
                <w:i w:val="false"/>
                <w:strike w:val="false"/>
                <w:dstrike w:val="false"/>
                <w:outline w:val="false"/>
                <w:shadow w:val="false"/>
                <w:color w:val="000000"/>
                <w:sz w:val="24"/>
                <w:szCs w:val="24"/>
                <w:u w:val="none"/>
                <w:em w:val="none"/>
              </w:rPr>
              <w:t>415720</w:t>
            </w:r>
          </w:p>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r>
          </w:p>
        </w:tc>
        <w:tc>
          <w:tcPr>
            <w:tcW w:w="141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ROLO</w:t>
            </w:r>
          </w:p>
        </w:tc>
        <w:tc>
          <w:tcPr>
            <w:tcW w:w="17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1</w:t>
            </w:r>
          </w:p>
        </w:tc>
        <w:tc>
          <w:tcPr>
            <w:tcW w:w="125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R$ 18,76</w:t>
            </w:r>
          </w:p>
        </w:tc>
        <w:tc>
          <w:tcPr>
            <w:tcW w:w="14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R$ 18,76</w:t>
            </w:r>
          </w:p>
        </w:tc>
      </w:tr>
      <w:tr>
        <w:trPr/>
        <w:tc>
          <w:tcPr>
            <w:tcW w:w="9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sz w:val="24"/>
                <w:szCs w:val="24"/>
              </w:rPr>
            </w:pPr>
            <w:r>
              <w:rPr>
                <w:rFonts w:eastAsia="Arial" w:cs="Arial" w:ascii="Calibri" w:hAnsi="Calibri"/>
                <w:b/>
                <w:bCs/>
                <w:color w:val="000000" w:themeColor="text1"/>
                <w:sz w:val="24"/>
                <w:szCs w:val="24"/>
              </w:rPr>
              <w:t>4</w:t>
            </w:r>
          </w:p>
        </w:tc>
        <w:tc>
          <w:tcPr>
            <w:tcW w:w="17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312" w:before="120" w:after="288"/>
              <w:jc w:val="center"/>
              <w:rPr>
                <w:rFonts w:ascii="Calibri" w:hAnsi="Calibri" w:eastAsia="Arial" w:cs="Arial"/>
                <w:sz w:val="24"/>
                <w:szCs w:val="24"/>
              </w:rPr>
            </w:pPr>
            <w:r>
              <w:rPr>
                <w:rFonts w:eastAsia="Arial" w:cs="Arial" w:ascii="Calibri" w:hAnsi="Calibri"/>
                <w:b w:val="false"/>
                <w:i w:val="false"/>
                <w:strike w:val="false"/>
                <w:dstrike w:val="false"/>
                <w:outline w:val="false"/>
                <w:shadow w:val="false"/>
                <w:sz w:val="24"/>
                <w:szCs w:val="24"/>
                <w:u w:val="none"/>
                <w:em w:val="none"/>
              </w:rPr>
              <w:t>Caixa de tomadas dupla 10A para a área externa impermeável (127V/220V)</w:t>
            </w:r>
          </w:p>
        </w:tc>
        <w:tc>
          <w:tcPr>
            <w:tcW w:w="11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413553</w:t>
            </w:r>
          </w:p>
        </w:tc>
        <w:tc>
          <w:tcPr>
            <w:tcW w:w="141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UN</w:t>
            </w:r>
          </w:p>
        </w:tc>
        <w:tc>
          <w:tcPr>
            <w:tcW w:w="17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25</w:t>
            </w:r>
          </w:p>
        </w:tc>
        <w:tc>
          <w:tcPr>
            <w:tcW w:w="125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R$ 317,99</w:t>
            </w:r>
          </w:p>
        </w:tc>
        <w:tc>
          <w:tcPr>
            <w:tcW w:w="14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R$ 7.949,83</w:t>
            </w:r>
          </w:p>
        </w:tc>
      </w:tr>
      <w:tr>
        <w:trPr/>
        <w:tc>
          <w:tcPr>
            <w:tcW w:w="9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sz w:val="24"/>
                <w:szCs w:val="24"/>
              </w:rPr>
            </w:pPr>
            <w:r>
              <w:rPr>
                <w:rFonts w:ascii="Calibri" w:hAnsi="Calibri"/>
                <w:sz w:val="24"/>
                <w:szCs w:val="24"/>
              </w:rPr>
              <w:t>5</w:t>
            </w:r>
          </w:p>
        </w:tc>
        <w:tc>
          <w:tcPr>
            <w:tcW w:w="17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312" w:before="120" w:after="288"/>
              <w:jc w:val="center"/>
              <w:rPr>
                <w:rFonts w:ascii="Calibri" w:hAnsi="Calibri" w:eastAsia="Arial" w:cs="Arial"/>
                <w:sz w:val="24"/>
                <w:szCs w:val="24"/>
              </w:rPr>
            </w:pPr>
            <w:r>
              <w:rPr>
                <w:rFonts w:eastAsia="Arial" w:cs="Arial" w:ascii="Calibri" w:hAnsi="Calibri"/>
                <w:b w:val="false"/>
                <w:i w:val="false"/>
                <w:strike w:val="false"/>
                <w:dstrike w:val="false"/>
                <w:outline w:val="false"/>
                <w:shadow w:val="false"/>
                <w:sz w:val="24"/>
                <w:szCs w:val="24"/>
                <w:u w:val="none"/>
                <w:em w:val="none"/>
              </w:rPr>
              <w:t>Rolos de 100m de cabo amarelo 2.5mm2</w:t>
            </w:r>
          </w:p>
        </w:tc>
        <w:tc>
          <w:tcPr>
            <w:tcW w:w="11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b w:val="false"/>
                <w:i w:val="false"/>
                <w:strike w:val="false"/>
                <w:dstrike w:val="false"/>
                <w:outline w:val="false"/>
                <w:shadow w:val="false"/>
                <w:color w:val="000000"/>
                <w:sz w:val="24"/>
                <w:szCs w:val="24"/>
                <w:u w:val="none"/>
                <w:em w:val="none"/>
              </w:rPr>
              <w:t>415720</w:t>
            </w:r>
          </w:p>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r>
          </w:p>
        </w:tc>
        <w:tc>
          <w:tcPr>
            <w:tcW w:w="141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ROLO</w:t>
            </w:r>
          </w:p>
        </w:tc>
        <w:tc>
          <w:tcPr>
            <w:tcW w:w="17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2</w:t>
            </w:r>
          </w:p>
        </w:tc>
        <w:tc>
          <w:tcPr>
            <w:tcW w:w="125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R$ 194,63</w:t>
            </w:r>
          </w:p>
        </w:tc>
        <w:tc>
          <w:tcPr>
            <w:tcW w:w="14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R$ 389,27</w:t>
            </w:r>
          </w:p>
        </w:tc>
      </w:tr>
      <w:tr>
        <w:trPr/>
        <w:tc>
          <w:tcPr>
            <w:tcW w:w="9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sz w:val="24"/>
                <w:szCs w:val="24"/>
              </w:rPr>
            </w:pPr>
            <w:r>
              <w:rPr>
                <w:rFonts w:ascii="Calibri" w:hAnsi="Calibri"/>
                <w:sz w:val="24"/>
                <w:szCs w:val="24"/>
              </w:rPr>
              <w:t>6</w:t>
            </w:r>
          </w:p>
        </w:tc>
        <w:tc>
          <w:tcPr>
            <w:tcW w:w="17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312" w:before="120" w:after="288"/>
              <w:jc w:val="center"/>
              <w:rPr>
                <w:rFonts w:ascii="Calibri" w:hAnsi="Calibri" w:eastAsia="Arial" w:cs="Arial"/>
                <w:sz w:val="24"/>
                <w:szCs w:val="24"/>
              </w:rPr>
            </w:pPr>
            <w:r>
              <w:rPr>
                <w:rFonts w:eastAsia="Arial" w:cs="Arial" w:ascii="Calibri" w:hAnsi="Calibri"/>
                <w:b w:val="false"/>
                <w:i w:val="false"/>
                <w:strike w:val="false"/>
                <w:dstrike w:val="false"/>
                <w:outline w:val="false"/>
                <w:shadow w:val="false"/>
                <w:sz w:val="24"/>
                <w:szCs w:val="24"/>
                <w:u w:val="none"/>
                <w:em w:val="none"/>
              </w:rPr>
              <w:t>Rolos de 100m de cabo verde 4mm2</w:t>
            </w:r>
          </w:p>
        </w:tc>
        <w:tc>
          <w:tcPr>
            <w:tcW w:w="11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b w:val="false"/>
                <w:i w:val="false"/>
                <w:strike w:val="false"/>
                <w:dstrike w:val="false"/>
                <w:outline w:val="false"/>
                <w:shadow w:val="false"/>
                <w:color w:val="000000"/>
                <w:sz w:val="24"/>
                <w:szCs w:val="24"/>
                <w:u w:val="none"/>
                <w:em w:val="none"/>
              </w:rPr>
              <w:t>415718</w:t>
            </w:r>
          </w:p>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r>
          </w:p>
        </w:tc>
        <w:tc>
          <w:tcPr>
            <w:tcW w:w="141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ROLO</w:t>
            </w:r>
          </w:p>
        </w:tc>
        <w:tc>
          <w:tcPr>
            <w:tcW w:w="17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2</w:t>
            </w:r>
          </w:p>
        </w:tc>
        <w:tc>
          <w:tcPr>
            <w:tcW w:w="125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R$ 294,63</w:t>
            </w:r>
          </w:p>
        </w:tc>
        <w:tc>
          <w:tcPr>
            <w:tcW w:w="14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R$ 589,27</w:t>
            </w:r>
          </w:p>
        </w:tc>
      </w:tr>
      <w:tr>
        <w:trPr/>
        <w:tc>
          <w:tcPr>
            <w:tcW w:w="9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sz w:val="24"/>
                <w:szCs w:val="24"/>
              </w:rPr>
            </w:pPr>
            <w:r>
              <w:rPr>
                <w:rFonts w:ascii="Calibri" w:hAnsi="Calibri"/>
                <w:sz w:val="24"/>
                <w:szCs w:val="24"/>
              </w:rPr>
              <w:t>7</w:t>
            </w:r>
          </w:p>
        </w:tc>
        <w:tc>
          <w:tcPr>
            <w:tcW w:w="17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312" w:before="120" w:after="288"/>
              <w:jc w:val="center"/>
              <w:rPr>
                <w:rFonts w:ascii="Calibri" w:hAnsi="Calibri" w:eastAsia="Arial" w:cs="Arial"/>
                <w:sz w:val="24"/>
                <w:szCs w:val="24"/>
              </w:rPr>
            </w:pPr>
            <w:r>
              <w:rPr>
                <w:rFonts w:eastAsia="Arial" w:cs="Arial" w:ascii="Calibri" w:hAnsi="Calibri"/>
                <w:b w:val="false"/>
                <w:i w:val="false"/>
                <w:strike w:val="false"/>
                <w:dstrike w:val="false"/>
                <w:outline w:val="false"/>
                <w:shadow w:val="false"/>
                <w:sz w:val="24"/>
                <w:szCs w:val="24"/>
                <w:u w:val="none"/>
                <w:em w:val="none"/>
              </w:rPr>
              <w:t>Rolos de 100m de cabo azul 6mm2</w:t>
            </w:r>
          </w:p>
        </w:tc>
        <w:tc>
          <w:tcPr>
            <w:tcW w:w="11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b w:val="false"/>
                <w:i w:val="false"/>
                <w:strike w:val="false"/>
                <w:dstrike w:val="false"/>
                <w:outline w:val="false"/>
                <w:shadow w:val="false"/>
                <w:color w:val="000000"/>
                <w:sz w:val="24"/>
                <w:szCs w:val="24"/>
                <w:u w:val="none"/>
                <w:em w:val="none"/>
              </w:rPr>
              <w:t>343150</w:t>
            </w:r>
          </w:p>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r>
          </w:p>
        </w:tc>
        <w:tc>
          <w:tcPr>
            <w:tcW w:w="141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ROLO</w:t>
            </w:r>
          </w:p>
        </w:tc>
        <w:tc>
          <w:tcPr>
            <w:tcW w:w="17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2</w:t>
            </w:r>
          </w:p>
        </w:tc>
        <w:tc>
          <w:tcPr>
            <w:tcW w:w="125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R$ 394,63</w:t>
            </w:r>
          </w:p>
        </w:tc>
        <w:tc>
          <w:tcPr>
            <w:tcW w:w="14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R$ 789,27</w:t>
            </w:r>
          </w:p>
        </w:tc>
      </w:tr>
      <w:tr>
        <w:trPr/>
        <w:tc>
          <w:tcPr>
            <w:tcW w:w="9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sz w:val="24"/>
                <w:szCs w:val="24"/>
              </w:rPr>
            </w:pPr>
            <w:r>
              <w:rPr>
                <w:rFonts w:ascii="Calibri" w:hAnsi="Calibri"/>
                <w:sz w:val="24"/>
                <w:szCs w:val="24"/>
              </w:rPr>
              <w:t>8</w:t>
            </w:r>
          </w:p>
        </w:tc>
        <w:tc>
          <w:tcPr>
            <w:tcW w:w="17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312" w:before="120" w:after="288"/>
              <w:jc w:val="center"/>
              <w:rPr>
                <w:rFonts w:ascii="Calibri" w:hAnsi="Calibri" w:eastAsia="Arial" w:cs="Arial"/>
                <w:sz w:val="24"/>
                <w:szCs w:val="24"/>
              </w:rPr>
            </w:pPr>
            <w:r>
              <w:rPr>
                <w:rFonts w:eastAsia="Arial" w:cs="Arial" w:ascii="Calibri" w:hAnsi="Calibri"/>
                <w:b w:val="false"/>
                <w:i w:val="false"/>
                <w:strike w:val="false"/>
                <w:dstrike w:val="false"/>
                <w:outline w:val="false"/>
                <w:shadow w:val="false"/>
                <w:sz w:val="24"/>
                <w:szCs w:val="24"/>
                <w:u w:val="none"/>
                <w:em w:val="none"/>
              </w:rPr>
              <w:t>Rolos de 100m de cabo preto 6mm2</w:t>
            </w:r>
          </w:p>
        </w:tc>
        <w:tc>
          <w:tcPr>
            <w:tcW w:w="11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b w:val="false"/>
                <w:i w:val="false"/>
                <w:strike w:val="false"/>
                <w:dstrike w:val="false"/>
                <w:outline w:val="false"/>
                <w:shadow w:val="false"/>
                <w:color w:val="000000"/>
                <w:sz w:val="24"/>
                <w:szCs w:val="24"/>
                <w:u w:val="none"/>
                <w:em w:val="none"/>
              </w:rPr>
              <w:t>343150</w:t>
            </w:r>
          </w:p>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r>
          </w:p>
        </w:tc>
        <w:tc>
          <w:tcPr>
            <w:tcW w:w="141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ROLO</w:t>
            </w:r>
          </w:p>
        </w:tc>
        <w:tc>
          <w:tcPr>
            <w:tcW w:w="17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2</w:t>
            </w:r>
          </w:p>
        </w:tc>
        <w:tc>
          <w:tcPr>
            <w:tcW w:w="125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R$ 394,63</w:t>
            </w:r>
          </w:p>
        </w:tc>
        <w:tc>
          <w:tcPr>
            <w:tcW w:w="14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R$ 789,27</w:t>
            </w:r>
          </w:p>
        </w:tc>
      </w:tr>
      <w:tr>
        <w:trPr/>
        <w:tc>
          <w:tcPr>
            <w:tcW w:w="9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sz w:val="24"/>
                <w:szCs w:val="24"/>
              </w:rPr>
            </w:pPr>
            <w:r>
              <w:rPr>
                <w:rFonts w:ascii="Calibri" w:hAnsi="Calibri"/>
                <w:sz w:val="24"/>
                <w:szCs w:val="24"/>
              </w:rPr>
              <w:t>9</w:t>
            </w:r>
          </w:p>
        </w:tc>
        <w:tc>
          <w:tcPr>
            <w:tcW w:w="17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312" w:before="120" w:after="288"/>
              <w:jc w:val="center"/>
              <w:rPr>
                <w:rFonts w:ascii="Calibri" w:hAnsi="Calibri" w:eastAsia="Arial" w:cs="Arial"/>
                <w:sz w:val="24"/>
                <w:szCs w:val="24"/>
              </w:rPr>
            </w:pPr>
            <w:r>
              <w:rPr>
                <w:rFonts w:eastAsia="Arial" w:cs="Arial" w:ascii="Calibri" w:hAnsi="Calibri"/>
                <w:b w:val="false"/>
                <w:i w:val="false"/>
                <w:strike w:val="false"/>
                <w:dstrike w:val="false"/>
                <w:outline w:val="false"/>
                <w:shadow w:val="false"/>
                <w:sz w:val="24"/>
                <w:szCs w:val="24"/>
                <w:u w:val="none"/>
                <w:em w:val="none"/>
              </w:rPr>
              <w:t>Rolos de 100m de cabo branco 6mm2</w:t>
            </w:r>
          </w:p>
        </w:tc>
        <w:tc>
          <w:tcPr>
            <w:tcW w:w="11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b w:val="false"/>
                <w:i w:val="false"/>
                <w:strike w:val="false"/>
                <w:dstrike w:val="false"/>
                <w:outline w:val="false"/>
                <w:shadow w:val="false"/>
                <w:color w:val="000000"/>
                <w:sz w:val="24"/>
                <w:szCs w:val="24"/>
                <w:u w:val="none"/>
                <w:em w:val="none"/>
              </w:rPr>
              <w:t>343150</w:t>
            </w:r>
          </w:p>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r>
          </w:p>
        </w:tc>
        <w:tc>
          <w:tcPr>
            <w:tcW w:w="141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ROLO</w:t>
            </w:r>
          </w:p>
        </w:tc>
        <w:tc>
          <w:tcPr>
            <w:tcW w:w="17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2</w:t>
            </w:r>
          </w:p>
        </w:tc>
        <w:tc>
          <w:tcPr>
            <w:tcW w:w="125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R$ 394,63</w:t>
            </w:r>
          </w:p>
        </w:tc>
        <w:tc>
          <w:tcPr>
            <w:tcW w:w="14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R$ 789,27</w:t>
            </w:r>
          </w:p>
        </w:tc>
      </w:tr>
      <w:tr>
        <w:trPr/>
        <w:tc>
          <w:tcPr>
            <w:tcW w:w="9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sz w:val="24"/>
                <w:szCs w:val="24"/>
              </w:rPr>
            </w:pPr>
            <w:r>
              <w:rPr>
                <w:rFonts w:ascii="Calibri" w:hAnsi="Calibri"/>
                <w:sz w:val="24"/>
                <w:szCs w:val="24"/>
              </w:rPr>
              <w:t>10</w:t>
            </w:r>
          </w:p>
        </w:tc>
        <w:tc>
          <w:tcPr>
            <w:tcW w:w="17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312" w:before="120" w:after="288"/>
              <w:jc w:val="center"/>
              <w:rPr>
                <w:rFonts w:ascii="Calibri" w:hAnsi="Calibri" w:eastAsia="Arial" w:cs="Arial"/>
                <w:sz w:val="24"/>
                <w:szCs w:val="24"/>
              </w:rPr>
            </w:pPr>
            <w:r>
              <w:rPr>
                <w:rFonts w:eastAsia="Arial" w:cs="Arial" w:ascii="Calibri" w:hAnsi="Calibri"/>
                <w:b w:val="false"/>
                <w:i w:val="false"/>
                <w:strike w:val="false"/>
                <w:dstrike w:val="false"/>
                <w:outline w:val="false"/>
                <w:shadow w:val="false"/>
                <w:sz w:val="24"/>
                <w:szCs w:val="24"/>
                <w:u w:val="none"/>
                <w:em w:val="none"/>
              </w:rPr>
              <w:t>Rolos de 100m de cabo vermelho 6mm2</w:t>
            </w:r>
          </w:p>
        </w:tc>
        <w:tc>
          <w:tcPr>
            <w:tcW w:w="11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b w:val="false"/>
                <w:i w:val="false"/>
                <w:strike w:val="false"/>
                <w:dstrike w:val="false"/>
                <w:outline w:val="false"/>
                <w:shadow w:val="false"/>
                <w:color w:val="000000"/>
                <w:sz w:val="24"/>
                <w:szCs w:val="24"/>
                <w:u w:val="none"/>
                <w:em w:val="none"/>
              </w:rPr>
              <w:t>343150</w:t>
            </w:r>
          </w:p>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r>
          </w:p>
        </w:tc>
        <w:tc>
          <w:tcPr>
            <w:tcW w:w="141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ROLO</w:t>
            </w:r>
          </w:p>
        </w:tc>
        <w:tc>
          <w:tcPr>
            <w:tcW w:w="17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2</w:t>
            </w:r>
          </w:p>
        </w:tc>
        <w:tc>
          <w:tcPr>
            <w:tcW w:w="125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R$ 394,63</w:t>
            </w:r>
          </w:p>
        </w:tc>
        <w:tc>
          <w:tcPr>
            <w:tcW w:w="14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R$ 789,27</w:t>
            </w:r>
          </w:p>
        </w:tc>
      </w:tr>
      <w:tr>
        <w:trPr/>
        <w:tc>
          <w:tcPr>
            <w:tcW w:w="9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sz w:val="24"/>
                <w:szCs w:val="24"/>
              </w:rPr>
            </w:pPr>
            <w:r>
              <w:rPr>
                <w:rFonts w:ascii="Calibri" w:hAnsi="Calibri"/>
                <w:sz w:val="24"/>
                <w:szCs w:val="24"/>
              </w:rPr>
              <w:t>11</w:t>
            </w:r>
          </w:p>
        </w:tc>
        <w:tc>
          <w:tcPr>
            <w:tcW w:w="17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312" w:before="120" w:after="288"/>
              <w:jc w:val="center"/>
              <w:rPr>
                <w:rFonts w:ascii="Calibri" w:hAnsi="Calibri" w:eastAsia="Arial" w:cs="Arial"/>
                <w:sz w:val="24"/>
                <w:szCs w:val="24"/>
              </w:rPr>
            </w:pPr>
            <w:r>
              <w:rPr>
                <w:rFonts w:eastAsia="Arial" w:cs="Arial" w:ascii="Calibri" w:hAnsi="Calibri"/>
                <w:b w:val="false"/>
                <w:i w:val="false"/>
                <w:strike w:val="false"/>
                <w:dstrike w:val="false"/>
                <w:outline w:val="false"/>
                <w:shadow w:val="false"/>
                <w:sz w:val="24"/>
                <w:szCs w:val="24"/>
                <w:u w:val="none"/>
                <w:em w:val="none"/>
              </w:rPr>
              <w:t>Rolos de 100m de cabo verde 10mm2</w:t>
            </w:r>
          </w:p>
        </w:tc>
        <w:tc>
          <w:tcPr>
            <w:tcW w:w="11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b w:val="false"/>
                <w:i w:val="false"/>
                <w:strike w:val="false"/>
                <w:dstrike w:val="false"/>
                <w:outline w:val="false"/>
                <w:shadow w:val="false"/>
                <w:color w:val="000000"/>
                <w:sz w:val="24"/>
                <w:szCs w:val="24"/>
                <w:u w:val="none"/>
                <w:em w:val="none"/>
              </w:rPr>
              <w:t>426945</w:t>
            </w:r>
          </w:p>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r>
          </w:p>
        </w:tc>
        <w:tc>
          <w:tcPr>
            <w:tcW w:w="141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ROLO</w:t>
            </w:r>
          </w:p>
        </w:tc>
        <w:tc>
          <w:tcPr>
            <w:tcW w:w="17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1</w:t>
            </w:r>
          </w:p>
        </w:tc>
        <w:tc>
          <w:tcPr>
            <w:tcW w:w="125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R$ 946,63</w:t>
            </w:r>
          </w:p>
        </w:tc>
        <w:tc>
          <w:tcPr>
            <w:tcW w:w="14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R$ 946,63</w:t>
            </w:r>
          </w:p>
        </w:tc>
      </w:tr>
      <w:tr>
        <w:trPr/>
        <w:tc>
          <w:tcPr>
            <w:tcW w:w="9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sz w:val="24"/>
                <w:szCs w:val="24"/>
              </w:rPr>
            </w:pPr>
            <w:r>
              <w:rPr>
                <w:rFonts w:ascii="Calibri" w:hAnsi="Calibri"/>
                <w:sz w:val="24"/>
                <w:szCs w:val="24"/>
              </w:rPr>
              <w:t>12</w:t>
            </w:r>
          </w:p>
        </w:tc>
        <w:tc>
          <w:tcPr>
            <w:tcW w:w="17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312" w:before="120" w:after="288"/>
              <w:jc w:val="center"/>
              <w:rPr>
                <w:rFonts w:ascii="Calibri" w:hAnsi="Calibri" w:eastAsia="Arial" w:cs="Arial"/>
                <w:sz w:val="24"/>
                <w:szCs w:val="24"/>
              </w:rPr>
            </w:pPr>
            <w:r>
              <w:rPr>
                <w:rFonts w:eastAsia="Arial" w:cs="Arial" w:ascii="Calibri" w:hAnsi="Calibri"/>
                <w:b w:val="false"/>
                <w:i w:val="false"/>
                <w:strike w:val="false"/>
                <w:dstrike w:val="false"/>
                <w:outline w:val="false"/>
                <w:shadow w:val="false"/>
                <w:sz w:val="24"/>
                <w:szCs w:val="24"/>
                <w:u w:val="none"/>
                <w:em w:val="none"/>
              </w:rPr>
              <w:t>Rolo de 100m de cabo azul 16mm2</w:t>
            </w:r>
          </w:p>
        </w:tc>
        <w:tc>
          <w:tcPr>
            <w:tcW w:w="11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b w:val="false"/>
                <w:i w:val="false"/>
                <w:strike w:val="false"/>
                <w:dstrike w:val="false"/>
                <w:outline w:val="false"/>
                <w:shadow w:val="false"/>
                <w:color w:val="000000"/>
                <w:sz w:val="24"/>
                <w:szCs w:val="24"/>
                <w:u w:val="none"/>
                <w:em w:val="none"/>
              </w:rPr>
              <w:t>333798</w:t>
            </w:r>
          </w:p>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r>
          </w:p>
        </w:tc>
        <w:tc>
          <w:tcPr>
            <w:tcW w:w="141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ROLO</w:t>
            </w:r>
          </w:p>
        </w:tc>
        <w:tc>
          <w:tcPr>
            <w:tcW w:w="17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1</w:t>
            </w:r>
          </w:p>
        </w:tc>
        <w:tc>
          <w:tcPr>
            <w:tcW w:w="125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R$ 1.256,30</w:t>
            </w:r>
          </w:p>
        </w:tc>
        <w:tc>
          <w:tcPr>
            <w:tcW w:w="14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R$ 1.256,30</w:t>
            </w:r>
          </w:p>
        </w:tc>
      </w:tr>
      <w:tr>
        <w:trPr/>
        <w:tc>
          <w:tcPr>
            <w:tcW w:w="9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sz w:val="24"/>
                <w:szCs w:val="24"/>
              </w:rPr>
            </w:pPr>
            <w:r>
              <w:rPr>
                <w:rFonts w:ascii="Calibri" w:hAnsi="Calibri"/>
                <w:sz w:val="24"/>
                <w:szCs w:val="24"/>
              </w:rPr>
              <w:t>13</w:t>
            </w:r>
          </w:p>
        </w:tc>
        <w:tc>
          <w:tcPr>
            <w:tcW w:w="17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312" w:before="120" w:after="288"/>
              <w:jc w:val="center"/>
              <w:rPr>
                <w:rFonts w:ascii="Calibri" w:hAnsi="Calibri" w:eastAsia="Arial" w:cs="Arial"/>
                <w:sz w:val="24"/>
                <w:szCs w:val="24"/>
              </w:rPr>
            </w:pPr>
            <w:r>
              <w:rPr>
                <w:rFonts w:eastAsia="Arial" w:cs="Arial" w:ascii="Calibri" w:hAnsi="Calibri"/>
                <w:b w:val="false"/>
                <w:i w:val="false"/>
                <w:strike w:val="false"/>
                <w:dstrike w:val="false"/>
                <w:outline w:val="false"/>
                <w:shadow w:val="false"/>
                <w:sz w:val="24"/>
                <w:szCs w:val="24"/>
                <w:u w:val="none"/>
                <w:em w:val="none"/>
              </w:rPr>
              <w:t>Rolo de 100m de cabo vermelho 16mm2</w:t>
            </w:r>
          </w:p>
        </w:tc>
        <w:tc>
          <w:tcPr>
            <w:tcW w:w="11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b w:val="false"/>
                <w:i w:val="false"/>
                <w:strike w:val="false"/>
                <w:dstrike w:val="false"/>
                <w:outline w:val="false"/>
                <w:shadow w:val="false"/>
                <w:color w:val="000000"/>
                <w:sz w:val="24"/>
                <w:szCs w:val="24"/>
                <w:u w:val="none"/>
                <w:em w:val="none"/>
              </w:rPr>
              <w:t>333798</w:t>
            </w:r>
          </w:p>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r>
          </w:p>
        </w:tc>
        <w:tc>
          <w:tcPr>
            <w:tcW w:w="141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ROLO</w:t>
            </w:r>
          </w:p>
        </w:tc>
        <w:tc>
          <w:tcPr>
            <w:tcW w:w="17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1</w:t>
            </w:r>
          </w:p>
        </w:tc>
        <w:tc>
          <w:tcPr>
            <w:tcW w:w="125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R$ 1.256,30</w:t>
            </w:r>
          </w:p>
        </w:tc>
        <w:tc>
          <w:tcPr>
            <w:tcW w:w="14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R$ 1.256,30</w:t>
            </w:r>
          </w:p>
        </w:tc>
      </w:tr>
      <w:tr>
        <w:trPr/>
        <w:tc>
          <w:tcPr>
            <w:tcW w:w="9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sz w:val="24"/>
                <w:szCs w:val="24"/>
              </w:rPr>
            </w:pPr>
            <w:r>
              <w:rPr>
                <w:rFonts w:ascii="Calibri" w:hAnsi="Calibri"/>
                <w:sz w:val="24"/>
                <w:szCs w:val="24"/>
              </w:rPr>
              <w:t>14</w:t>
            </w:r>
          </w:p>
        </w:tc>
        <w:tc>
          <w:tcPr>
            <w:tcW w:w="17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312" w:before="120" w:after="288"/>
              <w:jc w:val="center"/>
              <w:rPr>
                <w:rFonts w:ascii="Calibri" w:hAnsi="Calibri" w:eastAsia="Arial" w:cs="Arial"/>
                <w:sz w:val="24"/>
                <w:szCs w:val="24"/>
              </w:rPr>
            </w:pPr>
            <w:r>
              <w:rPr>
                <w:rFonts w:eastAsia="Arial" w:cs="Arial" w:ascii="Calibri" w:hAnsi="Calibri"/>
                <w:b w:val="false"/>
                <w:i w:val="false"/>
                <w:strike w:val="false"/>
                <w:dstrike w:val="false"/>
                <w:outline w:val="false"/>
                <w:shadow w:val="false"/>
                <w:sz w:val="24"/>
                <w:szCs w:val="24"/>
                <w:u w:val="none"/>
                <w:em w:val="none"/>
              </w:rPr>
              <w:t>Rolo de 100m de cabo branco 16mm2</w:t>
            </w:r>
          </w:p>
        </w:tc>
        <w:tc>
          <w:tcPr>
            <w:tcW w:w="11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b w:val="false"/>
                <w:i w:val="false"/>
                <w:strike w:val="false"/>
                <w:dstrike w:val="false"/>
                <w:outline w:val="false"/>
                <w:shadow w:val="false"/>
                <w:color w:val="000000"/>
                <w:sz w:val="24"/>
                <w:szCs w:val="24"/>
                <w:u w:val="none"/>
                <w:em w:val="none"/>
              </w:rPr>
              <w:t>333798</w:t>
            </w:r>
          </w:p>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r>
          </w:p>
        </w:tc>
        <w:tc>
          <w:tcPr>
            <w:tcW w:w="141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ROLO</w:t>
            </w:r>
          </w:p>
        </w:tc>
        <w:tc>
          <w:tcPr>
            <w:tcW w:w="17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1</w:t>
            </w:r>
          </w:p>
        </w:tc>
        <w:tc>
          <w:tcPr>
            <w:tcW w:w="125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R$ 1.256,30</w:t>
            </w:r>
          </w:p>
        </w:tc>
        <w:tc>
          <w:tcPr>
            <w:tcW w:w="14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R$ 1.256,30</w:t>
            </w:r>
          </w:p>
        </w:tc>
      </w:tr>
      <w:tr>
        <w:trPr/>
        <w:tc>
          <w:tcPr>
            <w:tcW w:w="9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sz w:val="24"/>
                <w:szCs w:val="24"/>
              </w:rPr>
            </w:pPr>
            <w:r>
              <w:rPr>
                <w:rFonts w:ascii="Calibri" w:hAnsi="Calibri"/>
                <w:sz w:val="24"/>
                <w:szCs w:val="24"/>
              </w:rPr>
              <w:t>15</w:t>
            </w:r>
          </w:p>
        </w:tc>
        <w:tc>
          <w:tcPr>
            <w:tcW w:w="17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312" w:before="120" w:after="288"/>
              <w:jc w:val="center"/>
              <w:rPr>
                <w:rFonts w:ascii="Calibri" w:hAnsi="Calibri" w:eastAsia="Arial" w:cs="Arial"/>
                <w:sz w:val="24"/>
                <w:szCs w:val="24"/>
              </w:rPr>
            </w:pPr>
            <w:r>
              <w:rPr>
                <w:rFonts w:eastAsia="Arial" w:cs="Arial" w:ascii="Calibri" w:hAnsi="Calibri"/>
                <w:b w:val="false"/>
                <w:i w:val="false"/>
                <w:strike w:val="false"/>
                <w:dstrike w:val="false"/>
                <w:outline w:val="false"/>
                <w:shadow w:val="false"/>
                <w:sz w:val="24"/>
                <w:szCs w:val="24"/>
                <w:u w:val="none"/>
                <w:em w:val="none"/>
              </w:rPr>
              <w:t>Rolo de 100m de cabo preto 16mm2</w:t>
            </w:r>
          </w:p>
        </w:tc>
        <w:tc>
          <w:tcPr>
            <w:tcW w:w="11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b w:val="false"/>
                <w:i w:val="false"/>
                <w:strike w:val="false"/>
                <w:dstrike w:val="false"/>
                <w:outline w:val="false"/>
                <w:shadow w:val="false"/>
                <w:color w:val="000000"/>
                <w:sz w:val="24"/>
                <w:szCs w:val="24"/>
                <w:u w:val="none"/>
                <w:em w:val="none"/>
              </w:rPr>
              <w:t>333798</w:t>
            </w:r>
          </w:p>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r>
          </w:p>
        </w:tc>
        <w:tc>
          <w:tcPr>
            <w:tcW w:w="141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ROLO</w:t>
            </w:r>
          </w:p>
        </w:tc>
        <w:tc>
          <w:tcPr>
            <w:tcW w:w="17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1</w:t>
            </w:r>
          </w:p>
        </w:tc>
        <w:tc>
          <w:tcPr>
            <w:tcW w:w="125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R$ 1.256,30</w:t>
            </w:r>
          </w:p>
        </w:tc>
        <w:tc>
          <w:tcPr>
            <w:tcW w:w="14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R$ 1.256,30</w:t>
            </w:r>
          </w:p>
        </w:tc>
      </w:tr>
      <w:tr>
        <w:trPr/>
        <w:tc>
          <w:tcPr>
            <w:tcW w:w="9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sz w:val="24"/>
                <w:szCs w:val="24"/>
              </w:rPr>
            </w:pPr>
            <w:r>
              <w:rPr>
                <w:rFonts w:ascii="Calibri" w:hAnsi="Calibri"/>
                <w:sz w:val="24"/>
                <w:szCs w:val="24"/>
              </w:rPr>
              <w:t>16</w:t>
            </w:r>
          </w:p>
        </w:tc>
        <w:tc>
          <w:tcPr>
            <w:tcW w:w="17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312" w:before="120" w:after="288"/>
              <w:jc w:val="center"/>
              <w:rPr>
                <w:rFonts w:ascii="Calibri" w:hAnsi="Calibri" w:eastAsia="Arial" w:cs="Arial"/>
                <w:sz w:val="24"/>
                <w:szCs w:val="24"/>
              </w:rPr>
            </w:pPr>
            <w:r>
              <w:rPr>
                <w:rFonts w:eastAsia="Arial" w:cs="Arial" w:ascii="Calibri" w:hAnsi="Calibri"/>
                <w:b w:val="false"/>
                <w:i w:val="false"/>
                <w:strike w:val="false"/>
                <w:dstrike w:val="false"/>
                <w:outline w:val="false"/>
                <w:shadow w:val="false"/>
                <w:sz w:val="24"/>
                <w:szCs w:val="24"/>
                <w:u w:val="none"/>
                <w:em w:val="none"/>
              </w:rPr>
              <w:t>Disjuntor tripolar de caixa moldada de 50A</w:t>
            </w:r>
          </w:p>
        </w:tc>
        <w:tc>
          <w:tcPr>
            <w:tcW w:w="11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b w:val="false"/>
                <w:i w:val="false"/>
                <w:strike w:val="false"/>
                <w:dstrike w:val="false"/>
                <w:outline w:val="false"/>
                <w:shadow w:val="false"/>
                <w:color w:val="000000"/>
                <w:sz w:val="24"/>
                <w:szCs w:val="24"/>
                <w:u w:val="none"/>
                <w:em w:val="none"/>
              </w:rPr>
              <w:t>323721</w:t>
            </w:r>
          </w:p>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r>
          </w:p>
        </w:tc>
        <w:tc>
          <w:tcPr>
            <w:tcW w:w="141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UN</w:t>
            </w:r>
          </w:p>
        </w:tc>
        <w:tc>
          <w:tcPr>
            <w:tcW w:w="17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2</w:t>
            </w:r>
          </w:p>
        </w:tc>
        <w:tc>
          <w:tcPr>
            <w:tcW w:w="125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R$ 257,97</w:t>
            </w:r>
          </w:p>
        </w:tc>
        <w:tc>
          <w:tcPr>
            <w:tcW w:w="14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R$ 515,96</w:t>
            </w:r>
          </w:p>
        </w:tc>
      </w:tr>
      <w:tr>
        <w:trPr/>
        <w:tc>
          <w:tcPr>
            <w:tcW w:w="9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sz w:val="24"/>
                <w:szCs w:val="24"/>
              </w:rPr>
            </w:pPr>
            <w:r>
              <w:rPr>
                <w:rFonts w:ascii="Calibri" w:hAnsi="Calibri"/>
                <w:sz w:val="24"/>
                <w:szCs w:val="24"/>
              </w:rPr>
              <w:t>17</w:t>
            </w:r>
          </w:p>
        </w:tc>
        <w:tc>
          <w:tcPr>
            <w:tcW w:w="17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312" w:before="120" w:after="288"/>
              <w:jc w:val="center"/>
              <w:rPr>
                <w:rFonts w:ascii="Calibri" w:hAnsi="Calibri" w:eastAsia="Arial" w:cs="Arial"/>
                <w:sz w:val="24"/>
                <w:szCs w:val="24"/>
              </w:rPr>
            </w:pPr>
            <w:r>
              <w:rPr>
                <w:rFonts w:eastAsia="Arial" w:cs="Arial" w:ascii="Calibri" w:hAnsi="Calibri"/>
                <w:b w:val="false"/>
                <w:i w:val="false"/>
                <w:strike w:val="false"/>
                <w:dstrike w:val="false"/>
                <w:outline w:val="false"/>
                <w:shadow w:val="false"/>
                <w:sz w:val="24"/>
                <w:szCs w:val="24"/>
                <w:u w:val="none"/>
                <w:em w:val="none"/>
              </w:rPr>
              <w:t>Disjuntor bipolar de 32A</w:t>
            </w:r>
          </w:p>
        </w:tc>
        <w:tc>
          <w:tcPr>
            <w:tcW w:w="11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b w:val="false"/>
                <w:i w:val="false"/>
                <w:strike w:val="false"/>
                <w:dstrike w:val="false"/>
                <w:outline w:val="false"/>
                <w:shadow w:val="false"/>
                <w:color w:val="000000"/>
                <w:sz w:val="24"/>
                <w:szCs w:val="24"/>
                <w:u w:val="none"/>
                <w:em w:val="none"/>
              </w:rPr>
              <w:t>424725</w:t>
            </w:r>
          </w:p>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r>
          </w:p>
        </w:tc>
        <w:tc>
          <w:tcPr>
            <w:tcW w:w="141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UN</w:t>
            </w:r>
          </w:p>
        </w:tc>
        <w:tc>
          <w:tcPr>
            <w:tcW w:w="17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pPr>
            <w:r>
              <w:rPr>
                <w:rFonts w:eastAsia="Arial" w:cs="Arial" w:ascii="Calibri" w:hAnsi="Calibri"/>
                <w:color w:val="000000"/>
                <w:sz w:val="24"/>
                <w:szCs w:val="24"/>
              </w:rPr>
              <w:t>2</w:t>
            </w:r>
          </w:p>
        </w:tc>
        <w:tc>
          <w:tcPr>
            <w:tcW w:w="125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R$ 44,63</w:t>
            </w:r>
          </w:p>
        </w:tc>
        <w:tc>
          <w:tcPr>
            <w:tcW w:w="14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pPr>
            <w:r>
              <w:rPr>
                <w:rFonts w:eastAsia="Arial" w:cs="Arial" w:ascii="Calibri" w:hAnsi="Calibri"/>
                <w:color w:val="000000"/>
                <w:sz w:val="24"/>
                <w:szCs w:val="24"/>
              </w:rPr>
              <w:t>R$ 89,27</w:t>
            </w:r>
          </w:p>
        </w:tc>
      </w:tr>
      <w:tr>
        <w:trPr/>
        <w:tc>
          <w:tcPr>
            <w:tcW w:w="9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sz w:val="24"/>
                <w:szCs w:val="24"/>
              </w:rPr>
            </w:pPr>
            <w:r>
              <w:rPr>
                <w:rFonts w:ascii="Calibri" w:hAnsi="Calibri"/>
                <w:sz w:val="24"/>
                <w:szCs w:val="24"/>
              </w:rPr>
              <w:t>18</w:t>
            </w:r>
          </w:p>
        </w:tc>
        <w:tc>
          <w:tcPr>
            <w:tcW w:w="17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312" w:before="120" w:after="288"/>
              <w:jc w:val="center"/>
              <w:rPr>
                <w:rFonts w:ascii="Calibri" w:hAnsi="Calibri" w:eastAsia="Arial" w:cs="Arial"/>
                <w:sz w:val="24"/>
                <w:szCs w:val="24"/>
              </w:rPr>
            </w:pPr>
            <w:r>
              <w:rPr>
                <w:rFonts w:eastAsia="Arial" w:cs="Arial" w:ascii="Calibri" w:hAnsi="Calibri"/>
                <w:b w:val="false"/>
                <w:i w:val="false"/>
                <w:strike w:val="false"/>
                <w:dstrike w:val="false"/>
                <w:outline w:val="false"/>
                <w:shadow w:val="false"/>
                <w:sz w:val="24"/>
                <w:szCs w:val="24"/>
                <w:u w:val="none"/>
                <w:em w:val="none"/>
              </w:rPr>
              <w:t>Disjuntor bipolar de 16A</w:t>
            </w:r>
          </w:p>
        </w:tc>
        <w:tc>
          <w:tcPr>
            <w:tcW w:w="11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b w:val="false"/>
                <w:i w:val="false"/>
                <w:strike w:val="false"/>
                <w:dstrike w:val="false"/>
                <w:outline w:val="false"/>
                <w:shadow w:val="false"/>
                <w:color w:val="000000"/>
                <w:sz w:val="24"/>
                <w:szCs w:val="24"/>
                <w:u w:val="none"/>
                <w:em w:val="none"/>
              </w:rPr>
              <w:t>402099</w:t>
            </w:r>
          </w:p>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r>
          </w:p>
        </w:tc>
        <w:tc>
          <w:tcPr>
            <w:tcW w:w="141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UN</w:t>
            </w:r>
          </w:p>
        </w:tc>
        <w:tc>
          <w:tcPr>
            <w:tcW w:w="17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2</w:t>
            </w:r>
          </w:p>
        </w:tc>
        <w:tc>
          <w:tcPr>
            <w:tcW w:w="125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R$ 44,63</w:t>
            </w:r>
          </w:p>
        </w:tc>
        <w:tc>
          <w:tcPr>
            <w:tcW w:w="14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pPr>
            <w:r>
              <w:rPr>
                <w:rFonts w:eastAsia="Arial" w:cs="Arial" w:ascii="Calibri" w:hAnsi="Calibri"/>
                <w:color w:val="000000"/>
                <w:sz w:val="24"/>
                <w:szCs w:val="24"/>
              </w:rPr>
              <w:t>R$ 89,27</w:t>
            </w:r>
          </w:p>
        </w:tc>
      </w:tr>
      <w:tr>
        <w:trPr/>
        <w:tc>
          <w:tcPr>
            <w:tcW w:w="9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sz w:val="24"/>
                <w:szCs w:val="24"/>
              </w:rPr>
            </w:pPr>
            <w:r>
              <w:rPr>
                <w:rFonts w:ascii="Calibri" w:hAnsi="Calibri"/>
                <w:sz w:val="24"/>
                <w:szCs w:val="24"/>
              </w:rPr>
              <w:t>19</w:t>
            </w:r>
          </w:p>
        </w:tc>
        <w:tc>
          <w:tcPr>
            <w:tcW w:w="17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312" w:before="120" w:after="288"/>
              <w:jc w:val="center"/>
              <w:rPr>
                <w:rFonts w:ascii="Calibri" w:hAnsi="Calibri" w:eastAsia="Arial" w:cs="Arial"/>
                <w:sz w:val="24"/>
                <w:szCs w:val="24"/>
              </w:rPr>
            </w:pPr>
            <w:r>
              <w:rPr>
                <w:rFonts w:eastAsia="Arial" w:cs="Arial" w:ascii="Calibri" w:hAnsi="Calibri"/>
                <w:b w:val="false"/>
                <w:i w:val="false"/>
                <w:strike w:val="false"/>
                <w:dstrike w:val="false"/>
                <w:outline w:val="false"/>
                <w:shadow w:val="false"/>
                <w:sz w:val="24"/>
                <w:szCs w:val="24"/>
                <w:u w:val="none"/>
                <w:em w:val="none"/>
              </w:rPr>
              <w:t>Disjuntor monopolar de 20A</w:t>
            </w:r>
          </w:p>
        </w:tc>
        <w:tc>
          <w:tcPr>
            <w:tcW w:w="11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b w:val="false"/>
                <w:i w:val="false"/>
                <w:strike w:val="false"/>
                <w:dstrike w:val="false"/>
                <w:outline w:val="false"/>
                <w:shadow w:val="false"/>
                <w:color w:val="000000"/>
                <w:sz w:val="24"/>
                <w:szCs w:val="24"/>
                <w:u w:val="none"/>
                <w:em w:val="none"/>
              </w:rPr>
              <w:t>452693</w:t>
            </w:r>
          </w:p>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r>
          </w:p>
        </w:tc>
        <w:tc>
          <w:tcPr>
            <w:tcW w:w="141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UN</w:t>
            </w:r>
          </w:p>
        </w:tc>
        <w:tc>
          <w:tcPr>
            <w:tcW w:w="17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2</w:t>
            </w:r>
          </w:p>
        </w:tc>
        <w:tc>
          <w:tcPr>
            <w:tcW w:w="125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R$ 10,97</w:t>
            </w:r>
          </w:p>
        </w:tc>
        <w:tc>
          <w:tcPr>
            <w:tcW w:w="14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R$ 21,93</w:t>
            </w:r>
          </w:p>
        </w:tc>
      </w:tr>
      <w:tr>
        <w:trPr/>
        <w:tc>
          <w:tcPr>
            <w:tcW w:w="9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sz w:val="24"/>
                <w:szCs w:val="24"/>
              </w:rPr>
            </w:pPr>
            <w:r>
              <w:rPr>
                <w:rFonts w:ascii="Calibri" w:hAnsi="Calibri"/>
                <w:sz w:val="24"/>
                <w:szCs w:val="24"/>
              </w:rPr>
              <w:t>20</w:t>
            </w:r>
          </w:p>
        </w:tc>
        <w:tc>
          <w:tcPr>
            <w:tcW w:w="17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312" w:before="120" w:after="288"/>
              <w:jc w:val="center"/>
              <w:rPr>
                <w:rFonts w:ascii="Calibri" w:hAnsi="Calibri" w:eastAsia="Arial" w:cs="Arial"/>
                <w:sz w:val="24"/>
                <w:szCs w:val="24"/>
              </w:rPr>
            </w:pPr>
            <w:r>
              <w:rPr>
                <w:rFonts w:eastAsia="Arial" w:cs="Arial" w:ascii="Calibri" w:hAnsi="Calibri"/>
                <w:b w:val="false"/>
                <w:i w:val="false"/>
                <w:strike w:val="false"/>
                <w:dstrike w:val="false"/>
                <w:outline w:val="false"/>
                <w:shadow w:val="false"/>
                <w:sz w:val="24"/>
                <w:szCs w:val="24"/>
                <w:u w:val="none"/>
                <w:em w:val="none"/>
              </w:rPr>
              <w:t>Spots balizador de embutir para chão e jardim IP68</w:t>
            </w:r>
          </w:p>
        </w:tc>
        <w:tc>
          <w:tcPr>
            <w:tcW w:w="11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601421</w:t>
            </w:r>
          </w:p>
        </w:tc>
        <w:tc>
          <w:tcPr>
            <w:tcW w:w="141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UN</w:t>
            </w:r>
          </w:p>
        </w:tc>
        <w:tc>
          <w:tcPr>
            <w:tcW w:w="17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pPr>
            <w:r>
              <w:rPr>
                <w:rFonts w:eastAsia="Arial" w:cs="Arial" w:ascii="Calibri" w:hAnsi="Calibri"/>
                <w:color w:val="000000"/>
                <w:sz w:val="24"/>
                <w:szCs w:val="24"/>
              </w:rPr>
              <w:t>6</w:t>
            </w:r>
          </w:p>
        </w:tc>
        <w:tc>
          <w:tcPr>
            <w:tcW w:w="125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R$ 211,30</w:t>
            </w:r>
          </w:p>
        </w:tc>
        <w:tc>
          <w:tcPr>
            <w:tcW w:w="14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pPr>
            <w:r>
              <w:rPr>
                <w:rFonts w:eastAsia="Arial" w:cs="Arial" w:ascii="Calibri" w:hAnsi="Calibri"/>
                <w:color w:val="000000"/>
                <w:sz w:val="24"/>
                <w:szCs w:val="24"/>
              </w:rPr>
              <w:t>R$1.267,80</w:t>
            </w:r>
          </w:p>
        </w:tc>
      </w:tr>
      <w:tr>
        <w:trPr/>
        <w:tc>
          <w:tcPr>
            <w:tcW w:w="9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sz w:val="24"/>
                <w:szCs w:val="24"/>
              </w:rPr>
            </w:pPr>
            <w:r>
              <w:rPr>
                <w:rFonts w:ascii="Calibri" w:hAnsi="Calibri"/>
                <w:sz w:val="24"/>
                <w:szCs w:val="24"/>
              </w:rPr>
              <w:t>21</w:t>
            </w:r>
          </w:p>
        </w:tc>
        <w:tc>
          <w:tcPr>
            <w:tcW w:w="17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312" w:before="120" w:after="288"/>
              <w:jc w:val="center"/>
              <w:rPr>
                <w:rFonts w:ascii="Calibri" w:hAnsi="Calibri" w:eastAsia="Arial" w:cs="Arial"/>
                <w:sz w:val="24"/>
                <w:szCs w:val="24"/>
              </w:rPr>
            </w:pPr>
            <w:r>
              <w:rPr>
                <w:rFonts w:eastAsia="Arial" w:cs="Arial" w:ascii="Calibri" w:hAnsi="Calibri"/>
                <w:b w:val="false"/>
                <w:i w:val="false"/>
                <w:strike w:val="false"/>
                <w:dstrike w:val="false"/>
                <w:outline w:val="false"/>
                <w:shadow w:val="false"/>
                <w:sz w:val="24"/>
                <w:szCs w:val="24"/>
                <w:u w:val="none"/>
                <w:em w:val="none"/>
              </w:rPr>
              <w:t>Lâmpada led RGB multicolor 18W</w:t>
            </w:r>
          </w:p>
        </w:tc>
        <w:tc>
          <w:tcPr>
            <w:tcW w:w="11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b w:val="false"/>
                <w:i w:val="false"/>
                <w:strike w:val="false"/>
                <w:dstrike w:val="false"/>
                <w:outline w:val="false"/>
                <w:shadow w:val="false"/>
                <w:color w:val="000000"/>
                <w:sz w:val="24"/>
                <w:szCs w:val="24"/>
                <w:u w:val="none"/>
                <w:em w:val="none"/>
              </w:rPr>
              <w:t>612323</w:t>
            </w:r>
          </w:p>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r>
          </w:p>
        </w:tc>
        <w:tc>
          <w:tcPr>
            <w:tcW w:w="141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UN</w:t>
            </w:r>
          </w:p>
        </w:tc>
        <w:tc>
          <w:tcPr>
            <w:tcW w:w="17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pPr>
            <w:r>
              <w:rPr>
                <w:rFonts w:eastAsia="Arial" w:cs="Arial" w:ascii="Calibri" w:hAnsi="Calibri"/>
                <w:color w:val="000000"/>
                <w:sz w:val="24"/>
                <w:szCs w:val="24"/>
              </w:rPr>
              <w:t>6</w:t>
            </w:r>
          </w:p>
        </w:tc>
        <w:tc>
          <w:tcPr>
            <w:tcW w:w="125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pPr>
            <w:r>
              <w:rPr>
                <w:rFonts w:eastAsia="Arial" w:cs="Arial" w:ascii="Calibri" w:hAnsi="Calibri"/>
                <w:color w:val="000000"/>
                <w:sz w:val="24"/>
                <w:szCs w:val="24"/>
              </w:rPr>
              <w:t>R$ 217,97</w:t>
            </w:r>
          </w:p>
        </w:tc>
        <w:tc>
          <w:tcPr>
            <w:tcW w:w="14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pPr>
            <w:r>
              <w:rPr>
                <w:rFonts w:eastAsia="Arial" w:cs="Arial" w:ascii="Calibri" w:hAnsi="Calibri"/>
                <w:color w:val="000000"/>
                <w:sz w:val="24"/>
                <w:szCs w:val="24"/>
              </w:rPr>
              <w:t>R$ 1.307,80</w:t>
            </w:r>
          </w:p>
        </w:tc>
      </w:tr>
      <w:tr>
        <w:trPr/>
        <w:tc>
          <w:tcPr>
            <w:tcW w:w="9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sz w:val="24"/>
                <w:szCs w:val="24"/>
              </w:rPr>
            </w:pPr>
            <w:r>
              <w:rPr>
                <w:rFonts w:ascii="Calibri" w:hAnsi="Calibri"/>
                <w:sz w:val="24"/>
                <w:szCs w:val="24"/>
              </w:rPr>
              <w:t>22</w:t>
            </w:r>
          </w:p>
        </w:tc>
        <w:tc>
          <w:tcPr>
            <w:tcW w:w="17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312" w:before="120" w:after="288"/>
              <w:jc w:val="center"/>
              <w:rPr>
                <w:rFonts w:ascii="Calibri" w:hAnsi="Calibri" w:eastAsia="Arial" w:cs="Arial"/>
                <w:sz w:val="24"/>
                <w:szCs w:val="24"/>
              </w:rPr>
            </w:pPr>
            <w:r>
              <w:rPr>
                <w:rFonts w:eastAsia="Arial" w:cs="Arial" w:ascii="Calibri" w:hAnsi="Calibri"/>
                <w:b w:val="false"/>
                <w:i w:val="false"/>
                <w:strike w:val="false"/>
                <w:dstrike w:val="false"/>
                <w:outline w:val="false"/>
                <w:shadow w:val="false"/>
                <w:sz w:val="24"/>
                <w:szCs w:val="24"/>
                <w:u w:val="none"/>
                <w:em w:val="none"/>
              </w:rPr>
              <w:t>Lâmpada LED 15W E-27</w:t>
            </w:r>
          </w:p>
        </w:tc>
        <w:tc>
          <w:tcPr>
            <w:tcW w:w="11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b w:val="false"/>
                <w:i w:val="false"/>
                <w:strike w:val="false"/>
                <w:dstrike w:val="false"/>
                <w:outline w:val="false"/>
                <w:shadow w:val="false"/>
                <w:color w:val="000000"/>
                <w:sz w:val="24"/>
                <w:szCs w:val="24"/>
                <w:u w:val="none"/>
                <w:em w:val="none"/>
              </w:rPr>
              <w:t>390990</w:t>
            </w:r>
          </w:p>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r>
          </w:p>
        </w:tc>
        <w:tc>
          <w:tcPr>
            <w:tcW w:w="141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UN</w:t>
            </w:r>
          </w:p>
        </w:tc>
        <w:tc>
          <w:tcPr>
            <w:tcW w:w="17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24</w:t>
            </w:r>
          </w:p>
        </w:tc>
        <w:tc>
          <w:tcPr>
            <w:tcW w:w="125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R$ 11,15</w:t>
            </w:r>
          </w:p>
        </w:tc>
        <w:tc>
          <w:tcPr>
            <w:tcW w:w="14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R$ 267,60</w:t>
            </w:r>
          </w:p>
        </w:tc>
      </w:tr>
      <w:tr>
        <w:trPr/>
        <w:tc>
          <w:tcPr>
            <w:tcW w:w="9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sz w:val="24"/>
                <w:szCs w:val="24"/>
              </w:rPr>
            </w:pPr>
            <w:r>
              <w:rPr>
                <w:rFonts w:ascii="Calibri" w:hAnsi="Calibri"/>
                <w:sz w:val="24"/>
                <w:szCs w:val="24"/>
              </w:rPr>
              <w:t>23</w:t>
            </w:r>
          </w:p>
        </w:tc>
        <w:tc>
          <w:tcPr>
            <w:tcW w:w="17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312" w:before="120" w:after="288"/>
              <w:jc w:val="center"/>
              <w:rPr>
                <w:rFonts w:ascii="Calibri" w:hAnsi="Calibri" w:eastAsia="Arial" w:cs="Arial"/>
                <w:sz w:val="24"/>
                <w:szCs w:val="24"/>
              </w:rPr>
            </w:pPr>
            <w:r>
              <w:rPr>
                <w:rFonts w:eastAsia="Arial" w:cs="Arial" w:ascii="Calibri" w:hAnsi="Calibri"/>
                <w:b w:val="false"/>
                <w:i w:val="false"/>
                <w:strike w:val="false"/>
                <w:dstrike w:val="false"/>
                <w:outline w:val="false"/>
                <w:shadow w:val="false"/>
                <w:sz w:val="24"/>
                <w:szCs w:val="24"/>
                <w:u w:val="none"/>
                <w:em w:val="none"/>
              </w:rPr>
              <w:t>Fitas isolante 3M</w:t>
            </w:r>
          </w:p>
        </w:tc>
        <w:tc>
          <w:tcPr>
            <w:tcW w:w="11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b w:val="false"/>
                <w:i w:val="false"/>
                <w:strike w:val="false"/>
                <w:dstrike w:val="false"/>
                <w:outline w:val="false"/>
                <w:shadow w:val="false"/>
                <w:color w:val="000000"/>
                <w:sz w:val="24"/>
                <w:szCs w:val="24"/>
                <w:u w:val="none"/>
                <w:em w:val="none"/>
              </w:rPr>
              <w:t>464018</w:t>
            </w:r>
          </w:p>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r>
          </w:p>
        </w:tc>
        <w:tc>
          <w:tcPr>
            <w:tcW w:w="141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UN</w:t>
            </w:r>
          </w:p>
        </w:tc>
        <w:tc>
          <w:tcPr>
            <w:tcW w:w="17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20</w:t>
            </w:r>
          </w:p>
        </w:tc>
        <w:tc>
          <w:tcPr>
            <w:tcW w:w="125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R$ 34,63</w:t>
            </w:r>
          </w:p>
        </w:tc>
        <w:tc>
          <w:tcPr>
            <w:tcW w:w="14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R$ 692,67</w:t>
            </w:r>
          </w:p>
        </w:tc>
      </w:tr>
      <w:tr>
        <w:trPr/>
        <w:tc>
          <w:tcPr>
            <w:tcW w:w="9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sz w:val="24"/>
                <w:szCs w:val="24"/>
              </w:rPr>
            </w:pPr>
            <w:r>
              <w:rPr>
                <w:rFonts w:ascii="Calibri" w:hAnsi="Calibri"/>
                <w:sz w:val="24"/>
                <w:szCs w:val="24"/>
              </w:rPr>
              <w:t>24</w:t>
            </w:r>
          </w:p>
        </w:tc>
        <w:tc>
          <w:tcPr>
            <w:tcW w:w="17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312" w:before="120" w:after="288"/>
              <w:jc w:val="center"/>
              <w:rPr>
                <w:rFonts w:ascii="Calibri" w:hAnsi="Calibri" w:eastAsia="Arial" w:cs="Arial"/>
                <w:sz w:val="24"/>
                <w:szCs w:val="24"/>
              </w:rPr>
            </w:pPr>
            <w:r>
              <w:rPr>
                <w:rFonts w:eastAsia="Arial" w:cs="Arial" w:ascii="Calibri" w:hAnsi="Calibri"/>
                <w:b w:val="false"/>
                <w:i w:val="false"/>
                <w:strike w:val="false"/>
                <w:dstrike w:val="false"/>
                <w:outline w:val="false"/>
                <w:shadow w:val="false"/>
                <w:sz w:val="24"/>
                <w:szCs w:val="24"/>
                <w:u w:val="none"/>
                <w:em w:val="none"/>
              </w:rPr>
              <w:t>Óleo desengripante aerosol WD40</w:t>
            </w:r>
          </w:p>
        </w:tc>
        <w:tc>
          <w:tcPr>
            <w:tcW w:w="11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b w:val="false"/>
                <w:i w:val="false"/>
                <w:strike w:val="false"/>
                <w:dstrike w:val="false"/>
                <w:outline w:val="false"/>
                <w:shadow w:val="false"/>
                <w:color w:val="000000"/>
                <w:sz w:val="24"/>
                <w:szCs w:val="24"/>
                <w:u w:val="none"/>
                <w:em w:val="none"/>
              </w:rPr>
              <w:t>349296</w:t>
            </w:r>
          </w:p>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r>
          </w:p>
        </w:tc>
        <w:tc>
          <w:tcPr>
            <w:tcW w:w="141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UN</w:t>
            </w:r>
          </w:p>
        </w:tc>
        <w:tc>
          <w:tcPr>
            <w:tcW w:w="17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pPr>
            <w:r>
              <w:rPr>
                <w:rFonts w:eastAsia="Arial" w:cs="Arial" w:ascii="Calibri" w:hAnsi="Calibri"/>
                <w:color w:val="000000"/>
                <w:sz w:val="24"/>
                <w:szCs w:val="24"/>
              </w:rPr>
              <w:t>5</w:t>
            </w:r>
          </w:p>
        </w:tc>
        <w:tc>
          <w:tcPr>
            <w:tcW w:w="125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R$ 44,66</w:t>
            </w:r>
          </w:p>
        </w:tc>
        <w:tc>
          <w:tcPr>
            <w:tcW w:w="14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pPr>
            <w:r>
              <w:rPr>
                <w:rFonts w:eastAsia="Arial" w:cs="Arial" w:ascii="Calibri" w:hAnsi="Calibri"/>
                <w:color w:val="000000"/>
                <w:sz w:val="24"/>
                <w:szCs w:val="24"/>
              </w:rPr>
              <w:t>R$ 223,30</w:t>
            </w:r>
          </w:p>
        </w:tc>
      </w:tr>
      <w:tr>
        <w:trPr/>
        <w:tc>
          <w:tcPr>
            <w:tcW w:w="9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sz w:val="24"/>
                <w:szCs w:val="24"/>
              </w:rPr>
            </w:pPr>
            <w:r>
              <w:rPr>
                <w:rFonts w:ascii="Calibri" w:hAnsi="Calibri"/>
                <w:sz w:val="24"/>
                <w:szCs w:val="24"/>
              </w:rPr>
              <w:t>25</w:t>
            </w:r>
          </w:p>
        </w:tc>
        <w:tc>
          <w:tcPr>
            <w:tcW w:w="17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312" w:before="120" w:after="288"/>
              <w:jc w:val="center"/>
              <w:rPr>
                <w:rFonts w:ascii="Calibri" w:hAnsi="Calibri" w:eastAsia="Arial" w:cs="Arial"/>
                <w:sz w:val="24"/>
                <w:szCs w:val="24"/>
              </w:rPr>
            </w:pPr>
            <w:r>
              <w:rPr>
                <w:rFonts w:eastAsia="Arial" w:cs="Arial" w:ascii="Calibri" w:hAnsi="Calibri"/>
                <w:b w:val="false"/>
                <w:i w:val="false"/>
                <w:strike w:val="false"/>
                <w:dstrike w:val="false"/>
                <w:outline w:val="false"/>
                <w:shadow w:val="false"/>
                <w:sz w:val="24"/>
                <w:szCs w:val="24"/>
                <w:u w:val="none"/>
                <w:em w:val="none"/>
              </w:rPr>
              <w:t>Rolo de 100m de fita NEON flexível área externa IP68</w:t>
            </w:r>
          </w:p>
        </w:tc>
        <w:tc>
          <w:tcPr>
            <w:tcW w:w="11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426963</w:t>
            </w:r>
          </w:p>
        </w:tc>
        <w:tc>
          <w:tcPr>
            <w:tcW w:w="141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ROLO</w:t>
            </w:r>
          </w:p>
        </w:tc>
        <w:tc>
          <w:tcPr>
            <w:tcW w:w="17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pPr>
            <w:r>
              <w:rPr>
                <w:rFonts w:eastAsia="Arial" w:cs="Arial" w:ascii="Calibri" w:hAnsi="Calibri"/>
                <w:color w:val="000000"/>
                <w:sz w:val="24"/>
                <w:szCs w:val="24"/>
              </w:rPr>
              <w:t>2</w:t>
            </w:r>
          </w:p>
        </w:tc>
        <w:tc>
          <w:tcPr>
            <w:tcW w:w="125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R$ 1.443,33</w:t>
            </w:r>
          </w:p>
        </w:tc>
        <w:tc>
          <w:tcPr>
            <w:tcW w:w="14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pPr>
            <w:r>
              <w:rPr>
                <w:rFonts w:eastAsia="Arial" w:cs="Arial" w:ascii="Calibri" w:hAnsi="Calibri"/>
                <w:color w:val="000000"/>
                <w:sz w:val="24"/>
                <w:szCs w:val="24"/>
              </w:rPr>
              <w:t>R$ 2.886,67</w:t>
            </w:r>
          </w:p>
        </w:tc>
      </w:tr>
      <w:tr>
        <w:trPr/>
        <w:tc>
          <w:tcPr>
            <w:tcW w:w="9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sz w:val="24"/>
                <w:szCs w:val="24"/>
              </w:rPr>
            </w:pPr>
            <w:r>
              <w:rPr>
                <w:rFonts w:ascii="Calibri" w:hAnsi="Calibri"/>
                <w:sz w:val="24"/>
                <w:szCs w:val="24"/>
              </w:rPr>
              <w:t>26</w:t>
            </w:r>
          </w:p>
        </w:tc>
        <w:tc>
          <w:tcPr>
            <w:tcW w:w="17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312" w:before="120" w:after="288"/>
              <w:jc w:val="center"/>
              <w:rPr>
                <w:rFonts w:ascii="Calibri" w:hAnsi="Calibri" w:eastAsia="Arial" w:cs="Arial"/>
                <w:sz w:val="24"/>
                <w:szCs w:val="24"/>
              </w:rPr>
            </w:pPr>
            <w:r>
              <w:rPr>
                <w:rFonts w:eastAsia="Arial" w:cs="Arial" w:ascii="Calibri" w:hAnsi="Calibri"/>
                <w:b w:val="false"/>
                <w:i w:val="false"/>
                <w:strike w:val="false"/>
                <w:dstrike w:val="false"/>
                <w:outline w:val="false"/>
                <w:shadow w:val="false"/>
                <w:sz w:val="24"/>
                <w:szCs w:val="24"/>
                <w:u w:val="none"/>
                <w:em w:val="none"/>
              </w:rPr>
              <w:t>Quadro de distribuição chapa tipo 24C para 8 circuitos trifásicos</w:t>
            </w:r>
          </w:p>
        </w:tc>
        <w:tc>
          <w:tcPr>
            <w:tcW w:w="11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250737</w:t>
            </w:r>
          </w:p>
        </w:tc>
        <w:tc>
          <w:tcPr>
            <w:tcW w:w="141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UN</w:t>
            </w:r>
          </w:p>
        </w:tc>
        <w:tc>
          <w:tcPr>
            <w:tcW w:w="17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1</w:t>
            </w:r>
          </w:p>
        </w:tc>
        <w:tc>
          <w:tcPr>
            <w:tcW w:w="125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R$ 521,32</w:t>
            </w:r>
          </w:p>
        </w:tc>
        <w:tc>
          <w:tcPr>
            <w:tcW w:w="14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312" w:before="120" w:after="288"/>
              <w:jc w:val="center"/>
              <w:rPr>
                <w:rFonts w:ascii="Calibri" w:hAnsi="Calibri" w:eastAsia="Arial" w:cs="Arial"/>
                <w:color w:val="000000"/>
                <w:sz w:val="24"/>
                <w:szCs w:val="24"/>
              </w:rPr>
            </w:pPr>
            <w:r>
              <w:rPr>
                <w:rFonts w:eastAsia="Arial" w:cs="Arial" w:ascii="Calibri" w:hAnsi="Calibri"/>
                <w:color w:val="000000"/>
                <w:sz w:val="24"/>
                <w:szCs w:val="24"/>
              </w:rPr>
              <w:t>R$ 521,32</w:t>
            </w:r>
          </w:p>
        </w:tc>
      </w:tr>
    </w:tbl>
    <w:p>
      <w:pPr>
        <w:pStyle w:val="Nivel2"/>
        <w:widowControl/>
        <w:numPr>
          <w:ilvl w:val="1"/>
          <w:numId w:val="1"/>
        </w:numPr>
        <w:bidi w:val="0"/>
        <w:spacing w:lineRule="auto" w:line="276" w:before="120" w:after="120"/>
        <w:ind w:left="0" w:right="0" w:hanging="0"/>
        <w:jc w:val="both"/>
        <w:rPr/>
      </w:pPr>
      <w:r>
        <w:rPr>
          <w:rFonts w:eastAsia="Arial" w:cs="Arial"/>
          <w:color w:val="000000"/>
          <w:sz w:val="24"/>
          <w:szCs w:val="24"/>
          <w:lang w:eastAsia="pt-BR"/>
        </w:rPr>
        <w:t xml:space="preserve"> </w:t>
      </w:r>
      <w:r>
        <w:rPr>
          <w:rFonts w:eastAsia="Arial" w:cs="Arial"/>
          <w:color w:val="000000"/>
          <w:sz w:val="24"/>
          <w:szCs w:val="24"/>
          <w:lang w:eastAsia="pt-BR"/>
        </w:rPr>
        <w:t>Caso a descrição que conste no CATMAT mencionado não possua exatamente a mesma descrição do item solicitado, deve-se considerar, para a entrega do material, a descrição no campo “Especificação” da Tabela acima.</w:t>
      </w:r>
    </w:p>
    <w:p>
      <w:pPr>
        <w:pStyle w:val="Nivel2"/>
        <w:widowControl/>
        <w:numPr>
          <w:ilvl w:val="1"/>
          <w:numId w:val="1"/>
        </w:numPr>
        <w:bidi w:val="0"/>
        <w:spacing w:lineRule="auto" w:line="276" w:before="120" w:after="120"/>
        <w:ind w:left="0" w:right="0" w:hanging="0"/>
        <w:jc w:val="both"/>
        <w:rPr>
          <w:rFonts w:ascii="Calibri" w:hAnsi="Calibri" w:eastAsia="Arial" w:cs="Arial"/>
          <w:color w:val="000000"/>
          <w:sz w:val="24"/>
          <w:szCs w:val="24"/>
          <w:lang w:eastAsia="pt-BR"/>
        </w:rPr>
      </w:pPr>
      <w:r>
        <w:rPr>
          <w:rFonts w:eastAsia="Arial" w:cs="Arial"/>
          <w:color w:val="000000"/>
          <w:sz w:val="24"/>
          <w:szCs w:val="24"/>
          <w:lang w:eastAsia="pt-BR"/>
        </w:rPr>
        <w:t>Os bens desta contratação são caracterizados como comuns, conforme justificativa constante no Estudo Técnico Preliminar.</w:t>
      </w:r>
    </w:p>
    <w:p>
      <w:pPr>
        <w:pStyle w:val="Nivel2"/>
        <w:widowControl/>
        <w:numPr>
          <w:ilvl w:val="1"/>
          <w:numId w:val="1"/>
        </w:numPr>
        <w:bidi w:val="0"/>
        <w:spacing w:lineRule="auto" w:line="276" w:before="120" w:after="120"/>
        <w:ind w:left="0" w:right="0" w:hanging="0"/>
        <w:jc w:val="both"/>
        <w:rPr>
          <w:rFonts w:ascii="Calibri" w:hAnsi="Calibri" w:eastAsia="Arial" w:cs="Arial"/>
          <w:color w:val="000000"/>
          <w:sz w:val="24"/>
          <w:szCs w:val="24"/>
          <w:lang w:eastAsia="pt-BR"/>
        </w:rPr>
      </w:pPr>
      <w:r>
        <w:rPr>
          <w:rFonts w:eastAsia="Arial" w:cs="Arial"/>
          <w:color w:val="000000"/>
          <w:sz w:val="24"/>
          <w:szCs w:val="24"/>
          <w:lang w:eastAsia="pt-BR"/>
        </w:rPr>
        <w:t>O objeto desta contratação não se enquadra como sendo de bem de luxo, conforme Decreto nº 10.818, de 27 de setembro de 2021.</w:t>
      </w:r>
    </w:p>
    <w:p>
      <w:pPr>
        <w:pStyle w:val="Nivel2"/>
        <w:numPr>
          <w:ilvl w:val="1"/>
          <w:numId w:val="1"/>
        </w:numPr>
        <w:ind w:left="0" w:right="0" w:hanging="0"/>
        <w:rPr>
          <w:rFonts w:ascii="Calibri" w:hAnsi="Calibri"/>
          <w:sz w:val="24"/>
          <w:szCs w:val="24"/>
        </w:rPr>
      </w:pPr>
      <w:r>
        <w:rPr>
          <w:sz w:val="24"/>
          <w:szCs w:val="24"/>
        </w:rPr>
        <w:t xml:space="preserve"> </w:t>
      </w:r>
      <w:r>
        <w:rPr>
          <w:sz w:val="24"/>
          <w:szCs w:val="24"/>
        </w:rPr>
        <w:t>O prazo de vigência da contratação é de 4 (quatro) meses contados da emissão da no, na forma do artigo 105 da Lei n</w:t>
      </w:r>
      <w:r>
        <w:rPr>
          <w:sz w:val="24"/>
          <w:szCs w:val="24"/>
          <w:vertAlign w:val="superscript"/>
        </w:rPr>
        <w:t>o</w:t>
      </w:r>
      <w:r>
        <w:rPr>
          <w:position w:val="0"/>
          <w:sz w:val="24"/>
          <w:sz w:val="24"/>
          <w:szCs w:val="24"/>
          <w:vertAlign w:val="baseline"/>
        </w:rPr>
        <w:t xml:space="preserve"> 14.133, de 2021.</w:t>
      </w:r>
    </w:p>
    <w:p>
      <w:pPr>
        <w:pStyle w:val="Nivel2"/>
        <w:numPr>
          <w:ilvl w:val="1"/>
          <w:numId w:val="1"/>
        </w:numPr>
        <w:ind w:left="0" w:right="0" w:hanging="0"/>
        <w:rPr>
          <w:rFonts w:ascii="Calibri" w:hAnsi="Calibri"/>
          <w:sz w:val="24"/>
          <w:szCs w:val="24"/>
        </w:rPr>
      </w:pPr>
      <w:r>
        <w:rPr>
          <w:sz w:val="24"/>
          <w:szCs w:val="24"/>
        </w:rPr>
        <w:t xml:space="preserve"> </w:t>
      </w:r>
      <w:r>
        <w:rPr>
          <w:sz w:val="24"/>
          <w:szCs w:val="24"/>
        </w:rPr>
        <w:t>O Estudo Técnico Preliminar oferece maior detalhamento das regras que serão aplicadas em relação à vigência da contratação.</w:t>
      </w:r>
    </w:p>
    <w:p>
      <w:pPr>
        <w:pStyle w:val="Nivel01"/>
        <w:keepNext w:val="true"/>
        <w:keepLines/>
        <w:widowControl/>
        <w:numPr>
          <w:ilvl w:val="0"/>
          <w:numId w:val="1"/>
        </w:numPr>
        <w:tabs>
          <w:tab w:val="left" w:pos="567" w:leader="none"/>
        </w:tabs>
        <w:bidi w:val="0"/>
        <w:spacing w:lineRule="auto" w:line="276" w:before="240" w:after="120"/>
        <w:ind w:left="0" w:hanging="0"/>
        <w:jc w:val="both"/>
        <w:rPr>
          <w:rFonts w:ascii="Calibri" w:hAnsi="Calibri" w:eastAsia="ＭＳ ゴシック" w:cs="Arial"/>
          <w:b/>
          <w:b/>
          <w:bCs/>
          <w:color w:val="auto"/>
          <w:lang w:eastAsia="pt-BR"/>
        </w:rPr>
      </w:pPr>
      <w:r>
        <w:rPr>
          <w:rFonts w:eastAsia="ＭＳ ゴシック" w:cs="Arial"/>
          <w:b/>
          <w:bCs/>
          <w:color w:val="auto"/>
          <w:lang w:eastAsia="pt-BR"/>
        </w:rPr>
        <w:t>FUNDAMENTAÇÃO E DESCRIÇÃO DA NECESSIDADE DA CONTRATAÇÃO</w:t>
      </w:r>
    </w:p>
    <w:p>
      <w:pPr>
        <w:pStyle w:val="Nivel2"/>
        <w:numPr>
          <w:ilvl w:val="1"/>
          <w:numId w:val="1"/>
        </w:numPr>
        <w:ind w:left="0" w:right="0" w:hanging="0"/>
        <w:rPr>
          <w:rFonts w:ascii="Calibri" w:hAnsi="Calibri"/>
          <w:sz w:val="24"/>
          <w:szCs w:val="24"/>
        </w:rPr>
      </w:pPr>
      <w:r>
        <w:rPr>
          <w:sz w:val="24"/>
          <w:szCs w:val="24"/>
        </w:rPr>
        <w:t xml:space="preserve"> </w:t>
      </w:r>
      <w:r>
        <w:rPr>
          <w:b w:val="false"/>
          <w:bCs w:val="false"/>
          <w:sz w:val="24"/>
          <w:szCs w:val="24"/>
        </w:rPr>
        <w:t>A Fundamentação da Contratação e de seus quantitativos encontra-se pormenorizada em Tópico específico dos Estudos Técnicos Preliminares, apêndice deste Termo de Referência.</w:t>
      </w:r>
    </w:p>
    <w:p>
      <w:pPr>
        <w:pStyle w:val="Nivel2"/>
        <w:numPr>
          <w:ilvl w:val="1"/>
          <w:numId w:val="1"/>
        </w:numPr>
        <w:ind w:left="0" w:right="0" w:hanging="0"/>
        <w:rPr>
          <w:rFonts w:ascii="Calibri" w:hAnsi="Calibri"/>
          <w:sz w:val="24"/>
          <w:szCs w:val="24"/>
        </w:rPr>
      </w:pPr>
      <w:r>
        <w:rPr>
          <w:b w:val="false"/>
          <w:bCs w:val="false"/>
          <w:sz w:val="24"/>
          <w:szCs w:val="24"/>
        </w:rPr>
        <w:t>Conforme estabelecido no Parágrafo Único do Art. 1</w:t>
      </w:r>
      <w:r>
        <w:rPr>
          <w:b w:val="false"/>
          <w:bCs w:val="false"/>
          <w:sz w:val="24"/>
          <w:szCs w:val="24"/>
          <w:vertAlign w:val="superscript"/>
        </w:rPr>
        <w:t>o</w:t>
      </w:r>
      <w:r>
        <w:rPr>
          <w:b w:val="false"/>
          <w:bCs w:val="false"/>
          <w:position w:val="0"/>
          <w:sz w:val="24"/>
          <w:sz w:val="24"/>
          <w:szCs w:val="24"/>
          <w:vertAlign w:val="baseline"/>
        </w:rPr>
        <w:t xml:space="preserve"> do Decreto n</w:t>
      </w:r>
      <w:r>
        <w:rPr>
          <w:b w:val="false"/>
          <w:bCs w:val="false"/>
          <w:sz w:val="24"/>
          <w:szCs w:val="24"/>
          <w:vertAlign w:val="superscript"/>
        </w:rPr>
        <w:t>o</w:t>
      </w:r>
      <w:r>
        <w:rPr>
          <w:b w:val="false"/>
          <w:bCs w:val="false"/>
          <w:position w:val="0"/>
          <w:sz w:val="24"/>
          <w:sz w:val="24"/>
          <w:szCs w:val="24"/>
          <w:vertAlign w:val="baseline"/>
        </w:rPr>
        <w:t xml:space="preserve"> 10.947, de 25 de janeiro de 2022, o Plano Anual de Contratações é dispensável pelo Comando da Marinha. Apesar disso, a contratação está em consonância com o disposto no Planejamento Estratégico Organizacional da Base Naval do Rio de Janeiro.</w:t>
      </w:r>
    </w:p>
    <w:p>
      <w:pPr>
        <w:pStyle w:val="Nivel01"/>
        <w:numPr>
          <w:ilvl w:val="0"/>
          <w:numId w:val="1"/>
        </w:numPr>
        <w:rPr/>
      </w:pPr>
      <w:r>
        <w:rPr/>
        <w:t>DESCRIÇÃO DA SOLUÇÃO COMO UM TODO CONSIDERADO O CICLO DE VIDA DO OBJETO E ESPECIFICAÇÃO DO PRODUTO</w:t>
      </w:r>
    </w:p>
    <w:p>
      <w:pPr>
        <w:pStyle w:val="Nivel2"/>
        <w:numPr>
          <w:ilvl w:val="1"/>
          <w:numId w:val="1"/>
        </w:numPr>
        <w:ind w:left="0" w:right="0" w:hanging="0"/>
        <w:rPr>
          <w:rFonts w:ascii="Calibri" w:hAnsi="Calibri"/>
          <w:sz w:val="24"/>
          <w:szCs w:val="24"/>
        </w:rPr>
      </w:pPr>
      <w:r>
        <w:rPr>
          <w:sz w:val="24"/>
          <w:szCs w:val="24"/>
        </w:rPr>
        <w:t xml:space="preserve"> </w:t>
      </w:r>
      <w:r>
        <w:rPr>
          <w:rFonts w:eastAsia="Arial" w:cs="Arial"/>
          <w:b w:val="false"/>
          <w:bCs w:val="false"/>
          <w:i w:val="false"/>
          <w:iCs w:val="false"/>
          <w:color w:val="000000"/>
          <w:sz w:val="24"/>
          <w:szCs w:val="24"/>
          <w:lang w:eastAsia="pt-BR"/>
        </w:rPr>
        <w:t>A descrição da solução como um todo encontra-se pormenorizada em tópico específico dos Estudos Técnicos Preliminares, apêndice deste Termo de Referência.</w:t>
      </w:r>
    </w:p>
    <w:p>
      <w:pPr>
        <w:pStyle w:val="Nivel01"/>
        <w:numPr>
          <w:ilvl w:val="0"/>
          <w:numId w:val="1"/>
        </w:numPr>
        <w:rPr/>
      </w:pPr>
      <w:r>
        <w:rPr/>
        <w:t>REQUISITOS DA CONTRATAÇÃO</w:t>
      </w:r>
    </w:p>
    <w:p>
      <w:pPr>
        <w:pStyle w:val="Nvel1SemNumPreto"/>
        <w:numPr>
          <w:ilvl w:val="0"/>
          <w:numId w:val="0"/>
        </w:numPr>
        <w:ind w:left="720" w:hanging="0"/>
        <w:rPr>
          <w:rFonts w:ascii="Calibri" w:hAnsi="Calibri"/>
          <w:sz w:val="24"/>
          <w:szCs w:val="24"/>
        </w:rPr>
      </w:pPr>
      <w:r>
        <w:rPr>
          <w:sz w:val="24"/>
          <w:szCs w:val="24"/>
        </w:rPr>
        <w:t>Sustentabilidade:</w:t>
      </w:r>
    </w:p>
    <w:p>
      <w:pPr>
        <w:pStyle w:val="Nivel2"/>
        <w:numPr>
          <w:ilvl w:val="1"/>
          <w:numId w:val="1"/>
        </w:numPr>
        <w:ind w:left="0" w:right="0" w:hanging="0"/>
        <w:rPr>
          <w:rFonts w:ascii="Calibri" w:hAnsi="Calibri"/>
        </w:rPr>
      </w:pPr>
      <w:r>
        <w:rPr>
          <w:sz w:val="24"/>
          <w:szCs w:val="24"/>
        </w:rPr>
        <w:t xml:space="preserve"> </w:t>
      </w:r>
      <w:r>
        <w:rPr>
          <w:rFonts w:ascii="calibri;sans-serif" w:hAnsi="calibri;sans-serif"/>
        </w:rPr>
        <w:t>Além dos critérios de sustentabilidade eventualmente inseridos na descrição do objeto, devem ser atendidos os seguintes requisitos, que se baseiam no Guia Nacional de Contratações Sustentáveis:</w:t>
      </w:r>
    </w:p>
    <w:p>
      <w:pPr>
        <w:pStyle w:val="Nivel2"/>
        <w:numPr>
          <w:ilvl w:val="2"/>
          <w:numId w:val="1"/>
        </w:numPr>
        <w:rPr/>
      </w:pPr>
      <w:r>
        <w:rPr/>
        <w:t>A CONTRATADA deverá se atentar ao cumprimento do Decreto nº 8.077, de 2013; o qual regulamenta as condições para o funcionamento de empresas sujeitas ao licenciamento sanitário, além do registro, controle e monitoramento de produtos.</w:t>
      </w:r>
    </w:p>
    <w:p>
      <w:pPr>
        <w:pStyle w:val="Nivel2"/>
        <w:numPr>
          <w:ilvl w:val="2"/>
          <w:numId w:val="1"/>
        </w:numPr>
        <w:rPr/>
      </w:pPr>
      <w:r>
        <w:rPr>
          <w:rFonts w:eastAsia="Arial" w:cs="Arial" w:ascii="calibri;sans-serif" w:hAnsi="calibri;sans-serif"/>
          <w:b w:val="false"/>
          <w:bCs w:val="false"/>
          <w:color w:val="000000"/>
          <w:sz w:val="24"/>
          <w:szCs w:val="24"/>
          <w:lang w:eastAsia="pt-BR"/>
        </w:rPr>
        <w:t>A CONTRATADA ficará encarregada do descarte de eventuais resíduos gerados, de maneira a atender as legislações em vigor, inclusive nos casos pertinentes. Adotando a logística reversa conforme prevista na Política Nacional de Resíduos, conforme descrito no Art. 33 da lei 12.305/10.</w:t>
      </w:r>
    </w:p>
    <w:p>
      <w:pPr>
        <w:pStyle w:val="Nivel2"/>
        <w:numPr>
          <w:ilvl w:val="2"/>
          <w:numId w:val="1"/>
        </w:numPr>
        <w:rPr/>
      </w:pPr>
      <w:r>
        <w:rPr>
          <w:rFonts w:eastAsia="Arial" w:cs="Arial" w:ascii="calibri;sans-serif" w:hAnsi="calibri;sans-serif"/>
          <w:b w:val="false"/>
          <w:bCs w:val="false"/>
          <w:color w:val="000000"/>
          <w:sz w:val="24"/>
          <w:szCs w:val="24"/>
          <w:lang w:eastAsia="pt-BR"/>
        </w:rPr>
        <w:t xml:space="preserve">Decreto nº 7.746, de </w:t>
      </w:r>
      <w:bookmarkStart w:id="0" w:name="OBJ_PREFIX_DWT80_com_zimbra_date"/>
      <w:bookmarkStart w:id="1" w:name="OBJ_PREFIX_DWT77_com_zimbra_date"/>
      <w:bookmarkEnd w:id="0"/>
      <w:bookmarkEnd w:id="1"/>
      <w:r>
        <w:rPr>
          <w:rFonts w:eastAsia="Arial" w:cs="Arial" w:ascii="calibri;sans-serif" w:hAnsi="calibri;sans-serif"/>
          <w:b w:val="false"/>
          <w:bCs w:val="false"/>
          <w:color w:val="000000"/>
          <w:sz w:val="24"/>
          <w:szCs w:val="24"/>
          <w:lang w:eastAsia="pt-BR"/>
        </w:rPr>
        <w:t>05/06/12, que estabelece critérios e práticas para a promoção do desenvolvimento nacional sustentável nas contratações realizadas pela administração pública federal.</w:t>
      </w:r>
    </w:p>
    <w:p>
      <w:pPr>
        <w:pStyle w:val="Nivel2"/>
        <w:numPr>
          <w:ilvl w:val="2"/>
          <w:numId w:val="1"/>
        </w:numPr>
        <w:rPr/>
      </w:pPr>
      <w:r>
        <w:rPr>
          <w:rFonts w:eastAsia="Arial" w:cs="Arial" w:ascii="calibri;sans-serif" w:hAnsi="calibri;sans-serif"/>
          <w:b w:val="false"/>
          <w:bCs w:val="false"/>
          <w:color w:val="000000"/>
          <w:sz w:val="24"/>
          <w:szCs w:val="24"/>
          <w:lang w:eastAsia="pt-BR"/>
        </w:rPr>
        <w:t>Priorizar a política dos 5R’s da sustentabilidade conforme preconizado pelo Ministério do Meio Ambiente.</w:t>
      </w:r>
    </w:p>
    <w:p>
      <w:pPr>
        <w:pStyle w:val="Nivel2"/>
        <w:numPr>
          <w:ilvl w:val="2"/>
          <w:numId w:val="1"/>
        </w:numPr>
        <w:rPr/>
      </w:pPr>
      <w:r>
        <w:rPr>
          <w:rFonts w:eastAsia="Arial" w:cs="Arial" w:ascii="calibri;sans-serif" w:hAnsi="calibri;sans-serif"/>
          <w:b w:val="false"/>
          <w:bCs w:val="false"/>
          <w:color w:val="000000"/>
          <w:sz w:val="24"/>
          <w:szCs w:val="24"/>
          <w:lang w:eastAsia="pt-BR"/>
        </w:rPr>
        <w:t>A CONTRATADA deverá se atentar ao cumprimento da Lei nº 6.938, de 1981; sobre a Política Nacional do Meio Ambiente.</w:t>
      </w:r>
    </w:p>
    <w:p>
      <w:pPr>
        <w:pStyle w:val="Nivel2"/>
        <w:numPr>
          <w:ilvl w:val="2"/>
          <w:numId w:val="1"/>
        </w:numPr>
        <w:rPr/>
      </w:pPr>
      <w:r>
        <w:rPr>
          <w:rFonts w:eastAsia="Arial" w:cs="Arial" w:ascii="calibri;sans-serif" w:hAnsi="calibri;sans-serif"/>
          <w:b w:val="false"/>
          <w:bCs w:val="false"/>
          <w:color w:val="000000"/>
          <w:sz w:val="24"/>
          <w:szCs w:val="24"/>
          <w:lang w:eastAsia="pt-BR"/>
        </w:rPr>
        <w:t xml:space="preserve">A CONTRATADA deverá se atentar ao cumprimento da Lei nº 12.651, de </w:t>
      </w:r>
      <w:bookmarkStart w:id="2" w:name="OBJ_PREFIX_DWT81_com_zimbra_date"/>
      <w:bookmarkStart w:id="3" w:name="OBJ_PREFIX_DWT78_com_zimbra_date"/>
      <w:bookmarkEnd w:id="2"/>
      <w:bookmarkEnd w:id="3"/>
      <w:r>
        <w:rPr>
          <w:rFonts w:eastAsia="Arial" w:cs="Arial" w:ascii="calibri;sans-serif" w:hAnsi="calibri;sans-serif"/>
          <w:b w:val="false"/>
          <w:bCs w:val="false"/>
          <w:color w:val="000000"/>
          <w:sz w:val="24"/>
          <w:szCs w:val="24"/>
          <w:lang w:eastAsia="pt-BR"/>
        </w:rPr>
        <w:t>25 de maio de 2012; referente à fiscalização do uso sustentável de produtos e subprodutos da flora nativa na atividade de comércio.</w:t>
      </w:r>
    </w:p>
    <w:p>
      <w:pPr>
        <w:pStyle w:val="Nivel2"/>
        <w:numPr>
          <w:ilvl w:val="2"/>
          <w:numId w:val="1"/>
        </w:numPr>
        <w:rPr/>
      </w:pPr>
      <w:r>
        <w:rPr>
          <w:rFonts w:eastAsia="Arial" w:cs="Arial" w:ascii="calibri;sans-serif" w:hAnsi="calibri;sans-serif"/>
          <w:b w:val="false"/>
          <w:bCs w:val="false"/>
          <w:color w:val="000000"/>
          <w:sz w:val="24"/>
          <w:szCs w:val="24"/>
          <w:lang w:eastAsia="pt-BR"/>
        </w:rPr>
        <w:t>A CONTRATADA deverá se atentar ao cumprimento do Decreto nº 4.339, de 22 de agosto de 2022; referente aos princípios e diretrizes para a implementação da Política Nacional da Biodiversidade.</w:t>
      </w:r>
    </w:p>
    <w:p>
      <w:pPr>
        <w:pStyle w:val="Nivel2"/>
        <w:numPr>
          <w:ilvl w:val="2"/>
          <w:numId w:val="1"/>
        </w:numPr>
        <w:rPr/>
      </w:pPr>
      <w:r>
        <w:rPr>
          <w:rFonts w:eastAsia="Arial" w:cs="Arial" w:ascii="calibri;sans-serif" w:hAnsi="calibri;sans-serif"/>
          <w:b w:val="false"/>
          <w:bCs w:val="false"/>
          <w:color w:val="000000"/>
          <w:sz w:val="24"/>
          <w:szCs w:val="24"/>
          <w:lang w:eastAsia="pt-BR"/>
        </w:rPr>
        <w:t>A CONTRATADA deverá se atentar a Portaria nº443, de 17 de dezembro de 2014 do Ministério do Meio Ambiente; referente à Lista Nacional Oficial de Espécies da Flora Ameaçadas de Extinção.</w:t>
      </w:r>
    </w:p>
    <w:p>
      <w:pPr>
        <w:pStyle w:val="Nivel2"/>
        <w:numPr>
          <w:ilvl w:val="2"/>
          <w:numId w:val="1"/>
        </w:numPr>
        <w:rPr/>
      </w:pPr>
      <w:r>
        <w:rPr>
          <w:rFonts w:eastAsia="Arial" w:cs="Arial" w:ascii="calibri;sans-serif" w:hAnsi="calibri;sans-serif"/>
          <w:b w:val="false"/>
          <w:bCs w:val="false"/>
          <w:color w:val="000000"/>
          <w:spacing w:val="2"/>
          <w:sz w:val="24"/>
          <w:szCs w:val="24"/>
          <w:lang w:eastAsia="pt-BR"/>
        </w:rPr>
        <w:t>A CONTRATADA deverá utilizar somente matéria-prima florestal procedente, nos termos do artigo 11 do Decreto nº 5.975, de 2006.</w:t>
      </w:r>
    </w:p>
    <w:p>
      <w:pPr>
        <w:pStyle w:val="Nivel2"/>
        <w:numPr>
          <w:ilvl w:val="2"/>
          <w:numId w:val="1"/>
        </w:numPr>
        <w:rPr/>
      </w:pPr>
      <w:r>
        <w:rPr>
          <w:rFonts w:eastAsia="Arial" w:cs="Arial" w:ascii="calibri;sans-serif" w:hAnsi="calibri;sans-serif"/>
          <w:b w:val="false"/>
          <w:bCs w:val="false"/>
          <w:color w:val="000000"/>
          <w:spacing w:val="2"/>
          <w:sz w:val="24"/>
          <w:szCs w:val="24"/>
          <w:lang w:eastAsia="pt-BR"/>
        </w:rPr>
        <w:t>A CONTRATADA deverá observar as proibições e condições para uso de espécie ameaçada de extinção, nos termos da Portaria.</w:t>
      </w:r>
    </w:p>
    <w:p>
      <w:pPr>
        <w:pStyle w:val="Nvel1SemNumPreto"/>
        <w:numPr>
          <w:ilvl w:val="0"/>
          <w:numId w:val="0"/>
        </w:numPr>
        <w:ind w:left="720" w:hanging="0"/>
        <w:rPr>
          <w:rFonts w:ascii="Calibri" w:hAnsi="Calibri"/>
          <w:sz w:val="24"/>
          <w:szCs w:val="24"/>
        </w:rPr>
      </w:pPr>
      <w:r>
        <w:rPr>
          <w:sz w:val="24"/>
          <w:szCs w:val="24"/>
        </w:rPr>
        <w:t>Subcontratação</w:t>
      </w:r>
    </w:p>
    <w:p>
      <w:pPr>
        <w:pStyle w:val="Nivel2"/>
        <w:numPr>
          <w:ilvl w:val="1"/>
          <w:numId w:val="1"/>
        </w:numPr>
        <w:ind w:left="0" w:right="0" w:hanging="0"/>
        <w:rPr/>
      </w:pPr>
      <w:r>
        <w:rPr>
          <w:sz w:val="24"/>
          <w:szCs w:val="24"/>
        </w:rPr>
        <w:t>A subcontratação é permitida para o transporte dos objetos até a Base Naval do Rio de Janeiro.</w:t>
      </w:r>
    </w:p>
    <w:p>
      <w:pPr>
        <w:pStyle w:val="Nivel3"/>
        <w:widowControl/>
        <w:numPr>
          <w:ilvl w:val="0"/>
          <w:numId w:val="0"/>
        </w:numPr>
        <w:bidi w:val="0"/>
        <w:spacing w:lineRule="auto" w:line="276" w:before="120" w:after="120"/>
        <w:ind w:left="567" w:hanging="0"/>
        <w:jc w:val="both"/>
        <w:rPr>
          <w:rFonts w:ascii="Calibri" w:hAnsi="Calibri" w:cs="Arial"/>
          <w:color w:val="000000"/>
          <w:lang w:eastAsia="pt-BR"/>
        </w:rPr>
      </w:pPr>
      <w:r>
        <w:rPr>
          <w:rFonts w:cs="Arial"/>
          <w:color w:val="000000"/>
          <w:lang w:eastAsia="pt-BR"/>
        </w:rPr>
        <w:t>Garantia da contratação</w:t>
      </w:r>
    </w:p>
    <w:p>
      <w:pPr>
        <w:pStyle w:val="Nivel2"/>
        <w:numPr>
          <w:ilvl w:val="1"/>
          <w:numId w:val="1"/>
        </w:numPr>
        <w:ind w:left="0" w:right="0" w:hanging="0"/>
        <w:rPr>
          <w:rFonts w:ascii="Calibri" w:hAnsi="Calibri"/>
          <w:sz w:val="24"/>
          <w:szCs w:val="24"/>
        </w:rPr>
      </w:pPr>
      <w:r>
        <w:rPr>
          <w:sz w:val="24"/>
          <w:szCs w:val="24"/>
        </w:rPr>
        <w:t xml:space="preserve">  </w:t>
      </w:r>
      <w:r>
        <w:rPr>
          <w:sz w:val="24"/>
          <w:szCs w:val="24"/>
        </w:rPr>
        <w:t>Não haverá exigência da garantia da contratação dos arts. 96 e seguintes da Lei n</w:t>
      </w:r>
      <w:r>
        <w:rPr>
          <w:sz w:val="24"/>
          <w:szCs w:val="24"/>
          <w:vertAlign w:val="superscript"/>
        </w:rPr>
        <w:t>o</w:t>
      </w:r>
      <w:r>
        <w:rPr>
          <w:position w:val="0"/>
          <w:sz w:val="24"/>
          <w:sz w:val="24"/>
          <w:szCs w:val="24"/>
          <w:vertAlign w:val="baseline"/>
        </w:rPr>
        <w:t xml:space="preserve"> 14.133, de 2021, pelas razões abaixo justificadas:</w:t>
      </w:r>
    </w:p>
    <w:p>
      <w:pPr>
        <w:pStyle w:val="Nivel2"/>
        <w:numPr>
          <w:ilvl w:val="2"/>
          <w:numId w:val="1"/>
        </w:numPr>
        <w:ind w:left="0" w:right="0" w:hanging="0"/>
        <w:rPr>
          <w:rFonts w:ascii="Calibri" w:hAnsi="Calibri"/>
          <w:sz w:val="24"/>
          <w:szCs w:val="24"/>
        </w:rPr>
      </w:pPr>
      <w:r>
        <w:rPr>
          <w:position w:val="0"/>
          <w:sz w:val="24"/>
          <w:sz w:val="24"/>
          <w:szCs w:val="24"/>
          <w:vertAlign w:val="baseline"/>
        </w:rPr>
        <w:t>O material poderá ser vistoriado no momento da entrega.</w:t>
      </w:r>
    </w:p>
    <w:p>
      <w:pPr>
        <w:pStyle w:val="Nivel01"/>
        <w:numPr>
          <w:ilvl w:val="0"/>
          <w:numId w:val="1"/>
        </w:numPr>
        <w:rPr/>
      </w:pPr>
      <w:r>
        <w:rPr/>
        <w:t>MODELO DE EXECUÇÃO DO OBJETO</w:t>
      </w:r>
    </w:p>
    <w:p>
      <w:pPr>
        <w:pStyle w:val="Nivel2"/>
        <w:numPr>
          <w:ilvl w:val="1"/>
          <w:numId w:val="1"/>
        </w:numPr>
        <w:rPr/>
      </w:pPr>
      <w:r>
        <w:rPr>
          <w:rFonts w:eastAsia="Arial" w:cs="Arial"/>
          <w:b w:val="false"/>
          <w:bCs w:val="false"/>
          <w:color w:val="000000"/>
          <w:sz w:val="24"/>
          <w:szCs w:val="24"/>
          <w:lang w:eastAsia="pt-BR"/>
        </w:rPr>
        <w:t>O prazo de entrega dos bens é de 15 (quinze) dias corridos, contados após a emissão da nota de empenho, em remessa única.</w:t>
      </w:r>
    </w:p>
    <w:p>
      <w:pPr>
        <w:pStyle w:val="Normal"/>
        <w:numPr>
          <w:ilvl w:val="1"/>
          <w:numId w:val="1"/>
        </w:numPr>
        <w:tabs>
          <w:tab w:val="clear" w:pos="367"/>
        </w:tabs>
        <w:spacing w:lineRule="auto" w:line="240" w:before="0" w:after="119"/>
        <w:jc w:val="both"/>
        <w:rPr>
          <w:rFonts w:ascii="Calibri" w:hAnsi="Calibri" w:eastAsia="Arial" w:cs="Arial"/>
          <w:b w:val="false"/>
          <w:b w:val="false"/>
          <w:bCs w:val="false"/>
          <w:iCs/>
          <w:color w:val="000000"/>
          <w:sz w:val="24"/>
          <w:szCs w:val="24"/>
          <w:lang w:eastAsia="pt-BR"/>
        </w:rPr>
      </w:pPr>
      <w:r>
        <w:rPr>
          <w:rFonts w:eastAsia="Arial" w:cs="Arial" w:ascii="Calibri" w:hAnsi="Calibri"/>
          <w:b w:val="false"/>
          <w:bCs w:val="false"/>
          <w:iCs/>
          <w:color w:val="000000"/>
          <w:sz w:val="24"/>
          <w:szCs w:val="24"/>
          <w:lang w:eastAsia="pt-BR"/>
        </w:rPr>
        <w:t>Caso não seja possível a entrega na data assinalada, a empresa deverá comunicar as razões respectivas com pelo menos 02 (dois) dias de antecedência para que qualquer pleito de prorrogação de prazo seja analisado, ressalvadas situações de caso fortuito e força maior.</w:t>
      </w:r>
    </w:p>
    <w:p>
      <w:pPr>
        <w:pStyle w:val="ListParagraph"/>
        <w:numPr>
          <w:ilvl w:val="1"/>
          <w:numId w:val="1"/>
        </w:numPr>
        <w:tabs>
          <w:tab w:val="left" w:pos="675" w:leader="none"/>
        </w:tabs>
        <w:spacing w:lineRule="auto" w:line="240" w:before="120" w:after="120"/>
        <w:contextualSpacing/>
        <w:jc w:val="both"/>
        <w:textAlignment w:val="baseline"/>
        <w:rPr>
          <w:rFonts w:ascii="Calibri" w:hAnsi="Calibri" w:eastAsia="Arial" w:cs="Arial"/>
          <w:b w:val="false"/>
          <w:b w:val="false"/>
          <w:bCs w:val="false"/>
          <w:color w:val="000000"/>
          <w:sz w:val="24"/>
          <w:szCs w:val="24"/>
          <w:lang w:eastAsia="pt-BR"/>
        </w:rPr>
      </w:pPr>
      <w:r>
        <w:rPr>
          <w:rFonts w:eastAsia="Arial" w:cs="Arial" w:ascii="Calibri" w:hAnsi="Calibri"/>
          <w:b w:val="false"/>
          <w:bCs w:val="false"/>
          <w:iCs/>
          <w:color w:val="000000"/>
          <w:kern w:val="2"/>
          <w:sz w:val="24"/>
          <w:szCs w:val="24"/>
          <w:lang w:val="pt-BR" w:eastAsia="pt-BR" w:bidi="ar-SA"/>
        </w:rPr>
        <w:t>Os bens deverão ser entregues no seguinte endereço: na Divisão de Prefeitura da Base Naval do Rio de Janeiro, localizada na Ilha de Mocanguê Grande, s/nº, Niterói – RJ; no horário de 08 às 16h de segunda a sexta.</w:t>
      </w:r>
    </w:p>
    <w:p>
      <w:pPr>
        <w:pStyle w:val="Nvel1SemNumPreto"/>
        <w:tabs>
          <w:tab w:val="left" w:pos="567" w:leader="none"/>
          <w:tab w:val="left" w:pos="675" w:leader="none"/>
        </w:tabs>
        <w:spacing w:lineRule="auto" w:line="240" w:before="120" w:after="120"/>
        <w:ind w:left="0" w:right="0" w:hanging="0"/>
        <w:jc w:val="both"/>
        <w:textAlignment w:val="baseline"/>
        <w:rPr>
          <w:rFonts w:ascii="Calibri" w:hAnsi="Calibri" w:eastAsia="Times New Roman" w:cs="Calibri"/>
          <w:b/>
          <w:b/>
          <w:bCs/>
          <w:iCs/>
          <w:color w:val="000000"/>
          <w:kern w:val="2"/>
          <w:sz w:val="24"/>
          <w:szCs w:val="24"/>
          <w:lang w:val="pt-BR" w:eastAsia="en-US" w:bidi="ar-SA"/>
        </w:rPr>
      </w:pPr>
      <w:r>
        <w:rPr>
          <w:rFonts w:eastAsia="Times New Roman" w:cs="Calibri"/>
          <w:b/>
          <w:bCs/>
          <w:iCs/>
          <w:color w:val="000000"/>
          <w:kern w:val="2"/>
          <w:sz w:val="24"/>
          <w:szCs w:val="24"/>
          <w:lang w:val="pt-BR" w:eastAsia="en-US" w:bidi="ar-SA"/>
        </w:rPr>
        <w:t>Garantia, manutenção e assistência técnica</w:t>
      </w:r>
    </w:p>
    <w:p>
      <w:pPr>
        <w:pStyle w:val="ListParagraph"/>
        <w:numPr>
          <w:ilvl w:val="1"/>
          <w:numId w:val="1"/>
        </w:numPr>
        <w:tabs>
          <w:tab w:val="left" w:pos="675" w:leader="none"/>
        </w:tabs>
        <w:spacing w:lineRule="auto" w:line="240" w:before="120" w:after="120"/>
        <w:contextualSpacing/>
        <w:jc w:val="both"/>
        <w:textAlignment w:val="baseline"/>
        <w:rPr>
          <w:rFonts w:ascii="Calibri" w:hAnsi="Calibri" w:eastAsia="Arial" w:cs="Arial"/>
          <w:b w:val="false"/>
          <w:b w:val="false"/>
          <w:bCs w:val="false"/>
          <w:color w:val="000000"/>
          <w:sz w:val="24"/>
          <w:szCs w:val="24"/>
          <w:lang w:eastAsia="pt-BR"/>
        </w:rPr>
      </w:pPr>
      <w:r>
        <w:rPr>
          <w:rFonts w:eastAsia="Times New Roman" w:cs="Calibri" w:ascii="Calibri" w:hAnsi="Calibri"/>
          <w:b w:val="false"/>
          <w:bCs w:val="false"/>
          <w:iCs/>
          <w:color w:val="000000"/>
          <w:kern w:val="2"/>
          <w:sz w:val="24"/>
          <w:szCs w:val="24"/>
          <w:lang w:val="pt-BR" w:eastAsia="en-US" w:bidi="ar-SA"/>
        </w:rPr>
        <w:t>Os bens serão recebidos provisoriamente, de forma sumária, no prazo de 02 (dois) dias, pelo(a) responsável pelo acompanhamento e fiscalização do contrato, para efeito de posterior verificação de sua conformidade com as especificações constantes neste Termo de Referência e na proposta.</w:t>
      </w:r>
    </w:p>
    <w:p>
      <w:pPr>
        <w:pStyle w:val="ListParagraph"/>
        <w:numPr>
          <w:ilvl w:val="1"/>
          <w:numId w:val="1"/>
        </w:numPr>
        <w:tabs>
          <w:tab w:val="left" w:pos="675" w:leader="none"/>
        </w:tabs>
        <w:spacing w:lineRule="auto" w:line="240" w:before="120" w:after="120"/>
        <w:contextualSpacing/>
        <w:jc w:val="both"/>
        <w:textAlignment w:val="baseline"/>
        <w:rPr>
          <w:rFonts w:ascii="Calibri" w:hAnsi="Calibri" w:eastAsia="Times New Roman" w:cs="Calibri"/>
          <w:b w:val="false"/>
          <w:b w:val="false"/>
          <w:bCs w:val="false"/>
          <w:iCs/>
          <w:color w:val="000000"/>
          <w:kern w:val="2"/>
          <w:sz w:val="24"/>
          <w:szCs w:val="24"/>
          <w:lang w:val="pt-BR" w:eastAsia="en-US" w:bidi="ar-SA"/>
        </w:rPr>
      </w:pPr>
      <w:r>
        <w:rPr>
          <w:rFonts w:eastAsia="Times New Roman" w:cs="Calibri" w:ascii="Calibri" w:hAnsi="Calibri"/>
          <w:b w:val="false"/>
          <w:bCs w:val="false"/>
          <w:iCs/>
          <w:color w:val="000000"/>
          <w:kern w:val="2"/>
          <w:sz w:val="24"/>
          <w:szCs w:val="24"/>
          <w:lang w:val="pt-BR" w:eastAsia="en-US" w:bidi="ar-SA"/>
        </w:rPr>
        <w:t>Os bens poderão ser rejeitados, no todo ou em parte, quando em desacordo com as especificações constantes neste Termo de Referência e na proposta, devendo ser substituídos no prazo de 07 (sete) dias, a contar da notificação da contratada, às suas custas, sem prejuízo da aplicação das penalidades.</w:t>
      </w:r>
    </w:p>
    <w:p>
      <w:pPr>
        <w:pStyle w:val="ListParagraph"/>
        <w:numPr>
          <w:ilvl w:val="1"/>
          <w:numId w:val="1"/>
        </w:numPr>
        <w:tabs>
          <w:tab w:val="left" w:pos="675" w:leader="none"/>
        </w:tabs>
        <w:spacing w:lineRule="auto" w:line="240" w:before="120" w:after="120"/>
        <w:contextualSpacing/>
        <w:jc w:val="both"/>
        <w:textAlignment w:val="baseline"/>
        <w:rPr>
          <w:rFonts w:ascii="Calibri" w:hAnsi="Calibri" w:eastAsia="Times New Roman" w:cs="Calibri"/>
          <w:b w:val="false"/>
          <w:b w:val="false"/>
          <w:bCs w:val="false"/>
          <w:iCs/>
          <w:color w:val="000000"/>
          <w:kern w:val="2"/>
          <w:sz w:val="24"/>
          <w:szCs w:val="24"/>
          <w:lang w:val="pt-BR" w:eastAsia="en-US" w:bidi="ar-SA"/>
        </w:rPr>
      </w:pPr>
      <w:r>
        <w:rPr>
          <w:rFonts w:eastAsia="Times New Roman" w:cs="Calibri" w:ascii="Calibri" w:hAnsi="Calibri"/>
          <w:b w:val="false"/>
          <w:bCs w:val="false"/>
          <w:iCs/>
          <w:color w:val="000000"/>
          <w:kern w:val="2"/>
          <w:sz w:val="24"/>
          <w:szCs w:val="24"/>
          <w:lang w:val="pt-BR" w:eastAsia="en-US" w:bidi="ar-SA"/>
        </w:rPr>
        <w:t>Os bens serão recebidos definitivamente no prazo de 02 (dois) dias, contados do recebimento provisório, após a verificação da qualidade e quantidade do material e consequente aceitação mediante termo detalhado.</w:t>
      </w:r>
    </w:p>
    <w:p>
      <w:pPr>
        <w:pStyle w:val="ListParagraph"/>
        <w:numPr>
          <w:ilvl w:val="2"/>
          <w:numId w:val="1"/>
        </w:numPr>
        <w:tabs>
          <w:tab w:val="left" w:pos="675" w:leader="none"/>
        </w:tabs>
        <w:spacing w:lineRule="auto" w:line="240" w:before="120" w:after="120"/>
        <w:contextualSpacing/>
        <w:jc w:val="both"/>
        <w:textAlignment w:val="baseline"/>
        <w:rPr>
          <w:rFonts w:ascii="Calibri" w:hAnsi="Calibri" w:eastAsia="Times New Roman" w:cs="Calibri"/>
          <w:b w:val="false"/>
          <w:b w:val="false"/>
          <w:bCs w:val="false"/>
          <w:iCs/>
          <w:color w:val="000000"/>
          <w:kern w:val="2"/>
          <w:sz w:val="24"/>
          <w:szCs w:val="24"/>
          <w:lang w:val="pt-BR" w:eastAsia="en-US" w:bidi="ar-SA"/>
        </w:rPr>
      </w:pPr>
      <w:r>
        <w:rPr>
          <w:rFonts w:eastAsia="Times New Roman" w:cs="Calibri" w:ascii="Calibri" w:hAnsi="Calibri"/>
          <w:b w:val="false"/>
          <w:bCs w:val="false"/>
          <w:iCs/>
          <w:color w:val="000000"/>
          <w:kern w:val="2"/>
          <w:sz w:val="24"/>
          <w:szCs w:val="24"/>
          <w:lang w:val="pt-BR" w:eastAsia="en-US" w:bidi="ar-SA"/>
        </w:rPr>
        <w:t>Na hipótese de a verificação a que se refere o subitem anterior não ser procedida dentro do prazo fixado, reputar-se-á como realizada, consumando-se o recebimento definitivo no dia do esgotamento do prazo.</w:t>
      </w:r>
    </w:p>
    <w:p>
      <w:pPr>
        <w:pStyle w:val="ListParagraph"/>
        <w:numPr>
          <w:ilvl w:val="1"/>
          <w:numId w:val="1"/>
        </w:numPr>
        <w:tabs>
          <w:tab w:val="left" w:pos="675" w:leader="none"/>
        </w:tabs>
        <w:spacing w:lineRule="auto" w:line="240" w:before="120" w:after="120"/>
        <w:contextualSpacing/>
        <w:jc w:val="both"/>
        <w:textAlignment w:val="baseline"/>
        <w:rPr>
          <w:rFonts w:ascii="Calibri" w:hAnsi="Calibri" w:eastAsia="Times New Roman" w:cs="Calibri"/>
          <w:b w:val="false"/>
          <w:b w:val="false"/>
          <w:bCs w:val="false"/>
          <w:iCs/>
          <w:color w:val="000000"/>
          <w:kern w:val="2"/>
          <w:sz w:val="24"/>
          <w:szCs w:val="24"/>
          <w:lang w:val="pt-BR" w:eastAsia="en-US" w:bidi="ar-SA"/>
        </w:rPr>
      </w:pPr>
      <w:r>
        <w:rPr>
          <w:rFonts w:eastAsia="Times New Roman" w:cs="Calibri" w:ascii="Calibri" w:hAnsi="Calibri"/>
          <w:b w:val="false"/>
          <w:bCs w:val="false"/>
          <w:iCs/>
          <w:color w:val="000000"/>
          <w:kern w:val="2"/>
          <w:sz w:val="24"/>
          <w:szCs w:val="24"/>
          <w:lang w:val="pt-BR" w:eastAsia="en-US" w:bidi="ar-SA"/>
        </w:rPr>
        <w:t>O recebimento provisório ou definitivo não excluirá a responsabilidade civil pela solidez e pela segurança do serviço nem a responsabilidade ético-profissional pela perfeita execução do contrato.</w:t>
      </w:r>
    </w:p>
    <w:p>
      <w:pPr>
        <w:pStyle w:val="Nivel01"/>
        <w:numPr>
          <w:ilvl w:val="0"/>
          <w:numId w:val="1"/>
        </w:numPr>
        <w:rPr/>
      </w:pPr>
      <w:r>
        <w:rPr/>
        <w:t>MODELO DE GESTÃO DO CONTRATO</w:t>
      </w:r>
    </w:p>
    <w:p>
      <w:pPr>
        <w:pStyle w:val="Nivel2"/>
        <w:numPr>
          <w:ilvl w:val="1"/>
          <w:numId w:val="1"/>
        </w:numPr>
        <w:ind w:left="0" w:right="0" w:hanging="0"/>
        <w:rPr>
          <w:rFonts w:ascii="Calibri" w:hAnsi="Calibri"/>
          <w:sz w:val="24"/>
          <w:szCs w:val="24"/>
        </w:rPr>
      </w:pPr>
      <w:r>
        <w:rPr>
          <w:sz w:val="24"/>
          <w:szCs w:val="24"/>
        </w:rPr>
        <w:t>O contrato deverá ser executado fielmente pelas partes, de acordo com as cláusulas avençadas e as normas da Lei nº 14.133, de 2021, e cada parte responderá pelas consequências de sua inexecução total ou parcial.</w:t>
      </w:r>
    </w:p>
    <w:p>
      <w:pPr>
        <w:pStyle w:val="Nivel2"/>
        <w:numPr>
          <w:ilvl w:val="1"/>
          <w:numId w:val="1"/>
        </w:numPr>
        <w:ind w:left="0" w:right="0" w:hanging="0"/>
        <w:rPr>
          <w:rFonts w:ascii="Calibri" w:hAnsi="Calibri"/>
          <w:sz w:val="24"/>
          <w:szCs w:val="24"/>
        </w:rPr>
      </w:pPr>
      <w:r>
        <w:rPr>
          <w:sz w:val="24"/>
          <w:szCs w:val="24"/>
        </w:rPr>
        <w:t>Em caso de impedimento, ordem de paralisação ou suspensão do contrato, o cronograma de execução será prorrogado automaticamente pelo tempo correspondente, anotadas tais circunstâncias mediante simples apostila.</w:t>
      </w:r>
    </w:p>
    <w:p>
      <w:pPr>
        <w:pStyle w:val="Nivel2"/>
        <w:numPr>
          <w:ilvl w:val="1"/>
          <w:numId w:val="1"/>
        </w:numPr>
        <w:tabs>
          <w:tab w:val="clear" w:pos="367"/>
        </w:tabs>
        <w:spacing w:lineRule="auto" w:line="240" w:before="0" w:after="113"/>
        <w:jc w:val="both"/>
        <w:rPr>
          <w:rFonts w:ascii="Calibri" w:hAnsi="Calibri"/>
          <w:sz w:val="24"/>
          <w:szCs w:val="24"/>
        </w:rPr>
      </w:pPr>
      <w:r>
        <w:rPr>
          <w:rFonts w:eastAsia="Calibri" w:cs="Times New Roman"/>
          <w:b w:val="false"/>
          <w:bCs/>
          <w:i w:val="false"/>
          <w:iCs w:val="false"/>
          <w:color w:val="000000"/>
          <w:spacing w:val="-5"/>
          <w:sz w:val="24"/>
          <w:szCs w:val="24"/>
          <w:lang w:eastAsia="en-US"/>
        </w:rPr>
        <w:t>A execução do contrato deverá ser acompanhada e fiscalizada pelo fiscal do contrato ou pelos respectivos substitutos (Lei nº 14.133, de 2021, art. 117, caput).</w:t>
      </w:r>
    </w:p>
    <w:p>
      <w:pPr>
        <w:pStyle w:val="Nivel2"/>
        <w:numPr>
          <w:ilvl w:val="2"/>
          <w:numId w:val="1"/>
        </w:numPr>
        <w:tabs>
          <w:tab w:val="clear" w:pos="367"/>
        </w:tabs>
        <w:spacing w:lineRule="auto" w:line="240" w:before="6" w:after="119"/>
        <w:jc w:val="both"/>
        <w:rPr>
          <w:rFonts w:ascii="Calibri" w:hAnsi="Calibri"/>
          <w:sz w:val="24"/>
          <w:szCs w:val="24"/>
        </w:rPr>
      </w:pPr>
      <w:r>
        <w:rPr>
          <w:rFonts w:eastAsia="Calibri" w:cs="Calibri"/>
          <w:b w:val="false"/>
          <w:bCs w:val="false"/>
          <w:i w:val="false"/>
          <w:iCs/>
          <w:color w:val="000000"/>
          <w:spacing w:val="-5"/>
          <w:sz w:val="24"/>
          <w:szCs w:val="24"/>
          <w:lang w:eastAsia="ar-SA"/>
        </w:rPr>
        <w:t>O fiscal do contrato informará a seus superiores, em tempo hábil para a adoção das medidas convenientes, a situação que demandar decisão ou providência que ultrapasse sua competência.</w:t>
      </w:r>
    </w:p>
    <w:p>
      <w:pPr>
        <w:pStyle w:val="Nivel2"/>
        <w:numPr>
          <w:ilvl w:val="1"/>
          <w:numId w:val="1"/>
        </w:numPr>
        <w:ind w:left="0" w:right="0" w:hanging="0"/>
        <w:rPr>
          <w:rFonts w:ascii="Calibri" w:hAnsi="Calibri"/>
          <w:sz w:val="24"/>
          <w:szCs w:val="24"/>
        </w:rPr>
      </w:pPr>
      <w:r>
        <w:rPr>
          <w:sz w:val="24"/>
          <w:szCs w:val="24"/>
        </w:rPr>
        <w:t>As comunicações entre o órgão ou entidade e a contratada devem ser realizadas por escrito sempre que o ato exigir tal formalidade, admitindo-se o uso de mensagem eletrônica para esse fim.</w:t>
      </w:r>
    </w:p>
    <w:p>
      <w:pPr>
        <w:pStyle w:val="Nivel2"/>
        <w:numPr>
          <w:ilvl w:val="1"/>
          <w:numId w:val="1"/>
        </w:numPr>
        <w:ind w:left="0" w:right="0" w:hanging="0"/>
        <w:rPr>
          <w:rFonts w:ascii="Calibri" w:hAnsi="Calibri"/>
          <w:sz w:val="24"/>
          <w:szCs w:val="24"/>
        </w:rPr>
      </w:pPr>
      <w:r>
        <w:rPr>
          <w:sz w:val="24"/>
          <w:szCs w:val="24"/>
        </w:rPr>
        <w:t>O órgão ou entidade poderá convocar representante da empresa para adoção de providências que devam ser cumpridas de imediato.</w:t>
      </w:r>
    </w:p>
    <w:p>
      <w:pPr>
        <w:pStyle w:val="Nivel2"/>
        <w:numPr>
          <w:ilvl w:val="1"/>
          <w:numId w:val="1"/>
        </w:numPr>
        <w:ind w:left="0" w:right="0" w:hanging="0"/>
        <w:rPr>
          <w:rFonts w:ascii="Calibri" w:hAnsi="Calibri"/>
          <w:sz w:val="24"/>
          <w:szCs w:val="24"/>
        </w:rPr>
      </w:pPr>
      <w:r>
        <w:rPr>
          <w:sz w:val="24"/>
          <w:szCs w:val="24"/>
        </w:rPr>
        <w:t xml:space="preserve"> </w:t>
      </w:r>
      <w:r>
        <w:rPr>
          <w:sz w:val="24"/>
          <w:szCs w:val="24"/>
        </w:rPr>
        <w:t>Após a assinatura do contrato ou instrumento equivalente</w:t>
      </w:r>
      <w:r>
        <w:rPr>
          <w:strike/>
          <w:sz w:val="24"/>
          <w:szCs w:val="24"/>
        </w:rPr>
        <w:t>,</w:t>
      </w:r>
      <w:r>
        <w:rPr>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pStyle w:val="Nivel2"/>
        <w:numPr>
          <w:ilvl w:val="0"/>
          <w:numId w:val="0"/>
        </w:numPr>
        <w:ind w:left="0" w:right="0" w:hanging="0"/>
        <w:rPr>
          <w:b/>
          <w:b/>
          <w:bCs/>
        </w:rPr>
      </w:pPr>
      <w:r>
        <w:rPr>
          <w:b/>
          <w:bCs/>
          <w:sz w:val="24"/>
          <w:szCs w:val="24"/>
        </w:rPr>
        <w:t>Fiscalização</w:t>
      </w:r>
    </w:p>
    <w:p>
      <w:pPr>
        <w:pStyle w:val="Nivel2"/>
        <w:numPr>
          <w:ilvl w:val="1"/>
          <w:numId w:val="1"/>
        </w:numPr>
        <w:ind w:left="0" w:right="0" w:hanging="0"/>
        <w:rPr/>
      </w:pPr>
      <w:r>
        <w:rPr>
          <w:sz w:val="24"/>
          <w:szCs w:val="24"/>
        </w:rPr>
        <w:t>A execução do contrato deverá ser acompanhada e fiscalizada pelo(s) fiscal(is) do contrato, ou pelos respectivos substitutos (</w:t>
      </w:r>
      <w:r>
        <w:fldChar w:fldCharType="begin"/>
      </w:r>
      <w:r>
        <w:rPr>
          <w:rStyle w:val="LinkdaInternet"/>
          <w:sz w:val="24"/>
          <w:szCs w:val="24"/>
        </w:rPr>
        <w:instrText> HYPERLINK "http://www.planalto.gov.br/ccivil_03/_ato2019-2022/2021/lei/L14133.htm" \l "art117"</w:instrText>
      </w:r>
      <w:r>
        <w:rPr>
          <w:rStyle w:val="LinkdaInternet"/>
          <w:sz w:val="24"/>
          <w:szCs w:val="24"/>
        </w:rPr>
        <w:fldChar w:fldCharType="separate"/>
      </w:r>
      <w:r>
        <w:rPr>
          <w:rStyle w:val="LinkdaInternet"/>
          <w:sz w:val="24"/>
          <w:szCs w:val="24"/>
        </w:rPr>
        <w:t>Lei nº 14.133, de 2021, art. 117, caput</w:t>
      </w:r>
      <w:r>
        <w:rPr>
          <w:rStyle w:val="LinkdaInternet"/>
          <w:sz w:val="24"/>
          <w:szCs w:val="24"/>
        </w:rPr>
        <w:fldChar w:fldCharType="end"/>
      </w:r>
      <w:r>
        <w:rPr>
          <w:sz w:val="24"/>
          <w:szCs w:val="24"/>
        </w:rPr>
        <w:t>).</w:t>
      </w:r>
    </w:p>
    <w:p>
      <w:pPr>
        <w:pStyle w:val="Nvel1SemNumPreto"/>
        <w:numPr>
          <w:ilvl w:val="0"/>
          <w:numId w:val="0"/>
        </w:numPr>
        <w:ind w:left="720" w:hanging="0"/>
        <w:rPr>
          <w:rFonts w:ascii="Calibri" w:hAnsi="Calibri"/>
          <w:sz w:val="24"/>
          <w:szCs w:val="24"/>
        </w:rPr>
      </w:pPr>
      <w:r>
        <w:rPr>
          <w:sz w:val="24"/>
          <w:szCs w:val="24"/>
        </w:rPr>
        <w:t>Fiscalização Técnica</w:t>
      </w:r>
    </w:p>
    <w:p>
      <w:pPr>
        <w:pStyle w:val="Nivel2"/>
        <w:numPr>
          <w:ilvl w:val="1"/>
          <w:numId w:val="1"/>
        </w:numPr>
        <w:ind w:left="0" w:right="0" w:hanging="0"/>
        <w:rPr>
          <w:rFonts w:ascii="Calibri" w:hAnsi="Calibri"/>
          <w:sz w:val="24"/>
          <w:szCs w:val="24"/>
        </w:rPr>
      </w:pPr>
      <w:r>
        <w:rPr>
          <w:sz w:val="24"/>
          <w:szCs w:val="24"/>
        </w:rPr>
        <w:t>O fiscal técnico do contrato acompanhará a execução do contrato, para que sejam cumpridas todas as condições estabelecidas no contrato, de modo a assegurar os melhores resultados para a Administração. (Decreto nº 11.246, de 2022, art. 22, VI);</w:t>
      </w:r>
    </w:p>
    <w:p>
      <w:pPr>
        <w:pStyle w:val="Nivel2"/>
        <w:numPr>
          <w:ilvl w:val="2"/>
          <w:numId w:val="1"/>
        </w:numPr>
        <w:rPr/>
      </w:pPr>
      <w:r>
        <w:rPr>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r>
        <w:fldChar w:fldCharType="begin"/>
      </w:r>
      <w:r>
        <w:rPr>
          <w:rStyle w:val="LinkdaInternet"/>
          <w:sz w:val="24"/>
          <w:szCs w:val="24"/>
        </w:rPr>
        <w:instrText> HYPERLINK "http://www.planalto.gov.br/ccivil_03/_ato2019-2022/2021/lei/L14133.htm" \l "art117§1"</w:instrText>
      </w:r>
      <w:r>
        <w:rPr>
          <w:rStyle w:val="LinkdaInternet"/>
          <w:sz w:val="24"/>
          <w:szCs w:val="24"/>
        </w:rPr>
        <w:fldChar w:fldCharType="separate"/>
      </w:r>
      <w:r>
        <w:rPr>
          <w:rStyle w:val="LinkdaInternet"/>
          <w:sz w:val="24"/>
          <w:szCs w:val="24"/>
        </w:rPr>
        <w:t>Lei nº 14.133, de 2021, art. 117, §1º</w:t>
      </w:r>
      <w:r>
        <w:rPr>
          <w:rStyle w:val="LinkdaInternet"/>
          <w:sz w:val="24"/>
          <w:szCs w:val="24"/>
        </w:rPr>
        <w:fldChar w:fldCharType="end"/>
      </w:r>
      <w:r>
        <w:rPr>
          <w:sz w:val="24"/>
          <w:szCs w:val="24"/>
        </w:rPr>
        <w:t xml:space="preserve">, e </w:t>
      </w:r>
      <w:r>
        <w:fldChar w:fldCharType="begin"/>
      </w:r>
      <w:r>
        <w:rPr>
          <w:rStyle w:val="LinkdaInternet"/>
          <w:sz w:val="24"/>
          <w:szCs w:val="24"/>
        </w:rPr>
        <w:instrText> HYPERLINK "https://www.planalto.gov.br/ccivil_03/_ato2019-2022/2022/Decreto/D11246.htm" \l "art22"</w:instrText>
      </w:r>
      <w:r>
        <w:rPr>
          <w:rStyle w:val="LinkdaInternet"/>
          <w:sz w:val="24"/>
          <w:szCs w:val="24"/>
        </w:rPr>
        <w:fldChar w:fldCharType="separate"/>
      </w:r>
      <w:r>
        <w:rPr>
          <w:rStyle w:val="LinkdaInternet"/>
          <w:sz w:val="24"/>
          <w:szCs w:val="24"/>
        </w:rPr>
        <w:t>Decreto nº 11.246, de 2022, art. 22, II);</w:t>
      </w:r>
      <w:r>
        <w:rPr>
          <w:rStyle w:val="LinkdaInternet"/>
          <w:sz w:val="24"/>
          <w:szCs w:val="24"/>
        </w:rPr>
        <w:fldChar w:fldCharType="end"/>
      </w:r>
    </w:p>
    <w:p>
      <w:pPr>
        <w:pStyle w:val="Nivel2"/>
        <w:numPr>
          <w:ilvl w:val="2"/>
          <w:numId w:val="1"/>
        </w:numPr>
        <w:rPr/>
      </w:pPr>
      <w:r>
        <w:rPr>
          <w:sz w:val="24"/>
          <w:szCs w:val="24"/>
        </w:rPr>
        <w:t>Identificada qualquer inexatidão ou irregularidade, o fiscal técnico do contrato emitirá notificações para a correção da execução do contrato, determinando prazo para a correção. (</w:t>
      </w:r>
      <w:r>
        <w:fldChar w:fldCharType="begin"/>
      </w:r>
      <w:r>
        <w:rPr>
          <w:rStyle w:val="LinkdaInternet"/>
          <w:sz w:val="24"/>
          <w:szCs w:val="24"/>
        </w:rPr>
        <w:instrText> HYPERLINK "https://www.planalto.gov.br/ccivil_03/_ato2019-2022/2022/Decreto/D11246.htm" \l "art22"</w:instrText>
      </w:r>
      <w:r>
        <w:rPr>
          <w:rStyle w:val="LinkdaInternet"/>
          <w:sz w:val="24"/>
          <w:szCs w:val="24"/>
        </w:rPr>
        <w:fldChar w:fldCharType="separate"/>
      </w:r>
      <w:r>
        <w:rPr>
          <w:rStyle w:val="LinkdaInternet"/>
          <w:sz w:val="24"/>
          <w:szCs w:val="24"/>
        </w:rPr>
        <w:t>Decreto nº 11.246, de 2022, art. 22, III</w:t>
      </w:r>
      <w:r>
        <w:rPr>
          <w:rStyle w:val="LinkdaInternet"/>
          <w:sz w:val="24"/>
          <w:szCs w:val="24"/>
        </w:rPr>
        <w:fldChar w:fldCharType="end"/>
      </w:r>
      <w:r>
        <w:rPr>
          <w:sz w:val="24"/>
          <w:szCs w:val="24"/>
        </w:rPr>
        <w:t xml:space="preserve">); </w:t>
      </w:r>
    </w:p>
    <w:p>
      <w:pPr>
        <w:pStyle w:val="Nivel2"/>
        <w:numPr>
          <w:ilvl w:val="2"/>
          <w:numId w:val="1"/>
        </w:numPr>
        <w:rPr/>
      </w:pPr>
      <w:r>
        <w:rPr>
          <w:sz w:val="24"/>
          <w:szCs w:val="24"/>
        </w:rPr>
        <w:t>O fiscal técnico do contrato informará ao gestor do contato, em tempo hábil, a situação que demandar decisão ou adoção de medidas que ultrapassem sua competência, para que adote as medidas necessárias e saneadoras, se for o caso. (</w:t>
      </w:r>
      <w:r>
        <w:fldChar w:fldCharType="begin"/>
      </w:r>
      <w:r>
        <w:rPr>
          <w:rStyle w:val="LinkdaInternet"/>
          <w:sz w:val="24"/>
          <w:szCs w:val="24"/>
        </w:rPr>
        <w:instrText> HYPERLINK "https://www.planalto.gov.br/ccivil_03/_ato2019-2022/2022/Decreto/D11246.htm" \l "art22"</w:instrText>
      </w:r>
      <w:r>
        <w:rPr>
          <w:rStyle w:val="LinkdaInternet"/>
          <w:sz w:val="24"/>
          <w:szCs w:val="24"/>
        </w:rPr>
        <w:fldChar w:fldCharType="separate"/>
      </w:r>
      <w:r>
        <w:rPr>
          <w:rStyle w:val="LinkdaInternet"/>
          <w:sz w:val="24"/>
          <w:szCs w:val="24"/>
        </w:rPr>
        <w:t>Decreto nº 11.246, de 2022, art. 22, IV</w:t>
      </w:r>
      <w:r>
        <w:rPr>
          <w:rStyle w:val="LinkdaInternet"/>
          <w:sz w:val="24"/>
          <w:szCs w:val="24"/>
        </w:rPr>
        <w:fldChar w:fldCharType="end"/>
      </w:r>
      <w:r>
        <w:rPr>
          <w:sz w:val="24"/>
          <w:szCs w:val="24"/>
        </w:rPr>
        <w:t>).</w:t>
      </w:r>
    </w:p>
    <w:p>
      <w:pPr>
        <w:pStyle w:val="Nivel2"/>
        <w:numPr>
          <w:ilvl w:val="2"/>
          <w:numId w:val="1"/>
        </w:numPr>
        <w:rPr/>
      </w:pPr>
      <w:r>
        <w:rPr>
          <w:sz w:val="24"/>
          <w:szCs w:val="24"/>
        </w:rPr>
        <w:t>No caso de ocorrências que possam inviabilizar a execução do contrato nas datas aprazadas, o fiscal técnico do contrato comunicará o fato imediatamente ao gestor do contrato. (</w:t>
      </w:r>
      <w:r>
        <w:fldChar w:fldCharType="begin"/>
      </w:r>
      <w:r>
        <w:rPr>
          <w:rStyle w:val="LinkdaInternet"/>
          <w:sz w:val="24"/>
          <w:szCs w:val="24"/>
        </w:rPr>
        <w:instrText> HYPERLINK "https://www.planalto.gov.br/ccivil_03/_ato2019-2022/2022/Decreto/D11246.htm" \l "art22"</w:instrText>
      </w:r>
      <w:r>
        <w:rPr>
          <w:rStyle w:val="LinkdaInternet"/>
          <w:sz w:val="24"/>
          <w:szCs w:val="24"/>
        </w:rPr>
        <w:fldChar w:fldCharType="separate"/>
      </w:r>
      <w:r>
        <w:rPr>
          <w:rStyle w:val="LinkdaInternet"/>
          <w:sz w:val="24"/>
          <w:szCs w:val="24"/>
        </w:rPr>
        <w:t>Decreto nº 11.246, de 2022, art. 22, V</w:t>
      </w:r>
      <w:r>
        <w:rPr>
          <w:rStyle w:val="LinkdaInternet"/>
          <w:sz w:val="24"/>
          <w:szCs w:val="24"/>
        </w:rPr>
        <w:fldChar w:fldCharType="end"/>
      </w:r>
      <w:r>
        <w:rPr>
          <w:sz w:val="24"/>
          <w:szCs w:val="24"/>
        </w:rPr>
        <w:t>).</w:t>
      </w:r>
    </w:p>
    <w:p>
      <w:pPr>
        <w:pStyle w:val="Nivel2"/>
        <w:numPr>
          <w:ilvl w:val="2"/>
          <w:numId w:val="1"/>
        </w:numPr>
        <w:rPr/>
      </w:pPr>
      <w:r>
        <w:rPr>
          <w:sz w:val="24"/>
          <w:szCs w:val="24"/>
        </w:rPr>
        <w:t xml:space="preserve">O fiscal técnico do contrato comunicará ao gestor do contrato, em tempo hábil, o término do contrato sob sua responsabilidade, com vistas à renovação tempestiva ou à prorrogação contratual </w:t>
      </w:r>
      <w:r>
        <w:fldChar w:fldCharType="begin"/>
      </w:r>
      <w:r>
        <w:rPr>
          <w:rStyle w:val="LinkdaInternet"/>
          <w:sz w:val="24"/>
          <w:szCs w:val="24"/>
        </w:rPr>
        <w:instrText> HYPERLINK "https://www.planalto.gov.br/ccivil_03/_ato2019-2022/2022/Decreto/D11246.htm" \l "art22"</w:instrText>
      </w:r>
      <w:r>
        <w:rPr>
          <w:rStyle w:val="LinkdaInternet"/>
          <w:sz w:val="24"/>
          <w:szCs w:val="24"/>
        </w:rPr>
        <w:fldChar w:fldCharType="separate"/>
      </w:r>
      <w:r>
        <w:rPr>
          <w:rStyle w:val="LinkdaInternet"/>
          <w:sz w:val="24"/>
          <w:szCs w:val="24"/>
        </w:rPr>
        <w:t>(Decreto nº 11.246, de 2022, art. 22, VII</w:t>
      </w:r>
      <w:r>
        <w:rPr>
          <w:rStyle w:val="LinkdaInternet"/>
          <w:sz w:val="24"/>
          <w:szCs w:val="24"/>
        </w:rPr>
        <w:fldChar w:fldCharType="end"/>
      </w:r>
      <w:r>
        <w:rPr>
          <w:sz w:val="24"/>
          <w:szCs w:val="24"/>
        </w:rPr>
        <w:t>).</w:t>
      </w:r>
    </w:p>
    <w:p>
      <w:pPr>
        <w:pStyle w:val="Nivel3"/>
        <w:numPr>
          <w:ilvl w:val="0"/>
          <w:numId w:val="0"/>
        </w:numPr>
        <w:ind w:left="284" w:hanging="0"/>
        <w:rPr>
          <w:rFonts w:ascii="Calibri" w:hAnsi="Calibri"/>
          <w:sz w:val="24"/>
          <w:szCs w:val="24"/>
        </w:rPr>
      </w:pPr>
      <w:r>
        <w:rPr>
          <w:sz w:val="24"/>
          <w:szCs w:val="24"/>
        </w:rPr>
        <w:t>Fiscalização Administrativa</w:t>
      </w:r>
    </w:p>
    <w:p>
      <w:pPr>
        <w:pStyle w:val="Nivel2"/>
        <w:numPr>
          <w:ilvl w:val="1"/>
          <w:numId w:val="1"/>
        </w:numPr>
        <w:ind w:left="0" w:right="0" w:hanging="0"/>
        <w:rPr/>
      </w:pPr>
      <w:r>
        <w:rPr>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r>
        <w:fldChar w:fldCharType="begin"/>
      </w:r>
      <w:r>
        <w:rPr>
          <w:rStyle w:val="LinkdaInternet"/>
          <w:sz w:val="24"/>
          <w:szCs w:val="24"/>
        </w:rPr>
        <w:instrText> HYPERLINK "https://www.planalto.gov.br/ccivil_03/_ato2019-2022/2022/Decreto/D11246.htm" \l "art23"</w:instrText>
      </w:r>
      <w:r>
        <w:rPr>
          <w:rStyle w:val="LinkdaInternet"/>
          <w:sz w:val="24"/>
          <w:szCs w:val="24"/>
        </w:rPr>
        <w:fldChar w:fldCharType="separate"/>
      </w:r>
      <w:r>
        <w:rPr>
          <w:rStyle w:val="LinkdaInternet"/>
          <w:sz w:val="24"/>
          <w:szCs w:val="24"/>
        </w:rPr>
        <w:t>Art. 23, I e II, do Decreto nº 11.246, de 2022</w:t>
      </w:r>
      <w:r>
        <w:rPr>
          <w:rStyle w:val="LinkdaInternet"/>
          <w:sz w:val="24"/>
          <w:szCs w:val="24"/>
        </w:rPr>
        <w:fldChar w:fldCharType="end"/>
      </w:r>
      <w:r>
        <w:rPr>
          <w:sz w:val="24"/>
          <w:szCs w:val="24"/>
        </w:rPr>
        <w:t>).</w:t>
      </w:r>
    </w:p>
    <w:p>
      <w:pPr>
        <w:pStyle w:val="Nivel2"/>
        <w:numPr>
          <w:ilvl w:val="2"/>
          <w:numId w:val="1"/>
        </w:numPr>
        <w:rPr/>
      </w:pPr>
      <w:r>
        <w:rPr>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 (</w:t>
      </w:r>
      <w:r>
        <w:fldChar w:fldCharType="begin"/>
      </w:r>
      <w:r>
        <w:rPr>
          <w:rStyle w:val="LinkdaInternet"/>
          <w:sz w:val="24"/>
          <w:szCs w:val="24"/>
        </w:rPr>
        <w:instrText> HYPERLINK "https://www.planalto.gov.br/ccivil_03/_ato2019-2022/2022/Decreto/D11246.htm" \l "art23"</w:instrText>
      </w:r>
      <w:r>
        <w:rPr>
          <w:rStyle w:val="LinkdaInternet"/>
          <w:sz w:val="24"/>
          <w:szCs w:val="24"/>
        </w:rPr>
        <w:fldChar w:fldCharType="separate"/>
      </w:r>
      <w:r>
        <w:rPr>
          <w:rStyle w:val="LinkdaInternet"/>
          <w:sz w:val="24"/>
          <w:szCs w:val="24"/>
        </w:rPr>
        <w:t>Decreto nº 11.246, de 2022, art. 23, IV</w:t>
      </w:r>
      <w:r>
        <w:rPr>
          <w:rStyle w:val="LinkdaInternet"/>
          <w:sz w:val="24"/>
          <w:szCs w:val="24"/>
        </w:rPr>
        <w:fldChar w:fldCharType="end"/>
      </w:r>
      <w:r>
        <w:rPr>
          <w:sz w:val="24"/>
          <w:szCs w:val="24"/>
        </w:rPr>
        <w:t>).</w:t>
      </w:r>
    </w:p>
    <w:p>
      <w:pPr>
        <w:pStyle w:val="Nvel1SemNumPreto"/>
        <w:numPr>
          <w:ilvl w:val="0"/>
          <w:numId w:val="0"/>
        </w:numPr>
        <w:ind w:left="720" w:hanging="0"/>
        <w:rPr>
          <w:i/>
          <w:i/>
          <w:iCs/>
        </w:rPr>
      </w:pPr>
      <w:r>
        <w:rPr>
          <w:sz w:val="24"/>
          <w:szCs w:val="24"/>
        </w:rPr>
        <w:t>Gestor do Contrato</w:t>
      </w:r>
    </w:p>
    <w:p>
      <w:pPr>
        <w:pStyle w:val="Nivel2"/>
        <w:numPr>
          <w:ilvl w:val="1"/>
          <w:numId w:val="1"/>
        </w:numPr>
        <w:ind w:left="0" w:right="0" w:hanging="0"/>
        <w:rPr>
          <w:rFonts w:ascii="Calibri" w:hAnsi="Calibri"/>
          <w:sz w:val="24"/>
          <w:szCs w:val="24"/>
        </w:rPr>
      </w:pPr>
      <w:r>
        <w:rPr>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pPr>
        <w:pStyle w:val="Nivel2"/>
        <w:numPr>
          <w:ilvl w:val="1"/>
          <w:numId w:val="1"/>
        </w:numPr>
        <w:ind w:left="0" w:right="0" w:hanging="0"/>
        <w:rPr>
          <w:rFonts w:ascii="Calibri" w:hAnsi="Calibri"/>
          <w:sz w:val="24"/>
          <w:szCs w:val="24"/>
        </w:rPr>
      </w:pPr>
      <w:r>
        <w:rPr>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pPr>
        <w:pStyle w:val="Nivel2"/>
        <w:numPr>
          <w:ilvl w:val="1"/>
          <w:numId w:val="1"/>
        </w:numPr>
        <w:ind w:left="0" w:right="0" w:hanging="0"/>
        <w:rPr>
          <w:rFonts w:ascii="Calibri" w:hAnsi="Calibri"/>
          <w:sz w:val="24"/>
          <w:szCs w:val="24"/>
        </w:rPr>
      </w:pPr>
      <w:r>
        <w:rPr>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pPr>
        <w:pStyle w:val="Nivel2"/>
        <w:numPr>
          <w:ilvl w:val="1"/>
          <w:numId w:val="1"/>
        </w:numPr>
        <w:ind w:left="0" w:right="0" w:hanging="0"/>
        <w:rPr>
          <w:rFonts w:ascii="Calibri" w:hAnsi="Calibri"/>
          <w:sz w:val="24"/>
          <w:szCs w:val="24"/>
        </w:rPr>
      </w:pPr>
      <w:r>
        <w:rPr>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pPr>
        <w:pStyle w:val="Nivel2"/>
        <w:numPr>
          <w:ilvl w:val="1"/>
          <w:numId w:val="1"/>
        </w:numPr>
        <w:ind w:left="0" w:right="0" w:hanging="0"/>
        <w:rPr>
          <w:rFonts w:ascii="Calibri" w:hAnsi="Calibri"/>
          <w:sz w:val="24"/>
          <w:szCs w:val="24"/>
        </w:rPr>
      </w:pPr>
      <w:r>
        <w:rPr>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pPr>
        <w:pStyle w:val="Nivel2"/>
        <w:numPr>
          <w:ilvl w:val="1"/>
          <w:numId w:val="1"/>
        </w:numPr>
        <w:ind w:left="0" w:right="0" w:hanging="0"/>
        <w:rPr>
          <w:rFonts w:ascii="Calibri" w:hAnsi="Calibri"/>
          <w:sz w:val="24"/>
          <w:szCs w:val="24"/>
        </w:rPr>
      </w:pPr>
      <w:r>
        <w:rPr>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pPr>
        <w:pStyle w:val="Nivel2"/>
        <w:numPr>
          <w:ilvl w:val="1"/>
          <w:numId w:val="1"/>
        </w:numPr>
        <w:ind w:left="0" w:right="0" w:hanging="0"/>
        <w:rPr>
          <w:rFonts w:ascii="Calibri" w:hAnsi="Calibri"/>
          <w:sz w:val="24"/>
          <w:szCs w:val="24"/>
        </w:rPr>
      </w:pPr>
      <w:r>
        <w:rPr>
          <w:sz w:val="24"/>
          <w:szCs w:val="24"/>
        </w:rPr>
        <w:t>O gestor do contrato deverá enviar a documentação pertinente ao setor de contratos para a formalização dos procedimentos de liquidação e pagamento, no valor dimensionado pela fiscalização e gestão nos termos do contrato.</w:t>
      </w:r>
    </w:p>
    <w:p>
      <w:pPr>
        <w:pStyle w:val="Nivel01"/>
        <w:numPr>
          <w:ilvl w:val="0"/>
          <w:numId w:val="1"/>
        </w:numPr>
        <w:rPr/>
      </w:pPr>
      <w:r>
        <w:rPr/>
        <w:t>CRITÉRIOS DE MEDIÇÃO E DE PAGAMENTO</w:t>
      </w:r>
    </w:p>
    <w:p>
      <w:pPr>
        <w:pStyle w:val="Nvel1SemNumPreto"/>
        <w:numPr>
          <w:ilvl w:val="0"/>
          <w:numId w:val="0"/>
        </w:numPr>
        <w:ind w:left="720" w:hanging="0"/>
        <w:rPr>
          <w:rFonts w:ascii="Calibri" w:hAnsi="Calibri"/>
          <w:sz w:val="24"/>
          <w:szCs w:val="24"/>
        </w:rPr>
      </w:pPr>
      <w:r>
        <w:rPr>
          <w:sz w:val="24"/>
          <w:szCs w:val="24"/>
        </w:rPr>
        <w:t>Recebimento</w:t>
      </w:r>
    </w:p>
    <w:p>
      <w:pPr>
        <w:pStyle w:val="Nivel2"/>
        <w:numPr>
          <w:ilvl w:val="1"/>
          <w:numId w:val="1"/>
        </w:numPr>
        <w:ind w:left="0" w:right="0" w:hanging="0"/>
        <w:rPr>
          <w:rFonts w:ascii="Calibri" w:hAnsi="Calibri"/>
          <w:sz w:val="24"/>
          <w:szCs w:val="24"/>
        </w:rPr>
      </w:pPr>
      <w:r>
        <w:rPr>
          <w:sz w:val="24"/>
          <w:szCs w:val="24"/>
          <w:lang w:eastAsia="en-US"/>
        </w:rPr>
        <w:t xml:space="preserve">Os bens serão recebidos provisoriamente, de forma sumária, no ato da entrega, juntamente com a </w:t>
      </w:r>
      <w:r>
        <w:rPr>
          <w:rFonts w:eastAsia="Calibri"/>
          <w:sz w:val="24"/>
          <w:szCs w:val="24"/>
          <w:lang w:eastAsia="en-US"/>
        </w:rPr>
        <w:t>nota</w:t>
      </w:r>
      <w:r>
        <w:rPr>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Pr>
          <w:color w:val="FF0000"/>
          <w:sz w:val="24"/>
          <w:szCs w:val="24"/>
          <w:lang w:eastAsia="en-US"/>
        </w:rPr>
        <w:t xml:space="preserve"> </w:t>
      </w:r>
      <w:r>
        <w:rPr>
          <w:sz w:val="24"/>
          <w:szCs w:val="24"/>
          <w:lang w:eastAsia="en-US"/>
        </w:rPr>
        <w:t>e na proposta.</w:t>
      </w:r>
    </w:p>
    <w:p>
      <w:pPr>
        <w:pStyle w:val="Nivel2"/>
        <w:numPr>
          <w:ilvl w:val="1"/>
          <w:numId w:val="1"/>
        </w:numPr>
        <w:ind w:left="0" w:right="0" w:hanging="0"/>
        <w:rPr>
          <w:rFonts w:ascii="Calibri" w:hAnsi="Calibri"/>
          <w:sz w:val="24"/>
          <w:szCs w:val="24"/>
        </w:rPr>
      </w:pPr>
      <w:r>
        <w:rPr>
          <w:sz w:val="24"/>
          <w:szCs w:val="24"/>
          <w:lang w:eastAsia="en-US"/>
        </w:rPr>
        <w:t>Os bens poderão ser rejeitados, no todo ou em parte, inclusive antes do recebimento provisório, quando em desacordo com as especificações constantes no Termo de Referência</w:t>
      </w:r>
      <w:r>
        <w:rPr>
          <w:color w:val="FF0000"/>
          <w:sz w:val="24"/>
          <w:szCs w:val="24"/>
          <w:lang w:eastAsia="en-US"/>
        </w:rPr>
        <w:t xml:space="preserve"> </w:t>
      </w:r>
      <w:r>
        <w:rPr>
          <w:sz w:val="24"/>
          <w:szCs w:val="24"/>
          <w:lang w:eastAsia="en-US"/>
        </w:rPr>
        <w:t>e na proposta, devendo ser substituídos no prazo de 15 (quinze)</w:t>
      </w:r>
      <w:r>
        <w:rPr>
          <w:color w:val="FF0000"/>
          <w:sz w:val="24"/>
          <w:szCs w:val="24"/>
          <w:lang w:eastAsia="en-US"/>
        </w:rPr>
        <w:t xml:space="preserve"> </w:t>
      </w:r>
      <w:r>
        <w:rPr>
          <w:sz w:val="24"/>
          <w:szCs w:val="24"/>
          <w:lang w:eastAsia="en-US"/>
        </w:rPr>
        <w:t>dias, a contar da notificação da contratada, às suas custas, sem prejuízo da aplicação das penalidades.</w:t>
      </w:r>
    </w:p>
    <w:p>
      <w:pPr>
        <w:pStyle w:val="Nivel2"/>
        <w:numPr>
          <w:ilvl w:val="1"/>
          <w:numId w:val="1"/>
        </w:numPr>
        <w:ind w:left="0" w:right="0" w:hanging="0"/>
        <w:rPr>
          <w:rFonts w:ascii="Calibri" w:hAnsi="Calibri"/>
          <w:sz w:val="24"/>
          <w:szCs w:val="24"/>
        </w:rPr>
      </w:pPr>
      <w:r>
        <w:rPr>
          <w:sz w:val="24"/>
          <w:szCs w:val="24"/>
          <w:lang w:eastAsia="en-US"/>
        </w:rPr>
        <w:t>O recebimento definitivo ocorrerá no prazo de 5 (cinco) dias úteis,</w:t>
      </w:r>
      <w:r>
        <w:rPr>
          <w:color w:val="FF0000"/>
          <w:sz w:val="24"/>
          <w:szCs w:val="24"/>
          <w:lang w:eastAsia="en-US"/>
        </w:rPr>
        <w:t xml:space="preserve"> </w:t>
      </w:r>
      <w:r>
        <w:rPr>
          <w:sz w:val="24"/>
          <w:szCs w:val="24"/>
          <w:lang w:eastAsia="en-US"/>
        </w:rPr>
        <w:t>a contar do recebimento da nota fiscal ou instrumento de cobrança equivalente pela Administração, após a verificação da qualidade e quantidade do material e consequente aceitação mediante termo detalhado.</w:t>
      </w:r>
    </w:p>
    <w:p>
      <w:pPr>
        <w:pStyle w:val="Nivel2"/>
        <w:numPr>
          <w:ilvl w:val="1"/>
          <w:numId w:val="1"/>
        </w:numPr>
        <w:ind w:left="0" w:right="0" w:hanging="0"/>
        <w:rPr/>
      </w:pPr>
      <w:r>
        <w:rPr>
          <w:sz w:val="24"/>
          <w:szCs w:val="24"/>
          <w:lang w:eastAsia="en-US"/>
        </w:rPr>
        <w:t xml:space="preserve">Para as contratações decorrentes de despesas cujos valores não ultrapassem o limite de que trata o </w:t>
      </w:r>
      <w:r>
        <w:fldChar w:fldCharType="begin"/>
      </w:r>
      <w:r>
        <w:rPr>
          <w:rStyle w:val="LinkdaInternet"/>
          <w:sz w:val="24"/>
          <w:szCs w:val="24"/>
        </w:rPr>
        <w:instrText> HYPERLINK "http://www.planalto.gov.br/ccivil_03/_ato2019-2022/2021/lei/L14133.htm" \l "art75"</w:instrText>
      </w:r>
      <w:r>
        <w:rPr>
          <w:rStyle w:val="LinkdaInternet"/>
          <w:sz w:val="24"/>
          <w:szCs w:val="24"/>
        </w:rPr>
        <w:fldChar w:fldCharType="separate"/>
      </w:r>
      <w:r>
        <w:rPr>
          <w:rStyle w:val="LinkdaInternet"/>
          <w:sz w:val="24"/>
          <w:szCs w:val="24"/>
          <w:lang w:eastAsia="en-US"/>
        </w:rPr>
        <w:t>inciso II do art. 75 da Lei nº 14.133, de 2021</w:t>
      </w:r>
      <w:r>
        <w:rPr>
          <w:rStyle w:val="LinkdaInternet"/>
          <w:sz w:val="24"/>
          <w:szCs w:val="24"/>
        </w:rPr>
        <w:fldChar w:fldCharType="end"/>
      </w:r>
      <w:r>
        <w:rPr>
          <w:sz w:val="24"/>
          <w:szCs w:val="24"/>
          <w:lang w:eastAsia="en-US"/>
        </w:rPr>
        <w:t>, o prazo máximo para o recebimento definitivo será de até 15 (quinze)</w:t>
      </w:r>
      <w:r>
        <w:rPr>
          <w:color w:val="FF0000"/>
          <w:sz w:val="24"/>
          <w:szCs w:val="24"/>
          <w:lang w:eastAsia="en-US"/>
        </w:rPr>
        <w:t xml:space="preserve"> </w:t>
      </w:r>
      <w:r>
        <w:rPr>
          <w:sz w:val="24"/>
          <w:szCs w:val="24"/>
          <w:lang w:eastAsia="en-US"/>
        </w:rPr>
        <w:t>dias úteis.</w:t>
      </w:r>
    </w:p>
    <w:p>
      <w:pPr>
        <w:pStyle w:val="Nivel2"/>
        <w:numPr>
          <w:ilvl w:val="1"/>
          <w:numId w:val="1"/>
        </w:numPr>
        <w:ind w:left="0" w:right="0" w:hanging="0"/>
        <w:rPr>
          <w:lang w:eastAsia="en-US"/>
        </w:rPr>
      </w:pPr>
      <w:r>
        <w:rPr>
          <w:sz w:val="24"/>
          <w:szCs w:val="24"/>
          <w:lang w:eastAsia="en-US"/>
        </w:rPr>
        <w:t xml:space="preserve">O prazo para recebimento definitivo poderá ser excepcionalmente prorrogado, </w:t>
      </w:r>
      <w:r>
        <w:rPr>
          <w:color w:val="auto"/>
          <w:sz w:val="24"/>
          <w:szCs w:val="24"/>
          <w:lang w:eastAsia="en-US"/>
        </w:rPr>
        <w:t>de forma justificada, por igual período, quando houver necessidade de diligências para a aferição do ate</w:t>
      </w:r>
      <w:r>
        <w:rPr>
          <w:sz w:val="24"/>
          <w:szCs w:val="24"/>
          <w:lang w:eastAsia="en-US"/>
        </w:rPr>
        <w:t>ndimento das exigências contratuais.</w:t>
      </w:r>
    </w:p>
    <w:p>
      <w:pPr>
        <w:pStyle w:val="Nivel2"/>
        <w:numPr>
          <w:ilvl w:val="1"/>
          <w:numId w:val="1"/>
        </w:numPr>
        <w:ind w:left="0" w:right="0" w:hanging="0"/>
        <w:rPr/>
      </w:pPr>
      <w:r>
        <w:rPr>
          <w:sz w:val="24"/>
          <w:szCs w:val="24"/>
          <w:lang w:eastAsia="en-US"/>
        </w:rPr>
        <w:t xml:space="preserve">No caso de controvérsia sobre a execução do objeto, quanto à dimensão, qualidade e quantidade, deverá ser observado o teor do </w:t>
      </w:r>
      <w:r>
        <w:fldChar w:fldCharType="begin"/>
      </w:r>
      <w:r>
        <w:rPr>
          <w:rStyle w:val="LinkdaInternet"/>
          <w:sz w:val="24"/>
          <w:szCs w:val="24"/>
        </w:rPr>
        <w:instrText> HYPERLINK "http://www.planalto.gov.br/ccivil_03/_ato2019-2022/2021/lei/L14133.htm" \l "art143"</w:instrText>
      </w:r>
      <w:r>
        <w:rPr>
          <w:rStyle w:val="LinkdaInternet"/>
          <w:sz w:val="24"/>
          <w:szCs w:val="24"/>
        </w:rPr>
        <w:fldChar w:fldCharType="separate"/>
      </w:r>
      <w:r>
        <w:rPr>
          <w:rStyle w:val="LinkdaInternet"/>
          <w:sz w:val="24"/>
          <w:szCs w:val="24"/>
          <w:lang w:eastAsia="en-US"/>
        </w:rPr>
        <w:t>art. 143 da Lei nº 14.133, de 2021</w:t>
      </w:r>
      <w:r>
        <w:rPr>
          <w:rStyle w:val="LinkdaInternet"/>
          <w:sz w:val="24"/>
          <w:szCs w:val="24"/>
        </w:rPr>
        <w:fldChar w:fldCharType="end"/>
      </w:r>
      <w:r>
        <w:rPr>
          <w:sz w:val="24"/>
          <w:szCs w:val="24"/>
          <w:lang w:eastAsia="en-US"/>
        </w:rPr>
        <w:t>, comunicando-se à empresa para emissão de Nota Fiscal no que pertine à parcela incontroversa da execução do objeto, para efeito de liquidação e pagamento.</w:t>
      </w:r>
    </w:p>
    <w:p>
      <w:pPr>
        <w:pStyle w:val="Nivel2"/>
        <w:numPr>
          <w:ilvl w:val="1"/>
          <w:numId w:val="1"/>
        </w:numPr>
        <w:ind w:left="0" w:right="0" w:hanging="0"/>
        <w:rPr>
          <w:lang w:eastAsia="en-US"/>
        </w:rPr>
      </w:pPr>
      <w:r>
        <w:rPr>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pPr>
        <w:pStyle w:val="Nivel2"/>
        <w:numPr>
          <w:ilvl w:val="1"/>
          <w:numId w:val="1"/>
        </w:numPr>
        <w:ind w:left="0" w:right="0" w:hanging="0"/>
        <w:rPr>
          <w:lang w:eastAsia="en-US"/>
        </w:rPr>
      </w:pPr>
      <w:r>
        <w:rPr>
          <w:sz w:val="24"/>
          <w:szCs w:val="24"/>
          <w:lang w:eastAsia="en-US"/>
        </w:rPr>
        <w:t>O recebimento provisório ou definitivo não excluirá a responsabilidade civil pela solidez e pela segurança dos bens nem a responsabilidade ético-profissional pela perfeita execução do contrato.</w:t>
      </w:r>
    </w:p>
    <w:p>
      <w:pPr>
        <w:pStyle w:val="Nvel1SemNumPreto"/>
        <w:numPr>
          <w:ilvl w:val="0"/>
          <w:numId w:val="0"/>
        </w:numPr>
        <w:ind w:left="720" w:hanging="0"/>
        <w:rPr>
          <w:rFonts w:ascii="Calibri" w:hAnsi="Calibri"/>
          <w:sz w:val="24"/>
          <w:szCs w:val="24"/>
        </w:rPr>
      </w:pPr>
      <w:r>
        <w:rPr>
          <w:sz w:val="24"/>
          <w:szCs w:val="24"/>
        </w:rPr>
        <w:t>Liquidação</w:t>
      </w:r>
    </w:p>
    <w:p>
      <w:pPr>
        <w:pStyle w:val="Nivel2"/>
        <w:numPr>
          <w:ilvl w:val="1"/>
          <w:numId w:val="1"/>
        </w:numPr>
        <w:ind w:left="0" w:right="0" w:hanging="0"/>
        <w:rPr>
          <w:lang w:eastAsia="en-US"/>
        </w:rPr>
      </w:pPr>
      <w:r>
        <w:rPr>
          <w:sz w:val="24"/>
          <w:szCs w:val="24"/>
          <w:lang w:eastAsia="en-US"/>
        </w:rPr>
        <w:t>Recebida a Nota Fiscal ou documento de cobrança equivalente, correrá o prazo de dez dias úteis para fins de liquidação, na forma desta seção, prorrogáveis por igual período, nos termos do art. 7º, §3</w:t>
      </w:r>
      <w:r>
        <w:rPr>
          <w:rStyle w:val="LinkdaInternet"/>
          <w:sz w:val="24"/>
          <w:szCs w:val="24"/>
          <w:lang w:eastAsia="en-US"/>
        </w:rPr>
        <w:t>º da Instrução Normativa SEGES/ME nº 77/2022</w:t>
      </w:r>
      <w:r>
        <w:rPr>
          <w:sz w:val="24"/>
          <w:szCs w:val="24"/>
          <w:lang w:eastAsia="en-US"/>
        </w:rPr>
        <w:t>.</w:t>
      </w:r>
    </w:p>
    <w:p>
      <w:pPr>
        <w:pStyle w:val="Nivel2"/>
        <w:numPr>
          <w:ilvl w:val="2"/>
          <w:numId w:val="1"/>
        </w:numPr>
        <w:rPr/>
      </w:pPr>
      <w:r>
        <w:rPr>
          <w:sz w:val="24"/>
          <w:szCs w:val="24"/>
        </w:rPr>
        <w:t xml:space="preserve">O prazo de que trata o item anterior será reduzido à metade, mantendo-se a possibilidade de prorrogação, no caso de contratações decorrentes de despesas cujos valores não ultrapassem o limite de que trata o </w:t>
      </w:r>
      <w:r>
        <w:fldChar w:fldCharType="begin"/>
      </w:r>
      <w:r>
        <w:rPr>
          <w:rStyle w:val="LinkdaInternet"/>
          <w:sz w:val="24"/>
          <w:szCs w:val="24"/>
        </w:rPr>
        <w:instrText> HYPERLINK "http://www.planalto.gov.br/ccivil_03/_ato2019-2022/2021/lei/L14133.htm" \l "art75"</w:instrText>
      </w:r>
      <w:r>
        <w:rPr>
          <w:rStyle w:val="LinkdaInternet"/>
          <w:sz w:val="24"/>
          <w:szCs w:val="24"/>
        </w:rPr>
        <w:fldChar w:fldCharType="separate"/>
      </w:r>
      <w:r>
        <w:rPr>
          <w:rStyle w:val="LinkdaInternet"/>
          <w:sz w:val="24"/>
          <w:szCs w:val="24"/>
        </w:rPr>
        <w:t>inciso II do art. 75 da Lei nº 14.133, de 2021</w:t>
      </w:r>
      <w:r>
        <w:rPr>
          <w:rStyle w:val="LinkdaInternet"/>
          <w:sz w:val="24"/>
          <w:szCs w:val="24"/>
        </w:rPr>
        <w:fldChar w:fldCharType="end"/>
      </w:r>
      <w:r>
        <w:rPr>
          <w:sz w:val="24"/>
          <w:szCs w:val="24"/>
        </w:rPr>
        <w:t>.</w:t>
      </w:r>
    </w:p>
    <w:p>
      <w:pPr>
        <w:pStyle w:val="Nivel2"/>
        <w:numPr>
          <w:ilvl w:val="1"/>
          <w:numId w:val="1"/>
        </w:numPr>
        <w:ind w:left="0" w:right="0" w:hanging="0"/>
        <w:rPr>
          <w:lang w:eastAsia="en-US"/>
        </w:rPr>
      </w:pPr>
      <w:r>
        <w:rPr>
          <w:sz w:val="24"/>
          <w:szCs w:val="24"/>
          <w:lang w:eastAsia="en-US"/>
        </w:rPr>
        <w:t xml:space="preserve">Para fins de liquidação, o setor competente deverá verificar se a nota fiscal ou instrumento de cobrança equivalente apresentado expressa os elementos necessários e essenciais do documento, tais como: </w:t>
      </w:r>
    </w:p>
    <w:p>
      <w:pPr>
        <w:pStyle w:val="Nivel2"/>
        <w:numPr>
          <w:ilvl w:val="2"/>
          <w:numId w:val="1"/>
        </w:numPr>
        <w:rPr>
          <w:lang w:eastAsia="en-US"/>
        </w:rPr>
      </w:pPr>
      <w:r>
        <w:rPr/>
        <w:t>o prazo de validade;</w:t>
      </w:r>
    </w:p>
    <w:p>
      <w:pPr>
        <w:pStyle w:val="Nivel2"/>
        <w:numPr>
          <w:ilvl w:val="2"/>
          <w:numId w:val="1"/>
        </w:numPr>
        <w:rPr>
          <w:lang w:eastAsia="en-US"/>
        </w:rPr>
      </w:pPr>
      <w:r>
        <w:rPr/>
        <w:t xml:space="preserve">a data da emissão; </w:t>
      </w:r>
    </w:p>
    <w:p>
      <w:pPr>
        <w:pStyle w:val="Nivel2"/>
        <w:numPr>
          <w:ilvl w:val="2"/>
          <w:numId w:val="1"/>
        </w:numPr>
        <w:rPr>
          <w:lang w:eastAsia="en-US"/>
        </w:rPr>
      </w:pPr>
      <w:r>
        <w:rPr/>
        <w:t xml:space="preserve">os dados do contrato e do órgão contratante; </w:t>
      </w:r>
    </w:p>
    <w:p>
      <w:pPr>
        <w:pStyle w:val="Nivel2"/>
        <w:numPr>
          <w:ilvl w:val="2"/>
          <w:numId w:val="1"/>
        </w:numPr>
        <w:rPr>
          <w:lang w:eastAsia="en-US"/>
        </w:rPr>
      </w:pPr>
      <w:r>
        <w:rPr/>
        <w:t xml:space="preserve">o período respectivo de execução do contrato; </w:t>
      </w:r>
    </w:p>
    <w:p>
      <w:pPr>
        <w:pStyle w:val="Nivel2"/>
        <w:numPr>
          <w:ilvl w:val="2"/>
          <w:numId w:val="1"/>
        </w:numPr>
        <w:rPr>
          <w:lang w:eastAsia="en-US"/>
        </w:rPr>
      </w:pPr>
      <w:r>
        <w:rPr/>
        <w:t xml:space="preserve">o valor a pagar; e </w:t>
      </w:r>
    </w:p>
    <w:p>
      <w:pPr>
        <w:pStyle w:val="Nivel2"/>
        <w:numPr>
          <w:ilvl w:val="2"/>
          <w:numId w:val="1"/>
        </w:numPr>
        <w:rPr>
          <w:lang w:eastAsia="en-US"/>
        </w:rPr>
      </w:pPr>
      <w:r>
        <w:rPr/>
        <w:t>eventual destaque do valor de retenções tributárias cabíveis.</w:t>
      </w:r>
    </w:p>
    <w:p>
      <w:pPr>
        <w:pStyle w:val="Nivel2"/>
        <w:numPr>
          <w:ilvl w:val="1"/>
          <w:numId w:val="1"/>
        </w:numPr>
        <w:ind w:left="0" w:right="0" w:hanging="0"/>
        <w:rPr>
          <w:lang w:eastAsia="en-US"/>
        </w:rPr>
      </w:pPr>
      <w:r>
        <w:rPr>
          <w:rFonts w:eastAsia="Calibri"/>
          <w:sz w:val="24"/>
          <w:szCs w:val="24"/>
          <w:lang w:eastAsia="en-US"/>
        </w:rPr>
        <w:t xml:space="preserve"> </w:t>
      </w:r>
      <w:r>
        <w:rPr>
          <w:rFonts w:eastAsia="Calibri"/>
          <w:sz w:val="24"/>
          <w:szCs w:val="24"/>
          <w:lang w:eastAsia="en-US"/>
        </w:rPr>
        <w:t xml:space="preserve">Havendo erro na apresentação da nota fiscal ou instrumento de cobrança equivalente, ou circunstância que impeça a </w:t>
      </w:r>
      <w:r>
        <w:rPr>
          <w:sz w:val="24"/>
          <w:szCs w:val="24"/>
          <w:lang w:eastAsia="en-US"/>
        </w:rPr>
        <w:t>liquidação da despesa, esta ficará sobrestada até que o contratado providencie as medidas saneadoras, reiniciando-se o prazo após a comprovação da regularização da situação, sem ônus ao contratante;</w:t>
      </w:r>
    </w:p>
    <w:p>
      <w:pPr>
        <w:pStyle w:val="Nivel2"/>
        <w:numPr>
          <w:ilvl w:val="1"/>
          <w:numId w:val="1"/>
        </w:numPr>
        <w:ind w:left="0" w:right="0" w:hanging="0"/>
        <w:rPr/>
      </w:pPr>
      <w:r>
        <w:rPr>
          <w:sz w:val="24"/>
          <w:szCs w:val="24"/>
          <w:lang w:eastAsia="en-US"/>
        </w:rPr>
        <w:t xml:space="preserve"> </w:t>
      </w:r>
      <w:r>
        <w:rPr>
          <w:sz w:val="24"/>
          <w:szCs w:val="24"/>
          <w:lang w:eastAsia="en-US"/>
        </w:rPr>
        <w:t xml:space="preserve">A nota fiscal ou instrumento de cobrança equivalente deverá ser obrigatoriamente acompanhado da comprovação da regularidade fiscal, constatada por meio de consulta </w:t>
      </w:r>
      <w:r>
        <w:rPr>
          <w:i/>
          <w:iCs/>
          <w:sz w:val="24"/>
          <w:szCs w:val="24"/>
          <w:lang w:eastAsia="en-US"/>
        </w:rPr>
        <w:t>on-line</w:t>
      </w:r>
      <w:r>
        <w:rPr>
          <w:sz w:val="24"/>
          <w:szCs w:val="24"/>
          <w:lang w:eastAsia="en-US"/>
        </w:rPr>
        <w:t xml:space="preserve"> ao SICAF ou, na impossibilidade de acesso ao referido Sistema, mediante consulta aos sítios eletrônicos oficiais ou à documentação mencionada no </w:t>
      </w:r>
      <w:r>
        <w:fldChar w:fldCharType="begin"/>
      </w:r>
      <w:r>
        <w:rPr>
          <w:rStyle w:val="LinkdaInternet"/>
          <w:sz w:val="24"/>
          <w:szCs w:val="24"/>
        </w:rPr>
        <w:instrText> HYPERLINK "http://www.planalto.gov.br/ccivil_03/_ato2019-2022/2021/lei/L14133.htm" \l "art68"</w:instrText>
      </w:r>
      <w:r>
        <w:rPr>
          <w:rStyle w:val="LinkdaInternet"/>
          <w:sz w:val="24"/>
          <w:szCs w:val="24"/>
        </w:rPr>
        <w:fldChar w:fldCharType="separate"/>
      </w:r>
      <w:r>
        <w:rPr>
          <w:rStyle w:val="LinkdaInternet"/>
          <w:sz w:val="24"/>
          <w:szCs w:val="24"/>
          <w:lang w:eastAsia="en-US"/>
        </w:rPr>
        <w:t xml:space="preserve">art. 68 da Lei nº 14.133, de 2021.  </w:t>
      </w:r>
      <w:r>
        <w:rPr>
          <w:rStyle w:val="LinkdaInternet"/>
          <w:sz w:val="24"/>
          <w:szCs w:val="24"/>
        </w:rPr>
        <w:fldChar w:fldCharType="end"/>
      </w:r>
      <w:r>
        <w:rPr>
          <w:sz w:val="24"/>
          <w:szCs w:val="24"/>
          <w:lang w:eastAsia="en-US"/>
        </w:rPr>
        <w:t xml:space="preserve"> </w:t>
      </w:r>
    </w:p>
    <w:p>
      <w:pPr>
        <w:pStyle w:val="Nivel2"/>
        <w:numPr>
          <w:ilvl w:val="1"/>
          <w:numId w:val="1"/>
        </w:numPr>
        <w:ind w:left="0" w:right="0" w:hanging="0"/>
        <w:rPr>
          <w:rFonts w:ascii="Calibri" w:hAnsi="Calibri"/>
          <w:sz w:val="24"/>
          <w:szCs w:val="24"/>
        </w:rPr>
      </w:pPr>
      <w:r>
        <w:rPr>
          <w:sz w:val="24"/>
          <w:szCs w:val="24"/>
        </w:rPr>
        <w:t>A Administração deverá realizar consulta ao SICAF para: a) verificar a manutenção das condições de habilitação exigidas; b) identificar possível razão que impeça a contratação no âmbito do órgão ou entidade, tais como a proibição de contratar com a Administração ou com o Poder Público, bem como ocorrências impeditivas indiretas (INSTRUÇÃO NORMATIVA Nº 3, DE 26 DE ABRIL DE 2018).</w:t>
      </w:r>
    </w:p>
    <w:p>
      <w:pPr>
        <w:pStyle w:val="Nivel2"/>
        <w:numPr>
          <w:ilvl w:val="1"/>
          <w:numId w:val="1"/>
        </w:numPr>
        <w:ind w:left="0" w:right="0" w:hanging="0"/>
        <w:rPr>
          <w:lang w:eastAsia="en-US"/>
        </w:rPr>
      </w:pPr>
      <w:r>
        <w:rPr>
          <w:sz w:val="24"/>
          <w:szCs w:val="24"/>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pPr>
        <w:pStyle w:val="Nivel2"/>
        <w:numPr>
          <w:ilvl w:val="1"/>
          <w:numId w:val="1"/>
        </w:numPr>
        <w:ind w:left="0" w:right="0" w:hanging="0"/>
        <w:rPr>
          <w:lang w:eastAsia="en-US"/>
        </w:rPr>
      </w:pPr>
      <w:r>
        <w:rPr>
          <w:sz w:val="24"/>
          <w:szCs w:val="24"/>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pPr>
        <w:pStyle w:val="Nivel2"/>
        <w:numPr>
          <w:ilvl w:val="1"/>
          <w:numId w:val="1"/>
        </w:numPr>
        <w:ind w:left="0" w:right="0" w:hanging="0"/>
        <w:rPr>
          <w:lang w:eastAsia="en-US"/>
        </w:rPr>
      </w:pPr>
      <w:r>
        <w:rPr>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pPr>
        <w:pStyle w:val="Nivel2"/>
        <w:numPr>
          <w:ilvl w:val="1"/>
          <w:numId w:val="1"/>
        </w:numPr>
        <w:ind w:left="0" w:right="0" w:hanging="0"/>
        <w:rPr>
          <w:lang w:eastAsia="en-US"/>
        </w:rPr>
      </w:pPr>
      <w:r>
        <w:rPr>
          <w:sz w:val="24"/>
          <w:szCs w:val="24"/>
          <w:lang w:eastAsia="en-US"/>
        </w:rPr>
        <w:t xml:space="preserve">Havendo a efetiva execução do objeto, os pagamentos serão realizados normalmente, até que se decida pela rescisão do contrato, caso o contratado não regularize sua situação junto ao SICAF.  </w:t>
      </w:r>
    </w:p>
    <w:p>
      <w:pPr>
        <w:pStyle w:val="Nvel1SemNumPreto"/>
        <w:numPr>
          <w:ilvl w:val="0"/>
          <w:numId w:val="0"/>
        </w:numPr>
        <w:ind w:left="720" w:hanging="0"/>
        <w:rPr>
          <w:rFonts w:ascii="Calibri" w:hAnsi="Calibri"/>
          <w:sz w:val="24"/>
          <w:szCs w:val="24"/>
        </w:rPr>
      </w:pPr>
      <w:r>
        <w:rPr>
          <w:sz w:val="24"/>
          <w:szCs w:val="24"/>
        </w:rPr>
        <w:t>Prazo de pagamento</w:t>
      </w:r>
    </w:p>
    <w:p>
      <w:pPr>
        <w:pStyle w:val="Nivel2"/>
        <w:numPr>
          <w:ilvl w:val="1"/>
          <w:numId w:val="1"/>
        </w:numPr>
        <w:ind w:left="0" w:right="0" w:hanging="0"/>
        <w:rPr/>
      </w:pPr>
      <w:r>
        <w:rPr>
          <w:sz w:val="24"/>
          <w:szCs w:val="24"/>
        </w:rPr>
        <w:t xml:space="preserve">O pagamento será efetuado no prazo de até 10 (dez) dias úteis contados da finalização da liquidação da despesa, conforme seção anterior, nos termos da </w:t>
      </w:r>
      <w:hyperlink r:id="rId4">
        <w:r>
          <w:rPr>
            <w:rStyle w:val="LinkdaInternet"/>
            <w:sz w:val="24"/>
            <w:szCs w:val="24"/>
          </w:rPr>
          <w:t>Instrução Normativa SEGES/ME nº 77, de 2022</w:t>
        </w:r>
      </w:hyperlink>
      <w:r>
        <w:rPr>
          <w:sz w:val="24"/>
          <w:szCs w:val="24"/>
        </w:rPr>
        <w:t>.</w:t>
      </w:r>
    </w:p>
    <w:p>
      <w:pPr>
        <w:pStyle w:val="Nivel2"/>
        <w:numPr>
          <w:ilvl w:val="1"/>
          <w:numId w:val="1"/>
        </w:numPr>
        <w:ind w:left="0" w:right="0" w:hanging="0"/>
        <w:rPr>
          <w:lang w:eastAsia="en-US"/>
        </w:rPr>
      </w:pPr>
      <w:r>
        <w:rPr>
          <w:sz w:val="24"/>
          <w:szCs w:val="24"/>
          <w:lang w:eastAsia="en-US"/>
        </w:rPr>
        <w:t>No caso de atraso pelo Contratante, os valores devidos ao contratado serão atualizados monetariamente entre o termo final do prazo de pagamento até a data de sua efetiva realização, mediante aplicação do índice IPCA de correção monetária.</w:t>
      </w:r>
    </w:p>
    <w:p>
      <w:pPr>
        <w:pStyle w:val="Nvel1SemNumPreto"/>
        <w:numPr>
          <w:ilvl w:val="0"/>
          <w:numId w:val="0"/>
        </w:numPr>
        <w:ind w:left="720" w:hanging="0"/>
        <w:rPr>
          <w:rFonts w:ascii="Calibri" w:hAnsi="Calibri"/>
          <w:sz w:val="24"/>
          <w:szCs w:val="24"/>
        </w:rPr>
      </w:pPr>
      <w:r>
        <w:rPr>
          <w:sz w:val="24"/>
          <w:szCs w:val="24"/>
        </w:rPr>
        <w:t>Forma de pagamento</w:t>
      </w:r>
    </w:p>
    <w:p>
      <w:pPr>
        <w:pStyle w:val="Nivel2"/>
        <w:numPr>
          <w:ilvl w:val="1"/>
          <w:numId w:val="1"/>
        </w:numPr>
        <w:ind w:left="0" w:right="0" w:hanging="0"/>
        <w:rPr>
          <w:lang w:eastAsia="en-US"/>
        </w:rPr>
      </w:pPr>
      <w:r>
        <w:rPr>
          <w:sz w:val="24"/>
          <w:szCs w:val="24"/>
          <w:lang w:eastAsia="en-US"/>
        </w:rPr>
        <w:t>O pagamento será realizado por meio de ordem bancária, para crédito em banco, agência e conta corrente indicados pelo contratado.</w:t>
      </w:r>
    </w:p>
    <w:p>
      <w:pPr>
        <w:pStyle w:val="Nivel2"/>
        <w:numPr>
          <w:ilvl w:val="1"/>
          <w:numId w:val="1"/>
        </w:numPr>
        <w:ind w:left="0" w:right="0" w:hanging="0"/>
        <w:rPr>
          <w:lang w:eastAsia="en-US"/>
        </w:rPr>
      </w:pPr>
      <w:r>
        <w:rPr>
          <w:sz w:val="24"/>
          <w:szCs w:val="24"/>
          <w:lang w:eastAsia="en-US"/>
        </w:rPr>
        <w:t>Será considerada data do pagamento o dia em que constar como emitida a ordem bancária para pagamento.</w:t>
      </w:r>
    </w:p>
    <w:p>
      <w:pPr>
        <w:pStyle w:val="Nivel2"/>
        <w:numPr>
          <w:ilvl w:val="1"/>
          <w:numId w:val="1"/>
        </w:numPr>
        <w:ind w:left="0" w:right="0" w:hanging="0"/>
        <w:rPr>
          <w:lang w:eastAsia="en-US"/>
        </w:rPr>
      </w:pPr>
      <w:r>
        <w:rPr>
          <w:sz w:val="24"/>
          <w:szCs w:val="24"/>
          <w:lang w:eastAsia="en-US"/>
        </w:rPr>
        <w:t>Quando do pagamento, será efetuada a retenção tributária prevista na legislação aplicável.</w:t>
      </w:r>
    </w:p>
    <w:p>
      <w:pPr>
        <w:pStyle w:val="Nivel2"/>
        <w:numPr>
          <w:ilvl w:val="2"/>
          <w:numId w:val="1"/>
        </w:numPr>
        <w:rPr/>
      </w:pPr>
      <w:r>
        <w:rPr/>
        <w:t>Independentemente do percentual de tributo inserido na planilha, quando houver, serão retidos na fonte, quando da realização do pagamento, os percentuais estabelecidos na legislação vigente.</w:t>
      </w:r>
    </w:p>
    <w:p>
      <w:pPr>
        <w:pStyle w:val="Nivel2"/>
        <w:numPr>
          <w:ilvl w:val="1"/>
          <w:numId w:val="1"/>
        </w:numPr>
        <w:ind w:left="0" w:right="0" w:hanging="0"/>
        <w:rPr/>
      </w:pPr>
      <w:r>
        <w:rPr>
          <w:sz w:val="24"/>
          <w:szCs w:val="24"/>
          <w:lang w:eastAsia="en-US"/>
        </w:rPr>
        <w:t xml:space="preserve">O contratado regularmente optante pelo Simples Nacional, nos termos da </w:t>
      </w:r>
      <w:hyperlink r:id="rId5">
        <w:r>
          <w:rPr>
            <w:rStyle w:val="LinkdaInternet"/>
            <w:sz w:val="24"/>
            <w:szCs w:val="24"/>
            <w:lang w:eastAsia="en-US"/>
          </w:rPr>
          <w:t>Lei Complementar nº 123, de 2006</w:t>
        </w:r>
      </w:hyperlink>
      <w:r>
        <w:rPr>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Nivel01"/>
        <w:numPr>
          <w:ilvl w:val="0"/>
          <w:numId w:val="1"/>
        </w:numPr>
        <w:rPr/>
      </w:pPr>
      <w:r>
        <w:rPr/>
        <w:t>FORMA E CRITÉRIOS DE SELEÇÃO DO FORNECEDOR E FORMA DE FORNECIMENTO</w:t>
      </w:r>
    </w:p>
    <w:p>
      <w:pPr>
        <w:pStyle w:val="Nivel2"/>
        <w:numPr>
          <w:ilvl w:val="1"/>
          <w:numId w:val="1"/>
        </w:numPr>
        <w:tabs>
          <w:tab w:val="clear" w:pos="367"/>
        </w:tabs>
        <w:spacing w:lineRule="auto" w:line="240" w:before="0" w:after="113"/>
        <w:jc w:val="both"/>
        <w:rPr>
          <w:rFonts w:ascii="Calibri" w:hAnsi="Calibri"/>
          <w:sz w:val="24"/>
          <w:szCs w:val="24"/>
        </w:rPr>
      </w:pPr>
      <w:r>
        <w:rPr>
          <w:rStyle w:val="LinkdaInternet"/>
          <w:rFonts w:eastAsia="Arial" w:cs="Calibri"/>
          <w:b w:val="false"/>
          <w:bCs/>
          <w:i w:val="false"/>
          <w:iCs/>
          <w:color w:val="000000"/>
          <w:sz w:val="24"/>
          <w:szCs w:val="24"/>
          <w:u w:val="none"/>
          <w:lang w:eastAsia="en-US"/>
        </w:rPr>
        <w:t xml:space="preserve">O fornecedor será selecionado por meio da realização de procedimento de dispensa de licitação, com fundamento na hipótese do art. 75 </w:t>
      </w:r>
      <w:r>
        <w:rPr>
          <w:rStyle w:val="LinkdaInternet"/>
          <w:rFonts w:eastAsia="Arial" w:cs="Calibri"/>
          <w:b/>
          <w:bCs/>
          <w:i w:val="false"/>
          <w:iCs/>
          <w:color w:val="000000"/>
          <w:sz w:val="24"/>
          <w:szCs w:val="24"/>
          <w:u w:val="none"/>
          <w:lang w:eastAsia="ar-SA"/>
        </w:rPr>
        <w:t>art. 6º, inciso XXIII, alínea ‘b’ da Lei n. 14.133/2021</w:t>
      </w:r>
    </w:p>
    <w:p>
      <w:pPr>
        <w:pStyle w:val="Nivel3"/>
        <w:numPr>
          <w:ilvl w:val="0"/>
          <w:numId w:val="0"/>
        </w:numPr>
        <w:ind w:left="1004" w:hanging="0"/>
        <w:rPr/>
      </w:pPr>
      <w:r>
        <w:rPr/>
        <w:t>Forma de fornecimento</w:t>
      </w:r>
    </w:p>
    <w:p>
      <w:pPr>
        <w:pStyle w:val="Nivel2"/>
        <w:numPr>
          <w:ilvl w:val="1"/>
          <w:numId w:val="1"/>
        </w:numPr>
        <w:ind w:left="0" w:right="0" w:hanging="0"/>
        <w:rPr/>
      </w:pPr>
      <w:r>
        <w:rPr>
          <w:rStyle w:val="Normaltextrun"/>
          <w:sz w:val="24"/>
          <w:szCs w:val="24"/>
          <w:shd w:fill="FFFFFF" w:val="clear"/>
        </w:rPr>
        <w:t xml:space="preserve">O </w:t>
      </w:r>
      <w:r>
        <w:rPr>
          <w:rStyle w:val="Findhit"/>
          <w:sz w:val="24"/>
          <w:szCs w:val="24"/>
          <w:shd w:fill="FFFFFF" w:val="clear"/>
        </w:rPr>
        <w:t>fornecimento do objeto será integral</w:t>
      </w:r>
      <w:r>
        <w:rPr>
          <w:sz w:val="24"/>
          <w:szCs w:val="24"/>
          <w:shd w:fill="FFFFFF" w:val="clear"/>
        </w:rPr>
        <w:t>.</w:t>
      </w:r>
    </w:p>
    <w:p>
      <w:pPr>
        <w:pStyle w:val="Nvel1SemNumPreto"/>
        <w:numPr>
          <w:ilvl w:val="0"/>
          <w:numId w:val="0"/>
        </w:numPr>
        <w:ind w:left="720" w:hanging="0"/>
        <w:rPr>
          <w:rFonts w:ascii="Calibri" w:hAnsi="Calibri"/>
          <w:sz w:val="24"/>
          <w:szCs w:val="24"/>
        </w:rPr>
      </w:pPr>
      <w:r>
        <w:rPr>
          <w:sz w:val="24"/>
          <w:szCs w:val="24"/>
        </w:rPr>
        <w:t>Exigências de habilitação</w:t>
      </w:r>
    </w:p>
    <w:p>
      <w:pPr>
        <w:pStyle w:val="Nivel2"/>
        <w:numPr>
          <w:ilvl w:val="1"/>
          <w:numId w:val="1"/>
        </w:numPr>
        <w:rPr>
          <w:i w:val="false"/>
          <w:i w:val="false"/>
          <w:iCs w:val="false"/>
        </w:rPr>
      </w:pPr>
      <w:r>
        <w:rPr>
          <w:rFonts w:eastAsia="Ecofont_Spranq_eco_Sans" w:cs="Ecofont_Spranq_eco_Sans"/>
          <w:i w:val="false"/>
          <w:iCs w:val="false"/>
          <w:color w:val="auto"/>
          <w:sz w:val="24"/>
          <w:szCs w:val="24"/>
        </w:rPr>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pPr>
        <w:pStyle w:val="Normal"/>
        <w:spacing w:lineRule="auto" w:line="276" w:before="120" w:after="120"/>
        <w:ind w:left="810" w:hanging="0"/>
        <w:jc w:val="both"/>
        <w:rPr>
          <w:rFonts w:ascii="Calibri" w:hAnsi="Calibri"/>
          <w:i w:val="false"/>
          <w:i w:val="false"/>
          <w:iCs w:val="false"/>
          <w:sz w:val="24"/>
          <w:szCs w:val="24"/>
        </w:rPr>
      </w:pPr>
      <w:r>
        <w:rPr>
          <w:rFonts w:eastAsia="Arial" w:cs="Arial" w:ascii="Calibri" w:hAnsi="Calibri"/>
          <w:i w:val="false"/>
          <w:iCs w:val="false"/>
          <w:sz w:val="24"/>
          <w:szCs w:val="24"/>
        </w:rPr>
        <w:t xml:space="preserve">a) SICAF;  </w:t>
      </w:r>
    </w:p>
    <w:p>
      <w:pPr>
        <w:pStyle w:val="Normal"/>
        <w:spacing w:lineRule="auto" w:line="276" w:before="120" w:after="120"/>
        <w:ind w:left="810" w:hanging="0"/>
        <w:jc w:val="both"/>
        <w:rPr/>
      </w:pPr>
      <w:r>
        <w:rPr>
          <w:rFonts w:eastAsia="Arial" w:cs="Arial" w:ascii="Calibri" w:hAnsi="Calibri"/>
          <w:i w:val="false"/>
          <w:iCs w:val="false"/>
          <w:sz w:val="24"/>
          <w:szCs w:val="24"/>
        </w:rPr>
        <w:t>b) Cadastro Nacional de Empresas Inidôneas e Suspensas - CEIS, mantido pela Controladoria-Geral da União (</w:t>
      </w:r>
      <w:hyperlink r:id="rId6">
        <w:r>
          <w:rPr>
            <w:rStyle w:val="LinkdaInternet"/>
            <w:rFonts w:eastAsia="Arial" w:cs="Arial" w:ascii="Calibri" w:hAnsi="Calibri"/>
            <w:i w:val="false"/>
            <w:iCs w:val="false"/>
            <w:color w:val="auto"/>
            <w:sz w:val="24"/>
            <w:szCs w:val="24"/>
          </w:rPr>
          <w:t>www.portaldatransparencia.gov.br/ceis</w:t>
        </w:r>
      </w:hyperlink>
      <w:r>
        <w:rPr>
          <w:rFonts w:eastAsia="Arial" w:cs="Arial" w:ascii="Calibri" w:hAnsi="Calibri"/>
          <w:i w:val="false"/>
          <w:iCs w:val="false"/>
          <w:sz w:val="24"/>
          <w:szCs w:val="24"/>
        </w:rPr>
        <w:t xml:space="preserve">);  </w:t>
      </w:r>
    </w:p>
    <w:p>
      <w:pPr>
        <w:pStyle w:val="Normal"/>
        <w:spacing w:lineRule="auto" w:line="276" w:before="120" w:after="120"/>
        <w:ind w:left="810" w:hanging="0"/>
        <w:jc w:val="both"/>
        <w:rPr/>
      </w:pPr>
      <w:r>
        <w:rPr>
          <w:rFonts w:eastAsia="Arial" w:cs="Arial" w:ascii="Calibri" w:hAnsi="Calibri"/>
          <w:i w:val="false"/>
          <w:iCs w:val="false"/>
          <w:sz w:val="24"/>
          <w:szCs w:val="24"/>
        </w:rPr>
        <w:t>c) Cadastro Nacional de Empresas Punidas – CNEP, mantido pela Controladoria-Geral da União (</w:t>
      </w:r>
      <w:hyperlink r:id="rId7">
        <w:r>
          <w:rPr>
            <w:rStyle w:val="LinkdaInternet"/>
            <w:rFonts w:eastAsia="Arial" w:cs="Arial" w:ascii="Calibri" w:hAnsi="Calibri"/>
            <w:i w:val="false"/>
            <w:iCs w:val="false"/>
            <w:color w:val="auto"/>
            <w:sz w:val="24"/>
            <w:szCs w:val="24"/>
          </w:rPr>
          <w:t>https://www.portaltransparencia.gov.br/sancoes/cnep</w:t>
        </w:r>
      </w:hyperlink>
      <w:r>
        <w:rPr>
          <w:rFonts w:eastAsia="Arial" w:cs="Arial" w:ascii="Calibri" w:hAnsi="Calibri"/>
          <w:i w:val="false"/>
          <w:iCs w:val="false"/>
          <w:sz w:val="24"/>
          <w:szCs w:val="24"/>
        </w:rPr>
        <w:t>)</w:t>
      </w:r>
    </w:p>
    <w:p>
      <w:pPr>
        <w:pStyle w:val="Nivel2"/>
        <w:numPr>
          <w:ilvl w:val="1"/>
          <w:numId w:val="1"/>
        </w:numPr>
        <w:rPr/>
      </w:pPr>
      <w:r>
        <w:rPr>
          <w:i w:val="false"/>
          <w:iCs w:val="false"/>
          <w:color w:val="auto"/>
          <w:sz w:val="24"/>
          <w:szCs w:val="24"/>
        </w:rPr>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Nivel2"/>
        <w:numPr>
          <w:ilvl w:val="1"/>
          <w:numId w:val="1"/>
        </w:numPr>
        <w:rPr/>
      </w:pPr>
      <w:r>
        <w:rPr>
          <w:i w:val="false"/>
          <w:iCs w:val="false"/>
          <w:color w:val="auto"/>
          <w:sz w:val="24"/>
          <w:szCs w:val="24"/>
        </w:rPr>
        <w:t>Caso conste na Consulta de Situação do interessado a existência de Ocorrências Impeditivas Indiretas, o gestor diligenciará para verificar se houve fraude por parte das empresas apontadas no Relatório de Ocorrências Impeditivas Indiretas.</w:t>
      </w:r>
    </w:p>
    <w:p>
      <w:pPr>
        <w:pStyle w:val="Nivel2"/>
        <w:numPr>
          <w:ilvl w:val="1"/>
          <w:numId w:val="1"/>
        </w:numPr>
        <w:rPr/>
      </w:pPr>
      <w:r>
        <w:rPr>
          <w:i w:val="false"/>
          <w:iCs w:val="false"/>
          <w:color w:val="auto"/>
          <w:sz w:val="24"/>
          <w:szCs w:val="24"/>
        </w:rPr>
        <w:t>A tentativa de burla será verificada por meio dos vínculos societários, linhas de fornecimento similares, dentre outros.</w:t>
      </w:r>
    </w:p>
    <w:p>
      <w:pPr>
        <w:pStyle w:val="Nivel2"/>
        <w:numPr>
          <w:ilvl w:val="1"/>
          <w:numId w:val="1"/>
        </w:numPr>
        <w:rPr/>
      </w:pPr>
      <w:r>
        <w:rPr>
          <w:i w:val="false"/>
          <w:iCs w:val="false"/>
          <w:color w:val="auto"/>
          <w:sz w:val="24"/>
          <w:szCs w:val="24"/>
        </w:rPr>
        <w:t>O interessado será convocado para manifestação previamente a uma eventual negativa de contratação.</w:t>
      </w:r>
    </w:p>
    <w:p>
      <w:pPr>
        <w:pStyle w:val="Nivel2"/>
        <w:numPr>
          <w:ilvl w:val="1"/>
          <w:numId w:val="1"/>
        </w:numPr>
        <w:rPr/>
      </w:pPr>
      <w:r>
        <w:rPr>
          <w:i w:val="false"/>
          <w:iCs w:val="false"/>
          <w:color w:val="auto"/>
          <w:sz w:val="24"/>
          <w:szCs w:val="24"/>
        </w:rPr>
        <w:t>Caso atendidas as condições para contratação, a habilitação do interessado será verificada por meio do SICAF, nos documentos por ele abrangidos.</w:t>
      </w:r>
    </w:p>
    <w:p>
      <w:pPr>
        <w:pStyle w:val="Nivel2"/>
        <w:numPr>
          <w:ilvl w:val="1"/>
          <w:numId w:val="1"/>
        </w:numPr>
        <w:rPr/>
      </w:pPr>
      <w:r>
        <w:rPr>
          <w:i w:val="false"/>
          <w:iCs w:val="false"/>
          <w:color w:val="auto"/>
          <w:sz w:val="24"/>
          <w:szCs w:val="24"/>
        </w:rPr>
        <w:t>É dever do interessado manter atualizada a respectiva documentação constante do SICAF, ou encaminhar, quando solicitado pela Administração, a respectiva documentação atualizada.</w:t>
      </w:r>
    </w:p>
    <w:p>
      <w:pPr>
        <w:pStyle w:val="Nivel2"/>
        <w:numPr>
          <w:ilvl w:val="1"/>
          <w:numId w:val="1"/>
        </w:numPr>
        <w:rPr/>
      </w:pPr>
      <w:r>
        <w:rPr>
          <w:i w:val="false"/>
          <w:iCs w:val="false"/>
          <w:color w:val="auto"/>
          <w:sz w:val="24"/>
          <w:szCs w:val="24"/>
        </w:rPr>
        <w:t>Não serão aceitos documentos de habilitação com indicação de CNPJ/CPF diferentes, salvo aqueles legalmente permitidos.</w:t>
      </w:r>
    </w:p>
    <w:p>
      <w:pPr>
        <w:pStyle w:val="Nivel2"/>
        <w:numPr>
          <w:ilvl w:val="1"/>
          <w:numId w:val="1"/>
        </w:numPr>
        <w:rPr/>
      </w:pPr>
      <w:r>
        <w:rPr>
          <w:i w:val="false"/>
          <w:iCs w:val="false"/>
          <w:color w:val="auto"/>
          <w:sz w:val="24"/>
          <w:szCs w:val="24"/>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pPr>
        <w:pStyle w:val="Nivel2"/>
        <w:numPr>
          <w:ilvl w:val="1"/>
          <w:numId w:val="1"/>
        </w:numPr>
        <w:rPr/>
      </w:pPr>
      <w:r>
        <w:rPr>
          <w:i w:val="false"/>
          <w:iCs w:val="false"/>
          <w:color w:val="auto"/>
          <w:sz w:val="24"/>
          <w:szCs w:val="24"/>
        </w:rPr>
        <w:t>Serão aceitos registros de CNPJ de fornecedor matriz e filial com diferenças de números de documentos pertinentes ao CND e ao CRF/FGTS, quando for comprovada a centralização do recolhimento dessas contribuições.</w:t>
      </w:r>
    </w:p>
    <w:p>
      <w:pPr>
        <w:pStyle w:val="Nivel2"/>
        <w:numPr>
          <w:ilvl w:val="1"/>
          <w:numId w:val="1"/>
        </w:numPr>
        <w:ind w:left="0" w:right="0" w:hanging="0"/>
        <w:rPr>
          <w:rFonts w:ascii="Calibri" w:hAnsi="Calibri"/>
          <w:sz w:val="24"/>
          <w:szCs w:val="24"/>
        </w:rPr>
      </w:pPr>
      <w:r>
        <w:rPr>
          <w:color w:val="auto"/>
          <w:sz w:val="24"/>
          <w:szCs w:val="24"/>
        </w:rPr>
        <w:t xml:space="preserve">Para fins de habilitação, deverá o interessado comprovar os seguintes requisitos, </w:t>
      </w:r>
      <w:r>
        <w:rPr>
          <w:sz w:val="24"/>
          <w:szCs w:val="24"/>
        </w:rPr>
        <w:t>que serão exigidos conforme sua natureza jurídica:</w:t>
      </w:r>
    </w:p>
    <w:p>
      <w:pPr>
        <w:pStyle w:val="Nvel1SemNumPreto"/>
        <w:numPr>
          <w:ilvl w:val="0"/>
          <w:numId w:val="0"/>
        </w:numPr>
        <w:ind w:left="720" w:hanging="0"/>
        <w:rPr>
          <w:rFonts w:ascii="Calibri" w:hAnsi="Calibri"/>
          <w:sz w:val="24"/>
          <w:szCs w:val="24"/>
        </w:rPr>
      </w:pPr>
      <w:r>
        <w:rPr>
          <w:sz w:val="24"/>
          <w:szCs w:val="24"/>
        </w:rPr>
        <w:t>Habilitação jurídica</w:t>
      </w:r>
    </w:p>
    <w:p>
      <w:pPr>
        <w:pStyle w:val="Nivel2"/>
        <w:numPr>
          <w:ilvl w:val="1"/>
          <w:numId w:val="1"/>
        </w:numPr>
        <w:ind w:left="0" w:right="0" w:hanging="0"/>
        <w:rPr>
          <w:rFonts w:ascii="Calibri" w:hAnsi="Calibri"/>
          <w:sz w:val="24"/>
          <w:szCs w:val="24"/>
        </w:rPr>
      </w:pPr>
      <w:bookmarkStart w:id="4" w:name="_Ref115800561"/>
      <w:r>
        <w:rPr>
          <w:b/>
          <w:bCs/>
          <w:sz w:val="24"/>
          <w:szCs w:val="24"/>
        </w:rPr>
        <w:t>Pessoa física:</w:t>
      </w:r>
      <w:r>
        <w:rPr>
          <w:sz w:val="24"/>
          <w:szCs w:val="24"/>
        </w:rPr>
        <w:t xml:space="preserve"> cédula de identidade (RG) ou documento equivalente que, por força de lei, tenha validade para fins de identificação em todo o território nacional;</w:t>
      </w:r>
      <w:bookmarkEnd w:id="4"/>
    </w:p>
    <w:p>
      <w:pPr>
        <w:pStyle w:val="Nivel2"/>
        <w:numPr>
          <w:ilvl w:val="1"/>
          <w:numId w:val="1"/>
        </w:numPr>
        <w:ind w:left="0" w:right="0" w:hanging="0"/>
        <w:rPr>
          <w:rFonts w:ascii="Calibri" w:hAnsi="Calibri"/>
          <w:sz w:val="24"/>
          <w:szCs w:val="24"/>
        </w:rPr>
      </w:pPr>
      <w:r>
        <w:rPr>
          <w:b/>
          <w:bCs/>
          <w:sz w:val="24"/>
          <w:szCs w:val="24"/>
        </w:rPr>
        <w:t>Empresário individual:</w:t>
      </w:r>
      <w:r>
        <w:rPr>
          <w:sz w:val="24"/>
          <w:szCs w:val="24"/>
        </w:rPr>
        <w:t xml:space="preserve"> inscrição no Registro Público de Empresas Mercantis, a cargo da Junta Comercial da respectiva sede; </w:t>
      </w:r>
    </w:p>
    <w:p>
      <w:pPr>
        <w:pStyle w:val="Nivel2"/>
        <w:numPr>
          <w:ilvl w:val="1"/>
          <w:numId w:val="1"/>
        </w:numPr>
        <w:ind w:left="0" w:right="0" w:hanging="0"/>
        <w:rPr/>
      </w:pPr>
      <w:r>
        <w:rPr>
          <w:b/>
          <w:bCs/>
          <w:sz w:val="24"/>
          <w:szCs w:val="24"/>
        </w:rPr>
        <w:t>Microempreendedor Individual - MEI:</w:t>
      </w:r>
      <w:r>
        <w:rPr>
          <w:sz w:val="24"/>
          <w:szCs w:val="24"/>
        </w:rPr>
        <w:t xml:space="preserve"> Certificado da Condição de Microempreendedor Individual - CCMEI, cuja aceitação ficará condicionada à verificação da autenticidade no sítio </w:t>
      </w:r>
      <w:hyperlink r:id="rId8">
        <w:r>
          <w:rPr>
            <w:rStyle w:val="LinkdaInternet"/>
            <w:sz w:val="24"/>
            <w:szCs w:val="24"/>
          </w:rPr>
          <w:t>https://www.gov.br/empresas-e-negocios/pt-br/empreendedor</w:t>
        </w:r>
      </w:hyperlink>
      <w:r>
        <w:rPr>
          <w:sz w:val="24"/>
          <w:szCs w:val="24"/>
        </w:rPr>
        <w:t xml:space="preserve">; </w:t>
      </w:r>
    </w:p>
    <w:p>
      <w:pPr>
        <w:pStyle w:val="Nivel2"/>
        <w:numPr>
          <w:ilvl w:val="1"/>
          <w:numId w:val="1"/>
        </w:numPr>
        <w:ind w:left="0" w:right="0" w:hanging="0"/>
        <w:rPr>
          <w:rFonts w:ascii="Calibri" w:hAnsi="Calibri"/>
          <w:sz w:val="24"/>
          <w:szCs w:val="24"/>
        </w:rPr>
      </w:pPr>
      <w:r>
        <w:rPr>
          <w:b/>
          <w:bCs/>
          <w:sz w:val="24"/>
          <w:szCs w:val="24"/>
        </w:rPr>
        <w:t>Sociedade empresária, sociedade limitada unipessoal – SLU ou sociedade identificada como empresa individual de responsabilidade limitada - EIRELI</w:t>
      </w:r>
      <w:r>
        <w:rPr>
          <w:sz w:val="24"/>
          <w:szCs w:val="24"/>
        </w:rPr>
        <w:t>: inscrição do ato constitutivo, estatuto ou contrato social no Registro Público de Empresas Mercantis, a cargo da Junta Comercial da respectiva sede, acompanhada de documento comprobatório de seus administradores;</w:t>
      </w:r>
    </w:p>
    <w:p>
      <w:pPr>
        <w:pStyle w:val="Nivel2"/>
        <w:numPr>
          <w:ilvl w:val="1"/>
          <w:numId w:val="1"/>
        </w:numPr>
        <w:ind w:left="0" w:right="0" w:hanging="0"/>
        <w:rPr/>
      </w:pPr>
      <w:r>
        <w:rPr>
          <w:b/>
          <w:bCs/>
          <w:sz w:val="24"/>
          <w:szCs w:val="24"/>
        </w:rPr>
        <w:t>Sociedade empresária estrangeira:</w:t>
      </w:r>
      <w:r>
        <w:rPr>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9">
        <w:r>
          <w:rPr>
            <w:rStyle w:val="LinkdaInternet"/>
            <w:sz w:val="24"/>
            <w:szCs w:val="24"/>
          </w:rPr>
          <w:t>Normativa DREI/ME n.º 77, de 18 de março de 2020</w:t>
        </w:r>
      </w:hyperlink>
      <w:r>
        <w:rPr>
          <w:sz w:val="24"/>
          <w:szCs w:val="24"/>
        </w:rPr>
        <w:t>.</w:t>
      </w:r>
    </w:p>
    <w:p>
      <w:pPr>
        <w:pStyle w:val="Nivel2"/>
        <w:numPr>
          <w:ilvl w:val="1"/>
          <w:numId w:val="1"/>
        </w:numPr>
        <w:ind w:left="0" w:right="0" w:hanging="0"/>
        <w:rPr>
          <w:rFonts w:ascii="Calibri" w:hAnsi="Calibri"/>
          <w:sz w:val="24"/>
          <w:szCs w:val="24"/>
        </w:rPr>
      </w:pPr>
      <w:r>
        <w:rPr>
          <w:b/>
          <w:bCs/>
          <w:sz w:val="24"/>
          <w:szCs w:val="24"/>
        </w:rPr>
        <w:t xml:space="preserve">Sociedade simples: </w:t>
      </w:r>
      <w:r>
        <w:rPr>
          <w:sz w:val="24"/>
          <w:szCs w:val="24"/>
        </w:rPr>
        <w:t>inscrição do ato constitutivo no Registro Civil de Pessoas Jurídicas do local de sua sede, acompanhada de documento comprobatório de seus administradores;</w:t>
      </w:r>
    </w:p>
    <w:p>
      <w:pPr>
        <w:pStyle w:val="Nivel2"/>
        <w:numPr>
          <w:ilvl w:val="1"/>
          <w:numId w:val="1"/>
        </w:numPr>
        <w:ind w:left="0" w:right="0" w:hanging="0"/>
        <w:rPr>
          <w:rFonts w:ascii="Calibri" w:hAnsi="Calibri"/>
          <w:sz w:val="24"/>
          <w:szCs w:val="24"/>
        </w:rPr>
      </w:pPr>
      <w:r>
        <w:rPr>
          <w:b/>
          <w:bCs/>
          <w:sz w:val="24"/>
          <w:szCs w:val="24"/>
        </w:rPr>
        <w:t>Filial, sucursal ou agência de sociedade simples ou empresária:</w:t>
      </w:r>
      <w:r>
        <w:rPr>
          <w:sz w:val="24"/>
          <w:szCs w:val="24"/>
        </w:rPr>
        <w:t xml:space="preserve"> inscrição do ato constitutivo da filial, sucursal ou agência da sociedade simples ou empresária, respectivamente, no Registro Civil das Pessoas Jurídicas ou no Registro Público de Empresas </w:t>
      </w:r>
      <w:bookmarkStart w:id="5" w:name="_Int_ySfCXwr4"/>
      <w:r>
        <w:rPr>
          <w:sz w:val="24"/>
          <w:szCs w:val="24"/>
        </w:rPr>
        <w:t>Mercantis onde</w:t>
      </w:r>
      <w:bookmarkEnd w:id="5"/>
      <w:r>
        <w:rPr>
          <w:sz w:val="24"/>
          <w:szCs w:val="24"/>
        </w:rPr>
        <w:t xml:space="preserve"> opera, com averbação no Registro onde tem sede a matriz</w:t>
      </w:r>
    </w:p>
    <w:p>
      <w:pPr>
        <w:pStyle w:val="Nivel2"/>
        <w:numPr>
          <w:ilvl w:val="1"/>
          <w:numId w:val="1"/>
        </w:numPr>
        <w:ind w:left="0" w:right="0" w:hanging="0"/>
        <w:rPr/>
      </w:pPr>
      <w:r>
        <w:rPr>
          <w:b/>
          <w:bCs/>
          <w:sz w:val="24"/>
          <w:szCs w:val="24"/>
        </w:rPr>
        <w:t>Sociedade cooperativa:</w:t>
      </w:r>
      <w:r>
        <w:rPr>
          <w:sz w:val="24"/>
          <w:szCs w:val="24"/>
        </w:rPr>
        <w:t xml:space="preserve"> ata de fundação e estatuto social, com a ata da assembleia que o aprovou, devidamente arquivado na Junta Comercial ou inscrito no Registro Civil das Pessoas Jurídicas da respectiva sede, além do registro de que trata o </w:t>
      </w:r>
      <w:r>
        <w:fldChar w:fldCharType="begin"/>
      </w:r>
      <w:r>
        <w:rPr>
          <w:rStyle w:val="LinkdaInternet"/>
          <w:sz w:val="24"/>
          <w:szCs w:val="24"/>
        </w:rPr>
        <w:instrText> HYPERLINK "https://www.planalto.gov.br/ccivil_03/leis/l5764.htm" \l "art107"</w:instrText>
      </w:r>
      <w:r>
        <w:rPr>
          <w:rStyle w:val="LinkdaInternet"/>
          <w:sz w:val="24"/>
          <w:szCs w:val="24"/>
        </w:rPr>
        <w:fldChar w:fldCharType="separate"/>
      </w:r>
      <w:r>
        <w:rPr>
          <w:rStyle w:val="LinkdaInternet"/>
          <w:sz w:val="24"/>
          <w:szCs w:val="24"/>
        </w:rPr>
        <w:t>art. 107 da Lei nº 5.764, de 16 de dezembro 1971</w:t>
      </w:r>
      <w:r>
        <w:rPr>
          <w:rStyle w:val="LinkdaInternet"/>
          <w:sz w:val="24"/>
          <w:szCs w:val="24"/>
        </w:rPr>
        <w:fldChar w:fldCharType="end"/>
      </w:r>
      <w:r>
        <w:rPr>
          <w:sz w:val="24"/>
          <w:szCs w:val="24"/>
        </w:rPr>
        <w:t>.</w:t>
      </w:r>
    </w:p>
    <w:p>
      <w:pPr>
        <w:pStyle w:val="Nivel2"/>
        <w:numPr>
          <w:ilvl w:val="1"/>
          <w:numId w:val="1"/>
        </w:numPr>
        <w:ind w:left="0" w:right="0" w:hanging="0"/>
        <w:rPr/>
      </w:pPr>
      <w:r>
        <w:rPr>
          <w:b/>
          <w:bCs/>
          <w:sz w:val="24"/>
          <w:szCs w:val="24"/>
        </w:rPr>
        <w:t>Agricultor familiar:</w:t>
      </w:r>
      <w:r>
        <w:rPr>
          <w:sz w:val="24"/>
          <w:szCs w:val="24"/>
        </w:rPr>
        <w:t xml:space="preserve"> Declaração de Aptidão ao Pronaf – DAP ou DAP-P válida, ou, ainda, outros documentos definidos pela Secretaria Especial de Agricultura Familiar e do Desenvolvimento Agrário, nos termos do</w:t>
      </w:r>
      <w:r>
        <w:fldChar w:fldCharType="begin"/>
      </w:r>
      <w:r>
        <w:rPr>
          <w:rStyle w:val="LinkdaInternet"/>
          <w:sz w:val="24"/>
          <w:szCs w:val="24"/>
        </w:rPr>
        <w:instrText> HYPERLINK "https://www.planalto.gov.br/ccivil_03/_ato2019-2022/2021/decreto/d10880.htm" \l "art4§2"</w:instrText>
      </w:r>
      <w:r>
        <w:rPr>
          <w:rStyle w:val="LinkdaInternet"/>
          <w:sz w:val="24"/>
          <w:szCs w:val="24"/>
        </w:rPr>
        <w:fldChar w:fldCharType="separate"/>
      </w:r>
      <w:r>
        <w:rPr>
          <w:rStyle w:val="LinkdaInternet"/>
          <w:sz w:val="24"/>
          <w:szCs w:val="24"/>
        </w:rPr>
        <w:t xml:space="preserve"> art. 4º, §2º do Decreto nº 10.880, de 2 de dezembro de 2021</w:t>
      </w:r>
      <w:r>
        <w:rPr>
          <w:rStyle w:val="LinkdaInternet"/>
          <w:sz w:val="24"/>
          <w:szCs w:val="24"/>
        </w:rPr>
        <w:fldChar w:fldCharType="end"/>
      </w:r>
      <w:r>
        <w:rPr>
          <w:sz w:val="24"/>
          <w:szCs w:val="24"/>
        </w:rPr>
        <w:t>.</w:t>
      </w:r>
    </w:p>
    <w:p>
      <w:pPr>
        <w:pStyle w:val="Nivel2"/>
        <w:numPr>
          <w:ilvl w:val="1"/>
          <w:numId w:val="1"/>
        </w:numPr>
        <w:ind w:left="0" w:right="0" w:hanging="0"/>
        <w:rPr/>
      </w:pPr>
      <w:r>
        <w:rPr>
          <w:b/>
          <w:bCs/>
          <w:sz w:val="24"/>
          <w:szCs w:val="24"/>
        </w:rPr>
        <w:t>Produtor Rural:</w:t>
      </w:r>
      <w:r>
        <w:rPr>
          <w:sz w:val="24"/>
          <w:szCs w:val="24"/>
        </w:rPr>
        <w:t xml:space="preserve"> matrícula no Cadastro Específico do INSS – CEI, que comprove a qualificação como produtor rural pessoa física, nos termos da </w:t>
      </w:r>
      <w:hyperlink r:id="rId10">
        <w:r>
          <w:rPr>
            <w:rStyle w:val="LinkdaInternet"/>
            <w:sz w:val="24"/>
            <w:szCs w:val="24"/>
          </w:rPr>
          <w:t>Instrução Normativa RFB n. 971, de 13 de novembro de 2009</w:t>
        </w:r>
      </w:hyperlink>
      <w:r>
        <w:rPr>
          <w:sz w:val="24"/>
          <w:szCs w:val="24"/>
        </w:rPr>
        <w:t xml:space="preserve"> (arts. 17 a 19 e 165).</w:t>
      </w:r>
    </w:p>
    <w:p>
      <w:pPr>
        <w:pStyle w:val="Nivel2"/>
        <w:numPr>
          <w:ilvl w:val="1"/>
          <w:numId w:val="1"/>
        </w:numPr>
        <w:ind w:left="0" w:right="0" w:hanging="0"/>
        <w:rPr>
          <w:rFonts w:ascii="Calibri" w:hAnsi="Calibri"/>
          <w:sz w:val="24"/>
          <w:szCs w:val="24"/>
        </w:rPr>
      </w:pPr>
      <w:r>
        <w:rPr>
          <w:sz w:val="24"/>
          <w:szCs w:val="24"/>
        </w:rPr>
        <w:t>Os documentos apresentados deverão estar acompanhados de todas as alterações ou da consolidação respectiva.</w:t>
      </w:r>
    </w:p>
    <w:p>
      <w:pPr>
        <w:pStyle w:val="Nvel1SemNumPreto"/>
        <w:numPr>
          <w:ilvl w:val="0"/>
          <w:numId w:val="0"/>
        </w:numPr>
        <w:ind w:left="720" w:hanging="0"/>
        <w:rPr>
          <w:rFonts w:ascii="Calibri" w:hAnsi="Calibri"/>
          <w:sz w:val="24"/>
          <w:szCs w:val="24"/>
        </w:rPr>
      </w:pPr>
      <w:r>
        <w:rPr>
          <w:sz w:val="24"/>
          <w:szCs w:val="24"/>
        </w:rPr>
        <w:t>Habilitação fiscal, social e trabalhista</w:t>
      </w:r>
    </w:p>
    <w:p>
      <w:pPr>
        <w:pStyle w:val="Nivel2"/>
        <w:numPr>
          <w:ilvl w:val="1"/>
          <w:numId w:val="1"/>
        </w:numPr>
        <w:ind w:left="0" w:right="0" w:hanging="0"/>
        <w:rPr>
          <w:rFonts w:ascii="Calibri" w:hAnsi="Calibri"/>
          <w:sz w:val="24"/>
          <w:szCs w:val="24"/>
        </w:rPr>
      </w:pPr>
      <w:r>
        <w:rPr>
          <w:sz w:val="24"/>
          <w:szCs w:val="24"/>
        </w:rPr>
        <w:t>Prova de inscrição no Cadastro Nacional de Pessoas Jurídicas ou no Cadastro de Pessoas Físicas, conforme o caso;</w:t>
      </w:r>
    </w:p>
    <w:p>
      <w:pPr>
        <w:pStyle w:val="Nivel2"/>
        <w:numPr>
          <w:ilvl w:val="1"/>
          <w:numId w:val="1"/>
        </w:numPr>
        <w:ind w:left="0" w:right="0" w:hanging="0"/>
        <w:rPr>
          <w:rFonts w:ascii="Calibri" w:hAnsi="Calibri"/>
          <w:sz w:val="24"/>
          <w:szCs w:val="24"/>
        </w:rPr>
      </w:pPr>
      <w:r>
        <w:rPr>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pPr>
        <w:pStyle w:val="Nivel2"/>
        <w:numPr>
          <w:ilvl w:val="1"/>
          <w:numId w:val="1"/>
        </w:numPr>
        <w:ind w:left="0" w:right="0" w:hanging="0"/>
        <w:rPr>
          <w:rFonts w:ascii="Calibri" w:hAnsi="Calibri"/>
          <w:sz w:val="24"/>
          <w:szCs w:val="24"/>
        </w:rPr>
      </w:pPr>
      <w:r>
        <w:rPr>
          <w:sz w:val="24"/>
          <w:szCs w:val="24"/>
        </w:rPr>
        <w:t>Prova de regularidade com o Fundo de Garantia do Tempo de Serviço (FGTS);</w:t>
      </w:r>
    </w:p>
    <w:p>
      <w:pPr>
        <w:pStyle w:val="Nivel2"/>
        <w:numPr>
          <w:ilvl w:val="1"/>
          <w:numId w:val="1"/>
        </w:numPr>
        <w:rPr/>
      </w:pPr>
      <w:r>
        <w:rPr>
          <w:sz w:val="24"/>
          <w:szCs w:val="24"/>
        </w:rPr>
        <w:t>declaração de que não emprega menor de 18 anos em trabalho noturno, perigoso ou insalubre e não emprega menor de 16 anos, salvo menor, a partir de 14 anos, na condição de aprendiz, nos termos do artigo 7°, XXXIII, da Constituição;</w:t>
      </w:r>
    </w:p>
    <w:p>
      <w:pPr>
        <w:pStyle w:val="Nivel2"/>
        <w:numPr>
          <w:ilvl w:val="1"/>
          <w:numId w:val="1"/>
        </w:numPr>
        <w:ind w:left="0" w:right="0" w:hanging="0"/>
        <w:rPr>
          <w:rFonts w:ascii="Calibri" w:hAnsi="Calibri"/>
          <w:sz w:val="24"/>
          <w:szCs w:val="24"/>
        </w:rPr>
      </w:pPr>
      <w:r>
        <w:rPr>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ivel2"/>
        <w:numPr>
          <w:ilvl w:val="1"/>
          <w:numId w:val="1"/>
        </w:numPr>
        <w:ind w:left="0" w:right="0" w:hanging="0"/>
        <w:rPr>
          <w:rFonts w:ascii="Calibri" w:hAnsi="Calibri"/>
          <w:sz w:val="24"/>
          <w:szCs w:val="24"/>
        </w:rPr>
      </w:pPr>
      <w:r>
        <w:rPr>
          <w:sz w:val="24"/>
          <w:szCs w:val="24"/>
        </w:rPr>
        <w:t>Prova de inscrição no cadastro de contribuintes Estadual ou Municipal</w:t>
      </w:r>
      <w:r>
        <w:rPr>
          <w:color w:val="FF0000"/>
          <w:sz w:val="24"/>
          <w:szCs w:val="24"/>
        </w:rPr>
        <w:t xml:space="preserve"> </w:t>
      </w:r>
      <w:r>
        <w:rPr>
          <w:sz w:val="24"/>
          <w:szCs w:val="24"/>
        </w:rPr>
        <w:t xml:space="preserve">relativo ao domicílio ou sede do fornecedor, pertinente ao seu ramo de atividade e compatível com o objeto contratual; </w:t>
      </w:r>
    </w:p>
    <w:p>
      <w:pPr>
        <w:pStyle w:val="Nivel2"/>
        <w:numPr>
          <w:ilvl w:val="1"/>
          <w:numId w:val="1"/>
        </w:numPr>
        <w:rPr>
          <w:rFonts w:ascii="Calibri" w:hAnsi="Calibri"/>
          <w:sz w:val="24"/>
          <w:szCs w:val="24"/>
        </w:rPr>
      </w:pPr>
      <w:r>
        <w:rPr>
          <w:sz w:val="24"/>
          <w:szCs w:val="24"/>
        </w:rPr>
        <w:t>Prova de regularidade com a Fazenda Estadual ou Municipal</w:t>
      </w:r>
      <w:r>
        <w:rPr>
          <w:color w:val="FF0000"/>
          <w:sz w:val="24"/>
          <w:szCs w:val="24"/>
        </w:rPr>
        <w:t xml:space="preserve"> </w:t>
      </w:r>
      <w:r>
        <w:rPr>
          <w:sz w:val="24"/>
          <w:szCs w:val="24"/>
        </w:rPr>
        <w:t>do domicílio ou sede do fornecedor, relativa à atividade em cujo exercício contrata ou concorre;</w:t>
      </w:r>
    </w:p>
    <w:p>
      <w:pPr>
        <w:pStyle w:val="Nivel2"/>
        <w:numPr>
          <w:ilvl w:val="1"/>
          <w:numId w:val="1"/>
        </w:numPr>
        <w:rPr>
          <w:rFonts w:ascii="Calibri" w:hAnsi="Calibri"/>
          <w:sz w:val="24"/>
          <w:szCs w:val="24"/>
        </w:rPr>
      </w:pPr>
      <w:r>
        <w:rPr>
          <w:sz w:val="24"/>
          <w:szCs w:val="24"/>
        </w:rPr>
        <w:t>Caso o fornecedor seja considerado isento dos tributos Estadual ou Municipal</w:t>
      </w:r>
      <w:r>
        <w:rPr>
          <w:color w:val="FF0000"/>
          <w:sz w:val="24"/>
          <w:szCs w:val="24"/>
        </w:rPr>
        <w:t xml:space="preserve"> </w:t>
      </w:r>
      <w:r>
        <w:rPr>
          <w:sz w:val="24"/>
          <w:szCs w:val="24"/>
        </w:rPr>
        <w:t>relacionados ao objeto contratual, deverá comprovar tal condição mediante a apresentação de declaração da Fazenda respectiva do seu domicílio ou sede, ou outra equivalente, na forma da lei.</w:t>
      </w:r>
    </w:p>
    <w:p>
      <w:pPr>
        <w:pStyle w:val="Nivel2"/>
        <w:numPr>
          <w:ilvl w:val="1"/>
          <w:numId w:val="1"/>
        </w:numPr>
        <w:ind w:left="0" w:right="0" w:hanging="0"/>
        <w:rPr>
          <w:rFonts w:ascii="Calibri" w:hAnsi="Calibri"/>
          <w:sz w:val="24"/>
          <w:szCs w:val="24"/>
        </w:rPr>
      </w:pPr>
      <w:r>
        <w:rPr>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pPr>
        <w:pStyle w:val="Nvel1SemNumPreto"/>
        <w:numPr>
          <w:ilvl w:val="0"/>
          <w:numId w:val="0"/>
        </w:numPr>
        <w:ind w:left="720" w:hanging="0"/>
        <w:rPr>
          <w:rFonts w:ascii="Calibri" w:hAnsi="Calibri"/>
          <w:color w:val="auto"/>
          <w:sz w:val="24"/>
          <w:szCs w:val="24"/>
        </w:rPr>
      </w:pPr>
      <w:r>
        <w:rPr>
          <w:color w:val="auto"/>
          <w:sz w:val="24"/>
          <w:szCs w:val="24"/>
        </w:rPr>
        <w:t>Qualificação Econômico-Financeira</w:t>
      </w:r>
    </w:p>
    <w:p>
      <w:pPr>
        <w:pStyle w:val="Nivel2"/>
        <w:numPr>
          <w:ilvl w:val="1"/>
          <w:numId w:val="1"/>
        </w:numPr>
        <w:ind w:left="0" w:right="0" w:hanging="0"/>
        <w:rPr/>
      </w:pPr>
      <w:r>
        <w:rPr>
          <w:color w:val="auto"/>
          <w:sz w:val="24"/>
          <w:szCs w:val="24"/>
        </w:rPr>
        <w:t>Certidão negativa de insolvência civil expedida pelo distribuidor do domicílio ou sede do interessado, caso se trate de pessoa física, desde que admitida a sua contratação (</w:t>
      </w:r>
      <w:r>
        <w:fldChar w:fldCharType="begin"/>
      </w:r>
      <w:r>
        <w:rPr>
          <w:rStyle w:val="LinkdaInternet"/>
          <w:sz w:val="24"/>
          <w:szCs w:val="24"/>
        </w:rPr>
        <w:instrText> HYPERLINK "https://www.gov.br/compras/pt-br/acesso-a-informacao/legislacao/instrucoes-normativas/instrucao-normativa-seges-me-no-116-de-21-de-dezembro-de-2021" \l "art5"</w:instrText>
      </w:r>
      <w:r>
        <w:rPr>
          <w:rStyle w:val="LinkdaInternet"/>
          <w:sz w:val="24"/>
          <w:szCs w:val="24"/>
        </w:rPr>
        <w:fldChar w:fldCharType="separate"/>
      </w:r>
      <w:r>
        <w:rPr>
          <w:rStyle w:val="LinkdaInternet"/>
          <w:color w:val="auto"/>
          <w:sz w:val="24"/>
          <w:szCs w:val="24"/>
        </w:rPr>
        <w:t>art. 5º, inciso II, alínea “c”, da Instrução Normativa Seges/ME nº 116, de 2021</w:t>
      </w:r>
      <w:r>
        <w:rPr>
          <w:rStyle w:val="LinkdaInternet"/>
          <w:sz w:val="24"/>
          <w:szCs w:val="24"/>
        </w:rPr>
        <w:fldChar w:fldCharType="end"/>
      </w:r>
      <w:r>
        <w:rPr>
          <w:color w:val="auto"/>
          <w:sz w:val="24"/>
          <w:szCs w:val="24"/>
        </w:rPr>
        <w:t xml:space="preserve">), ou de sociedade simples; </w:t>
      </w:r>
    </w:p>
    <w:p>
      <w:pPr>
        <w:pStyle w:val="Nivel2"/>
        <w:numPr>
          <w:ilvl w:val="1"/>
          <w:numId w:val="1"/>
        </w:numPr>
        <w:ind w:left="0" w:right="0" w:hanging="0"/>
        <w:rPr/>
      </w:pPr>
      <w:r>
        <w:rPr>
          <w:color w:val="auto"/>
          <w:sz w:val="24"/>
          <w:szCs w:val="24"/>
        </w:rPr>
        <w:t xml:space="preserve">Certidão negativa de falência expedida pelo distribuidor da sede do fornecedor - </w:t>
      </w:r>
      <w:r>
        <w:fldChar w:fldCharType="begin"/>
      </w:r>
      <w:r>
        <w:rPr>
          <w:rStyle w:val="LinkdaInternet"/>
          <w:sz w:val="24"/>
          <w:szCs w:val="24"/>
        </w:rPr>
        <w:instrText> HYPERLINK "http://www.planalto.gov.br/ccivil_03/_ato2019-2022/2021/lei/L14133.htm" \l "art69"</w:instrText>
      </w:r>
      <w:r>
        <w:rPr>
          <w:rStyle w:val="LinkdaInternet"/>
          <w:sz w:val="24"/>
          <w:szCs w:val="24"/>
        </w:rPr>
        <w:fldChar w:fldCharType="separate"/>
      </w:r>
      <w:r>
        <w:rPr>
          <w:rStyle w:val="LinkdaInternet"/>
          <w:color w:val="auto"/>
          <w:sz w:val="24"/>
          <w:szCs w:val="24"/>
        </w:rPr>
        <w:t>Lei nº 14.133, de 2021, art. 69, caput, inciso II</w:t>
      </w:r>
      <w:r>
        <w:rPr>
          <w:rStyle w:val="LinkdaInternet"/>
          <w:sz w:val="24"/>
          <w:szCs w:val="24"/>
        </w:rPr>
        <w:fldChar w:fldCharType="end"/>
      </w:r>
      <w:r>
        <w:rPr>
          <w:color w:val="auto"/>
          <w:sz w:val="24"/>
          <w:szCs w:val="24"/>
        </w:rPr>
        <w:t>);</w:t>
      </w:r>
    </w:p>
    <w:p>
      <w:pPr>
        <w:pStyle w:val="Nivel2"/>
        <w:numPr>
          <w:ilvl w:val="1"/>
          <w:numId w:val="1"/>
        </w:numPr>
        <w:ind w:left="0" w:right="0" w:hanging="0"/>
        <w:rPr>
          <w:color w:val="FF0000"/>
        </w:rPr>
      </w:pPr>
      <w:r>
        <w:rPr>
          <w:color w:val="auto"/>
          <w:sz w:val="24"/>
          <w:szCs w:val="24"/>
        </w:rPr>
        <w:t>Balanço patrimonial, demonstração de resultado de exercício e demais demonstrações contábeis dos 2 (dois) últimos exercícios sociais, comprovando;</w:t>
      </w:r>
    </w:p>
    <w:p>
      <w:pPr>
        <w:pStyle w:val="Nivel2"/>
        <w:numPr>
          <w:ilvl w:val="2"/>
          <w:numId w:val="1"/>
        </w:numPr>
        <w:rPr>
          <w:color w:val="FF0000"/>
        </w:rPr>
      </w:pPr>
      <w:r>
        <w:rPr/>
        <w:t>índices de Liquidez Geral (LG), Liquidez Corrente (LC), e Solvência Geral (SG) superiores a 1 (um);</w:t>
      </w:r>
    </w:p>
    <w:p>
      <w:pPr>
        <w:pStyle w:val="Nivel2"/>
        <w:numPr>
          <w:ilvl w:val="2"/>
          <w:numId w:val="1"/>
        </w:numPr>
        <w:rPr>
          <w:color w:val="FF0000"/>
        </w:rPr>
      </w:pPr>
      <w:r>
        <w:rPr/>
        <w:t>As empresas criadas no exercício financeiro da contratação direta deverão atender a todas as exigências da habilitação e poderão substituir os demonstrativos contábeis pelo balanço de abertura.</w:t>
      </w:r>
    </w:p>
    <w:p>
      <w:pPr>
        <w:pStyle w:val="Nivel2"/>
        <w:numPr>
          <w:ilvl w:val="2"/>
          <w:numId w:val="1"/>
        </w:numPr>
        <w:rPr>
          <w:color w:val="FF0000"/>
        </w:rPr>
      </w:pPr>
      <w:r>
        <w:rPr/>
        <w:t>Os documentos referidos acima limitar-se-ão ao último exercício no caso de a pessoa jurídica ter sido constituída há menos de 2 (dois) anos;</w:t>
      </w:r>
    </w:p>
    <w:p>
      <w:pPr>
        <w:pStyle w:val="Nivel2"/>
        <w:numPr>
          <w:ilvl w:val="2"/>
          <w:numId w:val="1"/>
        </w:numPr>
        <w:rPr>
          <w:color w:val="FF0000"/>
        </w:rPr>
      </w:pPr>
      <w:r>
        <w:rPr/>
        <w:t>Os documentos referidos acima deverão ser exigidos com base no limite definido pela Receita Federal do Brasil para transmissão da Escrituração Contábil Digital - ECD ao Sped.</w:t>
      </w:r>
    </w:p>
    <w:p>
      <w:pPr>
        <w:pStyle w:val="Nivel2"/>
        <w:numPr>
          <w:ilvl w:val="1"/>
          <w:numId w:val="1"/>
        </w:numPr>
        <w:ind w:left="0" w:right="0" w:hanging="0"/>
        <w:rPr>
          <w:color w:val="FF0000"/>
        </w:rPr>
      </w:pPr>
      <w:r>
        <w:rPr>
          <w:color w:val="auto"/>
          <w:sz w:val="24"/>
          <w:szCs w:val="24"/>
        </w:rPr>
        <w:t xml:space="preserve">Caso a empresa interessada apresente resultado inferior ou igual a 1 (um) em qualquer dos índices de Liquidez Geral (LG), Solvência Geral (SG) e Liquidez Corrente (LC), será exigido para fins de habilitação [capital mínimo] </w:t>
      </w:r>
      <w:r>
        <w:rPr>
          <w:color w:val="auto"/>
          <w:sz w:val="24"/>
          <w:szCs w:val="24"/>
          <w:u w:val="single"/>
        </w:rPr>
        <w:t>OU</w:t>
      </w:r>
      <w:r>
        <w:rPr>
          <w:color w:val="auto"/>
          <w:sz w:val="24"/>
          <w:szCs w:val="24"/>
        </w:rPr>
        <w:t xml:space="preserve"> [patrimônio líquido mínimo] de ......% [até 10%] do [valor total estimado da contratação] </w:t>
      </w:r>
      <w:r>
        <w:rPr>
          <w:color w:val="auto"/>
          <w:sz w:val="24"/>
          <w:szCs w:val="24"/>
          <w:u w:val="single"/>
        </w:rPr>
        <w:t>OU</w:t>
      </w:r>
      <w:r>
        <w:rPr>
          <w:color w:val="auto"/>
          <w:sz w:val="24"/>
          <w:szCs w:val="24"/>
        </w:rPr>
        <w:t xml:space="preserve"> [valor total estimado da parcela pertinente].</w:t>
      </w:r>
    </w:p>
    <w:p>
      <w:pPr>
        <w:pStyle w:val="Nivel2"/>
        <w:numPr>
          <w:ilvl w:val="1"/>
          <w:numId w:val="1"/>
        </w:numPr>
        <w:ind w:left="0" w:right="0" w:hanging="0"/>
        <w:rPr>
          <w:rFonts w:ascii="Calibri" w:hAnsi="Calibri"/>
          <w:color w:val="auto"/>
          <w:sz w:val="24"/>
          <w:szCs w:val="24"/>
        </w:rPr>
      </w:pPr>
      <w:r>
        <w:rPr>
          <w:color w:val="auto"/>
          <w:sz w:val="24"/>
          <w:szCs w:val="24"/>
        </w:rPr>
        <w:t>As empresas criadas no exercício financeiro da contratação direta deverão atender a todas as exigências da habilitação e poderão substituir os demonstrativos contábeis pelo balanço de abertura. (Lei nº 14.133, de 2021, art. 65, §1º).</w:t>
      </w:r>
    </w:p>
    <w:p>
      <w:pPr>
        <w:pStyle w:val="Nivel2"/>
        <w:numPr>
          <w:ilvl w:val="1"/>
          <w:numId w:val="1"/>
        </w:numPr>
        <w:ind w:left="0" w:right="0" w:hanging="0"/>
        <w:rPr>
          <w:rFonts w:ascii="Calibri" w:hAnsi="Calibri"/>
          <w:color w:val="auto"/>
          <w:sz w:val="24"/>
          <w:szCs w:val="24"/>
        </w:rPr>
      </w:pPr>
      <w:r>
        <w:rPr>
          <w:color w:val="auto"/>
          <w:sz w:val="24"/>
          <w:szCs w:val="24"/>
        </w:rPr>
        <w:t>O atendimento dos índices econômicos previstos neste item deverá ser atestado mediante declaração assinada por profissional habilitado da área contábil, apresentada pelo fornecedor.</w:t>
      </w:r>
    </w:p>
    <w:p>
      <w:pPr>
        <w:pStyle w:val="Nvel1SemNumPreto"/>
        <w:numPr>
          <w:ilvl w:val="0"/>
          <w:numId w:val="0"/>
        </w:numPr>
        <w:ind w:left="720" w:hanging="0"/>
        <w:rPr>
          <w:rFonts w:ascii="Calibri" w:hAnsi="Calibri"/>
          <w:color w:val="auto"/>
          <w:sz w:val="24"/>
          <w:szCs w:val="24"/>
        </w:rPr>
      </w:pPr>
      <w:r>
        <w:rPr>
          <w:color w:val="auto"/>
          <w:sz w:val="24"/>
          <w:szCs w:val="24"/>
        </w:rPr>
        <w:t>Qualificação Técnica</w:t>
      </w:r>
    </w:p>
    <w:p>
      <w:pPr>
        <w:pStyle w:val="Nivel2"/>
        <w:numPr>
          <w:ilvl w:val="1"/>
          <w:numId w:val="1"/>
        </w:numPr>
        <w:ind w:left="0" w:right="0" w:hanging="0"/>
        <w:rPr>
          <w:rFonts w:ascii="Calibri" w:hAnsi="Calibri"/>
          <w:color w:val="auto"/>
          <w:sz w:val="24"/>
          <w:szCs w:val="24"/>
        </w:rPr>
      </w:pPr>
      <w:r>
        <w:rPr>
          <w:i w:val="false"/>
          <w:iCs w:val="false"/>
          <w:color w:val="auto"/>
          <w:sz w:val="24"/>
          <w:szCs w:val="24"/>
        </w:rPr>
        <w:t xml:space="preserve">Declaração de que o interessado tomou conhecimento de todas as informações e das condições locais para o cumprimento das obrigações objeto da contratação; </w:t>
      </w:r>
    </w:p>
    <w:p>
      <w:pPr>
        <w:pStyle w:val="Nivel2"/>
        <w:numPr>
          <w:ilvl w:val="1"/>
          <w:numId w:val="1"/>
        </w:numPr>
        <w:ind w:left="0" w:right="0" w:hanging="0"/>
        <w:rPr>
          <w:rFonts w:ascii="Calibri" w:hAnsi="Calibri"/>
          <w:color w:val="auto"/>
          <w:sz w:val="24"/>
          <w:szCs w:val="24"/>
        </w:rPr>
      </w:pPr>
      <w:r>
        <w:rPr>
          <w:i w:val="false"/>
          <w:iCs w:val="false"/>
          <w:color w:val="auto"/>
          <w:sz w:val="24"/>
          <w:szCs w:val="24"/>
        </w:rPr>
        <w:t>A declaração acima poderá ser substituída por declaração formal assinada pelo responsável técnico do interessado acerca do conhecimento pleno das condições e peculiaridades da contratação.</w:t>
      </w:r>
    </w:p>
    <w:p>
      <w:pPr>
        <w:pStyle w:val="Nivel2"/>
        <w:numPr>
          <w:ilvl w:val="1"/>
          <w:numId w:val="1"/>
        </w:numPr>
        <w:ind w:left="0" w:right="0" w:hanging="0"/>
        <w:rPr>
          <w:rFonts w:ascii="Calibri" w:hAnsi="Calibri"/>
          <w:color w:val="auto"/>
          <w:sz w:val="24"/>
          <w:szCs w:val="24"/>
        </w:rPr>
      </w:pPr>
      <w:r>
        <w:rPr>
          <w:color w:val="auto"/>
          <w:sz w:val="24"/>
          <w:szCs w:val="24"/>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 o quantitativo mínimo, a apresentação e o somatório de diferentes atestados executados de forma concomitante.</w:t>
      </w:r>
    </w:p>
    <w:p>
      <w:pPr>
        <w:pStyle w:val="Nivel2"/>
        <w:numPr>
          <w:ilvl w:val="1"/>
          <w:numId w:val="1"/>
        </w:numPr>
        <w:ind w:left="0" w:right="0" w:hanging="0"/>
        <w:rPr>
          <w:rFonts w:ascii="Calibri" w:hAnsi="Calibri"/>
          <w:color w:val="auto"/>
          <w:sz w:val="24"/>
          <w:szCs w:val="24"/>
        </w:rPr>
      </w:pPr>
      <w:r>
        <w:rPr>
          <w:color w:val="auto"/>
          <w:sz w:val="24"/>
          <w:szCs w:val="24"/>
        </w:rPr>
        <w:t>Os atestados de capacidade técnica poderão ser apresentados em nome da matriz ou da filial do fornecedor.</w:t>
      </w:r>
    </w:p>
    <w:p>
      <w:pPr>
        <w:pStyle w:val="Nivel2"/>
        <w:numPr>
          <w:ilvl w:val="1"/>
          <w:numId w:val="1"/>
        </w:numPr>
        <w:ind w:left="0" w:right="0" w:hanging="0"/>
        <w:rPr>
          <w:rFonts w:ascii="Calibri" w:hAnsi="Calibri"/>
          <w:color w:val="auto"/>
          <w:sz w:val="24"/>
          <w:szCs w:val="24"/>
        </w:rPr>
      </w:pPr>
      <w:r>
        <w:rPr>
          <w:color w:val="auto"/>
          <w:sz w:val="24"/>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pPr>
        <w:pStyle w:val="Nivel01"/>
        <w:numPr>
          <w:ilvl w:val="0"/>
          <w:numId w:val="1"/>
        </w:numPr>
        <w:rPr/>
      </w:pPr>
      <w:r>
        <w:rPr/>
        <w:t>ESTIMATIVAS DO VALOR DA CONTRATAÇÃO</w:t>
      </w:r>
    </w:p>
    <w:p>
      <w:pPr>
        <w:pStyle w:val="Nivel2"/>
        <w:numPr>
          <w:ilvl w:val="1"/>
          <w:numId w:val="1"/>
        </w:numPr>
        <w:rPr/>
      </w:pPr>
      <w:r>
        <w:rPr>
          <w:color w:val="auto"/>
          <w:sz w:val="24"/>
          <w:szCs w:val="24"/>
        </w:rPr>
        <w:t>O custo estimado total da contratação é de R$ 27.567,25 (vinte e sete mil, quinhentos e sessenta e sete reais e vinte e cinco centavos), conforme custos unitários apostos na tabela no Item 1 deste Termo de Referência.</w:t>
      </w:r>
    </w:p>
    <w:p>
      <w:pPr>
        <w:pStyle w:val="Nivel2"/>
        <w:numPr>
          <w:ilvl w:val="1"/>
          <w:numId w:val="1"/>
        </w:numPr>
        <w:rPr/>
      </w:pPr>
      <w:r>
        <w:rPr>
          <w:rFonts w:eastAsia="MS Mincho"/>
          <w:color w:val="auto"/>
          <w:sz w:val="24"/>
          <w:szCs w:val="24"/>
        </w:rPr>
        <w:t xml:space="preserve">Em caso de Registro de Preços, os preços </w:t>
      </w:r>
      <w:r>
        <w:rPr>
          <w:color w:val="auto"/>
          <w:sz w:val="24"/>
          <w:szCs w:val="24"/>
        </w:rPr>
        <w:t>registrados poderão ser alterados ou atualizados em decorrência de eventual redução dos preços praticados no mercado ou de fato que eleve o custo dos bens, das obras ou dos serviços registrados, nas seguintes situações (art. 25 do Decreto nº 11.462/2023):</w:t>
      </w:r>
    </w:p>
    <w:p>
      <w:pPr>
        <w:pStyle w:val="Nivel2"/>
        <w:numPr>
          <w:ilvl w:val="2"/>
          <w:numId w:val="1"/>
        </w:numPr>
        <w:rPr/>
      </w:pPr>
      <w:r>
        <w:rPr>
          <w:color w:val="auto"/>
          <w:sz w:val="24"/>
          <w:szCs w:val="24"/>
        </w:rPr>
        <w:t>em caso de força maior, caso fortuito ou fato do príncipe ou em decorrência de fatos imprevisíveis ou previsíveis de consequências incalculáveis, que inviabilizem a execução da ata tal como pactuada, nos termos do disposto na a</w:t>
      </w:r>
      <w:r>
        <w:fldChar w:fldCharType="begin"/>
      </w:r>
      <w:r>
        <w:rPr>
          <w:rStyle w:val="LinkdaInternet"/>
          <w:sz w:val="24"/>
          <w:szCs w:val="24"/>
          <w:rFonts w:eastAsia="Arial"/>
        </w:rPr>
        <w:instrText> HYPERLINK "http://www.planalto.gov.br/ccivil_03/_Ato2019-2022/2021/Lei/L14133.htm" \l "art124iid"</w:instrText>
      </w:r>
      <w:r>
        <w:rPr>
          <w:rStyle w:val="LinkdaInternet"/>
          <w:sz w:val="24"/>
          <w:szCs w:val="24"/>
          <w:rFonts w:eastAsia="Arial"/>
        </w:rPr>
        <w:fldChar w:fldCharType="separate"/>
      </w:r>
      <w:r>
        <w:rPr>
          <w:rStyle w:val="LinkdaInternet"/>
          <w:rFonts w:eastAsia="Arial"/>
          <w:color w:val="auto"/>
          <w:sz w:val="24"/>
          <w:szCs w:val="24"/>
        </w:rPr>
        <w:t>línea “d” do inciso II do capu</w:t>
      </w:r>
      <w:r>
        <w:rPr>
          <w:rStyle w:val="LinkdaInternet"/>
          <w:sz w:val="24"/>
          <w:szCs w:val="24"/>
          <w:rFonts w:eastAsia="Arial"/>
        </w:rPr>
        <w:fldChar w:fldCharType="end"/>
      </w:r>
      <w:r>
        <w:rPr>
          <w:rStyle w:val="LinkdaInternet"/>
          <w:rFonts w:eastAsia="Arial"/>
          <w:b/>
          <w:bCs/>
          <w:color w:val="auto"/>
          <w:sz w:val="24"/>
          <w:szCs w:val="24"/>
        </w:rPr>
        <w:t>t</w:t>
      </w:r>
      <w:r>
        <w:rPr>
          <w:rStyle w:val="LinkdaInternet"/>
          <w:rFonts w:eastAsia="Arial"/>
          <w:color w:val="auto"/>
          <w:sz w:val="24"/>
          <w:szCs w:val="24"/>
        </w:rPr>
        <w:t xml:space="preserve"> do art. 124 da Lei nº 14.133, de 2021;</w:t>
      </w:r>
    </w:p>
    <w:p>
      <w:pPr>
        <w:pStyle w:val="Nivel2"/>
        <w:numPr>
          <w:ilvl w:val="2"/>
          <w:numId w:val="1"/>
        </w:numPr>
        <w:rPr/>
      </w:pPr>
      <w:r>
        <w:rPr>
          <w:color w:val="auto"/>
          <w:sz w:val="24"/>
          <w:szCs w:val="24"/>
        </w:rPr>
        <w:t>em caso de criação, alteração ou extinção de quaisquer tributos ou encargos legais ou superveniência de disposições legais, com comprovada repercussão sobre os preços registrados;</w:t>
      </w:r>
    </w:p>
    <w:p>
      <w:pPr>
        <w:pStyle w:val="Nivel2"/>
        <w:numPr>
          <w:ilvl w:val="2"/>
          <w:numId w:val="1"/>
        </w:numPr>
        <w:rPr/>
      </w:pPr>
      <w:r>
        <w:rPr>
          <w:color w:val="auto"/>
          <w:sz w:val="24"/>
          <w:szCs w:val="24"/>
        </w:rPr>
        <w:t>serão reajustados os preços registrados, respeitada a contagem da anualidade e o índice previsto para a contratação; ou</w:t>
      </w:r>
    </w:p>
    <w:p>
      <w:pPr>
        <w:pStyle w:val="Nivel2"/>
        <w:numPr>
          <w:ilvl w:val="2"/>
          <w:numId w:val="1"/>
        </w:numPr>
        <w:rPr/>
      </w:pPr>
      <w:r>
        <w:rPr>
          <w:color w:val="auto"/>
          <w:sz w:val="24"/>
          <w:szCs w:val="24"/>
        </w:rPr>
        <w:t>poderão ser repactuados, a pedido do interessado, conforme critérios definidos para a contratação.</w:t>
      </w:r>
    </w:p>
    <w:p>
      <w:pPr>
        <w:pStyle w:val="Nivel2"/>
        <w:numPr>
          <w:ilvl w:val="0"/>
          <w:numId w:val="0"/>
        </w:numPr>
        <w:ind w:left="510" w:right="0" w:hanging="454"/>
        <w:rPr>
          <w:rFonts w:ascii="Calibri" w:hAnsi="Calibri"/>
          <w:color w:val="auto"/>
          <w:sz w:val="24"/>
          <w:szCs w:val="24"/>
        </w:rPr>
      </w:pPr>
      <w:r>
        <w:rPr>
          <w:color w:val="auto"/>
          <w:sz w:val="24"/>
          <w:szCs w:val="24"/>
        </w:rPr>
      </w:r>
    </w:p>
    <w:p>
      <w:pPr>
        <w:pStyle w:val="Nivel2"/>
        <w:numPr>
          <w:ilvl w:val="0"/>
          <w:numId w:val="0"/>
        </w:numPr>
        <w:ind w:left="510" w:right="0" w:hanging="454"/>
        <w:rPr>
          <w:rFonts w:ascii="Calibri" w:hAnsi="Calibri"/>
          <w:color w:val="auto"/>
          <w:sz w:val="24"/>
          <w:szCs w:val="24"/>
        </w:rPr>
      </w:pPr>
      <w:r>
        <w:rPr>
          <w:color w:val="auto"/>
          <w:sz w:val="24"/>
          <w:szCs w:val="24"/>
        </w:rPr>
      </w:r>
    </w:p>
    <w:p>
      <w:pPr>
        <w:pStyle w:val="Nivel2"/>
        <w:numPr>
          <w:ilvl w:val="0"/>
          <w:numId w:val="0"/>
        </w:numPr>
        <w:ind w:left="510" w:right="0" w:hanging="454"/>
        <w:rPr>
          <w:rFonts w:ascii="Calibri" w:hAnsi="Calibri"/>
          <w:color w:val="auto"/>
          <w:sz w:val="24"/>
          <w:szCs w:val="24"/>
        </w:rPr>
      </w:pPr>
      <w:r>
        <w:rPr>
          <w:color w:val="auto"/>
          <w:sz w:val="24"/>
          <w:szCs w:val="24"/>
        </w:rPr>
      </w:r>
    </w:p>
    <w:p>
      <w:pPr>
        <w:pStyle w:val="Nivel01"/>
        <w:numPr>
          <w:ilvl w:val="0"/>
          <w:numId w:val="1"/>
        </w:numPr>
        <w:rPr/>
      </w:pPr>
      <w:r>
        <w:rPr/>
        <w:t>ADEQUAÇÃO ORÇAMENTÁRIA</w:t>
      </w:r>
    </w:p>
    <w:p>
      <w:pPr>
        <w:pStyle w:val="Nivel2"/>
        <w:numPr>
          <w:ilvl w:val="1"/>
          <w:numId w:val="1"/>
        </w:numPr>
        <w:ind w:left="0" w:right="0" w:hanging="0"/>
        <w:rPr>
          <w:rFonts w:ascii="Calibri" w:hAnsi="Calibri"/>
          <w:sz w:val="24"/>
          <w:szCs w:val="24"/>
        </w:rPr>
      </w:pPr>
      <w:r>
        <w:rPr>
          <w:sz w:val="24"/>
          <w:szCs w:val="24"/>
        </w:rPr>
        <w:t>As despesas decorrentes da presente contratação correrão à conta de recursos específicos consignados no Orçamento Geral da União.</w:t>
      </w:r>
    </w:p>
    <w:p>
      <w:pPr>
        <w:pStyle w:val="Nivel2"/>
        <w:numPr>
          <w:ilvl w:val="1"/>
          <w:numId w:val="1"/>
        </w:numPr>
        <w:ind w:left="0" w:right="0" w:hanging="0"/>
        <w:rPr>
          <w:rFonts w:ascii="Calibri" w:hAnsi="Calibri"/>
          <w:sz w:val="24"/>
          <w:szCs w:val="24"/>
        </w:rPr>
      </w:pPr>
      <w:r>
        <w:rPr>
          <w:sz w:val="24"/>
          <w:szCs w:val="24"/>
        </w:rPr>
        <w:t>A contratação será atendida pela seguinte dotação:</w:t>
      </w:r>
    </w:p>
    <w:p>
      <w:pPr>
        <w:pStyle w:val="ListParagraph"/>
        <w:numPr>
          <w:ilvl w:val="0"/>
          <w:numId w:val="3"/>
        </w:numPr>
        <w:spacing w:lineRule="auto" w:line="276" w:before="120" w:after="120"/>
        <w:ind w:left="284" w:hanging="0"/>
        <w:contextualSpacing/>
        <w:jc w:val="both"/>
        <w:rPr>
          <w:rFonts w:ascii="Calibri" w:hAnsi="Calibri"/>
          <w:sz w:val="24"/>
          <w:szCs w:val="24"/>
        </w:rPr>
      </w:pPr>
      <w:r>
        <w:rPr>
          <w:rFonts w:eastAsia="Arial" w:cs="Arial" w:ascii="Calibri" w:hAnsi="Calibri"/>
          <w:sz w:val="24"/>
          <w:szCs w:val="24"/>
        </w:rPr>
        <w:t>Gestão/Unidade: 91800;</w:t>
      </w:r>
    </w:p>
    <w:p>
      <w:pPr>
        <w:pStyle w:val="ListParagraph"/>
        <w:numPr>
          <w:ilvl w:val="0"/>
          <w:numId w:val="3"/>
        </w:numPr>
        <w:spacing w:lineRule="auto" w:line="276" w:before="120" w:after="120"/>
        <w:ind w:left="284" w:hanging="0"/>
        <w:contextualSpacing/>
        <w:jc w:val="both"/>
        <w:rPr>
          <w:rFonts w:ascii="Calibri" w:hAnsi="Calibri"/>
          <w:sz w:val="24"/>
          <w:szCs w:val="24"/>
        </w:rPr>
      </w:pPr>
      <w:r>
        <w:rPr>
          <w:rFonts w:eastAsia="Arial" w:cs="Arial" w:ascii="Calibri" w:hAnsi="Calibri"/>
          <w:sz w:val="24"/>
          <w:szCs w:val="24"/>
        </w:rPr>
        <w:t>Fonte de Recursos: 1115000000;</w:t>
      </w:r>
    </w:p>
    <w:p>
      <w:pPr>
        <w:pStyle w:val="ListParagraph"/>
        <w:numPr>
          <w:ilvl w:val="0"/>
          <w:numId w:val="3"/>
        </w:numPr>
        <w:spacing w:lineRule="auto" w:line="276" w:before="120" w:after="120"/>
        <w:ind w:left="284" w:hanging="0"/>
        <w:contextualSpacing/>
        <w:jc w:val="both"/>
        <w:rPr>
          <w:rFonts w:ascii="Calibri" w:hAnsi="Calibri"/>
          <w:sz w:val="24"/>
          <w:szCs w:val="24"/>
        </w:rPr>
      </w:pPr>
      <w:r>
        <w:rPr>
          <w:rFonts w:eastAsia="Arial" w:cs="Arial" w:ascii="Calibri" w:hAnsi="Calibri"/>
          <w:sz w:val="24"/>
          <w:szCs w:val="24"/>
        </w:rPr>
        <w:t>Programa de Trabalho: 174678;</w:t>
      </w:r>
    </w:p>
    <w:p>
      <w:pPr>
        <w:pStyle w:val="ListParagraph"/>
        <w:numPr>
          <w:ilvl w:val="0"/>
          <w:numId w:val="3"/>
        </w:numPr>
        <w:spacing w:lineRule="auto" w:line="276" w:before="120" w:after="120"/>
        <w:ind w:left="284" w:hanging="0"/>
        <w:contextualSpacing/>
        <w:jc w:val="both"/>
        <w:rPr>
          <w:rFonts w:ascii="Calibri" w:hAnsi="Calibri"/>
          <w:sz w:val="24"/>
          <w:szCs w:val="24"/>
        </w:rPr>
      </w:pPr>
      <w:r>
        <w:rPr>
          <w:rFonts w:eastAsia="Arial" w:cs="Arial" w:ascii="Calibri" w:hAnsi="Calibri"/>
          <w:sz w:val="24"/>
          <w:szCs w:val="24"/>
        </w:rPr>
        <w:t>Elemento de Despesa: 339039;</w:t>
      </w:r>
    </w:p>
    <w:p>
      <w:pPr>
        <w:pStyle w:val="ListParagraph"/>
        <w:numPr>
          <w:ilvl w:val="0"/>
          <w:numId w:val="3"/>
        </w:numPr>
        <w:spacing w:lineRule="auto" w:line="276" w:before="120" w:after="120"/>
        <w:ind w:left="284" w:hanging="0"/>
        <w:contextualSpacing/>
        <w:jc w:val="both"/>
        <w:rPr>
          <w:rFonts w:ascii="Calibri" w:hAnsi="Calibri"/>
          <w:sz w:val="24"/>
          <w:szCs w:val="24"/>
        </w:rPr>
      </w:pPr>
      <w:r>
        <w:rPr>
          <w:rFonts w:eastAsia="Arial" w:cs="Arial" w:ascii="Calibri" w:hAnsi="Calibri"/>
          <w:sz w:val="24"/>
          <w:szCs w:val="24"/>
        </w:rPr>
        <w:t>Plano Interno: R90109001LO.</w:t>
      </w:r>
    </w:p>
    <w:p>
      <w:pPr>
        <w:pStyle w:val="ListParagraph"/>
        <w:spacing w:lineRule="auto" w:line="276" w:before="120" w:after="120"/>
        <w:ind w:left="284" w:hanging="0"/>
        <w:contextualSpacing/>
        <w:jc w:val="both"/>
        <w:rPr>
          <w:rFonts w:eastAsia="Arial" w:cs="Arial"/>
        </w:rPr>
      </w:pPr>
      <w:r>
        <w:rPr>
          <w:rFonts w:eastAsia="Arial" w:cs="Arial"/>
        </w:rPr>
      </w:r>
    </w:p>
    <w:p>
      <w:pPr>
        <w:pStyle w:val="ListParagraph"/>
        <w:spacing w:lineRule="auto" w:line="276" w:before="120" w:after="120"/>
        <w:ind w:left="284" w:hanging="0"/>
        <w:contextualSpacing/>
        <w:jc w:val="both"/>
        <w:rPr>
          <w:rFonts w:eastAsia="Arial" w:cs="Arial"/>
        </w:rPr>
      </w:pPr>
      <w:r>
        <w:rPr>
          <w:rFonts w:eastAsia="Arial" w:cs="Arial"/>
        </w:rPr>
      </w:r>
    </w:p>
    <w:p>
      <w:pPr>
        <w:pStyle w:val="Nivel2"/>
        <w:numPr>
          <w:ilvl w:val="0"/>
          <w:numId w:val="0"/>
        </w:numPr>
        <w:tabs>
          <w:tab w:val="clear" w:pos="367"/>
        </w:tabs>
        <w:spacing w:lineRule="auto" w:line="240" w:before="0" w:after="113"/>
        <w:ind w:left="360" w:right="0" w:hanging="0"/>
        <w:jc w:val="right"/>
        <w:rPr/>
      </w:pPr>
      <w:r>
        <w:rPr>
          <w:rStyle w:val="LinkdaInternet"/>
          <w:rFonts w:eastAsia="Arial" w:cs="Arial"/>
          <w:b w:val="false"/>
          <w:bCs/>
          <w:i w:val="false"/>
          <w:iCs w:val="false"/>
          <w:color w:val="000000"/>
          <w:sz w:val="24"/>
          <w:szCs w:val="24"/>
          <w:u w:val="none"/>
          <w:lang w:eastAsia="en-US"/>
        </w:rPr>
        <w:t>Niterói, RJ,       de                   de 2023.</w:t>
      </w:r>
    </w:p>
    <w:tbl>
      <w:tblPr>
        <w:tblW w:w="9638" w:type="dxa"/>
        <w:jc w:val="left"/>
        <w:tblInd w:w="0" w:type="dxa"/>
        <w:tblBorders/>
        <w:tblCellMar>
          <w:top w:w="55" w:type="dxa"/>
          <w:left w:w="55" w:type="dxa"/>
          <w:bottom w:w="55" w:type="dxa"/>
          <w:right w:w="55" w:type="dxa"/>
        </w:tblCellMar>
      </w:tblPr>
      <w:tblGrid>
        <w:gridCol w:w="9638"/>
      </w:tblGrid>
      <w:tr>
        <w:trPr/>
        <w:tc>
          <w:tcPr>
            <w:tcW w:w="9638" w:type="dxa"/>
            <w:tcBorders/>
            <w:shd w:fill="auto" w:val="clear"/>
          </w:tcPr>
          <w:p>
            <w:pPr>
              <w:pStyle w:val="Contedodatabela"/>
              <w:spacing w:lineRule="auto" w:line="240"/>
              <w:jc w:val="center"/>
              <w:rPr>
                <w:rFonts w:ascii="Calibri" w:hAnsi="Calibri"/>
                <w:sz w:val="24"/>
                <w:szCs w:val="24"/>
              </w:rPr>
            </w:pPr>
            <w:r>
              <w:rPr>
                <w:rFonts w:ascii="Calibri" w:hAnsi="Calibri"/>
                <w:sz w:val="24"/>
                <w:szCs w:val="24"/>
              </w:rPr>
            </w:r>
          </w:p>
          <w:p>
            <w:pPr>
              <w:pStyle w:val="Contedodatabela"/>
              <w:spacing w:lineRule="auto" w:line="240"/>
              <w:jc w:val="center"/>
              <w:rPr>
                <w:rFonts w:ascii="Calibri" w:hAnsi="Calibri"/>
                <w:sz w:val="24"/>
                <w:szCs w:val="24"/>
              </w:rPr>
            </w:pPr>
            <w:r>
              <w:rPr>
                <w:rFonts w:ascii="Calibri" w:hAnsi="Calibri"/>
                <w:sz w:val="24"/>
                <w:szCs w:val="24"/>
              </w:rPr>
              <w:t>__________________________________</w:t>
            </w:r>
          </w:p>
          <w:p>
            <w:pPr>
              <w:pStyle w:val="Contedodatabela"/>
              <w:spacing w:lineRule="auto" w:line="240"/>
              <w:jc w:val="center"/>
              <w:rPr>
                <w:rFonts w:ascii="Calibri" w:hAnsi="Calibri"/>
                <w:sz w:val="24"/>
                <w:szCs w:val="24"/>
              </w:rPr>
            </w:pPr>
            <w:r>
              <w:rPr>
                <w:rFonts w:ascii="Calibri" w:hAnsi="Calibri"/>
                <w:sz w:val="24"/>
                <w:szCs w:val="24"/>
              </w:rPr>
              <w:t>ANA CAROLINA NANTES PINHEIRO</w:t>
            </w:r>
          </w:p>
          <w:p>
            <w:pPr>
              <w:pStyle w:val="Contedodatabela"/>
              <w:spacing w:lineRule="auto" w:line="240"/>
              <w:jc w:val="center"/>
              <w:rPr/>
            </w:pPr>
            <w:r>
              <w:rPr>
                <w:rFonts w:ascii="Calibri" w:hAnsi="Calibri"/>
                <w:sz w:val="24"/>
                <w:szCs w:val="24"/>
              </w:rPr>
              <w:t>Primeiro-Tenente (RM2-EN)</w:t>
            </w:r>
          </w:p>
          <w:p>
            <w:pPr>
              <w:pStyle w:val="Contedodatabela"/>
              <w:spacing w:lineRule="auto" w:line="240"/>
              <w:jc w:val="center"/>
              <w:rPr/>
            </w:pPr>
            <w:r>
              <w:rPr>
                <w:rFonts w:ascii="Calibri" w:hAnsi="Calibri"/>
                <w:sz w:val="24"/>
                <w:szCs w:val="24"/>
              </w:rPr>
              <w:t>CPF: 151.401.547-14</w:t>
            </w:r>
          </w:p>
        </w:tc>
      </w:tr>
    </w:tbl>
    <w:p>
      <w:pPr>
        <w:pStyle w:val="Normal"/>
        <w:spacing w:lineRule="auto" w:line="240" w:before="0" w:after="0"/>
        <w:rPr>
          <w:rFonts w:ascii="Calibri" w:hAnsi="Calibri" w:cs="Calibri"/>
          <w:b/>
          <w:b/>
          <w:bCs/>
          <w:color w:val="000000"/>
          <w:u w:val="single"/>
        </w:rPr>
      </w:pPr>
      <w:r>
        <w:rPr>
          <w:rFonts w:cs="Calibri" w:ascii="Calibri" w:hAnsi="Calibri"/>
          <w:b/>
          <w:bCs/>
          <w:color w:val="000000"/>
          <w:u w:val="single"/>
        </w:rPr>
      </w:r>
    </w:p>
    <w:p>
      <w:pPr>
        <w:pStyle w:val="Normal"/>
        <w:spacing w:lineRule="auto" w:line="240" w:before="0" w:after="0"/>
        <w:rPr>
          <w:rFonts w:ascii="Calibri" w:hAnsi="Calibri" w:cs="Calibri"/>
          <w:b/>
          <w:b/>
          <w:bCs/>
          <w:color w:val="000000"/>
          <w:u w:val="single"/>
        </w:rPr>
      </w:pPr>
      <w:r>
        <w:rPr>
          <w:rFonts w:cs="Calibri" w:ascii="Calibri" w:hAnsi="Calibri"/>
          <w:b/>
          <w:bCs/>
          <w:color w:val="000000"/>
          <w:u w:val="single"/>
        </w:rPr>
      </w:r>
    </w:p>
    <w:p>
      <w:pPr>
        <w:pStyle w:val="Normal"/>
        <w:spacing w:lineRule="auto" w:line="240" w:before="0" w:after="0"/>
        <w:rPr>
          <w:rFonts w:ascii="Calibri" w:hAnsi="Calibri" w:cs="Calibri"/>
          <w:b/>
          <w:b/>
          <w:bCs/>
          <w:color w:val="000000"/>
          <w:u w:val="single"/>
        </w:rPr>
      </w:pPr>
      <w:r>
        <w:rPr>
          <w:rFonts w:cs="Calibri" w:ascii="Calibri" w:hAnsi="Calibri"/>
          <w:b/>
          <w:bCs/>
          <w:color w:val="000000"/>
          <w:u w:val="single"/>
        </w:rPr>
      </w:r>
    </w:p>
    <w:p>
      <w:pPr>
        <w:pStyle w:val="Normal"/>
        <w:spacing w:lineRule="auto" w:line="240" w:before="0" w:after="0"/>
        <w:rPr>
          <w:rFonts w:ascii="Calibri" w:hAnsi="Calibri" w:cs="Calibri"/>
          <w:b/>
          <w:b/>
          <w:bCs/>
          <w:color w:val="000000"/>
          <w:u w:val="single"/>
        </w:rPr>
      </w:pPr>
      <w:r>
        <w:rPr>
          <w:rFonts w:cs="Calibri" w:ascii="Calibri" w:hAnsi="Calibri"/>
          <w:b/>
          <w:bCs/>
          <w:color w:val="000000"/>
          <w:u w:val="single"/>
        </w:rPr>
        <w:t>APROVAÇÃO DO TERMO DE REFERÊNCIA</w:t>
      </w:r>
    </w:p>
    <w:p>
      <w:pPr>
        <w:pStyle w:val="Normal"/>
        <w:spacing w:lineRule="auto" w:line="240" w:before="0" w:after="0"/>
        <w:jc w:val="both"/>
        <w:rPr>
          <w:rFonts w:ascii="Calibri" w:hAnsi="Calibri" w:cs="Calibri"/>
          <w:bCs/>
          <w:color w:val="000000"/>
        </w:rPr>
      </w:pPr>
      <w:r>
        <w:rPr>
          <w:rFonts w:cs="Calibri" w:ascii="Calibri" w:hAnsi="Calibri"/>
          <w:bCs/>
          <w:color w:val="000000"/>
        </w:rPr>
        <w:tab/>
      </w:r>
    </w:p>
    <w:p>
      <w:pPr>
        <w:pStyle w:val="Normal"/>
        <w:tabs>
          <w:tab w:val="clear" w:pos="367"/>
        </w:tabs>
        <w:spacing w:lineRule="auto" w:line="240" w:before="0" w:after="0"/>
        <w:jc w:val="both"/>
        <w:rPr>
          <w:rFonts w:ascii="Calibri" w:hAnsi="Calibri" w:cs="Calibri"/>
          <w:bCs/>
          <w:color w:val="000000"/>
        </w:rPr>
      </w:pPr>
      <w:r>
        <w:rPr>
          <w:rStyle w:val="LinkdaInternet"/>
          <w:rFonts w:eastAsia="Arial" w:cs="Calibri" w:ascii="Calibri" w:hAnsi="Calibri"/>
          <w:b w:val="false"/>
          <w:bCs/>
          <w:i w:val="false"/>
          <w:iCs w:val="false"/>
          <w:color w:val="000000"/>
          <w:sz w:val="24"/>
          <w:szCs w:val="24"/>
          <w:u w:val="none"/>
          <w:lang w:eastAsia="en-US"/>
        </w:rPr>
        <w:t>Aprovo:</w:t>
      </w:r>
    </w:p>
    <w:p>
      <w:pPr>
        <w:pStyle w:val="Nivel2"/>
        <w:numPr>
          <w:ilvl w:val="0"/>
          <w:numId w:val="0"/>
        </w:numPr>
        <w:tabs>
          <w:tab w:val="clear" w:pos="367"/>
        </w:tabs>
        <w:spacing w:lineRule="auto" w:line="240" w:before="0" w:after="113"/>
        <w:ind w:left="510" w:right="0" w:hanging="454"/>
        <w:jc w:val="right"/>
        <w:rPr>
          <w:rStyle w:val="LinkdaInternet"/>
          <w:rFonts w:ascii="Calibri" w:hAnsi="Calibri" w:eastAsia="Arial" w:cs="Arial"/>
          <w:b w:val="false"/>
          <w:b w:val="false"/>
          <w:bCs/>
          <w:i w:val="false"/>
          <w:i w:val="false"/>
          <w:iCs w:val="false"/>
          <w:color w:val="000000"/>
          <w:sz w:val="24"/>
          <w:szCs w:val="24"/>
          <w:u w:val="none"/>
          <w:lang w:eastAsia="en-US"/>
        </w:rPr>
      </w:pPr>
      <w:r>
        <w:rPr>
          <w:rFonts w:eastAsia="Arial" w:cs="Arial"/>
          <w:b w:val="false"/>
          <w:bCs/>
          <w:i w:val="false"/>
          <w:iCs w:val="false"/>
          <w:color w:val="000000"/>
          <w:sz w:val="24"/>
          <w:szCs w:val="24"/>
          <w:u w:val="none"/>
          <w:lang w:eastAsia="en-US"/>
        </w:rPr>
      </w:r>
    </w:p>
    <w:p>
      <w:pPr>
        <w:pStyle w:val="Nivel2"/>
        <w:numPr>
          <w:ilvl w:val="0"/>
          <w:numId w:val="0"/>
        </w:numPr>
        <w:tabs>
          <w:tab w:val="clear" w:pos="367"/>
        </w:tabs>
        <w:spacing w:lineRule="auto" w:line="240" w:before="0" w:after="113"/>
        <w:ind w:left="510" w:right="0" w:hanging="454"/>
        <w:jc w:val="right"/>
        <w:rPr/>
      </w:pPr>
      <w:r>
        <w:rPr>
          <w:rStyle w:val="LinkdaInternet"/>
          <w:rFonts w:eastAsia="Arial" w:cs="Arial"/>
          <w:b w:val="false"/>
          <w:bCs/>
          <w:i w:val="false"/>
          <w:iCs w:val="false"/>
          <w:color w:val="000000"/>
          <w:sz w:val="24"/>
          <w:szCs w:val="24"/>
          <w:u w:val="none"/>
          <w:lang w:eastAsia="en-US"/>
        </w:rPr>
        <w:t>Niterói, RJ,       de                   de 2023.</w:t>
      </w:r>
    </w:p>
    <w:p>
      <w:pPr>
        <w:pStyle w:val="Nivel2"/>
        <w:numPr>
          <w:ilvl w:val="0"/>
          <w:numId w:val="0"/>
        </w:numPr>
        <w:tabs>
          <w:tab w:val="clear" w:pos="367"/>
        </w:tabs>
        <w:spacing w:lineRule="auto" w:line="240" w:before="0" w:after="113"/>
        <w:ind w:left="510" w:right="0" w:hanging="454"/>
        <w:jc w:val="both"/>
        <w:rPr>
          <w:rStyle w:val="LinkdaInternet"/>
          <w:rFonts w:ascii="Calibri" w:hAnsi="Calibri" w:eastAsia="Arial" w:cs="Arial"/>
          <w:b w:val="false"/>
          <w:b w:val="false"/>
          <w:bCs/>
          <w:i w:val="false"/>
          <w:i w:val="false"/>
          <w:iCs w:val="false"/>
          <w:color w:val="000000"/>
          <w:sz w:val="24"/>
          <w:szCs w:val="24"/>
          <w:u w:val="none"/>
          <w:lang w:eastAsia="en-US"/>
        </w:rPr>
      </w:pPr>
      <w:r>
        <w:rPr>
          <w:rFonts w:eastAsia="Arial" w:cs="Arial"/>
          <w:b w:val="false"/>
          <w:bCs/>
          <w:i w:val="false"/>
          <w:iCs w:val="false"/>
          <w:color w:val="000000"/>
          <w:sz w:val="24"/>
          <w:szCs w:val="24"/>
          <w:u w:val="none"/>
          <w:lang w:eastAsia="en-US"/>
        </w:rPr>
      </w:r>
    </w:p>
    <w:p>
      <w:pPr>
        <w:pStyle w:val="Nivel2"/>
        <w:numPr>
          <w:ilvl w:val="0"/>
          <w:numId w:val="0"/>
        </w:numPr>
        <w:tabs>
          <w:tab w:val="clear" w:pos="367"/>
        </w:tabs>
        <w:spacing w:lineRule="auto" w:line="240" w:before="0" w:after="0"/>
        <w:ind w:left="510" w:right="0" w:hanging="454"/>
        <w:jc w:val="center"/>
        <w:rPr/>
      </w:pPr>
      <w:r>
        <w:rPr>
          <w:rStyle w:val="LinkdaInternet"/>
          <w:rFonts w:eastAsia="Arial" w:cs="Arial"/>
          <w:b w:val="false"/>
          <w:bCs/>
          <w:i w:val="false"/>
          <w:iCs w:val="false"/>
          <w:color w:val="000000"/>
          <w:sz w:val="24"/>
          <w:szCs w:val="24"/>
          <w:u w:val="none"/>
          <w:lang w:eastAsia="en-US"/>
        </w:rPr>
        <w:t>___________________________________________</w:t>
      </w:r>
    </w:p>
    <w:p>
      <w:pPr>
        <w:pStyle w:val="Nivel2"/>
        <w:numPr>
          <w:ilvl w:val="0"/>
          <w:numId w:val="0"/>
        </w:numPr>
        <w:tabs>
          <w:tab w:val="clear" w:pos="367"/>
        </w:tabs>
        <w:spacing w:lineRule="auto" w:line="240" w:before="0" w:after="0"/>
        <w:ind w:left="510" w:right="0" w:hanging="454"/>
        <w:jc w:val="center"/>
        <w:rPr>
          <w:rFonts w:ascii="Calibri" w:hAnsi="Calibri" w:eastAsia="Arial" w:cs="Arial"/>
          <w:b w:val="false"/>
          <w:b w:val="false"/>
          <w:bCs/>
          <w:i w:val="false"/>
          <w:i w:val="false"/>
          <w:iCs w:val="false"/>
          <w:color w:val="000000"/>
          <w:sz w:val="24"/>
          <w:szCs w:val="24"/>
          <w:u w:val="none"/>
          <w:lang w:val="zxx" w:eastAsia="en-US" w:bidi="zxx"/>
        </w:rPr>
      </w:pPr>
      <w:r>
        <w:rPr>
          <w:rStyle w:val="LinkdaInternet"/>
          <w:rFonts w:eastAsia="Arial" w:cs="Arial"/>
          <w:b w:val="false"/>
          <w:bCs/>
          <w:i w:val="false"/>
          <w:iCs w:val="false"/>
          <w:color w:val="000000"/>
          <w:sz w:val="24"/>
          <w:szCs w:val="24"/>
          <w:u w:val="none"/>
          <w:lang w:val="zxx" w:eastAsia="en-US" w:bidi="zxx"/>
        </w:rPr>
        <w:t>MARLON RAMOS DE ARAUJO</w:t>
      </w:r>
    </w:p>
    <w:p>
      <w:pPr>
        <w:pStyle w:val="Nivel2"/>
        <w:numPr>
          <w:ilvl w:val="0"/>
          <w:numId w:val="0"/>
        </w:numPr>
        <w:tabs>
          <w:tab w:val="clear" w:pos="367"/>
        </w:tabs>
        <w:spacing w:lineRule="auto" w:line="240" w:before="0" w:after="0"/>
        <w:ind w:left="510" w:right="0" w:hanging="454"/>
        <w:jc w:val="center"/>
        <w:rPr/>
      </w:pPr>
      <w:r>
        <w:rPr>
          <w:rStyle w:val="LinkdaInternet"/>
          <w:rFonts w:eastAsia="Arial" w:cs="Arial"/>
          <w:b w:val="false"/>
          <w:bCs/>
          <w:i w:val="false"/>
          <w:iCs w:val="false"/>
          <w:color w:val="000000"/>
          <w:sz w:val="24"/>
          <w:szCs w:val="24"/>
          <w:u w:val="none"/>
          <w:lang w:eastAsia="en-US"/>
        </w:rPr>
        <w:t>Capitão de Mar e Guerra</w:t>
      </w:r>
    </w:p>
    <w:p>
      <w:pPr>
        <w:pStyle w:val="Nivel2"/>
        <w:widowControl/>
        <w:numPr>
          <w:ilvl w:val="0"/>
          <w:numId w:val="0"/>
        </w:numPr>
        <w:tabs>
          <w:tab w:val="clear" w:pos="367"/>
        </w:tabs>
        <w:bidi w:val="0"/>
        <w:spacing w:lineRule="auto" w:line="240" w:before="0" w:after="0"/>
        <w:ind w:left="510" w:right="0" w:hanging="454"/>
        <w:jc w:val="center"/>
        <w:rPr/>
      </w:pPr>
      <w:r>
        <w:rPr>
          <w:rStyle w:val="LinkdaInternet"/>
          <w:rFonts w:eastAsia="Arial" w:cs="Arial"/>
          <w:b w:val="false"/>
          <w:bCs/>
          <w:i w:val="false"/>
          <w:iCs w:val="false"/>
          <w:color w:val="000000"/>
          <w:sz w:val="24"/>
          <w:szCs w:val="24"/>
          <w:u w:val="none"/>
          <w:lang w:eastAsia="en-US"/>
        </w:rPr>
        <w:t>Comandante</w:t>
      </w:r>
    </w:p>
    <w:sectPr>
      <w:headerReference w:type="default" r:id="rId11"/>
      <w:footerReference w:type="default" r:id="rId12"/>
      <w:type w:val="nextPage"/>
      <w:pgSz w:w="11906" w:h="16838"/>
      <w:pgMar w:left="1134" w:right="1134" w:header="709" w:top="1418" w:footer="709" w:bottom="1418"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Ecofont_Spranq_eco_Sans">
    <w:charset w:val="01"/>
    <w:family w:val="roman"/>
    <w:pitch w:val="variable"/>
  </w:font>
  <w:font w:name="Calibri">
    <w:charset w:val="01"/>
    <w:family w:val="roman"/>
    <w:pitch w:val="variable"/>
  </w:font>
  <w:font w:name="Tahoma">
    <w:charset w:val="01"/>
    <w:family w:val="roman"/>
    <w:pitch w:val="variable"/>
  </w:font>
  <w:font w:name="Arial">
    <w:charset w:val="01"/>
    <w:family w:val="roman"/>
    <w:pitch w:val="variable"/>
  </w:font>
  <w:font w:name="Liberation Sans">
    <w:altName w:val="Arial"/>
    <w:charset w:val="01"/>
    <w:family w:val="roman"/>
    <w:pitch w:val="variable"/>
  </w:font>
  <w:font w:name="calibri">
    <w:altName w:val="sans-serif"/>
    <w:charset w:val="01"/>
    <w:family w:val="roman"/>
    <w:pitch w:val="variable"/>
  </w:font>
  <w:font w:name="Rawlin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893562083"/>
    </w:sdtPr>
    <w:sdtContent>
      <w:p>
        <w:pPr>
          <w:pStyle w:val="Rodap"/>
          <w:rPr/>
        </w:pPr>
        <w:r>
          <w:rPr>
            <w:color w:val="548DD4" w:themeColor="text2" w:themeTint="99"/>
            <w:spacing w:val="60"/>
            <w:sz w:val="22"/>
            <w:szCs w:val="22"/>
          </w:rPr>
          <w:tab/>
          <w:tab/>
        </w:r>
      </w:p>
      <w:p>
        <w:pPr>
          <w:pStyle w:val="Rodap"/>
          <w:rPr/>
        </w:pPr>
        <w:r>
          <w:rPr>
            <w:color w:val="7F7F7F" w:themeColor="text1" w:themeTint="80"/>
            <w:spacing w:val="60"/>
            <w:sz w:val="22"/>
            <w:szCs w:val="22"/>
          </w:rPr>
          <w:tab/>
          <w:tab/>
        </w:r>
        <w:r>
          <w:rPr>
            <w:color w:val="595959" w:themeColor="text1" w:themeTint="a6"/>
            <w:spacing w:val="60"/>
            <w:sz w:val="22"/>
            <w:szCs w:val="22"/>
          </w:rPr>
          <w:t>Página</w:t>
        </w:r>
        <w:r>
          <w:rPr>
            <w:color w:val="595959" w:themeColor="text1" w:themeTint="a6"/>
            <w:sz w:val="22"/>
            <w:szCs w:val="22"/>
          </w:rPr>
          <w:t xml:space="preserve"> </w:t>
        </w:r>
        <w:r>
          <w:rPr>
            <w:sz w:val="22"/>
            <w:szCs w:val="22"/>
            <w:shd w:fill="E6E6E6" w:val="clear"/>
          </w:rPr>
          <w:fldChar w:fldCharType="begin"/>
        </w:r>
        <w:r>
          <w:rPr>
            <w:sz w:val="22"/>
            <w:shd w:fill="E6E6E6" w:val="clear"/>
            <w:szCs w:val="22"/>
          </w:rPr>
          <w:instrText> PAGE </w:instrText>
        </w:r>
        <w:r>
          <w:rPr>
            <w:sz w:val="22"/>
            <w:shd w:fill="E6E6E6" w:val="clear"/>
            <w:szCs w:val="22"/>
          </w:rPr>
          <w:fldChar w:fldCharType="separate"/>
        </w:r>
        <w:r>
          <w:rPr>
            <w:sz w:val="22"/>
            <w:shd w:fill="E6E6E6" w:val="clear"/>
            <w:szCs w:val="22"/>
          </w:rPr>
          <w:t>21</w:t>
        </w:r>
        <w:r>
          <w:rPr>
            <w:sz w:val="22"/>
            <w:shd w:fill="E6E6E6" w:val="clear"/>
            <w:szCs w:val="22"/>
          </w:rPr>
          <w:fldChar w:fldCharType="end"/>
        </w:r>
        <w:r>
          <w:rPr>
            <w:color w:val="595959" w:themeColor="text1" w:themeTint="a6"/>
            <w:sz w:val="22"/>
            <w:szCs w:val="22"/>
          </w:rPr>
          <w:t xml:space="preserve"> | </w:t>
        </w:r>
        <w:r>
          <w:rPr>
            <w:sz w:val="22"/>
            <w:szCs w:val="22"/>
            <w:shd w:fill="E6E6E6" w:val="clear"/>
          </w:rPr>
          <w:fldChar w:fldCharType="begin"/>
        </w:r>
        <w:r>
          <w:rPr>
            <w:sz w:val="22"/>
            <w:shd w:fill="E6E6E6" w:val="clear"/>
            <w:szCs w:val="22"/>
          </w:rPr>
          <w:instrText> NUMPAGES </w:instrText>
        </w:r>
        <w:r>
          <w:rPr>
            <w:sz w:val="22"/>
            <w:shd w:fill="E6E6E6" w:val="clear"/>
            <w:szCs w:val="22"/>
          </w:rPr>
          <w:fldChar w:fldCharType="separate"/>
        </w:r>
        <w:r>
          <w:rPr>
            <w:sz w:val="22"/>
            <w:shd w:fill="E6E6E6" w:val="clear"/>
            <w:szCs w:val="22"/>
          </w:rPr>
          <w:t>21</w:t>
        </w:r>
        <w:r>
          <w:rPr>
            <w:sz w:val="22"/>
            <w:shd w:fill="E6E6E6" w:val="clear"/>
            <w:szCs w:val="22"/>
          </w:rPr>
          <w:fldChar w:fldCharType="end"/>
        </w:r>
      </w:p>
      <w:p>
        <w:pPr>
          <w:pStyle w:val="Rodap"/>
          <w:rPr>
            <w:rFonts w:ascii="Rawline" w:hAnsi="Rawline" w:cs="Arial"/>
            <w:sz w:val="12"/>
          </w:rPr>
        </w:pPr>
        <w:r>
          <w:rPr>
            <w:rFonts w:cs="Arial" w:ascii="Rawline" w:hAnsi="Rawline"/>
            <w:sz w:val="12"/>
          </w:rPr>
          <w:t>Câmara Nacional de Modelos de Licitações e Contratos da Consultoria-Geral da União</w:t>
        </w:r>
      </w:p>
      <w:p>
        <w:pPr>
          <w:pStyle w:val="Rodap"/>
          <w:rPr>
            <w:rFonts w:ascii="Rawline" w:hAnsi="Rawline" w:cs="Arial"/>
            <w:sz w:val="12"/>
          </w:rPr>
        </w:pPr>
        <w:r>
          <w:rPr>
            <w:rFonts w:cs="Arial" w:ascii="Rawline" w:hAnsi="Rawline"/>
            <w:sz w:val="12"/>
          </w:rPr>
          <w:t>Atualização: Agosto de 2023</w:t>
        </w:r>
      </w:p>
      <w:p>
        <w:pPr>
          <w:pStyle w:val="Rodap"/>
          <w:rPr>
            <w:rFonts w:ascii="Rawline" w:hAnsi="Rawline"/>
            <w:color w:val="0F243E" w:themeColor="text2" w:themeShade="80"/>
            <w:sz w:val="22"/>
            <w:szCs w:val="22"/>
          </w:rPr>
        </w:pPr>
        <w:r>
          <w:rPr>
            <w:rFonts w:cs="Arial" w:ascii="Rawline" w:hAnsi="Rawline"/>
            <w:sz w:val="12"/>
            <w:szCs w:val="12"/>
          </w:rPr>
          <w:t>Termo de Referência Aquisições – Contratação Direta</w:t>
          <w:tab/>
          <w:tab/>
        </w:r>
      </w:p>
      <w:p>
        <w:pPr>
          <w:pStyle w:val="Rodap"/>
          <w:rPr>
            <w:rFonts w:ascii="Rawline" w:hAnsi="Rawline"/>
            <w:sz w:val="12"/>
            <w:szCs w:val="12"/>
          </w:rPr>
        </w:pPr>
        <w:r>
          <w:rPr>
            <w:rFonts w:ascii="Rawline" w:hAnsi="Rawline"/>
            <w:sz w:val="12"/>
            <w:szCs w:val="12"/>
          </w:rPr>
          <w:t>Aprovado pela Secretaria de Gestão.</w:t>
        </w:r>
      </w:p>
      <w:p>
        <w:pPr>
          <w:pStyle w:val="Rodap"/>
          <w:rPr>
            <w:rFonts w:ascii="Rawline" w:hAnsi="Rawline"/>
          </w:rPr>
        </w:pPr>
        <w:r>
          <w:rPr>
            <w:rFonts w:ascii="Rawline" w:hAnsi="Rawline"/>
            <w:sz w:val="12"/>
            <w:szCs w:val="12"/>
          </w:rPr>
          <w:t>Identidade visual pela Secretaria de Gestão</w:t>
        </w:r>
      </w:p>
    </w:sdtContent>
  </w:sdt>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right"/>
      <w:rPr>
        <w:rFonts w:ascii="Arial" w:hAnsi="Arial" w:cs="Arial"/>
        <w:sz w:val="20"/>
        <w:szCs w:val="20"/>
      </w:rPr>
    </w:pPr>
    <w:r>
      <w:rPr>
        <w:rFonts w:cs="Arial" w:ascii="Arial" w:hAnsi="Arial"/>
        <w:sz w:val="20"/>
        <w:szCs w:val="20"/>
      </w:rPr>
      <w:t>TERMO DE REFERÊNCIA - AQUISIÇÕES – CONTRATAÇÃO DIRETA</w:t>
    </w:r>
  </w:p>
  <w:p>
    <w:pPr>
      <w:pStyle w:val="Cabealho"/>
      <w:jc w:val="right"/>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rPr>
        <w:sz w:val="24"/>
        <w:b/>
        <w:rFonts w:ascii="Calibri" w:hAnsi="Calibri"/>
      </w:rPr>
    </w:lvl>
    <w:lvl w:ilvl="1">
      <w:start w:val="1"/>
      <w:numFmt w:val="decimal"/>
      <w:lvlText w:val="%1.%2."/>
      <w:lvlJc w:val="left"/>
      <w:pPr>
        <w:ind w:left="567" w:hanging="567"/>
      </w:pPr>
      <w:rPr>
        <w:dstrike w:val="false"/>
        <w:strike w:val="false"/>
        <w:sz w:val="24"/>
        <w:i w:val="false"/>
        <w:u w:val="none"/>
        <w:b w:val="false"/>
        <w:szCs w:val="20"/>
        <w:rFonts w:ascii="Calibri" w:hAnsi="Calibri"/>
        <w:color w:val="auto"/>
      </w:rPr>
    </w:lvl>
    <w:lvl w:ilvl="2">
      <w:start w:val="1"/>
      <w:numFmt w:val="decimal"/>
      <w:lvlText w:val="%1.%2.%3."/>
      <w:lvlJc w:val="left"/>
      <w:pPr>
        <w:ind w:left="1781" w:hanging="504"/>
      </w:pPr>
      <w:rPr>
        <w:dstrike w:val="false"/>
        <w:strike w:val="false"/>
        <w:sz w:val="24"/>
        <w:i w:val="false"/>
        <w:b w:val="false"/>
        <w:szCs w:val="20"/>
        <w:rFonts w:ascii="Calibri" w:hAnsi="Calibri"/>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lvl w:ilvl="0">
      <w:start w:val="1"/>
      <w:numFmt w:val="decimal"/>
      <w:lvlText w:val="%1."/>
      <w:lvlJc w:val="left"/>
      <w:pPr>
        <w:ind w:left="360" w:hanging="360"/>
      </w:pPr>
      <w:rPr>
        <w:b/>
      </w:rPr>
    </w:lvl>
    <w:lvl w:ilvl="1">
      <w:start w:val="1"/>
      <w:numFmt w:val="decimal"/>
      <w:lvlText w:val="%1.%2."/>
      <w:lvlJc w:val="left"/>
      <w:pPr>
        <w:ind w:left="999" w:hanging="432"/>
      </w:pPr>
      <w:rPr>
        <w:dstrike w:val="false"/>
        <w:strike w:val="false"/>
        <w:sz w:val="20"/>
        <w:i w:val="false"/>
        <w:u w:val="none"/>
        <w:b w:val="false"/>
        <w:szCs w:val="20"/>
        <w:color w:val="auto"/>
      </w:rPr>
    </w:lvl>
    <w:lvl w:ilvl="2">
      <w:start w:val="1"/>
      <w:numFmt w:val="decimal"/>
      <w:lvlText w:val="%1.%2.%3."/>
      <w:lvlJc w:val="left"/>
      <w:pPr>
        <w:ind w:left="1781" w:hanging="504"/>
      </w:pPr>
      <w:rPr>
        <w:dstrike w:val="false"/>
        <w:strike w:val="false"/>
        <w:sz w:val="20"/>
        <w:i w:val="false"/>
        <w:b w:val="false"/>
        <w:szCs w:val="2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lvl w:ilvl="0">
      <w:start w:val="1"/>
      <w:numFmt w:val="upperRoman"/>
      <w:lvlText w:val="%1)"/>
      <w:lvlJc w:val="left"/>
      <w:pPr>
        <w:ind w:left="2136" w:hanging="72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10"/>
  <w:mirrorMargins/>
  <w:defaultTabStop w:val="367"/>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 w:cs="Times New Roman" w:eastAsiaTheme="minorEastAsia"/>
        <w:lang w:val="pt-BR" w:eastAsia="en-US" w:bidi="ar-SA"/>
      </w:rPr>
    </w:rPrDefault>
    <w:pPrDefault>
      <w:pPr/>
    </w:pPrDefault>
  </w:docDefaults>
  <w:latentStyles w:defLockedState="0" w:defUIPriority="0" w:defSemiHidden="0" w:defUnhideWhenUsed="0" w:defQFormat="0" w:count="376">
    <w:lsdException w:name="heading 1" w:uiPriority="9"/>
    <w:lsdException w:name="heading 3" w:uiPriority="9" w:semiHidden="1" w:unhideWhenUsed="1" w:qFormat="1"/>
    <w:lsdException w:name="heading 4" w:semiHidden="1" w:unhideWhenUsed="1" w:qFormat="1"/>
    <w:lsdException w:name="heading 5" w:semiHidden="1" w:unhideWhenUsed="1" w:qFormat="1"/>
    <w:lsdException w:name="heading 6" w:uiPriority="9"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semiHidden="1" w:unhideWhenUsed="1"/>
    <w:lsdException w:name="header" w:uiPriority="99"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uiPriority="1" w:semiHidden="1" w:unhideWhenUsed="1"/>
    <w:lsdException w:name="Body Text" w:uiPriority="99"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uiPriority="99"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99"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99" w:semiHidden="1"/>
    <w:lsdException w:name="List Paragraph" w:uiPriority="34"/>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ea3333"/>
    <w:pPr>
      <w:widowControl/>
      <w:bidi w:val="0"/>
      <w:jc w:val="left"/>
    </w:pPr>
    <w:rPr>
      <w:rFonts w:ascii="Ecofont_Spranq_eco_Sans" w:hAnsi="Ecofont_Spranq_eco_Sans" w:eastAsia="" w:cs="Tahoma" w:eastAsiaTheme="minorEastAsia"/>
      <w:color w:val="auto"/>
      <w:kern w:val="0"/>
      <w:sz w:val="24"/>
      <w:szCs w:val="24"/>
      <w:lang w:val="pt-BR" w:eastAsia="pt-BR" w:bidi="ar-SA"/>
    </w:rPr>
  </w:style>
  <w:style w:type="paragraph" w:styleId="Ttulo1">
    <w:name w:val="Heading 1"/>
    <w:basedOn w:val="Normal"/>
    <w:next w:val="Normal"/>
    <w:link w:val="Ttulo1Char"/>
    <w:uiPriority w:val="9"/>
    <w:qFormat/>
    <w:rsid w:val="007f77ad"/>
    <w:pPr>
      <w:keepNext w:val="true"/>
      <w:keepLines/>
      <w:spacing w:before="480" w:after="0"/>
      <w:outlineLvl w:val="0"/>
    </w:pPr>
    <w:rPr>
      <w:rFonts w:ascii="Calibri" w:hAnsi="Calibri" w:eastAsia="" w:cs="" w:asciiTheme="majorHAnsi" w:cstheme="majorBidi" w:eastAsiaTheme="majorEastAsia" w:hAnsiTheme="majorHAnsi"/>
      <w:b/>
      <w:bCs/>
      <w:color w:val="365F91" w:themeColor="accent1" w:themeShade="bf"/>
      <w:sz w:val="28"/>
      <w:szCs w:val="28"/>
    </w:rPr>
  </w:style>
  <w:style w:type="paragraph" w:styleId="Ttulo2">
    <w:name w:val="Heading 2"/>
    <w:basedOn w:val="Normal"/>
    <w:next w:val="Normal"/>
    <w:link w:val="Ttulo2Char"/>
    <w:qFormat/>
    <w:rsid w:val="004b460a"/>
    <w:pPr>
      <w:keepNext w:val="true"/>
      <w:tabs>
        <w:tab w:val="left" w:pos="1701" w:leader="none"/>
      </w:tabs>
      <w:ind w:right="-1" w:hanging="0"/>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val="true"/>
      <w:keepLines/>
      <w:spacing w:lineRule="auto" w:line="259" w:before="40" w:after="0"/>
      <w:outlineLvl w:val="2"/>
    </w:pPr>
    <w:rPr>
      <w:rFonts w:ascii="Calibri" w:hAnsi="Calibri" w:eastAsia="" w:cs="" w:asciiTheme="majorHAnsi" w:cstheme="majorBidi" w:eastAsiaTheme="majorEastAsia" w:hAnsiTheme="majorHAnsi"/>
      <w:color w:val="243F60" w:themeColor="accent1" w:themeShade="7f"/>
      <w:lang w:eastAsia="en-US"/>
    </w:rPr>
  </w:style>
  <w:style w:type="paragraph" w:styleId="Ttulo4">
    <w:name w:val="Heading 4"/>
    <w:basedOn w:val="Normal"/>
    <w:next w:val="Normal"/>
    <w:link w:val="Ttulo4Char"/>
    <w:semiHidden/>
    <w:unhideWhenUsed/>
    <w:qFormat/>
    <w:rsid w:val="00a45a85"/>
    <w:pPr>
      <w:keepNext w:val="true"/>
      <w:keepLines/>
      <w:spacing w:before="40" w:after="0"/>
      <w:outlineLvl w:val="3"/>
    </w:pPr>
    <w:rPr>
      <w:rFonts w:ascii="Calibri" w:hAnsi="Calibri" w:eastAsia="" w:cs="" w:asciiTheme="majorHAnsi" w:cstheme="majorBidi" w:eastAsiaTheme="majorEastAsia" w:hAnsiTheme="majorHAnsi"/>
      <w:i/>
      <w:iCs/>
      <w:color w:val="365F91" w:themeColor="accent1" w:themeShade="bf"/>
    </w:rPr>
  </w:style>
  <w:style w:type="paragraph" w:styleId="Ttulo6">
    <w:name w:val="Heading 6"/>
    <w:basedOn w:val="Normal"/>
    <w:next w:val="Normal"/>
    <w:link w:val="Ttulo6Char"/>
    <w:uiPriority w:val="9"/>
    <w:semiHidden/>
    <w:unhideWhenUsed/>
    <w:qFormat/>
    <w:rsid w:val="00cb3192"/>
    <w:pPr>
      <w:keepNext w:val="true"/>
      <w:keepLines/>
      <w:spacing w:lineRule="auto" w:line="259" w:before="40" w:after="0"/>
      <w:outlineLvl w:val="5"/>
    </w:pPr>
    <w:rPr>
      <w:rFonts w:ascii="Calibri" w:hAnsi="Calibri" w:eastAsia="" w:cs="" w:asciiTheme="majorHAnsi" w:cstheme="majorBidi" w:eastAsiaTheme="majorEastAsia" w:hAnsiTheme="majorHAnsi"/>
      <w:color w:val="243F60" w:themeColor="accent1" w:themeShade="7f"/>
      <w:sz w:val="22"/>
      <w:szCs w:val="22"/>
      <w:lang w:eastAsia="en-US"/>
    </w:rPr>
  </w:style>
  <w:style w:type="character" w:styleId="DefaultParagraphFont" w:default="1">
    <w:name w:val="Default Paragraph Font"/>
    <w:uiPriority w:val="1"/>
    <w:semiHidden/>
    <w:unhideWhenUsed/>
    <w:qFormat/>
    <w:rPr/>
  </w:style>
  <w:style w:type="character" w:styleId="TextodebaloChar" w:customStyle="1">
    <w:name w:val="Texto de balão Char"/>
    <w:link w:val="Textodebalo"/>
    <w:uiPriority w:val="99"/>
    <w:qFormat/>
    <w:rsid w:val="003a73c1"/>
    <w:rPr>
      <w:rFonts w:ascii="Tahoma" w:hAnsi="Tahoma" w:cs="Tahoma"/>
      <w:sz w:val="16"/>
      <w:szCs w:val="16"/>
    </w:rPr>
  </w:style>
  <w:style w:type="character" w:styleId="Ttulo2Char" w:customStyle="1">
    <w:name w:val="Título 2 Char"/>
    <w:link w:val="Ttulo2"/>
    <w:qFormat/>
    <w:rsid w:val="004b460a"/>
    <w:rPr>
      <w:b/>
      <w:color w:val="000000"/>
      <w:sz w:val="24"/>
    </w:rPr>
  </w:style>
  <w:style w:type="character" w:styleId="Normalchar1" w:customStyle="1">
    <w:name w:val="normal__char1"/>
    <w:qFormat/>
    <w:rsid w:val="008d51cc"/>
    <w:rPr>
      <w:rFonts w:ascii="Arial" w:hAnsi="Arial" w:cs="Arial"/>
      <w:strike w:val="false"/>
      <w:dstrike w:val="false"/>
      <w:sz w:val="24"/>
      <w:szCs w:val="24"/>
      <w:u w:val="none"/>
      <w:effect w:val="none"/>
    </w:rPr>
  </w:style>
  <w:style w:type="character" w:styleId="Applestylespan" w:customStyle="1">
    <w:name w:val="apple-style-span"/>
    <w:basedOn w:val="DefaultParagraphFont"/>
    <w:qFormat/>
    <w:rsid w:val="00260802"/>
    <w:rPr/>
  </w:style>
  <w:style w:type="character" w:styleId="LinkdaInternet" w:customStyle="1">
    <w:name w:val="Link da Internet"/>
    <w:basedOn w:val="DefaultParagraphFont"/>
    <w:uiPriority w:val="99"/>
    <w:unhideWhenUsed/>
    <w:rsid w:val="00dc41dd"/>
    <w:rPr>
      <w:color w:val="0000FF" w:themeColor="hyperlink"/>
      <w:u w:val="single"/>
    </w:rPr>
  </w:style>
  <w:style w:type="character" w:styleId="CitaoChar" w:customStyle="1">
    <w:name w:val="Citação Char"/>
    <w:link w:val="Citao"/>
    <w:qFormat/>
    <w:rsid w:val="00080b53"/>
    <w:rPr>
      <w:rFonts w:ascii="Arial" w:hAnsi="Arial" w:eastAsia="Calibri" w:cs="Tahoma"/>
      <w:i/>
      <w:iCs/>
      <w:color w:val="000000"/>
      <w:szCs w:val="24"/>
      <w:shd w:fill="FFFFCC" w:val="clear"/>
    </w:rPr>
  </w:style>
  <w:style w:type="character" w:styleId="NotaexplicativaChar" w:customStyle="1">
    <w:name w:val="Nota explicativa Char"/>
    <w:basedOn w:val="CitaoChar"/>
    <w:link w:val="Notaexplicativa"/>
    <w:qFormat/>
    <w:rsid w:val="00265fb6"/>
    <w:rPr>
      <w:rFonts w:ascii="Arial" w:hAnsi="Arial" w:eastAsia="Calibri" w:cs="Tahoma"/>
      <w:i/>
      <w:iCs/>
      <w:color w:val="000000"/>
      <w:szCs w:val="24"/>
      <w:shd w:fill="FFFFCC" w:val="clear"/>
    </w:rPr>
  </w:style>
  <w:style w:type="character" w:styleId="CabealhoChar" w:customStyle="1">
    <w:name w:val="Cabeçalho Char"/>
    <w:link w:val="Cabealho"/>
    <w:uiPriority w:val="99"/>
    <w:qFormat/>
    <w:rsid w:val="00ca24fb"/>
    <w:rPr>
      <w:rFonts w:ascii="Ecofont_Spranq_eco_Sans" w:hAnsi="Ecofont_Spranq_eco_Sans" w:cs="Tahoma"/>
      <w:sz w:val="24"/>
      <w:szCs w:val="24"/>
    </w:rPr>
  </w:style>
  <w:style w:type="character" w:styleId="RodapChar" w:customStyle="1">
    <w:name w:val="Rodapé Char"/>
    <w:link w:val="Rodap"/>
    <w:uiPriority w:val="99"/>
    <w:qFormat/>
    <w:rsid w:val="00ca24fb"/>
    <w:rPr>
      <w:rFonts w:ascii="Ecofont_Spranq_eco_Sans" w:hAnsi="Ecofont_Spranq_eco_Sans" w:cs="Tahoma"/>
      <w:sz w:val="24"/>
      <w:szCs w:val="24"/>
    </w:rPr>
  </w:style>
  <w:style w:type="character" w:styleId="Annotationreference">
    <w:name w:val="annotation reference"/>
    <w:basedOn w:val="DefaultParagraphFont"/>
    <w:unhideWhenUsed/>
    <w:qFormat/>
    <w:rsid w:val="00430fdb"/>
    <w:rPr>
      <w:sz w:val="16"/>
      <w:szCs w:val="16"/>
    </w:rPr>
  </w:style>
  <w:style w:type="character" w:styleId="TextodecomentrioChar" w:customStyle="1">
    <w:name w:val="Texto de comentário Char"/>
    <w:basedOn w:val="DefaultParagraphFont"/>
    <w:link w:val="Textodecomentrio"/>
    <w:uiPriority w:val="99"/>
    <w:qFormat/>
    <w:rsid w:val="00430fdb"/>
    <w:rPr>
      <w:rFonts w:ascii="Ecofont_Spranq_eco_Sans" w:hAnsi="Ecofont_Spranq_eco_Sans" w:cs="Tahoma"/>
      <w:lang w:eastAsia="pt-BR"/>
    </w:rPr>
  </w:style>
  <w:style w:type="character" w:styleId="AssuntodocomentrioChar" w:customStyle="1">
    <w:name w:val="Assunto do comentário Char"/>
    <w:basedOn w:val="TextodecomentrioChar"/>
    <w:link w:val="Assuntodocomentrio"/>
    <w:uiPriority w:val="99"/>
    <w:semiHidden/>
    <w:qFormat/>
    <w:rsid w:val="00430fdb"/>
    <w:rPr>
      <w:rFonts w:ascii="Ecofont_Spranq_eco_Sans" w:hAnsi="Ecofont_Spranq_eco_Sans" w:cs="Tahoma"/>
      <w:b/>
      <w:bCs/>
      <w:lang w:eastAsia="pt-BR"/>
    </w:rPr>
  </w:style>
  <w:style w:type="character" w:styleId="Ttulo4Char" w:customStyle="1">
    <w:name w:val="Título 4 Char"/>
    <w:basedOn w:val="DefaultParagraphFont"/>
    <w:link w:val="Ttulo4"/>
    <w:qFormat/>
    <w:rsid w:val="00a45a85"/>
    <w:rPr>
      <w:rFonts w:ascii="Calibri" w:hAnsi="Calibri" w:eastAsia="" w:cs="" w:asciiTheme="majorHAnsi" w:cstheme="majorBidi" w:eastAsiaTheme="majorEastAsia" w:hAnsiTheme="majorHAnsi"/>
      <w:i/>
      <w:iCs/>
      <w:color w:val="365F91" w:themeColor="accent1" w:themeShade="bf"/>
      <w:sz w:val="24"/>
      <w:szCs w:val="24"/>
      <w:lang w:eastAsia="pt-BR"/>
    </w:rPr>
  </w:style>
  <w:style w:type="character" w:styleId="TtuloChar" w:customStyle="1">
    <w:name w:val="Título Char"/>
    <w:basedOn w:val="DefaultParagraphFont"/>
    <w:link w:val="Ttulo"/>
    <w:qFormat/>
    <w:rsid w:val="007f77ad"/>
    <w:rPr>
      <w:rFonts w:ascii="Calibri" w:hAnsi="Calibri" w:eastAsia="" w:cs="" w:asciiTheme="majorHAnsi" w:cstheme="majorBidi" w:eastAsiaTheme="majorEastAsia" w:hAnsiTheme="majorHAnsi"/>
      <w:color w:val="17365D" w:themeColor="text2" w:themeShade="bf"/>
      <w:spacing w:val="5"/>
      <w:kern w:val="2"/>
      <w:sz w:val="52"/>
      <w:szCs w:val="52"/>
      <w:lang w:eastAsia="pt-BR"/>
    </w:rPr>
  </w:style>
  <w:style w:type="character" w:styleId="Nivel01Char" w:customStyle="1">
    <w:name w:val="Nivel 01 Char"/>
    <w:basedOn w:val="TtuloChar"/>
    <w:link w:val="Nivel01"/>
    <w:qFormat/>
    <w:rsid w:val="00881f44"/>
    <w:rPr>
      <w:rFonts w:ascii="Arial" w:hAnsi="Arial" w:eastAsia="" w:cs="Arial" w:eastAsiaTheme="majorEastAsia"/>
      <w:b/>
      <w:bCs/>
      <w:color w:val="17365D" w:themeColor="text2" w:themeShade="bf"/>
      <w:spacing w:val="5"/>
      <w:kern w:val="2"/>
      <w:sz w:val="52"/>
      <w:szCs w:val="52"/>
      <w:lang w:eastAsia="pt-BR"/>
    </w:rPr>
  </w:style>
  <w:style w:type="character" w:styleId="Ttulo1Char" w:customStyle="1">
    <w:name w:val="Título 1 Char"/>
    <w:basedOn w:val="DefaultParagraphFont"/>
    <w:link w:val="Ttulo1"/>
    <w:uiPriority w:val="9"/>
    <w:qFormat/>
    <w:rsid w:val="007f77ad"/>
    <w:rPr>
      <w:rFonts w:ascii="Calibri" w:hAnsi="Calibri" w:eastAsia="" w:cs="" w:asciiTheme="majorHAnsi" w:cstheme="majorBidi" w:eastAsiaTheme="majorEastAsia" w:hAnsiTheme="majorHAnsi"/>
      <w:b/>
      <w:bCs/>
      <w:color w:val="365F91" w:themeColor="accent1" w:themeShade="bf"/>
      <w:sz w:val="28"/>
      <w:szCs w:val="28"/>
      <w:lang w:eastAsia="pt-BR"/>
    </w:rPr>
  </w:style>
  <w:style w:type="character" w:styleId="Nivel01TituloChar" w:customStyle="1">
    <w:name w:val="Nivel_01_Titulo Char"/>
    <w:basedOn w:val="Nivel01Char"/>
    <w:link w:val="Nivel01Titulo"/>
    <w:qFormat/>
    <w:rsid w:val="00e967ea"/>
    <w:rPr>
      <w:rFonts w:ascii="Arial" w:hAnsi="Arial" w:eastAsia="" w:cs="" w:cstheme="majorBidi" w:eastAsiaTheme="majorEastAsia"/>
      <w:b/>
      <w:bCs/>
      <w:color w:val="000000" w:themeColor="text1"/>
      <w:spacing w:val="5"/>
      <w:kern w:val="2"/>
      <w:sz w:val="52"/>
      <w:szCs w:val="52"/>
      <w:lang w:eastAsia="pt-BR"/>
    </w:rPr>
  </w:style>
  <w:style w:type="character" w:styleId="QuoteChar" w:customStyle="1">
    <w:name w:val="Quote Char"/>
    <w:basedOn w:val="DefaultParagraphFont"/>
    <w:link w:val="Citao1"/>
    <w:qFormat/>
    <w:rsid w:val="00b77761"/>
    <w:rPr>
      <w:rFonts w:ascii="Ecofont_Spranq_eco_Sans" w:hAnsi="Ecofont_Spranq_eco_Sans" w:eastAsia="Calibri" w:cs="Tahoma"/>
      <w:i/>
      <w:iCs/>
      <w:color w:val="000000"/>
      <w:shd w:fill="FFFFCC" w:val="clear"/>
    </w:rPr>
  </w:style>
  <w:style w:type="character" w:styleId="Normaltextrun" w:customStyle="1">
    <w:name w:val="normaltextrun"/>
    <w:basedOn w:val="DefaultParagraphFont"/>
    <w:qFormat/>
    <w:rsid w:val="0053119e"/>
    <w:rPr/>
  </w:style>
  <w:style w:type="character" w:styleId="Eop" w:customStyle="1">
    <w:name w:val="eop"/>
    <w:basedOn w:val="DefaultParagraphFont"/>
    <w:qFormat/>
    <w:rsid w:val="0053119e"/>
    <w:rPr/>
  </w:style>
  <w:style w:type="character" w:styleId="Spellingerror" w:customStyle="1">
    <w:name w:val="spellingerror"/>
    <w:basedOn w:val="DefaultParagraphFont"/>
    <w:qFormat/>
    <w:rsid w:val="0053119e"/>
    <w:rPr/>
  </w:style>
  <w:style w:type="character" w:styleId="CorpodetextoChar" w:customStyle="1">
    <w:name w:val="Corpo de texto Char"/>
    <w:basedOn w:val="DefaultParagraphFont"/>
    <w:link w:val="Corpodetexto"/>
    <w:uiPriority w:val="99"/>
    <w:qFormat/>
    <w:rsid w:val="00405763"/>
    <w:rPr>
      <w:rFonts w:eastAsia="Times New Roman"/>
      <w:sz w:val="24"/>
      <w:szCs w:val="24"/>
      <w:lang w:eastAsia="pt-BR"/>
    </w:rPr>
  </w:style>
  <w:style w:type="character" w:styleId="Nivel1Char" w:customStyle="1">
    <w:name w:val="Nivel1 Char"/>
    <w:basedOn w:val="Ttulo1Char"/>
    <w:link w:val="Nivel1"/>
    <w:qFormat/>
    <w:rsid w:val="001b6423"/>
    <w:rPr>
      <w:rFonts w:ascii="Arial" w:hAnsi="Arial" w:eastAsia="" w:cs="Arial" w:eastAsiaTheme="majorEastAsia"/>
      <w:b/>
      <w:bCs w:val="false"/>
      <w:color w:val="000000"/>
      <w:sz w:val="28"/>
      <w:szCs w:val="28"/>
      <w:lang w:eastAsia="pt-BR"/>
    </w:rPr>
  </w:style>
  <w:style w:type="character" w:styleId="Nivel4Char" w:customStyle="1">
    <w:name w:val="Nivel 4 Char"/>
    <w:basedOn w:val="DefaultParagraphFont"/>
    <w:link w:val="Nivel4"/>
    <w:qFormat/>
    <w:rsid w:val="00da3ef1"/>
    <w:rPr>
      <w:rFonts w:ascii="Arial" w:hAnsi="Arial" w:cs="Arial"/>
      <w:lang w:eastAsia="pt-BR"/>
    </w:rPr>
  </w:style>
  <w:style w:type="character" w:styleId="Cp0020corpodespachochar1" w:customStyle="1">
    <w:name w:val="cp_0020corpodespacho__char1"/>
    <w:qFormat/>
    <w:rsid w:val="00d30a43"/>
    <w:rPr>
      <w:rFonts w:ascii="Times New Roman" w:hAnsi="Times New Roman" w:cs="Times New Roman"/>
      <w:strike w:val="false"/>
      <w:dstrike w:val="false"/>
      <w:sz w:val="26"/>
      <w:szCs w:val="26"/>
      <w:u w:val="none"/>
      <w:effect w:val="none"/>
    </w:rPr>
  </w:style>
  <w:style w:type="character" w:styleId="Em0020ementachar1" w:customStyle="1">
    <w:name w:val="em_0020ementa__char1"/>
    <w:qFormat/>
    <w:rsid w:val="00d30a43"/>
    <w:rPr>
      <w:rFonts w:ascii="Times New Roman" w:hAnsi="Times New Roman" w:cs="Times New Roman"/>
      <w:strike w:val="false"/>
      <w:dstrike w:val="false"/>
      <w:sz w:val="28"/>
      <w:szCs w:val="28"/>
      <w:u w:val="none"/>
      <w:effect w:val="none"/>
    </w:rPr>
  </w:style>
  <w:style w:type="character" w:styleId="Strong">
    <w:name w:val="Strong"/>
    <w:basedOn w:val="DefaultParagraphFont"/>
    <w:uiPriority w:val="22"/>
    <w:qFormat/>
    <w:rsid w:val="00d30a43"/>
    <w:rPr>
      <w:b/>
      <w:bCs/>
    </w:rPr>
  </w:style>
  <w:style w:type="character" w:styleId="Nfase">
    <w:name w:val="Ênfase"/>
    <w:basedOn w:val="DefaultParagraphFont"/>
    <w:uiPriority w:val="20"/>
    <w:qFormat/>
    <w:rsid w:val="00d30a43"/>
    <w:rPr>
      <w:i/>
      <w:iCs/>
    </w:rPr>
  </w:style>
  <w:style w:type="character" w:styleId="Manoel" w:customStyle="1">
    <w:name w:val="Manoel"/>
    <w:qFormat/>
    <w:rsid w:val="00d30a43"/>
    <w:rPr>
      <w:rFonts w:ascii="Arial" w:hAnsi="Arial" w:cs="Arial"/>
      <w:color w:val="7030A0"/>
      <w:sz w:val="20"/>
    </w:rPr>
  </w:style>
  <w:style w:type="character" w:styleId="ListLabel12" w:customStyle="1">
    <w:name w:val="ListLabel 12"/>
    <w:qFormat/>
    <w:rsid w:val="00d30a43"/>
    <w:rPr>
      <w:b/>
    </w:rPr>
  </w:style>
  <w:style w:type="character" w:styleId="GradeColoridanfase1Char" w:customStyle="1">
    <w:name w:val="Grade Colorida - Ênfase 1 Char"/>
    <w:link w:val="GradeColorida-nfase11"/>
    <w:uiPriority w:val="29"/>
    <w:qFormat/>
    <w:rsid w:val="00d30a43"/>
    <w:rPr>
      <w:rFonts w:ascii="Arial" w:hAnsi="Arial" w:eastAsia="Calibri"/>
      <w:i/>
      <w:iCs/>
      <w:color w:val="000000"/>
      <w:szCs w:val="24"/>
      <w:shd w:fill="FFFFCC" w:val="clear"/>
    </w:rPr>
  </w:style>
  <w:style w:type="character" w:styleId="Highlight" w:customStyle="1">
    <w:name w:val="highlight"/>
    <w:basedOn w:val="DefaultParagraphFont"/>
    <w:qFormat/>
    <w:rsid w:val="00d30a43"/>
    <w:rPr/>
  </w:style>
  <w:style w:type="character" w:styleId="FollowedHyperlink">
    <w:name w:val="FollowedHyperlink"/>
    <w:basedOn w:val="DefaultParagraphFont"/>
    <w:uiPriority w:val="99"/>
    <w:semiHidden/>
    <w:unhideWhenUsed/>
    <w:qFormat/>
    <w:rsid w:val="00d30a43"/>
    <w:rPr>
      <w:color w:val="800080" w:themeColor="followedHyperlink"/>
      <w:u w:val="single"/>
    </w:rPr>
  </w:style>
  <w:style w:type="character" w:styleId="MenoPendente1" w:customStyle="1">
    <w:name w:val="Menção Pendente1"/>
    <w:basedOn w:val="DefaultParagraphFont"/>
    <w:uiPriority w:val="99"/>
    <w:semiHidden/>
    <w:unhideWhenUsed/>
    <w:qFormat/>
    <w:rsid w:val="00d30a43"/>
    <w:rPr>
      <w:color w:val="605E5C"/>
      <w:shd w:fill="E1DFDD" w:val="clear"/>
    </w:rPr>
  </w:style>
  <w:style w:type="character" w:styleId="MenoPendente2" w:customStyle="1">
    <w:name w:val="Menção Pendente2"/>
    <w:basedOn w:val="DefaultParagraphFont"/>
    <w:uiPriority w:val="99"/>
    <w:semiHidden/>
    <w:unhideWhenUsed/>
    <w:qFormat/>
    <w:rsid w:val="0063029c"/>
    <w:rPr>
      <w:color w:val="605E5C"/>
      <w:shd w:fill="E1DFDD" w:val="clear"/>
    </w:rPr>
  </w:style>
  <w:style w:type="character" w:styleId="Nivel2Char" w:customStyle="1">
    <w:name w:val="Nivel 2 Char"/>
    <w:basedOn w:val="DefaultParagraphFont"/>
    <w:link w:val="Nivel2"/>
    <w:qFormat/>
    <w:locked/>
    <w:rsid w:val="0084242c"/>
    <w:rPr>
      <w:rFonts w:ascii="Arial" w:hAnsi="Arial" w:eastAsia="Arial" w:cs="Arial"/>
      <w:color w:val="000000"/>
      <w:lang w:eastAsia="pt-BR"/>
    </w:rPr>
  </w:style>
  <w:style w:type="character" w:styleId="Nvel2OpcionalChar" w:customStyle="1">
    <w:name w:val="Nível 2 Opcional Char"/>
    <w:basedOn w:val="DefaultParagraphFont"/>
    <w:link w:val="Nvel2Opcional"/>
    <w:qFormat/>
    <w:rsid w:val="00a831d9"/>
    <w:rPr>
      <w:rFonts w:ascii="Arial" w:hAnsi="Arial" w:eastAsia="Times New Roman" w:cs="Arial"/>
      <w:i/>
      <w:color w:val="FF0000"/>
      <w:lang w:eastAsia="pt-BR"/>
    </w:rPr>
  </w:style>
  <w:style w:type="character" w:styleId="Nvel3OpcionalChar" w:customStyle="1">
    <w:name w:val="Nível 3 Opcional Char"/>
    <w:basedOn w:val="DefaultParagraphFont"/>
    <w:link w:val="Nvel3Opcional"/>
    <w:qFormat/>
    <w:rsid w:val="00a831d9"/>
    <w:rPr>
      <w:rFonts w:ascii="Arial" w:hAnsi="Arial" w:eastAsia="Times New Roman" w:cs="Arial"/>
      <w:i/>
      <w:iCs/>
      <w:color w:val="FF0000"/>
      <w:lang w:eastAsia="pt-BR"/>
    </w:rPr>
  </w:style>
  <w:style w:type="character" w:styleId="PlaceholderText">
    <w:name w:val="Placeholder Text"/>
    <w:basedOn w:val="DefaultParagraphFont"/>
    <w:uiPriority w:val="67"/>
    <w:semiHidden/>
    <w:qFormat/>
    <w:rsid w:val="0029332d"/>
    <w:rPr>
      <w:color w:val="808080"/>
    </w:rPr>
  </w:style>
  <w:style w:type="character" w:styleId="PargrafodaListaChar" w:customStyle="1">
    <w:name w:val="Parágrafo da Lista Char"/>
    <w:basedOn w:val="DefaultParagraphFont"/>
    <w:link w:val="PargrafodaLista"/>
    <w:uiPriority w:val="34"/>
    <w:qFormat/>
    <w:rsid w:val="002430f2"/>
    <w:rPr>
      <w:rFonts w:ascii="Ecofont_Spranq_eco_Sans" w:hAnsi="Ecofont_Spranq_eco_Sans" w:cs="Tahoma"/>
      <w:sz w:val="24"/>
      <w:szCs w:val="24"/>
      <w:lang w:eastAsia="pt-BR"/>
    </w:rPr>
  </w:style>
  <w:style w:type="character" w:styleId="Ttulo3Char" w:customStyle="1">
    <w:name w:val="Título 3 Char"/>
    <w:basedOn w:val="DefaultParagraphFont"/>
    <w:link w:val="Ttulo3"/>
    <w:uiPriority w:val="9"/>
    <w:semiHidden/>
    <w:qFormat/>
    <w:rsid w:val="00cb3192"/>
    <w:rPr>
      <w:rFonts w:ascii="Calibri" w:hAnsi="Calibri" w:eastAsia="" w:cs="" w:asciiTheme="majorHAnsi" w:cstheme="majorBidi" w:eastAsiaTheme="majorEastAsia" w:hAnsiTheme="majorHAnsi"/>
      <w:color w:val="243F60" w:themeColor="accent1" w:themeShade="7f"/>
      <w:sz w:val="24"/>
      <w:szCs w:val="24"/>
    </w:rPr>
  </w:style>
  <w:style w:type="character" w:styleId="Ttulo6Char" w:customStyle="1">
    <w:name w:val="Título 6 Char"/>
    <w:basedOn w:val="DefaultParagraphFont"/>
    <w:link w:val="Ttulo6"/>
    <w:uiPriority w:val="9"/>
    <w:semiHidden/>
    <w:qFormat/>
    <w:rsid w:val="00cb3192"/>
    <w:rPr>
      <w:rFonts w:ascii="Calibri" w:hAnsi="Calibri" w:eastAsia="" w:cs="" w:asciiTheme="majorHAnsi" w:cstheme="majorBidi" w:eastAsiaTheme="majorEastAsia" w:hAnsiTheme="majorHAnsi"/>
      <w:color w:val="243F60" w:themeColor="accent1" w:themeShade="7f"/>
      <w:sz w:val="22"/>
      <w:szCs w:val="22"/>
    </w:rPr>
  </w:style>
  <w:style w:type="character" w:styleId="Markedcontent" w:customStyle="1">
    <w:name w:val="markedcontent"/>
    <w:basedOn w:val="DefaultParagraphFont"/>
    <w:qFormat/>
    <w:rsid w:val="00cb3192"/>
    <w:rPr/>
  </w:style>
  <w:style w:type="character" w:styleId="MenoPendente3" w:customStyle="1">
    <w:name w:val="Menção Pendente3"/>
    <w:basedOn w:val="DefaultParagraphFont"/>
    <w:uiPriority w:val="99"/>
    <w:semiHidden/>
    <w:unhideWhenUsed/>
    <w:qFormat/>
    <w:rsid w:val="00cb3192"/>
    <w:rPr>
      <w:color w:val="605E5C"/>
      <w:shd w:fill="E1DFDD" w:val="clear"/>
    </w:rPr>
  </w:style>
  <w:style w:type="character" w:styleId="MenoPendente4" w:customStyle="1">
    <w:name w:val="Menção Pendente4"/>
    <w:basedOn w:val="DefaultParagraphFont"/>
    <w:uiPriority w:val="99"/>
    <w:semiHidden/>
    <w:unhideWhenUsed/>
    <w:qFormat/>
    <w:rsid w:val="00cb3192"/>
    <w:rPr>
      <w:color w:val="605E5C"/>
      <w:shd w:fill="E1DFDD" w:val="clear"/>
    </w:rPr>
  </w:style>
  <w:style w:type="character" w:styleId="OuChar" w:customStyle="1">
    <w:name w:val="ou Char"/>
    <w:basedOn w:val="PargrafodaListaChar"/>
    <w:link w:val="ou"/>
    <w:qFormat/>
    <w:rsid w:val="00f93d80"/>
    <w:rPr>
      <w:rFonts w:ascii="Arial" w:hAnsi="Arial" w:eastAsia="Cambria" w:cs="Arial" w:eastAsiaTheme="minorHAnsi"/>
      <w:b/>
      <w:bCs/>
      <w:i/>
      <w:iCs/>
      <w:color w:val="FF0000"/>
      <w:sz w:val="24"/>
      <w:szCs w:val="24"/>
      <w:u w:val="single"/>
      <w:lang w:eastAsia="pt-BR"/>
    </w:rPr>
  </w:style>
  <w:style w:type="character" w:styleId="Nvel2RedChar" w:customStyle="1">
    <w:name w:val="Nível 2 -Red Char"/>
    <w:basedOn w:val="Nivel2Char"/>
    <w:link w:val="Nvel2-Red"/>
    <w:qFormat/>
    <w:rsid w:val="00da3ef1"/>
    <w:rPr>
      <w:rFonts w:ascii="Arial" w:hAnsi="Arial" w:eastAsia="Arial" w:cs="Arial"/>
      <w:i/>
      <w:iCs/>
      <w:color w:val="FF0000"/>
      <w:lang w:eastAsia="pt-BR"/>
    </w:rPr>
  </w:style>
  <w:style w:type="character" w:styleId="Nivel3Char" w:customStyle="1">
    <w:name w:val="Nivel 3 Char"/>
    <w:basedOn w:val="DefaultParagraphFont"/>
    <w:link w:val="Nivel3"/>
    <w:qFormat/>
    <w:rsid w:val="005d30b6"/>
    <w:rPr>
      <w:rFonts w:ascii="Arial" w:hAnsi="Arial" w:cs="Arial"/>
      <w:color w:val="000000"/>
      <w:lang w:eastAsia="pt-BR"/>
    </w:rPr>
  </w:style>
  <w:style w:type="character" w:styleId="Nvel3RChar" w:customStyle="1">
    <w:name w:val="Nível 3-R Char"/>
    <w:basedOn w:val="Nivel3Char"/>
    <w:link w:val="Nvel3-R"/>
    <w:qFormat/>
    <w:rsid w:val="00775cfb"/>
    <w:rPr>
      <w:rFonts w:ascii="Arial" w:hAnsi="Arial" w:cs="Arial"/>
      <w:i/>
      <w:iCs/>
      <w:color w:val="FF0000"/>
      <w:lang w:eastAsia="pt-BR"/>
    </w:rPr>
  </w:style>
  <w:style w:type="character" w:styleId="Nvel4RChar" w:customStyle="1">
    <w:name w:val="Nível 4-R Char"/>
    <w:basedOn w:val="Nivel4Char"/>
    <w:link w:val="Nvel4-R"/>
    <w:qFormat/>
    <w:rsid w:val="00da3ef1"/>
    <w:rPr>
      <w:rFonts w:ascii="Arial" w:hAnsi="Arial" w:cs="Arial"/>
      <w:i/>
      <w:iCs/>
      <w:color w:val="FF0000"/>
      <w:lang w:eastAsia="pt-BR"/>
    </w:rPr>
  </w:style>
  <w:style w:type="character" w:styleId="Nvel1SemNumChar" w:customStyle="1">
    <w:name w:val="Nível 1-Sem Num Char"/>
    <w:basedOn w:val="Nivel01Char"/>
    <w:link w:val="Nvel1-SemNum"/>
    <w:qFormat/>
    <w:rsid w:val="00881f44"/>
    <w:rPr>
      <w:rFonts w:ascii="Arial" w:hAnsi="Arial" w:eastAsia="" w:cs="Arial" w:eastAsiaTheme="majorEastAsia"/>
      <w:b/>
      <w:bCs/>
      <w:color w:val="FF0000"/>
      <w:spacing w:val="5"/>
      <w:kern w:val="2"/>
      <w:sz w:val="52"/>
      <w:szCs w:val="52"/>
      <w:lang w:eastAsia="pt-BR"/>
    </w:rPr>
  </w:style>
  <w:style w:type="character" w:styleId="PrembuloChar" w:customStyle="1">
    <w:name w:val="Preâmbulo Char"/>
    <w:basedOn w:val="DefaultParagraphFont"/>
    <w:link w:val="Prembulo"/>
    <w:qFormat/>
    <w:rsid w:val="00bb19e4"/>
    <w:rPr>
      <w:rFonts w:ascii="Arial" w:hAnsi="Arial" w:eastAsia="Arial" w:cs="Arial"/>
      <w:bCs/>
      <w:lang w:eastAsia="pt-BR"/>
    </w:rPr>
  </w:style>
  <w:style w:type="character" w:styleId="Mentionnonrsolue1" w:customStyle="1">
    <w:name w:val="Mention non résolue1"/>
    <w:basedOn w:val="DefaultParagraphFont"/>
    <w:uiPriority w:val="99"/>
    <w:semiHidden/>
    <w:unhideWhenUsed/>
    <w:qFormat/>
    <w:rsid w:val="008d252d"/>
    <w:rPr>
      <w:color w:val="605E5C"/>
      <w:shd w:fill="E1DFDD" w:val="clear"/>
    </w:rPr>
  </w:style>
  <w:style w:type="character" w:styleId="Findhit" w:customStyle="1">
    <w:name w:val="findhit"/>
    <w:basedOn w:val="DefaultParagraphFont"/>
    <w:qFormat/>
    <w:rsid w:val="00e66cc3"/>
    <w:rPr/>
  </w:style>
  <w:style w:type="character" w:styleId="Nivel3erroChar" w:customStyle="1">
    <w:name w:val="Nivel 3-erro Char"/>
    <w:basedOn w:val="DefaultParagraphFont"/>
    <w:link w:val="Nivel3-erro"/>
    <w:qFormat/>
    <w:rsid w:val="005b0afb"/>
    <w:rPr>
      <w:rFonts w:ascii="Arial" w:hAnsi="Arial" w:cs="Tahoma"/>
      <w:szCs w:val="24"/>
      <w:lang w:eastAsia="pt-BR"/>
    </w:rPr>
  </w:style>
  <w:style w:type="character" w:styleId="AlteraesChar" w:customStyle="1">
    <w:name w:val="Alterações Char"/>
    <w:basedOn w:val="DefaultParagraphFont"/>
    <w:link w:val="Alteraes"/>
    <w:uiPriority w:val="1"/>
    <w:qFormat/>
    <w:rsid w:val="1414b7f7"/>
    <w:rPr>
      <w:rFonts w:ascii="Arial" w:hAnsi="Arial" w:cs="Arial"/>
      <w:i/>
      <w:iCs/>
      <w:color w:val="0000FF"/>
      <w:lang w:eastAsia="pt-BR"/>
    </w:rPr>
  </w:style>
  <w:style w:type="character" w:styleId="Meno1" w:customStyle="1">
    <w:name w:val="Menção1"/>
    <w:basedOn w:val="DefaultParagraphFont"/>
    <w:uiPriority w:val="99"/>
    <w:unhideWhenUsed/>
    <w:qFormat/>
    <w:rsid w:val="002804a7"/>
    <w:rPr>
      <w:color w:val="2B579A"/>
      <w:shd w:fill="E6E6E6" w:val="clear"/>
    </w:rPr>
  </w:style>
  <w:style w:type="character" w:styleId="MenoPendente5" w:customStyle="1">
    <w:name w:val="Menção Pendente5"/>
    <w:basedOn w:val="DefaultParagraphFont"/>
    <w:uiPriority w:val="99"/>
    <w:semiHidden/>
    <w:unhideWhenUsed/>
    <w:qFormat/>
    <w:rsid w:val="00921a92"/>
    <w:rPr>
      <w:color w:val="605E5C"/>
      <w:shd w:fill="E1DFDD" w:val="clear"/>
    </w:rPr>
  </w:style>
  <w:style w:type="character" w:styleId="Nvel1SemNumPretoChar" w:customStyle="1">
    <w:name w:val="Nível 1-Sem Num Preto Char"/>
    <w:basedOn w:val="Nvel1SemNumChar"/>
    <w:link w:val="Nvel1-SemNumPreto"/>
    <w:qFormat/>
    <w:rsid w:val="00036ad7"/>
    <w:rPr>
      <w:rFonts w:ascii="Arial" w:hAnsi="Arial" w:eastAsia="" w:cs="Arial" w:eastAsiaTheme="majorEastAsia"/>
      <w:b/>
      <w:bCs/>
      <w:color w:val="FF0000"/>
      <w:spacing w:val="5"/>
      <w:kern w:val="2"/>
      <w:sz w:val="52"/>
      <w:szCs w:val="52"/>
      <w:lang w:eastAsia="zh-CN" w:bidi="hi-IN"/>
    </w:rPr>
  </w:style>
  <w:style w:type="character" w:styleId="ListLabel13">
    <w:name w:val="ListLabel 13"/>
    <w:qFormat/>
    <w:rPr>
      <w:b/>
    </w:rPr>
  </w:style>
  <w:style w:type="character" w:styleId="ListLabel14">
    <w:name w:val="ListLabel 14"/>
    <w:qFormat/>
    <w:rPr>
      <w:b/>
      <w:i w:val="false"/>
      <w:strike w:val="false"/>
      <w:dstrike w:val="false"/>
      <w:color w:val="auto"/>
      <w:sz w:val="24"/>
      <w:szCs w:val="20"/>
      <w:u w:val="none"/>
    </w:rPr>
  </w:style>
  <w:style w:type="character" w:styleId="ListLabel15">
    <w:name w:val="ListLabel 15"/>
    <w:qFormat/>
    <w:rPr>
      <w:b w:val="false"/>
      <w:i w:val="false"/>
      <w:strike w:val="false"/>
      <w:dstrike w:val="false"/>
      <w:color w:val="auto"/>
      <w:sz w:val="20"/>
      <w:szCs w:val="20"/>
    </w:rPr>
  </w:style>
  <w:style w:type="character" w:styleId="ListLabel16">
    <w:name w:val="ListLabel 16"/>
    <w:qFormat/>
    <w:rPr>
      <w:b w:val="false"/>
    </w:rPr>
  </w:style>
  <w:style w:type="character" w:styleId="ListLabel17">
    <w:name w:val="ListLabel 17"/>
    <w:qFormat/>
    <w:rPr>
      <w:b/>
    </w:rPr>
  </w:style>
  <w:style w:type="character" w:styleId="ListLabel18">
    <w:name w:val="ListLabel 18"/>
    <w:qFormat/>
    <w:rPr>
      <w:b w:val="false"/>
      <w:i w:val="false"/>
      <w:strike w:val="false"/>
      <w:dstrike w:val="false"/>
      <w:color w:val="auto"/>
      <w:sz w:val="20"/>
      <w:szCs w:val="20"/>
      <w:u w:val="none"/>
    </w:rPr>
  </w:style>
  <w:style w:type="character" w:styleId="ListLabel19">
    <w:name w:val="ListLabel 19"/>
    <w:qFormat/>
    <w:rPr>
      <w:b w:val="false"/>
      <w:i w:val="false"/>
      <w:strike w:val="false"/>
      <w:dstrike w:val="false"/>
      <w:color w:val="auto"/>
      <w:sz w:val="20"/>
      <w:szCs w:val="20"/>
    </w:rPr>
  </w:style>
  <w:style w:type="character" w:styleId="ListLabel20">
    <w:name w:val="ListLabel 20"/>
    <w:qFormat/>
    <w:rPr>
      <w:color w:val="000000"/>
    </w:rPr>
  </w:style>
  <w:style w:type="character" w:styleId="ListLabel21">
    <w:name w:val="ListLabel 21"/>
    <w:qFormat/>
    <w:rPr>
      <w:color w:val="000000"/>
    </w:rPr>
  </w:style>
  <w:style w:type="character" w:styleId="ListLabel22">
    <w:name w:val="ListLabel 22"/>
    <w:qFormat/>
    <w:rPr>
      <w:color w:val="000000"/>
    </w:rPr>
  </w:style>
  <w:style w:type="character" w:styleId="ListLabel23">
    <w:name w:val="ListLabel 23"/>
    <w:qFormat/>
    <w:rPr>
      <w:color w:val="000000"/>
    </w:rPr>
  </w:style>
  <w:style w:type="character" w:styleId="ListLabel24">
    <w:name w:val="ListLabel 24"/>
    <w:qFormat/>
    <w:rPr>
      <w:color w:val="000000"/>
    </w:rPr>
  </w:style>
  <w:style w:type="character" w:styleId="ListLabel25">
    <w:name w:val="ListLabel 25"/>
    <w:qFormat/>
    <w:rPr>
      <w:color w:val="000000"/>
    </w:rPr>
  </w:style>
  <w:style w:type="character" w:styleId="ListLabel26">
    <w:name w:val="ListLabel 26"/>
    <w:qFormat/>
    <w:rPr>
      <w:color w:val="000000"/>
    </w:rPr>
  </w:style>
  <w:style w:type="character" w:styleId="ListLabel27">
    <w:name w:val="ListLabel 27"/>
    <w:qFormat/>
    <w:rPr>
      <w:color w:val="000000"/>
    </w:rPr>
  </w:style>
  <w:style w:type="character" w:styleId="ListLabel28">
    <w:name w:val="ListLabel 28"/>
    <w:qFormat/>
    <w:rPr>
      <w:color w:val="000000"/>
    </w:rPr>
  </w:style>
  <w:style w:type="character" w:styleId="ListLabel29">
    <w:name w:val="ListLabel 29"/>
    <w:qFormat/>
    <w:rPr>
      <w:b/>
    </w:rPr>
  </w:style>
  <w:style w:type="character" w:styleId="ListLabel30">
    <w:name w:val="ListLabel 30"/>
    <w:qFormat/>
    <w:rPr>
      <w:b w:val="false"/>
      <w:i w:val="false"/>
      <w:strike w:val="false"/>
      <w:dstrike w:val="false"/>
      <w:color w:val="auto"/>
      <w:sz w:val="20"/>
      <w:szCs w:val="20"/>
      <w:u w:val="none"/>
    </w:rPr>
  </w:style>
  <w:style w:type="character" w:styleId="ListLabel31">
    <w:name w:val="ListLabel 31"/>
    <w:qFormat/>
    <w:rPr>
      <w:b w:val="false"/>
      <w:i w:val="false"/>
      <w:strike w:val="false"/>
      <w:dstrike w:val="false"/>
      <w:color w:val="auto"/>
      <w:sz w:val="20"/>
      <w:szCs w:val="20"/>
    </w:rPr>
  </w:style>
  <w:style w:type="character" w:styleId="ListLabel32">
    <w:name w:val="ListLabel 32"/>
    <w:qFormat/>
    <w:rPr>
      <w:b/>
    </w:rPr>
  </w:style>
  <w:style w:type="character" w:styleId="ListLabel33">
    <w:name w:val="ListLabel 33"/>
    <w:qFormat/>
    <w:rPr>
      <w:b w:val="false"/>
      <w:i w:val="false"/>
      <w:strike w:val="false"/>
      <w:dstrike w:val="false"/>
      <w:color w:val="auto"/>
      <w:sz w:val="20"/>
      <w:szCs w:val="20"/>
      <w:u w:val="none"/>
    </w:rPr>
  </w:style>
  <w:style w:type="character" w:styleId="ListLabel34">
    <w:name w:val="ListLabel 34"/>
    <w:qFormat/>
    <w:rPr>
      <w:b w:val="false"/>
      <w:i w:val="false"/>
      <w:strike w:val="false"/>
      <w:dstrike w:val="false"/>
      <w:color w:val="auto"/>
      <w:sz w:val="20"/>
      <w:szCs w:val="20"/>
    </w:rPr>
  </w:style>
  <w:style w:type="character" w:styleId="ListLabel35">
    <w:name w:val="ListLabel 35"/>
    <w:qFormat/>
    <w:rPr>
      <w:i/>
      <w:iCs/>
    </w:rPr>
  </w:style>
  <w:style w:type="character" w:styleId="ListLabel36">
    <w:name w:val="ListLabel 36"/>
    <w:qFormat/>
    <w:rPr/>
  </w:style>
  <w:style w:type="character" w:styleId="ListLabel37">
    <w:name w:val="ListLabel 37"/>
    <w:qFormat/>
    <w:rPr>
      <w:color w:val="FF0000"/>
    </w:rPr>
  </w:style>
  <w:style w:type="character" w:styleId="ListLabel38">
    <w:name w:val="ListLabel 38"/>
    <w:qFormat/>
    <w:rPr>
      <w:lang w:eastAsia="en-US"/>
    </w:rPr>
  </w:style>
  <w:style w:type="character" w:styleId="ListLabel39">
    <w:name w:val="ListLabel 39"/>
    <w:qFormat/>
    <w:rPr>
      <w:rFonts w:ascii="Arial" w:hAnsi="Arial" w:eastAsia="Arial" w:cs="Arial"/>
      <w:i/>
      <w:iCs/>
      <w:color w:val="auto"/>
      <w:sz w:val="20"/>
      <w:szCs w:val="20"/>
    </w:rPr>
  </w:style>
  <w:style w:type="character" w:styleId="ListLabel40">
    <w:name w:val="ListLabel 40"/>
    <w:qFormat/>
    <w:rPr>
      <w:rFonts w:eastAsia="Arial"/>
      <w:color w:val="FF0000"/>
      <w:highlight w:val="cyan"/>
    </w:rPr>
  </w:style>
  <w:style w:type="character" w:styleId="ListLabel41">
    <w:name w:val="ListLabel 41"/>
    <w:qFormat/>
    <w:rPr>
      <w:rFonts w:eastAsia="Arial"/>
      <w:b/>
      <w:bCs/>
      <w:color w:val="FF0000"/>
      <w:highlight w:val="cyan"/>
    </w:rPr>
  </w:style>
  <w:style w:type="character" w:styleId="Smbolosdenumerao">
    <w:name w:val="Símbolos de numeração"/>
    <w:qFormat/>
    <w:rPr/>
  </w:style>
  <w:style w:type="character" w:styleId="ListLabel42">
    <w:name w:val="ListLabel 42"/>
    <w:qFormat/>
    <w:rPr>
      <w:rFonts w:ascii="Calibri" w:hAnsi="Calibri"/>
      <w:b/>
      <w:sz w:val="24"/>
    </w:rPr>
  </w:style>
  <w:style w:type="character" w:styleId="ListLabel43">
    <w:name w:val="ListLabel 43"/>
    <w:qFormat/>
    <w:rPr>
      <w:rFonts w:ascii="Calibri" w:hAnsi="Calibri"/>
      <w:b w:val="false"/>
      <w:i w:val="false"/>
      <w:strike w:val="false"/>
      <w:dstrike w:val="false"/>
      <w:color w:val="auto"/>
      <w:sz w:val="24"/>
      <w:szCs w:val="20"/>
      <w:u w:val="none"/>
    </w:rPr>
  </w:style>
  <w:style w:type="character" w:styleId="ListLabel44">
    <w:name w:val="ListLabel 44"/>
    <w:qFormat/>
    <w:rPr>
      <w:rFonts w:ascii="Calibri" w:hAnsi="Calibri"/>
      <w:b w:val="false"/>
      <w:i w:val="false"/>
      <w:strike w:val="false"/>
      <w:dstrike w:val="false"/>
      <w:color w:val="auto"/>
      <w:sz w:val="24"/>
      <w:szCs w:val="20"/>
    </w:rPr>
  </w:style>
  <w:style w:type="character" w:styleId="ListLabel45">
    <w:name w:val="ListLabel 45"/>
    <w:qFormat/>
    <w:rPr>
      <w:b/>
    </w:rPr>
  </w:style>
  <w:style w:type="character" w:styleId="ListLabel46">
    <w:name w:val="ListLabel 46"/>
    <w:qFormat/>
    <w:rPr>
      <w:b w:val="false"/>
      <w:i w:val="false"/>
      <w:strike w:val="false"/>
      <w:dstrike w:val="false"/>
      <w:color w:val="auto"/>
      <w:sz w:val="20"/>
      <w:szCs w:val="20"/>
      <w:u w:val="none"/>
    </w:rPr>
  </w:style>
  <w:style w:type="character" w:styleId="ListLabel47">
    <w:name w:val="ListLabel 47"/>
    <w:qFormat/>
    <w:rPr>
      <w:b w:val="false"/>
      <w:i w:val="false"/>
      <w:strike w:val="false"/>
      <w:dstrike w:val="false"/>
      <w:color w:val="auto"/>
      <w:sz w:val="20"/>
      <w:szCs w:val="20"/>
    </w:rPr>
  </w:style>
  <w:style w:type="character" w:styleId="ListLabel48">
    <w:name w:val="ListLabel 48"/>
    <w:qFormat/>
    <w:rPr>
      <w:sz w:val="24"/>
      <w:szCs w:val="24"/>
    </w:rPr>
  </w:style>
  <w:style w:type="character" w:styleId="ListLabel49">
    <w:name w:val="ListLabel 49"/>
    <w:qFormat/>
    <w:rPr>
      <w:sz w:val="24"/>
      <w:szCs w:val="24"/>
      <w:lang w:eastAsia="en-US"/>
    </w:rPr>
  </w:style>
  <w:style w:type="character" w:styleId="ListLabel50">
    <w:name w:val="ListLabel 50"/>
    <w:qFormat/>
    <w:rPr>
      <w:rFonts w:ascii="Calibri" w:hAnsi="Calibri" w:eastAsia="Arial" w:cs="Arial"/>
      <w:i w:val="false"/>
      <w:iCs w:val="false"/>
      <w:color w:val="auto"/>
      <w:sz w:val="24"/>
      <w:szCs w:val="24"/>
    </w:rPr>
  </w:style>
  <w:style w:type="character" w:styleId="ListLabel51">
    <w:name w:val="ListLabel 51"/>
    <w:qFormat/>
    <w:rPr>
      <w:color w:val="auto"/>
      <w:sz w:val="24"/>
      <w:szCs w:val="24"/>
    </w:rPr>
  </w:style>
  <w:style w:type="character" w:styleId="ListLabel52">
    <w:name w:val="ListLabel 52"/>
    <w:qFormat/>
    <w:rPr>
      <w:rFonts w:eastAsia="Arial"/>
      <w:color w:val="auto"/>
      <w:sz w:val="24"/>
      <w:szCs w:val="24"/>
    </w:rPr>
  </w:style>
  <w:style w:type="character" w:styleId="ListLabel53">
    <w:name w:val="ListLabel 53"/>
    <w:qFormat/>
    <w:rPr>
      <w:rFonts w:ascii="Calibri" w:hAnsi="Calibri"/>
      <w:b/>
      <w:sz w:val="24"/>
    </w:rPr>
  </w:style>
  <w:style w:type="character" w:styleId="ListLabel54">
    <w:name w:val="ListLabel 54"/>
    <w:qFormat/>
    <w:rPr>
      <w:rFonts w:ascii="Calibri" w:hAnsi="Calibri"/>
      <w:b w:val="false"/>
      <w:i w:val="false"/>
      <w:strike w:val="false"/>
      <w:dstrike w:val="false"/>
      <w:color w:val="auto"/>
      <w:sz w:val="24"/>
      <w:szCs w:val="20"/>
      <w:u w:val="none"/>
    </w:rPr>
  </w:style>
  <w:style w:type="character" w:styleId="ListLabel55">
    <w:name w:val="ListLabel 55"/>
    <w:qFormat/>
    <w:rPr>
      <w:rFonts w:ascii="Calibri" w:hAnsi="Calibri"/>
      <w:b w:val="false"/>
      <w:i w:val="false"/>
      <w:strike w:val="false"/>
      <w:dstrike w:val="false"/>
      <w:color w:val="auto"/>
      <w:sz w:val="24"/>
      <w:szCs w:val="20"/>
    </w:rPr>
  </w:style>
  <w:style w:type="character" w:styleId="ListLabel56">
    <w:name w:val="ListLabel 56"/>
    <w:qFormat/>
    <w:rPr>
      <w:b/>
    </w:rPr>
  </w:style>
  <w:style w:type="character" w:styleId="ListLabel57">
    <w:name w:val="ListLabel 57"/>
    <w:qFormat/>
    <w:rPr>
      <w:b w:val="false"/>
      <w:i w:val="false"/>
      <w:strike w:val="false"/>
      <w:dstrike w:val="false"/>
      <w:color w:val="auto"/>
      <w:sz w:val="20"/>
      <w:szCs w:val="20"/>
      <w:u w:val="none"/>
    </w:rPr>
  </w:style>
  <w:style w:type="character" w:styleId="ListLabel58">
    <w:name w:val="ListLabel 58"/>
    <w:qFormat/>
    <w:rPr>
      <w:b w:val="false"/>
      <w:i w:val="false"/>
      <w:strike w:val="false"/>
      <w:dstrike w:val="false"/>
      <w:color w:val="auto"/>
      <w:sz w:val="20"/>
      <w:szCs w:val="20"/>
    </w:rPr>
  </w:style>
  <w:style w:type="character" w:styleId="ListLabel59">
    <w:name w:val="ListLabel 59"/>
    <w:qFormat/>
    <w:rPr>
      <w:sz w:val="24"/>
      <w:szCs w:val="24"/>
    </w:rPr>
  </w:style>
  <w:style w:type="character" w:styleId="ListLabel60">
    <w:name w:val="ListLabel 60"/>
    <w:qFormat/>
    <w:rPr>
      <w:sz w:val="24"/>
      <w:szCs w:val="24"/>
      <w:lang w:eastAsia="en-US"/>
    </w:rPr>
  </w:style>
  <w:style w:type="character" w:styleId="ListLabel61">
    <w:name w:val="ListLabel 61"/>
    <w:qFormat/>
    <w:rPr>
      <w:rFonts w:ascii="Calibri" w:hAnsi="Calibri" w:eastAsia="Arial" w:cs="Arial"/>
      <w:i w:val="false"/>
      <w:iCs w:val="false"/>
      <w:color w:val="auto"/>
      <w:sz w:val="24"/>
      <w:szCs w:val="24"/>
    </w:rPr>
  </w:style>
  <w:style w:type="character" w:styleId="ListLabel62">
    <w:name w:val="ListLabel 62"/>
    <w:qFormat/>
    <w:rPr>
      <w:color w:val="auto"/>
      <w:sz w:val="24"/>
      <w:szCs w:val="24"/>
    </w:rPr>
  </w:style>
  <w:style w:type="character" w:styleId="ListLabel63">
    <w:name w:val="ListLabel 63"/>
    <w:qFormat/>
    <w:rPr>
      <w:rFonts w:eastAsia="Arial"/>
      <w:color w:val="auto"/>
      <w:sz w:val="24"/>
      <w:szCs w:val="24"/>
    </w:rPr>
  </w:style>
  <w:style w:type="character" w:styleId="ListLabel64">
    <w:name w:val="ListLabel 64"/>
    <w:qFormat/>
    <w:rPr>
      <w:rFonts w:ascii="Calibri" w:hAnsi="Calibri"/>
      <w:b/>
      <w:sz w:val="24"/>
    </w:rPr>
  </w:style>
  <w:style w:type="character" w:styleId="ListLabel65">
    <w:name w:val="ListLabel 65"/>
    <w:qFormat/>
    <w:rPr>
      <w:rFonts w:ascii="Calibri" w:hAnsi="Calibri"/>
      <w:b w:val="false"/>
      <w:i w:val="false"/>
      <w:strike w:val="false"/>
      <w:dstrike w:val="false"/>
      <w:color w:val="auto"/>
      <w:sz w:val="24"/>
      <w:szCs w:val="20"/>
      <w:u w:val="none"/>
    </w:rPr>
  </w:style>
  <w:style w:type="character" w:styleId="ListLabel66">
    <w:name w:val="ListLabel 66"/>
    <w:qFormat/>
    <w:rPr>
      <w:rFonts w:ascii="Calibri" w:hAnsi="Calibri"/>
      <w:b w:val="false"/>
      <w:i w:val="false"/>
      <w:strike w:val="false"/>
      <w:dstrike w:val="false"/>
      <w:color w:val="auto"/>
      <w:sz w:val="24"/>
      <w:szCs w:val="20"/>
    </w:rPr>
  </w:style>
  <w:style w:type="character" w:styleId="ListLabel67">
    <w:name w:val="ListLabel 67"/>
    <w:qFormat/>
    <w:rPr>
      <w:b/>
    </w:rPr>
  </w:style>
  <w:style w:type="character" w:styleId="ListLabel68">
    <w:name w:val="ListLabel 68"/>
    <w:qFormat/>
    <w:rPr>
      <w:b w:val="false"/>
      <w:i w:val="false"/>
      <w:strike w:val="false"/>
      <w:dstrike w:val="false"/>
      <w:color w:val="auto"/>
      <w:sz w:val="20"/>
      <w:szCs w:val="20"/>
      <w:u w:val="none"/>
    </w:rPr>
  </w:style>
  <w:style w:type="character" w:styleId="ListLabel69">
    <w:name w:val="ListLabel 69"/>
    <w:qFormat/>
    <w:rPr>
      <w:b w:val="false"/>
      <w:i w:val="false"/>
      <w:strike w:val="false"/>
      <w:dstrike w:val="false"/>
      <w:color w:val="auto"/>
      <w:sz w:val="20"/>
      <w:szCs w:val="20"/>
    </w:rPr>
  </w:style>
  <w:style w:type="character" w:styleId="ListLabel70">
    <w:name w:val="ListLabel 70"/>
    <w:qFormat/>
    <w:rPr>
      <w:sz w:val="24"/>
      <w:szCs w:val="24"/>
    </w:rPr>
  </w:style>
  <w:style w:type="character" w:styleId="ListLabel71">
    <w:name w:val="ListLabel 71"/>
    <w:qFormat/>
    <w:rPr>
      <w:sz w:val="24"/>
      <w:szCs w:val="24"/>
      <w:lang w:eastAsia="en-US"/>
    </w:rPr>
  </w:style>
  <w:style w:type="character" w:styleId="ListLabel72">
    <w:name w:val="ListLabel 72"/>
    <w:qFormat/>
    <w:rPr>
      <w:rFonts w:ascii="Calibri" w:hAnsi="Calibri" w:eastAsia="Arial" w:cs="Arial"/>
      <w:i w:val="false"/>
      <w:iCs w:val="false"/>
      <w:color w:val="auto"/>
      <w:sz w:val="24"/>
      <w:szCs w:val="24"/>
    </w:rPr>
  </w:style>
  <w:style w:type="character" w:styleId="ListLabel73">
    <w:name w:val="ListLabel 73"/>
    <w:qFormat/>
    <w:rPr>
      <w:color w:val="auto"/>
      <w:sz w:val="24"/>
      <w:szCs w:val="24"/>
    </w:rPr>
  </w:style>
  <w:style w:type="character" w:styleId="ListLabel74">
    <w:name w:val="ListLabel 74"/>
    <w:qFormat/>
    <w:rPr>
      <w:rFonts w:eastAsia="Arial"/>
      <w:color w:val="auto"/>
      <w:sz w:val="24"/>
      <w:szCs w:val="24"/>
    </w:rPr>
  </w:style>
  <w:style w:type="paragraph" w:styleId="Ttulo">
    <w:name w:val="Título"/>
    <w:basedOn w:val="Normal"/>
    <w:next w:val="Corpodetexto"/>
    <w:qFormat/>
    <w:pPr>
      <w:keepNext w:val="true"/>
      <w:spacing w:before="240" w:after="120"/>
    </w:pPr>
    <w:rPr>
      <w:rFonts w:ascii="Liberation Sans" w:hAnsi="Liberation Sans" w:eastAsia="Noto Sans CJK SC" w:cs="Lohit Devanagari"/>
      <w:sz w:val="28"/>
      <w:szCs w:val="28"/>
    </w:rPr>
  </w:style>
  <w:style w:type="paragraph" w:styleId="Corpodetexto">
    <w:name w:val="Body Text"/>
    <w:basedOn w:val="Normal"/>
    <w:link w:val="CorpodetextoChar"/>
    <w:uiPriority w:val="99"/>
    <w:unhideWhenUsed/>
    <w:rsid w:val="00d30a43"/>
    <w:pPr>
      <w:spacing w:beforeAutospacing="1" w:afterAutospacing="1"/>
    </w:pPr>
    <w:rPr>
      <w:rFonts w:ascii="Times New Roman" w:hAnsi="Times New Roman" w:eastAsia="Times New Roman" w:cs="Times New Roman"/>
    </w:rPr>
  </w:style>
  <w:style w:type="paragraph" w:styleId="Lista">
    <w:name w:val="List"/>
    <w:basedOn w:val="Corpodetexto"/>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ListParagraph">
    <w:name w:val="List Paragraph"/>
    <w:basedOn w:val="Normal"/>
    <w:link w:val="PargrafodaListaChar"/>
    <w:uiPriority w:val="34"/>
    <w:qFormat/>
    <w:rsid w:val="004773fc"/>
    <w:pPr>
      <w:spacing w:before="0" w:after="0"/>
      <w:ind w:left="720" w:hanging="0"/>
      <w:contextualSpacing/>
    </w:pPr>
    <w:rPr/>
  </w:style>
  <w:style w:type="paragraph" w:styleId="NormalWeb">
    <w:name w:val="Normal (Web)"/>
    <w:basedOn w:val="Normal"/>
    <w:uiPriority w:val="99"/>
    <w:qFormat/>
    <w:rsid w:val="006b156a"/>
    <w:pPr>
      <w:spacing w:beforeAutospacing="1" w:afterAutospacing="1"/>
    </w:pPr>
    <w:rPr>
      <w:rFonts w:ascii="Times New Roman" w:hAnsi="Times New Roman" w:cs="Times New Roman"/>
    </w:rPr>
  </w:style>
  <w:style w:type="paragraph" w:styleId="BalloonText">
    <w:name w:val="Balloon Text"/>
    <w:basedOn w:val="Normal"/>
    <w:link w:val="TextodebaloChar"/>
    <w:uiPriority w:val="99"/>
    <w:qFormat/>
    <w:rsid w:val="003a73c1"/>
    <w:pPr/>
    <w:rPr>
      <w:rFonts w:ascii="Tahoma" w:hAnsi="Tahoma"/>
      <w:sz w:val="16"/>
      <w:szCs w:val="16"/>
    </w:rPr>
  </w:style>
  <w:style w:type="paragraph" w:styleId="Nvel2" w:customStyle="1">
    <w:name w:val="Nível 2"/>
    <w:basedOn w:val="Normal"/>
    <w:next w:val="Normal"/>
    <w:qFormat/>
    <w:rsid w:val="00d30a43"/>
    <w:pPr>
      <w:spacing w:before="0" w:after="120"/>
      <w:jc w:val="both"/>
    </w:pPr>
    <w:rPr>
      <w:rFonts w:ascii="Arial" w:hAnsi="Arial" w:cs="Times New Roman"/>
      <w:b/>
      <w:szCs w:val="20"/>
    </w:rPr>
  </w:style>
  <w:style w:type="paragraph" w:styleId="Quote">
    <w:name w:val="Quote"/>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i/>
      <w:iCs/>
      <w:color w:val="000000"/>
      <w:sz w:val="20"/>
      <w:lang w:eastAsia="en-US"/>
    </w:rPr>
  </w:style>
  <w:style w:type="paragraph" w:styleId="ListBullet5">
    <w:name w:val="List Bullet 5"/>
    <w:basedOn w:val="Normal"/>
    <w:qFormat/>
    <w:rsid w:val="001a3a05"/>
    <w:pPr>
      <w:spacing w:before="0" w:after="0"/>
      <w:contextualSpacing/>
    </w:pPr>
    <w:rPr/>
  </w:style>
  <w:style w:type="paragraph" w:styleId="Notaexplicativa" w:customStyle="1">
    <w:name w:val="Nota explicativa"/>
    <w:basedOn w:val="Quote"/>
    <w:link w:val="NotaexplicativaChar"/>
    <w:qFormat/>
    <w:rsid w:val="00265fb6"/>
    <w:pPr>
      <w:shd w:val="clear" w:fill="FFFFCC"/>
    </w:pPr>
    <w:rPr>
      <w:szCs w:val="20"/>
    </w:rPr>
  </w:style>
  <w:style w:type="paragraph" w:styleId="Cabealho">
    <w:name w:val="Header"/>
    <w:basedOn w:val="Normal"/>
    <w:link w:val="CabealhoChar"/>
    <w:uiPriority w:val="99"/>
    <w:rsid w:val="00ca24fb"/>
    <w:pPr>
      <w:tabs>
        <w:tab w:val="center" w:pos="4252" w:leader="none"/>
        <w:tab w:val="right" w:pos="8504" w:leader="none"/>
      </w:tabs>
    </w:pPr>
    <w:rPr/>
  </w:style>
  <w:style w:type="paragraph" w:styleId="Rodap">
    <w:name w:val="Footer"/>
    <w:basedOn w:val="Normal"/>
    <w:link w:val="RodapChar"/>
    <w:uiPriority w:val="99"/>
    <w:rsid w:val="00ca24fb"/>
    <w:pPr>
      <w:tabs>
        <w:tab w:val="center" w:pos="4252" w:leader="none"/>
        <w:tab w:val="right" w:pos="8504" w:leader="none"/>
      </w:tabs>
    </w:pPr>
    <w:rPr/>
  </w:style>
  <w:style w:type="paragraph" w:styleId="Annotationtext">
    <w:name w:val="annotation text"/>
    <w:basedOn w:val="Normal"/>
    <w:link w:val="TextodecomentrioChar"/>
    <w:uiPriority w:val="99"/>
    <w:unhideWhenUsed/>
    <w:qFormat/>
    <w:rsid w:val="00d30a43"/>
    <w:pPr/>
    <w:rPr>
      <w:sz w:val="20"/>
      <w:szCs w:val="20"/>
    </w:rPr>
  </w:style>
  <w:style w:type="paragraph" w:styleId="Annotationsubject">
    <w:name w:val="annotation subject"/>
    <w:basedOn w:val="Annotationtext"/>
    <w:link w:val="AssuntodocomentrioChar"/>
    <w:uiPriority w:val="99"/>
    <w:semiHidden/>
    <w:unhideWhenUsed/>
    <w:qFormat/>
    <w:rsid w:val="00430fdb"/>
    <w:pPr/>
    <w:rPr>
      <w:b/>
      <w:bCs/>
    </w:rPr>
  </w:style>
  <w:style w:type="paragraph" w:styleId="Nivel01" w:customStyle="1">
    <w:name w:val="Nivel 01"/>
    <w:basedOn w:val="Ttulo1"/>
    <w:next w:val="Normal"/>
    <w:link w:val="Nivel01Char"/>
    <w:autoRedefine/>
    <w:qFormat/>
    <w:rsid w:val="00881f44"/>
    <w:pPr>
      <w:tabs>
        <w:tab w:val="left" w:pos="567" w:leader="none"/>
      </w:tabs>
      <w:spacing w:lineRule="auto" w:line="276" w:before="240" w:after="120"/>
      <w:ind w:left="0" w:hanging="0"/>
      <w:jc w:val="both"/>
    </w:pPr>
    <w:rPr>
      <w:rFonts w:ascii="Calibri" w:hAnsi="Calibri" w:cs="Arial"/>
      <w:color w:val="auto"/>
      <w:sz w:val="24"/>
      <w:szCs w:val="24"/>
    </w:rPr>
  </w:style>
  <w:style w:type="paragraph" w:styleId="Nivel01Titulo" w:customStyle="1">
    <w:name w:val="Nivel_01_Titulo"/>
    <w:basedOn w:val="Nivel01"/>
    <w:link w:val="Nivel01TituloChar"/>
    <w:qFormat/>
    <w:rsid w:val="00e967ea"/>
    <w:pPr>
      <w:jc w:val="left"/>
    </w:pPr>
    <w:rPr>
      <w:rFonts w:cs="" w:cstheme="majorBidi"/>
      <w:color w:val="000000" w:themeColor="text1"/>
      <w:spacing w:val="5"/>
      <w:kern w:val="2"/>
      <w:sz w:val="52"/>
      <w:szCs w:val="52"/>
    </w:rPr>
  </w:style>
  <w:style w:type="paragraph" w:styleId="Ttulododocumento">
    <w:name w:val="Title"/>
    <w:basedOn w:val="Normal"/>
    <w:next w:val="Normal"/>
    <w:link w:val="TtuloChar"/>
    <w:qFormat/>
    <w:rsid w:val="007f77ad"/>
    <w:pPr>
      <w:pBdr>
        <w:bottom w:val="single" w:sz="8" w:space="4" w:color="4F81BD"/>
      </w:pBdr>
      <w:spacing w:before="0" w:after="300"/>
      <w:contextualSpacing/>
    </w:pPr>
    <w:rPr>
      <w:rFonts w:ascii="Calibri" w:hAnsi="Calibri" w:eastAsia="" w:cs="" w:asciiTheme="majorHAnsi" w:cstheme="majorBidi" w:eastAsiaTheme="majorEastAsia" w:hAnsiTheme="majorHAnsi"/>
      <w:color w:val="17365D" w:themeColor="text2" w:themeShade="bf"/>
      <w:spacing w:val="5"/>
      <w:kern w:val="2"/>
      <w:sz w:val="52"/>
      <w:szCs w:val="52"/>
    </w:rPr>
  </w:style>
  <w:style w:type="paragraph" w:styleId="PADRO" w:customStyle="1">
    <w:name w:val="PADRÃO"/>
    <w:qFormat/>
    <w:rsid w:val="001e2495"/>
    <w:pPr>
      <w:keepNext w:val="true"/>
      <w:widowControl w:val="false"/>
      <w:shd w:val="clear" w:color="auto" w:fill="FFFFFF"/>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4"/>
      <w:szCs w:val="24"/>
      <w:lang w:val="pt-BR" w:eastAsia="zh-CN" w:bidi="hi-IN"/>
    </w:rPr>
  </w:style>
  <w:style w:type="paragraph" w:styleId="Citao1" w:customStyle="1">
    <w:name w:val="Citação1"/>
    <w:basedOn w:val="Normal"/>
    <w:next w:val="Normal"/>
    <w:link w:val="Quote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sz w:val="20"/>
      <w:szCs w:val="20"/>
      <w:lang w:eastAsia="en-US"/>
    </w:rPr>
  </w:style>
  <w:style w:type="paragraph" w:styleId="Paragraph" w:customStyle="1">
    <w:name w:val="paragraph"/>
    <w:basedOn w:val="Normal"/>
    <w:qFormat/>
    <w:rsid w:val="00d30a43"/>
    <w:pPr>
      <w:spacing w:beforeAutospacing="1" w:afterAutospacing="1"/>
    </w:pPr>
    <w:rPr>
      <w:rFonts w:ascii="Times New Roman" w:hAnsi="Times New Roman" w:eastAsia="Times New Roman" w:cs="Times New Roman"/>
    </w:rPr>
  </w:style>
  <w:style w:type="paragraph" w:styleId="Nivel1" w:customStyle="1">
    <w:name w:val="Nivel1"/>
    <w:basedOn w:val="Ttulo1"/>
    <w:link w:val="Nivel1Char"/>
    <w:qFormat/>
    <w:rsid w:val="00d30a43"/>
    <w:pPr>
      <w:spacing w:lineRule="auto" w:line="276"/>
      <w:ind w:left="357" w:hanging="357"/>
      <w:jc w:val="both"/>
    </w:pPr>
    <w:rPr>
      <w:rFonts w:ascii="Arial" w:hAnsi="Arial" w:cs="Arial"/>
      <w:bCs w:val="false"/>
      <w:color w:val="000000"/>
    </w:rPr>
  </w:style>
  <w:style w:type="paragraph" w:styleId="PargrafodaLista1" w:customStyle="1">
    <w:name w:val="Parágrafo da Lista1"/>
    <w:basedOn w:val="Normal"/>
    <w:qFormat/>
    <w:rsid w:val="00d30a43"/>
    <w:pPr>
      <w:ind w:left="720" w:hanging="0"/>
    </w:pPr>
    <w:rPr>
      <w:rFonts w:eastAsia="Times New Roman" w:cs="Ecofont_Spranq_eco_Sans"/>
    </w:rPr>
  </w:style>
  <w:style w:type="paragraph" w:styleId="Nivel2" w:customStyle="1">
    <w:name w:val="Nivel 2"/>
    <w:basedOn w:val="Normal"/>
    <w:link w:val="Nivel2Char"/>
    <w:autoRedefine/>
    <w:qFormat/>
    <w:rsid w:val="0084242c"/>
    <w:pPr>
      <w:widowControl/>
      <w:bidi w:val="0"/>
      <w:spacing w:lineRule="auto" w:line="276" w:before="120" w:after="120"/>
      <w:ind w:left="510" w:right="0" w:hanging="454"/>
      <w:jc w:val="both"/>
    </w:pPr>
    <w:rPr>
      <w:rFonts w:ascii="Calibri" w:hAnsi="Calibri" w:eastAsia="Arial" w:cs="Arial"/>
      <w:b w:val="false"/>
      <w:bCs w:val="false"/>
      <w:color w:val="000000"/>
      <w:sz w:val="24"/>
      <w:szCs w:val="24"/>
      <w:lang w:eastAsia="pt-BR"/>
    </w:rPr>
  </w:style>
  <w:style w:type="paragraph" w:styleId="Nivel11" w:customStyle="1">
    <w:name w:val="Nivel 1"/>
    <w:basedOn w:val="Nivel2"/>
    <w:qFormat/>
    <w:rsid w:val="003629e4"/>
    <w:pPr>
      <w:ind w:left="360" w:right="0" w:hanging="360"/>
    </w:pPr>
    <w:rPr>
      <w:b/>
    </w:rPr>
  </w:style>
  <w:style w:type="paragraph" w:styleId="Nivel3" w:customStyle="1">
    <w:name w:val="Nivel 3"/>
    <w:basedOn w:val="Normal"/>
    <w:link w:val="Nivel3Char"/>
    <w:autoRedefine/>
    <w:qFormat/>
    <w:rsid w:val="005d30b6"/>
    <w:pPr>
      <w:spacing w:lineRule="auto" w:line="276" w:before="120" w:after="120"/>
      <w:ind w:left="284" w:hanging="0"/>
      <w:jc w:val="both"/>
    </w:pPr>
    <w:rPr>
      <w:rFonts w:ascii="Calibri" w:hAnsi="Calibri" w:cs="Arial"/>
      <w:b/>
      <w:bCs/>
      <w:color w:val="000000"/>
      <w:sz w:val="24"/>
      <w:szCs w:val="24"/>
    </w:rPr>
  </w:style>
  <w:style w:type="paragraph" w:styleId="Nivel4" w:customStyle="1">
    <w:name w:val="Nivel 4"/>
    <w:basedOn w:val="Nivel3"/>
    <w:link w:val="Nivel4Char"/>
    <w:autoRedefine/>
    <w:qFormat/>
    <w:rsid w:val="00da3ef1"/>
    <w:pPr>
      <w:ind w:left="567" w:hanging="0"/>
    </w:pPr>
    <w:rPr>
      <w:color w:val="auto"/>
    </w:rPr>
  </w:style>
  <w:style w:type="paragraph" w:styleId="Nivel5" w:customStyle="1">
    <w:name w:val="Nivel 5"/>
    <w:basedOn w:val="Nivel4"/>
    <w:autoRedefine/>
    <w:qFormat/>
    <w:rsid w:val="00da3ef1"/>
    <w:pPr>
      <w:ind w:left="851" w:hanging="0"/>
    </w:pPr>
    <w:rPr/>
  </w:style>
  <w:style w:type="paragraph" w:styleId="Textbody" w:customStyle="1">
    <w:name w:val="textbody"/>
    <w:basedOn w:val="Normal"/>
    <w:qFormat/>
    <w:rsid w:val="00d30a43"/>
    <w:pPr>
      <w:spacing w:beforeAutospacing="1" w:afterAutospacing="1"/>
    </w:pPr>
    <w:rPr>
      <w:rFonts w:ascii="Times New Roman" w:hAnsi="Times New Roman" w:eastAsia="Times New Roman" w:cs="Times New Roman"/>
    </w:rPr>
  </w:style>
  <w:style w:type="paragraph" w:styleId="Em0020ementa" w:customStyle="1">
    <w:name w:val="em_0020ementa"/>
    <w:basedOn w:val="Normal"/>
    <w:qFormat/>
    <w:rsid w:val="00d30a43"/>
    <w:pPr>
      <w:ind w:left="4160" w:hanging="0"/>
      <w:jc w:val="both"/>
    </w:pPr>
    <w:rPr>
      <w:rFonts w:ascii="Times New Roman" w:hAnsi="Times New Roman" w:eastAsia="Times New Roman" w:cs="Times New Roman"/>
      <w:sz w:val="28"/>
      <w:szCs w:val="28"/>
    </w:rPr>
  </w:style>
  <w:style w:type="paragraph" w:styleId="Revision">
    <w:name w:val="Revision"/>
    <w:uiPriority w:val="99"/>
    <w:semiHidden/>
    <w:qFormat/>
    <w:rsid w:val="00d30a43"/>
    <w:pPr>
      <w:widowControl/>
      <w:bidi w:val="0"/>
      <w:jc w:val="left"/>
    </w:pPr>
    <w:rPr>
      <w:rFonts w:ascii="Ecofont_Spranq_eco_Sans" w:hAnsi="Ecofont_Spranq_eco_Sans" w:eastAsia="Times New Roman" w:cs="Tahoma"/>
      <w:color w:val="auto"/>
      <w:kern w:val="0"/>
      <w:sz w:val="24"/>
      <w:szCs w:val="24"/>
      <w:lang w:val="pt-BR" w:eastAsia="pt-BR" w:bidi="ar-SA"/>
    </w:rPr>
  </w:style>
  <w:style w:type="paragraph" w:styleId="Texto1" w:customStyle="1">
    <w:name w:val="texto1"/>
    <w:basedOn w:val="Normal"/>
    <w:qFormat/>
    <w:rsid w:val="00d30a43"/>
    <w:pPr>
      <w:spacing w:beforeAutospacing="1" w:afterAutospacing="1"/>
    </w:pPr>
    <w:rPr>
      <w:rFonts w:ascii="Times New Roman" w:hAnsi="Times New Roman" w:eastAsia="Times New Roman" w:cs="Times New Roman"/>
    </w:rPr>
  </w:style>
  <w:style w:type="paragraph" w:styleId="GradeColoridanfase11" w:customStyle="1">
    <w:name w:val="Grade Colorida - Ênfase 11"/>
    <w:basedOn w:val="Normal"/>
    <w:next w:val="Normal"/>
    <w:link w:val="GradeColorida-nfase1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cs="Times New Roman"/>
      <w:i/>
      <w:iCs/>
      <w:color w:val="000000"/>
      <w:sz w:val="20"/>
      <w:lang w:eastAsia="en-US"/>
    </w:rPr>
  </w:style>
  <w:style w:type="paragraph" w:styleId="Xwestern" w:customStyle="1">
    <w:name w:val="x_western"/>
    <w:basedOn w:val="Normal"/>
    <w:qFormat/>
    <w:rsid w:val="00d30a43"/>
    <w:pPr>
      <w:spacing w:beforeAutospacing="1" w:afterAutospacing="1"/>
    </w:pPr>
    <w:rPr>
      <w:rFonts w:ascii="Times New Roman" w:hAnsi="Times New Roman" w:eastAsia="Times New Roman" w:cs="Times New Roman"/>
    </w:rPr>
  </w:style>
  <w:style w:type="paragraph" w:styleId="TCUAcitem90" w:customStyle="1">
    <w:name w:val="TCU - Ac - item 9 - §§_0"/>
    <w:basedOn w:val="Normal"/>
    <w:qFormat/>
    <w:rsid w:val="00d30a43"/>
    <w:pPr>
      <w:ind w:firstLine="1134"/>
      <w:jc w:val="both"/>
    </w:pPr>
    <w:rPr>
      <w:rFonts w:ascii="Times New Roman" w:hAnsi="Times New Roman" w:eastAsia="Times New Roman" w:cs="Times New Roman"/>
      <w:szCs w:val="22"/>
      <w:lang w:eastAsia="en-US"/>
    </w:rPr>
  </w:style>
  <w:style w:type="paragraph" w:styleId="Normal1" w:customStyle="1">
    <w:name w:val="Normal_1"/>
    <w:qFormat/>
    <w:rsid w:val="00d30a43"/>
    <w:pPr>
      <w:widowControl/>
      <w:bidi w:val="0"/>
      <w:jc w:val="left"/>
    </w:pPr>
    <w:rPr>
      <w:rFonts w:ascii="Times New Roman" w:hAnsi="Times New Roman" w:eastAsia="Times New Roman" w:cs="Times New Roman"/>
      <w:color w:val="auto"/>
      <w:kern w:val="0"/>
      <w:sz w:val="24"/>
      <w:szCs w:val="22"/>
      <w:lang w:val="pt-BR" w:eastAsia="en-US" w:bidi="ar-SA"/>
    </w:rPr>
  </w:style>
  <w:style w:type="paragraph" w:styleId="Tcuacitem91linha" w:customStyle="1">
    <w:name w:val="tcu_-__ac_-_item_9_-_1ª_linha"/>
    <w:basedOn w:val="Normal"/>
    <w:qFormat/>
    <w:rsid w:val="00d30a43"/>
    <w:pPr>
      <w:spacing w:beforeAutospacing="1" w:afterAutospacing="1"/>
    </w:pPr>
    <w:rPr>
      <w:rFonts w:ascii="Times New Roman" w:hAnsi="Times New Roman" w:eastAsia="Times New Roman" w:cs="Times New Roman"/>
    </w:rPr>
  </w:style>
  <w:style w:type="paragraph" w:styleId="Textojustificadorecuoprimeiralinha" w:customStyle="1">
    <w:name w:val="texto_justificado_recuo_primeira_linha"/>
    <w:basedOn w:val="Normal"/>
    <w:qFormat/>
    <w:rsid w:val="00d30a43"/>
    <w:pPr>
      <w:spacing w:beforeAutospacing="1" w:afterAutospacing="1"/>
    </w:pPr>
    <w:rPr>
      <w:rFonts w:ascii="Times New Roman" w:hAnsi="Times New Roman" w:eastAsia="Times New Roman" w:cs="Times New Roman"/>
    </w:rPr>
  </w:style>
  <w:style w:type="paragraph" w:styleId="Textojustificado" w:customStyle="1">
    <w:name w:val="texto_justificado"/>
    <w:basedOn w:val="Normal"/>
    <w:qFormat/>
    <w:rsid w:val="00d30a43"/>
    <w:pPr>
      <w:spacing w:beforeAutospacing="1" w:afterAutospacing="1"/>
    </w:pPr>
    <w:rPr>
      <w:rFonts w:ascii="Times New Roman" w:hAnsi="Times New Roman" w:eastAsia="Times New Roman" w:cs="Times New Roman"/>
    </w:rPr>
  </w:style>
  <w:style w:type="paragraph" w:styleId="Nvel2Opcional" w:customStyle="1">
    <w:name w:val="Nível 2 Opcional"/>
    <w:basedOn w:val="Nivel2"/>
    <w:link w:val="Nvel2OpcionalChar"/>
    <w:qFormat/>
    <w:rsid w:val="00a831d9"/>
    <w:pPr>
      <w:ind w:left="432" w:right="0" w:hanging="432"/>
    </w:pPr>
    <w:rPr>
      <w:rFonts w:eastAsia="Times New Roman"/>
      <w:i/>
      <w:color w:val="FF0000"/>
    </w:rPr>
  </w:style>
  <w:style w:type="paragraph" w:styleId="Nvel3Opcional" w:customStyle="1">
    <w:name w:val="Nível 3 Opcional"/>
    <w:basedOn w:val="Nivel3"/>
    <w:link w:val="Nvel3OpcionalChar"/>
    <w:qFormat/>
    <w:rsid w:val="00a831d9"/>
    <w:pPr>
      <w:ind w:left="1072" w:hanging="504"/>
    </w:pPr>
    <w:rPr>
      <w:rFonts w:eastAsia="Times New Roman"/>
      <w:i/>
      <w:iCs/>
      <w:color w:val="FF0000"/>
    </w:rPr>
  </w:style>
  <w:style w:type="paragraph" w:styleId="SombreamentoMdio1nfase31" w:customStyle="1">
    <w:name w:val="Sombreamento Médio 1 - Ênfase 31"/>
    <w:basedOn w:val="Normal"/>
    <w:next w:val="Normal"/>
    <w:qFormat/>
    <w:rsid w:val="00cb3192"/>
    <w:pPr>
      <w:pBdr>
        <w:top w:val="single" w:sz="4" w:space="1" w:color="000080"/>
        <w:left w:val="single" w:sz="4" w:space="4" w:color="000080"/>
        <w:bottom w:val="single" w:sz="4" w:space="1" w:color="000080"/>
        <w:right w:val="single" w:sz="4" w:space="4" w:color="000080"/>
      </w:pBdr>
      <w:shd w:val="clear" w:color="auto" w:fill="FFFFCC"/>
      <w:suppressAutoHyphens w:val="true"/>
      <w:spacing w:before="120" w:after="0"/>
      <w:jc w:val="both"/>
    </w:pPr>
    <w:rPr>
      <w:rFonts w:eastAsia="Calibri"/>
      <w:i/>
      <w:iCs/>
      <w:color w:val="000000"/>
      <w:sz w:val="20"/>
      <w:lang w:eastAsia="zh-CN"/>
    </w:rPr>
  </w:style>
  <w:style w:type="paragraph" w:styleId="Corpo" w:customStyle="1">
    <w:name w:val="corpo"/>
    <w:basedOn w:val="Normal"/>
    <w:qFormat/>
    <w:rsid w:val="00cb3192"/>
    <w:pPr>
      <w:spacing w:beforeAutospacing="1" w:afterAutospacing="1"/>
    </w:pPr>
    <w:rPr>
      <w:rFonts w:ascii="Times New Roman" w:hAnsi="Times New Roman" w:eastAsia="Times New Roman" w:cs="Times New Roman"/>
    </w:rPr>
  </w:style>
  <w:style w:type="paragraph" w:styleId="Itemnivel2" w:customStyle="1">
    <w:name w:val="item_nivel2"/>
    <w:basedOn w:val="Normal"/>
    <w:qFormat/>
    <w:rsid w:val="00cb3192"/>
    <w:pPr>
      <w:spacing w:beforeAutospacing="1" w:afterAutospacing="1"/>
    </w:pPr>
    <w:rPr>
      <w:rFonts w:ascii="Times New Roman" w:hAnsi="Times New Roman" w:eastAsia="Times New Roman" w:cs="Times New Roman"/>
    </w:rPr>
  </w:style>
  <w:style w:type="paragraph" w:styleId="Itemnivel1" w:customStyle="1">
    <w:name w:val="item_nivel1"/>
    <w:basedOn w:val="Normal"/>
    <w:qFormat/>
    <w:rsid w:val="00cb3192"/>
    <w:pPr>
      <w:spacing w:beforeAutospacing="1" w:afterAutospacing="1"/>
    </w:pPr>
    <w:rPr>
      <w:rFonts w:ascii="Times New Roman" w:hAnsi="Times New Roman" w:eastAsia="Times New Roman" w:cs="Times New Roman"/>
    </w:rPr>
  </w:style>
  <w:style w:type="paragraph" w:styleId="Itemalinealetra" w:customStyle="1">
    <w:name w:val="item_alinea_letra"/>
    <w:basedOn w:val="Normal"/>
    <w:qFormat/>
    <w:rsid w:val="00cb3192"/>
    <w:pPr>
      <w:spacing w:beforeAutospacing="1" w:afterAutospacing="1"/>
    </w:pPr>
    <w:rPr>
      <w:rFonts w:ascii="Times New Roman" w:hAnsi="Times New Roman" w:eastAsia="Times New Roman" w:cs="Times New Roman"/>
    </w:rPr>
  </w:style>
  <w:style w:type="paragraph" w:styleId="Standard" w:customStyle="1">
    <w:name w:val="Standard"/>
    <w:qFormat/>
    <w:rsid w:val="00cb3192"/>
    <w:pPr>
      <w:widowControl/>
      <w:suppressAutoHyphens w:val="true"/>
      <w:bidi w:val="0"/>
      <w:jc w:val="left"/>
    </w:pPr>
    <w:rPr>
      <w:rFonts w:ascii="Liberation Serif" w:hAnsi="Liberation Serif" w:eastAsia="NSimSun" w:cs="Lucida Sans"/>
      <w:color w:val="auto"/>
      <w:kern w:val="2"/>
      <w:sz w:val="24"/>
      <w:szCs w:val="24"/>
      <w:lang w:val="pt-BR" w:eastAsia="zh-CN" w:bidi="hi-IN"/>
    </w:rPr>
  </w:style>
  <w:style w:type="paragraph" w:styleId="Textbody1" w:customStyle="1">
    <w:name w:val="Text body"/>
    <w:basedOn w:val="Standard"/>
    <w:qFormat/>
    <w:rsid w:val="00cb3192"/>
    <w:pPr>
      <w:spacing w:lineRule="auto" w:line="276" w:before="0" w:after="140"/>
    </w:pPr>
    <w:rPr/>
  </w:style>
  <w:style w:type="paragraph" w:styleId="Ou" w:customStyle="1">
    <w:name w:val="ou"/>
    <w:basedOn w:val="ListParagraph"/>
    <w:link w:val="ouChar"/>
    <w:qFormat/>
    <w:rsid w:val="00f93d80"/>
    <w:pPr>
      <w:spacing w:lineRule="auto" w:line="259" w:before="60" w:after="60"/>
      <w:ind w:left="0" w:hanging="0"/>
      <w:contextualSpacing/>
      <w:jc w:val="center"/>
    </w:pPr>
    <w:rPr>
      <w:rFonts w:ascii="Arial" w:hAnsi="Arial" w:eastAsia="Cambria" w:cs="Arial" w:eastAsiaTheme="minorHAnsi"/>
      <w:b/>
      <w:bCs/>
      <w:i/>
      <w:iCs/>
      <w:color w:val="FF0000"/>
      <w:sz w:val="20"/>
      <w:u w:val="single"/>
    </w:rPr>
  </w:style>
  <w:style w:type="paragraph" w:styleId="Douparagraph" w:customStyle="1">
    <w:name w:val="dou-paragraph"/>
    <w:basedOn w:val="Normal"/>
    <w:qFormat/>
    <w:rsid w:val="00cb3192"/>
    <w:pPr>
      <w:spacing w:beforeAutospacing="1" w:afterAutospacing="1"/>
    </w:pPr>
    <w:rPr>
      <w:rFonts w:ascii="Times New Roman" w:hAnsi="Times New Roman" w:eastAsia="Times New Roman" w:cs="Times New Roman"/>
    </w:rPr>
  </w:style>
  <w:style w:type="paragraph" w:styleId="Nvel2Red" w:customStyle="1">
    <w:name w:val="Nível 2 -Red"/>
    <w:basedOn w:val="Nivel2"/>
    <w:link w:val="Nvel2-RedChar"/>
    <w:qFormat/>
    <w:rsid w:val="00da3ef1"/>
    <w:pPr/>
    <w:rPr>
      <w:i/>
      <w:iCs/>
      <w:color w:val="FF0000"/>
    </w:rPr>
  </w:style>
  <w:style w:type="paragraph" w:styleId="Nvel3R" w:customStyle="1">
    <w:name w:val="Nível 3-R"/>
    <w:basedOn w:val="Nivel3"/>
    <w:link w:val="Nvel3-RChar"/>
    <w:autoRedefine/>
    <w:qFormat/>
    <w:rsid w:val="00775cfb"/>
    <w:pPr/>
    <w:rPr>
      <w:i/>
      <w:iCs/>
      <w:color w:val="FF0000"/>
    </w:rPr>
  </w:style>
  <w:style w:type="paragraph" w:styleId="Nvel4R" w:customStyle="1">
    <w:name w:val="Nível 4-R"/>
    <w:basedOn w:val="Nivel4"/>
    <w:link w:val="Nvel4-RChar"/>
    <w:autoRedefine/>
    <w:qFormat/>
    <w:rsid w:val="00da3ef1"/>
    <w:pPr/>
    <w:rPr>
      <w:i/>
      <w:iCs/>
      <w:color w:val="FF0000"/>
    </w:rPr>
  </w:style>
  <w:style w:type="paragraph" w:styleId="Nvel1SemNum" w:customStyle="1">
    <w:name w:val="Nível 1-Sem Num"/>
    <w:basedOn w:val="Nivel01"/>
    <w:link w:val="Nvel1-SemNumChar"/>
    <w:autoRedefine/>
    <w:qFormat/>
    <w:rsid w:val="00881f44"/>
    <w:pPr>
      <w:outlineLvl w:val="1"/>
    </w:pPr>
    <w:rPr>
      <w:color w:val="FF0000"/>
    </w:rPr>
  </w:style>
  <w:style w:type="paragraph" w:styleId="Citao2" w:customStyle="1">
    <w:name w:val="citação 2"/>
    <w:basedOn w:val="Quote"/>
    <w:qFormat/>
    <w:rsid w:val="00dc41dd"/>
    <w:pPr>
      <w:shd w:val="clear" w:fill="FFFFCC"/>
      <w:overflowPunct w:val="false"/>
    </w:pPr>
    <w:rPr>
      <w:szCs w:val="20"/>
    </w:rPr>
  </w:style>
  <w:style w:type="paragraph" w:styleId="Prembulo" w:customStyle="1">
    <w:name w:val="Preâmbulo"/>
    <w:basedOn w:val="Normal"/>
    <w:link w:val="PrembuloChar"/>
    <w:qFormat/>
    <w:rsid w:val="00bb19e4"/>
    <w:pPr>
      <w:spacing w:lineRule="auto" w:line="360" w:before="480" w:after="120"/>
      <w:ind w:left="4253" w:right="-17" w:hanging="0"/>
      <w:jc w:val="both"/>
    </w:pPr>
    <w:rPr>
      <w:rFonts w:ascii="Arial" w:hAnsi="Arial" w:eastAsia="Arial" w:cs="Arial"/>
      <w:bCs/>
      <w:sz w:val="20"/>
      <w:szCs w:val="20"/>
    </w:rPr>
  </w:style>
  <w:style w:type="paragraph" w:styleId="Nivel3erro" w:customStyle="1">
    <w:name w:val="Nivel 3-erro"/>
    <w:basedOn w:val="Nivel3"/>
    <w:link w:val="Nivel3-erroChar"/>
    <w:qFormat/>
    <w:rsid w:val="005b0afb"/>
    <w:pPr>
      <w:spacing w:lineRule="auto" w:line="240"/>
      <w:ind w:left="425" w:hanging="0"/>
    </w:pPr>
    <w:rPr>
      <w:rFonts w:cs="Tahoma"/>
      <w:color w:val="auto"/>
      <w:szCs w:val="24"/>
    </w:rPr>
  </w:style>
  <w:style w:type="paragraph" w:styleId="Alteraes" w:customStyle="1">
    <w:name w:val="Alterações"/>
    <w:basedOn w:val="Normal"/>
    <w:link w:val="AlteraesChar"/>
    <w:uiPriority w:val="1"/>
    <w:qFormat/>
    <w:rsid w:val="1414b7f7"/>
    <w:pPr>
      <w:spacing w:lineRule="auto" w:line="276" w:before="120" w:after="120"/>
      <w:jc w:val="both"/>
      <w:outlineLvl w:val="1"/>
    </w:pPr>
    <w:rPr>
      <w:rFonts w:ascii="Arial" w:hAnsi="Arial" w:cs="Arial"/>
      <w:i/>
      <w:iCs/>
      <w:color w:val="0000FF"/>
      <w:sz w:val="20"/>
      <w:szCs w:val="20"/>
    </w:rPr>
  </w:style>
  <w:style w:type="paragraph" w:styleId="Nvel1SemNumPreto" w:customStyle="1">
    <w:name w:val="Nível 1-Sem Num Preto"/>
    <w:basedOn w:val="Nvel1SemNum"/>
    <w:link w:val="Nvel1-SemNumPretoChar"/>
    <w:qFormat/>
    <w:rsid w:val="00036ad7"/>
    <w:pPr/>
    <w:rPr>
      <w:color w:val="auto"/>
      <w:lang w:eastAsia="zh-CN" w:bidi="hi-IN"/>
    </w:rPr>
  </w:style>
  <w:style w:type="paragraph" w:styleId="Contedodatabela">
    <w:name w:val="Conteúdo da tabela"/>
    <w:basedOn w:val="Normal"/>
    <w:qFormat/>
    <w:pPr>
      <w:suppressLineNumbers/>
    </w:pPr>
    <w:rPr/>
  </w:style>
  <w:style w:type="paragraph" w:styleId="Ttulodetabela">
    <w:name w:val="Título de tabela"/>
    <w:basedOn w:val="Contedodatabela"/>
    <w:qFormat/>
    <w:pPr>
      <w:suppressLineNumbers/>
      <w:jc w:val="center"/>
    </w:pPr>
    <w:rPr>
      <w:b/>
      <w:bCs/>
    </w:rPr>
  </w:style>
  <w:style w:type="numbering" w:styleId="NoList" w:default="1">
    <w:name w:val="No List"/>
    <w:uiPriority w:val="99"/>
    <w:semiHidden/>
    <w:unhideWhenUsed/>
    <w:qFormat/>
  </w:style>
  <w:style w:type="numbering" w:styleId="Estilo1" w:customStyle="1">
    <w:name w:val="Estilo1"/>
    <w:uiPriority w:val="99"/>
    <w:qFormat/>
    <w:rsid w:val="008c6874"/>
  </w:style>
  <w:style w:type="numbering" w:styleId="Estilo2" w:customStyle="1">
    <w:name w:val="Estilo2"/>
    <w:uiPriority w:val="99"/>
    <w:qFormat/>
    <w:rsid w:val="00a72b79"/>
  </w:style>
  <w:style w:type="numbering" w:styleId="Estilo3" w:customStyle="1">
    <w:name w:val="Estilo3"/>
    <w:uiPriority w:val="99"/>
    <w:qFormat/>
    <w:rsid w:val="00a72b79"/>
  </w:style>
  <w:style w:type="numbering" w:styleId="Estilo4" w:customStyle="1">
    <w:name w:val="Estilo4"/>
    <w:uiPriority w:val="99"/>
    <w:qFormat/>
    <w:rsid w:val="0054016d"/>
  </w:style>
  <w:style w:type="numbering" w:styleId="Estilo5" w:customStyle="1">
    <w:name w:val="Estilo5"/>
    <w:uiPriority w:val="99"/>
    <w:qFormat/>
    <w:rsid w:val="0054016d"/>
  </w:style>
  <w:style w:type="numbering" w:styleId="Estilo6" w:customStyle="1">
    <w:name w:val="Estilo6"/>
    <w:uiPriority w:val="99"/>
    <w:qFormat/>
    <w:rsid w:val="0054016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styleId="Tabelacomgrade">
    <w:name w:val="Table Grid"/>
    <w:basedOn w:val="Tabelanormal"/>
    <w:uiPriority w:val="39"/>
    <w:rsid w:val="00db542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hyperlink" Target="https://in.gov.br/en/web/dou/-/instrucao-normativa-seges/me-n-77-de-4-de-novembro-de-2022-441681061" TargetMode="External"/><Relationship Id="rId5" Type="http://schemas.openxmlformats.org/officeDocument/2006/relationships/hyperlink" Target="https://www.planalto.gov.br/ccivil_03/leis/lcp/lcp123.htm" TargetMode="External"/><Relationship Id="rId6" Type="http://schemas.openxmlformats.org/officeDocument/2006/relationships/hyperlink" Target="http://www.portaldatransparencia.gov.br/ceis" TargetMode="External"/><Relationship Id="rId7" Type="http://schemas.openxmlformats.org/officeDocument/2006/relationships/hyperlink" Target="https://www.portaltransparencia.gov.br/sancoes/cnep" TargetMode="External"/><Relationship Id="rId8" Type="http://schemas.openxmlformats.org/officeDocument/2006/relationships/hyperlink" Target="https://www.gov.br/empresas-e-negocios/pt-br/empreendedor" TargetMode="External"/><Relationship Id="rId9" Type="http://schemas.openxmlformats.org/officeDocument/2006/relationships/hyperlink" Target="https://www.gov.br/economia/pt-br/assuntos/drei/legislacao/arquivos/legislacoes-federais/indrei772020.pdf" TargetMode="External"/><Relationship Id="rId10" Type="http://schemas.openxmlformats.org/officeDocument/2006/relationships/hyperlink" Target="https://www.gov.br/trabalho-e-previdencia/pt-br/servicos/empregador/programa-de-alimentacao-do-trabalhador-pat/arquivos-legislacao/instrucoes-normativas/pat_in_971_2009.pdf" TargetMode="External"/><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Relationship Id="rId17" Type="http://schemas.openxmlformats.org/officeDocument/2006/relationships/customXml" Target="../customXml/item1.xml"/><Relationship Id="rId18" Type="http://schemas.openxmlformats.org/officeDocument/2006/relationships/customXml" Target="../customXml/item2.xml"/><Relationship Id="rId19" Type="http://schemas.openxmlformats.org/officeDocument/2006/relationships/customXml" Target="../customXml/item3.xml"/><Relationship Id="rId2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0D7D2D-37BA-482C-A228-E77C41190B8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BFCC715-7F20-41B2-A569-BB496D3BE5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770E97-A9EC-45EB-8CB9-45E57FCA1012}">
  <ds:schemaRefs>
    <ds:schemaRef ds:uri="http://schemas.openxmlformats.org/officeDocument/2006/bibliography"/>
  </ds:schemaRefs>
</ds:datastoreItem>
</file>

<file path=customXml/itemProps4.xml><?xml version="1.0" encoding="utf-8"?>
<ds:datastoreItem xmlns:ds="http://schemas.openxmlformats.org/officeDocument/2006/customXml" ds:itemID="{58D91C4F-6E30-4B53-AA1B-A13F843D46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439</TotalTime>
  <Application>LibreOffice/6.0.7.3$Linux_X86_64 LibreOffice_project/00m0$Build-3</Application>
  <Pages>24</Pages>
  <Words>5373</Words>
  <Characters>29797</Characters>
  <CharactersWithSpaces>34725</CharactersWithSpaces>
  <Paragraphs>395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2023-08-29T19:28:00Z</dcterms:created>
  <dc:creator/>
  <dc:description/>
  <dc:language>pt-BR</dc:language>
  <cp:lastModifiedBy/>
  <dcterms:modified xsi:type="dcterms:W3CDTF">2023-10-16T14:10:54Z</dcterms:modified>
  <cp:revision>22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0x01010012A2765E7DFD38469B2E626874CD0041</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