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header2.xml" ContentType="application/vnd.openxmlformats-officedocument.wordprocessingml.header+xml"/>
  <Override PartName="/word/media/image1.png" ContentType="image/png"/>
  <Override PartName="/word/media/image2.png" ContentType="image/png"/>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2.xml.rels" ContentType="application/vnd.openxmlformats-package.relationships+xml"/>
  <Override PartName="/customXml/item1.xml" ContentType="application/xml"/>
  <Override PartName="/customXml/itemProps1.xml" ContentType="application/vnd.openxmlformats-officedocument.customXmlProperties+xml"/>
  <Override PartName="/customXml/item2.xml" ContentType="application/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Override PartName="/customXml/itemProps2.xml" ContentType="application/vnd.openxmlformats-officedocument.customXmlProperties+xml"/>
  <Override PartName="/customXml/item3.xml" ContentType="application/xml"/>
  <Override PartName="/customXml/itemProps3.xml" ContentType="application/vnd.openxmlformats-officedocument.customXmlProperties+xml"/>
  <Override PartName="/customXml/item4.xml" ContentType="application/xml"/>
  <Override PartName="/customXml/itemProps4.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rFonts w:cs="Arial"/>
          <w:color w:val="5B5B5F"/>
          <w:sz w:val="32"/>
          <w:szCs w:val="32"/>
        </w:rPr>
      </w:pPr>
      <w:r>
        <w:rPr>
          <w:rFonts w:cs="Arial"/>
          <w:color w:val="5B5B5F"/>
          <w:sz w:val="32"/>
          <w:szCs w:val="32"/>
        </w:rPr>
      </w:r>
    </w:p>
    <w:p>
      <w:pPr>
        <w:pStyle w:val="Normal"/>
        <w:rPr>
          <w:rFonts w:cs="Arial"/>
          <w:color w:val="5B5B5F"/>
          <w:sz w:val="32"/>
          <w:szCs w:val="32"/>
        </w:rPr>
      </w:pPr>
      <w:r>
        <w:rPr>
          <w:rFonts w:cs="Arial"/>
          <w:color w:val="5B5B5F"/>
          <w:sz w:val="32"/>
          <w:szCs w:val="32"/>
        </w:rPr>
      </w:r>
    </w:p>
    <w:p>
      <w:pPr>
        <w:pStyle w:val="Normal"/>
        <w:rPr>
          <w:rFonts w:cs="Arial"/>
          <w:b/>
          <w:b/>
          <w:bCs/>
          <w:i/>
          <w:i/>
          <w:iCs/>
          <w:color w:val="FF0000"/>
          <w:szCs w:val="18"/>
        </w:rPr>
      </w:pPr>
      <w:r>
        <w:rPr>
          <w:rFonts w:cs="Arial"/>
          <w:color w:val="5B5B5F"/>
          <w:sz w:val="36"/>
          <w:szCs w:val="36"/>
        </w:rPr>
        <w:t>Aviso de</w:t>
      </w:r>
      <w:r>
        <w:rPr>
          <w:rFonts w:cs="Arial"/>
          <w:color w:val="FF0000"/>
          <w:szCs w:val="18"/>
        </w:rPr>
        <w:t xml:space="preserve"> </w:t>
      </w:r>
    </w:p>
    <w:p>
      <w:pPr>
        <w:pStyle w:val="Normal"/>
        <w:rPr>
          <w:rFonts w:cs="Arial"/>
          <w:color w:val="405CA1"/>
          <w:sz w:val="56"/>
          <w:szCs w:val="56"/>
        </w:rPr>
      </w:pPr>
      <w:r>
        <w:rPr>
          <w:rFonts w:cs="Arial"/>
          <w:color w:val="405CA1"/>
          <w:sz w:val="56"/>
          <w:szCs w:val="56"/>
        </w:rPr>
        <w:t xml:space="preserve">DISPENSA </w:t>
      </w:r>
    </w:p>
    <w:p>
      <w:pPr>
        <w:pStyle w:val="Normal"/>
        <w:rPr>
          <w:rFonts w:cs="Arial"/>
          <w:color w:val="405CA1"/>
          <w:sz w:val="56"/>
          <w:szCs w:val="56"/>
        </w:rPr>
      </w:pPr>
      <w:r>
        <w:rPr>
          <w:rFonts w:cs="Arial"/>
          <w:color w:val="405CA1"/>
          <w:sz w:val="56"/>
          <w:szCs w:val="56"/>
        </w:rPr>
        <w:t>ELETRÔNICA</w:t>
      </w:r>
    </w:p>
    <w:p>
      <w:pPr>
        <w:pStyle w:val="Normal"/>
        <w:rPr/>
      </w:pPr>
      <w:r>
        <w:rPr>
          <w:rFonts w:cs="Arial"/>
          <w:b/>
          <w:bCs/>
          <w:i/>
          <w:iCs/>
          <w:color w:val="5B5B5F"/>
          <w:sz w:val="32"/>
          <w:szCs w:val="32"/>
        </w:rPr>
        <w:t>02/2023</w:t>
      </w:r>
    </w:p>
    <w:p>
      <w:pPr>
        <w:pStyle w:val="Normal"/>
        <w:spacing w:lineRule="auto" w:line="259"/>
        <w:rPr>
          <w:rFonts w:cs="Arial"/>
          <w:b/>
          <w:b/>
          <w:bCs/>
          <w:color w:val="405CA1"/>
          <w:sz w:val="28"/>
          <w:szCs w:val="28"/>
        </w:rPr>
      </w:pPr>
      <w:r>
        <w:rPr>
          <w:rFonts w:cs="Arial"/>
          <w:b/>
          <w:bCs/>
          <w:color w:val="405CA1"/>
          <w:sz w:val="28"/>
          <w:szCs w:val="28"/>
        </w:rPr>
      </w:r>
    </w:p>
    <w:p>
      <w:pPr>
        <w:pStyle w:val="Normal"/>
        <w:spacing w:lineRule="auto" w:line="259"/>
        <w:rPr>
          <w:rFonts w:cs="Arial"/>
          <w:b/>
          <w:b/>
          <w:bCs/>
          <w:color w:val="405CA1"/>
          <w:sz w:val="28"/>
          <w:szCs w:val="28"/>
        </w:rPr>
      </w:pPr>
      <w:r>
        <w:rPr>
          <w:rFonts w:cs="Arial"/>
          <w:b/>
          <w:bCs/>
          <w:color w:val="405CA1"/>
          <w:sz w:val="28"/>
          <w:szCs w:val="28"/>
        </w:rPr>
      </w:r>
    </w:p>
    <w:p>
      <w:pPr>
        <w:pStyle w:val="Normal"/>
        <w:spacing w:lineRule="auto" w:line="259"/>
        <w:rPr>
          <w:rFonts w:cs="Arial"/>
          <w:b/>
          <w:b/>
          <w:bCs/>
          <w:color w:val="405CA1"/>
          <w:sz w:val="28"/>
          <w:szCs w:val="28"/>
        </w:rPr>
      </w:pPr>
      <w:r>
        <w:rPr>
          <w:rFonts w:cs="Arial"/>
          <w:b/>
          <w:bCs/>
          <w:color w:val="405CA1"/>
          <w:sz w:val="28"/>
          <w:szCs w:val="28"/>
        </w:rPr>
      </w:r>
    </w:p>
    <w:p>
      <w:pPr>
        <w:pStyle w:val="Normal"/>
        <w:spacing w:lineRule="auto" w:line="259"/>
        <w:rPr>
          <w:rFonts w:cs="Arial"/>
          <w:b/>
          <w:b/>
          <w:bCs/>
          <w:color w:val="405CA1"/>
          <w:sz w:val="32"/>
          <w:szCs w:val="32"/>
        </w:rPr>
      </w:pPr>
      <w:r>
        <w:rPr>
          <w:rFonts w:cs="Arial"/>
          <w:b/>
          <w:bCs/>
          <w:color w:val="405CA1"/>
          <w:sz w:val="32"/>
          <w:szCs w:val="32"/>
        </w:rPr>
        <w:t>CONTRATANTE (UASG)</w:t>
      </w:r>
    </w:p>
    <w:p>
      <w:pPr>
        <w:pStyle w:val="Normal"/>
        <w:rPr/>
      </w:pPr>
      <w:r>
        <w:rPr>
          <w:rFonts w:cs="Arial"/>
          <w:b/>
          <w:bCs/>
          <w:color w:val="5B5B5F"/>
          <w:sz w:val="28"/>
          <w:szCs w:val="28"/>
        </w:rPr>
        <w:t>HOSPITAL NAVAL DE NATAL (783701)</w:t>
      </w:r>
    </w:p>
    <w:p>
      <w:pPr>
        <w:pStyle w:val="Normal"/>
        <w:rPr>
          <w:rFonts w:cs="Arial"/>
          <w:color w:val="5B5B5F"/>
          <w:sz w:val="32"/>
          <w:szCs w:val="32"/>
        </w:rPr>
      </w:pPr>
      <w:r>
        <w:rPr>
          <w:rFonts w:cs="Arial"/>
          <w:color w:val="5B5B5F"/>
          <w:sz w:val="32"/>
          <w:szCs w:val="32"/>
        </w:rPr>
      </w:r>
    </w:p>
    <w:p>
      <w:pPr>
        <w:pStyle w:val="Normal"/>
        <w:rPr/>
      </w:pPr>
      <w:r>
        <w:rPr>
          <w:rFonts w:cs="Arial"/>
          <w:b/>
          <w:bCs/>
          <w:color w:val="405CA1"/>
          <w:sz w:val="32"/>
          <w:szCs w:val="32"/>
        </w:rPr>
        <w:t>OBJETO</w:t>
      </w:r>
    </w:p>
    <w:p>
      <w:pPr>
        <w:pStyle w:val="Normal"/>
        <w:rPr/>
      </w:pPr>
      <w:r>
        <w:rPr>
          <w:rFonts w:cs="Arial"/>
          <w:b/>
          <w:bCs/>
          <w:color w:val="666666"/>
          <w:sz w:val="28"/>
          <w:szCs w:val="28"/>
        </w:rPr>
        <w:t>AQUISIÇÃO DE SECANTE PARA MÁQUINA DE LAVAR LOUÇA</w:t>
      </w:r>
    </w:p>
    <w:p>
      <w:pPr>
        <w:pStyle w:val="Normal"/>
        <w:rPr>
          <w:rFonts w:cs="Arial"/>
          <w:color w:val="5B5B5F"/>
          <w:sz w:val="32"/>
          <w:szCs w:val="32"/>
        </w:rPr>
      </w:pPr>
      <w:r>
        <w:rPr>
          <w:rFonts w:cs="Arial"/>
          <w:color w:val="5B5B5F"/>
          <w:sz w:val="32"/>
          <w:szCs w:val="32"/>
        </w:rPr>
      </w:r>
    </w:p>
    <w:p>
      <w:pPr>
        <w:pStyle w:val="Normal"/>
        <w:rPr>
          <w:rFonts w:cs="Arial"/>
          <w:b/>
          <w:b/>
          <w:bCs/>
          <w:color w:val="405CA1"/>
          <w:sz w:val="32"/>
          <w:szCs w:val="32"/>
        </w:rPr>
      </w:pPr>
      <w:bookmarkStart w:id="0" w:name="_GoBack"/>
      <w:bookmarkEnd w:id="0"/>
      <w:r>
        <w:rPr>
          <w:rFonts w:cs="Arial"/>
          <w:b/>
          <w:bCs/>
          <w:color w:val="405CA1"/>
          <w:sz w:val="32"/>
          <w:szCs w:val="32"/>
        </w:rPr>
        <w:t>VALOR TOTAL DA CONTRATAÇÃO</w:t>
      </w:r>
    </w:p>
    <w:p>
      <w:pPr>
        <w:pStyle w:val="Normal"/>
        <w:rPr/>
      </w:pPr>
      <w:r>
        <w:rPr>
          <w:rFonts w:cs="Arial"/>
          <w:b/>
          <w:bCs/>
          <w:color w:val="666666"/>
          <w:sz w:val="28"/>
          <w:szCs w:val="28"/>
        </w:rPr>
        <w:t>ESTIMATIVA DE DESPESA CONCOMITANTE AO PROCESSO</w:t>
      </w:r>
    </w:p>
    <w:p>
      <w:pPr>
        <w:pStyle w:val="Normal"/>
        <w:rPr>
          <w:rFonts w:cs="Arial"/>
          <w:color w:val="5B5B5F"/>
          <w:sz w:val="32"/>
          <w:szCs w:val="32"/>
        </w:rPr>
      </w:pPr>
      <w:r>
        <w:rPr>
          <w:rFonts w:cs="Arial"/>
          <w:color w:val="5B5B5F"/>
          <w:sz w:val="32"/>
          <w:szCs w:val="32"/>
        </w:rPr>
      </w:r>
    </w:p>
    <w:p>
      <w:pPr>
        <w:pStyle w:val="Normal"/>
        <w:rPr>
          <w:rFonts w:cs="Arial"/>
          <w:b/>
          <w:b/>
          <w:bCs/>
          <w:color w:val="405CA1"/>
          <w:sz w:val="32"/>
          <w:szCs w:val="32"/>
        </w:rPr>
      </w:pPr>
      <w:r>
        <w:rPr>
          <w:rFonts w:cs="Arial"/>
          <w:b/>
          <w:bCs/>
          <w:color w:val="405CA1"/>
          <w:sz w:val="32"/>
          <w:szCs w:val="32"/>
        </w:rPr>
        <w:t xml:space="preserve">PERÍODO DE PROPOSTAS </w:t>
      </w:r>
    </w:p>
    <w:p>
      <w:pPr>
        <w:pStyle w:val="Normal"/>
        <w:rPr/>
      </w:pPr>
      <w:r>
        <w:rPr>
          <w:rFonts w:cs="Arial"/>
          <w:b/>
          <w:bCs/>
          <w:color w:val="666666"/>
          <w:sz w:val="28"/>
          <w:szCs w:val="28"/>
        </w:rPr>
        <w:t xml:space="preserve">De 18/01/2023 às 8h </w:t>
      </w:r>
    </w:p>
    <w:p>
      <w:pPr>
        <w:pStyle w:val="Normal"/>
        <w:rPr/>
      </w:pPr>
      <w:r>
        <w:rPr>
          <w:rFonts w:cs="Arial"/>
          <w:b/>
          <w:bCs/>
          <w:color w:val="666666"/>
          <w:sz w:val="28"/>
          <w:szCs w:val="28"/>
        </w:rPr>
        <w:t>Até 24/01/2023 às 8h</w:t>
      </w:r>
    </w:p>
    <w:p>
      <w:pPr>
        <w:pStyle w:val="Normal"/>
        <w:rPr>
          <w:rFonts w:cs="Arial"/>
          <w:color w:val="5B5B5F"/>
          <w:sz w:val="32"/>
          <w:szCs w:val="32"/>
        </w:rPr>
      </w:pPr>
      <w:r>
        <w:rPr>
          <w:rFonts w:cs="Arial"/>
          <w:color w:val="5B5B5F"/>
          <w:sz w:val="32"/>
          <w:szCs w:val="32"/>
        </w:rPr>
      </w:r>
    </w:p>
    <w:p>
      <w:pPr>
        <w:pStyle w:val="Normal"/>
        <w:rPr>
          <w:rFonts w:cs="Arial"/>
          <w:b/>
          <w:b/>
          <w:bCs/>
          <w:color w:val="405CA1"/>
          <w:sz w:val="32"/>
          <w:szCs w:val="32"/>
        </w:rPr>
      </w:pPr>
      <w:r>
        <w:rPr>
          <w:rFonts w:cs="Arial"/>
          <w:b/>
          <w:bCs/>
          <w:color w:val="405CA1"/>
          <w:sz w:val="32"/>
          <w:szCs w:val="32"/>
        </w:rPr>
        <w:t>PERÍODO DE LANCES</w:t>
      </w:r>
    </w:p>
    <w:p>
      <w:pPr>
        <w:pStyle w:val="Normal"/>
        <w:rPr/>
      </w:pPr>
      <w:r>
        <w:rPr>
          <w:rFonts w:cs="Arial"/>
          <w:b/>
          <w:bCs/>
          <w:color w:val="666666"/>
          <w:sz w:val="28"/>
          <w:szCs w:val="28"/>
        </w:rPr>
        <w:t>De 24/01/2023 às 8h</w:t>
      </w:r>
    </w:p>
    <w:p>
      <w:pPr>
        <w:pStyle w:val="Normal"/>
        <w:rPr/>
      </w:pPr>
      <w:r>
        <w:rPr>
          <w:rFonts w:cs="Arial"/>
          <w:b/>
          <w:bCs/>
          <w:color w:val="666666"/>
          <w:sz w:val="28"/>
          <w:szCs w:val="28"/>
        </w:rPr>
        <w:t>Até 24/01/2023 às 14h</w:t>
      </w:r>
    </w:p>
    <w:p>
      <w:pPr>
        <w:pStyle w:val="Normal"/>
        <w:rPr>
          <w:rFonts w:cs="Arial"/>
          <w:b/>
          <w:b/>
          <w:bCs/>
          <w:color w:val="405CA1"/>
          <w:sz w:val="32"/>
          <w:szCs w:val="32"/>
        </w:rPr>
      </w:pPr>
      <w:r>
        <w:rPr>
          <w:rFonts w:cs="Arial"/>
          <w:b/>
          <w:bCs/>
          <w:color w:val="405CA1"/>
          <w:sz w:val="32"/>
          <w:szCs w:val="32"/>
        </w:rPr>
      </w:r>
    </w:p>
    <w:p>
      <w:pPr>
        <w:pStyle w:val="Normal"/>
        <w:rPr>
          <w:rFonts w:cs="Arial"/>
          <w:b/>
          <w:b/>
          <w:bCs/>
          <w:color w:val="405CA1"/>
          <w:sz w:val="32"/>
          <w:szCs w:val="32"/>
        </w:rPr>
      </w:pPr>
      <w:r>
        <w:rPr>
          <w:rFonts w:cs="Arial"/>
          <w:b/>
          <w:bCs/>
          <w:color w:val="405CA1"/>
          <w:sz w:val="32"/>
          <w:szCs w:val="32"/>
        </w:rPr>
        <w:t>PREFERÊNCIA ME/EPP/EQUIPARADAS</w:t>
      </w:r>
    </w:p>
    <w:p>
      <w:pPr>
        <w:pStyle w:val="Normal"/>
        <w:rPr/>
      </w:pPr>
      <w:r>
        <w:rPr>
          <w:rFonts w:cs="Arial"/>
          <w:b/>
          <w:bCs/>
          <w:color w:val="666666"/>
          <w:sz w:val="28"/>
          <w:szCs w:val="28"/>
        </w:rPr>
        <w:t>SIM</w:t>
      </w:r>
    </w:p>
    <w:p>
      <w:pPr>
        <w:pStyle w:val="Normal"/>
        <w:spacing w:lineRule="auto" w:line="259" w:before="0" w:after="160"/>
        <w:rPr>
          <w:rFonts w:ascii="Rawline" w:hAnsi="Rawline" w:cs="Arial"/>
          <w:color w:val="FF0000"/>
          <w:sz w:val="22"/>
          <w:szCs w:val="22"/>
        </w:rPr>
      </w:pPr>
      <w:r>
        <w:rPr>
          <w:rFonts w:cs="Arial" w:ascii="Rawline" w:hAnsi="Rawline"/>
          <w:color w:val="FF0000"/>
          <w:sz w:val="22"/>
          <w:szCs w:val="22"/>
        </w:rPr>
      </w:r>
    </w:p>
    <w:p>
      <w:pPr>
        <w:pStyle w:val="Normal"/>
        <w:spacing w:lineRule="auto" w:line="276"/>
        <w:jc w:val="center"/>
        <w:rPr>
          <w:rFonts w:ascii="Rawline" w:hAnsi="Rawline" w:cs="Arial"/>
          <w:color w:val="FF0000"/>
          <w:sz w:val="22"/>
          <w:szCs w:val="22"/>
        </w:rPr>
      </w:pPr>
      <w:r>
        <w:rPr>
          <w:rFonts w:cs="Arial" w:ascii="Rawline" w:hAnsi="Rawline"/>
          <w:color w:val="FF0000"/>
          <w:sz w:val="22"/>
          <w:szCs w:val="22"/>
        </w:rPr>
      </w:r>
    </w:p>
    <w:p>
      <w:pPr>
        <w:pStyle w:val="Normal"/>
        <w:spacing w:lineRule="auto" w:line="259" w:before="0" w:after="160"/>
        <w:rPr>
          <w:rFonts w:ascii="Rawline" w:hAnsi="Rawline" w:cs="Arial"/>
          <w:color w:val="FF0000"/>
          <w:sz w:val="22"/>
          <w:szCs w:val="22"/>
        </w:rPr>
      </w:pPr>
      <w:r>
        <w:rPr>
          <w:rFonts w:cs="Arial" w:ascii="Rawline" w:hAnsi="Rawline"/>
          <w:color w:val="FF0000"/>
          <w:sz w:val="22"/>
          <w:szCs w:val="22"/>
        </w:rPr>
      </w:r>
      <w:r>
        <w:br w:type="page"/>
      </w:r>
    </w:p>
    <w:sdt>
      <w:sdtPr>
        <w:docPartObj>
          <w:docPartGallery w:val="Table of Contents"/>
          <w:docPartUnique w:val="true"/>
        </w:docPartObj>
        <w:id w:val="1801928340"/>
      </w:sdtPr>
      <w:sdtContent>
        <w:p>
          <w:pPr>
            <w:pStyle w:val="TOCHeading"/>
            <w:rPr>
              <w:rFonts w:ascii="Arial" w:hAnsi="Arial" w:cs="Arial"/>
              <w:sz w:val="22"/>
              <w:szCs w:val="22"/>
            </w:rPr>
          </w:pPr>
          <w:r>
            <w:rPr>
              <w:rFonts w:cs="Arial" w:ascii="Arial" w:hAnsi="Arial"/>
              <w:sz w:val="22"/>
              <w:szCs w:val="22"/>
            </w:rPr>
            <w:t>Sumário</w:t>
          </w:r>
        </w:p>
        <w:p>
          <w:pPr>
            <w:pStyle w:val="Normal"/>
            <w:rPr/>
          </w:pPr>
          <w:r>
            <w:rPr/>
          </w:r>
        </w:p>
        <w:p>
          <w:pPr>
            <w:pStyle w:val="Sumrio1"/>
            <w:tabs>
              <w:tab w:val="left" w:pos="440" w:leader="none"/>
              <w:tab w:val="right" w:pos="9736" w:leader="dot"/>
            </w:tabs>
            <w:rPr>
              <w:rFonts w:eastAsia="" w:cs="Arial" w:eastAsiaTheme="minorEastAsia"/>
              <w:sz w:val="22"/>
              <w:szCs w:val="22"/>
            </w:rPr>
          </w:pPr>
          <w:r>
            <w:fldChar w:fldCharType="begin"/>
          </w:r>
          <w:r>
            <w:instrText> TOC \z \o "1-3" \u \h</w:instrText>
          </w:r>
          <w:r>
            <w:fldChar w:fldCharType="separate"/>
          </w:r>
          <w:hyperlink w:anchor="_Toc104906818">
            <w:r>
              <w:rPr>
                <w:webHidden/>
                <w:rStyle w:val="Vnculodendice"/>
                <w:rFonts w:eastAsia="Calibri" w:cs="Arial"/>
                <w:b/>
                <w:vanish w:val="false"/>
                <w:sz w:val="22"/>
                <w:szCs w:val="22"/>
              </w:rPr>
              <w:t>1.</w:t>
            </w:r>
            <w:r>
              <w:rPr>
                <w:rStyle w:val="Vnculodendice"/>
                <w:rFonts w:eastAsia="" w:cs="Arial" w:eastAsiaTheme="minorEastAsia"/>
                <w:sz w:val="22"/>
                <w:szCs w:val="22"/>
              </w:rPr>
              <w:tab/>
            </w:r>
            <w:r>
              <w:rPr>
                <w:rStyle w:val="Vnculodendice"/>
                <w:rFonts w:eastAsia="Calibri" w:cs="Arial"/>
                <w:sz w:val="22"/>
                <w:szCs w:val="22"/>
              </w:rPr>
              <w:t>OBJETO DA CONTRATAÇÃO DIRETA</w:t>
            </w:r>
            <w:r>
              <w:rPr>
                <w:webHidden/>
              </w:rPr>
              <w:fldChar w:fldCharType="begin"/>
            </w:r>
            <w:r>
              <w:rPr>
                <w:webHidden/>
              </w:rPr>
              <w:instrText>PAGEREF _Toc104906818 \h</w:instrText>
            </w:r>
            <w:r>
              <w:rPr>
                <w:webHidden/>
              </w:rPr>
              <w:fldChar w:fldCharType="separate"/>
            </w:r>
            <w:r>
              <w:rPr>
                <w:rStyle w:val="Vnculodendice"/>
                <w:rFonts w:cs="Arial"/>
                <w:vanish w:val="false"/>
                <w:sz w:val="22"/>
                <w:szCs w:val="22"/>
              </w:rPr>
              <w:tab/>
              <w:t>3</w:t>
            </w:r>
            <w:r>
              <w:rPr>
                <w:webHidden/>
              </w:rPr>
              <w:fldChar w:fldCharType="end"/>
            </w:r>
          </w:hyperlink>
        </w:p>
        <w:p>
          <w:pPr>
            <w:pStyle w:val="Sumrio1"/>
            <w:tabs>
              <w:tab w:val="left" w:pos="440" w:leader="none"/>
              <w:tab w:val="right" w:pos="9736" w:leader="dot"/>
            </w:tabs>
            <w:rPr/>
          </w:pPr>
          <w:hyperlink w:anchor="_Toc104906819">
            <w:r>
              <w:rPr>
                <w:webHidden/>
                <w:rStyle w:val="Vnculodendice"/>
                <w:rFonts w:eastAsia="Calibri" w:cs="Arial"/>
                <w:b/>
                <w:vanish w:val="false"/>
                <w:sz w:val="22"/>
                <w:szCs w:val="22"/>
              </w:rPr>
              <w:t>2.</w:t>
            </w:r>
            <w:r>
              <w:rPr>
                <w:rStyle w:val="Vnculodendice"/>
                <w:rFonts w:eastAsia="" w:cs="Arial" w:eastAsiaTheme="minorEastAsia"/>
                <w:sz w:val="22"/>
                <w:szCs w:val="22"/>
              </w:rPr>
              <w:tab/>
            </w:r>
            <w:r>
              <w:rPr>
                <w:rStyle w:val="Vnculodendice"/>
                <w:rFonts w:eastAsia="Calibri" w:cs="Arial"/>
                <w:sz w:val="22"/>
                <w:szCs w:val="22"/>
              </w:rPr>
              <w:t>PARTICIPAÇÃO NA DISPENSA ELETRÔNICA.</w:t>
            </w:r>
            <w:r>
              <w:rPr>
                <w:rStyle w:val="Vnculodendice"/>
                <w:rFonts w:cs="Arial"/>
                <w:vanish w:val="false"/>
                <w:sz w:val="22"/>
                <w:szCs w:val="22"/>
              </w:rPr>
              <w:tab/>
            </w:r>
          </w:hyperlink>
          <w:r>
            <w:rPr>
              <w:rFonts w:eastAsia="" w:cs="Arial" w:eastAsiaTheme="minorEastAsia"/>
              <w:vanish w:val="false"/>
              <w:sz w:val="22"/>
              <w:szCs w:val="22"/>
            </w:rPr>
            <w:t>3</w:t>
          </w:r>
        </w:p>
        <w:p>
          <w:pPr>
            <w:pStyle w:val="Sumrio1"/>
            <w:tabs>
              <w:tab w:val="left" w:pos="440" w:leader="none"/>
              <w:tab w:val="right" w:pos="9736" w:leader="dot"/>
            </w:tabs>
            <w:rPr>
              <w:rFonts w:eastAsia="" w:cs="Arial" w:eastAsiaTheme="minorEastAsia"/>
              <w:sz w:val="22"/>
              <w:szCs w:val="22"/>
            </w:rPr>
          </w:pPr>
          <w:hyperlink w:anchor="_Toc104906820">
            <w:r>
              <w:rPr>
                <w:webHidden/>
                <w:rStyle w:val="Vnculodendice"/>
                <w:rFonts w:eastAsia="Calibri" w:cs="Arial"/>
                <w:b/>
                <w:vanish w:val="false"/>
                <w:sz w:val="22"/>
                <w:szCs w:val="22"/>
              </w:rPr>
              <w:t>3.</w:t>
            </w:r>
            <w:r>
              <w:rPr>
                <w:rStyle w:val="Vnculodendice"/>
                <w:rFonts w:eastAsia="" w:cs="Arial" w:eastAsiaTheme="minorEastAsia"/>
                <w:sz w:val="22"/>
                <w:szCs w:val="22"/>
              </w:rPr>
              <w:tab/>
            </w:r>
            <w:r>
              <w:rPr>
                <w:rStyle w:val="Vnculodendice"/>
                <w:rFonts w:eastAsia="Calibri" w:cs="Arial"/>
                <w:sz w:val="22"/>
                <w:szCs w:val="22"/>
              </w:rPr>
              <w:t>INGRESSO NA DISPENSA ELETRÔNICA E CADASTRAMENTO DA PROPOSTA INICIAL</w:t>
            </w:r>
            <w:r>
              <w:rPr>
                <w:webHidden/>
              </w:rPr>
              <w:fldChar w:fldCharType="begin"/>
            </w:r>
            <w:r>
              <w:rPr>
                <w:webHidden/>
              </w:rPr>
              <w:instrText>PAGEREF _Toc104906820 \h</w:instrText>
            </w:r>
            <w:r>
              <w:rPr>
                <w:webHidden/>
              </w:rPr>
              <w:fldChar w:fldCharType="separate"/>
            </w:r>
            <w:r>
              <w:rPr>
                <w:rStyle w:val="Vnculodendice"/>
                <w:rFonts w:cs="Arial"/>
                <w:vanish w:val="false"/>
                <w:sz w:val="22"/>
                <w:szCs w:val="22"/>
              </w:rPr>
              <w:tab/>
              <w:t>5</w:t>
            </w:r>
            <w:r>
              <w:rPr>
                <w:webHidden/>
              </w:rPr>
              <w:fldChar w:fldCharType="end"/>
            </w:r>
          </w:hyperlink>
        </w:p>
        <w:p>
          <w:pPr>
            <w:pStyle w:val="Sumrio1"/>
            <w:tabs>
              <w:tab w:val="left" w:pos="440" w:leader="none"/>
              <w:tab w:val="right" w:pos="9736" w:leader="dot"/>
            </w:tabs>
            <w:rPr/>
          </w:pPr>
          <w:hyperlink w:anchor="_Toc104906821">
            <w:r>
              <w:rPr>
                <w:webHidden/>
                <w:rStyle w:val="Vnculodendice"/>
                <w:rFonts w:eastAsia="Calibri" w:cs="Arial"/>
                <w:b/>
                <w:vanish w:val="false"/>
                <w:sz w:val="22"/>
                <w:szCs w:val="22"/>
              </w:rPr>
              <w:t>4.</w:t>
            </w:r>
            <w:r>
              <w:rPr>
                <w:rStyle w:val="Vnculodendice"/>
                <w:rFonts w:eastAsia="" w:cs="Arial" w:eastAsiaTheme="minorEastAsia"/>
                <w:sz w:val="22"/>
                <w:szCs w:val="22"/>
              </w:rPr>
              <w:tab/>
            </w:r>
            <w:r>
              <w:rPr>
                <w:rStyle w:val="Vnculodendice"/>
                <w:rFonts w:eastAsia="Calibri" w:cs="Arial"/>
                <w:sz w:val="22"/>
                <w:szCs w:val="22"/>
              </w:rPr>
              <w:t>FASE DE LANCES</w:t>
            </w:r>
            <w:r>
              <w:rPr>
                <w:rStyle w:val="Vnculodendice"/>
                <w:rFonts w:cs="Arial"/>
                <w:vanish w:val="false"/>
                <w:sz w:val="22"/>
                <w:szCs w:val="22"/>
              </w:rPr>
              <w:tab/>
            </w:r>
          </w:hyperlink>
          <w:r>
            <w:rPr>
              <w:rFonts w:eastAsia="" w:cs="Arial" w:eastAsiaTheme="minorEastAsia"/>
              <w:vanish w:val="false"/>
              <w:sz w:val="22"/>
              <w:szCs w:val="22"/>
            </w:rPr>
            <w:t>7</w:t>
          </w:r>
        </w:p>
        <w:p>
          <w:pPr>
            <w:pStyle w:val="Sumrio1"/>
            <w:tabs>
              <w:tab w:val="left" w:pos="440" w:leader="none"/>
              <w:tab w:val="right" w:pos="9736" w:leader="dot"/>
            </w:tabs>
            <w:rPr/>
          </w:pPr>
          <w:hyperlink w:anchor="_Toc104906822">
            <w:r>
              <w:rPr>
                <w:webHidden/>
                <w:rStyle w:val="Vnculodendice"/>
                <w:rFonts w:eastAsia="Calibri" w:cs="Arial"/>
                <w:b/>
                <w:vanish w:val="false"/>
                <w:sz w:val="22"/>
                <w:szCs w:val="22"/>
              </w:rPr>
              <w:t>5.</w:t>
            </w:r>
            <w:r>
              <w:rPr>
                <w:rStyle w:val="Vnculodendice"/>
                <w:rFonts w:eastAsia="" w:cs="Arial" w:eastAsiaTheme="minorEastAsia"/>
                <w:sz w:val="22"/>
                <w:szCs w:val="22"/>
              </w:rPr>
              <w:tab/>
            </w:r>
            <w:r>
              <w:rPr>
                <w:rStyle w:val="Vnculodendice"/>
                <w:rFonts w:eastAsia="Calibri" w:cs="Arial"/>
                <w:sz w:val="22"/>
                <w:szCs w:val="22"/>
              </w:rPr>
              <w:t>JULGAMENTO DAS PROPOSTAS DE PREÇO</w:t>
            </w:r>
            <w:r>
              <w:rPr>
                <w:rStyle w:val="Vnculodendice"/>
                <w:rFonts w:cs="Arial"/>
                <w:vanish w:val="false"/>
                <w:sz w:val="22"/>
                <w:szCs w:val="22"/>
              </w:rPr>
              <w:tab/>
            </w:r>
          </w:hyperlink>
          <w:r>
            <w:rPr>
              <w:rFonts w:eastAsia="" w:cs="Arial" w:eastAsiaTheme="minorEastAsia"/>
              <w:vanish w:val="false"/>
              <w:sz w:val="22"/>
              <w:szCs w:val="22"/>
            </w:rPr>
            <w:t>7</w:t>
          </w:r>
        </w:p>
        <w:p>
          <w:pPr>
            <w:pStyle w:val="Sumrio1"/>
            <w:tabs>
              <w:tab w:val="left" w:pos="440" w:leader="none"/>
              <w:tab w:val="right" w:pos="9736" w:leader="dot"/>
            </w:tabs>
            <w:rPr/>
          </w:pPr>
          <w:hyperlink w:anchor="_Toc104906823">
            <w:r>
              <w:rPr>
                <w:webHidden/>
                <w:rStyle w:val="Vnculodendice"/>
                <w:rFonts w:eastAsia="Calibri" w:cs="Arial"/>
                <w:b/>
                <w:vanish w:val="false"/>
                <w:sz w:val="22"/>
                <w:szCs w:val="22"/>
              </w:rPr>
              <w:t>6.</w:t>
            </w:r>
            <w:r>
              <w:rPr>
                <w:rStyle w:val="Vnculodendice"/>
                <w:rFonts w:eastAsia="" w:cs="Arial" w:eastAsiaTheme="minorEastAsia"/>
                <w:sz w:val="22"/>
                <w:szCs w:val="22"/>
              </w:rPr>
              <w:tab/>
            </w:r>
            <w:r>
              <w:rPr>
                <w:rStyle w:val="Vnculodendice"/>
                <w:rFonts w:eastAsia="Calibri" w:cs="Arial"/>
                <w:sz w:val="22"/>
                <w:szCs w:val="22"/>
              </w:rPr>
              <w:t>HABILITAÇÃO</w:t>
            </w:r>
            <w:r>
              <w:rPr>
                <w:rStyle w:val="Vnculodendice"/>
                <w:rFonts w:cs="Arial"/>
                <w:vanish w:val="false"/>
                <w:sz w:val="22"/>
                <w:szCs w:val="22"/>
              </w:rPr>
              <w:tab/>
            </w:r>
          </w:hyperlink>
          <w:r>
            <w:rPr>
              <w:rFonts w:cs="Arial"/>
              <w:vanish w:val="false"/>
              <w:sz w:val="22"/>
              <w:szCs w:val="22"/>
            </w:rPr>
            <w:t>9</w:t>
          </w:r>
        </w:p>
        <w:p>
          <w:pPr>
            <w:pStyle w:val="Sumrio1"/>
            <w:tabs>
              <w:tab w:val="left" w:pos="440" w:leader="none"/>
              <w:tab w:val="right" w:pos="9736" w:leader="dot"/>
            </w:tabs>
            <w:rPr/>
          </w:pPr>
          <w:hyperlink w:anchor="_Toc104906824">
            <w:r>
              <w:rPr>
                <w:webHidden/>
                <w:rStyle w:val="Vnculodendice"/>
                <w:rFonts w:eastAsia="Calibri" w:cs="Arial"/>
                <w:b/>
                <w:vanish w:val="false"/>
                <w:sz w:val="22"/>
                <w:szCs w:val="22"/>
              </w:rPr>
              <w:t>7.</w:t>
            </w:r>
            <w:r>
              <w:rPr>
                <w:rStyle w:val="Vnculodendice"/>
                <w:rFonts w:eastAsia="" w:cs="Arial" w:eastAsiaTheme="minorEastAsia"/>
                <w:sz w:val="22"/>
                <w:szCs w:val="22"/>
              </w:rPr>
              <w:tab/>
            </w:r>
            <w:r>
              <w:rPr>
                <w:rStyle w:val="Vnculodendice"/>
                <w:rFonts w:eastAsia="Calibri" w:cs="Arial"/>
                <w:sz w:val="22"/>
                <w:szCs w:val="22"/>
              </w:rPr>
              <w:t>CONTRATAÇÃO</w:t>
            </w:r>
            <w:r>
              <w:rPr>
                <w:rStyle w:val="Vnculodendice"/>
                <w:rFonts w:cs="Arial"/>
                <w:vanish w:val="false"/>
                <w:sz w:val="22"/>
                <w:szCs w:val="22"/>
              </w:rPr>
              <w:tab/>
              <w:t>1</w:t>
            </w:r>
          </w:hyperlink>
          <w:r>
            <w:rPr>
              <w:rFonts w:eastAsia="" w:cs="Arial" w:eastAsiaTheme="minorEastAsia"/>
              <w:vanish w:val="false"/>
              <w:sz w:val="22"/>
              <w:szCs w:val="22"/>
            </w:rPr>
            <w:t>1</w:t>
          </w:r>
        </w:p>
        <w:p>
          <w:pPr>
            <w:pStyle w:val="Sumrio1"/>
            <w:tabs>
              <w:tab w:val="left" w:pos="440" w:leader="none"/>
              <w:tab w:val="right" w:pos="9736" w:leader="dot"/>
            </w:tabs>
            <w:rPr/>
          </w:pPr>
          <w:hyperlink w:anchor="_Toc104906825">
            <w:r>
              <w:rPr>
                <w:webHidden/>
                <w:rStyle w:val="Vnculodendice"/>
                <w:rFonts w:eastAsia="Calibri" w:cs="Arial"/>
                <w:b/>
                <w:vanish w:val="false"/>
                <w:sz w:val="22"/>
                <w:szCs w:val="22"/>
              </w:rPr>
              <w:t>8.</w:t>
            </w:r>
            <w:r>
              <w:rPr>
                <w:rStyle w:val="Vnculodendice"/>
                <w:rFonts w:eastAsia="" w:cs="Arial" w:eastAsiaTheme="minorEastAsia"/>
                <w:sz w:val="22"/>
                <w:szCs w:val="22"/>
              </w:rPr>
              <w:tab/>
            </w:r>
            <w:r>
              <w:rPr>
                <w:rStyle w:val="Vnculodendice"/>
                <w:rFonts w:eastAsia="Calibri" w:cs="Arial"/>
                <w:sz w:val="22"/>
                <w:szCs w:val="22"/>
              </w:rPr>
              <w:t>SANÇÕES</w:t>
            </w:r>
            <w:r>
              <w:rPr>
                <w:rStyle w:val="Vnculodendice"/>
                <w:rFonts w:cs="Arial"/>
                <w:vanish w:val="false"/>
                <w:sz w:val="22"/>
                <w:szCs w:val="22"/>
              </w:rPr>
              <w:tab/>
              <w:t>1</w:t>
            </w:r>
          </w:hyperlink>
          <w:r>
            <w:rPr>
              <w:rFonts w:cs="Arial"/>
              <w:vanish w:val="false"/>
              <w:sz w:val="22"/>
              <w:szCs w:val="22"/>
            </w:rPr>
            <w:t>2</w:t>
          </w:r>
        </w:p>
        <w:p>
          <w:pPr>
            <w:pStyle w:val="Sumrio1"/>
            <w:tabs>
              <w:tab w:val="left" w:pos="440" w:leader="none"/>
              <w:tab w:val="right" w:pos="9736" w:leader="dot"/>
            </w:tabs>
            <w:rPr/>
          </w:pPr>
          <w:hyperlink w:anchor="_Toc104906826">
            <w:bookmarkStart w:id="1" w:name="__DdeLink__1385_109897883"/>
            <w:r>
              <w:rPr>
                <w:webHidden/>
                <w:rStyle w:val="Vnculodendice"/>
                <w:rFonts w:eastAsia="Calibri" w:cs="Arial"/>
                <w:b/>
                <w:vanish w:val="false"/>
                <w:sz w:val="22"/>
                <w:szCs w:val="22"/>
              </w:rPr>
              <w:t>9.</w:t>
            </w:r>
            <w:r>
              <w:rPr>
                <w:rStyle w:val="Vnculodendice"/>
                <w:rFonts w:eastAsia="" w:cs="Arial" w:eastAsiaTheme="minorEastAsia"/>
                <w:sz w:val="22"/>
                <w:szCs w:val="22"/>
              </w:rPr>
              <w:tab/>
            </w:r>
            <w:r>
              <w:rPr>
                <w:rStyle w:val="Vnculodendice"/>
                <w:rFonts w:eastAsia="Calibri" w:cs="Arial"/>
                <w:sz w:val="22"/>
                <w:szCs w:val="22"/>
              </w:rPr>
              <w:t>DAS DISPOSIÇÕES GERAIS</w:t>
            </w:r>
            <w:r>
              <w:rPr>
                <w:rStyle w:val="Vnculodendice"/>
                <w:rFonts w:cs="Arial"/>
                <w:vanish w:val="false"/>
                <w:sz w:val="22"/>
                <w:szCs w:val="22"/>
              </w:rPr>
              <w:tab/>
              <w:t>1</w:t>
            </w:r>
          </w:hyperlink>
          <w:bookmarkEnd w:id="1"/>
          <w:r>
            <w:rPr>
              <w:rFonts w:cs="Arial"/>
              <w:vanish w:val="false"/>
              <w:sz w:val="22"/>
              <w:szCs w:val="22"/>
            </w:rPr>
            <w:t>4</w:t>
          </w:r>
        </w:p>
        <w:p>
          <w:pPr>
            <w:pStyle w:val="Sumrio1"/>
            <w:tabs>
              <w:tab w:val="left" w:pos="440" w:leader="none"/>
              <w:tab w:val="right" w:pos="9736" w:leader="dot"/>
            </w:tabs>
            <w:rPr/>
          </w:pPr>
          <w:r>
            <w:rPr>
              <w:rStyle w:val="Vnculodendice"/>
              <w:rFonts w:eastAsia="Calibri" w:cs="Arial"/>
              <w:b/>
              <w:vanish w:val="false"/>
              <w:sz w:val="22"/>
              <w:szCs w:val="22"/>
            </w:rPr>
            <w:t>10</w:t>
          </w:r>
          <w:hyperlink w:anchor="_Toc104906826">
            <w:r>
              <w:rPr>
                <w:webHidden/>
                <w:rStyle w:val="Vnculodendice"/>
                <w:rFonts w:eastAsia="Calibri" w:cs="Arial"/>
                <w:b/>
                <w:vanish w:val="false"/>
                <w:sz w:val="22"/>
                <w:szCs w:val="22"/>
              </w:rPr>
              <w:t>.</w:t>
            </w:r>
            <w:r>
              <w:rPr>
                <w:rStyle w:val="Vnculodendice"/>
                <w:rFonts w:eastAsia="" w:cs="Arial" w:eastAsiaTheme="minorEastAsia"/>
                <w:sz w:val="22"/>
                <w:szCs w:val="22"/>
              </w:rPr>
              <w:tab/>
            </w:r>
            <w:r>
              <w:rPr>
                <w:rStyle w:val="Vnculodendice"/>
                <w:rFonts w:eastAsia="Calibri" w:cs="Arial"/>
                <w:sz w:val="22"/>
                <w:szCs w:val="22"/>
              </w:rPr>
              <w:t>ANEXO I</w:t>
            </w:r>
            <w:r>
              <w:rPr>
                <w:rStyle w:val="Vnculodendice"/>
                <w:rFonts w:cs="Arial"/>
                <w:vanish w:val="false"/>
                <w:sz w:val="22"/>
                <w:szCs w:val="22"/>
              </w:rPr>
              <w:tab/>
              <w:t>1</w:t>
            </w:r>
          </w:hyperlink>
          <w:r>
            <w:rPr>
              <w:rFonts w:cs="Arial"/>
              <w:vanish w:val="false"/>
              <w:sz w:val="22"/>
              <w:szCs w:val="22"/>
            </w:rPr>
            <w:t>6</w:t>
          </w:r>
          <w:r>
            <w:fldChar w:fldCharType="end"/>
          </w:r>
        </w:p>
      </w:sdtContent>
    </w:sdt>
    <w:p>
      <w:pPr>
        <w:pStyle w:val="Ttulo1"/>
        <w:rPr>
          <w:rFonts w:cs="Arial"/>
          <w:b/>
          <w:b/>
          <w:bCs/>
          <w:i/>
          <w:i/>
          <w:iCs/>
          <w:color w:val="FF0000"/>
          <w:sz w:val="24"/>
        </w:rPr>
      </w:pPr>
      <w:r>
        <w:rPr>
          <w:rFonts w:cs="Arial"/>
          <w:b/>
          <w:bCs/>
          <w:i/>
          <w:iCs/>
          <w:color w:val="FF0000"/>
          <w:sz w:val="24"/>
        </w:rPr>
      </w:r>
      <w:r>
        <w:br w:type="page"/>
      </w:r>
    </w:p>
    <w:p>
      <w:pPr>
        <w:pStyle w:val="Normal"/>
        <w:spacing w:lineRule="auto" w:line="276"/>
        <w:jc w:val="center"/>
        <w:rPr>
          <w:rFonts w:ascii="Calibri" w:hAnsi="Calibri" w:cs="Arial"/>
          <w:b/>
          <w:b/>
          <w:bCs/>
          <w:i w:val="false"/>
          <w:i w:val="false"/>
          <w:iCs w:val="false"/>
          <w:color w:val="000000"/>
          <w:sz w:val="24"/>
          <w:szCs w:val="24"/>
        </w:rPr>
      </w:pPr>
      <w:r>
        <w:rPr/>
        <w:drawing>
          <wp:inline distT="0" distB="0" distL="0" distR="0">
            <wp:extent cx="718820" cy="721360"/>
            <wp:effectExtent l="0" t="0" r="0" b="0"/>
            <wp:docPr id="1" name="Figura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2" descr=""/>
                    <pic:cNvPicPr>
                      <a:picLocks noChangeAspect="1" noChangeArrowheads="1"/>
                    </pic:cNvPicPr>
                  </pic:nvPicPr>
                  <pic:blipFill>
                    <a:blip r:embed="rId2"/>
                    <a:srcRect l="-12" t="-12" r="-12" b="-12"/>
                    <a:stretch>
                      <a:fillRect/>
                    </a:stretch>
                  </pic:blipFill>
                  <pic:spPr bwMode="auto">
                    <a:xfrm>
                      <a:off x="0" y="0"/>
                      <a:ext cx="718820" cy="721360"/>
                    </a:xfrm>
                    <a:prstGeom prst="rect">
                      <a:avLst/>
                    </a:prstGeom>
                  </pic:spPr>
                </pic:pic>
              </a:graphicData>
            </a:graphic>
          </wp:inline>
        </w:drawing>
      </w:r>
    </w:p>
    <w:p>
      <w:pPr>
        <w:pStyle w:val="Normal"/>
        <w:spacing w:lineRule="auto" w:line="276"/>
        <w:jc w:val="center"/>
        <w:rPr>
          <w:rFonts w:ascii="Arial" w:hAnsi="Arial" w:cs="Arial"/>
          <w:b/>
          <w:b/>
          <w:bCs/>
          <w:i w:val="false"/>
          <w:i w:val="false"/>
          <w:iCs w:val="false"/>
          <w:color w:val="000000"/>
          <w:sz w:val="24"/>
          <w:szCs w:val="24"/>
        </w:rPr>
      </w:pPr>
      <w:r>
        <w:rPr>
          <w:rFonts w:cs="Arial"/>
          <w:b/>
          <w:bCs/>
          <w:i w:val="false"/>
          <w:iCs w:val="false"/>
          <w:color w:val="000000"/>
          <w:sz w:val="24"/>
          <w:szCs w:val="24"/>
        </w:rPr>
        <w:t>MARINHA DO BRASIL</w:t>
      </w:r>
    </w:p>
    <w:p>
      <w:pPr>
        <w:pStyle w:val="Normal"/>
        <w:spacing w:lineRule="auto" w:line="276"/>
        <w:jc w:val="center"/>
        <w:rPr>
          <w:rFonts w:ascii="Arial" w:hAnsi="Arial" w:cs="Arial"/>
          <w:b/>
          <w:b/>
          <w:bCs/>
          <w:i w:val="false"/>
          <w:i w:val="false"/>
          <w:iCs w:val="false"/>
          <w:color w:val="000000"/>
          <w:sz w:val="24"/>
          <w:szCs w:val="24"/>
        </w:rPr>
      </w:pPr>
      <w:r>
        <w:rPr>
          <w:rFonts w:cs="Arial"/>
          <w:b/>
          <w:bCs/>
          <w:i w:val="false"/>
          <w:iCs w:val="false"/>
          <w:color w:val="000000"/>
          <w:sz w:val="24"/>
          <w:szCs w:val="24"/>
        </w:rPr>
        <w:t>HOSPITAL NAVAL DE NATAL</w:t>
      </w:r>
    </w:p>
    <w:p>
      <w:pPr>
        <w:pStyle w:val="Normal"/>
        <w:spacing w:lineRule="auto" w:line="276"/>
        <w:jc w:val="center"/>
        <w:rPr>
          <w:rFonts w:ascii="Arial" w:hAnsi="Arial" w:cs="Arial"/>
          <w:b/>
          <w:b/>
          <w:bCs/>
          <w:i w:val="false"/>
          <w:i w:val="false"/>
          <w:iCs w:val="false"/>
          <w:color w:val="000000"/>
          <w:sz w:val="24"/>
          <w:szCs w:val="24"/>
        </w:rPr>
      </w:pPr>
      <w:r>
        <w:rPr>
          <w:rFonts w:cs="Arial"/>
          <w:b/>
          <w:bCs/>
          <w:i w:val="false"/>
          <w:iCs w:val="false"/>
          <w:color w:val="000000"/>
          <w:sz w:val="24"/>
          <w:szCs w:val="24"/>
        </w:rPr>
      </w:r>
    </w:p>
    <w:p>
      <w:pPr>
        <w:pStyle w:val="Normal"/>
        <w:spacing w:lineRule="auto" w:line="276"/>
        <w:jc w:val="center"/>
        <w:rPr>
          <w:rFonts w:ascii="Arial" w:hAnsi="Arial"/>
          <w:color w:val="000000"/>
        </w:rPr>
      </w:pPr>
      <w:r>
        <w:rPr>
          <w:rFonts w:cs="Arial" w:ascii="Arial" w:hAnsi="Arial"/>
          <w:b/>
          <w:bCs/>
          <w:i w:val="false"/>
          <w:iCs w:val="false"/>
          <w:color w:val="000000"/>
          <w:sz w:val="24"/>
          <w:szCs w:val="24"/>
        </w:rPr>
        <w:t xml:space="preserve">AVISO DE DISPENSA ELETRÔNICA Nº </w:t>
      </w:r>
      <w:r>
        <w:rPr>
          <w:rFonts w:cs="Arial" w:ascii="Arial" w:hAnsi="Arial"/>
          <w:b/>
          <w:bCs/>
          <w:i w:val="false"/>
          <w:iCs w:val="false"/>
          <w:color w:val="000000"/>
          <w:sz w:val="24"/>
          <w:szCs w:val="24"/>
        </w:rPr>
        <w:t>02</w:t>
      </w:r>
      <w:r>
        <w:rPr>
          <w:rFonts w:cs="Arial" w:ascii="Arial" w:hAnsi="Arial"/>
          <w:b/>
          <w:bCs/>
          <w:i w:val="false"/>
          <w:iCs w:val="false"/>
          <w:color w:val="000000"/>
          <w:sz w:val="24"/>
          <w:szCs w:val="24"/>
        </w:rPr>
        <w:t>/2023</w:t>
      </w:r>
    </w:p>
    <w:p>
      <w:pPr>
        <w:pStyle w:val="Normal"/>
        <w:spacing w:lineRule="auto" w:line="276" w:before="0" w:after="120"/>
        <w:ind w:left="0" w:right="0" w:hanging="0"/>
        <w:jc w:val="center"/>
        <w:rPr/>
      </w:pPr>
      <w:r>
        <w:rPr>
          <w:rFonts w:cs="Arial" w:ascii="Arial" w:hAnsi="Arial"/>
          <w:b/>
          <w:bCs/>
          <w:i w:val="false"/>
          <w:iCs w:val="false"/>
          <w:color w:val="000000"/>
          <w:sz w:val="24"/>
          <w:szCs w:val="24"/>
        </w:rPr>
        <w:t>(Processo Administrativo n.°</w:t>
      </w:r>
      <w:r>
        <w:rPr>
          <w:rStyle w:val="Nfaseforte"/>
          <w:rFonts w:eastAsia="Times New Roman" w:cs="Arial" w:ascii="Arial" w:hAnsi="Arial"/>
          <w:b/>
          <w:bCs/>
          <w:i w:val="false"/>
          <w:iCs/>
          <w:color w:val="000000"/>
          <w:kern w:val="2"/>
          <w:position w:val="0"/>
          <w:sz w:val="24"/>
          <w:sz w:val="24"/>
          <w:szCs w:val="24"/>
          <w:u w:val="none"/>
          <w:vertAlign w:val="baseline"/>
          <w:lang w:val="pt-BR" w:eastAsia="pt-BR" w:bidi="ar-SA"/>
        </w:rPr>
        <w:t xml:space="preserve"> </w:t>
      </w:r>
      <w:r>
        <w:rPr>
          <w:rStyle w:val="Nfaseforte"/>
          <w:rFonts w:eastAsia="Times New Roman" w:cs="Calibri" w:ascii="Arial" w:hAnsi="Arial"/>
          <w:i w:val="false"/>
          <w:iCs/>
          <w:color w:val="000000"/>
          <w:kern w:val="2"/>
          <w:position w:val="0"/>
          <w:sz w:val="24"/>
          <w:sz w:val="24"/>
          <w:szCs w:val="24"/>
          <w:u w:val="none"/>
          <w:vertAlign w:val="baseline"/>
          <w:lang w:val="pt-BR" w:eastAsia="pt-BR" w:bidi="ar-SA"/>
        </w:rPr>
        <w:t>63064.011832/2022-41</w:t>
      </w:r>
      <w:r>
        <w:rPr>
          <w:rStyle w:val="Nfaseforte"/>
          <w:rFonts w:cs="Arial" w:ascii="Arial" w:hAnsi="Arial"/>
          <w:i w:val="false"/>
          <w:iCs w:val="false"/>
          <w:color w:val="000000"/>
          <w:sz w:val="24"/>
        </w:rPr>
        <w:t>)</w:t>
      </w:r>
    </w:p>
    <w:p>
      <w:pPr>
        <w:pStyle w:val="Normal"/>
        <w:rPr>
          <w:rFonts w:ascii="Arial" w:hAnsi="Arial" w:cs="Arial"/>
          <w:color w:val="000000"/>
          <w:sz w:val="24"/>
        </w:rPr>
      </w:pPr>
      <w:r>
        <w:rPr>
          <w:rFonts w:cs="Arial" w:ascii="Arial" w:hAnsi="Arial"/>
          <w:color w:val="000000"/>
          <w:sz w:val="24"/>
        </w:rPr>
      </w:r>
    </w:p>
    <w:p>
      <w:pPr>
        <w:pStyle w:val="Normal"/>
        <w:snapToGrid w:val="false"/>
        <w:spacing w:lineRule="auto" w:line="276" w:before="0" w:after="120"/>
        <w:ind w:left="0" w:right="0" w:firstLine="540"/>
        <w:jc w:val="both"/>
        <w:rPr>
          <w:rFonts w:ascii="Arial" w:hAnsi="Arial"/>
          <w:sz w:val="24"/>
          <w:szCs w:val="24"/>
        </w:rPr>
      </w:pPr>
      <w:r>
        <w:rPr>
          <w:rFonts w:cs="Arial" w:ascii="Arial" w:hAnsi="Arial"/>
          <w:color w:val="000000"/>
          <w:sz w:val="24"/>
          <w:szCs w:val="24"/>
        </w:rPr>
        <w:t xml:space="preserve">Torna-se público que o Hospital Naval de Natal, por meio da Seção de Aquisições, realizará Dispensa Eletrônica, </w:t>
      </w:r>
      <w:r>
        <w:rPr>
          <w:rFonts w:cs="Arial" w:ascii="Arial" w:hAnsi="Arial"/>
          <w:bCs/>
          <w:color w:val="000000"/>
          <w:sz w:val="24"/>
          <w:szCs w:val="24"/>
        </w:rPr>
        <w:t>com critério de julgamento</w:t>
      </w:r>
      <w:r>
        <w:rPr>
          <w:rFonts w:cs="Arial" w:ascii="Arial" w:hAnsi="Arial"/>
          <w:b/>
          <w:bCs/>
          <w:i w:val="false"/>
          <w:iCs w:val="false"/>
          <w:color w:val="000000"/>
          <w:sz w:val="24"/>
          <w:szCs w:val="24"/>
        </w:rPr>
        <w:t xml:space="preserve"> </w:t>
      </w:r>
      <w:r>
        <w:rPr>
          <w:rFonts w:cs="Arial" w:ascii="Arial" w:hAnsi="Arial"/>
          <w:i w:val="false"/>
          <w:iCs w:val="false"/>
          <w:color w:val="000000"/>
          <w:sz w:val="24"/>
          <w:szCs w:val="24"/>
        </w:rPr>
        <w:t>menor preço</w:t>
      </w:r>
      <w:r>
        <w:rPr>
          <w:rFonts w:cs="Arial" w:ascii="Arial" w:hAnsi="Arial"/>
          <w:b w:val="false"/>
          <w:bCs w:val="false"/>
          <w:i w:val="false"/>
          <w:iCs w:val="false"/>
          <w:color w:val="000000"/>
          <w:sz w:val="24"/>
          <w:szCs w:val="24"/>
        </w:rPr>
        <w:t xml:space="preserve">, </w:t>
      </w:r>
      <w:r>
        <w:rPr>
          <w:rFonts w:cs="Arial" w:ascii="Arial" w:hAnsi="Arial"/>
          <w:b w:val="false"/>
          <w:bCs w:val="false"/>
          <w:color w:val="000000"/>
          <w:sz w:val="24"/>
          <w:szCs w:val="24"/>
        </w:rPr>
        <w:t>na hipótese do art. 75</w:t>
      </w:r>
      <w:r>
        <w:rPr>
          <w:rFonts w:cs="Arial" w:ascii="Arial" w:hAnsi="Arial"/>
          <w:b w:val="false"/>
          <w:bCs w:val="false"/>
          <w:i/>
          <w:iCs/>
          <w:color w:val="000000"/>
          <w:sz w:val="24"/>
          <w:szCs w:val="24"/>
        </w:rPr>
        <w:t xml:space="preserve">, </w:t>
      </w:r>
      <w:r>
        <w:rPr>
          <w:rFonts w:cs="Arial" w:ascii="Arial" w:hAnsi="Arial"/>
          <w:b w:val="false"/>
          <w:bCs w:val="false"/>
          <w:i w:val="false"/>
          <w:iCs w:val="false"/>
          <w:color w:val="000000"/>
          <w:sz w:val="24"/>
          <w:szCs w:val="24"/>
        </w:rPr>
        <w:t>inciso II</w:t>
      </w:r>
      <w:r>
        <w:rPr>
          <w:rFonts w:cs="Arial" w:ascii="Arial" w:hAnsi="Arial"/>
          <w:i w:val="false"/>
          <w:iCs w:val="false"/>
          <w:color w:val="000000"/>
          <w:sz w:val="24"/>
          <w:szCs w:val="24"/>
        </w:rPr>
        <w:t>,</w:t>
      </w:r>
      <w:r>
        <w:rPr>
          <w:rFonts w:cs="Arial" w:ascii="Arial" w:hAnsi="Arial"/>
          <w:color w:val="000000"/>
          <w:sz w:val="24"/>
          <w:szCs w:val="24"/>
        </w:rPr>
        <w:t xml:space="preserve"> </w:t>
      </w:r>
      <w:r>
        <w:rPr>
          <w:rFonts w:cs="Arial" w:ascii="Arial" w:hAnsi="Arial"/>
          <w:bCs/>
          <w:color w:val="000000"/>
          <w:sz w:val="24"/>
          <w:szCs w:val="24"/>
        </w:rPr>
        <w:t>nos termos da Lei nº 14.133, de 1º de abril de 2021, da Instrução Normativa SEGES/ME nº 67/2021 e demais legislação aplicável</w:t>
      </w:r>
      <w:r>
        <w:rPr>
          <w:rFonts w:cs="Arial" w:ascii="Arial" w:hAnsi="Arial"/>
          <w:color w:val="000000"/>
          <w:sz w:val="24"/>
          <w:szCs w:val="24"/>
        </w:rPr>
        <w:t>.</w:t>
      </w:r>
    </w:p>
    <w:p>
      <w:pPr>
        <w:pStyle w:val="Normal"/>
        <w:spacing w:lineRule="auto" w:line="276"/>
        <w:jc w:val="both"/>
        <w:rPr>
          <w:rFonts w:ascii="Arial" w:hAnsi="Arial" w:cs="Arial"/>
          <w:color w:val="000000"/>
          <w:sz w:val="24"/>
          <w:szCs w:val="24"/>
        </w:rPr>
      </w:pPr>
      <w:r>
        <w:rPr>
          <w:rFonts w:cs="Arial" w:ascii="Arial" w:hAnsi="Arial"/>
          <w:color w:val="000000"/>
          <w:sz w:val="24"/>
          <w:szCs w:val="24"/>
        </w:rPr>
      </w:r>
    </w:p>
    <w:p>
      <w:pPr>
        <w:pStyle w:val="Normal"/>
        <w:spacing w:lineRule="auto" w:line="276"/>
        <w:jc w:val="both"/>
        <w:rPr>
          <w:rFonts w:ascii="Arial" w:hAnsi="Arial"/>
          <w:color w:val="000000"/>
        </w:rPr>
      </w:pPr>
      <w:r>
        <w:rPr>
          <w:rFonts w:cs="Arial" w:ascii="Arial" w:hAnsi="Arial"/>
          <w:color w:val="000000"/>
          <w:sz w:val="24"/>
          <w:szCs w:val="24"/>
        </w:rPr>
        <w:t>Data da sessão: 24</w:t>
      </w:r>
      <w:r>
        <w:rPr>
          <w:rFonts w:cs="Arial" w:ascii="Arial" w:hAnsi="Arial"/>
          <w:color w:val="000000"/>
          <w:sz w:val="24"/>
          <w:szCs w:val="24"/>
        </w:rPr>
        <w:t xml:space="preserve"> de janeiro</w:t>
      </w:r>
      <w:r>
        <w:rPr>
          <w:rFonts w:cs="Arial" w:ascii="Arial" w:hAnsi="Arial"/>
          <w:color w:val="000000"/>
          <w:sz w:val="24"/>
          <w:szCs w:val="24"/>
        </w:rPr>
        <w:t xml:space="preserve"> de 2023</w:t>
      </w:r>
    </w:p>
    <w:p>
      <w:pPr>
        <w:pStyle w:val="Normal"/>
        <w:rPr>
          <w:rFonts w:ascii="Arial" w:hAnsi="Arial" w:cs="Arial"/>
          <w:color w:val="000000"/>
          <w:sz w:val="24"/>
          <w:szCs w:val="24"/>
        </w:rPr>
      </w:pPr>
      <w:r>
        <w:rPr>
          <w:rFonts w:cs="Arial" w:ascii="Arial" w:hAnsi="Arial"/>
          <w:color w:val="000000"/>
          <w:sz w:val="24"/>
          <w:szCs w:val="24"/>
        </w:rPr>
        <w:t>Link: Portal de Compras do Governo Federal – www.compras.gov.br</w:t>
      </w:r>
    </w:p>
    <w:p>
      <w:pPr>
        <w:pStyle w:val="Normal"/>
        <w:snapToGrid w:val="false"/>
        <w:spacing w:lineRule="auto" w:line="276" w:before="0" w:after="120"/>
        <w:ind w:right="-30" w:firstLine="540"/>
        <w:jc w:val="both"/>
        <w:rPr>
          <w:rFonts w:ascii="Arial" w:hAnsi="Arial"/>
          <w:color w:val="000000"/>
          <w:sz w:val="24"/>
          <w:szCs w:val="24"/>
        </w:rPr>
      </w:pPr>
      <w:r>
        <w:rPr>
          <w:rFonts w:cs="Arial" w:ascii="Arial" w:hAnsi="Arial"/>
          <w:i w:val="false"/>
          <w:iCs w:val="false"/>
          <w:color w:val="000000" w:themeColor="text1"/>
          <w:sz w:val="24"/>
          <w:szCs w:val="24"/>
        </w:rPr>
        <w:t>Horário da Fase de Lances: 8:00 às 14:00.</w:t>
      </w:r>
    </w:p>
    <w:p>
      <w:pPr>
        <w:pStyle w:val="Ttulo1"/>
        <w:numPr>
          <w:ilvl w:val="0"/>
          <w:numId w:val="1"/>
        </w:numPr>
        <w:rPr>
          <w:b/>
          <w:b/>
          <w:bCs/>
        </w:rPr>
      </w:pPr>
      <w:bookmarkStart w:id="2" w:name="_Toc104906818"/>
      <w:bookmarkEnd w:id="2"/>
      <w:r>
        <w:rPr>
          <w:rFonts w:cs="Arial" w:ascii="Arial" w:hAnsi="Arial"/>
          <w:b/>
          <w:bCs/>
          <w:color w:val="00000A"/>
          <w:sz w:val="24"/>
          <w:szCs w:val="24"/>
        </w:rPr>
        <w:t>OBJETO DA CONTRATAÇÃO DIRETA</w:t>
      </w:r>
    </w:p>
    <w:p>
      <w:pPr>
        <w:pStyle w:val="PADRO"/>
        <w:keepNext w:val="true"/>
        <w:widowControl/>
        <w:numPr>
          <w:ilvl w:val="1"/>
          <w:numId w:val="1"/>
        </w:numPr>
        <w:shd w:val="clear" w:color="auto" w:fill="auto"/>
        <w:spacing w:before="120" w:after="120"/>
        <w:rPr/>
      </w:pPr>
      <w:r>
        <w:rPr>
          <w:rFonts w:cs="Arial" w:ascii="Arial" w:hAnsi="Arial"/>
          <w:color w:val="000000" w:themeColor="text1"/>
          <w:sz w:val="24"/>
          <w:szCs w:val="24"/>
        </w:rPr>
        <w:t xml:space="preserve">O objeto da presente dispensa é a escolha da proposta mais vantajosa para a aquisição por dispensa de licitação de </w:t>
      </w:r>
      <w:r>
        <w:rPr>
          <w:rFonts w:cs="Arial" w:ascii="Arial" w:hAnsi="Arial"/>
          <w:color w:val="000000" w:themeColor="text1"/>
          <w:sz w:val="24"/>
          <w:szCs w:val="24"/>
        </w:rPr>
        <w:t>secante para máquina lava-louça</w:t>
      </w:r>
      <w:r>
        <w:rPr>
          <w:rFonts w:cs="Arial" w:ascii="Arial" w:hAnsi="Arial"/>
          <w:color w:val="000000" w:themeColor="text1"/>
          <w:sz w:val="24"/>
          <w:szCs w:val="24"/>
        </w:rPr>
        <w:t>, conforme condições, quantidades e exigências estabelecidas neste Aviso de Contratação Direta e seus anexos.</w:t>
      </w:r>
    </w:p>
    <w:p>
      <w:pPr>
        <w:pStyle w:val="PADRO"/>
        <w:keepNext w:val="true"/>
        <w:widowControl/>
        <w:numPr>
          <w:ilvl w:val="1"/>
          <w:numId w:val="1"/>
        </w:numPr>
        <w:shd w:val="clear" w:color="auto" w:fill="auto"/>
        <w:spacing w:before="120" w:after="120"/>
        <w:rPr/>
      </w:pPr>
      <w:r>
        <w:rPr>
          <w:rFonts w:cs="Arial" w:ascii="Arial" w:hAnsi="Arial"/>
          <w:i w:val="false"/>
          <w:iCs w:val="false"/>
          <w:color w:val="000000"/>
          <w:sz w:val="24"/>
          <w:szCs w:val="24"/>
        </w:rPr>
        <w:t>A aquisição será dividida em itens</w:t>
      </w:r>
      <w:r>
        <w:rPr>
          <w:rFonts w:cs="Arial" w:ascii="Arial" w:hAnsi="Arial"/>
          <w:b/>
          <w:bCs/>
          <w:i w:val="false"/>
          <w:iCs w:val="false"/>
          <w:color w:val="000000"/>
          <w:sz w:val="24"/>
          <w:szCs w:val="24"/>
        </w:rPr>
        <w:t>,</w:t>
      </w:r>
      <w:r>
        <w:rPr>
          <w:rFonts w:cs="Arial" w:ascii="Arial" w:hAnsi="Arial"/>
          <w:i w:val="false"/>
          <w:iCs w:val="false"/>
          <w:color w:val="000000"/>
          <w:sz w:val="24"/>
          <w:szCs w:val="24"/>
        </w:rPr>
        <w:t xml:space="preserve"> conforme tabela constante abaixo:</w:t>
      </w:r>
    </w:p>
    <w:tbl>
      <w:tblPr>
        <w:tblW w:w="9654" w:type="dxa"/>
        <w:jc w:val="left"/>
        <w:tblInd w:w="165"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93" w:type="dxa"/>
          <w:bottom w:w="0" w:type="dxa"/>
          <w:right w:w="108" w:type="dxa"/>
        </w:tblCellMar>
      </w:tblPr>
      <w:tblGrid>
        <w:gridCol w:w="750"/>
        <w:gridCol w:w="3615"/>
        <w:gridCol w:w="1273"/>
        <w:gridCol w:w="1637"/>
        <w:gridCol w:w="794"/>
        <w:gridCol w:w="1584"/>
      </w:tblGrid>
      <w:tr>
        <w:trPr/>
        <w:tc>
          <w:tcPr>
            <w:tcW w:w="75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3" w:type="dxa"/>
            </w:tcMar>
            <w:vAlign w:val="center"/>
          </w:tcPr>
          <w:p>
            <w:pPr>
              <w:pStyle w:val="Normal"/>
              <w:widowControl w:val="false"/>
              <w:suppressAutoHyphens w:val="true"/>
              <w:jc w:val="center"/>
              <w:rPr>
                <w:rFonts w:ascii="Calibri" w:hAnsi="Calibri" w:cs="Arial"/>
                <w:b/>
                <w:b/>
                <w:bCs/>
                <w:color w:val="000000"/>
                <w:sz w:val="24"/>
                <w:szCs w:val="24"/>
              </w:rPr>
            </w:pPr>
            <w:r>
              <w:rPr>
                <w:rFonts w:cs="Arial" w:ascii="Calibri" w:hAnsi="Calibri"/>
                <w:b/>
                <w:bCs/>
                <w:color w:val="000000"/>
                <w:sz w:val="24"/>
                <w:szCs w:val="24"/>
              </w:rPr>
              <w:t>ITEM</w:t>
            </w:r>
          </w:p>
        </w:tc>
        <w:tc>
          <w:tcPr>
            <w:tcW w:w="361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3" w:type="dxa"/>
            </w:tcMar>
            <w:vAlign w:val="center"/>
          </w:tcPr>
          <w:p>
            <w:pPr>
              <w:pStyle w:val="Normal"/>
              <w:jc w:val="center"/>
              <w:rPr>
                <w:rFonts w:ascii="Calibri" w:hAnsi="Calibri" w:cs="Arial"/>
                <w:b/>
                <w:b/>
                <w:bCs/>
                <w:color w:val="000000"/>
                <w:sz w:val="24"/>
                <w:szCs w:val="24"/>
              </w:rPr>
            </w:pPr>
            <w:r>
              <w:rPr>
                <w:rFonts w:cs="Arial" w:ascii="Calibri" w:hAnsi="Calibri"/>
                <w:b/>
                <w:bCs/>
                <w:color w:val="000000"/>
                <w:sz w:val="24"/>
                <w:szCs w:val="24"/>
              </w:rPr>
              <w:t>DESCRIÇÃO/</w:t>
            </w:r>
          </w:p>
          <w:p>
            <w:pPr>
              <w:pStyle w:val="Normal"/>
              <w:widowControl w:val="false"/>
              <w:suppressAutoHyphens w:val="true"/>
              <w:jc w:val="center"/>
              <w:rPr>
                <w:rFonts w:ascii="Calibri" w:hAnsi="Calibri" w:cs="Arial"/>
                <w:b/>
                <w:b/>
                <w:bCs/>
                <w:color w:val="000000"/>
                <w:sz w:val="24"/>
                <w:szCs w:val="24"/>
              </w:rPr>
            </w:pPr>
            <w:r>
              <w:rPr>
                <w:rFonts w:cs="Arial" w:ascii="Calibri" w:hAnsi="Calibri"/>
                <w:b/>
                <w:bCs/>
                <w:color w:val="000000"/>
                <w:sz w:val="24"/>
                <w:szCs w:val="24"/>
              </w:rPr>
              <w:t>ESPECIFICAÇÃO</w:t>
            </w:r>
          </w:p>
        </w:tc>
        <w:tc>
          <w:tcPr>
            <w:tcW w:w="12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3" w:type="dxa"/>
            </w:tcMar>
            <w:vAlign w:val="center"/>
          </w:tcPr>
          <w:p>
            <w:pPr>
              <w:pStyle w:val="Normal"/>
              <w:widowControl w:val="false"/>
              <w:suppressAutoHyphens w:val="true"/>
              <w:jc w:val="center"/>
              <w:rPr/>
            </w:pPr>
            <w:r>
              <w:rPr>
                <w:rFonts w:cs="Arial" w:ascii="Calibri" w:hAnsi="Calibri"/>
                <w:b/>
                <w:bCs/>
                <w:color w:val="000000"/>
                <w:sz w:val="24"/>
                <w:szCs w:val="24"/>
              </w:rPr>
              <w:t>CAT</w:t>
            </w:r>
            <w:r>
              <w:rPr>
                <w:rFonts w:cs="Arial" w:ascii="Calibri" w:hAnsi="Calibri"/>
                <w:b/>
                <w:bCs/>
                <w:color w:val="000000"/>
                <w:sz w:val="24"/>
                <w:szCs w:val="24"/>
              </w:rPr>
              <w:t>MAT</w:t>
            </w:r>
          </w:p>
        </w:tc>
        <w:tc>
          <w:tcPr>
            <w:tcW w:w="163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3" w:type="dxa"/>
            </w:tcMar>
            <w:vAlign w:val="center"/>
          </w:tcPr>
          <w:p>
            <w:pPr>
              <w:pStyle w:val="Normal"/>
              <w:widowControl w:val="false"/>
              <w:suppressAutoHyphens w:val="true"/>
              <w:jc w:val="center"/>
              <w:rPr>
                <w:rFonts w:ascii="Calibri" w:hAnsi="Calibri" w:cs="Arial"/>
                <w:b/>
                <w:b/>
                <w:bCs/>
                <w:color w:val="000000"/>
                <w:sz w:val="24"/>
                <w:szCs w:val="24"/>
              </w:rPr>
            </w:pPr>
            <w:r>
              <w:rPr>
                <w:rFonts w:cs="Arial" w:ascii="Calibri" w:hAnsi="Calibri"/>
                <w:b/>
                <w:bCs/>
                <w:color w:val="000000"/>
                <w:sz w:val="24"/>
                <w:szCs w:val="24"/>
              </w:rPr>
              <w:t>UNIDADE DE MEDIDA</w:t>
            </w:r>
          </w:p>
        </w:tc>
        <w:tc>
          <w:tcPr>
            <w:tcW w:w="79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3" w:type="dxa"/>
            </w:tcMar>
            <w:vAlign w:val="center"/>
          </w:tcPr>
          <w:p>
            <w:pPr>
              <w:pStyle w:val="Normal"/>
              <w:widowControl w:val="false"/>
              <w:suppressAutoHyphens w:val="true"/>
              <w:jc w:val="center"/>
              <w:rPr>
                <w:rFonts w:ascii="Calibri" w:hAnsi="Calibri" w:cs="Arial"/>
                <w:b/>
                <w:b/>
                <w:bCs/>
                <w:color w:val="000000"/>
                <w:sz w:val="24"/>
                <w:szCs w:val="24"/>
              </w:rPr>
            </w:pPr>
            <w:r>
              <w:rPr>
                <w:rFonts w:cs="Arial" w:ascii="Calibri" w:hAnsi="Calibri"/>
                <w:b/>
                <w:bCs/>
                <w:color w:val="000000"/>
                <w:sz w:val="24"/>
                <w:szCs w:val="24"/>
              </w:rPr>
              <w:t>QNT</w:t>
            </w:r>
          </w:p>
        </w:tc>
        <w:tc>
          <w:tcPr>
            <w:tcW w:w="15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3" w:type="dxa"/>
            </w:tcMar>
            <w:vAlign w:val="center"/>
          </w:tcPr>
          <w:p>
            <w:pPr>
              <w:pStyle w:val="Normal"/>
              <w:widowControl w:val="false"/>
              <w:suppressAutoHyphens w:val="true"/>
              <w:jc w:val="center"/>
              <w:rPr>
                <w:rFonts w:ascii="Calibri" w:hAnsi="Calibri" w:cs="Arial"/>
                <w:b/>
                <w:b/>
                <w:bCs/>
                <w:color w:val="000000"/>
                <w:sz w:val="24"/>
                <w:szCs w:val="24"/>
              </w:rPr>
            </w:pPr>
            <w:r>
              <w:rPr>
                <w:rFonts w:cs="Arial" w:ascii="Calibri" w:hAnsi="Calibri"/>
                <w:b/>
                <w:bCs/>
                <w:color w:val="000000"/>
                <w:sz w:val="24"/>
                <w:szCs w:val="24"/>
              </w:rPr>
              <w:t>PRAZO DE EXECUÇÃO</w:t>
            </w:r>
          </w:p>
        </w:tc>
      </w:tr>
      <w:tr>
        <w:trPr/>
        <w:tc>
          <w:tcPr>
            <w:tcW w:w="75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3" w:type="dxa"/>
            </w:tcMar>
            <w:vAlign w:val="center"/>
          </w:tcPr>
          <w:p>
            <w:pPr>
              <w:pStyle w:val="Normal"/>
              <w:widowControl w:val="false"/>
              <w:suppressAutoHyphens w:val="true"/>
              <w:spacing w:lineRule="auto" w:line="276" w:before="0" w:after="120"/>
              <w:jc w:val="center"/>
              <w:rPr>
                <w:rFonts w:ascii="Calibri" w:hAnsi="Calibri" w:cs="Arial"/>
                <w:b w:val="false"/>
                <w:b w:val="false"/>
                <w:bCs w:val="false"/>
                <w:color w:val="000000"/>
                <w:sz w:val="24"/>
                <w:szCs w:val="24"/>
              </w:rPr>
            </w:pPr>
            <w:r>
              <w:rPr>
                <w:rFonts w:cs="Arial" w:ascii="Calibri" w:hAnsi="Calibri"/>
                <w:b w:val="false"/>
                <w:bCs w:val="false"/>
                <w:color w:val="000000"/>
                <w:sz w:val="24"/>
                <w:szCs w:val="24"/>
              </w:rPr>
              <w:t>1</w:t>
            </w:r>
          </w:p>
        </w:tc>
        <w:tc>
          <w:tcPr>
            <w:tcW w:w="361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3" w:type="dxa"/>
            </w:tcMar>
            <w:vAlign w:val="center"/>
          </w:tcPr>
          <w:p>
            <w:pPr>
              <w:pStyle w:val="Normal"/>
              <w:widowControl w:val="false"/>
              <w:spacing w:lineRule="auto" w:line="276" w:before="0" w:after="120"/>
              <w:jc w:val="left"/>
              <w:rPr>
                <w:rFonts w:ascii="Calibri" w:hAnsi="Calibri" w:eastAsia="Arial"/>
                <w:i w:val="false"/>
                <w:i w:val="false"/>
                <w:iCs w:val="false"/>
                <w:color w:val="000000"/>
                <w:sz w:val="21"/>
                <w:szCs w:val="21"/>
              </w:rPr>
            </w:pPr>
            <w:r>
              <w:rPr>
                <w:rFonts w:eastAsia="Arial" w:ascii="Calibri" w:hAnsi="Calibri"/>
                <w:i w:val="false"/>
                <w:iCs w:val="false"/>
                <w:color w:val="000000"/>
                <w:sz w:val="21"/>
                <w:szCs w:val="21"/>
              </w:rPr>
              <w:t xml:space="preserve">SECANTE MAQ LAVAR LOUÇA - 20 LTS </w:t>
            </w:r>
          </w:p>
        </w:tc>
        <w:tc>
          <w:tcPr>
            <w:tcW w:w="12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3" w:type="dxa"/>
            </w:tcMar>
            <w:vAlign w:val="center"/>
          </w:tcPr>
          <w:p>
            <w:pPr>
              <w:pStyle w:val="Normal"/>
              <w:widowControl w:val="false"/>
              <w:spacing w:lineRule="auto" w:line="276" w:before="0" w:after="120"/>
              <w:jc w:val="center"/>
              <w:rPr>
                <w:rFonts w:ascii="Calibri" w:hAnsi="Calibri" w:eastAsia="Arial"/>
                <w:color w:val="000000"/>
                <w:sz w:val="24"/>
                <w:szCs w:val="24"/>
              </w:rPr>
            </w:pPr>
            <w:bookmarkStart w:id="3" w:name="__DdeLink__7561_3953842678"/>
            <w:r>
              <w:rPr>
                <w:rFonts w:eastAsia="Arial" w:ascii="Calibri" w:hAnsi="Calibri"/>
                <w:color w:val="000000"/>
                <w:sz w:val="24"/>
                <w:szCs w:val="24"/>
              </w:rPr>
              <w:t>463223</w:t>
            </w:r>
            <w:bookmarkEnd w:id="3"/>
            <w:r>
              <w:rPr>
                <w:rFonts w:eastAsia="Arial" w:ascii="Calibri" w:hAnsi="Calibri"/>
                <w:color w:val="000000"/>
                <w:sz w:val="24"/>
                <w:szCs w:val="24"/>
              </w:rPr>
              <w:t xml:space="preserve"> </w:t>
            </w:r>
          </w:p>
        </w:tc>
        <w:tc>
          <w:tcPr>
            <w:tcW w:w="163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3" w:type="dxa"/>
            </w:tcMar>
            <w:vAlign w:val="center"/>
          </w:tcPr>
          <w:p>
            <w:pPr>
              <w:pStyle w:val="Contedodatabela"/>
              <w:jc w:val="center"/>
              <w:rPr>
                <w:rFonts w:ascii="Calibri" w:hAnsi="Calibri" w:eastAsia="Times New Roman" w:cs="Tahoma"/>
                <w:color w:val="000000"/>
                <w:sz w:val="24"/>
                <w:szCs w:val="24"/>
                <w:lang w:val="pt-BR" w:eastAsia="pt-BR" w:bidi="ar-SA"/>
              </w:rPr>
            </w:pPr>
            <w:r>
              <w:rPr>
                <w:rFonts w:eastAsia="Times New Roman" w:cs="Tahoma" w:ascii="Calibri" w:hAnsi="Calibri"/>
                <w:color w:val="000000"/>
                <w:sz w:val="24"/>
                <w:szCs w:val="24"/>
                <w:lang w:val="pt-BR" w:eastAsia="pt-BR" w:bidi="ar-SA"/>
              </w:rPr>
              <w:t>UN</w:t>
            </w:r>
          </w:p>
        </w:tc>
        <w:tc>
          <w:tcPr>
            <w:tcW w:w="79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3" w:type="dxa"/>
            </w:tcMar>
            <w:vAlign w:val="center"/>
          </w:tcPr>
          <w:p>
            <w:pPr>
              <w:pStyle w:val="Contedodatabela"/>
              <w:jc w:val="center"/>
              <w:rPr>
                <w:rFonts w:ascii="Calibri" w:hAnsi="Calibri" w:eastAsia="Times New Roman" w:cs="Tahoma"/>
                <w:color w:val="000000"/>
                <w:sz w:val="24"/>
                <w:szCs w:val="24"/>
                <w:lang w:val="pt-BR" w:eastAsia="pt-BR" w:bidi="ar-SA"/>
              </w:rPr>
            </w:pPr>
            <w:r>
              <w:rPr>
                <w:rFonts w:eastAsia="Times New Roman" w:cs="Tahoma" w:ascii="Calibri" w:hAnsi="Calibri"/>
                <w:color w:val="000000"/>
                <w:sz w:val="24"/>
                <w:szCs w:val="24"/>
                <w:lang w:val="pt-BR" w:eastAsia="pt-BR" w:bidi="ar-SA"/>
              </w:rPr>
              <w:t>3</w:t>
            </w:r>
          </w:p>
        </w:tc>
        <w:tc>
          <w:tcPr>
            <w:tcW w:w="15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3" w:type="dxa"/>
            </w:tcMar>
            <w:vAlign w:val="center"/>
          </w:tcPr>
          <w:p>
            <w:pPr>
              <w:pStyle w:val="Contedodatabela"/>
              <w:jc w:val="center"/>
              <w:rPr>
                <w:rFonts w:ascii="Calibri" w:hAnsi="Calibri"/>
                <w:color w:val="000000"/>
                <w:sz w:val="24"/>
                <w:szCs w:val="24"/>
              </w:rPr>
            </w:pPr>
            <w:r>
              <w:rPr>
                <w:rFonts w:ascii="Calibri" w:hAnsi="Calibri"/>
                <w:color w:val="000000"/>
                <w:sz w:val="24"/>
                <w:szCs w:val="24"/>
              </w:rPr>
              <w:t>Imediato</w:t>
            </w:r>
          </w:p>
        </w:tc>
      </w:tr>
    </w:tbl>
    <w:p>
      <w:pPr>
        <w:pStyle w:val="Normal"/>
        <w:rPr/>
      </w:pPr>
      <w:r>
        <w:rPr/>
      </w:r>
    </w:p>
    <w:p>
      <w:pPr>
        <w:pStyle w:val="PADRO"/>
        <w:keepNext w:val="false"/>
        <w:widowControl/>
        <w:numPr>
          <w:ilvl w:val="2"/>
          <w:numId w:val="1"/>
        </w:numPr>
        <w:shd w:val="clear" w:color="auto" w:fill="auto"/>
        <w:spacing w:before="120" w:after="120"/>
        <w:rPr/>
      </w:pPr>
      <w:r>
        <w:rPr>
          <w:rFonts w:cs="Arial" w:ascii="Arial" w:hAnsi="Arial"/>
          <w:sz w:val="24"/>
        </w:rPr>
        <w:t>Havendo mais de item ou lote faculta-se ao fornecedor a participação em quantos forem de seu interesse. Entretanto, optando-se por participar de um lote, deve o fornecedor enviar proposta para todos os itens que o compõem.</w:t>
      </w:r>
    </w:p>
    <w:p>
      <w:pPr>
        <w:pStyle w:val="PADRO"/>
        <w:keepNext w:val="false"/>
        <w:widowControl/>
        <w:numPr>
          <w:ilvl w:val="1"/>
          <w:numId w:val="1"/>
        </w:numPr>
        <w:shd w:val="clear" w:color="auto" w:fill="auto"/>
        <w:spacing w:before="120" w:after="120"/>
        <w:rPr>
          <w:rFonts w:ascii="Arial" w:hAnsi="Arial"/>
        </w:rPr>
      </w:pPr>
      <w:r>
        <w:rPr>
          <w:rFonts w:cs="Arial" w:ascii="Arial" w:hAnsi="Arial"/>
          <w:sz w:val="24"/>
        </w:rPr>
        <w:t>O critério de julgamento adotado será o</w:t>
      </w:r>
      <w:r>
        <w:rPr>
          <w:rFonts w:cs="Arial" w:ascii="Arial" w:hAnsi="Arial"/>
          <w:i/>
          <w:iCs/>
          <w:sz w:val="24"/>
        </w:rPr>
        <w:t xml:space="preserve"> </w:t>
      </w:r>
      <w:r>
        <w:rPr>
          <w:rFonts w:cs="Arial" w:ascii="Arial" w:hAnsi="Arial"/>
          <w:i w:val="false"/>
          <w:iCs w:val="false"/>
          <w:color w:val="000000"/>
          <w:sz w:val="24"/>
        </w:rPr>
        <w:t>menor preço,</w:t>
      </w:r>
      <w:r>
        <w:rPr>
          <w:rFonts w:cs="Arial" w:ascii="Arial" w:hAnsi="Arial"/>
          <w:color w:val="FF0000"/>
          <w:sz w:val="24"/>
        </w:rPr>
        <w:t xml:space="preserve"> </w:t>
      </w:r>
      <w:r>
        <w:rPr>
          <w:rFonts w:cs="Arial" w:ascii="Arial" w:hAnsi="Arial"/>
          <w:sz w:val="24"/>
        </w:rPr>
        <w:t>observadas as exigências contidas neste Aviso de Contratação Direta e seus Anexos quanto às especificações do objeto.</w:t>
      </w:r>
    </w:p>
    <w:p>
      <w:pPr>
        <w:pStyle w:val="Ttulo1"/>
        <w:numPr>
          <w:ilvl w:val="0"/>
          <w:numId w:val="1"/>
        </w:numPr>
        <w:rPr>
          <w:b/>
          <w:b/>
          <w:bCs/>
        </w:rPr>
      </w:pPr>
      <w:bookmarkStart w:id="4" w:name="_Toc104906819"/>
      <w:bookmarkEnd w:id="4"/>
      <w:r>
        <w:rPr>
          <w:rFonts w:cs="Arial" w:ascii="Arial" w:hAnsi="Arial"/>
          <w:b/>
          <w:bCs/>
          <w:color w:val="00000A"/>
          <w:sz w:val="24"/>
          <w:szCs w:val="24"/>
        </w:rPr>
        <w:t>PARTICIPAÇÃO NA DISPENSA ELETRÔNICA</w:t>
      </w:r>
    </w:p>
    <w:p>
      <w:pPr>
        <w:pStyle w:val="Normal"/>
        <w:numPr>
          <w:ilvl w:val="1"/>
          <w:numId w:val="1"/>
        </w:numPr>
        <w:snapToGrid w:val="false"/>
        <w:spacing w:lineRule="auto" w:line="276" w:before="120" w:after="120"/>
        <w:jc w:val="both"/>
        <w:rPr>
          <w:rFonts w:ascii="Arial" w:hAnsi="Arial"/>
        </w:rPr>
      </w:pPr>
      <w:r>
        <w:rPr>
          <w:rFonts w:cs="Arial"/>
          <w:sz w:val="24"/>
        </w:rPr>
        <w:t xml:space="preserve">A participação na presente dispensa eletrônica se dará mediante </w:t>
      </w:r>
      <w:r>
        <w:rPr>
          <w:rFonts w:cs="Arial"/>
          <w:bCs/>
          <w:sz w:val="24"/>
        </w:rPr>
        <w:t>Sistema de Dispensa Eletrônica</w:t>
      </w:r>
      <w:r>
        <w:rPr>
          <w:rFonts w:cs="Arial"/>
          <w:sz w:val="24"/>
        </w:rPr>
        <w:t xml:space="preserve"> integrante do Sistema de Compras do Governo Federal – Comprasnet 4.0, disponível no </w:t>
      </w:r>
      <w:r>
        <w:rPr>
          <w:rFonts w:cs="Arial"/>
          <w:bCs/>
          <w:sz w:val="24"/>
        </w:rPr>
        <w:t xml:space="preserve">endereço eletrônico </w:t>
      </w:r>
      <w:r>
        <w:rPr>
          <w:rFonts w:cs="Arial"/>
          <w:bCs/>
          <w:sz w:val="24"/>
          <w:szCs w:val="24"/>
        </w:rPr>
        <w:t>www.compras.gov.br.</w:t>
      </w:r>
    </w:p>
    <w:p>
      <w:pPr>
        <w:pStyle w:val="Normal"/>
        <w:numPr>
          <w:ilvl w:val="2"/>
          <w:numId w:val="1"/>
        </w:numPr>
        <w:snapToGrid w:val="false"/>
        <w:spacing w:lineRule="auto" w:line="276" w:before="120" w:after="120"/>
        <w:jc w:val="both"/>
        <w:rPr>
          <w:rFonts w:cs="Arial"/>
          <w:sz w:val="24"/>
        </w:rPr>
      </w:pPr>
      <w:r>
        <w:rPr>
          <w:rFonts w:cs="Arial"/>
          <w:sz w:val="24"/>
        </w:rPr>
        <w:t>Os fornecedores deverão atender aos procedimentos previstos no Manual do Sistema de Dispensa Eletrônica, disponível no Portal de Compras do Governo Federal, para acesso ao sistema e operacionalização.</w:t>
      </w:r>
    </w:p>
    <w:p>
      <w:pPr>
        <w:pStyle w:val="Normal"/>
        <w:numPr>
          <w:ilvl w:val="2"/>
          <w:numId w:val="1"/>
        </w:numPr>
        <w:snapToGrid w:val="false"/>
        <w:spacing w:lineRule="auto" w:line="276" w:before="120" w:after="120"/>
        <w:jc w:val="both"/>
        <w:rPr>
          <w:rFonts w:cs="Arial"/>
          <w:sz w:val="24"/>
        </w:rPr>
      </w:pPr>
      <w:r>
        <w:rPr>
          <w:rFonts w:cs="Arial"/>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ormal"/>
        <w:numPr>
          <w:ilvl w:val="1"/>
          <w:numId w:val="1"/>
        </w:numPr>
        <w:spacing w:lineRule="auto" w:line="276" w:before="120" w:after="120"/>
        <w:ind w:left="425" w:hanging="0"/>
        <w:jc w:val="both"/>
        <w:rPr>
          <w:rFonts w:cs="Arial"/>
          <w:color w:val="000000" w:themeColor="text1"/>
          <w:sz w:val="24"/>
        </w:rPr>
      </w:pPr>
      <w:r>
        <w:rPr>
          <w:rFonts w:cs="Arial"/>
          <w:color w:val="000000" w:themeColor="text1"/>
          <w:sz w:val="24"/>
        </w:rPr>
        <w:t>Não poderão participar desta dispensa os fornecedores:</w:t>
      </w:r>
    </w:p>
    <w:p>
      <w:pPr>
        <w:pStyle w:val="Normal"/>
        <w:numPr>
          <w:ilvl w:val="2"/>
          <w:numId w:val="1"/>
        </w:numPr>
        <w:spacing w:lineRule="auto" w:line="276" w:before="120" w:after="120"/>
        <w:jc w:val="both"/>
        <w:rPr>
          <w:rFonts w:cs="Arial"/>
          <w:color w:val="000000" w:themeColor="text1"/>
          <w:sz w:val="24"/>
        </w:rPr>
      </w:pPr>
      <w:r>
        <w:rPr>
          <w:rFonts w:cs="Arial"/>
          <w:color w:val="000000" w:themeColor="text1"/>
          <w:sz w:val="24"/>
        </w:rPr>
        <w:t>que não atendam às condições deste Aviso de Contratação Direta e seu(s) anexo(s);</w:t>
      </w:r>
    </w:p>
    <w:p>
      <w:pPr>
        <w:pStyle w:val="Normal"/>
        <w:numPr>
          <w:ilvl w:val="2"/>
          <w:numId w:val="1"/>
        </w:numPr>
        <w:spacing w:lineRule="auto" w:line="276" w:before="120" w:after="120"/>
        <w:jc w:val="both"/>
        <w:rPr>
          <w:rFonts w:cs="Arial"/>
          <w:color w:val="000000" w:themeColor="text1"/>
          <w:sz w:val="24"/>
        </w:rPr>
      </w:pPr>
      <w:r>
        <w:rPr>
          <w:rFonts w:cs="Arial"/>
          <w:color w:val="000000" w:themeColor="text1"/>
          <w:sz w:val="24"/>
        </w:rPr>
        <w:t>estrangeiros que não tenham representação legal no Brasil com poderes expressos para receber citação e responder administrativa ou judicialmente;</w:t>
      </w:r>
    </w:p>
    <w:p>
      <w:pPr>
        <w:pStyle w:val="Normal"/>
        <w:numPr>
          <w:ilvl w:val="2"/>
          <w:numId w:val="1"/>
        </w:numPr>
        <w:spacing w:lineRule="auto" w:line="276" w:before="120" w:after="120"/>
        <w:jc w:val="both"/>
        <w:rPr>
          <w:rFonts w:cs="Arial"/>
          <w:color w:val="000000" w:themeColor="text1"/>
          <w:sz w:val="24"/>
        </w:rPr>
      </w:pPr>
      <w:r>
        <w:rPr>
          <w:rFonts w:cs="Arial"/>
          <w:color w:val="000000" w:themeColor="text1"/>
          <w:sz w:val="24"/>
        </w:rPr>
        <w:t>que se enquadrem nas seguintes vedações:</w:t>
      </w:r>
    </w:p>
    <w:p>
      <w:pPr>
        <w:pStyle w:val="Normal"/>
        <w:numPr>
          <w:ilvl w:val="3"/>
          <w:numId w:val="4"/>
        </w:numPr>
        <w:spacing w:lineRule="auto" w:line="276" w:before="120" w:after="120"/>
        <w:jc w:val="both"/>
        <w:rPr>
          <w:rFonts w:cs="Arial"/>
          <w:color w:val="000000" w:themeColor="text1"/>
          <w:sz w:val="24"/>
        </w:rPr>
      </w:pPr>
      <w:r>
        <w:rPr>
          <w:rFonts w:cs="Arial"/>
          <w:color w:val="000000"/>
          <w:sz w:val="24"/>
        </w:rPr>
        <w:t>autor do anteprojeto, do projeto básico ou do projeto executivo, pessoa física ou jurídica, quando a contratação versar sobre obra, serviços ou fornecimento de bens a ele relacionados;</w:t>
      </w:r>
    </w:p>
    <w:p>
      <w:pPr>
        <w:pStyle w:val="Normal"/>
        <w:numPr>
          <w:ilvl w:val="3"/>
          <w:numId w:val="4"/>
        </w:numPr>
        <w:spacing w:lineRule="auto" w:line="276" w:before="120" w:after="120"/>
        <w:jc w:val="both"/>
        <w:rPr>
          <w:rFonts w:cs="Arial"/>
          <w:color w:val="000000" w:themeColor="text1"/>
          <w:sz w:val="24"/>
        </w:rPr>
      </w:pPr>
      <w:r>
        <w:rPr>
          <w:rFonts w:cs="Arial"/>
          <w:color w:val="000000"/>
          <w:sz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pPr>
        <w:pStyle w:val="Normal"/>
        <w:numPr>
          <w:ilvl w:val="3"/>
          <w:numId w:val="4"/>
        </w:numPr>
        <w:spacing w:lineRule="auto" w:line="276" w:before="120" w:after="120"/>
        <w:jc w:val="both"/>
        <w:rPr>
          <w:rFonts w:cs="Arial"/>
          <w:color w:val="000000" w:themeColor="text1"/>
          <w:sz w:val="24"/>
        </w:rPr>
      </w:pPr>
      <w:r>
        <w:rPr>
          <w:rFonts w:cs="Arial"/>
          <w:color w:val="000000"/>
          <w:sz w:val="24"/>
        </w:rPr>
        <w:t>pessoa física ou jurídica que se encontre, ao tempo da contratação, impossibilitada de contratar em decorrência de sanção que lhe foi imposta;</w:t>
      </w:r>
    </w:p>
    <w:p>
      <w:pPr>
        <w:pStyle w:val="Normal"/>
        <w:numPr>
          <w:ilvl w:val="3"/>
          <w:numId w:val="4"/>
        </w:numPr>
        <w:spacing w:lineRule="auto" w:line="276" w:before="120" w:after="120"/>
        <w:jc w:val="both"/>
        <w:rPr>
          <w:rFonts w:cs="Arial"/>
          <w:color w:val="000000" w:themeColor="text1"/>
          <w:sz w:val="24"/>
        </w:rPr>
      </w:pPr>
      <w:r>
        <w:rPr>
          <w:rFonts w:cs="Arial"/>
          <w:color w:val="000000"/>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numPr>
          <w:ilvl w:val="3"/>
          <w:numId w:val="4"/>
        </w:numPr>
        <w:spacing w:lineRule="auto" w:line="276" w:before="120" w:after="120"/>
        <w:jc w:val="both"/>
        <w:rPr>
          <w:rFonts w:cs="Arial"/>
          <w:color w:val="000000" w:themeColor="text1"/>
          <w:sz w:val="24"/>
        </w:rPr>
      </w:pPr>
      <w:r>
        <w:rPr>
          <w:rFonts w:cs="Arial"/>
          <w:color w:val="000000"/>
          <w:sz w:val="24"/>
        </w:rPr>
        <w:t>empresas controladoras, controladas ou coligadas, nos termos da </w:t>
      </w:r>
      <w:hyperlink r:id="rId3">
        <w:r>
          <w:rPr>
            <w:rStyle w:val="LinkdaInternet"/>
            <w:rFonts w:eastAsia="Calibri" w:cs="Arial"/>
            <w:sz w:val="24"/>
          </w:rPr>
          <w:t>Lei nº 6.404, de 15 de dezembro de 1976</w:t>
        </w:r>
      </w:hyperlink>
      <w:r>
        <w:rPr>
          <w:rFonts w:cs="Arial"/>
          <w:color w:val="000000"/>
          <w:sz w:val="24"/>
        </w:rPr>
        <w:t>, concorrendo entre si;</w:t>
      </w:r>
    </w:p>
    <w:p>
      <w:pPr>
        <w:pStyle w:val="Normal"/>
        <w:numPr>
          <w:ilvl w:val="3"/>
          <w:numId w:val="4"/>
        </w:numPr>
        <w:spacing w:lineRule="auto" w:line="276" w:before="120" w:after="120"/>
        <w:jc w:val="both"/>
        <w:rPr>
          <w:rFonts w:cs="Arial"/>
          <w:color w:val="000000" w:themeColor="text1"/>
          <w:sz w:val="24"/>
        </w:rPr>
      </w:pPr>
      <w:r>
        <w:rPr>
          <w:rFonts w:cs="Arial"/>
          <w:color w:val="000000"/>
          <w:sz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3"/>
          <w:numId w:val="1"/>
        </w:numPr>
        <w:spacing w:lineRule="auto" w:line="276" w:before="120" w:after="120"/>
        <w:jc w:val="both"/>
        <w:rPr>
          <w:rFonts w:cs="Arial"/>
          <w:color w:val="000000" w:themeColor="text1"/>
          <w:sz w:val="24"/>
        </w:rPr>
      </w:pPr>
      <w:r>
        <w:rPr>
          <w:rFonts w:cs="Arial"/>
          <w:color w:val="000000"/>
          <w:sz w:val="24"/>
        </w:rPr>
        <w:t>Equiparam-se aos autores do projeto as empresas integrantes do mesmo grupo econômico;</w:t>
      </w:r>
    </w:p>
    <w:p>
      <w:pPr>
        <w:pStyle w:val="Normal"/>
        <w:numPr>
          <w:ilvl w:val="3"/>
          <w:numId w:val="1"/>
        </w:numPr>
        <w:spacing w:lineRule="auto" w:line="276" w:before="120" w:after="120"/>
        <w:jc w:val="both"/>
        <w:rPr>
          <w:rFonts w:cs="Arial"/>
          <w:color w:val="000000" w:themeColor="text1"/>
          <w:sz w:val="24"/>
        </w:rPr>
      </w:pPr>
      <w:r>
        <w:rPr>
          <w:rFonts w:cs="Arial"/>
          <w:color w:val="000000"/>
          <w:sz w:val="24"/>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ormal"/>
        <w:numPr>
          <w:ilvl w:val="2"/>
          <w:numId w:val="1"/>
        </w:numPr>
        <w:spacing w:lineRule="auto" w:line="276" w:before="120" w:after="120"/>
        <w:jc w:val="both"/>
        <w:rPr>
          <w:rFonts w:ascii="Arial" w:hAnsi="Arial"/>
        </w:rPr>
      </w:pPr>
      <w:r>
        <w:rPr>
          <w:rFonts w:cs="Arial"/>
          <w:color w:val="000000"/>
          <w:sz w:val="24"/>
        </w:rPr>
        <w:t>organizações da Sociedade Civil de Interesse Público - OSCIP, atuando nessa condição (Acórdão nº 746/2014-TCU-Plenário); e</w:t>
      </w:r>
    </w:p>
    <w:p>
      <w:pPr>
        <w:pStyle w:val="Normal"/>
        <w:numPr>
          <w:ilvl w:val="0"/>
          <w:numId w:val="0"/>
        </w:numPr>
        <w:spacing w:lineRule="auto" w:line="276" w:before="120" w:after="120"/>
        <w:ind w:left="1224" w:hanging="0"/>
        <w:jc w:val="both"/>
        <w:rPr>
          <w:rFonts w:cs="Arial"/>
          <w:color w:val="000000"/>
          <w:sz w:val="24"/>
        </w:rPr>
      </w:pPr>
      <w:r>
        <w:rPr>
          <w:rFonts w:cs="Arial"/>
          <w:color w:val="000000"/>
          <w:sz w:val="24"/>
        </w:rPr>
      </w:r>
    </w:p>
    <w:p>
      <w:pPr>
        <w:pStyle w:val="Normal"/>
        <w:numPr>
          <w:ilvl w:val="1"/>
          <w:numId w:val="1"/>
        </w:numPr>
        <w:spacing w:lineRule="auto" w:line="276" w:before="120" w:after="120"/>
        <w:jc w:val="both"/>
        <w:rPr>
          <w:rFonts w:ascii="Arial" w:hAnsi="Arial"/>
          <w:color w:val="000000"/>
        </w:rPr>
      </w:pPr>
      <w:r>
        <w:rPr>
          <w:rFonts w:cs="Arial"/>
          <w:i w:val="false"/>
          <w:iCs w:val="false"/>
          <w:color w:val="000000"/>
          <w:sz w:val="24"/>
        </w:rPr>
        <w:t>Será permitida a participação de cooperativas, desde que apresentem demonstrativo de atuação em regime cooperado, com repartição de receitas e despesas entre os cooperados e atendam ao art. 16 da Lei nº 14.133/21.</w:t>
      </w:r>
    </w:p>
    <w:p>
      <w:pPr>
        <w:pStyle w:val="Normal"/>
        <w:numPr>
          <w:ilvl w:val="2"/>
          <w:numId w:val="1"/>
        </w:numPr>
        <w:spacing w:lineRule="auto" w:line="276" w:before="120" w:after="120"/>
        <w:jc w:val="both"/>
        <w:rPr>
          <w:rFonts w:ascii="Arial" w:hAnsi="Arial"/>
        </w:rPr>
      </w:pPr>
      <w:r>
        <w:rPr>
          <w:rFonts w:cs="Arial"/>
          <w:i w:val="false"/>
          <w:iCs w:val="false"/>
          <w:color w:val="000000"/>
          <w:sz w:val="24"/>
        </w:rPr>
        <w:t>Em sendo permitida a participação de cooperativas, serão estendidas a elas os benefícios previstos para as microempresas e empresas de pequeno porte quando elas atenderem ao disposto no art. 34 da Lei nº 11.488, de 15 de junho de 2007.</w:t>
      </w:r>
    </w:p>
    <w:p>
      <w:pPr>
        <w:pStyle w:val="PADRO"/>
        <w:keepNext w:val="false"/>
        <w:widowControl/>
        <w:shd w:val="clear" w:color="auto" w:fill="auto"/>
        <w:spacing w:before="120" w:after="120"/>
        <w:ind w:hanging="0"/>
        <w:rPr>
          <w:rFonts w:ascii="Arial" w:hAnsi="Arial" w:cs="Arial"/>
          <w:b/>
          <w:b/>
          <w:sz w:val="24"/>
        </w:rPr>
      </w:pPr>
      <w:r>
        <w:rPr>
          <w:rFonts w:cs="Arial" w:ascii="Arial" w:hAnsi="Arial"/>
          <w:b/>
          <w:sz w:val="24"/>
        </w:rPr>
      </w:r>
    </w:p>
    <w:p>
      <w:pPr>
        <w:pStyle w:val="Ttulo1"/>
        <w:numPr>
          <w:ilvl w:val="0"/>
          <w:numId w:val="1"/>
        </w:numPr>
        <w:rPr>
          <w:rFonts w:ascii="Arial" w:hAnsi="Arial" w:cs="Arial"/>
          <w:color w:val="00000A"/>
          <w:sz w:val="24"/>
          <w:szCs w:val="24"/>
        </w:rPr>
      </w:pPr>
      <w:bookmarkStart w:id="5" w:name="_Toc104906820"/>
      <w:bookmarkEnd w:id="5"/>
      <w:r>
        <w:rPr>
          <w:rFonts w:cs="Arial" w:ascii="Arial" w:hAnsi="Arial"/>
          <w:b/>
          <w:bCs/>
          <w:color w:val="00000A"/>
          <w:sz w:val="24"/>
          <w:szCs w:val="24"/>
        </w:rPr>
        <w:t>INGRESSO NA DISPENSA ELETRÔNICA E CADASTRAMENTO DA PROPOSTA INICIAL</w:t>
      </w:r>
    </w:p>
    <w:p>
      <w:pPr>
        <w:pStyle w:val="Normal"/>
        <w:numPr>
          <w:ilvl w:val="1"/>
          <w:numId w:val="1"/>
        </w:numPr>
        <w:snapToGrid w:val="false"/>
        <w:spacing w:lineRule="auto" w:line="276" w:before="120" w:after="120"/>
        <w:ind w:left="857" w:hanging="432"/>
        <w:jc w:val="both"/>
        <w:rPr>
          <w:rFonts w:cs="Arial"/>
          <w:sz w:val="24"/>
        </w:rPr>
      </w:pPr>
      <w:r>
        <w:rPr>
          <w:rFonts w:cs="Arial"/>
          <w:color w:val="000000" w:themeColor="text1"/>
          <w:sz w:val="24"/>
        </w:rPr>
        <w:t>O ingresso do fornecedor na disputa da dispensa eletrônica se dará com o cadastramento de sua proposta inicial, na forma deste item.</w:t>
      </w:r>
    </w:p>
    <w:p>
      <w:pPr>
        <w:pStyle w:val="Normal"/>
        <w:numPr>
          <w:ilvl w:val="1"/>
          <w:numId w:val="1"/>
        </w:numPr>
        <w:snapToGrid w:val="false"/>
        <w:spacing w:lineRule="auto" w:line="276" w:before="120" w:after="120"/>
        <w:ind w:left="425" w:hanging="0"/>
        <w:jc w:val="both"/>
        <w:rPr>
          <w:rFonts w:cs="Arial"/>
          <w:color w:val="000000" w:themeColor="text1"/>
          <w:sz w:val="24"/>
        </w:rPr>
      </w:pPr>
      <w:r>
        <w:rPr>
          <w:rFonts w:cs="Arial"/>
          <w:color w:val="000000" w:themeColor="text1"/>
          <w:sz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pPr>
        <w:pStyle w:val="Normal"/>
        <w:numPr>
          <w:ilvl w:val="2"/>
          <w:numId w:val="1"/>
        </w:numPr>
        <w:spacing w:lineRule="auto" w:line="276" w:before="120" w:after="120"/>
        <w:jc w:val="both"/>
        <w:rPr>
          <w:rFonts w:cs="Arial"/>
          <w:sz w:val="24"/>
        </w:rPr>
      </w:pPr>
      <w:r>
        <w:rPr>
          <w:rFonts w:cs="Arial"/>
          <w:sz w:val="24"/>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condutas vigentes na data de entrega das propostas.</w:t>
      </w:r>
    </w:p>
    <w:p>
      <w:pPr>
        <w:pStyle w:val="Normal"/>
        <w:numPr>
          <w:ilvl w:val="1"/>
          <w:numId w:val="1"/>
        </w:numPr>
        <w:spacing w:lineRule="auto" w:line="276" w:before="120" w:after="120"/>
        <w:ind w:left="425" w:hanging="0"/>
        <w:jc w:val="both"/>
        <w:rPr>
          <w:rFonts w:cs="Arial"/>
          <w:sz w:val="24"/>
        </w:rPr>
      </w:pPr>
      <w:r>
        <w:rPr>
          <w:rFonts w:cs="Arial"/>
          <w:sz w:val="24"/>
        </w:rPr>
        <w:t xml:space="preserve">Todas as especificações do </w:t>
      </w:r>
      <w:r>
        <w:rPr>
          <w:rFonts w:cs="Arial"/>
          <w:color w:val="000000" w:themeColor="text1"/>
          <w:sz w:val="24"/>
        </w:rPr>
        <w:t>objeto</w:t>
      </w:r>
      <w:r>
        <w:rPr>
          <w:rFonts w:cs="Arial"/>
          <w:sz w:val="24"/>
        </w:rPr>
        <w:t xml:space="preserve"> contidas na proposta, em especial o preço, vinculam a Contratada.</w:t>
      </w:r>
    </w:p>
    <w:p>
      <w:pPr>
        <w:pStyle w:val="Normal"/>
        <w:numPr>
          <w:ilvl w:val="1"/>
          <w:numId w:val="1"/>
        </w:numPr>
        <w:spacing w:lineRule="auto" w:line="276" w:before="120" w:after="120"/>
        <w:ind w:left="425" w:hanging="0"/>
        <w:jc w:val="both"/>
        <w:rPr>
          <w:rFonts w:cs="Arial"/>
          <w:sz w:val="24"/>
        </w:rPr>
      </w:pPr>
      <w:r>
        <w:rPr>
          <w:rFonts w:cs="Arial"/>
          <w:sz w:val="24"/>
        </w:rPr>
        <w:t>Nos valores propostos estarão inclusos todos os custos operacionais, encargos previdenciários, trabalhistas, tributários, comerciais e quaisquer outros que incidam direta ou indiretamente na prestação dos serviços;</w:t>
      </w:r>
    </w:p>
    <w:p>
      <w:pPr>
        <w:pStyle w:val="Normal"/>
        <w:numPr>
          <w:ilvl w:val="2"/>
          <w:numId w:val="1"/>
        </w:numPr>
        <w:spacing w:lineRule="auto" w:line="276" w:before="120" w:after="120"/>
        <w:jc w:val="both"/>
        <w:rPr>
          <w:rFonts w:cs="Arial"/>
          <w:sz w:val="24"/>
        </w:rPr>
      </w:pPr>
      <w:r>
        <w:rPr>
          <w:rFonts w:cs="Arial"/>
          <w:sz w:val="24"/>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ormal"/>
        <w:numPr>
          <w:ilvl w:val="1"/>
          <w:numId w:val="1"/>
        </w:numPr>
        <w:spacing w:lineRule="auto" w:line="276" w:before="120" w:after="120"/>
        <w:ind w:left="425" w:hanging="0"/>
        <w:jc w:val="both"/>
        <w:rPr>
          <w:rFonts w:cs="Arial"/>
          <w:sz w:val="24"/>
        </w:rPr>
      </w:pPr>
      <w:r>
        <w:rPr>
          <w:rFonts w:cs="Arial"/>
          <w:sz w:val="24"/>
        </w:rPr>
        <w:t xml:space="preserve">Se o regime tributário da empresa implicar o recolhimento de tributos em percentuais variáveis, a cotação adequada será a que corresponde à média dos efetivos recolhimentos da empresa nos últimos doze meses. </w:t>
      </w:r>
    </w:p>
    <w:p>
      <w:pPr>
        <w:pStyle w:val="Normal"/>
        <w:numPr>
          <w:ilvl w:val="1"/>
          <w:numId w:val="1"/>
        </w:numPr>
        <w:spacing w:lineRule="auto" w:line="276" w:before="120" w:after="120"/>
        <w:ind w:left="425" w:hanging="0"/>
        <w:jc w:val="both"/>
        <w:rPr>
          <w:rFonts w:cs="Arial"/>
          <w:sz w:val="24"/>
        </w:rPr>
      </w:pPr>
      <w:r>
        <w:rPr>
          <w:rFonts w:cs="Arial"/>
          <w:sz w:val="24"/>
        </w:rPr>
        <w:t>Independentemente do percentual de tributo inserido na planilha, no pagamento serão retidos na fonte os percentuais estabelecidos na legislação vigente.</w:t>
      </w:r>
    </w:p>
    <w:p>
      <w:pPr>
        <w:pStyle w:val="Normal"/>
        <w:numPr>
          <w:ilvl w:val="1"/>
          <w:numId w:val="1"/>
        </w:numPr>
        <w:spacing w:lineRule="auto" w:line="276" w:before="120" w:after="120"/>
        <w:ind w:left="425" w:hanging="0"/>
        <w:jc w:val="both"/>
        <w:rPr>
          <w:color w:val="000000"/>
        </w:rPr>
      </w:pPr>
      <w:r>
        <w:rPr>
          <w:rFonts w:cs="Arial"/>
          <w:color w:val="000000"/>
          <w:sz w:val="24"/>
        </w:rPr>
        <w:t>A apresentação das propostas implica obrigatoriedade do cumprimento das disposições nelas contidas, em conformidade com o que dispõe</w:t>
      </w:r>
      <w:r>
        <w:rPr>
          <w:rFonts w:cs="Arial"/>
          <w:i w:val="false"/>
          <w:iCs w:val="false"/>
          <w:color w:val="000000"/>
          <w:sz w:val="24"/>
        </w:rPr>
        <w:t xml:space="preserve"> este Aviso de Dispensa,</w:t>
      </w:r>
      <w:r>
        <w:rPr>
          <w:rFonts w:cs="Arial"/>
          <w:color w:val="000000"/>
          <w:sz w:val="24"/>
        </w:rPr>
        <w:t xml:space="preserve">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Normal"/>
        <w:numPr>
          <w:ilvl w:val="1"/>
          <w:numId w:val="1"/>
        </w:numPr>
        <w:spacing w:lineRule="auto" w:line="276" w:before="120" w:after="120"/>
        <w:jc w:val="both"/>
        <w:rPr>
          <w:rFonts w:cs="Arial"/>
          <w:color w:val="000000"/>
          <w:sz w:val="24"/>
        </w:rPr>
      </w:pPr>
      <w:r>
        <w:rPr>
          <w:rFonts w:cs="Arial"/>
          <w:color w:val="000000"/>
          <w:sz w:val="24"/>
          <w:szCs w:val="24"/>
        </w:rPr>
        <w:t xml:space="preserve">      </w:t>
      </w:r>
      <w:r>
        <w:rPr>
          <w:rFonts w:cs="Arial"/>
          <w:color w:val="000000"/>
          <w:sz w:val="24"/>
          <w:szCs w:val="24"/>
        </w:rPr>
        <w:t>Até a abertura da sessão pública, os fornecedores poderão retirar ou substituir a proposta anteriormente inserida no sistema;</w:t>
      </w:r>
    </w:p>
    <w:p>
      <w:pPr>
        <w:pStyle w:val="Normal"/>
        <w:numPr>
          <w:ilvl w:val="1"/>
          <w:numId w:val="1"/>
        </w:numPr>
        <w:spacing w:lineRule="auto" w:line="276" w:before="120" w:after="120"/>
        <w:ind w:left="425" w:hanging="0"/>
        <w:jc w:val="both"/>
        <w:rPr>
          <w:rFonts w:ascii="Arial" w:hAnsi="Arial"/>
        </w:rPr>
      </w:pPr>
      <w:r>
        <w:rPr>
          <w:rFonts w:cs="Arial"/>
          <w:color w:val="000000"/>
          <w:sz w:val="24"/>
        </w:rPr>
        <w:t xml:space="preserve">No cadastramento da proposta inicial, o fornecedor deverá, também, assinalar “sim” ou “não” em campo </w:t>
      </w:r>
      <w:r>
        <w:rPr>
          <w:rFonts w:cs="Arial"/>
          <w:sz w:val="24"/>
        </w:rPr>
        <w:t>próprio</w:t>
      </w:r>
      <w:r>
        <w:rPr>
          <w:rFonts w:cs="Arial"/>
          <w:color w:val="000000"/>
          <w:sz w:val="24"/>
        </w:rPr>
        <w:t xml:space="preserve"> do sistema eletrônico, às seguintes declarações:</w:t>
      </w:r>
      <w:r>
        <w:rPr>
          <w:rFonts w:eastAsia="Zurich BT" w:cs="Arial"/>
          <w:color w:val="000000"/>
          <w:sz w:val="24"/>
        </w:rPr>
        <w:t xml:space="preserve"> </w:t>
      </w:r>
    </w:p>
    <w:p>
      <w:pPr>
        <w:pStyle w:val="ListParagraph"/>
        <w:numPr>
          <w:ilvl w:val="0"/>
          <w:numId w:val="2"/>
        </w:numPr>
        <w:tabs>
          <w:tab w:val="left" w:pos="1440" w:leader="none"/>
        </w:tabs>
        <w:snapToGrid w:val="false"/>
        <w:spacing w:lineRule="auto" w:line="276" w:before="120" w:after="120"/>
        <w:contextualSpacing/>
        <w:jc w:val="both"/>
        <w:rPr>
          <w:rFonts w:ascii="Arial" w:hAnsi="Arial" w:cs="Arial"/>
          <w:bCs/>
          <w:vanish/>
          <w:color w:val="000000"/>
          <w:sz w:val="24"/>
        </w:rPr>
      </w:pPr>
      <w:r>
        <w:rPr>
          <w:rFonts w:cs="Arial"/>
          <w:bCs/>
          <w:vanish/>
          <w:color w:val="000000"/>
          <w:sz w:val="24"/>
        </w:rPr>
      </w:r>
    </w:p>
    <w:p>
      <w:pPr>
        <w:pStyle w:val="ListParagraph"/>
        <w:numPr>
          <w:ilvl w:val="1"/>
          <w:numId w:val="2"/>
        </w:numPr>
        <w:tabs>
          <w:tab w:val="left" w:pos="1440" w:leader="none"/>
        </w:tabs>
        <w:snapToGrid w:val="false"/>
        <w:spacing w:lineRule="auto" w:line="276" w:before="120" w:after="120"/>
        <w:contextualSpacing/>
        <w:jc w:val="both"/>
        <w:rPr>
          <w:rFonts w:ascii="Arial" w:hAnsi="Arial" w:cs="Arial"/>
          <w:bCs/>
          <w:vanish/>
          <w:color w:val="000000"/>
          <w:sz w:val="24"/>
        </w:rPr>
      </w:pPr>
      <w:r>
        <w:rPr>
          <w:rFonts w:cs="Arial"/>
          <w:bCs/>
          <w:vanish/>
          <w:color w:val="000000"/>
          <w:sz w:val="24"/>
        </w:rPr>
      </w:r>
    </w:p>
    <w:p>
      <w:pPr>
        <w:pStyle w:val="ListParagraph"/>
        <w:numPr>
          <w:ilvl w:val="1"/>
          <w:numId w:val="2"/>
        </w:numPr>
        <w:tabs>
          <w:tab w:val="left" w:pos="1440" w:leader="none"/>
        </w:tabs>
        <w:snapToGrid w:val="false"/>
        <w:spacing w:lineRule="auto" w:line="276" w:before="120" w:after="120"/>
        <w:contextualSpacing/>
        <w:jc w:val="both"/>
        <w:rPr>
          <w:rFonts w:ascii="Arial" w:hAnsi="Arial" w:cs="Arial"/>
          <w:bCs/>
          <w:vanish/>
          <w:color w:val="000000"/>
          <w:sz w:val="24"/>
        </w:rPr>
      </w:pPr>
      <w:r>
        <w:rPr>
          <w:rFonts w:cs="Arial"/>
          <w:bCs/>
          <w:vanish/>
          <w:color w:val="000000"/>
          <w:sz w:val="24"/>
        </w:rPr>
      </w:r>
    </w:p>
    <w:p>
      <w:pPr>
        <w:pStyle w:val="ListParagraph"/>
        <w:numPr>
          <w:ilvl w:val="1"/>
          <w:numId w:val="2"/>
        </w:numPr>
        <w:tabs>
          <w:tab w:val="left" w:pos="1440" w:leader="none"/>
        </w:tabs>
        <w:snapToGrid w:val="false"/>
        <w:spacing w:lineRule="auto" w:line="276" w:before="120" w:after="120"/>
        <w:contextualSpacing/>
        <w:jc w:val="both"/>
        <w:rPr>
          <w:rFonts w:ascii="Arial" w:hAnsi="Arial" w:cs="Arial"/>
          <w:bCs/>
          <w:vanish/>
          <w:color w:val="000000"/>
          <w:sz w:val="24"/>
        </w:rPr>
      </w:pPr>
      <w:r>
        <w:rPr>
          <w:rFonts w:cs="Arial"/>
          <w:bCs/>
          <w:vanish/>
          <w:color w:val="000000"/>
          <w:sz w:val="24"/>
        </w:rPr>
      </w:r>
    </w:p>
    <w:p>
      <w:pPr>
        <w:pStyle w:val="Normal"/>
        <w:numPr>
          <w:ilvl w:val="2"/>
          <w:numId w:val="1"/>
        </w:numPr>
        <w:spacing w:lineRule="auto" w:line="276" w:before="120" w:after="120"/>
        <w:jc w:val="both"/>
        <w:rPr>
          <w:rFonts w:cs="Arial"/>
          <w:color w:val="000000" w:themeColor="text1"/>
          <w:sz w:val="24"/>
        </w:rPr>
      </w:pPr>
      <w:r>
        <w:rPr>
          <w:rFonts w:cs="Arial"/>
          <w:color w:val="000000" w:themeColor="text1"/>
          <w:sz w:val="24"/>
        </w:rPr>
        <w:t>que inexistem fatos impeditivos para sua habilitação no certame, ciente da obrigatoriedade de declarar ocorrências posteriores;</w:t>
      </w:r>
    </w:p>
    <w:p>
      <w:pPr>
        <w:pStyle w:val="Normal"/>
        <w:numPr>
          <w:ilvl w:val="2"/>
          <w:numId w:val="1"/>
        </w:numPr>
        <w:spacing w:lineRule="auto" w:line="276" w:before="120" w:after="120"/>
        <w:jc w:val="both"/>
        <w:rPr>
          <w:rFonts w:cs="Arial"/>
          <w:color w:val="000000" w:themeColor="text1"/>
          <w:sz w:val="24"/>
        </w:rPr>
      </w:pPr>
      <w:r>
        <w:rPr>
          <w:rFonts w:cs="Arial"/>
          <w:color w:val="000000" w:themeColor="text1"/>
          <w:sz w:val="24"/>
        </w:rPr>
        <w:t xml:space="preserve">que </w:t>
      </w:r>
      <w:r>
        <w:rPr>
          <w:rFonts w:cs="Arial"/>
          <w:color w:val="000000"/>
          <w:sz w:val="24"/>
        </w:rPr>
        <w:t>cumpre</w:t>
      </w:r>
      <w:r>
        <w:rPr>
          <w:rFonts w:cs="Arial"/>
          <w:color w:val="000000" w:themeColor="text1"/>
          <w:sz w:val="24"/>
        </w:rPr>
        <w:t xml:space="preserve"> os requisitos estabelecidos no artigo 3° da Lei Complementar nº 123, de 2006, estando apto a usufruir do tratamento favorecido estabelecido em seus arts. 42 a 49.</w:t>
      </w:r>
    </w:p>
    <w:p>
      <w:pPr>
        <w:pStyle w:val="Normal"/>
        <w:numPr>
          <w:ilvl w:val="2"/>
          <w:numId w:val="1"/>
        </w:numPr>
        <w:spacing w:lineRule="auto" w:line="276" w:before="120" w:after="120"/>
        <w:jc w:val="both"/>
        <w:rPr>
          <w:rFonts w:cs="Arial"/>
          <w:color w:val="000000" w:themeColor="text1"/>
          <w:sz w:val="24"/>
        </w:rPr>
      </w:pPr>
      <w:r>
        <w:rPr>
          <w:rFonts w:cs="Arial"/>
          <w:color w:val="000000" w:themeColor="text1"/>
          <w:sz w:val="24"/>
        </w:rPr>
        <w:t>que está ciente e concorda com as condições contidas no Aviso de Contratação Direta e seus anexos;</w:t>
      </w:r>
    </w:p>
    <w:p>
      <w:pPr>
        <w:pStyle w:val="Normal"/>
        <w:numPr>
          <w:ilvl w:val="2"/>
          <w:numId w:val="1"/>
        </w:numPr>
        <w:spacing w:lineRule="auto" w:line="276" w:before="120" w:after="120"/>
        <w:jc w:val="both"/>
        <w:rPr>
          <w:rFonts w:cs="Arial"/>
          <w:color w:val="000000" w:themeColor="text1"/>
          <w:sz w:val="24"/>
        </w:rPr>
      </w:pPr>
      <w:r>
        <w:rPr>
          <w:rFonts w:cs="Arial"/>
          <w:color w:val="000000" w:themeColor="text1"/>
          <w:sz w:val="24"/>
        </w:rPr>
        <w:t>que assume a responsabilidade pelas transações que forem efetuadas no sistema, assumindo como firmes e verdadeiras;</w:t>
      </w:r>
    </w:p>
    <w:p>
      <w:pPr>
        <w:pStyle w:val="Normal"/>
        <w:numPr>
          <w:ilvl w:val="2"/>
          <w:numId w:val="1"/>
        </w:numPr>
        <w:spacing w:lineRule="auto" w:line="276" w:before="120" w:after="120"/>
        <w:jc w:val="both"/>
        <w:rPr>
          <w:rFonts w:cs="Arial"/>
          <w:color w:val="000000" w:themeColor="text1"/>
          <w:sz w:val="24"/>
        </w:rPr>
      </w:pPr>
      <w:r>
        <w:rPr>
          <w:rFonts w:cs="Arial"/>
          <w:color w:val="000000" w:themeColor="text1"/>
          <w:sz w:val="24"/>
        </w:rPr>
        <w:t>que cumpre as exigências de reserva de cargos para pessoa com deficiência e para reabilitado da Previdência Social, de que trata o art. 93 da Lei nº 8.213/91.</w:t>
      </w:r>
    </w:p>
    <w:p>
      <w:pPr>
        <w:pStyle w:val="Normal"/>
        <w:numPr>
          <w:ilvl w:val="2"/>
          <w:numId w:val="1"/>
        </w:numPr>
        <w:spacing w:lineRule="auto" w:line="276" w:before="120" w:after="120"/>
        <w:jc w:val="both"/>
        <w:rPr>
          <w:rFonts w:ascii="Arial" w:hAnsi="Arial"/>
        </w:rPr>
      </w:pPr>
      <w:r>
        <w:rPr>
          <w:rFonts w:cs="Arial"/>
          <w:color w:val="000000" w:themeColor="text1"/>
          <w:sz w:val="24"/>
        </w:rPr>
        <w:t>que não emprega menor de 18 anos em trabalho noturno, perigoso ou insalubre e não emprega menor de 16 anos, salvo menor, a partir de 14 anos, na condição de aprendiz, nos termos do artigo 7°, XXXIII, da Constituição;</w:t>
      </w:r>
    </w:p>
    <w:p>
      <w:pPr>
        <w:pStyle w:val="Normal"/>
        <w:spacing w:lineRule="auto" w:line="276" w:before="120" w:after="120"/>
        <w:ind w:left="720" w:hanging="0"/>
        <w:jc w:val="both"/>
        <w:rPr>
          <w:rFonts w:ascii="Arial" w:hAnsi="Arial" w:cs="Arial"/>
          <w:i/>
          <w:i/>
          <w:color w:val="FF0000"/>
          <w:sz w:val="24"/>
        </w:rPr>
      </w:pPr>
      <w:r>
        <w:rPr>
          <w:rFonts w:cs="Arial"/>
          <w:i/>
          <w:color w:val="FF0000"/>
          <w:sz w:val="24"/>
        </w:rPr>
      </w:r>
    </w:p>
    <w:p>
      <w:pPr>
        <w:pStyle w:val="Ttulo1"/>
        <w:numPr>
          <w:ilvl w:val="0"/>
          <w:numId w:val="1"/>
        </w:numPr>
        <w:rPr>
          <w:rFonts w:ascii="Arial" w:hAnsi="Arial" w:cs="Arial"/>
          <w:color w:val="00000A"/>
          <w:sz w:val="24"/>
          <w:szCs w:val="24"/>
        </w:rPr>
      </w:pPr>
      <w:bookmarkStart w:id="6" w:name="_Toc104906821"/>
      <w:bookmarkEnd w:id="6"/>
      <w:r>
        <w:rPr>
          <w:rFonts w:cs="Arial" w:ascii="Arial" w:hAnsi="Arial"/>
          <w:b/>
          <w:bCs/>
          <w:color w:val="00000A"/>
          <w:sz w:val="24"/>
          <w:szCs w:val="24"/>
        </w:rPr>
        <w:t>FASE DE LANCES</w:t>
      </w:r>
    </w:p>
    <w:p>
      <w:pPr>
        <w:pStyle w:val="ListParagraph"/>
        <w:numPr>
          <w:ilvl w:val="1"/>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 xml:space="preserve">A partir das 8:00h da data estabelecida neste Aviso de Contratação Direta, a sessão pública será automaticamente aberta pelo sistema para o envio de lances públicos e sucessivos, </w:t>
      </w:r>
      <w:r>
        <w:rPr>
          <w:rFonts w:cs="Arial"/>
          <w:bCs/>
          <w:color w:val="000000"/>
          <w:sz w:val="24"/>
          <w:lang w:eastAsia="en-US"/>
        </w:rPr>
        <w:t>exclusivamente por meio do sistema eletrônico</w:t>
      </w:r>
      <w:r>
        <w:rPr>
          <w:rFonts w:cs="Arial"/>
          <w:color w:val="000000"/>
          <w:sz w:val="24"/>
          <w:lang w:eastAsia="en-US"/>
        </w:rPr>
        <w:t xml:space="preserve">, </w:t>
      </w:r>
      <w:r>
        <w:rPr>
          <w:rFonts w:cs="Arial"/>
          <w:color w:val="000000" w:themeColor="text1"/>
          <w:sz w:val="24"/>
          <w:lang w:eastAsia="en-US"/>
        </w:rPr>
        <w:t>sendo encerrado no horário de finalização de lances também já previsto neste aviso.</w:t>
      </w:r>
    </w:p>
    <w:p>
      <w:pPr>
        <w:pStyle w:val="ListParagraph"/>
        <w:numPr>
          <w:ilvl w:val="1"/>
          <w:numId w:val="1"/>
        </w:numPr>
        <w:spacing w:lineRule="auto" w:line="276" w:before="120" w:after="120"/>
        <w:contextualSpacing/>
        <w:jc w:val="both"/>
        <w:rPr>
          <w:rFonts w:cs="Arial"/>
          <w:color w:val="000000" w:themeColor="text1"/>
          <w:sz w:val="24"/>
          <w:lang w:eastAsia="en-US"/>
        </w:rPr>
      </w:pPr>
      <w:r>
        <w:rPr>
          <w:rFonts w:cs="Arial"/>
          <w:color w:val="000000" w:themeColor="text1"/>
          <w:sz w:val="24"/>
        </w:rPr>
        <w:t xml:space="preserve">Iniciada a etapa competitiva, os fornecedores deverão encaminhar lances exclusivamente por meio de sistema eletrônico, sendo imediatamente informados do seu recebimento e do valor consignado no registro. </w:t>
      </w:r>
    </w:p>
    <w:p>
      <w:pPr>
        <w:pStyle w:val="ListParagraph"/>
        <w:numPr>
          <w:ilvl w:val="2"/>
          <w:numId w:val="1"/>
        </w:numPr>
        <w:spacing w:lineRule="auto" w:line="276" w:before="120" w:after="120"/>
        <w:contextualSpacing/>
        <w:jc w:val="both"/>
        <w:rPr>
          <w:color w:val="000000"/>
        </w:rPr>
      </w:pPr>
      <w:r>
        <w:rPr>
          <w:rFonts w:cs="Arial"/>
          <w:i w:val="false"/>
          <w:iCs w:val="false"/>
          <w:color w:val="000000"/>
          <w:sz w:val="24"/>
        </w:rPr>
        <w:t>O lance deverá ser ofertado pelo valor unitário do item.</w:t>
      </w:r>
    </w:p>
    <w:p>
      <w:pPr>
        <w:pStyle w:val="ListParagraph"/>
        <w:numPr>
          <w:ilvl w:val="1"/>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O fornecedor somente poderá oferecer valor inferior ou maior percentual de desconto em relação ao último lance por ele ofertado e registrado pelo sistema.</w:t>
      </w:r>
    </w:p>
    <w:p>
      <w:pPr>
        <w:pStyle w:val="ListParagraph"/>
        <w:numPr>
          <w:ilvl w:val="2"/>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ListParagraph"/>
        <w:numPr>
          <w:ilvl w:val="2"/>
          <w:numId w:val="1"/>
        </w:numPr>
        <w:spacing w:lineRule="auto" w:line="276" w:before="120" w:after="120"/>
        <w:contextualSpacing/>
        <w:jc w:val="both"/>
        <w:rPr/>
      </w:pPr>
      <w:r>
        <w:rPr>
          <w:rFonts w:cs="Arial"/>
          <w:color w:val="000000"/>
          <w:sz w:val="24"/>
        </w:rPr>
        <w:t>O intervalo mínimo de diferença de valores ou percentuais entre os lances, que incidirá tanto em relação aos lances intermediários quanto em relação ao que cobrir a melhor oferta é d</w:t>
      </w:r>
      <w:r>
        <w:rPr>
          <w:rFonts w:cs="Arial"/>
          <w:i w:val="false"/>
          <w:iCs w:val="false"/>
          <w:color w:val="000000"/>
          <w:sz w:val="24"/>
        </w:rPr>
        <w:t>e R$ 1,00 (um real).</w:t>
      </w:r>
    </w:p>
    <w:p>
      <w:pPr>
        <w:pStyle w:val="ListParagraph"/>
        <w:numPr>
          <w:ilvl w:val="1"/>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Havendo lances iguais ao menor já ofertado, prevalecerá aquele que for recebido e registrado primeiro no sistema.</w:t>
      </w:r>
    </w:p>
    <w:p>
      <w:pPr>
        <w:pStyle w:val="ListParagraph"/>
        <w:numPr>
          <w:ilvl w:val="1"/>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Caso o fornecedor não apresente lances, concorrerá com o valor de sua proposta.</w:t>
      </w:r>
    </w:p>
    <w:p>
      <w:pPr>
        <w:pStyle w:val="ListParagraph"/>
        <w:numPr>
          <w:ilvl w:val="1"/>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Durante o procedimento, os fornecedores serão informados, em tempo real, do valor do menor lance registrado, vedada a identificação do fornecedor.</w:t>
      </w:r>
    </w:p>
    <w:p>
      <w:pPr>
        <w:pStyle w:val="ListParagraph"/>
        <w:numPr>
          <w:ilvl w:val="1"/>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Imediatamente após o término do prazo estabelecido para a fase de lances, haverá o seu encerramento, com o ordenamento e divulgação dos lances, pelo sistema, em ordem crescente de classificação.</w:t>
      </w:r>
    </w:p>
    <w:p>
      <w:pPr>
        <w:pStyle w:val="ListParagraph"/>
        <w:numPr>
          <w:ilvl w:val="2"/>
          <w:numId w:val="1"/>
        </w:numPr>
        <w:spacing w:lineRule="auto" w:line="276" w:before="120" w:after="120"/>
        <w:contextualSpacing/>
        <w:jc w:val="both"/>
        <w:rPr/>
      </w:pPr>
      <w:r>
        <w:rPr>
          <w:rFonts w:cs="Arial"/>
          <w:color w:val="000000" w:themeColor="text1"/>
          <w:sz w:val="24"/>
          <w:lang w:eastAsia="en-US"/>
        </w:rPr>
        <w:t>O encerramento da fase de lances ocorrerá de forma automática pontualmente no horário indicado, sem qualquer possibilidade de prorrogação e não havendo tempo aleatório ou mecanismo similar.</w:t>
      </w:r>
    </w:p>
    <w:p>
      <w:pPr>
        <w:pStyle w:val="Ttulo1"/>
        <w:numPr>
          <w:ilvl w:val="0"/>
          <w:numId w:val="1"/>
        </w:numPr>
        <w:rPr>
          <w:rFonts w:ascii="Arial" w:hAnsi="Arial" w:cs="Arial"/>
          <w:color w:val="00000A"/>
          <w:sz w:val="24"/>
          <w:szCs w:val="24"/>
        </w:rPr>
      </w:pPr>
      <w:bookmarkStart w:id="7" w:name="_Toc104906822"/>
      <w:bookmarkEnd w:id="7"/>
      <w:r>
        <w:rPr>
          <w:rFonts w:cs="Arial" w:ascii="Arial" w:hAnsi="Arial"/>
          <w:b/>
          <w:bCs/>
          <w:color w:val="00000A"/>
          <w:sz w:val="24"/>
          <w:szCs w:val="24"/>
        </w:rPr>
        <w:t>JULGAMENTO DAS PROPOSTAS DE PREÇO</w:t>
      </w:r>
    </w:p>
    <w:p>
      <w:pPr>
        <w:pStyle w:val="ListParagraph"/>
        <w:numPr>
          <w:ilvl w:val="1"/>
          <w:numId w:val="1"/>
        </w:numPr>
        <w:spacing w:lineRule="auto" w:line="276" w:before="120" w:after="120"/>
        <w:contextualSpacing/>
        <w:jc w:val="both"/>
        <w:rPr>
          <w:rFonts w:cs="Arial"/>
          <w:sz w:val="24"/>
        </w:rPr>
      </w:pPr>
      <w:r>
        <w:rPr>
          <w:rFonts w:cs="Arial"/>
          <w:sz w:val="24"/>
        </w:rPr>
        <w:t>Encerrada a fase de lances, será verificada a conformidade da proposta classificada em primeiro lugar quanto à adequação do objeto e à compatibilidade do preço em relação ao estipulado para a contratação.</w:t>
      </w:r>
    </w:p>
    <w:p>
      <w:pPr>
        <w:pStyle w:val="ListParagraph"/>
        <w:numPr>
          <w:ilvl w:val="1"/>
          <w:numId w:val="1"/>
        </w:numPr>
        <w:spacing w:lineRule="auto" w:line="276" w:before="120" w:after="120"/>
        <w:contextualSpacing/>
        <w:jc w:val="both"/>
        <w:rPr>
          <w:rFonts w:cs="Arial"/>
          <w:sz w:val="24"/>
        </w:rPr>
      </w:pPr>
      <w:r>
        <w:rPr>
          <w:rFonts w:cs="Arial"/>
          <w:sz w:val="24"/>
        </w:rPr>
        <w:t>No caso de o preço da proposta vencedora estar acima do estimado pela Administração, poderá haver a negociação de condições mais vantajosas.</w:t>
      </w:r>
    </w:p>
    <w:p>
      <w:pPr>
        <w:pStyle w:val="ListParagraph"/>
        <w:numPr>
          <w:ilvl w:val="2"/>
          <w:numId w:val="1"/>
        </w:numPr>
        <w:spacing w:lineRule="auto" w:line="276" w:before="120" w:after="120"/>
        <w:contextualSpacing/>
        <w:jc w:val="both"/>
        <w:rPr>
          <w:rFonts w:cs="Arial"/>
          <w:sz w:val="24"/>
        </w:rPr>
      </w:pPr>
      <w:r>
        <w:rPr>
          <w:rFonts w:cs="Arial"/>
          <w:color w:val="000000"/>
          <w:sz w:val="24"/>
        </w:rPr>
        <w:t>Neste caso, será encaminhada contraproposta ao fornecedor que tenha apresentado o melhor preço, para que seja obtida melhor proposta com preço compatível ao estimado pela Administração.</w:t>
      </w:r>
    </w:p>
    <w:p>
      <w:pPr>
        <w:pStyle w:val="ListParagraph"/>
        <w:numPr>
          <w:ilvl w:val="2"/>
          <w:numId w:val="1"/>
        </w:numPr>
        <w:spacing w:lineRule="auto" w:line="276" w:before="120" w:after="120"/>
        <w:contextualSpacing/>
        <w:jc w:val="both"/>
        <w:rPr>
          <w:rFonts w:cs="Arial"/>
          <w:sz w:val="24"/>
        </w:rPr>
      </w:pPr>
      <w:r>
        <w:rPr>
          <w:rFonts w:cs="Arial"/>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pPr>
        <w:pStyle w:val="ListParagraph"/>
        <w:numPr>
          <w:ilvl w:val="2"/>
          <w:numId w:val="1"/>
        </w:numPr>
        <w:spacing w:lineRule="auto" w:line="276" w:before="120" w:after="120"/>
        <w:contextualSpacing/>
        <w:jc w:val="both"/>
        <w:rPr>
          <w:rFonts w:cs="Arial"/>
          <w:sz w:val="24"/>
        </w:rPr>
      </w:pPr>
      <w:r>
        <w:rPr>
          <w:rFonts w:cs="Arial"/>
          <w:sz w:val="24"/>
        </w:rPr>
        <w:t>Em qualquer caso, concluída a negociação, o resultado será registrado na ata do procedimento da dispensa eletrônica.</w:t>
      </w:r>
    </w:p>
    <w:p>
      <w:pPr>
        <w:pStyle w:val="ListParagraph"/>
        <w:numPr>
          <w:ilvl w:val="1"/>
          <w:numId w:val="1"/>
        </w:numPr>
        <w:spacing w:lineRule="auto" w:line="276" w:before="120" w:after="120"/>
        <w:contextualSpacing/>
        <w:jc w:val="both"/>
        <w:rPr>
          <w:rFonts w:ascii="Arial" w:hAnsi="Arial"/>
        </w:rPr>
      </w:pPr>
      <w:r>
        <w:rPr>
          <w:rFonts w:cs="Arial"/>
          <w:sz w:val="24"/>
        </w:rPr>
        <w:t>Estando o preço compatível, será solicitado o envio da proposta e, se necessário, de documentos complementares, adequada ao último lance.</w:t>
      </w:r>
    </w:p>
    <w:p>
      <w:pPr>
        <w:pStyle w:val="Normal"/>
        <w:numPr>
          <w:ilvl w:val="1"/>
          <w:numId w:val="1"/>
        </w:numPr>
        <w:spacing w:lineRule="auto" w:line="276" w:before="120" w:after="120"/>
        <w:jc w:val="both"/>
        <w:rPr>
          <w:rFonts w:ascii="Arial" w:hAnsi="Arial"/>
        </w:rPr>
      </w:pPr>
      <w:r>
        <w:rPr>
          <w:rFonts w:cs="Arial"/>
          <w:color w:val="000000" w:themeColor="text1"/>
          <w:sz w:val="24"/>
        </w:rPr>
        <w:t xml:space="preserve">O prazo de validade </w:t>
      </w:r>
      <w:r>
        <w:rPr>
          <w:rFonts w:cs="Arial"/>
          <w:sz w:val="24"/>
        </w:rPr>
        <w:t>da</w:t>
      </w:r>
      <w:r>
        <w:rPr>
          <w:rFonts w:cs="Arial"/>
          <w:color w:val="000000" w:themeColor="text1"/>
          <w:sz w:val="24"/>
        </w:rPr>
        <w:t xml:space="preserve"> proposta não será inferior a 90 dias, a contar da data de sua apresentação.</w:t>
      </w:r>
    </w:p>
    <w:p>
      <w:pPr>
        <w:pStyle w:val="ListParagraph"/>
        <w:numPr>
          <w:ilvl w:val="1"/>
          <w:numId w:val="1"/>
        </w:numPr>
        <w:spacing w:lineRule="auto" w:line="276" w:before="120" w:after="120"/>
        <w:contextualSpacing/>
        <w:jc w:val="both"/>
        <w:rPr>
          <w:rFonts w:cs="Arial"/>
          <w:i/>
          <w:i/>
          <w:color w:val="000000" w:themeColor="text1"/>
          <w:sz w:val="24"/>
        </w:rPr>
      </w:pPr>
      <w:r>
        <w:rPr>
          <w:rFonts w:cs="Arial"/>
          <w:color w:val="000000" w:themeColor="text1"/>
          <w:sz w:val="24"/>
          <w:lang w:eastAsia="en-US"/>
        </w:rPr>
        <w:t xml:space="preserve">Será desclassificada a proposta vencedora que: </w:t>
      </w:r>
    </w:p>
    <w:p>
      <w:pPr>
        <w:pStyle w:val="ListParagraph"/>
        <w:numPr>
          <w:ilvl w:val="2"/>
          <w:numId w:val="1"/>
        </w:numPr>
        <w:spacing w:lineRule="auto" w:line="276" w:before="120" w:after="120"/>
        <w:contextualSpacing/>
        <w:jc w:val="both"/>
        <w:rPr>
          <w:rFonts w:cs="Arial"/>
          <w:i/>
          <w:i/>
          <w:color w:val="000000" w:themeColor="text1"/>
          <w:sz w:val="24"/>
        </w:rPr>
      </w:pPr>
      <w:r>
        <w:rPr>
          <w:rFonts w:cs="Arial"/>
          <w:color w:val="000000"/>
          <w:sz w:val="24"/>
        </w:rPr>
        <w:t>contiver vícios insanáveis</w:t>
      </w:r>
      <w:r>
        <w:rPr>
          <w:rFonts w:cs="Arial"/>
          <w:iCs/>
          <w:color w:val="000000" w:themeColor="text1"/>
          <w:sz w:val="24"/>
        </w:rPr>
        <w:t>;</w:t>
      </w:r>
    </w:p>
    <w:p>
      <w:pPr>
        <w:pStyle w:val="ListParagraph"/>
        <w:numPr>
          <w:ilvl w:val="2"/>
          <w:numId w:val="1"/>
        </w:numPr>
        <w:spacing w:lineRule="auto" w:line="276" w:before="120" w:after="120"/>
        <w:contextualSpacing/>
        <w:jc w:val="both"/>
        <w:rPr>
          <w:rFonts w:cs="Arial"/>
          <w:i/>
          <w:i/>
          <w:color w:val="000000" w:themeColor="text1"/>
          <w:sz w:val="24"/>
        </w:rPr>
      </w:pPr>
      <w:r>
        <w:rPr>
          <w:rFonts w:cs="Arial"/>
          <w:color w:val="000000"/>
          <w:sz w:val="24"/>
        </w:rPr>
        <w:t>não obedecer às especificações técnicas pormenorizadas neste aviso ou em seus anexos</w:t>
      </w:r>
      <w:r>
        <w:rPr>
          <w:rFonts w:cs="Arial"/>
          <w:iCs/>
          <w:color w:val="000000" w:themeColor="text1"/>
          <w:sz w:val="24"/>
        </w:rPr>
        <w:t>;</w:t>
      </w:r>
    </w:p>
    <w:p>
      <w:pPr>
        <w:pStyle w:val="ListParagraph"/>
        <w:numPr>
          <w:ilvl w:val="2"/>
          <w:numId w:val="1"/>
        </w:numPr>
        <w:spacing w:lineRule="auto" w:line="276" w:before="120" w:after="120"/>
        <w:contextualSpacing/>
        <w:jc w:val="both"/>
        <w:rPr>
          <w:rFonts w:cs="Arial"/>
          <w:i/>
          <w:i/>
          <w:color w:val="000000" w:themeColor="text1"/>
          <w:sz w:val="24"/>
        </w:rPr>
      </w:pPr>
      <w:r>
        <w:rPr>
          <w:rFonts w:cs="Arial"/>
          <w:color w:val="000000"/>
          <w:sz w:val="24"/>
        </w:rPr>
        <w:t>apresentar preços inexequíveis ou permanecerem acima do preço máximo definido para a contratação;</w:t>
      </w:r>
    </w:p>
    <w:p>
      <w:pPr>
        <w:pStyle w:val="ListParagraph"/>
        <w:numPr>
          <w:ilvl w:val="2"/>
          <w:numId w:val="1"/>
        </w:numPr>
        <w:spacing w:lineRule="auto" w:line="276" w:before="120" w:after="120"/>
        <w:contextualSpacing/>
        <w:jc w:val="both"/>
        <w:rPr>
          <w:rFonts w:cs="Arial"/>
          <w:i/>
          <w:i/>
          <w:color w:val="000000" w:themeColor="text1"/>
          <w:sz w:val="24"/>
        </w:rPr>
      </w:pPr>
      <w:r>
        <w:rPr>
          <w:rFonts w:cs="Arial"/>
          <w:color w:val="000000"/>
          <w:sz w:val="24"/>
        </w:rPr>
        <w:t>não tiverem sua exequibilidade demonstrada, quando exigido pela Administração</w:t>
      </w:r>
      <w:r>
        <w:rPr>
          <w:rFonts w:cs="Arial"/>
          <w:iCs/>
          <w:color w:val="000000" w:themeColor="text1"/>
          <w:sz w:val="24"/>
        </w:rPr>
        <w:t>;</w:t>
      </w:r>
    </w:p>
    <w:p>
      <w:pPr>
        <w:pStyle w:val="ListParagraph"/>
        <w:numPr>
          <w:ilvl w:val="2"/>
          <w:numId w:val="1"/>
        </w:numPr>
        <w:spacing w:lineRule="auto" w:line="276" w:before="120" w:after="120"/>
        <w:contextualSpacing/>
        <w:jc w:val="both"/>
        <w:rPr>
          <w:rFonts w:cs="Arial"/>
          <w:i/>
          <w:i/>
          <w:color w:val="000000" w:themeColor="text1"/>
          <w:sz w:val="24"/>
        </w:rPr>
      </w:pPr>
      <w:r>
        <w:rPr>
          <w:rFonts w:cs="Arial"/>
          <w:color w:val="000000"/>
          <w:sz w:val="24"/>
        </w:rPr>
        <w:t>apresentar desconformidade com quaisquer outras exigências deste aviso ou seus anexos, desde que insanável.</w:t>
      </w:r>
    </w:p>
    <w:p>
      <w:pPr>
        <w:pStyle w:val="ListParagraph"/>
        <w:numPr>
          <w:ilvl w:val="1"/>
          <w:numId w:val="1"/>
        </w:numPr>
        <w:spacing w:lineRule="auto" w:line="276" w:before="120" w:after="120"/>
        <w:contextualSpacing/>
        <w:jc w:val="both"/>
        <w:rPr>
          <w:rFonts w:cs="Arial"/>
          <w:i/>
          <w:i/>
          <w:color w:val="000000" w:themeColor="text1"/>
          <w:sz w:val="24"/>
        </w:rPr>
      </w:pPr>
      <w:r>
        <w:rPr>
          <w:rFonts w:cs="Arial"/>
          <w:color w:val="000000" w:themeColor="text1"/>
          <w:sz w:val="24"/>
          <w:lang w:eastAsia="en-US"/>
        </w:rPr>
        <w:t>Quando</w:t>
      </w:r>
      <w:r>
        <w:rPr>
          <w:rFonts w:cs="Arial"/>
          <w:sz w:val="24"/>
        </w:rPr>
        <w:t xml:space="preserve"> o fornecedor não conseguir comprovar que possui ou possuirá recursos suficientes para executar a contento o objeto, será considerada inexequível a proposta de preços ou menor lance que:</w:t>
      </w:r>
    </w:p>
    <w:p>
      <w:pPr>
        <w:pStyle w:val="ListParagraph"/>
        <w:numPr>
          <w:ilvl w:val="2"/>
          <w:numId w:val="1"/>
        </w:numPr>
        <w:spacing w:lineRule="auto" w:line="276" w:before="120" w:after="120"/>
        <w:contextualSpacing/>
        <w:jc w:val="both"/>
        <w:rPr>
          <w:rFonts w:cs="Arial"/>
          <w:i/>
          <w:i/>
          <w:color w:val="000000" w:themeColor="text1"/>
          <w:sz w:val="24"/>
        </w:rPr>
      </w:pPr>
      <w:r>
        <w:rPr>
          <w:rFonts w:cs="Arial"/>
          <w:sz w:val="24"/>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ListParagraph"/>
        <w:numPr>
          <w:ilvl w:val="2"/>
          <w:numId w:val="1"/>
        </w:numPr>
        <w:spacing w:lineRule="auto" w:line="276" w:before="120" w:after="120"/>
        <w:contextualSpacing/>
        <w:jc w:val="both"/>
        <w:rPr>
          <w:rFonts w:ascii="Arial" w:hAnsi="Arial"/>
        </w:rPr>
      </w:pPr>
      <w:r>
        <w:rPr>
          <w:rFonts w:cs="Arial"/>
          <w:sz w:val="24"/>
        </w:rPr>
        <w:t>apresentar um ou mais valores da planilha de custo que sejam inferiores àqueles fixados em instrumentos de caráter normativo obrigatório, tais como leis, medidas provisórias e convenções coletivas de trabalho vigentes.</w:t>
      </w:r>
    </w:p>
    <w:p>
      <w:pPr>
        <w:pStyle w:val="ListParagraph"/>
        <w:numPr>
          <w:ilvl w:val="1"/>
          <w:numId w:val="1"/>
        </w:numPr>
        <w:spacing w:lineRule="auto" w:line="276" w:before="120" w:after="120"/>
        <w:ind w:left="792" w:right="-15" w:hanging="432"/>
        <w:contextualSpacing/>
        <w:jc w:val="both"/>
        <w:rPr>
          <w:rFonts w:cs="Arial"/>
          <w:color w:val="000000" w:themeColor="text1"/>
          <w:sz w:val="24"/>
          <w:lang w:eastAsia="en-US"/>
        </w:rPr>
      </w:pPr>
      <w:r>
        <w:rPr>
          <w:rFonts w:cs="Arial"/>
          <w:color w:val="000000" w:themeColor="text1"/>
          <w:sz w:val="24"/>
          <w:lang w:eastAsia="en-US"/>
        </w:rPr>
        <w:t xml:space="preserve">Se houver indícios de inexequibilidade da proposta de preço, ou em caso da necessidade de esclarecimentos </w:t>
      </w:r>
      <w:r>
        <w:rPr>
          <w:rFonts w:cs="Arial"/>
          <w:sz w:val="24"/>
        </w:rPr>
        <w:t>complementares</w:t>
      </w:r>
      <w:r>
        <w:rPr>
          <w:rFonts w:cs="Arial"/>
          <w:color w:val="000000" w:themeColor="text1"/>
          <w:sz w:val="24"/>
          <w:lang w:eastAsia="en-US"/>
        </w:rPr>
        <w:t xml:space="preserve">, poderão ser efetuadas diligências, para que a empresa comprove a exequibilidade da proposta.  </w:t>
      </w:r>
    </w:p>
    <w:p>
      <w:pPr>
        <w:pStyle w:val="ListParagraph"/>
        <w:numPr>
          <w:ilvl w:val="1"/>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 xml:space="preserve">Erros no preenchimento da planilha não constituem motivo para a desclassificação da proposta. A planilha </w:t>
      </w:r>
      <w:r>
        <w:rPr>
          <w:rFonts w:cs="Arial"/>
          <w:sz w:val="24"/>
        </w:rPr>
        <w:t>poderá́</w:t>
      </w:r>
      <w:r>
        <w:rPr>
          <w:rFonts w:cs="Arial"/>
          <w:color w:val="000000" w:themeColor="text1"/>
          <w:sz w:val="24"/>
          <w:lang w:eastAsia="en-US"/>
        </w:rPr>
        <w:t xml:space="preserve"> ser ajustada pelo fornecedor, no prazo indicado pelo sistema, desde que não haja majoração do preço.</w:t>
      </w:r>
    </w:p>
    <w:p>
      <w:pPr>
        <w:pStyle w:val="ListParagraph"/>
        <w:numPr>
          <w:ilvl w:val="2"/>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O ajuste de que trata este dispositivo se limita a sanar erros ou falhas que não alterem a substância das propostas;</w:t>
      </w:r>
    </w:p>
    <w:p>
      <w:pPr>
        <w:pStyle w:val="ListParagraph"/>
        <w:numPr>
          <w:ilvl w:val="2"/>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Considera-se erro no preenchimento da planilha passível de correção a indicação de recolhimento de impostos e contribuições na forma do Simples Nacional, quando não cabível esse regime.</w:t>
      </w:r>
    </w:p>
    <w:p>
      <w:pPr>
        <w:pStyle w:val="ListParagraph"/>
        <w:numPr>
          <w:ilvl w:val="1"/>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Para fins de análise da proposta quanto ao cumprimento das especificações do objeto, poderá ser colhida a manifestação escrita do setor requisitante do serviço ou da área especializada no objeto.</w:t>
      </w:r>
    </w:p>
    <w:p>
      <w:pPr>
        <w:pStyle w:val="ListParagraph"/>
        <w:numPr>
          <w:ilvl w:val="1"/>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Se a proposta ou lance vencedor for desclassificado, será examinada a proposta ou lance subsequente, e, assim sucessivamente, na ordem de classificação.</w:t>
      </w:r>
    </w:p>
    <w:p>
      <w:pPr>
        <w:pStyle w:val="ListParagraph"/>
        <w:numPr>
          <w:ilvl w:val="1"/>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Havendo necessidade, a sessão será suspensa, informando-se no “chat” a nova data e horário para a sua continuidade.</w:t>
      </w:r>
    </w:p>
    <w:p>
      <w:pPr>
        <w:pStyle w:val="ListParagraph"/>
        <w:numPr>
          <w:ilvl w:val="1"/>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Encerrada a análise quanto à aceitação da proposta, se iniciará a fase de habilitação, observado o disposto neste Aviso de Contratação Direta. </w:t>
      </w:r>
    </w:p>
    <w:p>
      <w:pPr>
        <w:pStyle w:val="Normal"/>
        <w:spacing w:lineRule="auto" w:line="276" w:before="120" w:after="120"/>
        <w:ind w:left="360" w:hanging="0"/>
        <w:jc w:val="both"/>
        <w:rPr>
          <w:rFonts w:ascii="Arial" w:hAnsi="Arial" w:cs="Arial"/>
          <w:color w:val="000000" w:themeColor="text1"/>
          <w:sz w:val="24"/>
          <w:lang w:eastAsia="en-US"/>
        </w:rPr>
      </w:pPr>
      <w:r>
        <w:rPr>
          <w:rFonts w:cs="Arial"/>
          <w:color w:val="000000" w:themeColor="text1"/>
          <w:sz w:val="24"/>
          <w:lang w:eastAsia="en-US"/>
        </w:rPr>
      </w:r>
    </w:p>
    <w:p>
      <w:pPr>
        <w:pStyle w:val="Ttulo1"/>
        <w:numPr>
          <w:ilvl w:val="0"/>
          <w:numId w:val="1"/>
        </w:numPr>
        <w:rPr>
          <w:rFonts w:ascii="Arial" w:hAnsi="Arial" w:cs="Arial"/>
          <w:color w:val="00000A"/>
          <w:sz w:val="24"/>
          <w:szCs w:val="24"/>
        </w:rPr>
      </w:pPr>
      <w:bookmarkStart w:id="8" w:name="_Toc104906823"/>
      <w:bookmarkEnd w:id="8"/>
      <w:r>
        <w:rPr>
          <w:rFonts w:cs="Arial" w:ascii="Arial" w:hAnsi="Arial"/>
          <w:b/>
          <w:bCs/>
          <w:color w:val="00000A"/>
          <w:sz w:val="24"/>
          <w:szCs w:val="24"/>
        </w:rPr>
        <w:t>HABILITAÇÃO</w:t>
      </w:r>
    </w:p>
    <w:p>
      <w:pPr>
        <w:pStyle w:val="ListParagraph"/>
        <w:numPr>
          <w:ilvl w:val="1"/>
          <w:numId w:val="1"/>
        </w:numPr>
        <w:spacing w:lineRule="auto" w:line="276" w:before="120" w:after="120"/>
        <w:contextualSpacing/>
        <w:jc w:val="both"/>
        <w:rPr>
          <w:rFonts w:cs="Arial"/>
          <w:b/>
          <w:b/>
          <w:sz w:val="24"/>
          <w:lang w:eastAsia="ar-SA"/>
        </w:rPr>
      </w:pPr>
      <w:r>
        <w:rPr>
          <w:rFonts w:cs="Arial"/>
          <w:sz w:val="24"/>
          <w:lang w:eastAsia="ar-SA"/>
        </w:rPr>
        <w:t xml:space="preserve">Os </w:t>
      </w:r>
      <w:r>
        <w:rPr>
          <w:rFonts w:cs="Arial"/>
          <w:color w:val="000000"/>
          <w:sz w:val="24"/>
        </w:rPr>
        <w:t>documentos</w:t>
      </w:r>
      <w:r>
        <w:rPr>
          <w:rFonts w:cs="Arial"/>
          <w:sz w:val="24"/>
          <w:lang w:eastAsia="ar-SA"/>
        </w:rPr>
        <w:t xml:space="preserve"> a serem exigidos para fins de habilitação constam do </w:t>
      </w:r>
      <w:r>
        <w:rPr>
          <w:rFonts w:cs="Arial"/>
          <w:b/>
          <w:sz w:val="24"/>
          <w:lang w:eastAsia="ar-SA"/>
        </w:rPr>
        <w:t xml:space="preserve">ANEXO I – DOCUMENTAÇÃO EXIGIDA PARA HABILITAÇÃO </w:t>
      </w:r>
      <w:r>
        <w:rPr>
          <w:rFonts w:cs="Arial"/>
          <w:sz w:val="24"/>
          <w:lang w:eastAsia="ar-SA"/>
        </w:rPr>
        <w:t>deste aviso e serão solicitados do fornecedor mais bem classificado da fase de lances.</w:t>
      </w:r>
    </w:p>
    <w:p>
      <w:pPr>
        <w:pStyle w:val="ListParagraph"/>
        <w:numPr>
          <w:ilvl w:val="1"/>
          <w:numId w:val="1"/>
        </w:numPr>
        <w:spacing w:lineRule="auto" w:line="276" w:before="120" w:after="120"/>
        <w:ind w:left="792" w:hanging="574"/>
        <w:contextualSpacing/>
        <w:jc w:val="both"/>
        <w:rPr>
          <w:rFonts w:cs="Arial"/>
          <w:b/>
          <w:b/>
          <w:sz w:val="24"/>
          <w:lang w:eastAsia="ar-SA"/>
        </w:rPr>
      </w:pPr>
      <w:r>
        <w:rPr>
          <w:rFonts w:cs="Arial"/>
          <w:sz w:val="24"/>
          <w:lang w:eastAsia="ar-SA"/>
        </w:rPr>
        <w:t xml:space="preserve">Como </w:t>
      </w:r>
      <w:r>
        <w:rPr>
          <w:rFonts w:cs="Arial"/>
          <w:color w:val="000000"/>
          <w:sz w:val="24"/>
        </w:rPr>
        <w:t>condição</w:t>
      </w:r>
      <w:r>
        <w:rPr>
          <w:rFonts w:cs="Arial"/>
          <w:sz w:val="24"/>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pPr>
        <w:pStyle w:val="ListParagraph"/>
        <w:spacing w:lineRule="auto" w:line="276" w:before="120" w:after="120"/>
        <w:ind w:left="1134" w:hanging="0"/>
        <w:contextualSpacing/>
        <w:jc w:val="both"/>
        <w:rPr>
          <w:rFonts w:cs="Arial"/>
          <w:sz w:val="24"/>
          <w:lang w:eastAsia="ar-SA"/>
        </w:rPr>
      </w:pPr>
      <w:r>
        <w:rPr>
          <w:rFonts w:cs="Arial"/>
          <w:sz w:val="24"/>
          <w:lang w:eastAsia="ar-SA"/>
        </w:rPr>
        <w:t xml:space="preserve">a) SICAF;  </w:t>
      </w:r>
    </w:p>
    <w:p>
      <w:pPr>
        <w:pStyle w:val="ListParagraph"/>
        <w:spacing w:lineRule="auto" w:line="276" w:before="120" w:after="120"/>
        <w:ind w:left="1134" w:hanging="0"/>
        <w:contextualSpacing/>
        <w:jc w:val="both"/>
        <w:rPr>
          <w:rFonts w:cs="Arial"/>
          <w:sz w:val="24"/>
          <w:lang w:eastAsia="ar-SA"/>
        </w:rPr>
      </w:pPr>
      <w:r>
        <w:rPr>
          <w:rFonts w:cs="Arial"/>
          <w:sz w:val="24"/>
          <w:lang w:eastAsia="ar-SA"/>
        </w:rPr>
        <w:t>b) Cadastro Nacional de Empresas Inidôneas e Suspensas - CEIS, mantido pela Controladoria-Geral da União (</w:t>
      </w:r>
      <w:hyperlink r:id="rId4">
        <w:r>
          <w:rPr>
            <w:rStyle w:val="LinkdaInternet"/>
            <w:rFonts w:eastAsia="Calibri" w:cs="Arial"/>
            <w:sz w:val="24"/>
            <w:lang w:eastAsia="ar-SA"/>
          </w:rPr>
          <w:t>www.portaldatransparencia.gov.br/ceis</w:t>
        </w:r>
      </w:hyperlink>
      <w:r>
        <w:rPr>
          <w:rFonts w:cs="Arial"/>
          <w:sz w:val="24"/>
          <w:lang w:eastAsia="ar-SA"/>
        </w:rPr>
        <w:t xml:space="preserve">);  </w:t>
      </w:r>
    </w:p>
    <w:p>
      <w:pPr>
        <w:pStyle w:val="ListParagraph"/>
        <w:spacing w:lineRule="auto" w:line="276" w:before="120" w:after="120"/>
        <w:ind w:left="1134" w:hanging="0"/>
        <w:contextualSpacing/>
        <w:jc w:val="both"/>
        <w:rPr>
          <w:rFonts w:cs="Arial"/>
          <w:sz w:val="24"/>
          <w:lang w:eastAsia="ar-SA"/>
        </w:rPr>
      </w:pPr>
      <w:r>
        <w:rPr>
          <w:rFonts w:cs="Arial"/>
          <w:sz w:val="24"/>
          <w:lang w:eastAsia="ar-SA"/>
        </w:rPr>
        <w:t>c) Cadastro Nacional de Condenações Cíveis por Atos de Improbidade Administrativa, mantido pelo Conselho Nacional de Justiça (</w:t>
      </w:r>
      <w:hyperlink r:id="rId5">
        <w:r>
          <w:rPr>
            <w:rStyle w:val="LinkdaInternet"/>
            <w:rFonts w:eastAsia="Calibri" w:cs="Arial"/>
            <w:sz w:val="24"/>
            <w:lang w:eastAsia="ar-SA"/>
          </w:rPr>
          <w:t>www.cnj.jus.br/improbidade_adm/consultar_requerido.php</w:t>
        </w:r>
      </w:hyperlink>
      <w:r>
        <w:rPr>
          <w:rFonts w:cs="Arial"/>
          <w:sz w:val="24"/>
          <w:lang w:eastAsia="ar-SA"/>
        </w:rPr>
        <w:t xml:space="preserve">).  </w:t>
      </w:r>
    </w:p>
    <w:p>
      <w:pPr>
        <w:pStyle w:val="ListParagraph"/>
        <w:spacing w:lineRule="auto" w:line="276" w:before="120" w:after="120"/>
        <w:ind w:left="1134" w:hanging="0"/>
        <w:contextualSpacing/>
        <w:jc w:val="both"/>
        <w:rPr>
          <w:rFonts w:cs="Arial"/>
          <w:sz w:val="24"/>
          <w:lang w:eastAsia="ar-SA"/>
        </w:rPr>
      </w:pPr>
      <w:r>
        <w:rPr>
          <w:rFonts w:cs="Arial"/>
          <w:sz w:val="24"/>
          <w:lang w:eastAsia="ar-SA"/>
        </w:rPr>
        <w:t xml:space="preserve">d) Lista de Inidôneos mantida pelo Tribunal de Contas da União - TCU; </w:t>
      </w:r>
    </w:p>
    <w:p>
      <w:pPr>
        <w:pStyle w:val="ListParagraph"/>
        <w:numPr>
          <w:ilvl w:val="2"/>
          <w:numId w:val="1"/>
        </w:numPr>
        <w:spacing w:lineRule="auto" w:line="276" w:before="120" w:after="120"/>
        <w:contextualSpacing/>
        <w:jc w:val="both"/>
        <w:rPr>
          <w:rFonts w:cs="Arial"/>
          <w:b/>
          <w:b/>
          <w:sz w:val="24"/>
        </w:rPr>
      </w:pPr>
      <w:r>
        <w:rPr>
          <w:rFonts w:cs="Arial"/>
          <w:sz w:val="24"/>
          <w:lang w:eastAsia="ar-SA"/>
        </w:rPr>
        <w:t xml:space="preserve">Para a consulta de </w:t>
      </w:r>
      <w:r>
        <w:rPr>
          <w:rFonts w:cs="Arial"/>
          <w:color w:val="000000" w:themeColor="text1"/>
          <w:sz w:val="24"/>
        </w:rPr>
        <w:t>fornecedores</w:t>
      </w:r>
      <w:r>
        <w:rPr>
          <w:rFonts w:cs="Arial"/>
          <w:sz w:val="24"/>
          <w:lang w:eastAsia="ar-SA"/>
        </w:rPr>
        <w:t xml:space="preserve"> pessoa jurídica poderá haver a substituição das consultas das alíneas “b”, “c” e “d” acima pela Consulta Consolidada de Pessoa Jurídica do TCU (https://certidoesapf.apps.tcu.gov.br/)</w:t>
      </w:r>
    </w:p>
    <w:p>
      <w:pPr>
        <w:pStyle w:val="ListParagraph"/>
        <w:numPr>
          <w:ilvl w:val="2"/>
          <w:numId w:val="1"/>
        </w:numPr>
        <w:spacing w:lineRule="auto" w:line="276" w:before="120" w:after="120"/>
        <w:contextualSpacing/>
        <w:jc w:val="both"/>
        <w:rPr>
          <w:rFonts w:cs="Arial"/>
          <w:sz w:val="24"/>
        </w:rPr>
      </w:pPr>
      <w:r>
        <w:rPr>
          <w:rFonts w:cs="Arial"/>
          <w:color w:val="000000" w:themeColor="text1"/>
          <w:sz w:val="24"/>
        </w:rPr>
        <w:t xml:space="preserve">A consulta aos </w:t>
      </w:r>
      <w:r>
        <w:rPr>
          <w:rFonts w:cs="Arial"/>
          <w:sz w:val="24"/>
          <w:lang w:eastAsia="ar-SA"/>
        </w:rPr>
        <w:t>cadastros</w:t>
      </w:r>
      <w:r>
        <w:rPr>
          <w:rFonts w:cs="Arial"/>
          <w:color w:val="000000" w:themeColor="text1"/>
          <w:sz w:val="24"/>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pPr>
        <w:pStyle w:val="ListParagraph"/>
        <w:numPr>
          <w:ilvl w:val="3"/>
          <w:numId w:val="1"/>
        </w:numPr>
        <w:spacing w:lineRule="auto" w:line="276" w:before="120" w:after="120"/>
        <w:contextualSpacing/>
        <w:jc w:val="both"/>
        <w:rPr>
          <w:rFonts w:cs="Arial"/>
          <w:sz w:val="24"/>
        </w:rPr>
      </w:pPr>
      <w:r>
        <w:rPr>
          <w:rFonts w:cs="Arial"/>
          <w:color w:val="000000" w:themeColor="text1"/>
          <w:sz w:val="24"/>
        </w:rPr>
        <w:t>Caso conste na Consulta de Situação do Fornecedor a existência de Ocorrências Impeditivas Indiretas, o gestor diligenciará para verificar se houve fraude por parte das empresas apontadas no Relatório de Ocorrências Impeditivas Indiretas.</w:t>
      </w:r>
    </w:p>
    <w:p>
      <w:pPr>
        <w:pStyle w:val="ListParagraph"/>
        <w:numPr>
          <w:ilvl w:val="4"/>
          <w:numId w:val="1"/>
        </w:numPr>
        <w:spacing w:lineRule="auto" w:line="276" w:before="120" w:after="120"/>
        <w:contextualSpacing/>
        <w:jc w:val="both"/>
        <w:rPr>
          <w:rFonts w:cs="Arial"/>
          <w:color w:val="000000" w:themeColor="text1"/>
          <w:sz w:val="24"/>
        </w:rPr>
      </w:pPr>
      <w:r>
        <w:rPr>
          <w:rFonts w:cs="Arial"/>
          <w:color w:val="000000" w:themeColor="text1"/>
          <w:sz w:val="24"/>
        </w:rPr>
        <w:t>A tentativa de burla será verificada por meio dos vínculos societários, linhas de fornecimento similares, dentre outros.</w:t>
      </w:r>
    </w:p>
    <w:p>
      <w:pPr>
        <w:pStyle w:val="ListParagraph"/>
        <w:numPr>
          <w:ilvl w:val="4"/>
          <w:numId w:val="1"/>
        </w:numPr>
        <w:spacing w:lineRule="auto" w:line="276" w:before="120" w:after="120"/>
        <w:contextualSpacing/>
        <w:jc w:val="both"/>
        <w:rPr>
          <w:rFonts w:cs="Arial"/>
          <w:sz w:val="24"/>
        </w:rPr>
      </w:pPr>
      <w:r>
        <w:rPr>
          <w:rFonts w:cs="Arial"/>
          <w:color w:val="000000" w:themeColor="text1"/>
          <w:sz w:val="24"/>
        </w:rPr>
        <w:t>O fornecedor será convocado para manifestação previamente à sua desclassificação</w:t>
      </w:r>
    </w:p>
    <w:p>
      <w:pPr>
        <w:pStyle w:val="ListParagraph"/>
        <w:numPr>
          <w:ilvl w:val="2"/>
          <w:numId w:val="1"/>
        </w:numPr>
        <w:spacing w:lineRule="auto" w:line="276" w:before="120" w:after="120"/>
        <w:contextualSpacing/>
        <w:jc w:val="both"/>
        <w:rPr>
          <w:rFonts w:cs="Arial"/>
          <w:sz w:val="24"/>
        </w:rPr>
      </w:pPr>
      <w:r>
        <w:rPr>
          <w:rFonts w:cs="Arial"/>
          <w:color w:val="000000" w:themeColor="text1"/>
          <w:sz w:val="24"/>
        </w:rPr>
        <w:t>Constatada a existência de sanção, o fornecedor será reputado inabilitado, por falta de condição de participação.</w:t>
      </w:r>
    </w:p>
    <w:p>
      <w:pPr>
        <w:pStyle w:val="ListParagraph"/>
        <w:numPr>
          <w:ilvl w:val="1"/>
          <w:numId w:val="1"/>
        </w:numPr>
        <w:spacing w:lineRule="auto" w:line="276" w:before="120" w:after="120"/>
        <w:ind w:left="792" w:hanging="574"/>
        <w:contextualSpacing/>
        <w:jc w:val="both"/>
        <w:rPr>
          <w:rFonts w:cs="Arial"/>
          <w:sz w:val="24"/>
        </w:rPr>
      </w:pPr>
      <w:r>
        <w:rPr>
          <w:rFonts w:cs="Arial"/>
          <w:color w:val="000000" w:themeColor="text1"/>
          <w:sz w:val="24"/>
        </w:rPr>
        <w:t xml:space="preserve">Caso atendidas as condições de participação, </w:t>
      </w:r>
      <w:r>
        <w:rPr>
          <w:rFonts w:cs="Arial"/>
          <w:sz w:val="24"/>
        </w:rPr>
        <w:t>a habilitação dos fornecedores será verificada por meio do SICAF, nos documentos por ele abrangidos</w:t>
      </w:r>
      <w:r>
        <w:rPr>
          <w:rFonts w:cs="Arial"/>
          <w:color w:val="000000" w:themeColor="text1"/>
          <w:sz w:val="24"/>
        </w:rPr>
        <w:t>.</w:t>
      </w:r>
    </w:p>
    <w:p>
      <w:pPr>
        <w:pStyle w:val="ListParagraph"/>
        <w:numPr>
          <w:ilvl w:val="2"/>
          <w:numId w:val="1"/>
        </w:numPr>
        <w:spacing w:lineRule="auto" w:line="276" w:before="120" w:after="120"/>
        <w:contextualSpacing/>
        <w:jc w:val="both"/>
        <w:rPr>
          <w:rFonts w:cs="Arial"/>
          <w:color w:val="000000" w:themeColor="text1"/>
          <w:sz w:val="24"/>
        </w:rPr>
      </w:pPr>
      <w:r>
        <w:rPr>
          <w:rFonts w:cs="Arial"/>
          <w:color w:val="000000" w:themeColor="text1"/>
          <w:sz w:val="24"/>
        </w:rPr>
        <w:t>É dever do fornecedor atualizar previamente as comprovações constantes do SICAF para que estejam vigentes na data da abertura da sessão pública, ou encaminhar, quando solicitado, a respectiva documentação atualizada.</w:t>
      </w:r>
    </w:p>
    <w:p>
      <w:pPr>
        <w:pStyle w:val="ListParagraph"/>
        <w:numPr>
          <w:ilvl w:val="2"/>
          <w:numId w:val="1"/>
        </w:numPr>
        <w:spacing w:lineRule="auto" w:line="276" w:before="120" w:after="120"/>
        <w:contextualSpacing/>
        <w:jc w:val="both"/>
        <w:rPr>
          <w:rFonts w:cs="Arial"/>
          <w:color w:val="000000" w:themeColor="text1"/>
          <w:sz w:val="24"/>
        </w:rPr>
      </w:pPr>
      <w:r>
        <w:rPr>
          <w:rFonts w:cs="Arial"/>
          <w:color w:val="000000" w:themeColor="text1"/>
          <w:sz w:val="24"/>
        </w:rPr>
        <w:t>O descumprimento do subitem acima implicará a inabilitação do fornecedor, exceto se a consulta aos sítios eletrônicos oficiais emissores de certidões lograr êxito em encontrar a(s) certidão(ões) válida(s).</w:t>
      </w:r>
    </w:p>
    <w:p>
      <w:pPr>
        <w:pStyle w:val="ListParagraph"/>
        <w:numPr>
          <w:ilvl w:val="1"/>
          <w:numId w:val="1"/>
        </w:numPr>
        <w:spacing w:lineRule="auto" w:line="276" w:before="120" w:after="120"/>
        <w:ind w:left="792" w:hanging="574"/>
        <w:contextualSpacing/>
        <w:jc w:val="both"/>
        <w:rPr/>
      </w:pPr>
      <w:r>
        <w:rPr>
          <w:rFonts w:cs="Arial"/>
          <w:color w:val="000000" w:themeColor="text1"/>
          <w:sz w:val="24"/>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pPr>
        <w:pStyle w:val="ListParagraph"/>
        <w:numPr>
          <w:ilvl w:val="1"/>
          <w:numId w:val="1"/>
        </w:numPr>
        <w:spacing w:lineRule="auto" w:line="276" w:before="120" w:after="120"/>
        <w:ind w:left="792" w:hanging="574"/>
        <w:contextualSpacing/>
        <w:jc w:val="both"/>
        <w:rPr>
          <w:rFonts w:cs="Arial"/>
          <w:color w:val="000000" w:themeColor="text1"/>
          <w:sz w:val="24"/>
        </w:rPr>
      </w:pPr>
      <w:r>
        <w:rPr>
          <w:rFonts w:cs="Arial"/>
          <w:color w:val="000000" w:themeColor="text1"/>
          <w:sz w:val="24"/>
        </w:rPr>
        <w:t>Somente haverá a necessidade de comprovação do preenchimento de requisitos mediante apresentação dos documentos originais não-digitais quando houver dúvida em relação à integridade do documento digital.</w:t>
      </w:r>
    </w:p>
    <w:p>
      <w:pPr>
        <w:pStyle w:val="ListParagraph"/>
        <w:numPr>
          <w:ilvl w:val="1"/>
          <w:numId w:val="1"/>
        </w:numPr>
        <w:spacing w:lineRule="auto" w:line="276" w:before="120" w:after="120"/>
        <w:ind w:left="792" w:hanging="574"/>
        <w:contextualSpacing/>
        <w:jc w:val="both"/>
        <w:rPr>
          <w:rFonts w:ascii="Arial" w:hAnsi="Arial"/>
        </w:rPr>
      </w:pPr>
      <w:r>
        <w:rPr>
          <w:rFonts w:cs="Arial"/>
          <w:bCs/>
          <w:sz w:val="24"/>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pPr>
        <w:pStyle w:val="ListParagraph"/>
        <w:numPr>
          <w:ilvl w:val="1"/>
          <w:numId w:val="1"/>
        </w:numPr>
        <w:spacing w:lineRule="auto" w:line="276" w:before="120" w:after="120"/>
        <w:ind w:left="792" w:hanging="574"/>
        <w:contextualSpacing/>
        <w:jc w:val="both"/>
        <w:rPr>
          <w:rFonts w:cs="Arial"/>
          <w:i/>
          <w:i/>
          <w:color w:val="FF0000"/>
          <w:sz w:val="24"/>
        </w:rPr>
      </w:pPr>
      <w:r>
        <w:rPr>
          <w:rFonts w:cs="Arial"/>
          <w:i w:val="false"/>
          <w:iCs w:val="false"/>
          <w:color w:val="000000"/>
          <w:sz w:val="24"/>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pPr>
        <w:pStyle w:val="ListParagraph"/>
        <w:numPr>
          <w:ilvl w:val="2"/>
          <w:numId w:val="1"/>
        </w:numPr>
        <w:spacing w:lineRule="auto" w:line="276" w:before="120" w:after="120"/>
        <w:contextualSpacing/>
        <w:jc w:val="both"/>
        <w:rPr>
          <w:rFonts w:ascii="Arial" w:hAnsi="Arial"/>
        </w:rPr>
      </w:pPr>
      <w:r>
        <w:rPr>
          <w:rFonts w:cs="Arial"/>
          <w:i w:val="false"/>
          <w:iCs w:val="false"/>
          <w:color w:val="000000"/>
          <w:sz w:val="24"/>
        </w:rPr>
        <w:t>Não havendo a comprovação cumulativa dos requisitos de habilitação, a inabilitação recairá sobre o(s) item(ns) de menor(es) valor(es) cuja retirada(s) seja(m) suficiente(s) para a habilitação do fornecedor nos remanescentes</w:t>
      </w:r>
      <w:r>
        <w:rPr>
          <w:rFonts w:cs="Arial"/>
          <w:i/>
          <w:color w:val="FF0000"/>
          <w:sz w:val="24"/>
        </w:rPr>
        <w:t>.</w:t>
      </w:r>
    </w:p>
    <w:p>
      <w:pPr>
        <w:pStyle w:val="ListParagraph"/>
        <w:numPr>
          <w:ilvl w:val="1"/>
          <w:numId w:val="1"/>
        </w:numPr>
        <w:spacing w:lineRule="auto" w:line="276" w:before="120" w:after="120"/>
        <w:ind w:left="792" w:hanging="574"/>
        <w:contextualSpacing/>
        <w:jc w:val="both"/>
        <w:rPr>
          <w:rFonts w:cs="Arial"/>
          <w:bCs/>
          <w:sz w:val="24"/>
        </w:rPr>
      </w:pPr>
      <w:r>
        <w:rPr>
          <w:rFonts w:cs="Arial"/>
          <w:bCs/>
          <w:sz w:val="24"/>
        </w:rPr>
        <w:t xml:space="preserve">Havendo </w:t>
      </w:r>
      <w:r>
        <w:rPr>
          <w:rFonts w:cs="Arial"/>
          <w:iCs/>
          <w:sz w:val="24"/>
          <w:lang w:eastAsia="en-US"/>
        </w:rPr>
        <w:t>necessidade</w:t>
      </w:r>
      <w:r>
        <w:rPr>
          <w:rFonts w:cs="Arial"/>
          <w:bCs/>
          <w:sz w:val="24"/>
        </w:rPr>
        <w:t xml:space="preserve"> de analisar minuciosamente os documentos exigidos, a sessão será suspensa, sendo informada a nova data e horário para a sua continuidade.</w:t>
      </w:r>
    </w:p>
    <w:p>
      <w:pPr>
        <w:pStyle w:val="ListParagraph"/>
        <w:numPr>
          <w:ilvl w:val="1"/>
          <w:numId w:val="1"/>
        </w:numPr>
        <w:spacing w:lineRule="auto" w:line="276" w:before="120" w:after="120"/>
        <w:ind w:left="792" w:hanging="574"/>
        <w:contextualSpacing/>
        <w:jc w:val="both"/>
        <w:rPr>
          <w:rFonts w:cs="Arial"/>
          <w:color w:val="000000"/>
          <w:sz w:val="24"/>
        </w:rPr>
      </w:pPr>
      <w:r>
        <w:rPr>
          <w:rFonts w:cs="Arial"/>
          <w:color w:val="000000"/>
          <w:sz w:val="24"/>
        </w:rPr>
        <w:t xml:space="preserve">Será inabilitado o fornecedor que não comprovar sua habilitação, seja por não apresentar </w:t>
      </w:r>
      <w:r>
        <w:rPr>
          <w:rFonts w:cs="Arial"/>
          <w:iCs/>
          <w:sz w:val="24"/>
          <w:lang w:eastAsia="en-US"/>
        </w:rPr>
        <w:t>quaisquer</w:t>
      </w:r>
      <w:r>
        <w:rPr>
          <w:rFonts w:cs="Arial"/>
          <w:color w:val="000000"/>
          <w:sz w:val="24"/>
        </w:rPr>
        <w:t xml:space="preserve"> dos </w:t>
      </w:r>
      <w:r>
        <w:rPr>
          <w:rFonts w:cs="Arial"/>
          <w:bCs/>
          <w:sz w:val="24"/>
        </w:rPr>
        <w:t>documentos</w:t>
      </w:r>
      <w:r>
        <w:rPr>
          <w:rFonts w:cs="Arial"/>
          <w:color w:val="000000"/>
          <w:sz w:val="24"/>
        </w:rPr>
        <w:t xml:space="preserve"> exigidos, ou apresentá-los em desacordo com o estabelecido neste Aviso de Contratação Direta.</w:t>
      </w:r>
    </w:p>
    <w:p>
      <w:pPr>
        <w:pStyle w:val="ListParagraph"/>
        <w:numPr>
          <w:ilvl w:val="2"/>
          <w:numId w:val="1"/>
        </w:numPr>
        <w:spacing w:lineRule="auto" w:line="276" w:before="120" w:after="120"/>
        <w:contextualSpacing/>
        <w:jc w:val="both"/>
        <w:rPr>
          <w:rFonts w:cs="Arial"/>
          <w:color w:val="000000"/>
          <w:sz w:val="24"/>
        </w:rPr>
      </w:pPr>
      <w:r>
        <w:rPr>
          <w:rFonts w:cs="Arial"/>
          <w:color w:val="000000"/>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1"/>
        </w:numPr>
        <w:spacing w:lineRule="auto" w:line="276" w:before="120" w:after="120"/>
        <w:ind w:left="792" w:hanging="574"/>
        <w:contextualSpacing/>
        <w:jc w:val="both"/>
        <w:rPr>
          <w:rFonts w:cs="Arial"/>
          <w:iCs/>
          <w:sz w:val="24"/>
          <w:lang w:eastAsia="en-US"/>
        </w:rPr>
      </w:pPr>
      <w:r>
        <w:rPr>
          <w:rFonts w:cs="Arial"/>
          <w:iCs/>
          <w:sz w:val="24"/>
          <w:lang w:eastAsia="en-US"/>
        </w:rPr>
        <w:t>Constatado o atendimento às exigências de habilitação, o fornecedor será habilitado</w:t>
      </w:r>
    </w:p>
    <w:p>
      <w:pPr>
        <w:pStyle w:val="Normal"/>
        <w:spacing w:lineRule="auto" w:line="276" w:before="120" w:after="120"/>
        <w:ind w:left="218" w:hanging="0"/>
        <w:jc w:val="both"/>
        <w:rPr>
          <w:rFonts w:ascii="Arial" w:hAnsi="Arial" w:cs="Arial"/>
          <w:iCs/>
          <w:sz w:val="24"/>
          <w:lang w:eastAsia="en-US"/>
        </w:rPr>
      </w:pPr>
      <w:r>
        <w:rPr>
          <w:rFonts w:cs="Arial"/>
          <w:iCs/>
          <w:sz w:val="24"/>
          <w:lang w:eastAsia="en-US"/>
        </w:rPr>
      </w:r>
    </w:p>
    <w:p>
      <w:pPr>
        <w:pStyle w:val="Ttulo1"/>
        <w:numPr>
          <w:ilvl w:val="0"/>
          <w:numId w:val="1"/>
        </w:numPr>
        <w:rPr>
          <w:rFonts w:ascii="Arial" w:hAnsi="Arial" w:cs="Arial"/>
          <w:color w:val="00000A"/>
          <w:sz w:val="24"/>
          <w:szCs w:val="24"/>
        </w:rPr>
      </w:pPr>
      <w:bookmarkStart w:id="9" w:name="_Toc104906824"/>
      <w:bookmarkEnd w:id="9"/>
      <w:r>
        <w:rPr>
          <w:rFonts w:cs="Arial" w:ascii="Arial" w:hAnsi="Arial"/>
          <w:b/>
          <w:bCs/>
          <w:color w:val="00000A"/>
          <w:sz w:val="24"/>
          <w:szCs w:val="24"/>
        </w:rPr>
        <w:t>CONTRATAÇÃO</w:t>
      </w:r>
    </w:p>
    <w:p>
      <w:pPr>
        <w:pStyle w:val="Normal"/>
        <w:numPr>
          <w:ilvl w:val="1"/>
          <w:numId w:val="1"/>
        </w:numPr>
        <w:spacing w:lineRule="auto" w:line="276" w:before="120" w:after="120"/>
        <w:ind w:left="857" w:hanging="432"/>
        <w:jc w:val="both"/>
        <w:rPr>
          <w:rFonts w:ascii="Arial" w:hAnsi="Arial"/>
        </w:rPr>
      </w:pPr>
      <w:r>
        <w:rPr>
          <w:rFonts w:eastAsia="Arial" w:cs="Arial"/>
          <w:color w:val="000000"/>
          <w:sz w:val="24"/>
        </w:rPr>
        <w:t>Após a homologação e adjudicação, caso se conclua pela contratação, será firmado Termo de Contrato ou emitido instrumento equivalente.</w:t>
      </w:r>
    </w:p>
    <w:p>
      <w:pPr>
        <w:pStyle w:val="Normal"/>
        <w:numPr>
          <w:ilvl w:val="1"/>
          <w:numId w:val="1"/>
        </w:numPr>
        <w:spacing w:lineRule="auto" w:line="276" w:before="120" w:after="120"/>
        <w:ind w:left="425" w:hanging="0"/>
        <w:jc w:val="both"/>
        <w:rPr>
          <w:rFonts w:ascii="Arial" w:hAnsi="Arial"/>
        </w:rPr>
      </w:pPr>
      <w:r>
        <w:rPr>
          <w:rFonts w:eastAsia="Arial" w:cs="Arial"/>
          <w:color w:val="000000"/>
          <w:sz w:val="24"/>
        </w:rPr>
        <w:t xml:space="preserve">O adjudicatário terá o prazo de 5 (cinco) dias úteis, contados a partir da data de sua convocação, para aceitar instrumento equivalente, conforme o caso (Nota de Empenho/Carta Contrato/Autorização), sob pena de decair do direito à contratação, sem prejuízo das sanções previstas neste Aviso de Contratação Direta. </w:t>
      </w:r>
    </w:p>
    <w:p>
      <w:pPr>
        <w:pStyle w:val="Normal"/>
        <w:numPr>
          <w:ilvl w:val="2"/>
          <w:numId w:val="1"/>
        </w:numPr>
        <w:spacing w:lineRule="auto" w:line="276" w:before="120" w:after="120"/>
        <w:jc w:val="both"/>
        <w:rPr>
          <w:rFonts w:ascii="Arial" w:hAnsi="Arial"/>
          <w:color w:val="000000"/>
        </w:rPr>
      </w:pPr>
      <w:r>
        <w:rPr>
          <w:rFonts w:eastAsia="Arial" w:cs="Arial"/>
          <w:i w:val="false"/>
          <w:iCs w:val="false"/>
          <w:color w:val="000000"/>
          <w:sz w:val="24"/>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5 (cinco) dias, a contar da data de seu recebimento. </w:t>
      </w:r>
    </w:p>
    <w:p>
      <w:pPr>
        <w:pStyle w:val="Normal"/>
        <w:numPr>
          <w:ilvl w:val="2"/>
          <w:numId w:val="1"/>
        </w:numPr>
        <w:spacing w:lineRule="auto" w:line="276" w:before="120" w:after="120"/>
        <w:jc w:val="both"/>
        <w:rPr>
          <w:rFonts w:eastAsia="Arial" w:cs="Arial"/>
          <w:color w:val="000000"/>
          <w:sz w:val="24"/>
        </w:rPr>
      </w:pPr>
      <w:r>
        <w:rPr>
          <w:rFonts w:eastAsia="Arial" w:cs="Arial"/>
          <w:i w:val="false"/>
          <w:iCs w:val="false"/>
          <w:color w:val="000000"/>
          <w:sz w:val="24"/>
        </w:rPr>
        <w:t xml:space="preserve">O prazo previsto para assinatura do contrato ou aceitação da nota de empenho ou instrumento equivalente poderá ser prorrogado </w:t>
      </w:r>
      <w:r>
        <w:rPr>
          <w:rFonts w:cs="Arial"/>
          <w:bCs/>
          <w:i w:val="false"/>
          <w:iCs w:val="false"/>
          <w:sz w:val="24"/>
        </w:rPr>
        <w:t>1 (uma) vez</w:t>
      </w:r>
      <w:r>
        <w:rPr>
          <w:rFonts w:eastAsia="Arial" w:cs="Arial"/>
          <w:i w:val="false"/>
          <w:iCs w:val="false"/>
          <w:sz w:val="24"/>
        </w:rPr>
        <w:t xml:space="preserve">, </w:t>
      </w:r>
      <w:r>
        <w:rPr>
          <w:rFonts w:eastAsia="Arial" w:cs="Arial"/>
          <w:i w:val="false"/>
          <w:iCs w:val="false"/>
          <w:color w:val="000000"/>
          <w:sz w:val="24"/>
        </w:rPr>
        <w:t>por igual período, por solicitação justificada do adjudicatário e aceita pela Administração.</w:t>
      </w:r>
    </w:p>
    <w:p>
      <w:pPr>
        <w:pStyle w:val="Normal"/>
        <w:numPr>
          <w:ilvl w:val="1"/>
          <w:numId w:val="1"/>
        </w:numPr>
        <w:spacing w:lineRule="auto" w:line="276" w:before="120" w:after="120"/>
        <w:ind w:left="425" w:hanging="0"/>
        <w:jc w:val="both"/>
        <w:rPr>
          <w:rFonts w:eastAsia="Arial" w:cs="Arial"/>
          <w:i/>
          <w:i/>
          <w:color w:val="FF0000"/>
          <w:sz w:val="24"/>
        </w:rPr>
      </w:pPr>
      <w:r>
        <w:rPr>
          <w:rFonts w:eastAsia="Arial" w:cs="Arial"/>
          <w:i w:val="false"/>
          <w:iCs w:val="false"/>
          <w:color w:val="000000"/>
          <w:sz w:val="24"/>
        </w:rPr>
        <w:t>O Aceite da Nota de Empenho ou do instrumento equivalente, emitida à empresa adjudicada, implica no reconhecimento de que:</w:t>
      </w:r>
    </w:p>
    <w:p>
      <w:pPr>
        <w:pStyle w:val="Normal"/>
        <w:numPr>
          <w:ilvl w:val="2"/>
          <w:numId w:val="1"/>
        </w:numPr>
        <w:spacing w:lineRule="auto" w:line="276" w:before="120" w:after="120"/>
        <w:jc w:val="both"/>
        <w:rPr>
          <w:rFonts w:eastAsia="Arial" w:cs="Arial"/>
          <w:i/>
          <w:i/>
          <w:color w:val="FF0000"/>
          <w:sz w:val="24"/>
        </w:rPr>
      </w:pPr>
      <w:r>
        <w:rPr>
          <w:rFonts w:eastAsia="Arial" w:cs="Arial"/>
          <w:i w:val="false"/>
          <w:iCs w:val="false"/>
          <w:color w:val="000000"/>
          <w:sz w:val="24"/>
        </w:rPr>
        <w:t>referida Nota está substituindo o contrato, aplicando-se à relação de negócios ali estabelecida as disposições da Lei nº 14.133, de 2021;</w:t>
      </w:r>
    </w:p>
    <w:p>
      <w:pPr>
        <w:pStyle w:val="Normal"/>
        <w:numPr>
          <w:ilvl w:val="2"/>
          <w:numId w:val="1"/>
        </w:numPr>
        <w:spacing w:lineRule="auto" w:line="276" w:before="120" w:after="120"/>
        <w:jc w:val="both"/>
        <w:rPr>
          <w:rFonts w:eastAsia="Arial" w:cs="Arial"/>
          <w:i/>
          <w:i/>
          <w:color w:val="FF0000"/>
          <w:sz w:val="24"/>
        </w:rPr>
      </w:pPr>
      <w:r>
        <w:rPr>
          <w:rFonts w:eastAsia="Arial" w:cs="Arial"/>
          <w:i w:val="false"/>
          <w:iCs w:val="false"/>
          <w:color w:val="000000"/>
          <w:sz w:val="24"/>
        </w:rPr>
        <w:t>a contratada se vincula à sua proposta e às previsões contidas no Aviso de Contratação Direta e seus anexos;</w:t>
      </w:r>
    </w:p>
    <w:p>
      <w:pPr>
        <w:pStyle w:val="Normal"/>
        <w:numPr>
          <w:ilvl w:val="2"/>
          <w:numId w:val="1"/>
        </w:numPr>
        <w:spacing w:lineRule="auto" w:line="276" w:before="120" w:after="120"/>
        <w:jc w:val="both"/>
        <w:rPr>
          <w:rFonts w:ascii="Arial" w:hAnsi="Arial"/>
          <w:i w:val="false"/>
          <w:i w:val="false"/>
          <w:iCs w:val="false"/>
          <w:color w:val="000000"/>
        </w:rPr>
      </w:pPr>
      <w:r>
        <w:rPr>
          <w:rFonts w:eastAsia="Arial" w:cs="Arial"/>
          <w:i w:val="false"/>
          <w:iCs w:val="false"/>
          <w:color w:val="000000"/>
          <w:sz w:val="24"/>
        </w:rPr>
        <w:t>a contratada reconhece que as hipóteses de rescisão são aquelas previstas nos artigos 137 e 138 da Lei nº 14.133/21 e reconhece os direitos da Administração previstos nos artigos 137 a 139 da mesma Lei.</w:t>
      </w:r>
    </w:p>
    <w:p>
      <w:pPr>
        <w:pStyle w:val="Normal"/>
        <w:numPr>
          <w:ilvl w:val="1"/>
          <w:numId w:val="1"/>
        </w:numPr>
        <w:spacing w:lineRule="auto" w:line="276" w:before="120" w:after="120"/>
        <w:jc w:val="both"/>
        <w:rPr>
          <w:color w:val="000000"/>
        </w:rPr>
      </w:pPr>
      <w:r>
        <w:rPr>
          <w:rFonts w:eastAsia="Arial" w:cs="Arial"/>
          <w:i w:val="false"/>
          <w:iCs w:val="false"/>
          <w:color w:val="000000"/>
          <w:sz w:val="24"/>
          <w:szCs w:val="24"/>
        </w:rPr>
        <w:t xml:space="preserve"> </w:t>
      </w:r>
      <w:r>
        <w:rPr>
          <w:rFonts w:eastAsia="Arial" w:cs="Arial"/>
          <w:i w:val="false"/>
          <w:iCs w:val="false"/>
          <w:color w:val="000000"/>
          <w:sz w:val="24"/>
          <w:szCs w:val="24"/>
        </w:rPr>
        <w:t xml:space="preserve">O prazo de entrega do item será de 10 (dez) dias úteis a partir do recebimento da nota de empenho. </w:t>
      </w:r>
    </w:p>
    <w:p>
      <w:pPr>
        <w:pStyle w:val="Normal"/>
        <w:numPr>
          <w:ilvl w:val="1"/>
          <w:numId w:val="1"/>
        </w:numPr>
        <w:spacing w:lineRule="auto" w:line="276" w:before="120" w:after="120"/>
        <w:ind w:left="425" w:hanging="0"/>
        <w:jc w:val="both"/>
        <w:rPr>
          <w:rFonts w:eastAsia="Arial" w:cs="Arial"/>
          <w:color w:val="000000"/>
          <w:sz w:val="24"/>
        </w:rPr>
      </w:pPr>
      <w:r>
        <w:rPr>
          <w:rFonts w:cs="Arial"/>
          <w:color w:val="000000"/>
          <w:sz w:val="24"/>
        </w:rPr>
        <w:t>Na assinatura do contrato ou do instrumento equivalente será exigida a comprovação das condições de habilitação e contratação consignadas neste aviso, que deverão ser mantidas pelo fornecedor durante a vigência do contrato.</w:t>
      </w:r>
    </w:p>
    <w:p>
      <w:pPr>
        <w:pStyle w:val="Normal"/>
        <w:spacing w:lineRule="auto" w:line="276" w:before="120" w:after="120"/>
        <w:ind w:left="425" w:hanging="0"/>
        <w:jc w:val="both"/>
        <w:rPr>
          <w:rFonts w:ascii="Arial" w:hAnsi="Arial" w:eastAsia="Arial" w:cs="Arial"/>
          <w:color w:val="000000"/>
          <w:sz w:val="24"/>
        </w:rPr>
      </w:pPr>
      <w:r>
        <w:rPr>
          <w:rFonts w:eastAsia="Arial" w:cs="Arial"/>
          <w:color w:val="000000"/>
          <w:sz w:val="24"/>
        </w:rPr>
      </w:r>
    </w:p>
    <w:p>
      <w:pPr>
        <w:pStyle w:val="Ttulo1"/>
        <w:numPr>
          <w:ilvl w:val="0"/>
          <w:numId w:val="1"/>
        </w:numPr>
        <w:rPr>
          <w:rFonts w:ascii="Arial" w:hAnsi="Arial" w:cs="Arial"/>
          <w:color w:val="00000A"/>
          <w:sz w:val="24"/>
          <w:szCs w:val="24"/>
        </w:rPr>
      </w:pPr>
      <w:bookmarkStart w:id="10" w:name="_Toc104906825"/>
      <w:bookmarkEnd w:id="10"/>
      <w:r>
        <w:rPr>
          <w:rFonts w:cs="Arial" w:ascii="Arial" w:hAnsi="Arial"/>
          <w:b/>
          <w:bCs/>
          <w:color w:val="00000A"/>
          <w:sz w:val="24"/>
          <w:szCs w:val="24"/>
        </w:rPr>
        <w:t>SANÇÕES</w:t>
      </w:r>
    </w:p>
    <w:p>
      <w:pPr>
        <w:pStyle w:val="Normal"/>
        <w:numPr>
          <w:ilvl w:val="1"/>
          <w:numId w:val="1"/>
        </w:numPr>
        <w:spacing w:lineRule="auto" w:line="276" w:before="120" w:after="120"/>
        <w:ind w:left="857" w:hanging="432"/>
        <w:jc w:val="both"/>
        <w:rPr>
          <w:rFonts w:cs="Arial"/>
          <w:b/>
          <w:b/>
          <w:sz w:val="24"/>
        </w:rPr>
      </w:pPr>
      <w:r>
        <w:rPr>
          <w:rFonts w:cs="Arial"/>
          <w:sz w:val="24"/>
        </w:rPr>
        <w:t xml:space="preserve">Comete infração administrativa o fornecedor que cometer quaisquer das infrações previstas no art. 155 da Lei nº 14.133, de 2021, quais sejam: </w:t>
      </w:r>
    </w:p>
    <w:p>
      <w:pPr>
        <w:pStyle w:val="Normal"/>
        <w:numPr>
          <w:ilvl w:val="2"/>
          <w:numId w:val="1"/>
        </w:numPr>
        <w:spacing w:lineRule="auto" w:line="276" w:before="120" w:after="120"/>
        <w:jc w:val="both"/>
        <w:rPr>
          <w:rFonts w:cs="Arial"/>
          <w:sz w:val="24"/>
        </w:rPr>
      </w:pPr>
      <w:r>
        <w:rPr>
          <w:rFonts w:cs="Arial"/>
          <w:color w:val="000000"/>
          <w:sz w:val="24"/>
        </w:rPr>
        <w:t>dar causa à inexecução parcial do contrato</w:t>
      </w:r>
      <w:r>
        <w:rPr>
          <w:rFonts w:cs="Arial"/>
          <w:sz w:val="24"/>
        </w:rPr>
        <w:t>;</w:t>
      </w:r>
    </w:p>
    <w:p>
      <w:pPr>
        <w:pStyle w:val="Normal"/>
        <w:numPr>
          <w:ilvl w:val="2"/>
          <w:numId w:val="1"/>
        </w:numPr>
        <w:spacing w:lineRule="auto" w:line="276" w:before="120" w:after="120"/>
        <w:jc w:val="both"/>
        <w:rPr>
          <w:rFonts w:cs="Arial"/>
          <w:sz w:val="24"/>
        </w:rPr>
      </w:pPr>
      <w:r>
        <w:rPr>
          <w:rFonts w:cs="Arial"/>
          <w:color w:val="000000"/>
          <w:sz w:val="24"/>
        </w:rPr>
        <w:t>dar causa à inexecução parcial do contrato que cause grave dano à Administração, ao funcionamento dos serviços públicos ou ao interesse coletivo;</w:t>
      </w:r>
    </w:p>
    <w:p>
      <w:pPr>
        <w:pStyle w:val="Normal"/>
        <w:numPr>
          <w:ilvl w:val="2"/>
          <w:numId w:val="1"/>
        </w:numPr>
        <w:spacing w:lineRule="auto" w:line="276" w:before="120" w:after="120"/>
        <w:jc w:val="both"/>
        <w:rPr>
          <w:rFonts w:cs="Arial"/>
          <w:sz w:val="24"/>
        </w:rPr>
      </w:pPr>
      <w:r>
        <w:rPr>
          <w:rFonts w:cs="Arial"/>
          <w:color w:val="000000"/>
          <w:sz w:val="24"/>
        </w:rPr>
        <w:t>dar causa à inexecução total do contrato;</w:t>
      </w:r>
    </w:p>
    <w:p>
      <w:pPr>
        <w:pStyle w:val="Normal"/>
        <w:numPr>
          <w:ilvl w:val="2"/>
          <w:numId w:val="1"/>
        </w:numPr>
        <w:spacing w:lineRule="auto" w:line="276" w:before="120" w:after="120"/>
        <w:jc w:val="both"/>
        <w:rPr>
          <w:rFonts w:cs="Arial"/>
          <w:sz w:val="24"/>
        </w:rPr>
      </w:pPr>
      <w:r>
        <w:rPr>
          <w:rFonts w:cs="Arial"/>
          <w:color w:val="000000"/>
          <w:sz w:val="24"/>
        </w:rPr>
        <w:t>deixar de entregar a documentação exigida para o certame;</w:t>
      </w:r>
    </w:p>
    <w:p>
      <w:pPr>
        <w:pStyle w:val="Normal"/>
        <w:numPr>
          <w:ilvl w:val="2"/>
          <w:numId w:val="1"/>
        </w:numPr>
        <w:spacing w:lineRule="auto" w:line="276" w:before="120" w:after="120"/>
        <w:jc w:val="both"/>
        <w:rPr>
          <w:rFonts w:cs="Arial"/>
          <w:sz w:val="24"/>
        </w:rPr>
      </w:pPr>
      <w:r>
        <w:rPr>
          <w:rFonts w:cs="Arial"/>
          <w:color w:val="000000"/>
          <w:sz w:val="24"/>
        </w:rPr>
        <w:t>não manter a proposta, salvo em decorrência de fato superveniente devidamente justificado;</w:t>
      </w:r>
    </w:p>
    <w:p>
      <w:pPr>
        <w:pStyle w:val="Normal"/>
        <w:numPr>
          <w:ilvl w:val="2"/>
          <w:numId w:val="1"/>
        </w:numPr>
        <w:spacing w:lineRule="auto" w:line="276" w:before="120" w:after="120"/>
        <w:jc w:val="both"/>
        <w:rPr>
          <w:rFonts w:cs="Arial"/>
          <w:sz w:val="24"/>
        </w:rPr>
      </w:pPr>
      <w:r>
        <w:rPr>
          <w:rFonts w:cs="Arial"/>
          <w:color w:val="000000"/>
          <w:sz w:val="24"/>
        </w:rPr>
        <w:t>não celebrar o contrato ou não entregar a documentação exigida para a contratação, quando convocado dentro do prazo de validade de sua proposta;</w:t>
      </w:r>
    </w:p>
    <w:p>
      <w:pPr>
        <w:pStyle w:val="Normal"/>
        <w:numPr>
          <w:ilvl w:val="2"/>
          <w:numId w:val="1"/>
        </w:numPr>
        <w:spacing w:lineRule="auto" w:line="276" w:before="120" w:after="120"/>
        <w:jc w:val="both"/>
        <w:rPr>
          <w:rFonts w:cs="Arial"/>
          <w:sz w:val="24"/>
        </w:rPr>
      </w:pPr>
      <w:r>
        <w:rPr>
          <w:rFonts w:cs="Arial"/>
          <w:color w:val="000000"/>
          <w:sz w:val="24"/>
        </w:rPr>
        <w:t> </w:t>
      </w:r>
      <w:r>
        <w:rPr>
          <w:rFonts w:cs="Arial"/>
          <w:color w:val="000000"/>
          <w:sz w:val="24"/>
        </w:rPr>
        <w:t>ensejar o retardamento da execução ou da entrega do objeto da licitação sem motivo justificado;</w:t>
      </w:r>
    </w:p>
    <w:p>
      <w:pPr>
        <w:pStyle w:val="Normal"/>
        <w:numPr>
          <w:ilvl w:val="2"/>
          <w:numId w:val="1"/>
        </w:numPr>
        <w:spacing w:lineRule="auto" w:line="276" w:before="120" w:after="120"/>
        <w:jc w:val="both"/>
        <w:rPr>
          <w:rFonts w:cs="Arial"/>
          <w:sz w:val="24"/>
        </w:rPr>
      </w:pPr>
      <w:r>
        <w:rPr>
          <w:rFonts w:cs="Arial"/>
          <w:color w:val="000000"/>
          <w:sz w:val="24"/>
        </w:rPr>
        <w:t>apresentar declaração ou documentação falsa exigida para o certame ou prestar declaração falsa durante a dispensa eletrônica ou a execução do contrato;</w:t>
      </w:r>
    </w:p>
    <w:p>
      <w:pPr>
        <w:pStyle w:val="Normal"/>
        <w:numPr>
          <w:ilvl w:val="2"/>
          <w:numId w:val="1"/>
        </w:numPr>
        <w:spacing w:lineRule="auto" w:line="276" w:before="120" w:after="120"/>
        <w:jc w:val="both"/>
        <w:rPr>
          <w:rFonts w:cs="Arial"/>
          <w:sz w:val="24"/>
        </w:rPr>
      </w:pPr>
      <w:r>
        <w:rPr>
          <w:rFonts w:cs="Arial"/>
          <w:color w:val="000000"/>
          <w:sz w:val="24"/>
        </w:rPr>
        <w:t>fraudar a dispensa eletrônica ou praticar ato fraudulento na execução do contrato;</w:t>
      </w:r>
    </w:p>
    <w:p>
      <w:pPr>
        <w:pStyle w:val="Normal"/>
        <w:numPr>
          <w:ilvl w:val="2"/>
          <w:numId w:val="1"/>
        </w:numPr>
        <w:spacing w:lineRule="auto" w:line="276" w:before="120" w:after="120"/>
        <w:jc w:val="both"/>
        <w:rPr>
          <w:rFonts w:cs="Arial"/>
          <w:sz w:val="24"/>
        </w:rPr>
      </w:pPr>
      <w:r>
        <w:rPr>
          <w:rFonts w:cs="Arial"/>
          <w:color w:val="000000"/>
          <w:sz w:val="24"/>
        </w:rPr>
        <w:t> </w:t>
      </w:r>
      <w:r>
        <w:rPr>
          <w:rFonts w:cs="Arial"/>
          <w:color w:val="000000"/>
          <w:sz w:val="24"/>
        </w:rPr>
        <w:t>comportar-se de modo inidôneo ou cometer fraude de qualquer natureza;</w:t>
      </w:r>
    </w:p>
    <w:p>
      <w:pPr>
        <w:pStyle w:val="ListParagraph"/>
        <w:numPr>
          <w:ilvl w:val="3"/>
          <w:numId w:val="1"/>
        </w:numPr>
        <w:spacing w:lineRule="auto" w:line="276" w:before="120" w:after="120"/>
        <w:contextualSpacing/>
        <w:jc w:val="both"/>
        <w:rPr>
          <w:rFonts w:cs="Arial"/>
          <w:sz w:val="24"/>
        </w:rPr>
      </w:pPr>
      <w:r>
        <w:rPr>
          <w:rFonts w:cs="Arial"/>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ormal"/>
        <w:numPr>
          <w:ilvl w:val="2"/>
          <w:numId w:val="1"/>
        </w:numPr>
        <w:spacing w:lineRule="auto" w:line="276" w:before="120" w:after="120"/>
        <w:jc w:val="both"/>
        <w:rPr>
          <w:rFonts w:cs="Arial"/>
          <w:sz w:val="24"/>
        </w:rPr>
      </w:pPr>
      <w:r>
        <w:rPr>
          <w:rFonts w:cs="Arial"/>
          <w:color w:val="000000"/>
          <w:sz w:val="24"/>
        </w:rPr>
        <w:t> </w:t>
      </w:r>
      <w:r>
        <w:rPr>
          <w:rFonts w:cs="Arial"/>
          <w:color w:val="000000"/>
          <w:sz w:val="24"/>
        </w:rPr>
        <w:t>praticar atos ilícitos com vistas a frustrar os objetivos deste certame.</w:t>
      </w:r>
    </w:p>
    <w:p>
      <w:pPr>
        <w:pStyle w:val="Normal"/>
        <w:numPr>
          <w:ilvl w:val="2"/>
          <w:numId w:val="1"/>
        </w:numPr>
        <w:spacing w:lineRule="auto" w:line="276" w:before="120" w:after="120"/>
        <w:jc w:val="both"/>
        <w:rPr>
          <w:rFonts w:cs="Arial"/>
          <w:color w:val="000000"/>
          <w:sz w:val="24"/>
        </w:rPr>
      </w:pPr>
      <w:r>
        <w:rPr>
          <w:rFonts w:cs="Arial"/>
          <w:color w:val="000000"/>
          <w:sz w:val="24"/>
        </w:rPr>
        <w:t>praticar ato lesivo previsto no </w:t>
      </w:r>
      <w:r>
        <w:fldChar w:fldCharType="begin"/>
      </w:r>
      <w:r>
        <w:instrText> HYPERLINK "http://www.planalto.gov.br/ccivil_03/_Ato2011-2014/2013/Lei/L12846.htm" \l "art5"</w:instrText>
      </w:r>
      <w:r>
        <w:fldChar w:fldCharType="separate"/>
      </w:r>
      <w:r>
        <w:rPr>
          <w:rStyle w:val="ListLabel74"/>
          <w:rFonts w:cs="Arial"/>
          <w:color w:val="000000"/>
          <w:sz w:val="24"/>
        </w:rPr>
        <w:t>art. 5º da Lei nº 12.846, de 1º de agosto de 2013.</w:t>
      </w:r>
      <w:r>
        <w:fldChar w:fldCharType="end"/>
      </w:r>
    </w:p>
    <w:p>
      <w:pPr>
        <w:pStyle w:val="Normal"/>
        <w:numPr>
          <w:ilvl w:val="1"/>
          <w:numId w:val="1"/>
        </w:numPr>
        <w:spacing w:lineRule="auto" w:line="276" w:before="120" w:after="120"/>
        <w:ind w:left="425" w:hanging="0"/>
        <w:jc w:val="both"/>
        <w:rPr>
          <w:rFonts w:cs="Arial"/>
          <w:b/>
          <w:b/>
          <w:sz w:val="24"/>
        </w:rPr>
      </w:pPr>
      <w:r>
        <w:rPr>
          <w:rFonts w:cs="Arial"/>
          <w:sz w:val="24"/>
        </w:rPr>
        <w:t>O fornecedor que cometer qualquer das infrações discriminadas nos subitens anteriores ficará sujeito, sem prejuízo da responsabilidade civil e criminal, às seguintes sanções:</w:t>
      </w:r>
    </w:p>
    <w:p>
      <w:pPr>
        <w:pStyle w:val="Normal"/>
        <w:numPr>
          <w:ilvl w:val="2"/>
          <w:numId w:val="5"/>
        </w:numPr>
        <w:spacing w:lineRule="auto" w:line="276" w:before="120" w:after="120"/>
        <w:jc w:val="both"/>
        <w:rPr>
          <w:rFonts w:cs="Arial"/>
          <w:sz w:val="24"/>
        </w:rPr>
      </w:pPr>
      <w:r>
        <w:rPr>
          <w:rFonts w:cs="Arial"/>
          <w:sz w:val="24"/>
        </w:rPr>
        <w:t>Advertência pela falta do subitem 8.1.1 deste Aviso de Contratação Direta, quando não se justificar a imposição de penalidade mais grave;</w:t>
      </w:r>
    </w:p>
    <w:p>
      <w:pPr>
        <w:pStyle w:val="Normal"/>
        <w:numPr>
          <w:ilvl w:val="2"/>
          <w:numId w:val="5"/>
        </w:numPr>
        <w:spacing w:lineRule="auto" w:line="276" w:before="120" w:after="120"/>
        <w:jc w:val="both"/>
        <w:rPr>
          <w:rFonts w:ascii="Arial" w:hAnsi="Arial"/>
        </w:rPr>
      </w:pPr>
      <w:r>
        <w:rPr>
          <w:rFonts w:cs="Arial"/>
          <w:sz w:val="24"/>
        </w:rPr>
        <w:t xml:space="preserve">Multa de </w:t>
      </w:r>
      <w:r>
        <w:rPr>
          <w:rFonts w:cs="Arial"/>
          <w:color w:val="000000"/>
          <w:sz w:val="24"/>
        </w:rPr>
        <w:t>30% (trinta por cento)</w:t>
      </w:r>
      <w:r>
        <w:rPr>
          <w:rFonts w:cs="Arial"/>
          <w:color w:val="FF0000"/>
          <w:sz w:val="24"/>
        </w:rPr>
        <w:t xml:space="preserve"> </w:t>
      </w:r>
      <w:r>
        <w:rPr>
          <w:rFonts w:cs="Arial"/>
          <w:sz w:val="24"/>
        </w:rPr>
        <w:t>sobre o valor estimado do(s) item(s) prejudicado(s) pela conduta do fornecedor, por qualquer das infrações dos subitens 8.1.1 a 8.1.12;</w:t>
      </w:r>
    </w:p>
    <w:p>
      <w:pPr>
        <w:pStyle w:val="Normal"/>
        <w:numPr>
          <w:ilvl w:val="2"/>
          <w:numId w:val="5"/>
        </w:numPr>
        <w:spacing w:lineRule="auto" w:line="276" w:before="120" w:after="120"/>
        <w:jc w:val="both"/>
        <w:rPr>
          <w:rFonts w:cs="Arial"/>
          <w:sz w:val="24"/>
        </w:rPr>
      </w:pPr>
      <w:r>
        <w:rPr>
          <w:rFonts w:cs="Arial"/>
          <w:color w:val="000000"/>
          <w:sz w:val="24"/>
        </w:rPr>
        <w:t>Impedimento de licitar e contratar</w:t>
      </w:r>
      <w:r>
        <w:rPr>
          <w:rFonts w:cs="Arial"/>
          <w:sz w:val="24"/>
        </w:rPr>
        <w:t xml:space="preserve"> </w:t>
      </w:r>
      <w:r>
        <w:rPr>
          <w:rFonts w:cs="Arial"/>
          <w:color w:val="000000"/>
          <w:sz w:val="24"/>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Pr>
          <w:rFonts w:cs="Arial"/>
          <w:sz w:val="24"/>
        </w:rPr>
        <w:t>;</w:t>
      </w:r>
    </w:p>
    <w:p>
      <w:pPr>
        <w:pStyle w:val="Normal"/>
        <w:numPr>
          <w:ilvl w:val="2"/>
          <w:numId w:val="5"/>
        </w:numPr>
        <w:spacing w:lineRule="auto" w:line="276" w:before="120" w:after="120"/>
        <w:jc w:val="both"/>
        <w:rPr>
          <w:rFonts w:cs="Arial"/>
          <w:sz w:val="24"/>
        </w:rPr>
      </w:pPr>
      <w:r>
        <w:rPr>
          <w:rFonts w:cs="Arial"/>
          <w:color w:val="000000"/>
          <w:sz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rFonts w:cs="Arial"/>
          <w:sz w:val="24"/>
        </w:rPr>
        <w:t>;</w:t>
      </w:r>
    </w:p>
    <w:p>
      <w:pPr>
        <w:pStyle w:val="Normal"/>
        <w:numPr>
          <w:ilvl w:val="1"/>
          <w:numId w:val="1"/>
        </w:numPr>
        <w:spacing w:lineRule="auto" w:line="276" w:before="120" w:after="120"/>
        <w:jc w:val="both"/>
        <w:rPr>
          <w:rFonts w:cs="Arial"/>
          <w:bCs/>
          <w:sz w:val="24"/>
        </w:rPr>
      </w:pPr>
      <w:r>
        <w:rPr>
          <w:rFonts w:cs="Arial"/>
          <w:bCs/>
          <w:sz w:val="24"/>
        </w:rPr>
        <w:t>Na aplicação das sanções serão considerados:</w:t>
      </w:r>
    </w:p>
    <w:p>
      <w:pPr>
        <w:pStyle w:val="Normal"/>
        <w:numPr>
          <w:ilvl w:val="2"/>
          <w:numId w:val="1"/>
        </w:numPr>
        <w:spacing w:lineRule="auto" w:line="276" w:before="120" w:after="120"/>
        <w:jc w:val="both"/>
        <w:rPr>
          <w:rFonts w:cs="Arial"/>
          <w:bCs/>
          <w:sz w:val="24"/>
        </w:rPr>
      </w:pPr>
      <w:r>
        <w:rPr>
          <w:rFonts w:cs="Arial"/>
          <w:bCs/>
          <w:sz w:val="24"/>
        </w:rPr>
        <w:t>a natureza e a gravidade da infração cometida;</w:t>
      </w:r>
    </w:p>
    <w:p>
      <w:pPr>
        <w:pStyle w:val="Normal"/>
        <w:numPr>
          <w:ilvl w:val="2"/>
          <w:numId w:val="1"/>
        </w:numPr>
        <w:spacing w:lineRule="auto" w:line="276" w:before="120" w:after="120"/>
        <w:jc w:val="both"/>
        <w:rPr>
          <w:rFonts w:cs="Arial"/>
          <w:bCs/>
          <w:sz w:val="24"/>
        </w:rPr>
      </w:pPr>
      <w:r>
        <w:rPr>
          <w:rFonts w:cs="Arial"/>
          <w:bCs/>
          <w:sz w:val="24"/>
        </w:rPr>
        <w:t>as peculiaridades do caso concreto;</w:t>
      </w:r>
    </w:p>
    <w:p>
      <w:pPr>
        <w:pStyle w:val="Normal"/>
        <w:numPr>
          <w:ilvl w:val="2"/>
          <w:numId w:val="1"/>
        </w:numPr>
        <w:spacing w:lineRule="auto" w:line="276" w:before="120" w:after="120"/>
        <w:jc w:val="both"/>
        <w:rPr>
          <w:rFonts w:cs="Arial"/>
          <w:bCs/>
          <w:sz w:val="24"/>
        </w:rPr>
      </w:pPr>
      <w:r>
        <w:rPr>
          <w:rFonts w:cs="Arial"/>
          <w:bCs/>
          <w:sz w:val="24"/>
        </w:rPr>
        <w:t>as circunstâncias agravantes ou atenuantes;</w:t>
      </w:r>
    </w:p>
    <w:p>
      <w:pPr>
        <w:pStyle w:val="Normal"/>
        <w:numPr>
          <w:ilvl w:val="2"/>
          <w:numId w:val="1"/>
        </w:numPr>
        <w:spacing w:lineRule="auto" w:line="276" w:before="120" w:after="120"/>
        <w:jc w:val="both"/>
        <w:rPr>
          <w:rFonts w:cs="Arial"/>
          <w:bCs/>
          <w:sz w:val="24"/>
        </w:rPr>
      </w:pPr>
      <w:r>
        <w:rPr>
          <w:rFonts w:cs="Arial"/>
          <w:bCs/>
          <w:sz w:val="24"/>
        </w:rPr>
        <w:t>os danos que dela provierem para a Administração Pública;</w:t>
      </w:r>
    </w:p>
    <w:p>
      <w:pPr>
        <w:pStyle w:val="Normal"/>
        <w:numPr>
          <w:ilvl w:val="2"/>
          <w:numId w:val="1"/>
        </w:numPr>
        <w:spacing w:lineRule="auto" w:line="276" w:before="120" w:after="120"/>
        <w:jc w:val="both"/>
        <w:rPr>
          <w:rFonts w:cs="Arial"/>
          <w:bCs/>
          <w:sz w:val="24"/>
        </w:rPr>
      </w:pPr>
      <w:r>
        <w:rPr>
          <w:rFonts w:cs="Arial"/>
          <w:bCs/>
          <w:sz w:val="24"/>
        </w:rPr>
        <w:t>a implantação ou o aperfeiçoamento de programa de integridade, conforme normas e orientações dos órgãos de controle.</w:t>
      </w:r>
    </w:p>
    <w:p>
      <w:pPr>
        <w:pStyle w:val="Normal"/>
        <w:numPr>
          <w:ilvl w:val="1"/>
          <w:numId w:val="1"/>
        </w:numPr>
        <w:spacing w:lineRule="auto" w:line="276" w:before="120" w:after="120"/>
        <w:ind w:left="425" w:hanging="0"/>
        <w:jc w:val="both"/>
        <w:rPr>
          <w:rFonts w:cs="Arial"/>
          <w:sz w:val="24"/>
        </w:rPr>
      </w:pPr>
      <w:bookmarkStart w:id="11" w:name="art156%C2%A76"/>
      <w:bookmarkStart w:id="12" w:name="art156%C2%A77"/>
      <w:bookmarkStart w:id="13" w:name="art156%C2%A78"/>
      <w:bookmarkEnd w:id="11"/>
      <w:bookmarkEnd w:id="12"/>
      <w:bookmarkEnd w:id="13"/>
      <w:r>
        <w:rPr>
          <w:rFonts w:cs="Arial"/>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pPr>
        <w:pStyle w:val="Normal"/>
        <w:numPr>
          <w:ilvl w:val="1"/>
          <w:numId w:val="1"/>
        </w:numPr>
        <w:spacing w:lineRule="auto" w:line="276" w:before="120" w:after="120"/>
        <w:ind w:left="425" w:hanging="0"/>
        <w:jc w:val="both"/>
        <w:rPr>
          <w:rFonts w:cs="Arial"/>
          <w:sz w:val="24"/>
        </w:rPr>
      </w:pPr>
      <w:bookmarkStart w:id="14" w:name="art156%C2%A79"/>
      <w:bookmarkEnd w:id="14"/>
      <w:r>
        <w:rPr>
          <w:rFonts w:cs="Arial"/>
          <w:sz w:val="24"/>
        </w:rPr>
        <w:t>A aplicação das sanções previstas neste Aviso de Contratação Direta, em hipótese alguma, a obrigação de reparação integral do dano causado à Administração Pública.</w:t>
      </w:r>
    </w:p>
    <w:p>
      <w:pPr>
        <w:pStyle w:val="Normal"/>
        <w:numPr>
          <w:ilvl w:val="1"/>
          <w:numId w:val="1"/>
        </w:numPr>
        <w:spacing w:lineRule="auto" w:line="276" w:before="120" w:after="120"/>
        <w:ind w:left="425" w:hanging="0"/>
        <w:jc w:val="both"/>
        <w:rPr>
          <w:rFonts w:cs="Arial"/>
          <w:sz w:val="24"/>
        </w:rPr>
      </w:pPr>
      <w:r>
        <w:rPr>
          <w:rFonts w:cs="Arial"/>
          <w:sz w:val="24"/>
        </w:rPr>
        <w:t>A penalidade de multa pode ser aplicada cumulativamente com as demais sanções.</w:t>
      </w:r>
    </w:p>
    <w:p>
      <w:pPr>
        <w:pStyle w:val="Normal"/>
        <w:numPr>
          <w:ilvl w:val="1"/>
          <w:numId w:val="1"/>
        </w:numPr>
        <w:spacing w:lineRule="auto" w:line="276" w:before="120" w:after="120"/>
        <w:ind w:left="425" w:hanging="0"/>
        <w:jc w:val="both"/>
        <w:rPr>
          <w:rFonts w:cs="Arial"/>
          <w:sz w:val="24"/>
        </w:rPr>
      </w:pPr>
      <w:r>
        <w:rPr>
          <w:rFonts w:cs="Arial"/>
          <w:sz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pPr>
        <w:pStyle w:val="Normal"/>
        <w:numPr>
          <w:ilvl w:val="1"/>
          <w:numId w:val="1"/>
        </w:numPr>
        <w:spacing w:lineRule="auto" w:line="276" w:before="120" w:after="120"/>
        <w:ind w:left="425" w:hanging="0"/>
        <w:jc w:val="both"/>
        <w:rPr>
          <w:rFonts w:cs="Arial"/>
          <w:sz w:val="24"/>
        </w:rPr>
      </w:pPr>
      <w:r>
        <w:rPr>
          <w:rFonts w:cs="Arial"/>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pPr>
        <w:pStyle w:val="Normal"/>
        <w:numPr>
          <w:ilvl w:val="1"/>
          <w:numId w:val="1"/>
        </w:numPr>
        <w:spacing w:lineRule="auto" w:line="276" w:before="120" w:after="120"/>
        <w:ind w:left="425" w:hanging="0"/>
        <w:jc w:val="both"/>
        <w:rPr>
          <w:rFonts w:cs="Arial"/>
          <w:sz w:val="24"/>
        </w:rPr>
      </w:pPr>
      <w:r>
        <w:rPr>
          <w:rFonts w:cs="Arial"/>
          <w:sz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pPr>
        <w:pStyle w:val="Normal"/>
        <w:numPr>
          <w:ilvl w:val="1"/>
          <w:numId w:val="1"/>
        </w:numPr>
        <w:spacing w:lineRule="auto" w:line="276" w:before="120" w:after="120"/>
        <w:ind w:left="425" w:hanging="0"/>
        <w:jc w:val="both"/>
        <w:rPr>
          <w:rFonts w:cs="Arial"/>
          <w:sz w:val="24"/>
        </w:rPr>
      </w:pPr>
      <w:r>
        <w:rPr>
          <w:rFonts w:cs="Arial"/>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pPr>
        <w:pStyle w:val="Normal"/>
        <w:numPr>
          <w:ilvl w:val="1"/>
          <w:numId w:val="1"/>
        </w:numPr>
        <w:spacing w:lineRule="auto" w:line="276" w:before="120" w:after="120"/>
        <w:ind w:left="425" w:hanging="0"/>
        <w:jc w:val="both"/>
        <w:rPr>
          <w:rFonts w:cs="Arial"/>
          <w:sz w:val="24"/>
        </w:rPr>
      </w:pPr>
      <w:r>
        <w:rPr>
          <w:rFonts w:cs="Arial"/>
          <w:sz w:val="24"/>
        </w:rPr>
        <w:t>As sanções por atos praticados no decorrer da contratação estão previstas nos anexos a este Aviso.</w:t>
      </w:r>
    </w:p>
    <w:p>
      <w:pPr>
        <w:pStyle w:val="Normal"/>
        <w:spacing w:lineRule="auto" w:line="276" w:before="120" w:after="120"/>
        <w:ind w:left="425" w:hanging="0"/>
        <w:jc w:val="both"/>
        <w:rPr>
          <w:rFonts w:ascii="Arial" w:hAnsi="Arial" w:cs="Arial"/>
          <w:sz w:val="24"/>
        </w:rPr>
      </w:pPr>
      <w:r>
        <w:rPr>
          <w:rFonts w:cs="Arial"/>
          <w:sz w:val="24"/>
        </w:rPr>
      </w:r>
    </w:p>
    <w:p>
      <w:pPr>
        <w:pStyle w:val="Ttulo1"/>
        <w:numPr>
          <w:ilvl w:val="0"/>
          <w:numId w:val="1"/>
        </w:numPr>
        <w:rPr>
          <w:rFonts w:ascii="Arial" w:hAnsi="Arial" w:cs="Arial"/>
          <w:color w:val="00000A"/>
          <w:sz w:val="24"/>
          <w:szCs w:val="24"/>
        </w:rPr>
      </w:pPr>
      <w:bookmarkStart w:id="15" w:name="_Toc104906826"/>
      <w:bookmarkEnd w:id="15"/>
      <w:r>
        <w:rPr>
          <w:rFonts w:cs="Arial" w:ascii="Arial" w:hAnsi="Arial"/>
          <w:b/>
          <w:bCs/>
          <w:color w:val="00000A"/>
          <w:sz w:val="24"/>
          <w:szCs w:val="24"/>
        </w:rPr>
        <w:t>DAS DISPOSIÇÕES GERAIS</w:t>
      </w:r>
    </w:p>
    <w:p>
      <w:pPr>
        <w:pStyle w:val="Normal"/>
        <w:numPr>
          <w:ilvl w:val="1"/>
          <w:numId w:val="1"/>
        </w:numPr>
        <w:snapToGrid w:val="false"/>
        <w:spacing w:lineRule="auto" w:line="276" w:before="120" w:after="120"/>
        <w:ind w:left="857" w:hanging="432"/>
        <w:jc w:val="both"/>
        <w:rPr>
          <w:rFonts w:cs="Arial"/>
          <w:sz w:val="24"/>
        </w:rPr>
      </w:pPr>
      <w:r>
        <w:rPr>
          <w:rFonts w:cs="Arial"/>
          <w:sz w:val="24"/>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No caso de todos os fornecedores restarem desclassificados ou inabilitados (procedimento fracassado), a Administração poderá:</w:t>
      </w:r>
    </w:p>
    <w:p>
      <w:pPr>
        <w:pStyle w:val="Normal"/>
        <w:numPr>
          <w:ilvl w:val="2"/>
          <w:numId w:val="1"/>
        </w:numPr>
        <w:spacing w:lineRule="auto" w:line="276" w:before="120" w:after="120"/>
        <w:jc w:val="both"/>
        <w:rPr>
          <w:rFonts w:cs="Arial"/>
          <w:color w:val="000000"/>
          <w:sz w:val="24"/>
        </w:rPr>
      </w:pPr>
      <w:r>
        <w:rPr>
          <w:rFonts w:cs="Arial"/>
          <w:color w:val="000000"/>
          <w:sz w:val="24"/>
        </w:rPr>
        <w:t>republicar o presente aviso com uma nova data;</w:t>
      </w:r>
    </w:p>
    <w:p>
      <w:pPr>
        <w:pStyle w:val="Normal"/>
        <w:numPr>
          <w:ilvl w:val="2"/>
          <w:numId w:val="1"/>
        </w:numPr>
        <w:spacing w:lineRule="auto" w:line="276" w:before="120" w:after="120"/>
        <w:jc w:val="both"/>
        <w:rPr>
          <w:rFonts w:cs="Arial"/>
          <w:color w:val="000000"/>
          <w:sz w:val="24"/>
        </w:rPr>
      </w:pPr>
      <w:r>
        <w:rPr>
          <w:rFonts w:cs="Arial"/>
          <w:color w:val="000000"/>
          <w:sz w:val="24"/>
        </w:rPr>
        <w:t>valer-se, para a contratação, de proposta obtida na pesquisa de preços que serviu de base ao procedimento, se houver, privilegiando-se os menores preços, sempre que possível, e desde que atendidas às condições de habilitação exigidas.</w:t>
      </w:r>
    </w:p>
    <w:p>
      <w:pPr>
        <w:pStyle w:val="Normal"/>
        <w:numPr>
          <w:ilvl w:val="3"/>
          <w:numId w:val="1"/>
        </w:numPr>
        <w:spacing w:lineRule="auto" w:line="276" w:before="120" w:after="120"/>
        <w:jc w:val="both"/>
        <w:rPr>
          <w:rFonts w:cs="Arial"/>
          <w:color w:val="000000"/>
          <w:sz w:val="24"/>
        </w:rPr>
      </w:pPr>
      <w:r>
        <w:rPr>
          <w:rFonts w:cs="Arial"/>
          <w:color w:val="000000"/>
          <w:sz w:val="24"/>
        </w:rPr>
        <w:t>No caso do subitem anterior, a contratação será operacionalizada fora deste procedimento.</w:t>
      </w:r>
    </w:p>
    <w:p>
      <w:pPr>
        <w:pStyle w:val="Normal"/>
        <w:numPr>
          <w:ilvl w:val="2"/>
          <w:numId w:val="1"/>
        </w:numPr>
        <w:spacing w:lineRule="auto" w:line="276" w:before="120" w:after="120"/>
        <w:jc w:val="both"/>
        <w:rPr>
          <w:rFonts w:cs="Arial"/>
          <w:color w:val="000000"/>
          <w:sz w:val="24"/>
        </w:rPr>
      </w:pPr>
      <w:r>
        <w:rPr>
          <w:rFonts w:cs="Arial"/>
          <w:color w:val="000000"/>
          <w:sz w:val="24"/>
        </w:rPr>
        <w:t>fixar prazo para que possa haver adequação das propostas ou da documentação de habilitação, conforme o caso.</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As providências dos subitens 9.2.1 e 9.2.2 acima poderão ser utilizadas se não houver o comparecimento de quaisquer fornecedores interessados (procedimento deserto)</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Caberá ao fornecedor acompanhar as operações, ficando responsável pelo ônus decorrente da perda do negócio diante da inobservância de quaisquer mensagens emitidas pela Administração ou de sua desconexão.</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Os horários estabelecidos na divulgação deste procedimento e durante o envio de lances observarão o horário de Brasília-DF, inclusive para contagem de tempo e registro no Sistema e na documentação relativa ao procedimento.</w:t>
      </w:r>
    </w:p>
    <w:p>
      <w:pPr>
        <w:pStyle w:val="Normal"/>
        <w:numPr>
          <w:ilvl w:val="1"/>
          <w:numId w:val="1"/>
        </w:numPr>
        <w:spacing w:lineRule="auto" w:line="276" w:before="120" w:after="120"/>
        <w:ind w:left="425" w:hanging="0"/>
        <w:jc w:val="both"/>
        <w:rPr>
          <w:rFonts w:cs="Arial"/>
          <w:color w:val="000000" w:themeColor="text1"/>
          <w:sz w:val="24"/>
        </w:rPr>
      </w:pPr>
      <w:r>
        <w:rPr>
          <w:rFonts w:cs="Arial"/>
          <w:color w:val="000000" w:themeColor="text1"/>
          <w:sz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Em caso de divergência entre disposições deste Aviso de Contratação Direta e de seus anexos ou demais peças que compõem o processo, prevalecerá as deste Aviso.</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Da sessão pública será divulgada Ata no sistema eletrônico.</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Integram este Aviso de Contratação Direta, para todos os fins e efeitos, os seguintes anexos:</w:t>
      </w:r>
    </w:p>
    <w:p>
      <w:pPr>
        <w:pStyle w:val="Normal"/>
        <w:numPr>
          <w:ilvl w:val="2"/>
          <w:numId w:val="1"/>
        </w:numPr>
        <w:spacing w:lineRule="auto" w:line="276" w:before="120" w:after="120"/>
        <w:jc w:val="both"/>
        <w:rPr/>
      </w:pPr>
      <w:r>
        <w:rPr>
          <w:rFonts w:cs="Arial"/>
          <w:color w:val="000000"/>
          <w:sz w:val="24"/>
        </w:rPr>
        <w:t>ANEXO I – Documentação exigida para Habilitação</w:t>
      </w:r>
    </w:p>
    <w:p>
      <w:pPr>
        <w:pStyle w:val="Normal"/>
        <w:spacing w:lineRule="auto" w:line="276" w:before="0" w:after="120"/>
        <w:ind w:left="360" w:right="-15" w:hanging="0"/>
        <w:jc w:val="center"/>
        <w:rPr>
          <w:rFonts w:ascii="Arial" w:hAnsi="Arial" w:cs="Arial"/>
          <w:color w:val="000000"/>
          <w:sz w:val="24"/>
        </w:rPr>
      </w:pPr>
      <w:r>
        <w:rPr>
          <w:rFonts w:cs="Arial"/>
          <w:color w:val="000000"/>
          <w:sz w:val="24"/>
        </w:rPr>
      </w:r>
    </w:p>
    <w:p>
      <w:pPr>
        <w:pStyle w:val="Normal"/>
        <w:spacing w:lineRule="auto" w:line="276" w:before="0" w:after="120"/>
        <w:ind w:left="360" w:right="0" w:hanging="0"/>
        <w:jc w:val="both"/>
        <w:rPr/>
      </w:pPr>
      <w:r>
        <w:rPr>
          <w:rFonts w:cs="Arial"/>
          <w:color w:val="000000"/>
          <w:sz w:val="24"/>
          <w:szCs w:val="24"/>
        </w:rPr>
        <w:t>Natal, 18 de janeiro de 2023.</w:t>
      </w:r>
    </w:p>
    <w:p>
      <w:pPr>
        <w:pStyle w:val="Normal"/>
        <w:spacing w:lineRule="auto" w:line="276" w:before="0" w:after="120"/>
        <w:ind w:left="360" w:right="0" w:hanging="0"/>
        <w:jc w:val="both"/>
        <w:rPr>
          <w:rFonts w:ascii="Arial" w:hAnsi="Arial" w:cs="Arial"/>
          <w:color w:val="000000"/>
          <w:sz w:val="24"/>
          <w:szCs w:val="24"/>
        </w:rPr>
      </w:pPr>
      <w:r>
        <w:rPr>
          <w:rFonts w:cs="Arial"/>
          <w:color w:val="000000"/>
          <w:sz w:val="24"/>
          <w:szCs w:val="24"/>
        </w:rPr>
      </w:r>
    </w:p>
    <w:p>
      <w:pPr>
        <w:pStyle w:val="Normal"/>
        <w:spacing w:lineRule="auto" w:line="276" w:before="0" w:after="120"/>
        <w:ind w:left="360" w:right="0" w:hanging="0"/>
        <w:jc w:val="both"/>
        <w:rPr>
          <w:rFonts w:ascii="Arial" w:hAnsi="Arial" w:cs="Arial"/>
          <w:color w:val="000000"/>
          <w:sz w:val="24"/>
          <w:szCs w:val="24"/>
        </w:rPr>
      </w:pPr>
      <w:r>
        <w:rPr>
          <w:rFonts w:cs="Arial"/>
          <w:color w:val="000000"/>
          <w:sz w:val="24"/>
          <w:szCs w:val="24"/>
        </w:rPr>
      </w:r>
    </w:p>
    <w:p>
      <w:pPr>
        <w:pStyle w:val="Normal"/>
        <w:widowControl/>
        <w:bidi w:val="0"/>
        <w:spacing w:lineRule="auto" w:line="276" w:before="0" w:after="0"/>
        <w:ind w:left="4819" w:right="0" w:hanging="0"/>
        <w:jc w:val="center"/>
        <w:rPr>
          <w:rFonts w:ascii="Calibri" w:hAnsi="Calibri" w:cs="Arial"/>
          <w:b w:val="false"/>
          <w:b w:val="false"/>
          <w:bCs w:val="false"/>
          <w:iCs/>
          <w:color w:val="000000"/>
          <w:sz w:val="24"/>
          <w:szCs w:val="24"/>
        </w:rPr>
      </w:pPr>
      <w:r>
        <w:rPr>
          <w:rFonts w:cs="Arial"/>
          <w:b w:val="false"/>
          <w:bCs w:val="false"/>
          <w:iCs/>
          <w:color w:val="000000"/>
          <w:sz w:val="24"/>
          <w:szCs w:val="24"/>
        </w:rPr>
        <w:t xml:space="preserve">ALEXANDRE </w:t>
      </w:r>
      <w:r>
        <w:rPr>
          <w:rStyle w:val="Nfaseforte"/>
          <w:rFonts w:cs="Arial"/>
          <w:iCs/>
          <w:color w:val="000000"/>
          <w:sz w:val="24"/>
          <w:szCs w:val="24"/>
        </w:rPr>
        <w:t>ALBUQUERQUE</w:t>
      </w:r>
      <w:r>
        <w:rPr>
          <w:rFonts w:cs="Arial"/>
          <w:b w:val="false"/>
          <w:bCs w:val="false"/>
          <w:iCs/>
          <w:color w:val="000000"/>
          <w:sz w:val="24"/>
          <w:szCs w:val="24"/>
        </w:rPr>
        <w:t xml:space="preserve"> ROSA </w:t>
      </w:r>
    </w:p>
    <w:p>
      <w:pPr>
        <w:pStyle w:val="Normal"/>
        <w:widowControl/>
        <w:bidi w:val="0"/>
        <w:spacing w:lineRule="auto" w:line="276" w:before="0" w:after="0"/>
        <w:ind w:left="4819" w:right="0" w:hanging="0"/>
        <w:jc w:val="center"/>
        <w:rPr>
          <w:rFonts w:ascii="Arial" w:hAnsi="Arial" w:cs="Arial"/>
          <w:b w:val="false"/>
          <w:b w:val="false"/>
          <w:bCs w:val="false"/>
          <w:iCs/>
          <w:color w:val="000000"/>
          <w:sz w:val="24"/>
          <w:szCs w:val="24"/>
        </w:rPr>
      </w:pPr>
      <w:r>
        <w:rPr>
          <w:rFonts w:cs="Arial"/>
          <w:b w:val="false"/>
          <w:bCs w:val="false"/>
          <w:iCs/>
          <w:color w:val="000000"/>
          <w:sz w:val="24"/>
          <w:szCs w:val="24"/>
        </w:rPr>
        <w:t>Capitão de Mar e Guerra (Md)</w:t>
      </w:r>
    </w:p>
    <w:p>
      <w:pPr>
        <w:pStyle w:val="Normal"/>
        <w:widowControl/>
        <w:bidi w:val="0"/>
        <w:spacing w:lineRule="auto" w:line="276" w:before="0" w:after="0"/>
        <w:ind w:left="4819" w:right="0" w:hanging="0"/>
        <w:jc w:val="center"/>
        <w:rPr>
          <w:rFonts w:ascii="Arial" w:hAnsi="Arial" w:cs="Arial"/>
          <w:b w:val="false"/>
          <w:b w:val="false"/>
          <w:bCs w:val="false"/>
          <w:iCs/>
          <w:color w:val="000000"/>
          <w:sz w:val="24"/>
          <w:szCs w:val="24"/>
        </w:rPr>
      </w:pPr>
      <w:r>
        <w:rPr>
          <w:rFonts w:cs="Arial"/>
          <w:b w:val="false"/>
          <w:bCs w:val="false"/>
          <w:iCs/>
          <w:color w:val="000000"/>
          <w:sz w:val="24"/>
          <w:szCs w:val="24"/>
        </w:rPr>
        <w:t>Diretor – Ordenador de Despesas</w:t>
      </w:r>
    </w:p>
    <w:p>
      <w:pPr>
        <w:pStyle w:val="Normal"/>
        <w:widowControl/>
        <w:bidi w:val="0"/>
        <w:spacing w:lineRule="auto" w:line="276" w:before="0" w:after="0"/>
        <w:ind w:left="4819" w:right="0" w:hanging="0"/>
        <w:jc w:val="center"/>
        <w:rPr>
          <w:rFonts w:cs="Arial"/>
          <w:b/>
          <w:b/>
          <w:bCs/>
          <w:iCs/>
          <w:color w:val="000000"/>
          <w:sz w:val="24"/>
        </w:rPr>
      </w:pPr>
      <w:r>
        <w:rPr>
          <w:rFonts w:cs="Arial"/>
          <w:b/>
          <w:bCs/>
          <w:iCs/>
          <w:color w:val="000000"/>
          <w:sz w:val="24"/>
        </w:rPr>
      </w:r>
    </w:p>
    <w:p>
      <w:pPr>
        <w:pStyle w:val="Normal"/>
        <w:spacing w:lineRule="auto" w:line="259" w:before="0" w:after="160"/>
        <w:rPr>
          <w:rFonts w:ascii="Arial" w:hAnsi="Arial" w:cs="Arial"/>
          <w:b/>
          <w:b/>
          <w:bCs/>
          <w:iCs/>
          <w:color w:val="000000"/>
          <w:sz w:val="24"/>
        </w:rPr>
      </w:pPr>
      <w:r>
        <w:rPr>
          <w:rFonts w:cs="Arial"/>
          <w:b/>
          <w:bCs/>
          <w:iCs/>
          <w:color w:val="000000"/>
          <w:sz w:val="24"/>
        </w:rPr>
      </w:r>
      <w:r>
        <w:br w:type="page"/>
      </w:r>
    </w:p>
    <w:p>
      <w:pPr>
        <w:pStyle w:val="Normal"/>
        <w:spacing w:lineRule="auto" w:line="276"/>
        <w:jc w:val="center"/>
        <w:rPr>
          <w:rFonts w:ascii="Arial" w:hAnsi="Arial" w:cs="Arial"/>
          <w:sz w:val="24"/>
        </w:rPr>
      </w:pPr>
      <w:r>
        <w:rPr>
          <w:rFonts w:cs="Arial"/>
          <w:sz w:val="24"/>
        </w:rPr>
      </w:r>
    </w:p>
    <w:p>
      <w:pPr>
        <w:pStyle w:val="Ttulododocumento"/>
        <w:jc w:val="center"/>
        <w:rPr>
          <w:rFonts w:ascii="Arial" w:hAnsi="Arial"/>
        </w:rPr>
      </w:pPr>
      <w:r>
        <w:rPr>
          <w:rFonts w:cs="Arial" w:ascii="Arial" w:hAnsi="Arial"/>
          <w:b/>
          <w:bCs/>
          <w:sz w:val="24"/>
          <w:szCs w:val="24"/>
        </w:rPr>
        <w:t>ANEXO I – DOCUMENTAÇÃO EXIGIDA PARA HABILITAÇÃO</w:t>
      </w:r>
    </w:p>
    <w:p>
      <w:pPr>
        <w:pStyle w:val="Normal"/>
        <w:rPr>
          <w:rFonts w:ascii="Arial" w:hAnsi="Arial" w:cs="Arial"/>
          <w:sz w:val="24"/>
          <w:lang w:eastAsia="en-US"/>
        </w:rPr>
      </w:pPr>
      <w:r>
        <w:rPr>
          <w:rFonts w:cs="Arial"/>
          <w:sz w:val="24"/>
          <w:lang w:eastAsia="en-US"/>
        </w:rPr>
      </w:r>
    </w:p>
    <w:p>
      <w:pPr>
        <w:pStyle w:val="Normal"/>
        <w:rPr>
          <w:rFonts w:ascii="Arial" w:hAnsi="Arial" w:cs="Arial"/>
          <w:sz w:val="24"/>
          <w:lang w:eastAsia="en-US"/>
        </w:rPr>
      </w:pPr>
      <w:r>
        <w:rPr>
          <w:rFonts w:cs="Arial"/>
          <w:sz w:val="24"/>
          <w:lang w:eastAsia="en-US"/>
        </w:rPr>
      </w:r>
    </w:p>
    <w:p>
      <w:pPr>
        <w:pStyle w:val="PADRO"/>
        <w:keepNext w:val="false"/>
        <w:widowControl/>
        <w:numPr>
          <w:ilvl w:val="0"/>
          <w:numId w:val="3"/>
        </w:numPr>
        <w:shd w:val="clear" w:fill="FFFFFF"/>
        <w:spacing w:before="120" w:after="120"/>
        <w:rPr>
          <w:rFonts w:ascii="Arial" w:hAnsi="Arial" w:cs="Arial"/>
          <w:sz w:val="24"/>
        </w:rPr>
      </w:pPr>
      <w:r>
        <w:rPr>
          <w:rFonts w:cs="Arial" w:ascii="Arial" w:hAnsi="Arial"/>
          <w:b/>
          <w:bCs/>
          <w:color w:val="000000"/>
          <w:sz w:val="24"/>
        </w:rPr>
        <w:t xml:space="preserve"> </w:t>
      </w:r>
      <w:r>
        <w:rPr>
          <w:rFonts w:cs="Arial" w:ascii="Arial" w:hAnsi="Arial"/>
          <w:b/>
          <w:bCs/>
          <w:color w:val="000000"/>
          <w:sz w:val="24"/>
        </w:rPr>
        <w:t>Regularidade fiscal, social e trabalhista:</w:t>
      </w:r>
    </w:p>
    <w:p>
      <w:pPr>
        <w:pStyle w:val="Normal"/>
        <w:numPr>
          <w:ilvl w:val="1"/>
          <w:numId w:val="3"/>
        </w:numPr>
        <w:tabs>
          <w:tab w:val="left" w:pos="1440" w:leader="none"/>
        </w:tabs>
        <w:snapToGrid w:val="false"/>
        <w:spacing w:lineRule="auto" w:line="276" w:before="120" w:after="120"/>
        <w:jc w:val="both"/>
        <w:rPr>
          <w:rFonts w:cs="Arial"/>
          <w:sz w:val="24"/>
        </w:rPr>
      </w:pPr>
      <w:r>
        <w:rPr>
          <w:rFonts w:cs="Arial"/>
          <w:sz w:val="24"/>
          <w:lang w:eastAsia="en-US"/>
        </w:rPr>
        <w:t>prova de inscrição no Cadastro Nacional de Pessoas Jurídicas ou no Cadastro de Pessoas Físicas, conforme o caso;</w:t>
      </w:r>
    </w:p>
    <w:p>
      <w:pPr>
        <w:pStyle w:val="Normal"/>
        <w:numPr>
          <w:ilvl w:val="1"/>
          <w:numId w:val="3"/>
        </w:numPr>
        <w:tabs>
          <w:tab w:val="left" w:pos="1440" w:leader="none"/>
        </w:tabs>
        <w:snapToGrid w:val="false"/>
        <w:spacing w:lineRule="auto" w:line="276" w:before="120" w:after="120"/>
        <w:jc w:val="both"/>
        <w:rPr>
          <w:rFonts w:cs="Arial"/>
          <w:sz w:val="24"/>
        </w:rPr>
      </w:pPr>
      <w:r>
        <w:rPr>
          <w:rFonts w:cs="Arial"/>
          <w:sz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pPr>
        <w:pStyle w:val="Normal"/>
        <w:numPr>
          <w:ilvl w:val="1"/>
          <w:numId w:val="3"/>
        </w:numPr>
        <w:tabs>
          <w:tab w:val="left" w:pos="1440" w:leader="none"/>
        </w:tabs>
        <w:snapToGrid w:val="false"/>
        <w:spacing w:lineRule="auto" w:line="276" w:before="120" w:after="120"/>
        <w:jc w:val="both"/>
        <w:rPr>
          <w:rFonts w:cs="Arial"/>
          <w:color w:val="000000"/>
          <w:sz w:val="24"/>
        </w:rPr>
      </w:pPr>
      <w:r>
        <w:rPr>
          <w:rFonts w:cs="Arial"/>
          <w:color w:val="000000"/>
          <w:sz w:val="24"/>
          <w:lang w:eastAsia="en-US"/>
        </w:rPr>
        <w:t>prova de regularidade com o Fundo de Garantia do Tempo de Serviço (FGTS);</w:t>
      </w:r>
    </w:p>
    <w:p>
      <w:pPr>
        <w:pStyle w:val="Normal"/>
        <w:numPr>
          <w:ilvl w:val="1"/>
          <w:numId w:val="3"/>
        </w:numPr>
        <w:tabs>
          <w:tab w:val="left" w:pos="1440" w:leader="none"/>
        </w:tabs>
        <w:snapToGrid w:val="false"/>
        <w:spacing w:lineRule="auto" w:line="276" w:before="120" w:after="120"/>
        <w:jc w:val="both"/>
        <w:rPr>
          <w:rFonts w:cs="Arial"/>
          <w:sz w:val="24"/>
        </w:rPr>
      </w:pPr>
      <w:r>
        <w:rPr>
          <w:rFonts w:cs="Arial"/>
          <w:sz w:val="24"/>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Normal"/>
        <w:numPr>
          <w:ilvl w:val="1"/>
          <w:numId w:val="3"/>
        </w:numPr>
        <w:tabs>
          <w:tab w:val="left" w:pos="1440" w:leader="none"/>
        </w:tabs>
        <w:snapToGrid w:val="false"/>
        <w:spacing w:lineRule="auto" w:line="276" w:before="120" w:after="120"/>
        <w:jc w:val="both"/>
        <w:rPr>
          <w:rFonts w:cs="Arial"/>
          <w:bCs/>
          <w:sz w:val="24"/>
        </w:rPr>
      </w:pPr>
      <w:r>
        <w:rPr>
          <w:rFonts w:cs="Arial"/>
          <w:bCs/>
          <w:i w:val="false"/>
          <w:iCs w:val="false"/>
          <w:color w:val="000000"/>
          <w:sz w:val="24"/>
        </w:rPr>
        <w:t xml:space="preserve">prova de </w:t>
      </w:r>
      <w:r>
        <w:rPr>
          <w:rFonts w:cs="Arial"/>
          <w:i w:val="false"/>
          <w:iCs w:val="false"/>
          <w:color w:val="000000"/>
          <w:sz w:val="24"/>
        </w:rPr>
        <w:t>inscrição no cadastro de contribuintes estadual e/ou municipal, relativo ao domicílio ou sede do fornecedor, pertinente ao seu ramo de atividade e compatível com o objeto contratual</w:t>
      </w:r>
      <w:r>
        <w:rPr>
          <w:rFonts w:cs="Arial"/>
          <w:bCs/>
          <w:i w:val="false"/>
          <w:iCs w:val="false"/>
          <w:color w:val="000000"/>
          <w:sz w:val="24"/>
        </w:rPr>
        <w:t xml:space="preserve">; </w:t>
      </w:r>
    </w:p>
    <w:p>
      <w:pPr>
        <w:pStyle w:val="Normal"/>
        <w:numPr>
          <w:ilvl w:val="1"/>
          <w:numId w:val="3"/>
        </w:numPr>
        <w:tabs>
          <w:tab w:val="left" w:pos="1440" w:leader="none"/>
        </w:tabs>
        <w:snapToGrid w:val="false"/>
        <w:spacing w:lineRule="auto" w:line="276" w:before="120" w:after="120"/>
        <w:jc w:val="both"/>
        <w:rPr>
          <w:rFonts w:ascii="Arial" w:hAnsi="Arial"/>
          <w:i w:val="false"/>
          <w:i w:val="false"/>
          <w:iCs w:val="false"/>
          <w:color w:val="000000"/>
        </w:rPr>
      </w:pPr>
      <w:r>
        <w:rPr>
          <w:rFonts w:cs="Arial"/>
          <w:i w:val="false"/>
          <w:iCs w:val="false"/>
          <w:color w:val="000000"/>
          <w:sz w:val="24"/>
        </w:rPr>
        <w:t xml:space="preserve">prova de regularidade com a Fazenda Estadual e/ou Municipal do domicílio ou sede do fornecedor, relativa à atividade em cujo exercício contrata ou concorre; </w:t>
      </w:r>
    </w:p>
    <w:p>
      <w:pPr>
        <w:pStyle w:val="Normal"/>
        <w:numPr>
          <w:ilvl w:val="1"/>
          <w:numId w:val="3"/>
        </w:numPr>
        <w:tabs>
          <w:tab w:val="left" w:pos="1440" w:leader="none"/>
        </w:tabs>
        <w:snapToGrid w:val="false"/>
        <w:spacing w:lineRule="auto" w:line="276" w:before="120" w:after="120"/>
        <w:jc w:val="both"/>
        <w:rPr>
          <w:rFonts w:cs="Arial"/>
          <w:b/>
          <w:b/>
          <w:sz w:val="24"/>
        </w:rPr>
      </w:pPr>
      <w:r>
        <w:rPr>
          <w:rFonts w:cs="Arial"/>
          <w:i w:val="false"/>
          <w:iCs w:val="false"/>
          <w:color w:val="000000"/>
          <w:sz w:val="24"/>
        </w:rPr>
        <w:t xml:space="preserve">caso o fornecedor seja considerado isento dos tributos estaduais </w:t>
      </w:r>
      <w:r>
        <w:rPr>
          <w:rFonts w:cs="Arial"/>
          <w:b/>
          <w:i w:val="false"/>
          <w:iCs w:val="false"/>
          <w:color w:val="000000"/>
          <w:sz w:val="24"/>
          <w:u w:val="single"/>
        </w:rPr>
        <w:t>ou</w:t>
      </w:r>
      <w:r>
        <w:rPr>
          <w:rFonts w:cs="Arial"/>
          <w:i w:val="false"/>
          <w:iCs w:val="false"/>
          <w:color w:val="000000"/>
          <w:sz w:val="24"/>
        </w:rPr>
        <w:t xml:space="preserve"> municipais relacionados ao objeto contratual, deverá comprovar tal condição mediante a apresentação de declaração da Fazenda respectiva do seu domicílio ou sede, ou outra equivalente, na forma da lei; </w:t>
      </w:r>
    </w:p>
    <w:p>
      <w:pPr>
        <w:pStyle w:val="PADRO"/>
        <w:keepNext w:val="false"/>
        <w:widowControl/>
        <w:numPr>
          <w:ilvl w:val="0"/>
          <w:numId w:val="0"/>
        </w:numPr>
        <w:shd w:val="clear" w:fill="FFFFFF"/>
        <w:spacing w:before="120" w:after="120"/>
        <w:ind w:left="360" w:hanging="0"/>
        <w:rPr/>
      </w:pPr>
      <w:r>
        <w:rPr/>
      </w:r>
    </w:p>
    <w:p>
      <w:pPr>
        <w:pStyle w:val="PADRO"/>
        <w:widowControl/>
        <w:numPr>
          <w:ilvl w:val="0"/>
          <w:numId w:val="0"/>
        </w:numPr>
        <w:shd w:val="clear" w:fill="FFFFFF"/>
        <w:spacing w:before="120" w:after="120"/>
        <w:ind w:left="360" w:hanging="0"/>
        <w:rPr>
          <w:rFonts w:ascii="Arial" w:hAnsi="Arial" w:cs="Arial"/>
          <w:b/>
          <w:b/>
          <w:bCs/>
          <w:sz w:val="24"/>
          <w:szCs w:val="24"/>
        </w:rPr>
      </w:pPr>
      <w:r>
        <w:rPr>
          <w:rFonts w:cs="Arial" w:ascii="Arial" w:hAnsi="Arial"/>
          <w:b/>
          <w:bCs/>
          <w:sz w:val="24"/>
          <w:szCs w:val="24"/>
        </w:rPr>
      </w:r>
    </w:p>
    <w:p>
      <w:pPr>
        <w:pStyle w:val="PADRO"/>
        <w:widowControl/>
        <w:numPr>
          <w:ilvl w:val="0"/>
          <w:numId w:val="0"/>
        </w:numPr>
        <w:shd w:val="clear" w:fill="FFFFFF"/>
        <w:spacing w:before="120" w:after="120"/>
        <w:ind w:left="360" w:hanging="0"/>
        <w:rPr/>
      </w:pPr>
      <w:r>
        <w:rPr/>
      </w:r>
    </w:p>
    <w:p>
      <w:pPr>
        <w:pStyle w:val="PADRO"/>
        <w:widowControl/>
        <w:numPr>
          <w:ilvl w:val="0"/>
          <w:numId w:val="0"/>
        </w:numPr>
        <w:shd w:val="clear" w:fill="FFFFFF"/>
        <w:spacing w:before="120" w:after="120"/>
        <w:ind w:left="360" w:hanging="0"/>
        <w:rPr/>
      </w:pPr>
      <w:r>
        <w:rPr/>
      </w:r>
    </w:p>
    <w:p>
      <w:pPr>
        <w:pStyle w:val="PADRO"/>
        <w:widowControl/>
        <w:numPr>
          <w:ilvl w:val="0"/>
          <w:numId w:val="0"/>
        </w:numPr>
        <w:shd w:val="clear" w:fill="FFFFFF"/>
        <w:spacing w:before="120" w:after="120"/>
        <w:ind w:left="360" w:hanging="0"/>
        <w:rPr/>
      </w:pPr>
      <w:r>
        <w:rPr/>
      </w:r>
    </w:p>
    <w:p>
      <w:pPr>
        <w:pStyle w:val="PADRO"/>
        <w:widowControl/>
        <w:numPr>
          <w:ilvl w:val="0"/>
          <w:numId w:val="0"/>
        </w:numPr>
        <w:shd w:val="clear" w:fill="FFFFFF"/>
        <w:spacing w:before="120" w:after="120"/>
        <w:ind w:left="360" w:hanging="0"/>
        <w:rPr/>
      </w:pPr>
      <w:r>
        <w:rPr/>
      </w:r>
    </w:p>
    <w:p>
      <w:pPr>
        <w:pStyle w:val="PADRO"/>
        <w:widowControl/>
        <w:numPr>
          <w:ilvl w:val="0"/>
          <w:numId w:val="0"/>
        </w:numPr>
        <w:shd w:val="clear" w:fill="FFFFFF"/>
        <w:spacing w:before="120" w:after="120"/>
        <w:ind w:left="360" w:hanging="0"/>
        <w:rPr/>
      </w:pPr>
      <w:r>
        <w:rPr/>
      </w:r>
    </w:p>
    <w:p>
      <w:pPr>
        <w:pStyle w:val="PADRO"/>
        <w:widowControl/>
        <w:numPr>
          <w:ilvl w:val="0"/>
          <w:numId w:val="0"/>
        </w:numPr>
        <w:shd w:val="clear" w:fill="FFFFFF"/>
        <w:spacing w:before="120" w:after="120"/>
        <w:ind w:left="360" w:hanging="0"/>
        <w:rPr/>
      </w:pPr>
      <w:r>
        <w:rPr/>
      </w:r>
    </w:p>
    <w:p>
      <w:pPr>
        <w:pStyle w:val="PADRO"/>
        <w:widowControl/>
        <w:numPr>
          <w:ilvl w:val="0"/>
          <w:numId w:val="0"/>
        </w:numPr>
        <w:shd w:val="clear" w:fill="FFFFFF"/>
        <w:spacing w:before="120" w:after="120"/>
        <w:ind w:left="360" w:hanging="0"/>
        <w:rPr/>
      </w:pPr>
      <w:r>
        <w:rPr/>
      </w:r>
    </w:p>
    <w:sectPr>
      <w:headerReference w:type="default" r:id="rId6"/>
      <w:headerReference w:type="first" r:id="rId7"/>
      <w:footerReference w:type="default" r:id="rId8"/>
      <w:type w:val="nextPage"/>
      <w:pgSz w:w="11906" w:h="16838"/>
      <w:pgMar w:left="1080" w:right="1080" w:header="708" w:top="1440" w:footer="708" w:bottom="1440" w:gutter="0"/>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Calibri Light">
    <w:charset w:val="00"/>
    <w:family w:val="roman"/>
    <w:pitch w:val="variable"/>
  </w:font>
  <w:font w:name="Ecofont_Spranq_eco_Sans">
    <w:charset w:val="00"/>
    <w:family w:val="roman"/>
    <w:pitch w:val="variable"/>
  </w:font>
  <w:font w:name="Segoe UI">
    <w:charset w:val="00"/>
    <w:family w:val="roman"/>
    <w:pitch w:val="variable"/>
  </w:font>
  <w:font w:name="Liberation Sans">
    <w:altName w:val="Arial"/>
    <w:charset w:val="00"/>
    <w:family w:val="roman"/>
    <w:pitch w:val="variable"/>
  </w:font>
  <w:font w:name="Rawline">
    <w:charset w:val="00"/>
    <w:family w:val="roman"/>
    <w:pitch w:val="variable"/>
  </w:font>
  <w:font w:name="Arial">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tabs>
        <w:tab w:val="center" w:pos="4550" w:leader="none"/>
        <w:tab w:val="left" w:pos="5818" w:leader="none"/>
      </w:tabs>
      <w:ind w:right="260" w:hanging="0"/>
      <w:jc w:val="right"/>
      <w:rPr>
        <w:color w:val="8496B0" w:themeColor="text2" w:themeTint="99"/>
        <w:spacing w:val="60"/>
        <w:sz w:val="24"/>
      </w:rPr>
    </w:pPr>
    <w:r>
      <w:rPr>
        <w:color w:val="8496B0" w:themeColor="text2" w:themeTint="99"/>
        <w:spacing w:val="60"/>
        <w:sz w:val="24"/>
      </w:rPr>
    </w:r>
  </w:p>
  <w:p>
    <w:pPr>
      <w:pStyle w:val="Normal"/>
      <w:tabs>
        <w:tab w:val="center" w:pos="4550" w:leader="none"/>
        <w:tab w:val="left" w:pos="5818" w:leader="none"/>
      </w:tabs>
      <w:ind w:right="260" w:hanging="0"/>
      <w:jc w:val="right"/>
      <w:rPr>
        <w:color w:val="222A35" w:themeColor="text2" w:themeShade="80"/>
        <w:sz w:val="22"/>
        <w:szCs w:val="22"/>
      </w:rPr>
    </w:pPr>
    <w:r>
      <w:rPr>
        <w:color w:val="8496B0" w:themeColor="text2" w:themeTint="99"/>
        <w:spacing w:val="60"/>
        <w:sz w:val="22"/>
        <w:szCs w:val="22"/>
      </w:rPr>
      <w:t>Página</w:t>
    </w:r>
    <w:r>
      <w:rPr>
        <w:color w:val="8496B0" w:themeColor="text2" w:themeTint="99"/>
        <w:sz w:val="22"/>
        <w:szCs w:val="22"/>
      </w:rPr>
      <w:t xml:space="preserve"> </w:t>
    </w:r>
    <w:r>
      <w:rPr>
        <w:color w:val="8496B0" w:themeColor="text2" w:themeTint="99"/>
        <w:sz w:val="22"/>
        <w:szCs w:val="22"/>
      </w:rPr>
      <w:fldChar w:fldCharType="begin"/>
    </w:r>
    <w:r>
      <w:instrText> PAGE </w:instrText>
    </w:r>
    <w:r>
      <w:fldChar w:fldCharType="separate"/>
    </w:r>
    <w:r>
      <w:t>16</w:t>
    </w:r>
    <w:r>
      <w:fldChar w:fldCharType="end"/>
    </w:r>
    <w:r>
      <w:rPr>
        <w:color w:val="323E4F" w:themeColor="text2" w:themeShade="bf"/>
        <w:sz w:val="22"/>
        <w:szCs w:val="22"/>
      </w:rPr>
      <w:t xml:space="preserve"> | </w:t>
    </w:r>
    <w:r>
      <w:rPr>
        <w:color w:val="323E4F" w:themeColor="text2" w:themeShade="bf"/>
        <w:sz w:val="22"/>
        <w:szCs w:val="22"/>
      </w:rPr>
      <w:fldChar w:fldCharType="begin"/>
    </w:r>
    <w:r>
      <w:instrText> NUMPAGES </w:instrText>
    </w:r>
    <w:r>
      <w:fldChar w:fldCharType="separate"/>
    </w:r>
    <w:r>
      <w:t>16</w:t>
    </w:r>
    <w:r>
      <w:fldChar w:fldCharType="end"/>
    </w:r>
  </w:p>
  <w:p>
    <w:pPr>
      <w:pStyle w:val="Rodap"/>
      <w:rPr>
        <w:sz w:val="12"/>
        <w:szCs w:val="12"/>
      </w:rPr>
    </w:pPr>
    <w:r>
      <w:rPr>
        <w:sz w:val="12"/>
        <w:szCs w:val="12"/>
      </w:rPr>
      <w:t>Câmara Nacional de Modelos de Licitações e Contratos – CNMLC/CGU/AGU</w:t>
    </w:r>
  </w:p>
  <w:p>
    <w:pPr>
      <w:pStyle w:val="Rodap"/>
      <w:rPr>
        <w:sz w:val="12"/>
        <w:szCs w:val="12"/>
      </w:rPr>
    </w:pPr>
    <w:r>
      <w:rPr>
        <w:sz w:val="12"/>
        <w:szCs w:val="12"/>
      </w:rPr>
      <w:t>Aviso de Dispensa Eletrônica – Lei nº 14.133/21 e IN SEGES/ME nº 67/2021</w:t>
    </w:r>
  </w:p>
  <w:p>
    <w:pPr>
      <w:pStyle w:val="Rodap"/>
      <w:rPr>
        <w:sz w:val="12"/>
        <w:szCs w:val="12"/>
      </w:rPr>
    </w:pPr>
    <w:r>
      <w:rPr>
        <w:sz w:val="12"/>
        <w:szCs w:val="12"/>
      </w:rPr>
      <w:t>Versão: Agosto/2021</w:t>
    </w:r>
  </w:p>
  <w:p>
    <w:pPr>
      <w:pStyle w:val="Rodap"/>
      <w:rPr>
        <w:sz w:val="12"/>
        <w:szCs w:val="12"/>
      </w:rPr>
    </w:pPr>
    <w:r>
      <w:rPr>
        <w:sz w:val="12"/>
        <w:szCs w:val="12"/>
      </w:rPr>
      <w:t>Aprovado pela Secretaria de Gestão.</w:t>
    </w:r>
  </w:p>
  <w:p>
    <w:pPr>
      <w:pStyle w:val="Rodap"/>
      <w:rPr/>
    </w:pPr>
    <w:r>
      <w:rPr>
        <w:sz w:val="12"/>
        <w:szCs w:val="12"/>
      </w:rPr>
      <w:t>Identidade visual pela Secretaria de Gestão (versão maio/2022)</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jc w:val="right"/>
      <w:rPr/>
    </w:pPr>
    <w:r>
      <w:rPr/>
      <w:fldChar w:fldCharType="begin"/>
    </w:r>
    <w:r>
      <w:instrText> FILENAME </w:instrText>
    </w:r>
    <w:r>
      <w:fldChar w:fldCharType="separate"/>
    </w:r>
    <w:r>
      <w:t>7 --Aviso de Dispensa -DE022023.docx</w:t>
    </w:r>
    <w:r>
      <w:fldChar w:fldCharType="end"/>
    </w:r>
  </w:p>
  <w:p>
    <w:pPr>
      <w:pStyle w:val="Cabealho"/>
      <w:rPr/>
    </w:pPr>
    <w:r>
      <w:rPr/>
    </w:r>
  </w:p>
  <w:p>
    <w:pPr>
      <w:pStyle w:val="Cabealho"/>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r>
  </w:p>
  <w:p>
    <w:pPr>
      <w:pStyle w:val="Cabealho"/>
      <w:rPr/>
    </w:pPr>
    <w:r>
      <w:rPr/>
      <w:drawing>
        <wp:anchor behindDoc="1" distT="0" distB="0" distL="114300" distR="117475" simplePos="0" locked="0" layoutInCell="1" allowOverlap="1" relativeHeight="2">
          <wp:simplePos x="0" y="0"/>
          <wp:positionH relativeFrom="page">
            <wp:posOffset>12700</wp:posOffset>
          </wp:positionH>
          <wp:positionV relativeFrom="page">
            <wp:posOffset>17145</wp:posOffset>
          </wp:positionV>
          <wp:extent cx="7560310" cy="10692130"/>
          <wp:effectExtent l="0" t="0" r="0" b="0"/>
          <wp:wrapNone/>
          <wp:docPr id="2" name="Imagem 8"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8" descr="Texto&#10;&#10;Descrição gerada automaticamente com confiança média"/>
                  <pic:cNvPicPr>
                    <a:picLocks noChangeAspect="1" noChangeArrowheads="1"/>
                  </pic:cNvPicPr>
                </pic:nvPicPr>
                <pic:blipFill>
                  <a:blip r:embed="rId1"/>
                  <a:stretch>
                    <a:fillRect/>
                  </a:stretch>
                </pic:blipFill>
                <pic:spPr bwMode="auto">
                  <a:xfrm>
                    <a:off x="0" y="0"/>
                    <a:ext cx="7560310" cy="10692130"/>
                  </a:xfrm>
                  <a:prstGeom prst="rect">
                    <a:avLst/>
                  </a:prstGeom>
                </pic:spPr>
              </pic:pic>
            </a:graphicData>
          </a:graphic>
        </wp:anchor>
      </w:drawing>
    </w:r>
  </w:p>
  <w:p>
    <w:pPr>
      <w:pStyle w:val="Cabealho"/>
      <w:rPr/>
    </w:pPr>
    <w:r>
      <w:rPr/>
    </w:r>
  </w:p>
  <w:p>
    <w:pPr>
      <w:pStyle w:val="Cabealho"/>
      <w:rPr/>
    </w:pPr>
    <w:r>
      <w:rPr/>
    </w:r>
  </w:p>
  <w:p>
    <w:pPr>
      <w:pStyle w:val="Cabealho"/>
      <w:rPr/>
    </w:pPr>
    <w:r>
      <w:rPr/>
    </w:r>
  </w:p>
  <w:p>
    <w:pPr>
      <w:pStyle w:val="Cabealho"/>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360" w:hanging="360"/>
      </w:pPr>
      <w:rPr>
        <w:sz w:val="24"/>
        <w:b/>
        <w:rFonts w:ascii="Arial" w:hAnsi="Arial"/>
      </w:rPr>
    </w:lvl>
    <w:lvl w:ilvl="1">
      <w:start w:val="1"/>
      <w:numFmt w:val="decimal"/>
      <w:lvlText w:val="%1.%2."/>
      <w:lvlJc w:val="left"/>
      <w:pPr>
        <w:ind w:left="792" w:hanging="432"/>
      </w:pPr>
      <w:rPr>
        <w:sz w:val="24"/>
        <w:i w:val="false"/>
        <w:b/>
        <w:iCs/>
        <w:rFonts w:ascii="Arial" w:hAnsi="Arial"/>
      </w:rPr>
    </w:lvl>
    <w:lvl w:ilvl="2">
      <w:start w:val="1"/>
      <w:numFmt w:val="decimal"/>
      <w:lvlText w:val="%1.%2.%3."/>
      <w:lvlJc w:val="left"/>
      <w:pPr>
        <w:ind w:left="1224" w:hanging="504"/>
      </w:pPr>
      <w:rPr>
        <w:sz w:val="24"/>
        <w:i w:val="false"/>
        <w:b/>
        <w:iCs/>
        <w:rFonts w:ascii="Arial" w:hAnsi="Arial" w:cs="Arial"/>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lvl w:ilvl="0">
      <w:start w:val="4"/>
      <w:numFmt w:val="decimal"/>
      <w:lvlText w:val="%1"/>
      <w:lvlJc w:val="left"/>
      <w:pPr>
        <w:ind w:left="435" w:hanging="435"/>
      </w:pPr>
    </w:lvl>
    <w:lvl w:ilvl="1">
      <w:start w:val="4"/>
      <w:numFmt w:val="decimal"/>
      <w:lvlText w:val="%1.%2"/>
      <w:lvlJc w:val="left"/>
      <w:pPr>
        <w:ind w:left="1002" w:hanging="435"/>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
    <w:lvl w:ilvl="0">
      <w:start w:val="1"/>
      <w:numFmt w:val="decimal"/>
      <w:lvlText w:val="%1"/>
      <w:lvlJc w:val="left"/>
      <w:pPr>
        <w:ind w:left="360" w:hanging="360"/>
      </w:pPr>
    </w:lvl>
    <w:lvl w:ilvl="1">
      <w:start w:val="1"/>
      <w:numFmt w:val="decimal"/>
      <w:lvlText w:val="%1.%2"/>
      <w:lvlJc w:val="left"/>
      <w:pPr>
        <w:ind w:left="927" w:hanging="360"/>
      </w:pPr>
      <w:rPr>
        <w:sz w:val="24"/>
        <w:b/>
        <w:rFonts w:ascii="Arial" w:hAnsi="Arial"/>
      </w:rPr>
    </w:lvl>
    <w:lvl w:ilvl="2">
      <w:start w:val="1"/>
      <w:numFmt w:val="decimal"/>
      <w:lvlText w:val="%1.%2.%3"/>
      <w:lvlJc w:val="left"/>
      <w:pPr>
        <w:ind w:left="1854" w:hanging="720"/>
      </w:pPr>
      <w:rPr>
        <w:sz w:val="24"/>
        <w:b/>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4">
    <w:lvl w:ilvl="0">
      <w:start w:val="1"/>
      <w:numFmt w:val="decimal"/>
      <w:lvlText w:val="%1."/>
      <w:lvlJc w:val="left"/>
      <w:pPr>
        <w:ind w:left="360" w:hanging="360"/>
      </w:pPr>
      <w:rPr>
        <w:b/>
      </w:rPr>
    </w:lvl>
    <w:lvl w:ilvl="1">
      <w:start w:val="1"/>
      <w:numFmt w:val="decimal"/>
      <w:lvlText w:val="%1.%2."/>
      <w:lvlJc w:val="left"/>
      <w:pPr>
        <w:ind w:left="792" w:hanging="432"/>
      </w:pPr>
      <w:rPr>
        <w:i w:val="false"/>
        <w:b w:val="false"/>
        <w:iCs/>
      </w:rPr>
    </w:lvl>
    <w:lvl w:ilvl="2">
      <w:start w:val="1"/>
      <w:numFmt w:val="decimal"/>
      <w:lvlText w:val="%1.%2.%3."/>
      <w:lvlJc w:val="left"/>
      <w:pPr>
        <w:ind w:left="1224" w:hanging="504"/>
      </w:pPr>
      <w:rPr>
        <w:i w:val="false"/>
        <w:b w:val="false"/>
        <w:iCs/>
        <w:rFonts w:cs="Arial"/>
        <w:color w:val="00000A"/>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lvl w:ilvl="0">
      <w:start w:val="1"/>
      <w:numFmt w:val="decimal"/>
      <w:lvlText w:val="%1."/>
      <w:lvlJc w:val="left"/>
      <w:pPr>
        <w:ind w:left="360" w:hanging="360"/>
      </w:pPr>
      <w:rPr>
        <w:b/>
      </w:rPr>
    </w:lvl>
    <w:lvl w:ilvl="1">
      <w:start w:val="1"/>
      <w:numFmt w:val="decimal"/>
      <w:lvlText w:val="%1.%2."/>
      <w:lvlJc w:val="left"/>
      <w:pPr>
        <w:ind w:left="792" w:hanging="432"/>
      </w:pPr>
      <w:rPr>
        <w:i w:val="false"/>
        <w:b w:val="false"/>
        <w:iCs/>
      </w:rPr>
    </w:lvl>
    <w:lvl w:ilvl="2">
      <w:start w:val="1"/>
      <w:numFmt w:val="lowerLetter"/>
      <w:lvlText w:val="%3)"/>
      <w:lvlJc w:val="left"/>
      <w:pPr>
        <w:ind w:left="1224" w:hanging="504"/>
      </w:pPr>
      <w:rPr>
        <w:sz w:val="24"/>
        <w:i w:val="false"/>
        <w:b w:val="false"/>
        <w:iCs/>
        <w:rFonts w:ascii="Arial" w:hAnsi="Arial"/>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00"/>
  <w:defaultTabStop w:val="708"/>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pt-BR"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3d0e1a"/>
    <w:pPr>
      <w:widowControl/>
      <w:bidi w:val="0"/>
      <w:spacing w:lineRule="auto" w:line="240" w:before="0" w:after="0"/>
      <w:jc w:val="left"/>
    </w:pPr>
    <w:rPr>
      <w:rFonts w:ascii="Arial" w:hAnsi="Arial" w:eastAsia="Times New Roman" w:cs="Tahoma"/>
      <w:color w:val="00000A"/>
      <w:kern w:val="0"/>
      <w:sz w:val="20"/>
      <w:szCs w:val="24"/>
      <w:lang w:val="pt-BR" w:eastAsia="pt-BR" w:bidi="ar-SA"/>
    </w:rPr>
  </w:style>
  <w:style w:type="paragraph" w:styleId="Ttulo1">
    <w:name w:val="Heading 1"/>
    <w:basedOn w:val="Normal"/>
    <w:next w:val="Normal"/>
    <w:link w:val="Ttulo1Char"/>
    <w:uiPriority w:val="9"/>
    <w:qFormat/>
    <w:rsid w:val="009f7713"/>
    <w:pPr>
      <w:keepNext w:val="true"/>
      <w:keepLines/>
      <w:spacing w:before="240" w:after="0"/>
      <w:outlineLvl w:val="0"/>
    </w:pPr>
    <w:rPr>
      <w:rFonts w:ascii="Calibri Light" w:hAnsi="Calibri Light" w:eastAsia="" w:cs="" w:asciiTheme="majorHAnsi" w:cstheme="majorBidi" w:eastAsiaTheme="majorEastAsia" w:hAnsiTheme="majorHAnsi"/>
      <w:color w:val="2F5496" w:themeColor="accent1" w:themeShade="bf"/>
      <w:sz w:val="32"/>
      <w:szCs w:val="32"/>
    </w:rPr>
  </w:style>
  <w:style w:type="character" w:styleId="DefaultParagraphFont" w:default="1">
    <w:name w:val="Default Paragraph Font"/>
    <w:uiPriority w:val="1"/>
    <w:semiHidden/>
    <w:unhideWhenUsed/>
    <w:qFormat/>
    <w:rPr/>
  </w:style>
  <w:style w:type="character" w:styleId="CitaoChar" w:customStyle="1">
    <w:name w:val="Citação Char"/>
    <w:basedOn w:val="DefaultParagraphFont"/>
    <w:link w:val="Citao"/>
    <w:qFormat/>
    <w:rsid w:val="009f7713"/>
    <w:rPr>
      <w:rFonts w:ascii="Arial" w:hAnsi="Arial" w:eastAsia="Calibri" w:cs="Tahoma"/>
      <w:i/>
      <w:iCs/>
      <w:color w:val="000000"/>
      <w:sz w:val="20"/>
      <w:szCs w:val="24"/>
      <w:shd w:fill="FFFFCC" w:val="clear"/>
    </w:rPr>
  </w:style>
  <w:style w:type="character" w:styleId="Nivel01Char" w:customStyle="1">
    <w:name w:val="Nivel 01 Char"/>
    <w:basedOn w:val="Ttulo1Char"/>
    <w:link w:val="Nivel01"/>
    <w:qFormat/>
    <w:rsid w:val="009f7713"/>
    <w:rPr>
      <w:rFonts w:ascii="Arial" w:hAnsi="Arial" w:eastAsia="" w:cs="Times New Roman" w:eastAsiaTheme="majorEastAsia"/>
      <w:b/>
      <w:bCs/>
      <w:color w:val="000000"/>
      <w:sz w:val="20"/>
      <w:szCs w:val="20"/>
      <w:lang w:eastAsia="pt-BR"/>
    </w:rPr>
  </w:style>
  <w:style w:type="character" w:styleId="Ttulo1Char" w:customStyle="1">
    <w:name w:val="Título 1 Char"/>
    <w:basedOn w:val="DefaultParagraphFont"/>
    <w:link w:val="Ttulo1"/>
    <w:uiPriority w:val="9"/>
    <w:qFormat/>
    <w:rsid w:val="009f7713"/>
    <w:rPr>
      <w:rFonts w:ascii="Calibri Light" w:hAnsi="Calibri Light" w:eastAsia="" w:cs="" w:asciiTheme="majorHAnsi" w:cstheme="majorBidi" w:eastAsiaTheme="majorEastAsia" w:hAnsiTheme="majorHAnsi"/>
      <w:color w:val="2F5496" w:themeColor="accent1" w:themeShade="bf"/>
      <w:sz w:val="32"/>
      <w:szCs w:val="32"/>
      <w:lang w:eastAsia="pt-BR"/>
    </w:rPr>
  </w:style>
  <w:style w:type="character" w:styleId="Citao2Char" w:customStyle="1">
    <w:name w:val="citação 2 Char"/>
    <w:basedOn w:val="CitaoChar"/>
    <w:link w:val="citao2"/>
    <w:qFormat/>
    <w:rsid w:val="006a70c8"/>
    <w:rPr>
      <w:rFonts w:ascii="Arial" w:hAnsi="Arial" w:eastAsia="Calibri" w:cs="Tahoma"/>
      <w:i/>
      <w:iCs/>
      <w:color w:val="000000"/>
      <w:sz w:val="20"/>
      <w:szCs w:val="20"/>
      <w:shd w:fill="FFFFCC" w:val="clear"/>
    </w:rPr>
  </w:style>
  <w:style w:type="character" w:styleId="QuoteChar" w:customStyle="1">
    <w:name w:val="Quote Char"/>
    <w:basedOn w:val="DefaultParagraphFont"/>
    <w:link w:val="Citao1"/>
    <w:qFormat/>
    <w:rsid w:val="00a728b9"/>
    <w:rPr>
      <w:rFonts w:ascii="Ecofont_Spranq_eco_Sans" w:hAnsi="Ecofont_Spranq_eco_Sans" w:eastAsia="Calibri" w:cs="Tahoma"/>
      <w:i/>
      <w:iCs/>
      <w:color w:val="000000"/>
      <w:shd w:fill="FFFFCC" w:val="clear"/>
    </w:rPr>
  </w:style>
  <w:style w:type="character" w:styleId="Annotationreference">
    <w:name w:val="annotation reference"/>
    <w:basedOn w:val="DefaultParagraphFont"/>
    <w:semiHidden/>
    <w:unhideWhenUsed/>
    <w:qFormat/>
    <w:rsid w:val="003d08af"/>
    <w:rPr>
      <w:sz w:val="16"/>
      <w:szCs w:val="16"/>
    </w:rPr>
  </w:style>
  <w:style w:type="character" w:styleId="TextodecomentrioChar" w:customStyle="1">
    <w:name w:val="Texto de comentário Char"/>
    <w:basedOn w:val="DefaultParagraphFont"/>
    <w:link w:val="Textodecomentrio"/>
    <w:qFormat/>
    <w:rsid w:val="003d08af"/>
    <w:rPr>
      <w:rFonts w:ascii="Arial" w:hAnsi="Arial" w:eastAsia="Times New Roman" w:cs="Tahoma"/>
      <w:sz w:val="20"/>
      <w:szCs w:val="20"/>
      <w:lang w:eastAsia="pt-BR"/>
    </w:rPr>
  </w:style>
  <w:style w:type="character" w:styleId="AssuntodocomentrioChar" w:customStyle="1">
    <w:name w:val="Assunto do comentário Char"/>
    <w:basedOn w:val="TextodecomentrioChar"/>
    <w:link w:val="Assuntodocomentrio"/>
    <w:uiPriority w:val="99"/>
    <w:semiHidden/>
    <w:qFormat/>
    <w:rsid w:val="003d08af"/>
    <w:rPr>
      <w:rFonts w:ascii="Arial" w:hAnsi="Arial" w:eastAsia="Times New Roman" w:cs="Tahoma"/>
      <w:b/>
      <w:bCs/>
      <w:sz w:val="20"/>
      <w:szCs w:val="20"/>
      <w:lang w:eastAsia="pt-BR"/>
    </w:rPr>
  </w:style>
  <w:style w:type="character" w:styleId="LinkdaInternet">
    <w:name w:val="Link da Internet"/>
    <w:uiPriority w:val="99"/>
    <w:rsid w:val="002f5eff"/>
    <w:rPr>
      <w:color w:val="000080"/>
      <w:u w:val="single"/>
    </w:rPr>
  </w:style>
  <w:style w:type="character" w:styleId="Nivel4Char" w:customStyle="1">
    <w:name w:val="Nivel 4 Char"/>
    <w:basedOn w:val="DefaultParagraphFont"/>
    <w:link w:val="Nivel4"/>
    <w:qFormat/>
    <w:rsid w:val="002f5eff"/>
    <w:rPr>
      <w:rFonts w:ascii="Ecofont_Spranq_eco_Sans" w:hAnsi="Ecofont_Spranq_eco_Sans" w:eastAsia="Arial Unicode MS" w:cs="Arial"/>
      <w:sz w:val="20"/>
      <w:szCs w:val="20"/>
      <w:lang w:eastAsia="pt-BR"/>
    </w:rPr>
  </w:style>
  <w:style w:type="character" w:styleId="TextodebaloChar" w:customStyle="1">
    <w:name w:val="Texto de balão Char"/>
    <w:basedOn w:val="DefaultParagraphFont"/>
    <w:link w:val="Textodebalo"/>
    <w:uiPriority w:val="99"/>
    <w:semiHidden/>
    <w:qFormat/>
    <w:rsid w:val="00731d60"/>
    <w:rPr>
      <w:rFonts w:ascii="Segoe UI" w:hAnsi="Segoe UI" w:eastAsia="Times New Roman" w:cs="Segoe UI"/>
      <w:sz w:val="18"/>
      <w:szCs w:val="18"/>
      <w:lang w:eastAsia="pt-BR"/>
    </w:rPr>
  </w:style>
  <w:style w:type="character" w:styleId="CabealhoChar" w:customStyle="1">
    <w:name w:val="Cabeçalho Char"/>
    <w:basedOn w:val="DefaultParagraphFont"/>
    <w:link w:val="Cabealho"/>
    <w:uiPriority w:val="99"/>
    <w:qFormat/>
    <w:rsid w:val="00805244"/>
    <w:rPr>
      <w:rFonts w:ascii="Arial" w:hAnsi="Arial" w:eastAsia="Times New Roman" w:cs="Tahoma"/>
      <w:sz w:val="20"/>
      <w:szCs w:val="24"/>
      <w:lang w:eastAsia="pt-BR"/>
    </w:rPr>
  </w:style>
  <w:style w:type="character" w:styleId="RodapChar" w:customStyle="1">
    <w:name w:val="Rodapé Char"/>
    <w:basedOn w:val="DefaultParagraphFont"/>
    <w:link w:val="Rodap"/>
    <w:uiPriority w:val="99"/>
    <w:qFormat/>
    <w:rsid w:val="00805244"/>
    <w:rPr>
      <w:rFonts w:ascii="Arial" w:hAnsi="Arial" w:eastAsia="Times New Roman" w:cs="Tahoma"/>
      <w:sz w:val="20"/>
      <w:szCs w:val="24"/>
      <w:lang w:eastAsia="pt-BR"/>
    </w:rPr>
  </w:style>
  <w:style w:type="character" w:styleId="UnresolvedMention" w:customStyle="1">
    <w:name w:val="Unresolved Mention"/>
    <w:basedOn w:val="DefaultParagraphFont"/>
    <w:uiPriority w:val="99"/>
    <w:semiHidden/>
    <w:unhideWhenUsed/>
    <w:qFormat/>
    <w:rsid w:val="009c2bd5"/>
    <w:rPr>
      <w:color w:val="605E5C"/>
      <w:shd w:fill="E1DFDD" w:val="clear"/>
    </w:rPr>
  </w:style>
  <w:style w:type="character" w:styleId="TtuloChar" w:customStyle="1">
    <w:name w:val="Título Char"/>
    <w:basedOn w:val="DefaultParagraphFont"/>
    <w:link w:val="Ttulo"/>
    <w:uiPriority w:val="10"/>
    <w:qFormat/>
    <w:rsid w:val="000453ab"/>
    <w:rPr>
      <w:rFonts w:ascii="Calibri Light" w:hAnsi="Calibri Light" w:eastAsia="" w:cs="" w:asciiTheme="majorHAnsi" w:cstheme="majorBidi" w:eastAsiaTheme="majorEastAsia" w:hAnsiTheme="majorHAnsi"/>
      <w:spacing w:val="-10"/>
      <w:kern w:val="2"/>
      <w:sz w:val="56"/>
      <w:szCs w:val="56"/>
      <w:lang w:eastAsia="pt-BR"/>
    </w:rPr>
  </w:style>
  <w:style w:type="character" w:styleId="ListLabel1">
    <w:name w:val="ListLabel 1"/>
    <w:qFormat/>
    <w:rPr>
      <w:rFonts w:ascii="Arial" w:hAnsi="Arial"/>
      <w:b/>
      <w:sz w:val="24"/>
    </w:rPr>
  </w:style>
  <w:style w:type="character" w:styleId="ListLabel2">
    <w:name w:val="ListLabel 2"/>
    <w:qFormat/>
    <w:rPr>
      <w:rFonts w:ascii="Arial" w:hAnsi="Arial"/>
      <w:b/>
      <w:i w:val="false"/>
      <w:iCs/>
      <w:sz w:val="24"/>
    </w:rPr>
  </w:style>
  <w:style w:type="character" w:styleId="ListLabel3">
    <w:name w:val="ListLabel 3"/>
    <w:qFormat/>
    <w:rPr>
      <w:rFonts w:ascii="Arial" w:hAnsi="Arial" w:cs="Arial"/>
      <w:b/>
      <w:i w:val="false"/>
      <w:iCs/>
      <w:color w:val="00000A"/>
      <w:sz w:val="24"/>
    </w:rPr>
  </w:style>
  <w:style w:type="character" w:styleId="ListLabel4">
    <w:name w:val="ListLabel 4"/>
    <w:qFormat/>
    <w:rPr>
      <w:rFonts w:cs="Arial"/>
    </w:rPr>
  </w:style>
  <w:style w:type="character" w:styleId="ListLabel5">
    <w:name w:val="ListLabel 5"/>
    <w:qFormat/>
    <w:rPr>
      <w:color w:val="00000A"/>
    </w:rPr>
  </w:style>
  <w:style w:type="character" w:styleId="ListLabel6">
    <w:name w:val="ListLabel 6"/>
    <w:qFormat/>
    <w:rPr>
      <w:color w:val="00000A"/>
    </w:rPr>
  </w:style>
  <w:style w:type="character" w:styleId="ListLabel7">
    <w:name w:val="ListLabel 7"/>
    <w:qFormat/>
    <w:rPr>
      <w:color w:val="00000A"/>
    </w:rPr>
  </w:style>
  <w:style w:type="character" w:styleId="ListLabel8">
    <w:name w:val="ListLabel 8"/>
    <w:qFormat/>
    <w:rPr>
      <w:color w:val="00000A"/>
    </w:rPr>
  </w:style>
  <w:style w:type="character" w:styleId="ListLabel9">
    <w:name w:val="ListLabel 9"/>
    <w:qFormat/>
    <w:rPr>
      <w:color w:val="00000A"/>
    </w:rPr>
  </w:style>
  <w:style w:type="character" w:styleId="ListLabel10">
    <w:name w:val="ListLabel 10"/>
    <w:qFormat/>
    <w:rPr>
      <w:color w:val="00000A"/>
    </w:rPr>
  </w:style>
  <w:style w:type="character" w:styleId="ListLabel11">
    <w:name w:val="ListLabel 11"/>
    <w:qFormat/>
    <w:rPr>
      <w:color w:val="00000A"/>
    </w:rPr>
  </w:style>
  <w:style w:type="character" w:styleId="ListLabel12">
    <w:name w:val="ListLabel 12"/>
    <w:qFormat/>
    <w:rPr>
      <w:color w:val="00000A"/>
    </w:rPr>
  </w:style>
  <w:style w:type="character" w:styleId="ListLabel13">
    <w:name w:val="ListLabel 13"/>
    <w:qFormat/>
    <w:rPr>
      <w:color w:val="00000A"/>
    </w:rPr>
  </w:style>
  <w:style w:type="character" w:styleId="ListLabel14">
    <w:name w:val="ListLabel 14"/>
    <w:qFormat/>
    <w:rPr>
      <w:b/>
    </w:rPr>
  </w:style>
  <w:style w:type="character" w:styleId="ListLabel15">
    <w:name w:val="ListLabel 15"/>
    <w:qFormat/>
    <w:rPr>
      <w:b w:val="false"/>
      <w:i w:val="false"/>
      <w:iCs/>
    </w:rPr>
  </w:style>
  <w:style w:type="character" w:styleId="ListLabel16">
    <w:name w:val="ListLabel 16"/>
    <w:qFormat/>
    <w:rPr>
      <w:rFonts w:cs="Arial"/>
      <w:b w:val="false"/>
      <w:i w:val="false"/>
      <w:iCs/>
      <w:color w:val="00000A"/>
    </w:rPr>
  </w:style>
  <w:style w:type="character" w:styleId="ListLabel17">
    <w:name w:val="ListLabel 17"/>
    <w:qFormat/>
    <w:rPr>
      <w:i w:val="false"/>
      <w:color w:val="000000"/>
    </w:rPr>
  </w:style>
  <w:style w:type="character" w:styleId="ListLabel18">
    <w:name w:val="ListLabel 18"/>
    <w:qFormat/>
    <w:rPr>
      <w:i w:val="false"/>
      <w:color w:val="000000"/>
    </w:rPr>
  </w:style>
  <w:style w:type="character" w:styleId="ListLabel19">
    <w:name w:val="ListLabel 19"/>
    <w:qFormat/>
    <w:rPr>
      <w:i w:val="false"/>
      <w:color w:val="000000"/>
    </w:rPr>
  </w:style>
  <w:style w:type="character" w:styleId="ListLabel20">
    <w:name w:val="ListLabel 20"/>
    <w:qFormat/>
    <w:rPr>
      <w:i w:val="false"/>
      <w:color w:val="000000"/>
    </w:rPr>
  </w:style>
  <w:style w:type="character" w:styleId="ListLabel21">
    <w:name w:val="ListLabel 21"/>
    <w:qFormat/>
    <w:rPr>
      <w:i w:val="false"/>
      <w:color w:val="000000"/>
    </w:rPr>
  </w:style>
  <w:style w:type="character" w:styleId="ListLabel22">
    <w:name w:val="ListLabel 22"/>
    <w:qFormat/>
    <w:rPr>
      <w:i w:val="false"/>
      <w:color w:val="000000"/>
    </w:rPr>
  </w:style>
  <w:style w:type="character" w:styleId="ListLabel23">
    <w:name w:val="ListLabel 23"/>
    <w:qFormat/>
    <w:rPr>
      <w:i w:val="false"/>
      <w:color w:val="000000"/>
    </w:rPr>
  </w:style>
  <w:style w:type="character" w:styleId="ListLabel24">
    <w:name w:val="ListLabel 24"/>
    <w:qFormat/>
    <w:rPr>
      <w:i w:val="false"/>
      <w:color w:val="000000"/>
    </w:rPr>
  </w:style>
  <w:style w:type="character" w:styleId="ListLabel25">
    <w:name w:val="ListLabel 25"/>
    <w:qFormat/>
    <w:rPr>
      <w:i w:val="false"/>
      <w:color w:val="000000"/>
    </w:rPr>
  </w:style>
  <w:style w:type="character" w:styleId="ListLabel26">
    <w:name w:val="ListLabel 26"/>
    <w:qFormat/>
    <w:rPr>
      <w:b/>
    </w:rPr>
  </w:style>
  <w:style w:type="character" w:styleId="ListLabel27">
    <w:name w:val="ListLabel 27"/>
    <w:qFormat/>
    <w:rPr>
      <w:b w:val="false"/>
      <w:i w:val="false"/>
      <w:iCs/>
    </w:rPr>
  </w:style>
  <w:style w:type="character" w:styleId="ListLabel28">
    <w:name w:val="ListLabel 28"/>
    <w:qFormat/>
    <w:rPr>
      <w:rFonts w:cs="Arial"/>
      <w:b w:val="false"/>
      <w:i w:val="false"/>
      <w:iCs/>
      <w:color w:val="00000A"/>
    </w:rPr>
  </w:style>
  <w:style w:type="character" w:styleId="ListLabel29">
    <w:name w:val="ListLabel 29"/>
    <w:qFormat/>
    <w:rPr>
      <w:b/>
    </w:rPr>
  </w:style>
  <w:style w:type="character" w:styleId="ListLabel30">
    <w:name w:val="ListLabel 30"/>
    <w:qFormat/>
    <w:rPr>
      <w:b w:val="false"/>
      <w:i w:val="false"/>
      <w:iCs/>
    </w:rPr>
  </w:style>
  <w:style w:type="character" w:styleId="ListLabel31">
    <w:name w:val="ListLabel 31"/>
    <w:qFormat/>
    <w:rPr>
      <w:rFonts w:cs="Arial"/>
      <w:b w:val="false"/>
      <w:i w:val="false"/>
      <w:iCs/>
      <w:color w:val="00000A"/>
    </w:rPr>
  </w:style>
  <w:style w:type="character" w:styleId="ListLabel32">
    <w:name w:val="ListLabel 32"/>
    <w:qFormat/>
    <w:rPr>
      <w:b/>
    </w:rPr>
  </w:style>
  <w:style w:type="character" w:styleId="ListLabel33">
    <w:name w:val="ListLabel 33"/>
    <w:qFormat/>
    <w:rPr>
      <w:b w:val="false"/>
      <w:i w:val="false"/>
      <w:iCs/>
    </w:rPr>
  </w:style>
  <w:style w:type="character" w:styleId="ListLabel34">
    <w:name w:val="ListLabel 34"/>
    <w:qFormat/>
    <w:rPr>
      <w:rFonts w:cs="Arial"/>
      <w:b w:val="false"/>
      <w:i w:val="false"/>
      <w:iCs/>
      <w:color w:val="00000A"/>
    </w:rPr>
  </w:style>
  <w:style w:type="character" w:styleId="ListLabel35">
    <w:name w:val="ListLabel 35"/>
    <w:qFormat/>
    <w:rPr>
      <w:b/>
    </w:rPr>
  </w:style>
  <w:style w:type="character" w:styleId="ListLabel36">
    <w:name w:val="ListLabel 36"/>
    <w:qFormat/>
    <w:rPr>
      <w:b w:val="false"/>
      <w:i w:val="false"/>
      <w:iCs/>
    </w:rPr>
  </w:style>
  <w:style w:type="character" w:styleId="ListLabel37">
    <w:name w:val="ListLabel 37"/>
    <w:qFormat/>
    <w:rPr>
      <w:rFonts w:cs="Arial"/>
      <w:b w:val="false"/>
      <w:i w:val="false"/>
      <w:iCs/>
      <w:color w:val="00000A"/>
    </w:rPr>
  </w:style>
  <w:style w:type="character" w:styleId="ListLabel38">
    <w:name w:val="ListLabel 38"/>
    <w:qFormat/>
    <w:rPr>
      <w:b/>
    </w:rPr>
  </w:style>
  <w:style w:type="character" w:styleId="ListLabel39">
    <w:name w:val="ListLabel 39"/>
    <w:qFormat/>
    <w:rPr>
      <w:b w:val="false"/>
      <w:i w:val="false"/>
      <w:iCs/>
    </w:rPr>
  </w:style>
  <w:style w:type="character" w:styleId="ListLabel40">
    <w:name w:val="ListLabel 40"/>
    <w:qFormat/>
    <w:rPr>
      <w:rFonts w:cs="Arial"/>
      <w:b w:val="false"/>
      <w:i w:val="false"/>
      <w:iCs/>
      <w:color w:val="00000A"/>
    </w:rPr>
  </w:style>
  <w:style w:type="character" w:styleId="ListLabel41">
    <w:name w:val="ListLabel 41"/>
    <w:qFormat/>
    <w:rPr>
      <w:b/>
      <w:i w:val="false"/>
      <w:strike w:val="false"/>
      <w:dstrike w:val="false"/>
    </w:rPr>
  </w:style>
  <w:style w:type="character" w:styleId="ListLabel42">
    <w:name w:val="ListLabel 42"/>
    <w:qFormat/>
    <w:rPr>
      <w:b w:val="false"/>
      <w:strike w:val="false"/>
      <w:dstrike w:val="false"/>
    </w:rPr>
  </w:style>
  <w:style w:type="character" w:styleId="ListLabel43">
    <w:name w:val="ListLabel 43"/>
    <w:qFormat/>
    <w:rPr>
      <w:i w:val="false"/>
      <w:strike w:val="false"/>
      <w:dstrike w:val="false"/>
    </w:rPr>
  </w:style>
  <w:style w:type="character" w:styleId="ListLabel44">
    <w:name w:val="ListLabel 44"/>
    <w:qFormat/>
    <w:rPr>
      <w:b w:val="false"/>
    </w:rPr>
  </w:style>
  <w:style w:type="character" w:styleId="ListLabel45">
    <w:name w:val="ListLabel 45"/>
    <w:qFormat/>
    <w:rPr>
      <w:b w:val="false"/>
    </w:rPr>
  </w:style>
  <w:style w:type="character" w:styleId="ListLabel46">
    <w:name w:val="ListLabel 46"/>
    <w:qFormat/>
    <w:rPr>
      <w:b w:val="false"/>
    </w:rPr>
  </w:style>
  <w:style w:type="character" w:styleId="ListLabel47">
    <w:name w:val="ListLabel 47"/>
    <w:qFormat/>
    <w:rPr>
      <w:b w:val="false"/>
    </w:rPr>
  </w:style>
  <w:style w:type="character" w:styleId="ListLabel48">
    <w:name w:val="ListLabel 48"/>
    <w:qFormat/>
    <w:rPr>
      <w:rFonts w:ascii="Arial" w:hAnsi="Arial"/>
      <w:b/>
      <w:sz w:val="24"/>
    </w:rPr>
  </w:style>
  <w:style w:type="character" w:styleId="ListLabel49">
    <w:name w:val="ListLabel 49"/>
    <w:qFormat/>
    <w:rPr>
      <w:rFonts w:ascii="Arial" w:hAnsi="Arial"/>
      <w:b/>
      <w:sz w:val="24"/>
    </w:rPr>
  </w:style>
  <w:style w:type="character" w:styleId="ListLabel50">
    <w:name w:val="ListLabel 50"/>
    <w:qFormat/>
    <w:rPr>
      <w:b/>
    </w:rPr>
  </w:style>
  <w:style w:type="character" w:styleId="ListLabel51">
    <w:name w:val="ListLabel 51"/>
    <w:qFormat/>
    <w:rPr>
      <w:b w:val="false"/>
      <w:i w:val="false"/>
      <w:iCs/>
    </w:rPr>
  </w:style>
  <w:style w:type="character" w:styleId="ListLabel52">
    <w:name w:val="ListLabel 52"/>
    <w:qFormat/>
    <w:rPr>
      <w:rFonts w:cs="Arial"/>
      <w:b w:val="false"/>
      <w:i w:val="false"/>
      <w:iCs/>
      <w:color w:val="00000A"/>
    </w:rPr>
  </w:style>
  <w:style w:type="character" w:styleId="ListLabel53">
    <w:name w:val="ListLabel 53"/>
    <w:qFormat/>
    <w:rPr>
      <w:rFonts w:cs="Courier New"/>
    </w:rPr>
  </w:style>
  <w:style w:type="character" w:styleId="ListLabel54">
    <w:name w:val="ListLabel 54"/>
    <w:qFormat/>
    <w:rPr>
      <w:rFonts w:cs="Courier New"/>
    </w:rPr>
  </w:style>
  <w:style w:type="character" w:styleId="ListLabel55">
    <w:name w:val="ListLabel 55"/>
    <w:qFormat/>
    <w:rPr>
      <w:rFonts w:cs="Courier New"/>
    </w:rPr>
  </w:style>
  <w:style w:type="character" w:styleId="ListLabel56">
    <w:name w:val="ListLabel 56"/>
    <w:qFormat/>
    <w:rPr>
      <w:b/>
    </w:rPr>
  </w:style>
  <w:style w:type="character" w:styleId="ListLabel57">
    <w:name w:val="ListLabel 57"/>
    <w:qFormat/>
    <w:rPr>
      <w:b w:val="false"/>
      <w:i w:val="false"/>
      <w:iCs/>
    </w:rPr>
  </w:style>
  <w:style w:type="character" w:styleId="ListLabel58">
    <w:name w:val="ListLabel 58"/>
    <w:qFormat/>
    <w:rPr>
      <w:rFonts w:cs="Arial"/>
      <w:b w:val="false"/>
      <w:i w:val="false"/>
      <w:iCs/>
      <w:color w:val="00000A"/>
    </w:rPr>
  </w:style>
  <w:style w:type="character" w:styleId="ListLabel59">
    <w:name w:val="ListLabel 59"/>
    <w:qFormat/>
    <w:rPr>
      <w:rFonts w:eastAsia="" w:cs="Arial"/>
      <w:b/>
    </w:rPr>
  </w:style>
  <w:style w:type="character" w:styleId="ListLabel60">
    <w:name w:val="ListLabel 60"/>
    <w:qFormat/>
    <w:rPr>
      <w:b w:val="false"/>
      <w:i w:val="false"/>
      <w:iCs/>
    </w:rPr>
  </w:style>
  <w:style w:type="character" w:styleId="ListLabel61">
    <w:name w:val="ListLabel 61"/>
    <w:qFormat/>
    <w:rPr>
      <w:b w:val="false"/>
      <w:i w:val="false"/>
      <w:iCs/>
      <w:color w:val="00000A"/>
    </w:rPr>
  </w:style>
  <w:style w:type="character" w:styleId="ListLabel62">
    <w:name w:val="ListLabel 62"/>
    <w:qFormat/>
    <w:rPr>
      <w:b/>
    </w:rPr>
  </w:style>
  <w:style w:type="character" w:styleId="ListLabel63">
    <w:name w:val="ListLabel 63"/>
    <w:qFormat/>
    <w:rPr>
      <w:b w:val="false"/>
      <w:i w:val="false"/>
      <w:iCs/>
    </w:rPr>
  </w:style>
  <w:style w:type="character" w:styleId="ListLabel64">
    <w:name w:val="ListLabel 64"/>
    <w:qFormat/>
    <w:rPr>
      <w:rFonts w:cs="Arial"/>
      <w:b w:val="false"/>
      <w:i w:val="false"/>
      <w:iCs/>
      <w:color w:val="00000A"/>
    </w:rPr>
  </w:style>
  <w:style w:type="character" w:styleId="ListLabel65">
    <w:name w:val="ListLabel 65"/>
    <w:qFormat/>
    <w:rPr>
      <w:b/>
    </w:rPr>
  </w:style>
  <w:style w:type="character" w:styleId="ListLabel66">
    <w:name w:val="ListLabel 66"/>
    <w:qFormat/>
    <w:rPr>
      <w:b w:val="false"/>
      <w:i w:val="false"/>
      <w:iCs/>
    </w:rPr>
  </w:style>
  <w:style w:type="character" w:styleId="ListLabel67">
    <w:name w:val="ListLabel 67"/>
    <w:qFormat/>
    <w:rPr>
      <w:rFonts w:cs="Arial"/>
      <w:b w:val="false"/>
      <w:i w:val="false"/>
      <w:iCs/>
      <w:color w:val="00000A"/>
    </w:rPr>
  </w:style>
  <w:style w:type="character" w:styleId="ListLabel68">
    <w:name w:val="ListLabel 68"/>
    <w:qFormat/>
    <w:rPr>
      <w:b/>
    </w:rPr>
  </w:style>
  <w:style w:type="character" w:styleId="ListLabel69">
    <w:name w:val="ListLabel 69"/>
    <w:qFormat/>
    <w:rPr>
      <w:b w:val="false"/>
      <w:i w:val="false"/>
      <w:iCs/>
    </w:rPr>
  </w:style>
  <w:style w:type="character" w:styleId="ListLabel70">
    <w:name w:val="ListLabel 70"/>
    <w:qFormat/>
    <w:rPr>
      <w:b w:val="false"/>
      <w:i w:val="false"/>
      <w:iCs/>
      <w:color w:val="00000A"/>
      <w:sz w:val="24"/>
    </w:rPr>
  </w:style>
  <w:style w:type="character" w:styleId="ListLabel71">
    <w:name w:val="ListLabel 71"/>
    <w:qFormat/>
    <w:rPr>
      <w:i/>
      <w:iCs/>
    </w:rPr>
  </w:style>
  <w:style w:type="character" w:styleId="ListLabel72">
    <w:name w:val="ListLabel 72"/>
    <w:qFormat/>
    <w:rPr>
      <w:rFonts w:eastAsia="Calibri" w:cs="Arial"/>
      <w:sz w:val="24"/>
    </w:rPr>
  </w:style>
  <w:style w:type="character" w:styleId="ListLabel73">
    <w:name w:val="ListLabel 73"/>
    <w:qFormat/>
    <w:rPr>
      <w:rFonts w:eastAsia="Calibri" w:cs="Arial"/>
      <w:sz w:val="24"/>
      <w:lang w:eastAsia="ar-SA"/>
    </w:rPr>
  </w:style>
  <w:style w:type="character" w:styleId="ListLabel74">
    <w:name w:val="ListLabel 74"/>
    <w:qFormat/>
    <w:rPr>
      <w:rFonts w:cs="Arial"/>
      <w:color w:val="000000"/>
      <w:sz w:val="24"/>
    </w:rPr>
  </w:style>
  <w:style w:type="character" w:styleId="Vnculodendice">
    <w:name w:val="Vínculo de índice"/>
    <w:qFormat/>
    <w:rPr/>
  </w:style>
  <w:style w:type="character" w:styleId="ListLabel75">
    <w:name w:val="ListLabel 75"/>
    <w:qFormat/>
    <w:rPr>
      <w:rFonts w:ascii="Arial" w:hAnsi="Arial"/>
      <w:b/>
      <w:sz w:val="24"/>
    </w:rPr>
  </w:style>
  <w:style w:type="character" w:styleId="ListLabel76">
    <w:name w:val="ListLabel 76"/>
    <w:qFormat/>
    <w:rPr>
      <w:rFonts w:ascii="Arial" w:hAnsi="Arial"/>
      <w:b/>
      <w:i w:val="false"/>
      <w:iCs/>
      <w:sz w:val="24"/>
    </w:rPr>
  </w:style>
  <w:style w:type="character" w:styleId="ListLabel77">
    <w:name w:val="ListLabel 77"/>
    <w:qFormat/>
    <w:rPr>
      <w:rFonts w:ascii="Arial" w:hAnsi="Arial" w:cs="Arial"/>
      <w:b/>
      <w:i w:val="false"/>
      <w:iCs/>
      <w:color w:val="00000A"/>
      <w:sz w:val="24"/>
    </w:rPr>
  </w:style>
  <w:style w:type="character" w:styleId="ListLabel78">
    <w:name w:val="ListLabel 78"/>
    <w:qFormat/>
    <w:rPr>
      <w:rFonts w:ascii="Arial" w:hAnsi="Arial"/>
      <w:b/>
      <w:sz w:val="24"/>
    </w:rPr>
  </w:style>
  <w:style w:type="character" w:styleId="ListLabel79">
    <w:name w:val="ListLabel 79"/>
    <w:qFormat/>
    <w:rPr>
      <w:rFonts w:ascii="Arial" w:hAnsi="Arial"/>
      <w:b/>
      <w:sz w:val="24"/>
    </w:rPr>
  </w:style>
  <w:style w:type="character" w:styleId="ListLabel80">
    <w:name w:val="ListLabel 80"/>
    <w:qFormat/>
    <w:rPr>
      <w:b/>
    </w:rPr>
  </w:style>
  <w:style w:type="character" w:styleId="ListLabel81">
    <w:name w:val="ListLabel 81"/>
    <w:qFormat/>
    <w:rPr>
      <w:b w:val="false"/>
      <w:i w:val="false"/>
      <w:iCs/>
    </w:rPr>
  </w:style>
  <w:style w:type="character" w:styleId="ListLabel82">
    <w:name w:val="ListLabel 82"/>
    <w:qFormat/>
    <w:rPr>
      <w:rFonts w:cs="Arial"/>
      <w:b w:val="false"/>
      <w:i w:val="false"/>
      <w:iCs/>
      <w:color w:val="00000A"/>
    </w:rPr>
  </w:style>
  <w:style w:type="character" w:styleId="ListLabel83">
    <w:name w:val="ListLabel 83"/>
    <w:qFormat/>
    <w:rPr>
      <w:b/>
    </w:rPr>
  </w:style>
  <w:style w:type="character" w:styleId="ListLabel84">
    <w:name w:val="ListLabel 84"/>
    <w:qFormat/>
    <w:rPr>
      <w:b w:val="false"/>
      <w:i w:val="false"/>
      <w:iCs/>
    </w:rPr>
  </w:style>
  <w:style w:type="character" w:styleId="ListLabel85">
    <w:name w:val="ListLabel 85"/>
    <w:qFormat/>
    <w:rPr>
      <w:b w:val="false"/>
      <w:i w:val="false"/>
      <w:iCs/>
      <w:color w:val="00000A"/>
      <w:sz w:val="24"/>
    </w:rPr>
  </w:style>
  <w:style w:type="character" w:styleId="Nfaseforte">
    <w:name w:val="Ênfase forte"/>
    <w:qFormat/>
    <w:rPr>
      <w:b/>
      <w:bCs/>
    </w:rPr>
  </w:style>
  <w:style w:type="character" w:styleId="ListLabel86">
    <w:name w:val="ListLabel 86"/>
    <w:qFormat/>
    <w:rPr>
      <w:rFonts w:ascii="Arial" w:hAnsi="Arial"/>
      <w:b/>
      <w:sz w:val="24"/>
    </w:rPr>
  </w:style>
  <w:style w:type="character" w:styleId="ListLabel87">
    <w:name w:val="ListLabel 87"/>
    <w:qFormat/>
    <w:rPr>
      <w:rFonts w:ascii="Arial" w:hAnsi="Arial"/>
      <w:b/>
      <w:i w:val="false"/>
      <w:iCs/>
      <w:sz w:val="24"/>
    </w:rPr>
  </w:style>
  <w:style w:type="character" w:styleId="ListLabel88">
    <w:name w:val="ListLabel 88"/>
    <w:qFormat/>
    <w:rPr>
      <w:rFonts w:ascii="Arial" w:hAnsi="Arial" w:cs="Arial"/>
      <w:b/>
      <w:i w:val="false"/>
      <w:iCs/>
      <w:color w:val="00000A"/>
      <w:sz w:val="24"/>
    </w:rPr>
  </w:style>
  <w:style w:type="character" w:styleId="ListLabel89">
    <w:name w:val="ListLabel 89"/>
    <w:qFormat/>
    <w:rPr>
      <w:rFonts w:ascii="Arial" w:hAnsi="Arial"/>
      <w:b/>
      <w:sz w:val="24"/>
    </w:rPr>
  </w:style>
  <w:style w:type="character" w:styleId="ListLabel90">
    <w:name w:val="ListLabel 90"/>
    <w:qFormat/>
    <w:rPr>
      <w:b/>
      <w:sz w:val="24"/>
    </w:rPr>
  </w:style>
  <w:style w:type="character" w:styleId="ListLabel91">
    <w:name w:val="ListLabel 91"/>
    <w:qFormat/>
    <w:rPr>
      <w:b/>
    </w:rPr>
  </w:style>
  <w:style w:type="character" w:styleId="ListLabel92">
    <w:name w:val="ListLabel 92"/>
    <w:qFormat/>
    <w:rPr>
      <w:b w:val="false"/>
      <w:i w:val="false"/>
      <w:iCs/>
    </w:rPr>
  </w:style>
  <w:style w:type="character" w:styleId="ListLabel93">
    <w:name w:val="ListLabel 93"/>
    <w:qFormat/>
    <w:rPr>
      <w:rFonts w:cs="Arial"/>
      <w:b w:val="false"/>
      <w:i w:val="false"/>
      <w:iCs/>
      <w:color w:val="00000A"/>
    </w:rPr>
  </w:style>
  <w:style w:type="character" w:styleId="ListLabel94">
    <w:name w:val="ListLabel 94"/>
    <w:qFormat/>
    <w:rPr>
      <w:b/>
    </w:rPr>
  </w:style>
  <w:style w:type="character" w:styleId="ListLabel95">
    <w:name w:val="ListLabel 95"/>
    <w:qFormat/>
    <w:rPr>
      <w:b w:val="false"/>
      <w:i w:val="false"/>
      <w:iCs/>
    </w:rPr>
  </w:style>
  <w:style w:type="character" w:styleId="ListLabel96">
    <w:name w:val="ListLabel 96"/>
    <w:qFormat/>
    <w:rPr>
      <w:rFonts w:ascii="Arial" w:hAnsi="Arial"/>
      <w:b w:val="false"/>
      <w:i w:val="false"/>
      <w:iCs/>
      <w:color w:val="00000A"/>
      <w:sz w:val="24"/>
    </w:rPr>
  </w:style>
  <w:style w:type="character" w:styleId="ListLabel97">
    <w:name w:val="ListLabel 97"/>
    <w:qFormat/>
    <w:rPr>
      <w:rFonts w:ascii="Arial" w:hAnsi="Arial"/>
      <w:b/>
      <w:sz w:val="24"/>
    </w:rPr>
  </w:style>
  <w:style w:type="character" w:styleId="ListLabel98">
    <w:name w:val="ListLabel 98"/>
    <w:qFormat/>
    <w:rPr>
      <w:rFonts w:ascii="Arial" w:hAnsi="Arial"/>
      <w:b/>
      <w:i w:val="false"/>
      <w:iCs/>
      <w:sz w:val="24"/>
    </w:rPr>
  </w:style>
  <w:style w:type="character" w:styleId="ListLabel99">
    <w:name w:val="ListLabel 99"/>
    <w:qFormat/>
    <w:rPr>
      <w:rFonts w:ascii="Arial" w:hAnsi="Arial" w:cs="Arial"/>
      <w:b/>
      <w:i w:val="false"/>
      <w:iCs/>
      <w:color w:val="00000A"/>
      <w:sz w:val="24"/>
    </w:rPr>
  </w:style>
  <w:style w:type="character" w:styleId="ListLabel100">
    <w:name w:val="ListLabel 100"/>
    <w:qFormat/>
    <w:rPr>
      <w:rFonts w:ascii="Arial" w:hAnsi="Arial"/>
      <w:b/>
      <w:sz w:val="24"/>
    </w:rPr>
  </w:style>
  <w:style w:type="character" w:styleId="ListLabel101">
    <w:name w:val="ListLabel 101"/>
    <w:qFormat/>
    <w:rPr>
      <w:b/>
      <w:sz w:val="24"/>
    </w:rPr>
  </w:style>
  <w:style w:type="character" w:styleId="ListLabel102">
    <w:name w:val="ListLabel 102"/>
    <w:qFormat/>
    <w:rPr>
      <w:b/>
    </w:rPr>
  </w:style>
  <w:style w:type="character" w:styleId="ListLabel103">
    <w:name w:val="ListLabel 103"/>
    <w:qFormat/>
    <w:rPr>
      <w:b w:val="false"/>
      <w:i w:val="false"/>
      <w:iCs/>
    </w:rPr>
  </w:style>
  <w:style w:type="character" w:styleId="ListLabel104">
    <w:name w:val="ListLabel 104"/>
    <w:qFormat/>
    <w:rPr>
      <w:rFonts w:cs="Arial"/>
      <w:b w:val="false"/>
      <w:i w:val="false"/>
      <w:iCs/>
      <w:color w:val="00000A"/>
    </w:rPr>
  </w:style>
  <w:style w:type="character" w:styleId="ListLabel105">
    <w:name w:val="ListLabel 105"/>
    <w:qFormat/>
    <w:rPr>
      <w:b/>
    </w:rPr>
  </w:style>
  <w:style w:type="character" w:styleId="ListLabel106">
    <w:name w:val="ListLabel 106"/>
    <w:qFormat/>
    <w:rPr>
      <w:b w:val="false"/>
      <w:i w:val="false"/>
      <w:iCs/>
    </w:rPr>
  </w:style>
  <w:style w:type="character" w:styleId="ListLabel107">
    <w:name w:val="ListLabel 107"/>
    <w:qFormat/>
    <w:rPr>
      <w:rFonts w:ascii="Arial" w:hAnsi="Arial"/>
      <w:b w:val="false"/>
      <w:i w:val="false"/>
      <w:iCs/>
      <w:color w:val="00000A"/>
      <w:sz w:val="24"/>
    </w:rPr>
  </w:style>
  <w:style w:type="character" w:styleId="ListLabel108">
    <w:name w:val="ListLabel 108"/>
    <w:qFormat/>
    <w:rPr>
      <w:rFonts w:ascii="Arial" w:hAnsi="Arial"/>
      <w:b/>
      <w:sz w:val="24"/>
    </w:rPr>
  </w:style>
  <w:style w:type="character" w:styleId="ListLabel109">
    <w:name w:val="ListLabel 109"/>
    <w:qFormat/>
    <w:rPr>
      <w:rFonts w:ascii="Arial" w:hAnsi="Arial"/>
      <w:b/>
      <w:i w:val="false"/>
      <w:iCs/>
      <w:sz w:val="24"/>
    </w:rPr>
  </w:style>
  <w:style w:type="character" w:styleId="ListLabel110">
    <w:name w:val="ListLabel 110"/>
    <w:qFormat/>
    <w:rPr>
      <w:rFonts w:ascii="Arial" w:hAnsi="Arial" w:cs="Arial"/>
      <w:b/>
      <w:i w:val="false"/>
      <w:iCs/>
      <w:color w:val="00000A"/>
      <w:sz w:val="24"/>
    </w:rPr>
  </w:style>
  <w:style w:type="character" w:styleId="ListLabel111">
    <w:name w:val="ListLabel 111"/>
    <w:qFormat/>
    <w:rPr>
      <w:rFonts w:ascii="Arial" w:hAnsi="Arial"/>
      <w:b/>
      <w:sz w:val="24"/>
    </w:rPr>
  </w:style>
  <w:style w:type="character" w:styleId="ListLabel112">
    <w:name w:val="ListLabel 112"/>
    <w:qFormat/>
    <w:rPr>
      <w:b/>
      <w:sz w:val="24"/>
    </w:rPr>
  </w:style>
  <w:style w:type="character" w:styleId="ListLabel113">
    <w:name w:val="ListLabel 113"/>
    <w:qFormat/>
    <w:rPr>
      <w:b/>
    </w:rPr>
  </w:style>
  <w:style w:type="character" w:styleId="ListLabel114">
    <w:name w:val="ListLabel 114"/>
    <w:qFormat/>
    <w:rPr>
      <w:b w:val="false"/>
      <w:i w:val="false"/>
      <w:iCs/>
    </w:rPr>
  </w:style>
  <w:style w:type="character" w:styleId="ListLabel115">
    <w:name w:val="ListLabel 115"/>
    <w:qFormat/>
    <w:rPr>
      <w:rFonts w:cs="Arial"/>
      <w:b w:val="false"/>
      <w:i w:val="false"/>
      <w:iCs/>
      <w:color w:val="00000A"/>
    </w:rPr>
  </w:style>
  <w:style w:type="character" w:styleId="ListLabel116">
    <w:name w:val="ListLabel 116"/>
    <w:qFormat/>
    <w:rPr>
      <w:b/>
    </w:rPr>
  </w:style>
  <w:style w:type="character" w:styleId="ListLabel117">
    <w:name w:val="ListLabel 117"/>
    <w:qFormat/>
    <w:rPr>
      <w:b w:val="false"/>
      <w:i w:val="false"/>
      <w:iCs/>
    </w:rPr>
  </w:style>
  <w:style w:type="character" w:styleId="ListLabel118">
    <w:name w:val="ListLabel 118"/>
    <w:qFormat/>
    <w:rPr>
      <w:rFonts w:ascii="Arial" w:hAnsi="Arial"/>
      <w:b w:val="false"/>
      <w:i w:val="false"/>
      <w:iCs/>
      <w:color w:val="00000A"/>
      <w:sz w:val="24"/>
    </w:rPr>
  </w:style>
  <w:style w:type="character" w:styleId="ListLabel119">
    <w:name w:val="ListLabel 119"/>
    <w:qFormat/>
    <w:rPr>
      <w:rFonts w:ascii="Arial" w:hAnsi="Arial"/>
      <w:b/>
      <w:sz w:val="24"/>
    </w:rPr>
  </w:style>
  <w:style w:type="character" w:styleId="ListLabel120">
    <w:name w:val="ListLabel 120"/>
    <w:qFormat/>
    <w:rPr>
      <w:rFonts w:ascii="Arial" w:hAnsi="Arial"/>
      <w:b/>
      <w:i w:val="false"/>
      <w:iCs/>
      <w:sz w:val="24"/>
    </w:rPr>
  </w:style>
  <w:style w:type="character" w:styleId="ListLabel121">
    <w:name w:val="ListLabel 121"/>
    <w:qFormat/>
    <w:rPr>
      <w:rFonts w:ascii="Arial" w:hAnsi="Arial" w:cs="Arial"/>
      <w:b/>
      <w:i w:val="false"/>
      <w:iCs/>
      <w:color w:val="00000A"/>
      <w:sz w:val="24"/>
    </w:rPr>
  </w:style>
  <w:style w:type="character" w:styleId="ListLabel122">
    <w:name w:val="ListLabel 122"/>
    <w:qFormat/>
    <w:rPr>
      <w:rFonts w:ascii="Arial" w:hAnsi="Arial"/>
      <w:b/>
      <w:sz w:val="24"/>
    </w:rPr>
  </w:style>
  <w:style w:type="character" w:styleId="ListLabel123">
    <w:name w:val="ListLabel 123"/>
    <w:qFormat/>
    <w:rPr>
      <w:b/>
      <w:sz w:val="24"/>
    </w:rPr>
  </w:style>
  <w:style w:type="character" w:styleId="ListLabel124">
    <w:name w:val="ListLabel 124"/>
    <w:qFormat/>
    <w:rPr>
      <w:b/>
    </w:rPr>
  </w:style>
  <w:style w:type="character" w:styleId="ListLabel125">
    <w:name w:val="ListLabel 125"/>
    <w:qFormat/>
    <w:rPr>
      <w:b w:val="false"/>
      <w:i w:val="false"/>
      <w:iCs/>
    </w:rPr>
  </w:style>
  <w:style w:type="character" w:styleId="ListLabel126">
    <w:name w:val="ListLabel 126"/>
    <w:qFormat/>
    <w:rPr>
      <w:rFonts w:cs="Arial"/>
      <w:b w:val="false"/>
      <w:i w:val="false"/>
      <w:iCs/>
      <w:color w:val="00000A"/>
    </w:rPr>
  </w:style>
  <w:style w:type="character" w:styleId="ListLabel127">
    <w:name w:val="ListLabel 127"/>
    <w:qFormat/>
    <w:rPr>
      <w:b/>
    </w:rPr>
  </w:style>
  <w:style w:type="character" w:styleId="ListLabel128">
    <w:name w:val="ListLabel 128"/>
    <w:qFormat/>
    <w:rPr>
      <w:b w:val="false"/>
      <w:i w:val="false"/>
      <w:iCs/>
    </w:rPr>
  </w:style>
  <w:style w:type="character" w:styleId="ListLabel129">
    <w:name w:val="ListLabel 129"/>
    <w:qFormat/>
    <w:rPr>
      <w:rFonts w:ascii="Arial" w:hAnsi="Arial"/>
      <w:b w:val="false"/>
      <w:i w:val="false"/>
      <w:iCs/>
      <w:color w:val="00000A"/>
      <w:sz w:val="24"/>
    </w:rPr>
  </w:style>
  <w:style w:type="character" w:styleId="ListLabel130">
    <w:name w:val="ListLabel 130"/>
    <w:qFormat/>
    <w:rPr>
      <w:rFonts w:ascii="Arial" w:hAnsi="Arial"/>
      <w:b/>
      <w:sz w:val="24"/>
    </w:rPr>
  </w:style>
  <w:style w:type="character" w:styleId="ListLabel131">
    <w:name w:val="ListLabel 131"/>
    <w:qFormat/>
    <w:rPr>
      <w:rFonts w:ascii="Arial" w:hAnsi="Arial"/>
      <w:b/>
      <w:i w:val="false"/>
      <w:iCs/>
      <w:sz w:val="24"/>
    </w:rPr>
  </w:style>
  <w:style w:type="character" w:styleId="ListLabel132">
    <w:name w:val="ListLabel 132"/>
    <w:qFormat/>
    <w:rPr>
      <w:rFonts w:ascii="Arial" w:hAnsi="Arial" w:cs="Arial"/>
      <w:b/>
      <w:i w:val="false"/>
      <w:iCs/>
      <w:color w:val="00000A"/>
      <w:sz w:val="24"/>
    </w:rPr>
  </w:style>
  <w:style w:type="character" w:styleId="ListLabel133">
    <w:name w:val="ListLabel 133"/>
    <w:qFormat/>
    <w:rPr>
      <w:rFonts w:ascii="Arial" w:hAnsi="Arial"/>
      <w:b/>
      <w:sz w:val="24"/>
    </w:rPr>
  </w:style>
  <w:style w:type="character" w:styleId="ListLabel134">
    <w:name w:val="ListLabel 134"/>
    <w:qFormat/>
    <w:rPr>
      <w:b/>
      <w:sz w:val="24"/>
    </w:rPr>
  </w:style>
  <w:style w:type="character" w:styleId="ListLabel135">
    <w:name w:val="ListLabel 135"/>
    <w:qFormat/>
    <w:rPr>
      <w:b/>
    </w:rPr>
  </w:style>
  <w:style w:type="character" w:styleId="ListLabel136">
    <w:name w:val="ListLabel 136"/>
    <w:qFormat/>
    <w:rPr>
      <w:b w:val="false"/>
      <w:i w:val="false"/>
      <w:iCs/>
    </w:rPr>
  </w:style>
  <w:style w:type="character" w:styleId="ListLabel137">
    <w:name w:val="ListLabel 137"/>
    <w:qFormat/>
    <w:rPr>
      <w:rFonts w:cs="Arial"/>
      <w:b w:val="false"/>
      <w:i w:val="false"/>
      <w:iCs/>
      <w:color w:val="00000A"/>
    </w:rPr>
  </w:style>
  <w:style w:type="character" w:styleId="ListLabel138">
    <w:name w:val="ListLabel 138"/>
    <w:qFormat/>
    <w:rPr>
      <w:b/>
    </w:rPr>
  </w:style>
  <w:style w:type="character" w:styleId="ListLabel139">
    <w:name w:val="ListLabel 139"/>
    <w:qFormat/>
    <w:rPr>
      <w:b w:val="false"/>
      <w:i w:val="false"/>
      <w:iCs/>
    </w:rPr>
  </w:style>
  <w:style w:type="character" w:styleId="ListLabel140">
    <w:name w:val="ListLabel 140"/>
    <w:qFormat/>
    <w:rPr>
      <w:rFonts w:ascii="Arial" w:hAnsi="Arial"/>
      <w:b w:val="false"/>
      <w:i w:val="false"/>
      <w:iCs/>
      <w:color w:val="00000A"/>
      <w:sz w:val="24"/>
    </w:rPr>
  </w:style>
  <w:style w:type="character" w:styleId="ListLabel141">
    <w:name w:val="ListLabel 141"/>
    <w:qFormat/>
    <w:rPr>
      <w:rFonts w:ascii="Arial" w:hAnsi="Arial"/>
      <w:b/>
      <w:sz w:val="24"/>
    </w:rPr>
  </w:style>
  <w:style w:type="character" w:styleId="ListLabel142">
    <w:name w:val="ListLabel 142"/>
    <w:qFormat/>
    <w:rPr>
      <w:rFonts w:ascii="Arial" w:hAnsi="Arial"/>
      <w:b/>
      <w:i w:val="false"/>
      <w:iCs/>
      <w:sz w:val="24"/>
    </w:rPr>
  </w:style>
  <w:style w:type="character" w:styleId="ListLabel143">
    <w:name w:val="ListLabel 143"/>
    <w:qFormat/>
    <w:rPr>
      <w:rFonts w:ascii="Arial" w:hAnsi="Arial" w:cs="Arial"/>
      <w:b/>
      <w:i w:val="false"/>
      <w:iCs/>
      <w:color w:val="00000A"/>
      <w:sz w:val="24"/>
    </w:rPr>
  </w:style>
  <w:style w:type="character" w:styleId="ListLabel144">
    <w:name w:val="ListLabel 144"/>
    <w:qFormat/>
    <w:rPr>
      <w:rFonts w:ascii="Arial" w:hAnsi="Arial"/>
      <w:b/>
      <w:sz w:val="24"/>
    </w:rPr>
  </w:style>
  <w:style w:type="character" w:styleId="ListLabel145">
    <w:name w:val="ListLabel 145"/>
    <w:qFormat/>
    <w:rPr>
      <w:b/>
      <w:sz w:val="24"/>
    </w:rPr>
  </w:style>
  <w:style w:type="character" w:styleId="ListLabel146">
    <w:name w:val="ListLabel 146"/>
    <w:qFormat/>
    <w:rPr>
      <w:b/>
    </w:rPr>
  </w:style>
  <w:style w:type="character" w:styleId="ListLabel147">
    <w:name w:val="ListLabel 147"/>
    <w:qFormat/>
    <w:rPr>
      <w:b w:val="false"/>
      <w:i w:val="false"/>
      <w:iCs/>
    </w:rPr>
  </w:style>
  <w:style w:type="character" w:styleId="ListLabel148">
    <w:name w:val="ListLabel 148"/>
    <w:qFormat/>
    <w:rPr>
      <w:rFonts w:cs="Arial"/>
      <w:b w:val="false"/>
      <w:i w:val="false"/>
      <w:iCs/>
      <w:color w:val="00000A"/>
    </w:rPr>
  </w:style>
  <w:style w:type="character" w:styleId="ListLabel149">
    <w:name w:val="ListLabel 149"/>
    <w:qFormat/>
    <w:rPr>
      <w:b/>
    </w:rPr>
  </w:style>
  <w:style w:type="character" w:styleId="ListLabel150">
    <w:name w:val="ListLabel 150"/>
    <w:qFormat/>
    <w:rPr>
      <w:b w:val="false"/>
      <w:i w:val="false"/>
      <w:iCs/>
    </w:rPr>
  </w:style>
  <w:style w:type="character" w:styleId="ListLabel151">
    <w:name w:val="ListLabel 151"/>
    <w:qFormat/>
    <w:rPr>
      <w:rFonts w:ascii="Arial" w:hAnsi="Arial"/>
      <w:b w:val="false"/>
      <w:i w:val="false"/>
      <w:iCs/>
      <w:color w:val="00000A"/>
      <w:sz w:val="24"/>
    </w:rPr>
  </w:style>
  <w:style w:type="character" w:styleId="ListLabel152">
    <w:name w:val="ListLabel 152"/>
    <w:qFormat/>
    <w:rPr>
      <w:rFonts w:ascii="Arial" w:hAnsi="Arial"/>
      <w:b/>
      <w:sz w:val="24"/>
    </w:rPr>
  </w:style>
  <w:style w:type="character" w:styleId="ListLabel153">
    <w:name w:val="ListLabel 153"/>
    <w:qFormat/>
    <w:rPr>
      <w:rFonts w:ascii="Arial" w:hAnsi="Arial"/>
      <w:b/>
      <w:i w:val="false"/>
      <w:iCs/>
      <w:sz w:val="24"/>
    </w:rPr>
  </w:style>
  <w:style w:type="character" w:styleId="ListLabel154">
    <w:name w:val="ListLabel 154"/>
    <w:qFormat/>
    <w:rPr>
      <w:rFonts w:ascii="Arial" w:hAnsi="Arial" w:cs="Arial"/>
      <w:b/>
      <w:i w:val="false"/>
      <w:iCs/>
      <w:color w:val="00000A"/>
      <w:sz w:val="24"/>
    </w:rPr>
  </w:style>
  <w:style w:type="character" w:styleId="ListLabel155">
    <w:name w:val="ListLabel 155"/>
    <w:qFormat/>
    <w:rPr>
      <w:rFonts w:ascii="Arial" w:hAnsi="Arial"/>
      <w:b/>
      <w:sz w:val="24"/>
    </w:rPr>
  </w:style>
  <w:style w:type="character" w:styleId="ListLabel156">
    <w:name w:val="ListLabel 156"/>
    <w:qFormat/>
    <w:rPr>
      <w:b/>
      <w:sz w:val="24"/>
    </w:rPr>
  </w:style>
  <w:style w:type="character" w:styleId="ListLabel157">
    <w:name w:val="ListLabel 157"/>
    <w:qFormat/>
    <w:rPr>
      <w:b/>
    </w:rPr>
  </w:style>
  <w:style w:type="character" w:styleId="ListLabel158">
    <w:name w:val="ListLabel 158"/>
    <w:qFormat/>
    <w:rPr>
      <w:b w:val="false"/>
      <w:i w:val="false"/>
      <w:iCs/>
    </w:rPr>
  </w:style>
  <w:style w:type="character" w:styleId="ListLabel159">
    <w:name w:val="ListLabel 159"/>
    <w:qFormat/>
    <w:rPr>
      <w:rFonts w:cs="Arial"/>
      <w:b w:val="false"/>
      <w:i w:val="false"/>
      <w:iCs/>
      <w:color w:val="00000A"/>
    </w:rPr>
  </w:style>
  <w:style w:type="character" w:styleId="ListLabel160">
    <w:name w:val="ListLabel 160"/>
    <w:qFormat/>
    <w:rPr>
      <w:b/>
    </w:rPr>
  </w:style>
  <w:style w:type="character" w:styleId="ListLabel161">
    <w:name w:val="ListLabel 161"/>
    <w:qFormat/>
    <w:rPr>
      <w:b w:val="false"/>
      <w:i w:val="false"/>
      <w:iCs/>
    </w:rPr>
  </w:style>
  <w:style w:type="character" w:styleId="ListLabel162">
    <w:name w:val="ListLabel 162"/>
    <w:qFormat/>
    <w:rPr>
      <w:rFonts w:ascii="Arial" w:hAnsi="Arial"/>
      <w:b w:val="false"/>
      <w:i w:val="false"/>
      <w:iCs/>
      <w:color w:val="00000A"/>
      <w:sz w:val="24"/>
    </w:rPr>
  </w:style>
  <w:style w:type="character" w:styleId="ListLabel163">
    <w:name w:val="ListLabel 163"/>
    <w:qFormat/>
    <w:rPr>
      <w:rFonts w:ascii="Arial" w:hAnsi="Arial"/>
      <w:b/>
      <w:sz w:val="24"/>
    </w:rPr>
  </w:style>
  <w:style w:type="character" w:styleId="ListLabel164">
    <w:name w:val="ListLabel 164"/>
    <w:qFormat/>
    <w:rPr>
      <w:rFonts w:ascii="Arial" w:hAnsi="Arial"/>
      <w:b/>
      <w:i w:val="false"/>
      <w:iCs/>
      <w:sz w:val="24"/>
    </w:rPr>
  </w:style>
  <w:style w:type="character" w:styleId="ListLabel165">
    <w:name w:val="ListLabel 165"/>
    <w:qFormat/>
    <w:rPr>
      <w:rFonts w:ascii="Arial" w:hAnsi="Arial" w:cs="Arial"/>
      <w:b/>
      <w:i w:val="false"/>
      <w:iCs/>
      <w:color w:val="00000A"/>
      <w:sz w:val="24"/>
    </w:rPr>
  </w:style>
  <w:style w:type="character" w:styleId="ListLabel166">
    <w:name w:val="ListLabel 166"/>
    <w:qFormat/>
    <w:rPr>
      <w:rFonts w:ascii="Arial" w:hAnsi="Arial"/>
      <w:b/>
      <w:sz w:val="24"/>
    </w:rPr>
  </w:style>
  <w:style w:type="character" w:styleId="ListLabel167">
    <w:name w:val="ListLabel 167"/>
    <w:qFormat/>
    <w:rPr>
      <w:b/>
      <w:sz w:val="24"/>
    </w:rPr>
  </w:style>
  <w:style w:type="character" w:styleId="ListLabel168">
    <w:name w:val="ListLabel 168"/>
    <w:qFormat/>
    <w:rPr>
      <w:b/>
    </w:rPr>
  </w:style>
  <w:style w:type="character" w:styleId="ListLabel169">
    <w:name w:val="ListLabel 169"/>
    <w:qFormat/>
    <w:rPr>
      <w:b w:val="false"/>
      <w:i w:val="false"/>
      <w:iCs/>
    </w:rPr>
  </w:style>
  <w:style w:type="character" w:styleId="ListLabel170">
    <w:name w:val="ListLabel 170"/>
    <w:qFormat/>
    <w:rPr>
      <w:rFonts w:cs="Arial"/>
      <w:b w:val="false"/>
      <w:i w:val="false"/>
      <w:iCs/>
      <w:color w:val="00000A"/>
    </w:rPr>
  </w:style>
  <w:style w:type="character" w:styleId="ListLabel171">
    <w:name w:val="ListLabel 171"/>
    <w:qFormat/>
    <w:rPr>
      <w:b/>
    </w:rPr>
  </w:style>
  <w:style w:type="character" w:styleId="ListLabel172">
    <w:name w:val="ListLabel 172"/>
    <w:qFormat/>
    <w:rPr>
      <w:b w:val="false"/>
      <w:i w:val="false"/>
      <w:iCs/>
    </w:rPr>
  </w:style>
  <w:style w:type="character" w:styleId="ListLabel173">
    <w:name w:val="ListLabel 173"/>
    <w:qFormat/>
    <w:rPr>
      <w:rFonts w:ascii="Arial" w:hAnsi="Arial"/>
      <w:b w:val="false"/>
      <w:i w:val="false"/>
      <w:iCs/>
      <w:color w:val="00000A"/>
      <w:sz w:val="24"/>
    </w:rPr>
  </w:style>
  <w:style w:type="character" w:styleId="ListLabel174">
    <w:name w:val="ListLabel 174"/>
    <w:qFormat/>
    <w:rPr>
      <w:rFonts w:ascii="Arial" w:hAnsi="Arial"/>
      <w:b/>
      <w:sz w:val="24"/>
    </w:rPr>
  </w:style>
  <w:style w:type="character" w:styleId="ListLabel175">
    <w:name w:val="ListLabel 175"/>
    <w:qFormat/>
    <w:rPr>
      <w:rFonts w:ascii="Arial" w:hAnsi="Arial"/>
      <w:b/>
      <w:i w:val="false"/>
      <w:iCs/>
      <w:sz w:val="24"/>
    </w:rPr>
  </w:style>
  <w:style w:type="character" w:styleId="ListLabel176">
    <w:name w:val="ListLabel 176"/>
    <w:qFormat/>
    <w:rPr>
      <w:rFonts w:ascii="Arial" w:hAnsi="Arial" w:cs="Arial"/>
      <w:b/>
      <w:i w:val="false"/>
      <w:iCs/>
      <w:color w:val="00000A"/>
      <w:sz w:val="24"/>
    </w:rPr>
  </w:style>
  <w:style w:type="character" w:styleId="ListLabel177">
    <w:name w:val="ListLabel 177"/>
    <w:qFormat/>
    <w:rPr>
      <w:rFonts w:ascii="Arial" w:hAnsi="Arial"/>
      <w:b/>
      <w:sz w:val="24"/>
    </w:rPr>
  </w:style>
  <w:style w:type="character" w:styleId="ListLabel178">
    <w:name w:val="ListLabel 178"/>
    <w:qFormat/>
    <w:rPr>
      <w:b/>
      <w:sz w:val="24"/>
    </w:rPr>
  </w:style>
  <w:style w:type="character" w:styleId="ListLabel179">
    <w:name w:val="ListLabel 179"/>
    <w:qFormat/>
    <w:rPr>
      <w:b/>
    </w:rPr>
  </w:style>
  <w:style w:type="character" w:styleId="ListLabel180">
    <w:name w:val="ListLabel 180"/>
    <w:qFormat/>
    <w:rPr>
      <w:b w:val="false"/>
      <w:i w:val="false"/>
      <w:iCs/>
    </w:rPr>
  </w:style>
  <w:style w:type="character" w:styleId="ListLabel181">
    <w:name w:val="ListLabel 181"/>
    <w:qFormat/>
    <w:rPr>
      <w:rFonts w:cs="Arial"/>
      <w:b w:val="false"/>
      <w:i w:val="false"/>
      <w:iCs/>
      <w:color w:val="00000A"/>
    </w:rPr>
  </w:style>
  <w:style w:type="character" w:styleId="ListLabel182">
    <w:name w:val="ListLabel 182"/>
    <w:qFormat/>
    <w:rPr>
      <w:b/>
    </w:rPr>
  </w:style>
  <w:style w:type="character" w:styleId="ListLabel183">
    <w:name w:val="ListLabel 183"/>
    <w:qFormat/>
    <w:rPr>
      <w:b w:val="false"/>
      <w:i w:val="false"/>
      <w:iCs/>
    </w:rPr>
  </w:style>
  <w:style w:type="character" w:styleId="ListLabel184">
    <w:name w:val="ListLabel 184"/>
    <w:qFormat/>
    <w:rPr>
      <w:rFonts w:ascii="Arial" w:hAnsi="Arial"/>
      <w:b w:val="false"/>
      <w:i w:val="false"/>
      <w:iCs/>
      <w:color w:val="00000A"/>
      <w:sz w:val="24"/>
    </w:rPr>
  </w:style>
  <w:style w:type="character" w:styleId="ListLabel185">
    <w:name w:val="ListLabel 185"/>
    <w:qFormat/>
    <w:rPr>
      <w:rFonts w:ascii="Arial" w:hAnsi="Arial"/>
      <w:b/>
      <w:sz w:val="24"/>
    </w:rPr>
  </w:style>
  <w:style w:type="character" w:styleId="ListLabel186">
    <w:name w:val="ListLabel 186"/>
    <w:qFormat/>
    <w:rPr>
      <w:rFonts w:ascii="Arial" w:hAnsi="Arial"/>
      <w:b/>
      <w:i w:val="false"/>
      <w:iCs/>
      <w:sz w:val="24"/>
    </w:rPr>
  </w:style>
  <w:style w:type="character" w:styleId="ListLabel187">
    <w:name w:val="ListLabel 187"/>
    <w:qFormat/>
    <w:rPr>
      <w:rFonts w:ascii="Arial" w:hAnsi="Arial" w:cs="Arial"/>
      <w:b/>
      <w:i w:val="false"/>
      <w:iCs/>
      <w:color w:val="00000A"/>
      <w:sz w:val="24"/>
    </w:rPr>
  </w:style>
  <w:style w:type="character" w:styleId="ListLabel188">
    <w:name w:val="ListLabel 188"/>
    <w:qFormat/>
    <w:rPr>
      <w:rFonts w:ascii="Arial" w:hAnsi="Arial"/>
      <w:b/>
      <w:sz w:val="24"/>
    </w:rPr>
  </w:style>
  <w:style w:type="character" w:styleId="ListLabel189">
    <w:name w:val="ListLabel 189"/>
    <w:qFormat/>
    <w:rPr>
      <w:b/>
      <w:sz w:val="24"/>
    </w:rPr>
  </w:style>
  <w:style w:type="character" w:styleId="ListLabel190">
    <w:name w:val="ListLabel 190"/>
    <w:qFormat/>
    <w:rPr>
      <w:b/>
    </w:rPr>
  </w:style>
  <w:style w:type="character" w:styleId="ListLabel191">
    <w:name w:val="ListLabel 191"/>
    <w:qFormat/>
    <w:rPr>
      <w:b w:val="false"/>
      <w:i w:val="false"/>
      <w:iCs/>
    </w:rPr>
  </w:style>
  <w:style w:type="character" w:styleId="ListLabel192">
    <w:name w:val="ListLabel 192"/>
    <w:qFormat/>
    <w:rPr>
      <w:rFonts w:cs="Arial"/>
      <w:b w:val="false"/>
      <w:i w:val="false"/>
      <w:iCs/>
      <w:color w:val="00000A"/>
    </w:rPr>
  </w:style>
  <w:style w:type="character" w:styleId="ListLabel193">
    <w:name w:val="ListLabel 193"/>
    <w:qFormat/>
    <w:rPr>
      <w:b/>
    </w:rPr>
  </w:style>
  <w:style w:type="character" w:styleId="ListLabel194">
    <w:name w:val="ListLabel 194"/>
    <w:qFormat/>
    <w:rPr>
      <w:b w:val="false"/>
      <w:i w:val="false"/>
      <w:iCs/>
    </w:rPr>
  </w:style>
  <w:style w:type="character" w:styleId="ListLabel195">
    <w:name w:val="ListLabel 195"/>
    <w:qFormat/>
    <w:rPr>
      <w:rFonts w:ascii="Arial" w:hAnsi="Arial"/>
      <w:b w:val="false"/>
      <w:i w:val="false"/>
      <w:iCs/>
      <w:color w:val="00000A"/>
      <w:sz w:val="24"/>
    </w:rPr>
  </w:style>
  <w:style w:type="paragraph" w:styleId="Ttulo">
    <w:name w:val="Título"/>
    <w:basedOn w:val="Normal"/>
    <w:next w:val="Corpodetexto"/>
    <w:qFormat/>
    <w:pPr>
      <w:keepNext w:val="true"/>
      <w:spacing w:before="240" w:after="120"/>
    </w:pPr>
    <w:rPr>
      <w:rFonts w:ascii="Liberation Sans" w:hAnsi="Liberation Sans" w:eastAsia="Noto Sans CJK SC" w:cs="Lohit Devanagari"/>
      <w:sz w:val="28"/>
      <w:szCs w:val="28"/>
    </w:rPr>
  </w:style>
  <w:style w:type="paragraph" w:styleId="Corpodetexto">
    <w:name w:val="Body Text"/>
    <w:basedOn w:val="Normal"/>
    <w:pPr>
      <w:spacing w:lineRule="auto" w:line="276" w:before="0" w:after="140"/>
    </w:pPr>
    <w:rPr/>
  </w:style>
  <w:style w:type="paragraph" w:styleId="Lista">
    <w:name w:val="List"/>
    <w:basedOn w:val="Corpodetexto"/>
    <w:pPr/>
    <w:rPr>
      <w:rFonts w:cs="Lohit Devanagari"/>
    </w:rPr>
  </w:style>
  <w:style w:type="paragraph" w:styleId="Legenda">
    <w:name w:val="Caption"/>
    <w:basedOn w:val="Normal"/>
    <w:qFormat/>
    <w:pPr>
      <w:suppressLineNumbers/>
      <w:spacing w:before="120" w:after="120"/>
    </w:pPr>
    <w:rPr>
      <w:rFonts w:cs="Lohit Devanagari"/>
      <w:i/>
      <w:iCs/>
      <w:sz w:val="24"/>
      <w:szCs w:val="24"/>
    </w:rPr>
  </w:style>
  <w:style w:type="paragraph" w:styleId="Ndice">
    <w:name w:val="Índice"/>
    <w:basedOn w:val="Normal"/>
    <w:qFormat/>
    <w:pPr>
      <w:suppressLineNumbers/>
    </w:pPr>
    <w:rPr>
      <w:rFonts w:cs="Lohit Devanagari"/>
    </w:rPr>
  </w:style>
  <w:style w:type="paragraph" w:styleId="Quote">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Ttulo1"/>
    <w:next w:val="Normal"/>
    <w:link w:val="Nivel01Char"/>
    <w:qFormat/>
    <w:rsid w:val="009f7713"/>
    <w:pPr>
      <w:spacing w:lineRule="auto" w:line="276" w:before="480" w:after="120"/>
      <w:ind w:right="-15" w:hanging="0"/>
      <w:jc w:val="both"/>
    </w:pPr>
    <w:rPr>
      <w:rFonts w:ascii="Arial" w:hAnsi="Arial" w:cs="Times New Roman"/>
      <w:b/>
      <w:bCs/>
      <w:color w:val="000000"/>
      <w:sz w:val="20"/>
      <w:szCs w:val="20"/>
    </w:rPr>
  </w:style>
  <w:style w:type="paragraph" w:styleId="PADRO" w:customStyle="1">
    <w:name w:val="PADRÃO"/>
    <w:qFormat/>
    <w:rsid w:val="009f7713"/>
    <w:pPr>
      <w:keepNext w:val="true"/>
      <w:widowControl w:val="false"/>
      <w:shd w:val="clear" w:color="auto" w:fill="FFFFFF"/>
      <w:bidi w:val="0"/>
      <w:spacing w:lineRule="auto" w:line="276" w:before="119" w:after="119"/>
      <w:ind w:firstLine="567"/>
      <w:jc w:val="both"/>
      <w:textAlignment w:val="baseline"/>
    </w:pPr>
    <w:rPr>
      <w:rFonts w:ascii="Ecofont_Spranq_eco_Sans" w:hAnsi="Ecofont_Spranq_eco_Sans" w:eastAsia="WenQuanYi Micro Hei" w:cs="Lohit Hindi"/>
      <w:color w:val="00000A"/>
      <w:kern w:val="0"/>
      <w:sz w:val="20"/>
      <w:szCs w:val="24"/>
      <w:lang w:val="pt-BR" w:eastAsia="zh-CN" w:bidi="hi-IN"/>
    </w:rPr>
  </w:style>
  <w:style w:type="paragraph" w:styleId="ListParagraph">
    <w:name w:val="List Paragraph"/>
    <w:basedOn w:val="Normal"/>
    <w:uiPriority w:val="34"/>
    <w:qFormat/>
    <w:rsid w:val="006a70c8"/>
    <w:pPr>
      <w:spacing w:before="0" w:after="0"/>
      <w:ind w:left="720" w:hanging="0"/>
      <w:contextualSpacing/>
    </w:pPr>
    <w:rPr/>
  </w:style>
  <w:style w:type="paragraph" w:styleId="Citao2" w:customStyle="1">
    <w:name w:val="citação 2"/>
    <w:basedOn w:val="Quote"/>
    <w:link w:val="citao2Char"/>
    <w:qFormat/>
    <w:rsid w:val="006a70c8"/>
    <w:pPr>
      <w:shd w:val="clear" w:fill="FFFFCC"/>
    </w:pPr>
    <w:rPr>
      <w:szCs w:val="20"/>
    </w:rPr>
  </w:style>
  <w:style w:type="paragraph" w:styleId="Citao1" w:customStyle="1">
    <w:name w:val="Citação1"/>
    <w:basedOn w:val="Normal"/>
    <w:next w:val="Normal"/>
    <w:link w:val="QuoteChar"/>
    <w:qFormat/>
    <w:rsid w:val="00a728b9"/>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link w:val="TextodecomentrioChar"/>
    <w:unhideWhenUsed/>
    <w:qFormat/>
    <w:rsid w:val="003d08af"/>
    <w:pPr/>
    <w:rPr>
      <w:szCs w:val="20"/>
    </w:rPr>
  </w:style>
  <w:style w:type="paragraph" w:styleId="Annotationsubject">
    <w:name w:val="annotation subject"/>
    <w:basedOn w:val="Annotationtext"/>
    <w:link w:val="AssuntodocomentrioChar"/>
    <w:uiPriority w:val="99"/>
    <w:semiHidden/>
    <w:unhideWhenUsed/>
    <w:qFormat/>
    <w:rsid w:val="003d08af"/>
    <w:pPr/>
    <w:rPr>
      <w:b/>
      <w:bCs/>
    </w:rPr>
  </w:style>
  <w:style w:type="paragraph" w:styleId="Nivel1" w:customStyle="1">
    <w:name w:val="Nivel1"/>
    <w:basedOn w:val="Ttulo1"/>
    <w:qFormat/>
    <w:rsid w:val="00fa4ef2"/>
    <w:pPr>
      <w:spacing w:lineRule="auto" w:line="276" w:before="480" w:after="0"/>
      <w:ind w:left="644" w:hanging="360"/>
      <w:jc w:val="both"/>
    </w:pPr>
    <w:rPr>
      <w:rFonts w:ascii="Arial" w:hAnsi="Arial" w:cs="Times New Roman"/>
      <w:b/>
      <w:color w:val="000000"/>
      <w:sz w:val="20"/>
      <w:szCs w:val="20"/>
    </w:rPr>
  </w:style>
  <w:style w:type="paragraph" w:styleId="Nivel2" w:customStyle="1">
    <w:name w:val="Nivel 2"/>
    <w:qFormat/>
    <w:rsid w:val="002f5eff"/>
    <w:pPr>
      <w:widowControl/>
      <w:bidi w:val="0"/>
      <w:spacing w:lineRule="auto" w:line="276" w:before="120" w:after="120"/>
      <w:jc w:val="both"/>
    </w:pPr>
    <w:rPr>
      <w:rFonts w:ascii="Ecofont_Spranq_eco_Sans" w:hAnsi="Ecofont_Spranq_eco_Sans" w:eastAsia="Arial Unicode MS" w:cs="Times New Roman"/>
      <w:color w:val="00000A"/>
      <w:kern w:val="0"/>
      <w:sz w:val="20"/>
      <w:szCs w:val="20"/>
      <w:lang w:val="pt-BR" w:eastAsia="pt-BR" w:bidi="ar-SA"/>
    </w:rPr>
  </w:style>
  <w:style w:type="paragraph" w:styleId="Nivel11" w:customStyle="1">
    <w:name w:val="Nivel 1"/>
    <w:basedOn w:val="Nivel2"/>
    <w:qFormat/>
    <w:rsid w:val="002f5eff"/>
    <w:pPr/>
    <w:rPr>
      <w:rFonts w:cs="Arial"/>
      <w:b/>
    </w:rPr>
  </w:style>
  <w:style w:type="paragraph" w:styleId="Nivel3" w:customStyle="1">
    <w:name w:val="Nivel 3"/>
    <w:basedOn w:val="Nivel2"/>
    <w:qFormat/>
    <w:rsid w:val="002f5eff"/>
    <w:pPr/>
    <w:rPr>
      <w:rFonts w:cs="Arial"/>
      <w:color w:val="000000"/>
    </w:rPr>
  </w:style>
  <w:style w:type="paragraph" w:styleId="Nivel4" w:customStyle="1">
    <w:name w:val="Nivel 4"/>
    <w:basedOn w:val="Nivel3"/>
    <w:link w:val="Nivel4Char"/>
    <w:qFormat/>
    <w:rsid w:val="002f5eff"/>
    <w:pPr/>
    <w:rPr>
      <w:color w:val="00000A"/>
    </w:rPr>
  </w:style>
  <w:style w:type="paragraph" w:styleId="Nivel5" w:customStyle="1">
    <w:name w:val="Nivel 5"/>
    <w:basedOn w:val="Nivel4"/>
    <w:qFormat/>
    <w:rsid w:val="002f5eff"/>
    <w:pPr>
      <w:tabs>
        <w:tab w:val="left" w:pos="360" w:leader="none"/>
      </w:tabs>
    </w:pPr>
    <w:rPr/>
  </w:style>
  <w:style w:type="paragraph" w:styleId="BalloonText">
    <w:name w:val="Balloon Text"/>
    <w:basedOn w:val="Normal"/>
    <w:link w:val="TextodebaloChar"/>
    <w:uiPriority w:val="99"/>
    <w:semiHidden/>
    <w:unhideWhenUsed/>
    <w:qFormat/>
    <w:rsid w:val="00731d60"/>
    <w:pPr/>
    <w:rPr>
      <w:rFonts w:ascii="Segoe UI" w:hAnsi="Segoe UI" w:cs="Segoe UI"/>
      <w:sz w:val="18"/>
      <w:szCs w:val="18"/>
    </w:rPr>
  </w:style>
  <w:style w:type="paragraph" w:styleId="Cabealho">
    <w:name w:val="Header"/>
    <w:basedOn w:val="Normal"/>
    <w:link w:val="CabealhoChar"/>
    <w:uiPriority w:val="99"/>
    <w:unhideWhenUsed/>
    <w:rsid w:val="00805244"/>
    <w:pPr>
      <w:tabs>
        <w:tab w:val="center" w:pos="4252" w:leader="none"/>
        <w:tab w:val="right" w:pos="8504" w:leader="none"/>
      </w:tabs>
    </w:pPr>
    <w:rPr/>
  </w:style>
  <w:style w:type="paragraph" w:styleId="Rodap">
    <w:name w:val="Footer"/>
    <w:basedOn w:val="Normal"/>
    <w:link w:val="RodapChar"/>
    <w:uiPriority w:val="99"/>
    <w:unhideWhenUsed/>
    <w:rsid w:val="00805244"/>
    <w:pPr>
      <w:tabs>
        <w:tab w:val="center" w:pos="4252" w:leader="none"/>
        <w:tab w:val="right" w:pos="8504" w:leader="none"/>
      </w:tabs>
    </w:pPr>
    <w:rPr/>
  </w:style>
  <w:style w:type="paragraph" w:styleId="TOCHeading">
    <w:name w:val="TOC Heading"/>
    <w:basedOn w:val="Ttulo1"/>
    <w:next w:val="Normal"/>
    <w:uiPriority w:val="39"/>
    <w:unhideWhenUsed/>
    <w:qFormat/>
    <w:rsid w:val="009a58ef"/>
    <w:pPr>
      <w:spacing w:lineRule="auto" w:line="259"/>
    </w:pPr>
    <w:rPr/>
  </w:style>
  <w:style w:type="paragraph" w:styleId="Ttulododocumento">
    <w:name w:val="Title"/>
    <w:basedOn w:val="Normal"/>
    <w:next w:val="Normal"/>
    <w:link w:val="TtuloChar"/>
    <w:uiPriority w:val="10"/>
    <w:qFormat/>
    <w:rsid w:val="000453ab"/>
    <w:pPr>
      <w:spacing w:before="0" w:after="0"/>
      <w:contextualSpacing/>
    </w:pPr>
    <w:rPr>
      <w:rFonts w:ascii="Calibri Light" w:hAnsi="Calibri Light" w:eastAsia="" w:cs="" w:asciiTheme="majorHAnsi" w:cstheme="majorBidi" w:eastAsiaTheme="majorEastAsia" w:hAnsiTheme="majorHAnsi"/>
      <w:spacing w:val="-10"/>
      <w:kern w:val="2"/>
      <w:sz w:val="56"/>
      <w:szCs w:val="56"/>
    </w:rPr>
  </w:style>
  <w:style w:type="paragraph" w:styleId="Sumrio1">
    <w:name w:val="TOC 1"/>
    <w:basedOn w:val="Normal"/>
    <w:next w:val="Normal"/>
    <w:autoRedefine/>
    <w:uiPriority w:val="39"/>
    <w:unhideWhenUsed/>
    <w:rsid w:val="00441059"/>
    <w:pPr>
      <w:spacing w:before="0" w:after="100"/>
    </w:pPr>
    <w:rPr/>
  </w:style>
  <w:style w:type="paragraph" w:styleId="Contedodatabela">
    <w:name w:val="Conteúdo da tabela"/>
    <w:basedOn w:val="Normal"/>
    <w:qFormat/>
    <w:pPr>
      <w:suppressLineNumbers/>
    </w:pPr>
    <w:rPr/>
  </w:style>
  <w:style w:type="paragraph" w:styleId="Ttulodetabela">
    <w:name w:val="Título de tabela"/>
    <w:basedOn w:val="Contedodatabela"/>
    <w:qFormat/>
    <w:pPr>
      <w:suppressLineNumbers/>
      <w:jc w:val="center"/>
    </w:pPr>
    <w:rPr>
      <w:b/>
      <w:bCs/>
    </w:rPr>
  </w:style>
  <w:style w:type="numbering" w:styleId="NoList" w:default="1">
    <w:name w:val="No List"/>
    <w:uiPriority w:val="99"/>
    <w:semiHidden/>
    <w:unhideWhenUsed/>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table" w:styleId="Tabelacomgrade">
    <w:name w:val="Table Grid"/>
    <w:basedOn w:val="Tabelanormal"/>
    <w:rsid w:val="002f5eff"/>
    <w:pPr>
      <w:spacing w:after="0" w:line="240" w:lineRule="auto"/>
    </w:pPr>
    <w:rPr>
      <w:rFonts w:eastAsiaTheme="minorEastAsia"/>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planalto.gov.br/ccivil_03/LEIS/L6404consol.htm" TargetMode="External"/><Relationship Id="rId4" Type="http://schemas.openxmlformats.org/officeDocument/2006/relationships/hyperlink" Target="http://www.portaldatransparencia.gov.br/ceis" TargetMode="External"/><Relationship Id="rId5" Type="http://schemas.openxmlformats.org/officeDocument/2006/relationships/hyperlink" Target="http://www.cnj.jus.br/improbidade_adm/consultar_requerido.php" TargetMode="Externa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footer" Target="footer1.xm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Relationship Id="rId13" Type="http://schemas.openxmlformats.org/officeDocument/2006/relationships/customXml" Target="../customXml/item1.xml"/><Relationship Id="rId14" Type="http://schemas.openxmlformats.org/officeDocument/2006/relationships/customXml" Target="../customXml/item2.xml"/><Relationship Id="rId15" Type="http://schemas.openxmlformats.org/officeDocument/2006/relationships/customXml" Target="../customXml/item3.xml"/><Relationship Id="rId16" Type="http://schemas.openxmlformats.org/officeDocument/2006/relationships/customXml" Target="../customXml/item4.xml"/>
</Relationships>
</file>

<file path=word/_rels/header2.xml.rels><?xml version="1.0" encoding="UTF-8"?>
<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5" ma:contentTypeDescription="Crie um novo documento." ma:contentTypeScope="" ma:versionID="4c05f9ccec8ab510e9d59635959c6c29">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6791641452c16e7f522cbdd2b294a380"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194432-02BB-4416-909B-CA6A414F5E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2E802D5-3E3C-457C-A882-A5828C40F41C}">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3.xml><?xml version="1.0" encoding="utf-8"?>
<ds:datastoreItem xmlns:ds="http://schemas.openxmlformats.org/officeDocument/2006/customXml" ds:itemID="{81BDAA3B-C4A0-4944-85FF-DFC2F3D3986D}">
  <ds:schemaRefs>
    <ds:schemaRef ds:uri="http://schemas.microsoft.com/sharepoint/v3/contenttype/forms"/>
  </ds:schemaRefs>
</ds:datastoreItem>
</file>

<file path=customXml/itemProps4.xml><?xml version="1.0" encoding="utf-8"?>
<ds:datastoreItem xmlns:ds="http://schemas.openxmlformats.org/officeDocument/2006/customXml" ds:itemID="{EAD6537D-CAD8-4A7D-A68C-9F13AC072F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Application>LibreOffice/5.4.7.2$Windows_X86_64 LibreOffice_project/c838ef25c16710f8838b1faec480ebba495259d0</Application>
  <Pages>16</Pages>
  <Words>4925</Words>
  <Characters>28175</Characters>
  <CharactersWithSpaces>32742</CharactersWithSpaces>
  <Paragraphs>239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2022-06-03T17:31:00Z</dcterms:created>
  <dc:creator/>
  <dc:description/>
  <dc:language>pt-BR</dc:language>
  <cp:lastModifiedBy/>
  <dcterms:modified xsi:type="dcterms:W3CDTF">2023-01-18T12:26:39Z</dcterms:modified>
  <cp:revision>22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0x01010046D1D902F9AFB0458A156704A0C1878F</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