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cs="Arial"/>
          <w:b/>
          <w:b/>
          <w:bCs/>
          <w:color w:val="000000" w:themeColor="text1"/>
          <w:szCs w:val="20"/>
        </w:rPr>
      </w:pPr>
      <w:r>
        <w:rPr>
          <w:rFonts w:cs="Arial"/>
          <w:b/>
          <w:bCs/>
          <w:color w:val="000000" w:themeColor="text1"/>
          <w:szCs w:val="20"/>
        </w:rPr>
        <w:t>MARINHA DO BRASIL</w:t>
      </w:r>
    </w:p>
    <w:p>
      <w:pPr>
        <w:pStyle w:val="Normal"/>
        <w:spacing w:lineRule="auto" w:line="276"/>
        <w:jc w:val="center"/>
        <w:rPr>
          <w:rFonts w:cs="Arial"/>
          <w:b/>
          <w:b/>
          <w:bCs/>
          <w:color w:val="000000" w:themeColor="text1"/>
          <w:szCs w:val="20"/>
        </w:rPr>
      </w:pPr>
      <w:r>
        <w:rPr>
          <w:rFonts w:cs="Arial"/>
          <w:b/>
          <w:bCs/>
          <w:color w:val="000000" w:themeColor="text1"/>
          <w:szCs w:val="20"/>
        </w:rPr>
        <w:t>HOSPITAL NAVAL MARCÍLIO DIAS</w:t>
      </w:r>
    </w:p>
    <w:p>
      <w:pPr>
        <w:pStyle w:val="Normal"/>
        <w:spacing w:lineRule="auto" w:line="276"/>
        <w:jc w:val="center"/>
        <w:rPr>
          <w:rFonts w:cs="Arial"/>
          <w:b/>
          <w:b/>
          <w:bCs/>
          <w:color w:val="000000" w:themeColor="text1"/>
          <w:szCs w:val="20"/>
        </w:rPr>
      </w:pPr>
      <w:r>
        <w:rPr>
          <w:rFonts w:cs="Arial"/>
          <w:b/>
          <w:bCs/>
          <w:color w:val="000000" w:themeColor="text1"/>
          <w:szCs w:val="20"/>
        </w:rPr>
        <w:t>AVISO DE DISPENSA ELETRÔNICA Nº ....../2023.</w:t>
      </w:r>
    </w:p>
    <w:p>
      <w:pPr>
        <w:pStyle w:val="Normal"/>
        <w:spacing w:lineRule="auto" w:line="276" w:before="0" w:after="120"/>
        <w:ind w:right="-15" w:hanging="0"/>
        <w:jc w:val="center"/>
        <w:rPr>
          <w:rFonts w:cs="Arial"/>
          <w:b/>
          <w:b/>
          <w:bCs/>
          <w:color w:val="000000"/>
          <w:szCs w:val="20"/>
        </w:rPr>
      </w:pPr>
      <w:r>
        <w:rPr>
          <w:rFonts w:cs="Arial"/>
          <w:b/>
          <w:bCs/>
          <w:color w:val="000000" w:themeColor="text1"/>
          <w:szCs w:val="20"/>
        </w:rPr>
        <w:t>(Processo Administrativo n.°...........)</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Torna-se público que o(a)</w:t>
      </w:r>
      <w:r>
        <w:rPr>
          <w:rFonts w:eastAsia="Arial" w:cs="Arial"/>
          <w:color w:val="FF0000"/>
          <w:szCs w:val="20"/>
        </w:rPr>
        <w:t>.</w:t>
      </w:r>
      <w:r>
        <w:rPr>
          <w:rFonts w:eastAsia="Arial" w:cs="Arial"/>
          <w:color w:val="000000" w:themeColor="text1"/>
          <w:szCs w:val="20"/>
        </w:rPr>
        <w:t>Hospital Naval Marcílio Dias</w:t>
      </w:r>
      <w:r>
        <w:rPr>
          <w:rFonts w:cs="Arial"/>
          <w:color w:val="000000" w:themeColor="text1"/>
          <w:szCs w:val="20"/>
        </w:rPr>
        <w:t xml:space="preserve">, por meio do (a) Divisão de Aquisições e Contratos, realizará Dispensa Eletrônica, </w:t>
      </w:r>
      <w:r>
        <w:rPr>
          <w:rFonts w:cs="Arial"/>
          <w:bCs/>
          <w:color w:val="000000" w:themeColor="text1"/>
          <w:szCs w:val="20"/>
        </w:rPr>
        <w:t>com critério de julgamento do Menor Preço</w:t>
      </w:r>
      <w:r>
        <w:rPr>
          <w:rFonts w:cs="Arial"/>
          <w:b/>
          <w:bCs/>
          <w:i/>
          <w:color w:val="000000" w:themeColor="text1"/>
          <w:szCs w:val="20"/>
        </w:rPr>
        <w:t>,</w:t>
      </w:r>
      <w:r>
        <w:rPr>
          <w:rFonts w:cs="Arial"/>
          <w:color w:val="000000" w:themeColor="text1"/>
          <w:szCs w:val="20"/>
        </w:rPr>
        <w:t>na hipótese do art. 75</w:t>
      </w:r>
      <w:r>
        <w:rPr>
          <w:rFonts w:cs="Arial"/>
          <w:i/>
          <w:iCs/>
          <w:color w:val="000000" w:themeColor="text1"/>
          <w:szCs w:val="20"/>
        </w:rPr>
        <w:t xml:space="preserve">, inciso </w:t>
      </w:r>
      <w:r>
        <w:rPr>
          <w:rFonts w:cs="Arial"/>
          <w:b/>
          <w:i/>
          <w:iCs/>
          <w:color w:val="000000" w:themeColor="text1"/>
          <w:szCs w:val="20"/>
        </w:rPr>
        <w:t>I</w:t>
      </w:r>
      <w:r>
        <w:rPr>
          <w:rFonts w:cs="Arial"/>
          <w:i/>
          <w:iCs/>
          <w:color w:val="000000" w:themeColor="text1"/>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pPr>
        <w:pStyle w:val="PADRO"/>
        <w:widowControl/>
        <w:shd w:val="clear" w:color="auto" w:fill="auto"/>
        <w:spacing w:before="120" w:after="120"/>
        <w:ind w:left="360" w:hanging="0"/>
        <w:rPr>
          <w:rFonts w:ascii="Arial" w:hAnsi="Arial" w:cs="Arial"/>
          <w:b/>
          <w:b/>
        </w:rPr>
      </w:pPr>
      <w:r>
        <w:rPr>
          <w:rFonts w:cs="Arial" w:ascii="Arial" w:hAnsi="Arial"/>
          <w:b/>
        </w:rPr>
      </w:r>
    </w:p>
    <w:p>
      <w:pPr>
        <w:pStyle w:val="PADRO"/>
        <w:widowControl/>
        <w:numPr>
          <w:ilvl w:val="0"/>
          <w:numId w:val="1"/>
        </w:numPr>
        <w:shd w:val="clear" w:color="auto" w:fill="auto"/>
        <w:spacing w:before="120" w:after="120"/>
        <w:rPr>
          <w:rFonts w:ascii="Arial" w:hAnsi="Arial" w:cs="Arial"/>
          <w:b/>
          <w:b/>
        </w:rPr>
      </w:pPr>
      <w:bookmarkStart w:id="0" w:name="_GoBack"/>
      <w:bookmarkEnd w:id="0"/>
      <w:r>
        <w:rPr>
          <w:rFonts w:cs="Arial" w:ascii="Arial" w:hAnsi="Arial"/>
          <w:b/>
        </w:rPr>
        <w:t>OBJETO DA CONTRATAÇÃO DIRETA</w:t>
      </w:r>
    </w:p>
    <w:p>
      <w:pPr>
        <w:pStyle w:val="PADRO"/>
        <w:widowControl/>
        <w:numPr>
          <w:ilvl w:val="1"/>
          <w:numId w:val="1"/>
        </w:numPr>
        <w:shd w:val="clear" w:color="auto" w:fill="auto"/>
        <w:spacing w:before="120" w:after="120"/>
        <w:rPr>
          <w:rFonts w:ascii="Arial" w:hAnsi="Arial" w:cs="Arial"/>
          <w:color w:val="000000" w:themeColor="text1"/>
          <w:szCs w:val="20"/>
        </w:rPr>
      </w:pPr>
      <w:r>
        <w:rPr>
          <w:rFonts w:cs="Arial" w:ascii="Arial" w:hAnsi="Arial"/>
          <w:color w:val="000000" w:themeColor="text1"/>
          <w:szCs w:val="20"/>
        </w:rPr>
        <w:t>O objeto da presente dispensa é a escolha da proposta mais vantajosa para a contratação por dispensa de licitação de.empresa que forneça a mão-de-obra e  materiais necessários (peças) para consecução de Serviço de Troca do Painel Eletrônico (Peça nova) de cabine de segurança biológica Classe II B2 da Marca Becnermed do Departamento de Farmácia, conforme condições, quantidades e exigências estabelecidas neste Aviso de Contratação Direta e seus anexos.</w:t>
      </w:r>
    </w:p>
    <w:p>
      <w:pPr>
        <w:pStyle w:val="PADRO"/>
        <w:widowControl/>
        <w:numPr>
          <w:ilvl w:val="1"/>
          <w:numId w:val="1"/>
        </w:numPr>
        <w:shd w:val="clear" w:color="auto" w:fill="auto"/>
        <w:spacing w:before="120" w:after="120"/>
        <w:rPr>
          <w:rFonts w:ascii="Arial" w:hAnsi="Arial" w:cs="Arial"/>
          <w:color w:val="000000" w:themeColor="text1"/>
          <w:szCs w:val="20"/>
        </w:rPr>
      </w:pPr>
      <w:r>
        <w:rPr>
          <w:rFonts w:cs="Arial" w:ascii="Arial" w:hAnsi="Arial"/>
          <w:i/>
          <w:iCs/>
          <w:color w:val="000000" w:themeColor="text1"/>
          <w:szCs w:val="20"/>
        </w:rPr>
        <w:t>A contratação será dividida em itens/lotes</w:t>
      </w:r>
      <w:r>
        <w:rPr>
          <w:rFonts w:cs="Arial" w:ascii="Arial" w:hAnsi="Arial"/>
          <w:b/>
          <w:bCs/>
          <w:i/>
          <w:iCs/>
          <w:color w:val="000000" w:themeColor="text1"/>
          <w:szCs w:val="20"/>
        </w:rPr>
        <w:t xml:space="preserve"> ou </w:t>
      </w:r>
      <w:r>
        <w:rPr>
          <w:rFonts w:cs="Arial" w:ascii="Arial" w:hAnsi="Arial"/>
          <w:i/>
          <w:iCs/>
          <w:color w:val="000000" w:themeColor="text1"/>
          <w:szCs w:val="20"/>
        </w:rPr>
        <w:t>ocorrerá em item/lote únic</w:t>
      </w:r>
      <w:r>
        <w:rPr>
          <w:rFonts w:cs="Arial" w:ascii="Arial" w:hAnsi="Arial"/>
          <w:b/>
          <w:bCs/>
          <w:i/>
          <w:iCs/>
          <w:color w:val="000000" w:themeColor="text1"/>
          <w:szCs w:val="20"/>
        </w:rPr>
        <w:t>o,</w:t>
      </w:r>
      <w:r>
        <w:rPr>
          <w:rFonts w:cs="Arial" w:ascii="Arial" w:hAnsi="Arial"/>
          <w:i/>
          <w:iCs/>
          <w:color w:val="000000" w:themeColor="text1"/>
          <w:szCs w:val="20"/>
        </w:rPr>
        <w:t xml:space="preserve"> conforme tabela constante abaixo.</w:t>
      </w:r>
    </w:p>
    <w:tbl>
      <w:tblPr>
        <w:tblW w:w="9781" w:type="dxa"/>
        <w:jc w:val="left"/>
        <w:tblInd w:w="-51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8" w:type="dxa"/>
          <w:bottom w:w="0" w:type="dxa"/>
          <w:right w:w="108" w:type="dxa"/>
        </w:tblCellMar>
        <w:tblLook w:val="04a0"/>
      </w:tblPr>
      <w:tblGrid>
        <w:gridCol w:w="638"/>
        <w:gridCol w:w="567"/>
        <w:gridCol w:w="2487"/>
        <w:gridCol w:w="912"/>
        <w:gridCol w:w="984"/>
        <w:gridCol w:w="845"/>
        <w:gridCol w:w="991"/>
        <w:gridCol w:w="1232"/>
        <w:gridCol w:w="1124"/>
      </w:tblGrid>
      <w:tr>
        <w:trPr/>
        <w:tc>
          <w:tcPr>
            <w:tcW w:w="63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jc w:val="center"/>
              <w:rPr>
                <w:rFonts w:cs="Arial"/>
                <w:b/>
                <w:b/>
                <w:bCs/>
                <w:color w:val="000000"/>
                <w:sz w:val="14"/>
                <w:szCs w:val="14"/>
              </w:rPr>
            </w:pPr>
            <w:r>
              <w:rPr>
                <w:rFonts w:cs="Arial"/>
                <w:b/>
                <w:bCs/>
                <w:color w:val="000000"/>
                <w:sz w:val="14"/>
                <w:szCs w:val="14"/>
              </w:rPr>
              <w:t>LOTE</w:t>
            </w:r>
          </w:p>
        </w:tc>
        <w:tc>
          <w:tcPr>
            <w:tcW w:w="5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jc w:val="center"/>
              <w:rPr>
                <w:rFonts w:cs="Arial"/>
                <w:b/>
                <w:b/>
                <w:bCs/>
                <w:color w:val="000000"/>
                <w:sz w:val="14"/>
                <w:szCs w:val="14"/>
              </w:rPr>
            </w:pPr>
            <w:r>
              <w:rPr>
                <w:rFonts w:cs="Arial"/>
                <w:b/>
                <w:bCs/>
                <w:color w:val="000000"/>
                <w:sz w:val="14"/>
                <w:szCs w:val="14"/>
              </w:rPr>
              <w:t>ITEM</w:t>
            </w:r>
          </w:p>
          <w:p>
            <w:pPr>
              <w:pStyle w:val="Normal"/>
              <w:widowControl w:val="false"/>
              <w:suppressAutoHyphens w:val="true"/>
              <w:jc w:val="center"/>
              <w:rPr>
                <w:rFonts w:cs="Arial"/>
                <w:b/>
                <w:b/>
                <w:color w:val="000000"/>
                <w:sz w:val="14"/>
                <w:szCs w:val="14"/>
              </w:rPr>
            </w:pPr>
            <w:r>
              <w:rPr>
                <w:rFonts w:cs="Arial"/>
                <w:b/>
                <w:color w:val="000000"/>
                <w:sz w:val="14"/>
                <w:szCs w:val="14"/>
              </w:rPr>
            </w:r>
          </w:p>
        </w:tc>
        <w:tc>
          <w:tcPr>
            <w:tcW w:w="24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jc w:val="center"/>
              <w:rPr>
                <w:rFonts w:cs="Arial"/>
                <w:b/>
                <w:b/>
                <w:bCs/>
                <w:color w:val="000000"/>
                <w:sz w:val="14"/>
                <w:szCs w:val="14"/>
              </w:rPr>
            </w:pPr>
            <w:r>
              <w:rPr>
                <w:rFonts w:cs="Arial"/>
                <w:b/>
                <w:bCs/>
                <w:color w:val="000000"/>
                <w:sz w:val="14"/>
                <w:szCs w:val="14"/>
              </w:rPr>
              <w:t>DESCRIÇÃO/</w:t>
            </w:r>
          </w:p>
          <w:p>
            <w:pPr>
              <w:pStyle w:val="Normal"/>
              <w:widowControl w:val="false"/>
              <w:suppressAutoHyphens w:val="true"/>
              <w:jc w:val="center"/>
              <w:rPr>
                <w:rFonts w:cs="Arial"/>
                <w:color w:val="000000"/>
                <w:sz w:val="14"/>
                <w:szCs w:val="14"/>
              </w:rPr>
            </w:pPr>
            <w:r>
              <w:rPr>
                <w:rFonts w:cs="Arial"/>
                <w:b/>
                <w:bCs/>
                <w:color w:val="000000"/>
                <w:sz w:val="14"/>
                <w:szCs w:val="14"/>
              </w:rPr>
              <w:t>ESPECIFICAÇÃO</w:t>
            </w:r>
          </w:p>
        </w:tc>
        <w:tc>
          <w:tcPr>
            <w:tcW w:w="9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jc w:val="center"/>
              <w:rPr>
                <w:rFonts w:cs="Arial"/>
                <w:b/>
                <w:b/>
                <w:bCs/>
                <w:color w:val="000000"/>
                <w:sz w:val="14"/>
                <w:szCs w:val="14"/>
              </w:rPr>
            </w:pPr>
            <w:r>
              <w:rPr>
                <w:rFonts w:cs="Arial"/>
                <w:b/>
                <w:bCs/>
                <w:color w:val="000000"/>
                <w:sz w:val="14"/>
                <w:szCs w:val="14"/>
              </w:rPr>
              <w:t>CATSER/</w:t>
            </w:r>
          </w:p>
          <w:p>
            <w:pPr>
              <w:pStyle w:val="Normal"/>
              <w:widowControl w:val="false"/>
              <w:suppressAutoHyphens w:val="true"/>
              <w:jc w:val="center"/>
              <w:rPr>
                <w:rFonts w:cs="Arial"/>
                <w:b/>
                <w:b/>
                <w:bCs/>
                <w:color w:val="000000"/>
                <w:sz w:val="14"/>
                <w:szCs w:val="14"/>
              </w:rPr>
            </w:pPr>
            <w:r>
              <w:rPr>
                <w:rFonts w:cs="Arial"/>
                <w:b/>
                <w:bCs/>
                <w:color w:val="000000"/>
                <w:sz w:val="14"/>
                <w:szCs w:val="14"/>
              </w:rPr>
              <w:t>CATMAT</w:t>
            </w:r>
          </w:p>
        </w:tc>
        <w:tc>
          <w:tcPr>
            <w:tcW w:w="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jc w:val="center"/>
              <w:rPr>
                <w:rFonts w:cs="Arial"/>
                <w:color w:val="000000"/>
                <w:sz w:val="14"/>
                <w:szCs w:val="14"/>
              </w:rPr>
            </w:pPr>
            <w:r>
              <w:rPr>
                <w:rFonts w:cs="Arial"/>
                <w:b/>
                <w:bCs/>
                <w:color w:val="000000"/>
                <w:sz w:val="14"/>
                <w:szCs w:val="14"/>
              </w:rPr>
              <w:t>UNIDADE DE MEDIDA</w:t>
            </w:r>
          </w:p>
        </w:tc>
        <w:tc>
          <w:tcPr>
            <w:tcW w:w="8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jc w:val="center"/>
              <w:rPr>
                <w:rFonts w:cs="Arial"/>
                <w:color w:val="000000"/>
                <w:sz w:val="14"/>
                <w:szCs w:val="14"/>
              </w:rPr>
            </w:pPr>
            <w:r>
              <w:rPr>
                <w:rFonts w:cs="Arial"/>
                <w:b/>
                <w:bCs/>
                <w:color w:val="000000"/>
                <w:sz w:val="14"/>
                <w:szCs w:val="14"/>
              </w:rPr>
              <w:t>QUANT.</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jc w:val="center"/>
              <w:rPr>
                <w:rFonts w:cs="Arial"/>
                <w:b/>
                <w:b/>
                <w:bCs/>
                <w:color w:val="000000"/>
                <w:sz w:val="14"/>
                <w:szCs w:val="14"/>
              </w:rPr>
            </w:pPr>
            <w:r>
              <w:rPr>
                <w:rFonts w:cs="Arial"/>
                <w:b/>
                <w:bCs/>
                <w:color w:val="000000"/>
                <w:sz w:val="14"/>
                <w:szCs w:val="14"/>
              </w:rPr>
              <w:t>PREÇO ESTIMADO</w:t>
            </w:r>
          </w:p>
        </w:tc>
        <w:tc>
          <w:tcPr>
            <w:tcW w:w="12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jc w:val="center"/>
              <w:rPr>
                <w:rFonts w:cs="Arial"/>
                <w:b/>
                <w:b/>
                <w:bCs/>
                <w:color w:val="000000"/>
                <w:sz w:val="14"/>
                <w:szCs w:val="14"/>
              </w:rPr>
            </w:pPr>
            <w:r>
              <w:rPr>
                <w:rFonts w:cs="Arial"/>
                <w:b/>
                <w:bCs/>
                <w:color w:val="000000"/>
                <w:sz w:val="14"/>
                <w:szCs w:val="14"/>
              </w:rPr>
              <w:t>LOCAL DE EXECUÇÃO</w:t>
            </w:r>
          </w:p>
        </w:tc>
        <w:tc>
          <w:tcPr>
            <w:tcW w:w="1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jc w:val="center"/>
              <w:rPr>
                <w:rFonts w:cs="Arial"/>
                <w:b/>
                <w:b/>
                <w:bCs/>
                <w:color w:val="000000"/>
                <w:sz w:val="14"/>
                <w:szCs w:val="14"/>
              </w:rPr>
            </w:pPr>
            <w:r>
              <w:rPr>
                <w:rFonts w:cs="Arial"/>
                <w:b/>
                <w:bCs/>
                <w:color w:val="000000"/>
                <w:sz w:val="14"/>
                <w:szCs w:val="14"/>
              </w:rPr>
              <w:t>PRAZO DE EXECUÇÃO</w:t>
            </w:r>
          </w:p>
        </w:tc>
      </w:tr>
      <w:tr>
        <w:trPr/>
        <w:tc>
          <w:tcPr>
            <w:tcW w:w="63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NA</w:t>
            </w:r>
          </w:p>
        </w:tc>
        <w:tc>
          <w:tcPr>
            <w:tcW w:w="5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1</w:t>
            </w:r>
          </w:p>
        </w:tc>
        <w:tc>
          <w:tcPr>
            <w:tcW w:w="24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uppressAutoHyphens w:val="true"/>
              <w:spacing w:lineRule="auto" w:line="276" w:before="0" w:after="120"/>
              <w:jc w:val="both"/>
              <w:rPr/>
            </w:pPr>
            <w:r>
              <w:rPr>
                <w:rFonts w:cs="Arial"/>
                <w:color w:val="000000"/>
                <w:sz w:val="16"/>
                <w:szCs w:val="16"/>
              </w:rPr>
              <w:t>INSTALAÇÃO COM FORNECIMENTO DE MANÔM</w:t>
            </w:r>
            <w:r>
              <w:rPr>
                <w:rFonts w:cs="Arial"/>
                <w:color w:val="000000"/>
                <w:sz w:val="16"/>
                <w:szCs w:val="16"/>
              </w:rPr>
              <w:t>E</w:t>
            </w:r>
            <w:r>
              <w:rPr>
                <w:rFonts w:cs="Arial"/>
                <w:color w:val="000000"/>
                <w:sz w:val="16"/>
                <w:szCs w:val="16"/>
              </w:rPr>
              <w:t>TRO E CONVERSÃO DE PAINEL COM MUDANÇA DE SISTEMA ELETROELETRÔNICO PARA ELETROMECÂNICO EM CABINE DE SEGURANÇA BIOLÓGICA CASSE II TIPO B2, BECNER / EAB-M, NÚMERO DE SÉRIE NÃO CONSTA, Nº DE PATRIMÔNIO/TAG 167860585.</w:t>
            </w:r>
          </w:p>
          <w:p>
            <w:pPr>
              <w:pStyle w:val="Normal"/>
              <w:widowControl w:val="false"/>
              <w:suppressAutoHyphens w:val="true"/>
              <w:spacing w:lineRule="auto" w:line="276" w:before="0" w:after="120"/>
              <w:jc w:val="both"/>
              <w:rPr/>
            </w:pPr>
            <w:r>
              <w:rPr>
                <w:rFonts w:cs="Arial"/>
                <w:color w:val="000000"/>
                <w:sz w:val="16"/>
                <w:szCs w:val="16"/>
              </w:rPr>
              <w:t>APÓS REALIZAÇÃO O SERVIÇO QUE CONSTA NESTA PROPOSTA, SERÁ REALIZADA A CERTIFICAÇÃO DE ACORDO COM O CONTRATO.</w:t>
            </w:r>
          </w:p>
          <w:p>
            <w:pPr>
              <w:pStyle w:val="Normal"/>
              <w:widowControl w:val="false"/>
              <w:suppressAutoHyphens w:val="true"/>
              <w:spacing w:lineRule="auto" w:line="276" w:before="0" w:after="120"/>
              <w:jc w:val="both"/>
              <w:rPr/>
            </w:pPr>
            <w:r>
              <w:rPr>
                <w:rFonts w:cs="Arial"/>
                <w:color w:val="000000"/>
                <w:sz w:val="16"/>
                <w:szCs w:val="16"/>
              </w:rPr>
              <w:t>APÓS TODO SERVIÇO CONCLUÍDO, A CABINE ESTARÁ APTA PARA USO.</w:t>
            </w:r>
          </w:p>
        </w:tc>
        <w:tc>
          <w:tcPr>
            <w:tcW w:w="9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NA</w:t>
            </w:r>
          </w:p>
        </w:tc>
        <w:tc>
          <w:tcPr>
            <w:tcW w:w="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SERV</w:t>
            </w:r>
          </w:p>
        </w:tc>
        <w:tc>
          <w:tcPr>
            <w:tcW w:w="8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01</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R$ 2.410,00</w:t>
            </w:r>
          </w:p>
        </w:tc>
        <w:tc>
          <w:tcPr>
            <w:tcW w:w="12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Departamento de Farmácia do HNMD</w:t>
            </w:r>
          </w:p>
        </w:tc>
        <w:tc>
          <w:tcPr>
            <w:tcW w:w="1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 dia(s)</w:t>
            </w:r>
          </w:p>
        </w:tc>
      </w:tr>
    </w:tbl>
    <w:p>
      <w:pPr>
        <w:pStyle w:val="PADRO"/>
        <w:widowControl/>
        <w:numPr>
          <w:ilvl w:val="1"/>
          <w:numId w:val="1"/>
        </w:numPr>
        <w:shd w:val="clear" w:color="auto" w:fill="auto"/>
        <w:spacing w:before="120" w:after="120"/>
        <w:rPr>
          <w:rFonts w:ascii="Arial" w:hAnsi="Arial" w:cs="Arial"/>
          <w:color w:val="000000" w:themeColor="text1"/>
          <w:szCs w:val="20"/>
        </w:rPr>
      </w:pPr>
      <w:r>
        <w:rPr>
          <w:rFonts w:cs="Arial" w:ascii="Arial" w:hAnsi="Arial"/>
          <w:szCs w:val="20"/>
        </w:rPr>
        <w:t>O critério de julgamento adotado será o menor preço, observadas as exigências contidas neste Aviso de Contratação Direta e seus Anexos quanto às especificações do objeto.</w:t>
      </w:r>
    </w:p>
    <w:p>
      <w:pPr>
        <w:pStyle w:val="PADRO"/>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A participação na presente dispensa eletrônica se dará mediante </w:t>
      </w:r>
      <w:r>
        <w:rPr>
          <w:rFonts w:cs="Arial"/>
          <w:bCs/>
          <w:szCs w:val="20"/>
        </w:rPr>
        <w:t xml:space="preserve">Sistema de Dispensa Eletrônica </w:t>
      </w:r>
      <w:r>
        <w:rPr>
          <w:rFonts w:cs="Arial"/>
          <w:szCs w:val="20"/>
        </w:rPr>
        <w:t xml:space="preserve">integrante do Sistema de Compras do Governo Federal – Comprasnet 4.0, disponível no </w:t>
      </w:r>
      <w:r>
        <w:rPr>
          <w:rFonts w:cs="Arial"/>
          <w:bCs/>
          <w:szCs w:val="20"/>
        </w:rPr>
        <w:t>endereço eletrônico</w:t>
      </w:r>
      <w:r>
        <w:rPr>
          <w:rFonts w:cs="Arial"/>
          <w:color w:val="FF0000"/>
          <w:szCs w:val="20"/>
        </w:rPr>
        <w:t>...</w:t>
      </w:r>
      <w:r>
        <w:rPr>
          <w:rFonts w:cs="Arial"/>
          <w:szCs w:val="20"/>
        </w:rPr>
        <w:t>.</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empresas controladoras, controladas ou coligadas, nos termos da </w:t>
      </w:r>
      <w:hyperlink r:id="rId2">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spacing w:lineRule="auto" w:line="276" w:before="120" w:after="120"/>
        <w:jc w:val="both"/>
        <w:rPr>
          <w:rFonts w:cs="Arial"/>
          <w:color w:val="000000"/>
          <w:szCs w:val="20"/>
        </w:rPr>
      </w:pPr>
      <w:r>
        <w:rPr>
          <w:rFonts w:cs="Arial"/>
          <w:color w:val="000000"/>
          <w:szCs w:val="20"/>
        </w:rPr>
      </w:r>
    </w:p>
    <w:p>
      <w:pPr>
        <w:pStyle w:val="Normal"/>
        <w:spacing w:lineRule="auto" w:line="276" w:before="120" w:after="120"/>
        <w:jc w:val="both"/>
        <w:rPr>
          <w:rFonts w:cs="Arial"/>
          <w:color w:val="000000" w:themeColor="text1"/>
          <w:szCs w:val="20"/>
        </w:rPr>
      </w:pPr>
      <w:r>
        <w:rPr>
          <w:rFonts w:cs="Arial"/>
          <w:color w:val="000000" w:themeColor="text1"/>
          <w:szCs w:val="20"/>
        </w:rPr>
      </w:r>
    </w:p>
    <w:p>
      <w:pPr>
        <w:pStyle w:val="Normal"/>
        <w:spacing w:lineRule="auto" w:line="276" w:before="120" w:after="120"/>
        <w:ind w:left="1224" w:hanging="0"/>
        <w:jc w:val="both"/>
        <w:rPr>
          <w:rFonts w:cs="Arial"/>
          <w:color w:val="000000" w:themeColor="text1"/>
          <w:szCs w:val="20"/>
        </w:rPr>
      </w:pPr>
      <w:r>
        <w:rPr>
          <w:rFonts w:cs="Arial"/>
          <w:color w:val="000000" w:themeColor="text1"/>
          <w:szCs w:val="20"/>
        </w:rPr>
      </w:r>
    </w:p>
    <w:p>
      <w:pPr>
        <w:pStyle w:val="PADRO"/>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 xml:space="preserve">A apresentação das propostas implica obrigatoriedade do cumprimento das disposições nelas contidas, em conformidade com o que </w:t>
      </w:r>
      <w:r>
        <w:rPr>
          <w:rFonts w:cs="Arial"/>
          <w:color w:val="000000" w:themeColor="text1"/>
          <w:szCs w:val="20"/>
        </w:rPr>
        <w:t xml:space="preserve">dispõe o </w:t>
      </w:r>
      <w:r>
        <w:rPr>
          <w:rFonts w:cs="Arial"/>
          <w:i/>
          <w:color w:val="000000" w:themeColor="text1"/>
          <w:szCs w:val="20"/>
        </w:rPr>
        <w:t>Termo de Referência</w:t>
      </w:r>
      <w:r>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 xml:space="preserve">NÃO </w:t>
      </w:r>
      <w:r>
        <w:rPr>
          <w:rFonts w:cs="Arial"/>
          <w:szCs w:val="20"/>
        </w:rPr>
        <w:t>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também,assinalar “sim” ou “não” em campo </w:t>
      </w:r>
      <w:r>
        <w:rPr>
          <w:rFonts w:cs="Arial"/>
          <w:szCs w:val="20"/>
        </w:rPr>
        <w:t>próprio</w:t>
      </w:r>
      <w:r>
        <w:rPr>
          <w:rFonts w:cs="Arial"/>
          <w:color w:val="000000"/>
          <w:szCs w:val="20"/>
        </w:rPr>
        <w:t xml:space="preserve"> do sistema eletrônico, às seguintes declarações:</w:t>
      </w:r>
    </w:p>
    <w:p>
      <w:pPr>
        <w:pStyle w:val="ListParagraph"/>
        <w:numPr>
          <w:ilvl w:val="0"/>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120" w:after="120"/>
        <w:jc w:val="both"/>
        <w:rPr>
          <w:rFonts w:cs="Arial"/>
          <w:i/>
          <w:i/>
          <w:color w:val="000000" w:themeColor="text1"/>
          <w:szCs w:val="20"/>
        </w:rPr>
      </w:pPr>
      <w:r>
        <w:rPr>
          <w:rFonts w:cs="Arial"/>
          <w:i/>
          <w:color w:val="000000" w:themeColor="text1"/>
          <w:szCs w:val="20"/>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rFonts w:cs="Arial"/>
          <w:i/>
          <w:i/>
          <w:color w:val="000000" w:themeColor="text1"/>
          <w:szCs w:val="20"/>
        </w:rPr>
      </w:pPr>
      <w:r>
        <w:rPr>
          <w:rFonts w:cs="Arial"/>
          <w:i/>
          <w:color w:val="000000" w:themeColor="text1"/>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cs="Arial"/>
          <w:i/>
          <w:i/>
          <w:color w:val="000000" w:themeColor="text1"/>
          <w:szCs w:val="20"/>
        </w:rPr>
      </w:pPr>
      <w:r>
        <w:rPr>
          <w:rFonts w:cs="Arial"/>
          <w:i/>
          <w:color w:val="000000" w:themeColor="text1"/>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cs="Arial"/>
          <w:i/>
          <w:i/>
          <w:color w:val="000000" w:themeColor="text1"/>
          <w:szCs w:val="20"/>
        </w:rPr>
      </w:pPr>
      <w:r>
        <w:rPr>
          <w:rFonts w:cs="Arial"/>
          <w:i/>
          <w:color w:val="000000" w:themeColor="text1"/>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cs="Arial"/>
          <w:i/>
          <w:i/>
          <w:color w:val="000000" w:themeColor="text1"/>
          <w:szCs w:val="20"/>
        </w:rPr>
      </w:pPr>
      <w:r>
        <w:rPr>
          <w:rFonts w:cs="Arial"/>
          <w:i/>
          <w:color w:val="000000" w:themeColor="text1"/>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PADRO"/>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i/>
          <w:iCs/>
          <w:color w:val="000000" w:themeColor="text1"/>
          <w:szCs w:val="20"/>
        </w:rPr>
        <w:t>O lance deverá ser ofertado pelo valor anual/total/unitário do item/lote.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color w:val="FF0000"/>
          <w:szCs w:val="20"/>
        </w:rPr>
        <w:t>........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enão havendo tempo aleatório ou mecanismo similar.</w:t>
      </w:r>
    </w:p>
    <w:p>
      <w:pPr>
        <w:pStyle w:val="PADRO"/>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color w:val="000000" w:themeColor="text1"/>
        </w:rPr>
      </w:pPr>
      <w:r>
        <w:rPr>
          <w:rFonts w:cs="Arial"/>
        </w:rPr>
        <w:t xml:space="preserve">Estando o preço compatível, será solicitado o envio da proposta e, se necessário, de </w:t>
      </w:r>
      <w:r>
        <w:rPr>
          <w:rFonts w:cs="Arial"/>
          <w:color w:val="000000" w:themeColor="text1"/>
        </w:rPr>
        <w:t>documentos complementares, adequada ao último lance.</w:t>
      </w:r>
    </w:p>
    <w:p>
      <w:pPr>
        <w:pStyle w:val="ListParagraph"/>
        <w:numPr>
          <w:ilvl w:val="2"/>
          <w:numId w:val="1"/>
        </w:numPr>
        <w:spacing w:lineRule="auto" w:line="276" w:before="120" w:after="120"/>
        <w:contextualSpacing/>
        <w:jc w:val="both"/>
        <w:rPr>
          <w:rFonts w:cs="Arial"/>
          <w:i/>
          <w:i/>
          <w:iCs/>
          <w:color w:val="000000" w:themeColor="text1"/>
        </w:rPr>
      </w:pPr>
      <w:r>
        <w:rPr>
          <w:rFonts w:cs="Arial"/>
          <w:i/>
          <w:iCs/>
          <w:color w:val="000000" w:themeColor="text1"/>
        </w:rPr>
        <w:t>Além da documentação supracitada, o fornecedor com a melhor proposta deverá encaminhar planilha com indicação de custos unitários e formação de preços, conforme modelo anexo, com os valores adequados à proposta vencedora.</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60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i/>
          <w:i/>
          <w:color w:val="000000" w:themeColor="text1"/>
          <w:szCs w:val="20"/>
          <w:lang w:eastAsia="en-US"/>
        </w:rPr>
      </w:pPr>
      <w:r>
        <w:rPr>
          <w:rFonts w:cs="Arial"/>
          <w:i/>
          <w:color w:val="000000" w:themeColor="text1"/>
          <w:szCs w:val="20"/>
          <w:lang w:eastAsia="en-US"/>
        </w:rPr>
        <w:t>Além das disposições acima, a análise de exequibilidade e sobrepreço considerará o seguinte:</w:t>
      </w:r>
    </w:p>
    <w:p>
      <w:pPr>
        <w:pStyle w:val="ListParagraph"/>
        <w:numPr>
          <w:ilvl w:val="2"/>
          <w:numId w:val="1"/>
        </w:numPr>
        <w:spacing w:lineRule="auto" w:line="276" w:before="120" w:after="120"/>
        <w:ind w:left="1224" w:right="-15" w:hanging="504"/>
        <w:contextualSpacing/>
        <w:jc w:val="both"/>
        <w:rPr>
          <w:rFonts w:cs="Arial"/>
          <w:i/>
          <w:i/>
          <w:color w:val="000000" w:themeColor="text1"/>
          <w:szCs w:val="20"/>
          <w:lang w:eastAsia="en-US"/>
        </w:rPr>
      </w:pPr>
      <w:r>
        <w:rPr>
          <w:rFonts w:cs="Times New Roman"/>
          <w:i/>
          <w:color w:val="000000" w:themeColor="text1"/>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pPr>
        <w:pStyle w:val="ListParagraph"/>
        <w:numPr>
          <w:ilvl w:val="2"/>
          <w:numId w:val="1"/>
        </w:numPr>
        <w:spacing w:lineRule="auto" w:line="276" w:before="120" w:after="120"/>
        <w:ind w:left="1224" w:right="-15" w:hanging="504"/>
        <w:contextualSpacing/>
        <w:jc w:val="both"/>
        <w:rPr>
          <w:rFonts w:cs="Arial"/>
          <w:i/>
          <w:i/>
          <w:color w:val="000000" w:themeColor="text1"/>
          <w:szCs w:val="20"/>
          <w:lang w:eastAsia="en-US"/>
        </w:rPr>
      </w:pPr>
      <w:r>
        <w:rPr>
          <w:i/>
          <w:color w:val="000000" w:themeColor="text1"/>
        </w:rPr>
        <w:t>serão consideradas inexequíveis as propostas cujos valores forem inferiores a 75% (setenta e cinco por cento) do valor orçado pela Administração.</w:t>
      </w:r>
    </w:p>
    <w:p>
      <w:pPr>
        <w:pStyle w:val="ListParagraph"/>
        <w:numPr>
          <w:ilvl w:val="2"/>
          <w:numId w:val="1"/>
        </w:numPr>
        <w:spacing w:lineRule="auto" w:line="276" w:before="120" w:after="120"/>
        <w:ind w:left="1224" w:right="-15" w:hanging="504"/>
        <w:contextualSpacing/>
        <w:jc w:val="both"/>
        <w:rPr>
          <w:rFonts w:cs="Arial"/>
          <w:i/>
          <w:i/>
          <w:color w:val="000000" w:themeColor="text1"/>
          <w:szCs w:val="20"/>
          <w:lang w:eastAsia="en-US"/>
        </w:rPr>
      </w:pPr>
      <w:r>
        <w:rPr>
          <w:i/>
          <w:color w:val="000000" w:themeColor="text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pPr>
        <w:pStyle w:val="PADRO"/>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contextualSpacing/>
        <w:jc w:val="both"/>
        <w:rPr/>
      </w:pPr>
      <w:r>
        <w:rPr>
          <w:rFonts w:cs="Arial"/>
          <w:szCs w:val="20"/>
          <w:lang w:eastAsia="ar-SA"/>
        </w:rPr>
        <w:t>b) Cadastro Nacional de Empresas Inidôneas e Suspensas - CEIS, mantido pela Controladoria-Geral da União (</w:t>
      </w:r>
      <w:hyperlink r:id="rId3">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contextualSpacing/>
        <w:jc w:val="both"/>
        <w:rPr/>
      </w:pPr>
      <w:r>
        <w:rPr>
          <w:rFonts w:cs="Arial"/>
          <w:szCs w:val="20"/>
          <w:lang w:eastAsia="ar-SA"/>
        </w:rPr>
        <w:t>c) Cadastro Nacional de Condenações Cíveis por Atos de Improbidade Administrativa, mantido pelo Conselho Nacional de Justiça (</w:t>
      </w:r>
      <w:hyperlink r:id="rId4">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themeColor="text1"/>
          <w:szCs w:val="20"/>
        </w:rPr>
      </w:pPr>
      <w:r>
        <w:rPr>
          <w:rFonts w:eastAsia="Arial" w:cs="Arial"/>
          <w:color w:val="000000"/>
          <w:szCs w:val="20"/>
        </w:rPr>
        <w:t xml:space="preserve">O adjudicatário terá o prazo de 5 </w:t>
      </w:r>
      <w:r>
        <w:rPr>
          <w:rFonts w:eastAsia="Arial" w:cs="Arial"/>
          <w:color w:val="000000" w:themeColor="text1"/>
          <w:szCs w:val="20"/>
        </w:rPr>
        <w:t xml:space="preserve">(cinco) dias úteis, contados a partir da data de sua convocação, para assinar o Termo de Contrato ou aceitar instrumento equivalente,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szCs w:val="20"/>
        </w:rPr>
        <w:t>O prazo previsto para assinatura do contrato ou aceitação da nota de empenho ou instrumento equivalente poderá ser prorrogado</w:t>
      </w:r>
      <w:r>
        <w:rPr>
          <w:rFonts w:cs="Times New Roman"/>
          <w:bCs/>
        </w:rPr>
        <w:t>1 (uma) vez</w:t>
      </w:r>
      <w:r>
        <w:rPr>
          <w:rFonts w:eastAsia="Arial" w:cs="Arial"/>
          <w:szCs w:val="20"/>
        </w:rPr>
        <w:t xml:space="preserve">, </w:t>
      </w:r>
      <w:r>
        <w:rPr>
          <w:rFonts w:eastAsia="Arial" w:cs="Arial"/>
          <w:color w:val="000000"/>
          <w:szCs w:val="20"/>
        </w:rPr>
        <w:t xml:space="preserve">por igual período, </w:t>
      </w:r>
      <w:r>
        <w:rPr>
          <w:rFonts w:eastAsia="Arial" w:cs="Arial"/>
          <w:color w:val="000000" w:themeColor="text1"/>
          <w:szCs w:val="20"/>
        </w:rPr>
        <w:t>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000000" w:themeColor="text1"/>
          <w:szCs w:val="20"/>
        </w:rPr>
      </w:pPr>
      <w:r>
        <w:rPr>
          <w:rFonts w:eastAsia="Arial" w:cs="Arial"/>
          <w:i/>
          <w:color w:val="000000" w:themeColor="text1"/>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000000" w:themeColor="text1"/>
          <w:szCs w:val="20"/>
        </w:rPr>
      </w:pPr>
      <w:r>
        <w:rPr>
          <w:rFonts w:eastAsia="Arial" w:cs="Arial"/>
          <w:i/>
          <w:color w:val="000000" w:themeColor="text1"/>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000000" w:themeColor="text1"/>
          <w:szCs w:val="20"/>
        </w:rPr>
      </w:pPr>
      <w:r>
        <w:rPr>
          <w:rFonts w:eastAsia="Arial" w:cs="Arial"/>
          <w:i/>
          <w:color w:val="000000" w:themeColor="text1"/>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000000" w:themeColor="text1"/>
          <w:szCs w:val="20"/>
        </w:rPr>
      </w:pPr>
      <w:r>
        <w:rPr>
          <w:rFonts w:eastAsia="Arial" w:cs="Arial"/>
          <w:i/>
          <w:color w:val="000000" w:themeColor="text1"/>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de 30 (trinta prorrogável conforme previsão nos anexos a este Aviso de Contratação Direta.</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instrText> HYPERLINK "http://www.planalto.gov.br/ccivil_03/_Ato2011-2014/2013/Lei/L12846.htm" \l "art5"</w:instrText>
      </w:r>
      <w:r>
        <w:fldChar w:fldCharType="separate"/>
      </w:r>
      <w:r>
        <w:rPr>
          <w:rStyle w:val="LinkdaInternet"/>
          <w:color w:val="000000"/>
        </w:rPr>
        <w:t>art. 5º da Lei nº 12.846, de 1º de agosto de 2013.</w:t>
      </w:r>
      <w: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Direta,quando não se justificar a imposição de penalidade mais grave;</w:t>
      </w:r>
    </w:p>
    <w:p>
      <w:pPr>
        <w:pStyle w:val="Normal"/>
        <w:numPr>
          <w:ilvl w:val="2"/>
          <w:numId w:val="5"/>
        </w:numPr>
        <w:spacing w:lineRule="auto" w:line="276" w:before="120" w:after="120"/>
        <w:jc w:val="both"/>
        <w:rPr>
          <w:rFonts w:cs="Arial"/>
        </w:rPr>
      </w:pPr>
      <w:r>
        <w:rPr>
          <w:rFonts w:cs="Arial"/>
        </w:rPr>
        <w:t>Multa de 10</w:t>
      </w:r>
      <w:r>
        <w:rPr>
          <w:rFonts w:cs="Arial"/>
          <w:color w:val="000000" w:themeColor="text1"/>
        </w:rPr>
        <w:t xml:space="preserve">%(dez por cento) </w:t>
      </w:r>
      <w:r>
        <w:rPr>
          <w:rFonts w:cs="Arial"/>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1" w:name="art156§8"/>
      <w:bookmarkStart w:id="2" w:name="art156§7"/>
      <w:bookmarkStart w:id="3" w:name="art156§6"/>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4" w:name="art156§9"/>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republicaro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szCs w:val="20"/>
        </w:rPr>
      </w:pPr>
      <w:r>
        <w:rPr>
          <w:rFonts w:cs="Arial"/>
          <w:szCs w:val="20"/>
        </w:rPr>
        <w:t>ANEXO I – Documentação exigida para Habilitação</w:t>
      </w:r>
    </w:p>
    <w:p>
      <w:pPr>
        <w:pStyle w:val="Normal"/>
        <w:numPr>
          <w:ilvl w:val="2"/>
          <w:numId w:val="1"/>
        </w:numPr>
        <w:spacing w:lineRule="auto" w:line="276" w:before="120" w:after="120"/>
        <w:jc w:val="both"/>
        <w:rPr>
          <w:rFonts w:cs="Arial"/>
          <w:szCs w:val="20"/>
        </w:rPr>
      </w:pPr>
      <w:r>
        <w:rPr>
          <w:rFonts w:cs="Arial"/>
          <w:szCs w:val="20"/>
        </w:rPr>
        <w:t>ANEXO II - Termo de Referência;</w:t>
      </w:r>
    </w:p>
    <w:p>
      <w:pPr>
        <w:pStyle w:val="Normal"/>
        <w:numPr>
          <w:ilvl w:val="3"/>
          <w:numId w:val="1"/>
        </w:numPr>
        <w:spacing w:lineRule="auto" w:line="276" w:before="120" w:after="120"/>
        <w:jc w:val="both"/>
        <w:rPr>
          <w:rFonts w:cs="Arial"/>
          <w:i/>
          <w:i/>
          <w:iCs/>
          <w:szCs w:val="20"/>
        </w:rPr>
      </w:pPr>
      <w:r>
        <w:rPr>
          <w:rFonts w:cs="Arial"/>
          <w:i/>
          <w:iCs/>
          <w:szCs w:val="20"/>
        </w:rPr>
        <w:t>ANEXO II – Estudo Técnico Preliminar</w:t>
      </w:r>
    </w:p>
    <w:p>
      <w:pPr>
        <w:pStyle w:val="Normal"/>
        <w:numPr>
          <w:ilvl w:val="2"/>
          <w:numId w:val="1"/>
        </w:numPr>
        <w:spacing w:lineRule="auto" w:line="276" w:before="120" w:after="120"/>
        <w:jc w:val="both"/>
        <w:rPr>
          <w:rFonts w:cs="Arial"/>
          <w:i/>
          <w:i/>
          <w:iCs/>
          <w:szCs w:val="20"/>
        </w:rPr>
      </w:pPr>
      <w:r>
        <w:rPr>
          <w:rFonts w:cs="Arial"/>
          <w:i/>
          <w:iCs/>
          <w:szCs w:val="20"/>
        </w:rPr>
        <w:t>ANEXO III – Minuta de Termo de Contrato;</w:t>
      </w:r>
    </w:p>
    <w:p>
      <w:pPr>
        <w:pStyle w:val="Normal"/>
        <w:numPr>
          <w:ilvl w:val="2"/>
          <w:numId w:val="1"/>
        </w:numPr>
        <w:spacing w:lineRule="auto" w:line="276" w:before="120" w:after="120"/>
        <w:jc w:val="both"/>
        <w:rPr>
          <w:rFonts w:cs="Arial"/>
          <w:i/>
          <w:i/>
          <w:iCs/>
          <w:szCs w:val="20"/>
        </w:rPr>
      </w:pPr>
      <w:r>
        <w:rPr>
          <w:rFonts w:cs="Arial"/>
          <w:i/>
          <w:iCs/>
          <w:szCs w:val="20"/>
        </w:rPr>
        <w:t>ANEXO IV - Planilha de Custos e Formação de Preços;</w:t>
      </w:r>
    </w:p>
    <w:p>
      <w:pPr>
        <w:pStyle w:val="Normal"/>
        <w:numPr>
          <w:ilvl w:val="2"/>
          <w:numId w:val="1"/>
        </w:numPr>
        <w:spacing w:lineRule="auto" w:line="276" w:before="120" w:after="120"/>
        <w:jc w:val="both"/>
        <w:rPr>
          <w:rFonts w:cs="Arial"/>
          <w:i/>
          <w:i/>
          <w:iCs/>
          <w:szCs w:val="20"/>
        </w:rPr>
      </w:pPr>
      <w:r>
        <w:rPr>
          <w:rFonts w:cs="Arial"/>
          <w:i/>
          <w:iCs/>
          <w:szCs w:val="20"/>
        </w:rPr>
        <w:t>ANEXO V – Documento de Formalização da Demanda; e</w:t>
      </w:r>
    </w:p>
    <w:p>
      <w:pPr>
        <w:pStyle w:val="Normal"/>
        <w:numPr>
          <w:ilvl w:val="2"/>
          <w:numId w:val="1"/>
        </w:numPr>
        <w:spacing w:lineRule="auto" w:line="276" w:before="120" w:after="120"/>
        <w:jc w:val="both"/>
        <w:rPr>
          <w:rFonts w:cs="Arial"/>
          <w:i/>
          <w:i/>
          <w:iCs/>
          <w:szCs w:val="20"/>
        </w:rPr>
      </w:pPr>
      <w:r>
        <w:rPr>
          <w:rFonts w:cs="Arial"/>
          <w:i/>
          <w:iCs/>
          <w:szCs w:val="20"/>
        </w:rPr>
        <w:t>ANEXO VI – Gerenciamento de Riscos.</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t>........................................... , ......... de ................................. de 20.....</w:t>
      </w:r>
    </w:p>
    <w:p>
      <w:pPr>
        <w:pStyle w:val="Normal"/>
        <w:spacing w:lineRule="auto" w:line="276"/>
        <w:jc w:val="both"/>
        <w:rPr>
          <w:rFonts w:cs="Arial"/>
          <w:szCs w:val="20"/>
        </w:rPr>
      </w:pPr>
      <w:r>
        <w:rPr>
          <w:rFonts w:cs="Arial"/>
          <w:b/>
          <w:bCs/>
          <w:iCs/>
          <w:color w:val="000000"/>
          <w:szCs w:val="20"/>
        </w:rPr>
        <w:t>Assinatura da autoridade competente</w:t>
      </w:r>
    </w:p>
    <w:p>
      <w:pPr>
        <w:pStyle w:val="Normal"/>
        <w:rPr>
          <w:rFonts w:cs="Arial"/>
          <w:lang w:eastAsia="en-US"/>
        </w:rPr>
      </w:pPr>
      <w:r>
        <w:rPr>
          <w:rFonts w:cs="Arial"/>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PADRO"/>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Habilitação jurídica: </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Normal"/>
        <w:tabs>
          <w:tab w:val="left" w:pos="1440" w:leader="none"/>
        </w:tabs>
        <w:snapToGrid w:val="false"/>
        <w:spacing w:lineRule="auto" w:line="276" w:before="120" w:after="120"/>
        <w:ind w:left="927" w:hanging="0"/>
        <w:jc w:val="both"/>
        <w:rPr>
          <w:rFonts w:eastAsia="Arial" w:cs="Arial"/>
          <w:color w:val="000000"/>
          <w:szCs w:val="20"/>
        </w:rPr>
      </w:pPr>
      <w:r>
        <w:rPr>
          <w:rFonts w:eastAsia="Arial" w:cs="Arial"/>
          <w:color w:val="000000"/>
          <w:szCs w:val="20"/>
        </w:rPr>
      </w:r>
    </w:p>
    <w:p>
      <w:pPr>
        <w:pStyle w:val="ListParagraph"/>
        <w:numPr>
          <w:ilvl w:val="1"/>
          <w:numId w:val="3"/>
        </w:numPr>
        <w:spacing w:lineRule="auto" w:line="276" w:before="120" w:after="12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PADRO"/>
        <w:widowControl/>
        <w:numPr>
          <w:ilvl w:val="0"/>
          <w:numId w:val="3"/>
        </w:numPr>
        <w:shd w:val="clear" w:fill="FFFFFF"/>
        <w:spacing w:before="120" w:after="120"/>
        <w:rPr>
          <w:rFonts w:ascii="Arial" w:hAnsi="Arial" w:cs="Arial"/>
          <w:szCs w:val="20"/>
        </w:rPr>
      </w:pPr>
      <w:r>
        <w:rPr>
          <w:rFonts w:cs="Arial" w:ascii="Arial" w:hAnsi="Arial"/>
          <w:b/>
          <w:bCs/>
          <w:color w:val="00000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 xml:space="preserve">inscrição no cadastro de contribuintes </w:t>
      </w:r>
      <w:r>
        <w:rPr>
          <w:rFonts w:cs="Arial"/>
          <w:iCs/>
          <w:color w:val="000000" w:themeColor="text1"/>
          <w:szCs w:val="20"/>
        </w:rPr>
        <w:t>estadual e/ou municipal</w:t>
      </w:r>
      <w:r>
        <w:rPr>
          <w:rFonts w:cs="Arial"/>
          <w:color w:val="000000" w:themeColor="text1"/>
          <w:szCs w:val="20"/>
        </w:rPr>
        <w:t>,</w:t>
      </w:r>
      <w:r>
        <w:rPr>
          <w:rFonts w:cs="Arial"/>
          <w:color w:val="000000"/>
          <w:szCs w:val="20"/>
        </w:rPr>
        <w:t xml:space="preserve"> relativo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prova de regularidade com a Fazenda Estadual e/ou </w:t>
      </w:r>
      <w:r>
        <w:rPr>
          <w:rFonts w:cs="Arial"/>
          <w:i/>
          <w:iCs/>
          <w:color w:val="000000" w:themeColor="text1"/>
          <w:szCs w:val="20"/>
        </w:rPr>
        <w:t>Municipal</w:t>
      </w:r>
      <w:r>
        <w:rPr>
          <w:rFonts w:cs="Arial"/>
          <w:szCs w:val="20"/>
        </w:rPr>
        <w:t xml:space="preserve">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caso o fornecedor seja considerado isento dos tributos </w:t>
      </w:r>
      <w:r>
        <w:rPr>
          <w:rFonts w:cs="Arial"/>
          <w:color w:val="000000" w:themeColor="text1"/>
          <w:szCs w:val="20"/>
        </w:rPr>
        <w:t>estaduais ou municipaisr</w:t>
      </w:r>
      <w:r>
        <w:rPr>
          <w:rFonts w:cs="Arial"/>
          <w:szCs w:val="20"/>
        </w:rPr>
        <w:t xml:space="preserve">elacionados ao objeto contratual, deverá comprovar tal condição mediante a apresentação de declaração da Fazenda respectiva do seu domicílio ou sede, ou outra equivalente, na forma da lei; </w:t>
      </w:r>
    </w:p>
    <w:p>
      <w:pPr>
        <w:pStyle w:val="PADRO"/>
        <w:widowControl/>
        <w:numPr>
          <w:ilvl w:val="0"/>
          <w:numId w:val="3"/>
        </w:numPr>
        <w:shd w:val="clear" w:fill="FFFFFF"/>
        <w:spacing w:before="120" w:after="120"/>
        <w:rPr>
          <w:rFonts w:ascii="Arial" w:hAnsi="Arial" w:cs="Arial"/>
          <w:szCs w:val="20"/>
        </w:rPr>
      </w:pPr>
      <w:r>
        <w:rPr>
          <w:rFonts w:cs="Arial" w:ascii="Arial" w:hAnsi="Arial"/>
          <w:b/>
          <w:color w:val="000000"/>
          <w:szCs w:val="20"/>
        </w:rPr>
        <w:t>Qualificação Econômico-Financeira:</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ormal"/>
        <w:spacing w:lineRule="auto" w:line="276" w:before="120" w:after="120"/>
        <w:jc w:val="both"/>
        <w:rPr>
          <w:rFonts w:cs="Arial"/>
          <w:color w:val="000000"/>
          <w:szCs w:val="20"/>
        </w:rPr>
      </w:pPr>
      <w:r>
        <w:rPr>
          <w:rFonts w:cs="Arial"/>
          <w:color w:val="000000"/>
          <w:szCs w:val="20"/>
        </w:rPr>
      </w:r>
    </w:p>
    <w:p>
      <w:pPr>
        <w:pStyle w:val="Normal"/>
        <w:spacing w:lineRule="auto" w:line="276" w:before="120" w:after="120"/>
        <w:jc w:val="both"/>
        <w:rPr>
          <w:rFonts w:cs="Arial"/>
          <w:color w:val="000000"/>
          <w:szCs w:val="20"/>
        </w:rPr>
      </w:pPr>
      <w:r>
        <w:rPr>
          <w:rFonts w:cs="Arial"/>
          <w:color w:val="000000"/>
          <w:szCs w:val="20"/>
        </w:rPr>
      </w:r>
    </w:p>
    <w:p>
      <w:pPr>
        <w:pStyle w:val="Normal"/>
        <w:spacing w:lineRule="auto" w:line="276" w:before="120" w:after="120"/>
        <w:jc w:val="both"/>
        <w:rPr>
          <w:rFonts w:cs="Arial"/>
          <w:color w:val="000000"/>
          <w:szCs w:val="20"/>
        </w:rPr>
      </w:pPr>
      <w:r>
        <w:rPr>
          <w:rFonts w:cs="Arial"/>
          <w:color w:val="000000"/>
          <w:szCs w:val="20"/>
        </w:rPr>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p>
      <w:pPr>
        <w:pStyle w:val="Normal"/>
        <w:tabs>
          <w:tab w:val="left" w:pos="1440" w:leader="none"/>
        </w:tabs>
        <w:snapToGrid w:val="false"/>
        <w:spacing w:lineRule="auto" w:line="276" w:before="120" w:after="120"/>
        <w:ind w:left="927" w:hanging="0"/>
        <w:jc w:val="both"/>
        <w:rPr>
          <w:rFonts w:cs="Arial"/>
          <w:color w:val="000000"/>
          <w:szCs w:val="20"/>
        </w:rPr>
      </w:pPr>
      <w:r>
        <w:rPr>
          <w:rFonts w:cs="Arial"/>
          <w:color w:val="000000"/>
          <w:szCs w:val="20"/>
        </w:rPr>
      </w:r>
    </w:p>
    <w:tbl>
      <w:tblPr>
        <w:tblStyle w:val="Tabelacomgrade"/>
        <w:tblW w:w="6487" w:type="dxa"/>
        <w:jc w:val="left"/>
        <w:tblInd w:w="1134" w:type="dxa"/>
        <w:tblCellMar>
          <w:top w:w="0" w:type="dxa"/>
          <w:left w:w="118" w:type="dxa"/>
          <w:bottom w:w="0" w:type="dxa"/>
          <w:right w:w="108" w:type="dxa"/>
        </w:tblCellMar>
        <w:tblLook w:val="04a0"/>
      </w:tblPr>
      <w:tblGrid>
        <w:gridCol w:w="2234"/>
        <w:gridCol w:w="4252"/>
      </w:tblGrid>
      <w:tr>
        <w:trPr/>
        <w:tc>
          <w:tcPr>
            <w:tcW w:w="2234" w:type="dxa"/>
            <w:vMerge w:val="restart"/>
            <w:tcBorders>
              <w:top w:val="nil"/>
              <w:left w:val="nil"/>
              <w:bottom w:val="nil"/>
              <w:right w:val="nil"/>
              <w:insideH w:val="nil"/>
              <w:insideV w:val="nil"/>
            </w:tcBorders>
            <w:shd w:color="auto" w:fill="auto" w:val="clear"/>
            <w:vAlign w:val="center"/>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LG =</w:t>
            </w:r>
          </w:p>
        </w:tc>
        <w:tc>
          <w:tcPr>
            <w:tcW w:w="4252" w:type="dxa"/>
            <w:tcBorders>
              <w:top w:val="nil"/>
              <w:left w:val="nil"/>
              <w:right w:val="nil"/>
              <w:insideV w:val="nil"/>
            </w:tcBorders>
            <w:shd w:color="auto" w:fill="auto" w:val="clear"/>
            <w:vAlign w:val="bottom"/>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Ativo Circulante + Realizável a Longo Prazo</w:t>
            </w:r>
          </w:p>
        </w:tc>
      </w:tr>
      <w:tr>
        <w:trPr/>
        <w:tc>
          <w:tcPr>
            <w:tcW w:w="2234" w:type="dxa"/>
            <w:vMerge w:val="continue"/>
            <w:tcBorders>
              <w:top w:val="nil"/>
              <w:left w:val="nil"/>
              <w:bottom w:val="nil"/>
              <w:right w:val="nil"/>
              <w:insideH w:val="nil"/>
              <w:insideV w:val="nil"/>
            </w:tcBorders>
            <w:shd w:color="auto" w:fill="auto" w:val="clear"/>
          </w:tcPr>
          <w:p>
            <w:pPr>
              <w:pStyle w:val="Normal"/>
              <w:tabs>
                <w:tab w:val="left" w:pos="1440" w:leader="none"/>
              </w:tabs>
              <w:snapToGrid w:val="false"/>
              <w:spacing w:lineRule="auto" w:line="276"/>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252" w:type="dxa"/>
            <w:tcBorders>
              <w:top w:val="nil"/>
              <w:left w:val="nil"/>
              <w:bottom w:val="nil"/>
              <w:right w:val="nil"/>
              <w:insideH w:val="nil"/>
              <w:insideV w:val="nil"/>
            </w:tcBorders>
            <w:shd w:color="auto" w:fill="auto" w:val="clear"/>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134" w:type="dxa"/>
        <w:tblCellMar>
          <w:top w:w="0" w:type="dxa"/>
          <w:left w:w="118" w:type="dxa"/>
          <w:bottom w:w="0" w:type="dxa"/>
          <w:right w:w="108" w:type="dxa"/>
        </w:tblCellMar>
        <w:tblLook w:val="04a0"/>
      </w:tblPr>
      <w:tblGrid>
        <w:gridCol w:w="2233"/>
        <w:gridCol w:w="4395"/>
      </w:tblGrid>
      <w:tr>
        <w:trPr>
          <w:cantSplit w:val="true"/>
        </w:trPr>
        <w:tc>
          <w:tcPr>
            <w:tcW w:w="2233" w:type="dxa"/>
            <w:vMerge w:val="restart"/>
            <w:tcBorders>
              <w:top w:val="nil"/>
              <w:left w:val="nil"/>
              <w:bottom w:val="nil"/>
              <w:right w:val="nil"/>
              <w:insideH w:val="nil"/>
              <w:insideV w:val="nil"/>
            </w:tcBorders>
            <w:shd w:color="auto" w:fill="auto" w:val="clear"/>
            <w:vAlign w:val="center"/>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SG =</w:t>
            </w:r>
          </w:p>
        </w:tc>
        <w:tc>
          <w:tcPr>
            <w:tcW w:w="4395" w:type="dxa"/>
            <w:tcBorders>
              <w:top w:val="nil"/>
              <w:left w:val="nil"/>
              <w:right w:val="nil"/>
              <w:insideV w:val="nil"/>
            </w:tcBorders>
            <w:shd w:color="auto" w:fill="auto" w:val="clear"/>
            <w:vAlign w:val="bottom"/>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Ativo Total</w:t>
            </w:r>
          </w:p>
        </w:tc>
      </w:tr>
      <w:tr>
        <w:trPr>
          <w:cantSplit w:val="true"/>
        </w:trPr>
        <w:tc>
          <w:tcPr>
            <w:tcW w:w="2233" w:type="dxa"/>
            <w:vMerge w:val="continue"/>
            <w:tcBorders>
              <w:top w:val="nil"/>
              <w:left w:val="nil"/>
              <w:bottom w:val="nil"/>
              <w:right w:val="nil"/>
              <w:insideH w:val="nil"/>
              <w:insideV w:val="nil"/>
            </w:tcBorders>
            <w:shd w:color="auto" w:fill="auto" w:val="clear"/>
          </w:tcPr>
          <w:p>
            <w:pPr>
              <w:pStyle w:val="Normal"/>
              <w:tabs>
                <w:tab w:val="left" w:pos="1440" w:leader="none"/>
              </w:tabs>
              <w:snapToGrid w:val="false"/>
              <w:spacing w:lineRule="auto" w:line="276"/>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395" w:type="dxa"/>
            <w:tcBorders>
              <w:top w:val="nil"/>
              <w:left w:val="nil"/>
              <w:bottom w:val="nil"/>
              <w:right w:val="nil"/>
              <w:insideH w:val="nil"/>
              <w:insideV w:val="nil"/>
            </w:tcBorders>
            <w:shd w:color="auto" w:fill="auto" w:val="clear"/>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134" w:type="dxa"/>
        <w:tblCellMar>
          <w:top w:w="0" w:type="dxa"/>
          <w:left w:w="118" w:type="dxa"/>
          <w:bottom w:w="0" w:type="dxa"/>
          <w:right w:w="108" w:type="dxa"/>
        </w:tblCellMar>
        <w:tblLook w:val="04a0"/>
      </w:tblPr>
      <w:tblGrid>
        <w:gridCol w:w="2235"/>
        <w:gridCol w:w="2550"/>
      </w:tblGrid>
      <w:tr>
        <w:trPr/>
        <w:tc>
          <w:tcPr>
            <w:tcW w:w="2235" w:type="dxa"/>
            <w:vMerge w:val="restart"/>
            <w:tcBorders>
              <w:top w:val="nil"/>
              <w:left w:val="nil"/>
              <w:bottom w:val="nil"/>
              <w:right w:val="nil"/>
              <w:insideH w:val="nil"/>
              <w:insideV w:val="nil"/>
            </w:tcBorders>
            <w:shd w:color="auto" w:fill="auto" w:val="clear"/>
            <w:vAlign w:val="center"/>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LC =</w:t>
            </w:r>
          </w:p>
        </w:tc>
        <w:tc>
          <w:tcPr>
            <w:tcW w:w="2550" w:type="dxa"/>
            <w:tcBorders>
              <w:top w:val="nil"/>
              <w:left w:val="nil"/>
              <w:right w:val="nil"/>
              <w:insideV w:val="nil"/>
            </w:tcBorders>
            <w:shd w:color="auto" w:fill="auto" w:val="clear"/>
            <w:vAlign w:val="bottom"/>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Ativo Circulante</w:t>
            </w:r>
          </w:p>
        </w:tc>
      </w:tr>
      <w:tr>
        <w:trPr/>
        <w:tc>
          <w:tcPr>
            <w:tcW w:w="2235" w:type="dxa"/>
            <w:vMerge w:val="continue"/>
            <w:tcBorders>
              <w:top w:val="nil"/>
              <w:left w:val="nil"/>
              <w:bottom w:val="nil"/>
              <w:right w:val="nil"/>
              <w:insideH w:val="nil"/>
              <w:insideV w:val="nil"/>
            </w:tcBorders>
            <w:shd w:color="auto" w:fill="auto" w:val="clear"/>
          </w:tcPr>
          <w:p>
            <w:pPr>
              <w:pStyle w:val="Normal"/>
              <w:tabs>
                <w:tab w:val="left" w:pos="1440" w:leader="none"/>
              </w:tabs>
              <w:snapToGrid w:val="false"/>
              <w:spacing w:lineRule="auto" w:line="276"/>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2550" w:type="dxa"/>
            <w:tcBorders>
              <w:top w:val="nil"/>
              <w:left w:val="nil"/>
              <w:bottom w:val="nil"/>
              <w:right w:val="nil"/>
              <w:insideH w:val="nil"/>
              <w:insideV w:val="nil"/>
            </w:tcBorders>
            <w:shd w:color="auto" w:fill="auto" w:val="clear"/>
          </w:tcPr>
          <w:p>
            <w:pPr>
              <w:pStyle w:val="Normal"/>
              <w:tabs>
                <w:tab w:val="left" w:pos="1440" w:leader="none"/>
              </w:tabs>
              <w:snapToGrid w:val="false"/>
              <w:spacing w:lineRule="auto" w:line="276"/>
              <w:jc w:val="both"/>
              <w:rPr>
                <w:rFonts w:cs="Arial"/>
                <w:color w:val="000000"/>
                <w:szCs w:val="20"/>
              </w:rPr>
            </w:pPr>
            <w:r>
              <w:rPr>
                <w:rFonts w:eastAsia="" w:cs="Arial" w:ascii="Times New Roman" w:hAnsi="Times New Roman"/>
                <w:color w:val="000000"/>
                <w:szCs w:val="20"/>
              </w:rPr>
              <w:t>Passivo Circulante</w:t>
            </w:r>
          </w:p>
        </w:tc>
      </w:tr>
    </w:tbl>
    <w:p>
      <w:pPr>
        <w:pStyle w:val="Normal"/>
        <w:numPr>
          <w:ilvl w:val="2"/>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iCs/>
          <w:color w:val="000000" w:themeColor="text1"/>
          <w:szCs w:val="20"/>
        </w:rPr>
        <w:t>50%.(Cinquenta por cento)</w:t>
      </w:r>
      <w:r>
        <w:rPr>
          <w:rFonts w:cs="Arial"/>
          <w:color w:val="000000"/>
          <w:szCs w:val="20"/>
        </w:rPr>
        <w:t xml:space="preserve">do valor total estimado da contratação ou do item pertinente. </w:t>
      </w:r>
    </w:p>
    <w:p>
      <w:pPr>
        <w:pStyle w:val="PADRO"/>
        <w:widowControl/>
        <w:numPr>
          <w:ilvl w:val="0"/>
          <w:numId w:val="3"/>
        </w:numPr>
        <w:shd w:val="clear" w:fill="FFFFFF"/>
        <w:spacing w:before="120" w:after="120"/>
        <w:rPr>
          <w:rFonts w:ascii="Arial" w:hAnsi="Arial" w:cs="Arial"/>
          <w:b/>
          <w:b/>
        </w:rPr>
      </w:pPr>
      <w:r>
        <w:rPr>
          <w:rFonts w:cs="Arial" w:ascii="Arial" w:hAnsi="Arial"/>
          <w:b/>
          <w:color w:val="000000"/>
          <w:szCs w:val="20"/>
        </w:rPr>
        <w:t>Qualificação</w:t>
      </w:r>
      <w:r>
        <w:rPr>
          <w:rFonts w:cs="Arial" w:ascii="Arial" w:hAnsi="Arial"/>
          <w:b/>
        </w:rPr>
        <w:t xml:space="preserve"> Técnica</w:t>
      </w:r>
    </w:p>
    <w:p>
      <w:pPr>
        <w:pStyle w:val="PADRO"/>
        <w:widowControl/>
        <w:numPr>
          <w:ilvl w:val="1"/>
          <w:numId w:val="3"/>
        </w:numPr>
        <w:shd w:val="clear" w:fill="FFFFFF"/>
        <w:spacing w:before="120" w:after="120"/>
        <w:rPr>
          <w:rFonts w:ascii="Arial" w:hAnsi="Arial" w:cs="Arial"/>
          <w:iCs/>
          <w:color w:val="000000" w:themeColor="text1"/>
        </w:rPr>
      </w:pPr>
      <w:r>
        <w:rPr>
          <w:rFonts w:cs="Arial" w:ascii="Arial" w:hAnsi="Arial"/>
          <w:iCs/>
          <w:color w:val="000000" w:themeColor="text1"/>
        </w:rPr>
        <w:t xml:space="preserve">Registro ou inscrição </w:t>
      </w:r>
      <w:r>
        <w:rPr>
          <w:rFonts w:cs="Arial" w:ascii="Arial" w:hAnsi="Arial"/>
          <w:iCs/>
          <w:color w:val="000000" w:themeColor="text1"/>
          <w:szCs w:val="20"/>
        </w:rPr>
        <w:t>da</w:t>
      </w:r>
      <w:r>
        <w:rPr>
          <w:rFonts w:cs="Arial" w:ascii="Arial" w:hAnsi="Arial"/>
          <w:iCs/>
          <w:color w:val="000000" w:themeColor="text1"/>
        </w:rPr>
        <w:t xml:space="preserve"> empresa no Conselho regional de Engenharia (CREA) em plena validade;</w:t>
      </w:r>
    </w:p>
    <w:p>
      <w:pPr>
        <w:pStyle w:val="PADRO"/>
        <w:widowControl/>
        <w:numPr>
          <w:ilvl w:val="1"/>
          <w:numId w:val="3"/>
        </w:numPr>
        <w:shd w:val="clear" w:fill="FFFFFF"/>
        <w:spacing w:before="120" w:after="120"/>
        <w:rPr>
          <w:rFonts w:ascii="Arial" w:hAnsi="Arial" w:cs="Arial"/>
          <w:bCs/>
          <w:color w:val="000000"/>
          <w:szCs w:val="20"/>
        </w:rPr>
      </w:pPr>
      <w:r>
        <w:rPr>
          <w:rFonts w:cs="Arial" w:ascii="Arial" w:hAnsi="Arial"/>
          <w:color w:val="000000"/>
          <w:szCs w:val="20"/>
        </w:rPr>
        <w:t xml:space="preserve">Comprovação de aptidão para a prestação dos serviços em características, quantidades e prazos </w:t>
      </w:r>
      <w:r>
        <w:rPr>
          <w:rFonts w:cs="Arial" w:ascii="Arial" w:hAnsi="Arial"/>
          <w:szCs w:val="20"/>
        </w:rPr>
        <w:t>compatíveis</w:t>
      </w:r>
      <w:r>
        <w:rPr>
          <w:rFonts w:cs="Arial" w:ascii="Arial" w:hAnsi="Arial"/>
          <w:color w:val="000000"/>
          <w:szCs w:val="20"/>
        </w:rPr>
        <w:t xml:space="preserve"> com o objeto desta dispensa, ou com o item pertinente, mediante a apresentação de atestado(s) fornecido(s) por pessoas jurídicas de direito público ou privado. </w:t>
      </w:r>
    </w:p>
    <w:p>
      <w:pPr>
        <w:pStyle w:val="PADRO"/>
        <w:widowControl/>
        <w:numPr>
          <w:ilvl w:val="2"/>
          <w:numId w:val="3"/>
        </w:numPr>
        <w:shd w:val="clear" w:fill="FFFFFF"/>
        <w:spacing w:before="120" w:after="120"/>
        <w:rPr>
          <w:rFonts w:ascii="Arial" w:hAnsi="Arial" w:cs="Arial"/>
          <w:bCs/>
          <w:color w:val="000000"/>
          <w:szCs w:val="20"/>
        </w:rPr>
      </w:pPr>
      <w:r>
        <w:rPr>
          <w:rFonts w:cs="Arial" w:ascii="Arial" w:hAnsi="Arial"/>
          <w:color w:val="000000"/>
          <w:szCs w:val="20"/>
        </w:rPr>
        <w:t>Para fins da comprovação de que trata este subitem, os atestados deverão dizer respeito a contratos executados com as seguintes características mínimas:</w:t>
      </w:r>
    </w:p>
    <w:p>
      <w:pPr>
        <w:pStyle w:val="PADRO"/>
        <w:widowControl/>
        <w:numPr>
          <w:ilvl w:val="3"/>
          <w:numId w:val="3"/>
        </w:numPr>
        <w:shd w:val="clear" w:fill="FFFFFF"/>
        <w:spacing w:before="120" w:after="120"/>
        <w:rPr>
          <w:rFonts w:ascii="Arial" w:hAnsi="Arial" w:cs="Arial"/>
          <w:color w:val="000000"/>
          <w:szCs w:val="20"/>
        </w:rPr>
      </w:pPr>
      <w:bookmarkStart w:id="5" w:name="_Hlk519176340"/>
      <w:bookmarkStart w:id="6" w:name="_Hlk519177818"/>
      <w:bookmarkEnd w:id="5"/>
      <w:bookmarkEnd w:id="6"/>
      <w:r>
        <w:rPr>
          <w:rFonts w:cs="Arial" w:ascii="Arial" w:hAnsi="Arial"/>
          <w:color w:val="000000"/>
          <w:szCs w:val="20"/>
        </w:rPr>
        <w:t xml:space="preserve">Os atestados deverão referir-se a serviços prestados no âmbito de sua atividade econômica principal ou secundária especificadas no contrato social vigente; </w:t>
      </w:r>
    </w:p>
    <w:p>
      <w:pPr>
        <w:pStyle w:val="PADRO"/>
        <w:widowControl/>
        <w:numPr>
          <w:ilvl w:val="3"/>
          <w:numId w:val="3"/>
        </w:numPr>
        <w:shd w:val="clear" w:fill="FFFFFF"/>
        <w:spacing w:before="120" w:after="120"/>
        <w:rPr>
          <w:rFonts w:ascii="Arial" w:hAnsi="Arial" w:cs="Arial"/>
          <w:i/>
          <w:i/>
          <w:color w:val="000000" w:themeColor="text1"/>
          <w:szCs w:val="20"/>
        </w:rPr>
      </w:pPr>
      <w:bookmarkStart w:id="7" w:name="_Hlk519177062"/>
      <w:bookmarkEnd w:id="7"/>
      <w:r>
        <w:rPr>
          <w:rFonts w:cs="Arial" w:ascii="Arial" w:hAnsi="Arial"/>
          <w:i/>
          <w:color w:val="000000" w:themeColor="text1"/>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pPr>
        <w:pStyle w:val="PADRO"/>
        <w:widowControl/>
        <w:numPr>
          <w:ilvl w:val="3"/>
          <w:numId w:val="3"/>
        </w:numPr>
        <w:shd w:val="clear" w:fill="FFFFFF"/>
        <w:spacing w:before="120" w:after="120"/>
        <w:rPr>
          <w:rFonts w:ascii="Arial" w:hAnsi="Arial" w:cs="Arial"/>
          <w:color w:val="000000"/>
          <w:szCs w:val="20"/>
        </w:rPr>
      </w:pPr>
      <w:r>
        <w:rPr>
          <w:rFonts w:cs="Arial" w:ascii="Arial" w:hAnsi="Arial"/>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pPr>
        <w:pStyle w:val="PADRO"/>
        <w:widowControl/>
        <w:numPr>
          <w:ilvl w:val="1"/>
          <w:numId w:val="3"/>
        </w:numPr>
        <w:shd w:val="clear" w:fill="FFFFFF"/>
        <w:spacing w:before="120" w:after="120"/>
        <w:rPr>
          <w:rFonts w:ascii="Arial" w:hAnsi="Arial" w:cs="Arial"/>
          <w:i/>
          <w:i/>
          <w:color w:val="000000" w:themeColor="text1"/>
          <w:szCs w:val="20"/>
        </w:rPr>
      </w:pPr>
      <w:r>
        <w:rPr>
          <w:rFonts w:cs="Arial" w:ascii="Arial" w:hAnsi="Arial"/>
          <w:i/>
          <w:color w:val="000000" w:themeColor="text1"/>
          <w:szCs w:val="20"/>
        </w:rPr>
        <w:t>apresentação de profissional(is), devidamente registrado(s) no conselho profissional competente, quando for o caso, detentor(es) de atestado de responsabilidade técnica por execução de objeto de características semelhantes, para fins de contratação.</w:t>
      </w:r>
    </w:p>
    <w:p>
      <w:pPr>
        <w:pStyle w:val="PADRO"/>
        <w:widowControl/>
        <w:shd w:val="clear" w:fill="FFFFFF"/>
        <w:spacing w:before="120" w:after="120"/>
        <w:rPr>
          <w:rFonts w:ascii="Arial" w:hAnsi="Arial" w:cs="Arial"/>
          <w:i/>
          <w:i/>
          <w:color w:val="000000" w:themeColor="text1"/>
          <w:szCs w:val="20"/>
        </w:rPr>
      </w:pPr>
      <w:r>
        <w:rPr>
          <w:rFonts w:cs="Arial" w:ascii="Arial" w:hAnsi="Arial"/>
          <w:i/>
          <w:color w:val="000000" w:themeColor="text1"/>
          <w:szCs w:val="20"/>
        </w:rPr>
      </w:r>
    </w:p>
    <w:p>
      <w:pPr>
        <w:pStyle w:val="PADRO"/>
        <w:widowControl/>
        <w:shd w:val="clear" w:fill="FFFFFF"/>
        <w:spacing w:before="120" w:after="120"/>
        <w:rPr>
          <w:rFonts w:ascii="Arial" w:hAnsi="Arial" w:cs="Arial"/>
          <w:i/>
          <w:i/>
          <w:color w:val="000000" w:themeColor="text1"/>
          <w:szCs w:val="20"/>
        </w:rPr>
      </w:pPr>
      <w:r>
        <w:rPr>
          <w:rFonts w:cs="Arial" w:ascii="Arial" w:hAnsi="Arial"/>
          <w:i/>
          <w:color w:val="000000" w:themeColor="text1"/>
          <w:szCs w:val="20"/>
        </w:rPr>
      </w:r>
    </w:p>
    <w:p>
      <w:pPr>
        <w:pStyle w:val="PADRO"/>
        <w:widowControl/>
        <w:numPr>
          <w:ilvl w:val="2"/>
          <w:numId w:val="3"/>
        </w:numPr>
        <w:shd w:val="clear" w:fill="FFFFFF"/>
        <w:spacing w:before="120" w:after="120"/>
        <w:rPr>
          <w:rFonts w:ascii="Arial" w:hAnsi="Arial" w:cs="Arial"/>
          <w:i/>
          <w:i/>
          <w:color w:val="000000" w:themeColor="text1"/>
          <w:szCs w:val="20"/>
        </w:rPr>
      </w:pPr>
      <w:r>
        <w:rPr>
          <w:rFonts w:cs="Arial" w:ascii="Arial" w:hAnsi="Arial"/>
          <w:i/>
          <w:color w:val="000000" w:themeColor="text1"/>
          <w:szCs w:val="20"/>
        </w:rPr>
        <w:t>No decorrer da execução do serviço, os profissionais de que trata este subitem deverão participar da execução do objeto e poderão ser substituídos, nos termos do 67, §6º, por profissionais de experiência equivalente ou superior, desde que a substituição seja aprovada pela Administração.</w:t>
      </w:r>
    </w:p>
    <w:p>
      <w:pPr>
        <w:pStyle w:val="PADRO"/>
        <w:widowControl/>
        <w:numPr>
          <w:ilvl w:val="1"/>
          <w:numId w:val="3"/>
        </w:numPr>
        <w:shd w:val="clear" w:fill="FFFFFF"/>
        <w:spacing w:before="120" w:after="120"/>
        <w:rPr>
          <w:rFonts w:ascii="Arial" w:hAnsi="Arial" w:cs="Arial"/>
          <w:bCs/>
          <w:i/>
          <w:i/>
          <w:color w:val="000000" w:themeColor="text1"/>
          <w:szCs w:val="20"/>
        </w:rPr>
      </w:pPr>
      <w:r>
        <w:rPr>
          <w:rFonts w:cs="Arial" w:ascii="Arial" w:hAnsi="Arial"/>
          <w:bCs/>
          <w:i/>
          <w:color w:val="000000" w:themeColor="text1"/>
          <w:szCs w:val="20"/>
        </w:rPr>
        <w:t xml:space="preserve">Declaração do fornecedor atestando que conhece </w:t>
      </w:r>
      <w:r>
        <w:rPr>
          <w:rFonts w:cs="Arial" w:ascii="Arial" w:hAnsi="Arial"/>
          <w:i/>
          <w:color w:val="000000" w:themeColor="text1"/>
          <w:szCs w:val="20"/>
        </w:rPr>
        <w:t>todas as informações e condições locais para o cumprimento das obrigações objeto da contratação</w:t>
      </w:r>
      <w:r>
        <w:rPr>
          <w:rFonts w:cs="Arial" w:ascii="Arial" w:hAnsi="Arial"/>
          <w:bCs/>
          <w:i/>
          <w:color w:val="000000" w:themeColor="text1"/>
          <w:szCs w:val="20"/>
        </w:rPr>
        <w:t>.</w:t>
      </w:r>
    </w:p>
    <w:p>
      <w:pPr>
        <w:pStyle w:val="PADRO"/>
        <w:widowControl/>
        <w:numPr>
          <w:ilvl w:val="2"/>
          <w:numId w:val="3"/>
        </w:numPr>
        <w:shd w:val="clear" w:fill="FFFFFF"/>
        <w:spacing w:before="120" w:after="120"/>
        <w:rPr/>
      </w:pPr>
      <w:r>
        <w:rPr>
          <w:rFonts w:cs="Arial" w:ascii="Arial" w:hAnsi="Arial"/>
          <w:bCs/>
          <w:i/>
          <w:color w:val="000000" w:themeColor="text1"/>
          <w:szCs w:val="20"/>
        </w:rPr>
        <w:t>Fica assegurado direito à realização de vistoria prévia, na forma prevista no Termo de Referência.</w:t>
      </w:r>
    </w:p>
    <w:sectPr>
      <w:type w:val="nextPage"/>
      <w:pgSz w:w="11906" w:h="16838"/>
      <w:pgMar w:left="1701" w:right="1701" w:header="0" w:top="1417" w:footer="0"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Fonts w:ascii="Arial" w:hAnsi="Arial"/>
      </w:rPr>
    </w:lvl>
    <w:lvl w:ilvl="2">
      <w:start w:val="1"/>
      <w:numFmt w:val="decimal"/>
      <w:lvlText w:val="%1.%2.%3."/>
      <w:lvlJc w:val="left"/>
      <w:pPr>
        <w:ind w:left="1224" w:hanging="504"/>
      </w:pPr>
      <w:rPr>
        <w:i w:val="false"/>
        <w:b/>
        <w:iCs/>
        <w:rFonts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Fonts w:ascii="Arial" w:hAnsi="Arial"/>
      </w:rPr>
    </w:lvl>
    <w:lvl w:ilvl="2">
      <w:start w:val="1"/>
      <w:numFmt w:val="decimal"/>
      <w:lvlText w:val="%1.%2.%3"/>
      <w:lvlJc w:val="left"/>
      <w:pPr>
        <w:ind w:left="1854" w:hanging="720"/>
      </w:pPr>
      <w:rPr>
        <w:b/>
        <w:rFonts w:ascii="Arial" w:hAnsi="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bidi w:val="0"/>
      <w:jc w:val="left"/>
    </w:pPr>
    <w:rPr>
      <w:rFonts w:ascii="Arial" w:hAnsi="Arial" w:eastAsia="Times New Roman" w:cs="Tahoma"/>
      <w:color w:val="00000A"/>
      <w:sz w:val="20"/>
      <w:szCs w:val="24"/>
      <w:lang w:val="pt-BR" w:eastAsia="pt-BR" w:bidi="ar-SA"/>
    </w:rPr>
  </w:style>
  <w:style w:type="paragraph" w:styleId="Ttulo1" w:customStyle="1">
    <w:name w:val="Heading 1"/>
    <w:basedOn w:val="Normal"/>
    <w:next w:val="Normal"/>
    <w:link w:val="Ttulo1Char"/>
    <w:uiPriority w:val="9"/>
    <w:qFormat/>
    <w:rsid w:val="009f771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Heading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Header"/>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Footer"/>
    <w:uiPriority w:val="99"/>
    <w:qFormat/>
    <w:rsid w:val="00805244"/>
    <w:rPr>
      <w:rFonts w:ascii="Arial" w:hAnsi="Arial" w:eastAsia="Times New Roman" w:cs="Tahoma"/>
      <w:sz w:val="20"/>
      <w:szCs w:val="24"/>
      <w:lang w:eastAsia="pt-BR"/>
    </w:rPr>
  </w:style>
  <w:style w:type="character" w:styleId="ListLabel1" w:customStyle="1">
    <w:name w:val="ListLabel 1"/>
    <w:qFormat/>
    <w:rsid w:val="00db4282"/>
    <w:rPr>
      <w:rFonts w:ascii="Arial" w:hAnsi="Arial"/>
      <w:b/>
    </w:rPr>
  </w:style>
  <w:style w:type="character" w:styleId="ListLabel2" w:customStyle="1">
    <w:name w:val="ListLabel 2"/>
    <w:qFormat/>
    <w:rsid w:val="00db4282"/>
    <w:rPr>
      <w:rFonts w:ascii="Arial" w:hAnsi="Arial"/>
      <w:b/>
      <w:i w:val="false"/>
      <w:iCs/>
    </w:rPr>
  </w:style>
  <w:style w:type="character" w:styleId="ListLabel3" w:customStyle="1">
    <w:name w:val="ListLabel 3"/>
    <w:qFormat/>
    <w:rsid w:val="00db4282"/>
    <w:rPr>
      <w:rFonts w:cs="Arial"/>
      <w:b/>
      <w:i w:val="false"/>
      <w:iCs/>
      <w:color w:val="00000A"/>
    </w:rPr>
  </w:style>
  <w:style w:type="character" w:styleId="ListLabel4" w:customStyle="1">
    <w:name w:val="ListLabel 4"/>
    <w:qFormat/>
    <w:rsid w:val="00db4282"/>
    <w:rPr>
      <w:rFonts w:cs="Arial"/>
    </w:rPr>
  </w:style>
  <w:style w:type="character" w:styleId="ListLabel5" w:customStyle="1">
    <w:name w:val="ListLabel 5"/>
    <w:qFormat/>
    <w:rsid w:val="00db4282"/>
    <w:rPr>
      <w:color w:val="00000A"/>
    </w:rPr>
  </w:style>
  <w:style w:type="character" w:styleId="ListLabel6" w:customStyle="1">
    <w:name w:val="ListLabel 6"/>
    <w:qFormat/>
    <w:rsid w:val="00db4282"/>
    <w:rPr>
      <w:color w:val="00000A"/>
    </w:rPr>
  </w:style>
  <w:style w:type="character" w:styleId="ListLabel7" w:customStyle="1">
    <w:name w:val="ListLabel 7"/>
    <w:qFormat/>
    <w:rsid w:val="00db4282"/>
    <w:rPr>
      <w:color w:val="00000A"/>
    </w:rPr>
  </w:style>
  <w:style w:type="character" w:styleId="ListLabel8" w:customStyle="1">
    <w:name w:val="ListLabel 8"/>
    <w:qFormat/>
    <w:rsid w:val="00db4282"/>
    <w:rPr>
      <w:color w:val="00000A"/>
    </w:rPr>
  </w:style>
  <w:style w:type="character" w:styleId="ListLabel9" w:customStyle="1">
    <w:name w:val="ListLabel 9"/>
    <w:qFormat/>
    <w:rsid w:val="00db4282"/>
    <w:rPr>
      <w:color w:val="00000A"/>
    </w:rPr>
  </w:style>
  <w:style w:type="character" w:styleId="ListLabel10" w:customStyle="1">
    <w:name w:val="ListLabel 10"/>
    <w:qFormat/>
    <w:rsid w:val="00db4282"/>
    <w:rPr>
      <w:color w:val="00000A"/>
    </w:rPr>
  </w:style>
  <w:style w:type="character" w:styleId="ListLabel11" w:customStyle="1">
    <w:name w:val="ListLabel 11"/>
    <w:qFormat/>
    <w:rsid w:val="00db4282"/>
    <w:rPr>
      <w:color w:val="00000A"/>
    </w:rPr>
  </w:style>
  <w:style w:type="character" w:styleId="ListLabel12" w:customStyle="1">
    <w:name w:val="ListLabel 12"/>
    <w:qFormat/>
    <w:rsid w:val="00db4282"/>
    <w:rPr>
      <w:color w:val="00000A"/>
    </w:rPr>
  </w:style>
  <w:style w:type="character" w:styleId="ListLabel13" w:customStyle="1">
    <w:name w:val="ListLabel 13"/>
    <w:qFormat/>
    <w:rsid w:val="00db4282"/>
    <w:rPr>
      <w:color w:val="00000A"/>
    </w:rPr>
  </w:style>
  <w:style w:type="character" w:styleId="ListLabel14" w:customStyle="1">
    <w:name w:val="ListLabel 14"/>
    <w:qFormat/>
    <w:rsid w:val="00db4282"/>
    <w:rPr>
      <w:b/>
    </w:rPr>
  </w:style>
  <w:style w:type="character" w:styleId="ListLabel15" w:customStyle="1">
    <w:name w:val="ListLabel 15"/>
    <w:qFormat/>
    <w:rsid w:val="00db4282"/>
    <w:rPr>
      <w:b w:val="false"/>
      <w:i w:val="false"/>
      <w:iCs/>
    </w:rPr>
  </w:style>
  <w:style w:type="character" w:styleId="ListLabel16" w:customStyle="1">
    <w:name w:val="ListLabel 16"/>
    <w:qFormat/>
    <w:rsid w:val="00db4282"/>
    <w:rPr>
      <w:rFonts w:cs="Arial"/>
      <w:b w:val="false"/>
      <w:i w:val="false"/>
      <w:iCs/>
      <w:color w:val="00000A"/>
    </w:rPr>
  </w:style>
  <w:style w:type="character" w:styleId="ListLabel17" w:customStyle="1">
    <w:name w:val="ListLabel 17"/>
    <w:qFormat/>
    <w:rsid w:val="00db4282"/>
    <w:rPr>
      <w:i w:val="false"/>
      <w:color w:val="000000"/>
    </w:rPr>
  </w:style>
  <w:style w:type="character" w:styleId="ListLabel18" w:customStyle="1">
    <w:name w:val="ListLabel 18"/>
    <w:qFormat/>
    <w:rsid w:val="00db4282"/>
    <w:rPr>
      <w:i w:val="false"/>
      <w:color w:val="000000"/>
    </w:rPr>
  </w:style>
  <w:style w:type="character" w:styleId="ListLabel19" w:customStyle="1">
    <w:name w:val="ListLabel 19"/>
    <w:qFormat/>
    <w:rsid w:val="00db4282"/>
    <w:rPr>
      <w:i w:val="false"/>
      <w:color w:val="000000"/>
    </w:rPr>
  </w:style>
  <w:style w:type="character" w:styleId="ListLabel20" w:customStyle="1">
    <w:name w:val="ListLabel 20"/>
    <w:qFormat/>
    <w:rsid w:val="00db4282"/>
    <w:rPr>
      <w:i w:val="false"/>
      <w:color w:val="000000"/>
    </w:rPr>
  </w:style>
  <w:style w:type="character" w:styleId="ListLabel21" w:customStyle="1">
    <w:name w:val="ListLabel 21"/>
    <w:qFormat/>
    <w:rsid w:val="00db4282"/>
    <w:rPr>
      <w:i w:val="false"/>
      <w:color w:val="000000"/>
    </w:rPr>
  </w:style>
  <w:style w:type="character" w:styleId="ListLabel22" w:customStyle="1">
    <w:name w:val="ListLabel 22"/>
    <w:qFormat/>
    <w:rsid w:val="00db4282"/>
    <w:rPr>
      <w:i w:val="false"/>
      <w:color w:val="000000"/>
    </w:rPr>
  </w:style>
  <w:style w:type="character" w:styleId="ListLabel23" w:customStyle="1">
    <w:name w:val="ListLabel 23"/>
    <w:qFormat/>
    <w:rsid w:val="00db4282"/>
    <w:rPr>
      <w:i w:val="false"/>
      <w:color w:val="000000"/>
    </w:rPr>
  </w:style>
  <w:style w:type="character" w:styleId="ListLabel24" w:customStyle="1">
    <w:name w:val="ListLabel 24"/>
    <w:qFormat/>
    <w:rsid w:val="00db4282"/>
    <w:rPr>
      <w:i w:val="false"/>
      <w:color w:val="000000"/>
    </w:rPr>
  </w:style>
  <w:style w:type="character" w:styleId="ListLabel25" w:customStyle="1">
    <w:name w:val="ListLabel 25"/>
    <w:qFormat/>
    <w:rsid w:val="00db4282"/>
    <w:rPr>
      <w:i w:val="false"/>
      <w:color w:val="000000"/>
    </w:rPr>
  </w:style>
  <w:style w:type="character" w:styleId="ListLabel26" w:customStyle="1">
    <w:name w:val="ListLabel 26"/>
    <w:qFormat/>
    <w:rsid w:val="00db4282"/>
    <w:rPr>
      <w:b/>
    </w:rPr>
  </w:style>
  <w:style w:type="character" w:styleId="ListLabel27" w:customStyle="1">
    <w:name w:val="ListLabel 27"/>
    <w:qFormat/>
    <w:rsid w:val="00db4282"/>
    <w:rPr>
      <w:b w:val="false"/>
      <w:i w:val="false"/>
      <w:iCs/>
    </w:rPr>
  </w:style>
  <w:style w:type="character" w:styleId="ListLabel28" w:customStyle="1">
    <w:name w:val="ListLabel 28"/>
    <w:qFormat/>
    <w:rsid w:val="00db4282"/>
    <w:rPr>
      <w:rFonts w:cs="Arial"/>
      <w:b w:val="false"/>
      <w:i w:val="false"/>
      <w:iCs/>
      <w:color w:val="00000A"/>
    </w:rPr>
  </w:style>
  <w:style w:type="character" w:styleId="ListLabel29" w:customStyle="1">
    <w:name w:val="ListLabel 29"/>
    <w:qFormat/>
    <w:rsid w:val="00db4282"/>
    <w:rPr>
      <w:b/>
    </w:rPr>
  </w:style>
  <w:style w:type="character" w:styleId="ListLabel30" w:customStyle="1">
    <w:name w:val="ListLabel 30"/>
    <w:qFormat/>
    <w:rsid w:val="00db4282"/>
    <w:rPr>
      <w:b w:val="false"/>
      <w:i w:val="false"/>
      <w:iCs/>
    </w:rPr>
  </w:style>
  <w:style w:type="character" w:styleId="ListLabel31" w:customStyle="1">
    <w:name w:val="ListLabel 31"/>
    <w:qFormat/>
    <w:rsid w:val="00db4282"/>
    <w:rPr>
      <w:rFonts w:cs="Arial"/>
      <w:b w:val="false"/>
      <w:i w:val="false"/>
      <w:iCs/>
      <w:color w:val="00000A"/>
    </w:rPr>
  </w:style>
  <w:style w:type="character" w:styleId="ListLabel32" w:customStyle="1">
    <w:name w:val="ListLabel 32"/>
    <w:qFormat/>
    <w:rsid w:val="00db4282"/>
    <w:rPr>
      <w:b/>
    </w:rPr>
  </w:style>
  <w:style w:type="character" w:styleId="ListLabel33" w:customStyle="1">
    <w:name w:val="ListLabel 33"/>
    <w:qFormat/>
    <w:rsid w:val="00db4282"/>
    <w:rPr>
      <w:b w:val="false"/>
      <w:i w:val="false"/>
      <w:iCs/>
    </w:rPr>
  </w:style>
  <w:style w:type="character" w:styleId="ListLabel34" w:customStyle="1">
    <w:name w:val="ListLabel 34"/>
    <w:qFormat/>
    <w:rsid w:val="00db4282"/>
    <w:rPr>
      <w:rFonts w:cs="Arial"/>
      <w:b w:val="false"/>
      <w:i w:val="false"/>
      <w:iCs/>
      <w:color w:val="00000A"/>
    </w:rPr>
  </w:style>
  <w:style w:type="character" w:styleId="ListLabel35" w:customStyle="1">
    <w:name w:val="ListLabel 35"/>
    <w:qFormat/>
    <w:rsid w:val="00db4282"/>
    <w:rPr>
      <w:b/>
    </w:rPr>
  </w:style>
  <w:style w:type="character" w:styleId="ListLabel36" w:customStyle="1">
    <w:name w:val="ListLabel 36"/>
    <w:qFormat/>
    <w:rsid w:val="00db4282"/>
    <w:rPr>
      <w:b w:val="false"/>
      <w:i w:val="false"/>
      <w:iCs/>
    </w:rPr>
  </w:style>
  <w:style w:type="character" w:styleId="ListLabel37" w:customStyle="1">
    <w:name w:val="ListLabel 37"/>
    <w:qFormat/>
    <w:rsid w:val="00db4282"/>
    <w:rPr>
      <w:rFonts w:cs="Arial"/>
      <w:b w:val="false"/>
      <w:i w:val="false"/>
      <w:iCs/>
      <w:color w:val="00000A"/>
    </w:rPr>
  </w:style>
  <w:style w:type="character" w:styleId="ListLabel38" w:customStyle="1">
    <w:name w:val="ListLabel 38"/>
    <w:qFormat/>
    <w:rsid w:val="00db4282"/>
    <w:rPr>
      <w:b/>
    </w:rPr>
  </w:style>
  <w:style w:type="character" w:styleId="ListLabel39" w:customStyle="1">
    <w:name w:val="ListLabel 39"/>
    <w:qFormat/>
    <w:rsid w:val="00db4282"/>
    <w:rPr>
      <w:b w:val="false"/>
      <w:i w:val="false"/>
      <w:iCs/>
    </w:rPr>
  </w:style>
  <w:style w:type="character" w:styleId="ListLabel40" w:customStyle="1">
    <w:name w:val="ListLabel 40"/>
    <w:qFormat/>
    <w:rsid w:val="00db4282"/>
    <w:rPr>
      <w:rFonts w:cs="Arial"/>
      <w:b w:val="false"/>
      <w:i w:val="false"/>
      <w:iCs/>
      <w:color w:val="00000A"/>
    </w:rPr>
  </w:style>
  <w:style w:type="character" w:styleId="ListLabel41" w:customStyle="1">
    <w:name w:val="ListLabel 41"/>
    <w:qFormat/>
    <w:rsid w:val="00db4282"/>
    <w:rPr>
      <w:b/>
      <w:i w:val="false"/>
      <w:strike w:val="false"/>
      <w:dstrike w:val="false"/>
    </w:rPr>
  </w:style>
  <w:style w:type="character" w:styleId="ListLabel42" w:customStyle="1">
    <w:name w:val="ListLabel 42"/>
    <w:qFormat/>
    <w:rsid w:val="00db4282"/>
    <w:rPr>
      <w:b w:val="false"/>
      <w:strike w:val="false"/>
      <w:dstrike w:val="false"/>
    </w:rPr>
  </w:style>
  <w:style w:type="character" w:styleId="ListLabel43" w:customStyle="1">
    <w:name w:val="ListLabel 43"/>
    <w:qFormat/>
    <w:rsid w:val="00db4282"/>
    <w:rPr>
      <w:i w:val="false"/>
      <w:strike w:val="false"/>
      <w:dstrike w:val="false"/>
    </w:rPr>
  </w:style>
  <w:style w:type="character" w:styleId="ListLabel44" w:customStyle="1">
    <w:name w:val="ListLabel 44"/>
    <w:qFormat/>
    <w:rsid w:val="00db4282"/>
    <w:rPr>
      <w:b w:val="false"/>
    </w:rPr>
  </w:style>
  <w:style w:type="character" w:styleId="ListLabel45" w:customStyle="1">
    <w:name w:val="ListLabel 45"/>
    <w:qFormat/>
    <w:rsid w:val="00db4282"/>
    <w:rPr>
      <w:b w:val="false"/>
    </w:rPr>
  </w:style>
  <w:style w:type="character" w:styleId="ListLabel46" w:customStyle="1">
    <w:name w:val="ListLabel 46"/>
    <w:qFormat/>
    <w:rsid w:val="00db4282"/>
    <w:rPr>
      <w:b w:val="false"/>
    </w:rPr>
  </w:style>
  <w:style w:type="character" w:styleId="ListLabel47" w:customStyle="1">
    <w:name w:val="ListLabel 47"/>
    <w:qFormat/>
    <w:rsid w:val="00db4282"/>
    <w:rPr>
      <w:b w:val="false"/>
    </w:rPr>
  </w:style>
  <w:style w:type="character" w:styleId="ListLabel48" w:customStyle="1">
    <w:name w:val="ListLabel 48"/>
    <w:qFormat/>
    <w:rsid w:val="00db4282"/>
    <w:rPr>
      <w:rFonts w:ascii="Arial" w:hAnsi="Arial"/>
      <w:b/>
    </w:rPr>
  </w:style>
  <w:style w:type="character" w:styleId="ListLabel49" w:customStyle="1">
    <w:name w:val="ListLabel 49"/>
    <w:qFormat/>
    <w:rsid w:val="00db4282"/>
    <w:rPr>
      <w:rFonts w:ascii="Arial" w:hAnsi="Arial"/>
      <w:b/>
    </w:rPr>
  </w:style>
  <w:style w:type="character" w:styleId="ListLabel50" w:customStyle="1">
    <w:name w:val="ListLabel 50"/>
    <w:qFormat/>
    <w:rsid w:val="00db4282"/>
    <w:rPr>
      <w:b/>
    </w:rPr>
  </w:style>
  <w:style w:type="character" w:styleId="ListLabel51" w:customStyle="1">
    <w:name w:val="ListLabel 51"/>
    <w:qFormat/>
    <w:rsid w:val="00db4282"/>
    <w:rPr>
      <w:b w:val="false"/>
      <w:i w:val="false"/>
      <w:iCs/>
    </w:rPr>
  </w:style>
  <w:style w:type="character" w:styleId="ListLabel52" w:customStyle="1">
    <w:name w:val="ListLabel 52"/>
    <w:qFormat/>
    <w:rsid w:val="00db4282"/>
    <w:rPr>
      <w:rFonts w:cs="Arial"/>
      <w:b w:val="false"/>
      <w:i w:val="false"/>
      <w:iCs/>
      <w:color w:val="00000A"/>
    </w:rPr>
  </w:style>
  <w:style w:type="character" w:styleId="ListLabel53" w:customStyle="1">
    <w:name w:val="ListLabel 53"/>
    <w:qFormat/>
    <w:rsid w:val="00db4282"/>
    <w:rPr>
      <w:rFonts w:cs="Courier New"/>
    </w:rPr>
  </w:style>
  <w:style w:type="character" w:styleId="ListLabel54" w:customStyle="1">
    <w:name w:val="ListLabel 54"/>
    <w:qFormat/>
    <w:rsid w:val="00db4282"/>
    <w:rPr>
      <w:rFonts w:cs="Courier New"/>
    </w:rPr>
  </w:style>
  <w:style w:type="character" w:styleId="ListLabel55" w:customStyle="1">
    <w:name w:val="ListLabel 55"/>
    <w:qFormat/>
    <w:rsid w:val="00db4282"/>
    <w:rPr>
      <w:rFonts w:cs="Courier New"/>
    </w:rPr>
  </w:style>
  <w:style w:type="character" w:styleId="ListLabel56" w:customStyle="1">
    <w:name w:val="ListLabel 56"/>
    <w:qFormat/>
    <w:rsid w:val="00db4282"/>
    <w:rPr>
      <w:b/>
    </w:rPr>
  </w:style>
  <w:style w:type="character" w:styleId="ListLabel57" w:customStyle="1">
    <w:name w:val="ListLabel 57"/>
    <w:qFormat/>
    <w:rsid w:val="00db4282"/>
    <w:rPr>
      <w:b w:val="false"/>
      <w:i w:val="false"/>
      <w:iCs/>
    </w:rPr>
  </w:style>
  <w:style w:type="character" w:styleId="ListLabel58" w:customStyle="1">
    <w:name w:val="ListLabel 58"/>
    <w:qFormat/>
    <w:rsid w:val="00db4282"/>
    <w:rPr>
      <w:rFonts w:cs="Arial"/>
      <w:b w:val="false"/>
      <w:i w:val="false"/>
      <w:iCs/>
      <w:color w:val="00000A"/>
    </w:rPr>
  </w:style>
  <w:style w:type="character" w:styleId="ListLabel59" w:customStyle="1">
    <w:name w:val="ListLabel 59"/>
    <w:qFormat/>
    <w:rsid w:val="00db4282"/>
    <w:rPr>
      <w:rFonts w:cs="Arial"/>
      <w:b/>
    </w:rPr>
  </w:style>
  <w:style w:type="character" w:styleId="ListLabel60" w:customStyle="1">
    <w:name w:val="ListLabel 60"/>
    <w:qFormat/>
    <w:rsid w:val="00db4282"/>
    <w:rPr>
      <w:b w:val="false"/>
      <w:i w:val="false"/>
      <w:iCs/>
    </w:rPr>
  </w:style>
  <w:style w:type="character" w:styleId="ListLabel61" w:customStyle="1">
    <w:name w:val="ListLabel 61"/>
    <w:qFormat/>
    <w:rsid w:val="00db4282"/>
    <w:rPr>
      <w:b w:val="false"/>
      <w:i w:val="false"/>
      <w:iCs/>
      <w:color w:val="00000A"/>
    </w:rPr>
  </w:style>
  <w:style w:type="character" w:styleId="ListLabel62" w:customStyle="1">
    <w:name w:val="ListLabel 62"/>
    <w:qFormat/>
    <w:rsid w:val="00db4282"/>
    <w:rPr>
      <w:b/>
    </w:rPr>
  </w:style>
  <w:style w:type="character" w:styleId="ListLabel63" w:customStyle="1">
    <w:name w:val="ListLabel 63"/>
    <w:qFormat/>
    <w:rsid w:val="00db4282"/>
    <w:rPr>
      <w:b w:val="false"/>
      <w:i w:val="false"/>
      <w:iCs/>
    </w:rPr>
  </w:style>
  <w:style w:type="character" w:styleId="ListLabel64" w:customStyle="1">
    <w:name w:val="ListLabel 64"/>
    <w:qFormat/>
    <w:rsid w:val="00db4282"/>
    <w:rPr>
      <w:rFonts w:cs="Arial"/>
      <w:b w:val="false"/>
      <w:i w:val="false"/>
      <w:iCs/>
      <w:color w:val="00000A"/>
    </w:rPr>
  </w:style>
  <w:style w:type="character" w:styleId="ListLabel65" w:customStyle="1">
    <w:name w:val="ListLabel 65"/>
    <w:qFormat/>
    <w:rsid w:val="00db4282"/>
    <w:rPr>
      <w:b/>
    </w:rPr>
  </w:style>
  <w:style w:type="character" w:styleId="ListLabel66" w:customStyle="1">
    <w:name w:val="ListLabel 66"/>
    <w:qFormat/>
    <w:rsid w:val="00db4282"/>
    <w:rPr>
      <w:b w:val="false"/>
      <w:i w:val="false"/>
      <w:iCs/>
    </w:rPr>
  </w:style>
  <w:style w:type="character" w:styleId="ListLabel67" w:customStyle="1">
    <w:name w:val="ListLabel 67"/>
    <w:qFormat/>
    <w:rsid w:val="00db4282"/>
    <w:rPr>
      <w:rFonts w:cs="Arial"/>
      <w:b w:val="false"/>
      <w:i w:val="false"/>
      <w:iCs/>
      <w:color w:val="00000A"/>
    </w:rPr>
  </w:style>
  <w:style w:type="character" w:styleId="ListLabel68" w:customStyle="1">
    <w:name w:val="ListLabel 68"/>
    <w:qFormat/>
    <w:rsid w:val="00db4282"/>
    <w:rPr>
      <w:b/>
    </w:rPr>
  </w:style>
  <w:style w:type="character" w:styleId="ListLabel69" w:customStyle="1">
    <w:name w:val="ListLabel 69"/>
    <w:qFormat/>
    <w:rsid w:val="00db4282"/>
    <w:rPr>
      <w:b w:val="false"/>
      <w:i w:val="false"/>
      <w:iCs/>
    </w:rPr>
  </w:style>
  <w:style w:type="character" w:styleId="ListLabel70" w:customStyle="1">
    <w:name w:val="ListLabel 70"/>
    <w:qFormat/>
    <w:rsid w:val="00db4282"/>
    <w:rPr>
      <w:b w:val="false"/>
      <w:i w:val="false"/>
      <w:iCs/>
      <w:color w:val="00000A"/>
    </w:rPr>
  </w:style>
  <w:style w:type="character" w:styleId="ListLabel71">
    <w:name w:val="ListLabel 71"/>
    <w:qFormat/>
    <w:rPr>
      <w:rFonts w:ascii="Arial" w:hAnsi="Arial"/>
      <w:b/>
    </w:rPr>
  </w:style>
  <w:style w:type="character" w:styleId="ListLabel72">
    <w:name w:val="ListLabel 72"/>
    <w:qFormat/>
    <w:rPr>
      <w:rFonts w:ascii="Arial" w:hAnsi="Arial"/>
      <w:b/>
      <w:i w:val="false"/>
      <w:iCs/>
    </w:rPr>
  </w:style>
  <w:style w:type="character" w:styleId="ListLabel73">
    <w:name w:val="ListLabel 73"/>
    <w:qFormat/>
    <w:rPr>
      <w:rFonts w:cs="Arial"/>
      <w:b/>
      <w:i w:val="false"/>
      <w:iCs/>
      <w:color w:val="00000A"/>
    </w:rPr>
  </w:style>
  <w:style w:type="character" w:styleId="ListLabel74">
    <w:name w:val="ListLabel 74"/>
    <w:qFormat/>
    <w:rPr>
      <w:rFonts w:ascii="Arial" w:hAnsi="Arial"/>
      <w:b/>
    </w:rPr>
  </w:style>
  <w:style w:type="character" w:styleId="ListLabel75">
    <w:name w:val="ListLabel 75"/>
    <w:qFormat/>
    <w:rPr>
      <w:rFonts w:ascii="Arial" w:hAnsi="Arial"/>
      <w:b/>
    </w:rPr>
  </w:style>
  <w:style w:type="character" w:styleId="ListLabel76">
    <w:name w:val="ListLabel 76"/>
    <w:qFormat/>
    <w:rPr>
      <w:b/>
    </w:rPr>
  </w:style>
  <w:style w:type="character" w:styleId="ListLabel77">
    <w:name w:val="ListLabel 77"/>
    <w:qFormat/>
    <w:rPr>
      <w:b w:val="false"/>
      <w:i w:val="false"/>
      <w:iCs/>
    </w:rPr>
  </w:style>
  <w:style w:type="character" w:styleId="ListLabel78">
    <w:name w:val="ListLabel 78"/>
    <w:qFormat/>
    <w:rPr>
      <w:rFonts w:cs="Arial"/>
      <w:b w:val="false"/>
      <w:i w:val="false"/>
      <w:iCs/>
      <w:color w:val="00000A"/>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b w:val="false"/>
      <w:i w:val="false"/>
      <w:iCs/>
      <w:color w:val="00000A"/>
    </w:rPr>
  </w:style>
  <w:style w:type="character" w:styleId="ListLabel82">
    <w:name w:val="ListLabel 82"/>
    <w:qFormat/>
    <w:rPr>
      <w:rFonts w:ascii="Arial" w:hAnsi="Arial"/>
      <w:b/>
    </w:rPr>
  </w:style>
  <w:style w:type="character" w:styleId="ListLabel83">
    <w:name w:val="ListLabel 83"/>
    <w:qFormat/>
    <w:rPr>
      <w:rFonts w:ascii="Arial" w:hAnsi="Arial"/>
      <w:b/>
      <w:i w:val="false"/>
      <w:iCs/>
    </w:rPr>
  </w:style>
  <w:style w:type="character" w:styleId="ListLabel84">
    <w:name w:val="ListLabel 84"/>
    <w:qFormat/>
    <w:rPr>
      <w:rFonts w:cs="Arial"/>
      <w:b/>
      <w:i w:val="false"/>
      <w:iCs/>
      <w:color w:val="00000A"/>
    </w:rPr>
  </w:style>
  <w:style w:type="character" w:styleId="ListLabel85">
    <w:name w:val="ListLabel 85"/>
    <w:qFormat/>
    <w:rPr>
      <w:rFonts w:ascii="Arial" w:hAnsi="Arial"/>
      <w:b/>
    </w:rPr>
  </w:style>
  <w:style w:type="character" w:styleId="ListLabel86">
    <w:name w:val="ListLabel 86"/>
    <w:qFormat/>
    <w:rPr>
      <w:rFonts w:ascii="Arial" w:hAnsi="Arial"/>
      <w:b/>
    </w:rPr>
  </w:style>
  <w:style w:type="character" w:styleId="ListLabel87">
    <w:name w:val="ListLabel 87"/>
    <w:qFormat/>
    <w:rPr>
      <w:b/>
    </w:rPr>
  </w:style>
  <w:style w:type="character" w:styleId="ListLabel88">
    <w:name w:val="ListLabel 88"/>
    <w:qFormat/>
    <w:rPr>
      <w:b w:val="false"/>
      <w:i w:val="false"/>
      <w:iCs/>
    </w:rPr>
  </w:style>
  <w:style w:type="character" w:styleId="ListLabel89">
    <w:name w:val="ListLabel 89"/>
    <w:qFormat/>
    <w:rPr>
      <w:rFonts w:cs="Arial"/>
      <w:b w:val="false"/>
      <w:i w:val="false"/>
      <w:iCs/>
      <w:color w:val="00000A"/>
    </w:rPr>
  </w:style>
  <w:style w:type="character" w:styleId="ListLabel90">
    <w:name w:val="ListLabel 90"/>
    <w:qFormat/>
    <w:rPr>
      <w:b/>
    </w:rPr>
  </w:style>
  <w:style w:type="character" w:styleId="ListLabel91">
    <w:name w:val="ListLabel 91"/>
    <w:qFormat/>
    <w:rPr>
      <w:b w:val="false"/>
      <w:i w:val="false"/>
      <w:iCs/>
    </w:rPr>
  </w:style>
  <w:style w:type="character" w:styleId="ListLabel92">
    <w:name w:val="ListLabel 92"/>
    <w:qFormat/>
    <w:rPr>
      <w:b w:val="false"/>
      <w:i w:val="false"/>
      <w:iCs/>
      <w:color w:val="00000A"/>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Body Text"/>
    <w:basedOn w:val="Normal"/>
    <w:rsid w:val="00db4282"/>
    <w:pPr>
      <w:spacing w:lineRule="auto" w:line="288" w:before="0" w:after="140"/>
    </w:pPr>
    <w:rPr/>
  </w:style>
  <w:style w:type="paragraph" w:styleId="Lista">
    <w:name w:val="List"/>
    <w:basedOn w:val="Corpodetexto"/>
    <w:rsid w:val="00db4282"/>
    <w:pPr/>
    <w:rPr>
      <w:rFonts w:cs="Lucida Sans"/>
    </w:rPr>
  </w:style>
  <w:style w:type="paragraph" w:styleId="Legenda" w:customStyle="1">
    <w:name w:val="Caption"/>
    <w:basedOn w:val="Normal"/>
    <w:qFormat/>
    <w:rsid w:val="00db4282"/>
    <w:pPr>
      <w:suppressLineNumbers/>
      <w:spacing w:before="120" w:after="120"/>
    </w:pPr>
    <w:rPr>
      <w:rFonts w:cs="Lucida Sans"/>
      <w:i/>
      <w:iCs/>
      <w:sz w:val="24"/>
    </w:rPr>
  </w:style>
  <w:style w:type="paragraph" w:styleId="Ndice" w:customStyle="1">
    <w:name w:val="Índice"/>
    <w:basedOn w:val="Normal"/>
    <w:qFormat/>
    <w:rsid w:val="00db4282"/>
    <w:pPr>
      <w:suppressLineNumbers/>
    </w:pPr>
    <w:rPr>
      <w:rFonts w:cs="Lucida Sans"/>
    </w:rPr>
  </w:style>
  <w:style w:type="paragraph" w:styleId="Ttulododocumento">
    <w:name w:val="Title"/>
    <w:basedOn w:val="Normal"/>
    <w:qFormat/>
    <w:rsid w:val="00db4282"/>
    <w:pPr>
      <w:keepNext/>
      <w:spacing w:before="240" w:after="120"/>
    </w:pPr>
    <w:rPr>
      <w:rFonts w:ascii="Liberation Sans" w:hAnsi="Liberation Sans" w:eastAsia="Microsoft YaHei" w:cs="Lucida Sans"/>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00000A"/>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customStyle="1">
    <w:name w:val="Header"/>
    <w:basedOn w:val="Normal"/>
    <w:link w:val="CabealhoChar"/>
    <w:uiPriority w:val="99"/>
    <w:unhideWhenUsed/>
    <w:rsid w:val="00805244"/>
    <w:pPr>
      <w:tabs>
        <w:tab w:val="center" w:pos="4252" w:leader="none"/>
        <w:tab w:val="right" w:pos="8504" w:leader="none"/>
      </w:tabs>
    </w:pPr>
    <w:rPr/>
  </w:style>
  <w:style w:type="paragraph" w:styleId="Rodap" w:customStyle="1">
    <w:name w:val="Footer"/>
    <w:basedOn w:val="Normal"/>
    <w:link w:val="RodapChar"/>
    <w:uiPriority w:val="99"/>
    <w:unhideWhenUsed/>
    <w:rsid w:val="00805244"/>
    <w:pPr>
      <w:tabs>
        <w:tab w:val="center" w:pos="4252" w:leader="none"/>
        <w:tab w:val="right" w:pos="8504" w:leader="none"/>
      </w:tabs>
    </w:pPr>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25E10-758A-442A-83AF-5929A11A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Application>LibreOffice/5.2.7.2$Windows_X86_64 LibreOffice_project/2b7f1e640c46ceb28adf43ee075a6e8b8439ed10</Application>
  <Pages>14</Pages>
  <Words>5595</Words>
  <Characters>32478</Characters>
  <CharactersWithSpaces>37657</CharactersWithSpaces>
  <Paragraphs>251</Paragraphs>
  <Company>HNMD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2022-04-18T17:15:00Z</dcterms:created>
  <dc:creator>Hugo Sales</dc:creator>
  <dc:description/>
  <dc:language>pt-BR</dc:language>
  <cp:lastModifiedBy/>
  <cp:lastPrinted>2023-01-02T11:31:00Z</cp:lastPrinted>
  <dcterms:modified xsi:type="dcterms:W3CDTF">2023-06-28T13:58:04Z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HNMD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