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5E494" w14:textId="77777777" w:rsidR="00BC70A7" w:rsidRDefault="00000000">
      <w:pPr>
        <w:pStyle w:val="Nivel2"/>
        <w:jc w:val="center"/>
        <w:rPr>
          <w:rFonts w:ascii="Calibri" w:hAnsi="Calibri" w:cs="Calibri"/>
          <w:color w:val="000000" w:themeColor="text1"/>
          <w:sz w:val="24"/>
          <w:szCs w:val="24"/>
        </w:rPr>
      </w:pPr>
      <w:r>
        <w:rPr>
          <w:rFonts w:cs="Calibri"/>
          <w:color w:val="000000" w:themeColor="text1"/>
        </w:rPr>
        <w:t>MARINHA DO BRASIL</w:t>
      </w:r>
    </w:p>
    <w:p w14:paraId="7455E495" w14:textId="77777777" w:rsidR="00BC70A7" w:rsidRDefault="00000000">
      <w:pPr>
        <w:pStyle w:val="Nivel2"/>
        <w:jc w:val="center"/>
        <w:rPr>
          <w:rFonts w:ascii="Calibri" w:hAnsi="Calibri" w:cs="Calibri"/>
          <w:color w:val="000000" w:themeColor="text1"/>
          <w:sz w:val="24"/>
          <w:szCs w:val="24"/>
        </w:rPr>
      </w:pPr>
      <w:commentRangeStart w:id="0"/>
      <w:r>
        <w:rPr>
          <w:rFonts w:cs="Calibri"/>
          <w:color w:val="000000" w:themeColor="text1"/>
        </w:rPr>
        <w:t>COMANDO DO 1º DISTRITO NAVAL</w:t>
      </w:r>
    </w:p>
    <w:p w14:paraId="7455E496" w14:textId="77777777" w:rsidR="00BC70A7" w:rsidRDefault="00000000">
      <w:pPr>
        <w:pStyle w:val="Nivel2"/>
        <w:jc w:val="center"/>
        <w:rPr>
          <w:rFonts w:ascii="Calibri" w:hAnsi="Calibri" w:cs="Calibri"/>
          <w:color w:val="000000" w:themeColor="text1"/>
          <w:sz w:val="24"/>
          <w:szCs w:val="24"/>
        </w:rPr>
      </w:pPr>
      <w:r>
        <w:rPr>
          <w:rFonts w:cs="Calibri"/>
          <w:color w:val="000000" w:themeColor="text1"/>
        </w:rPr>
        <w:t xml:space="preserve">(Processo Administrativo n° </w:t>
      </w:r>
      <w:r>
        <w:rPr>
          <w:rStyle w:val="nfaseforte"/>
          <w:rFonts w:eastAsia="Times New Roman" w:cs="Calibri"/>
          <w:b w:val="0"/>
          <w:bCs w:val="0"/>
          <w:iCs/>
          <w:color w:val="000000" w:themeColor="text1"/>
          <w:shd w:val="clear" w:color="auto" w:fill="FFFFFF"/>
          <w:lang w:eastAsia="en-US"/>
        </w:rPr>
        <w:t>62002.007173/2023-91</w:t>
      </w:r>
      <w:r>
        <w:rPr>
          <w:rFonts w:cs="Calibri"/>
          <w:bCs/>
          <w:color w:val="000000" w:themeColor="text1"/>
        </w:rPr>
        <w:t>)</w:t>
      </w:r>
      <w:commentRangeEnd w:id="0"/>
      <w:r>
        <w:commentReference w:id="0"/>
      </w:r>
    </w:p>
    <w:p w14:paraId="7455E497" w14:textId="77777777" w:rsidR="00BC70A7" w:rsidRDefault="00000000">
      <w:pPr>
        <w:pStyle w:val="Nivel2"/>
        <w:jc w:val="center"/>
        <w:rPr>
          <w:rFonts w:ascii="Calibri" w:hAnsi="Calibri" w:cs="Calibri"/>
          <w:color w:val="000000" w:themeColor="text1"/>
          <w:sz w:val="24"/>
          <w:szCs w:val="24"/>
        </w:rPr>
      </w:pPr>
      <w:r>
        <w:rPr>
          <w:rFonts w:cs="Calibri"/>
          <w:color w:val="000000" w:themeColor="text1"/>
        </w:rPr>
        <w:t>CONDIÇÕES GERAIS DA CONTRATAÇÃO</w:t>
      </w:r>
    </w:p>
    <w:p w14:paraId="7455E498" w14:textId="77777777" w:rsidR="00BC70A7" w:rsidRDefault="00000000">
      <w:pPr>
        <w:pStyle w:val="Nivel2"/>
        <w:numPr>
          <w:ilvl w:val="0"/>
          <w:numId w:val="1"/>
        </w:numPr>
        <w:rPr>
          <w:rFonts w:ascii="Calibri" w:hAnsi="Calibri" w:cs="Calibri"/>
          <w:color w:val="000000" w:themeColor="text1"/>
          <w:sz w:val="24"/>
          <w:szCs w:val="24"/>
        </w:rPr>
      </w:pPr>
      <w:r>
        <w:rPr>
          <w:rFonts w:cs="Calibri"/>
          <w:color w:val="000000" w:themeColor="text1"/>
        </w:rPr>
        <w:t>Aquisição de mobiliário para o Comando do 1º Distrito Naval</w:t>
      </w:r>
      <w:r>
        <w:rPr>
          <w:rFonts w:cs="Calibri"/>
          <w:b/>
          <w:bCs/>
          <w:color w:val="000000" w:themeColor="text1"/>
        </w:rPr>
        <w:t>,</w:t>
      </w:r>
      <w:r>
        <w:rPr>
          <w:rFonts w:cs="Calibri"/>
          <w:color w:val="000000" w:themeColor="text1"/>
        </w:rPr>
        <w:t xml:space="preserve"> nos termos da tabela Anexo A, conforme condições e exigências estabelecidas neste instrumento.</w:t>
      </w:r>
    </w:p>
    <w:tbl>
      <w:tblPr>
        <w:tblW w:w="1048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3" w:type="dxa"/>
          <w:bottom w:w="28" w:type="dxa"/>
          <w:right w:w="28" w:type="dxa"/>
        </w:tblCellMar>
        <w:tblLook w:val="04A0" w:firstRow="1" w:lastRow="0" w:firstColumn="1" w:lastColumn="0" w:noHBand="0" w:noVBand="1"/>
      </w:tblPr>
      <w:tblGrid>
        <w:gridCol w:w="363"/>
        <w:gridCol w:w="4575"/>
        <w:gridCol w:w="942"/>
        <w:gridCol w:w="537"/>
        <w:gridCol w:w="596"/>
        <w:gridCol w:w="607"/>
        <w:gridCol w:w="1279"/>
        <w:gridCol w:w="1586"/>
      </w:tblGrid>
      <w:tr w:rsidR="00BC70A7" w14:paraId="7455E4A1" w14:textId="77777777">
        <w:trPr>
          <w:trHeight w:val="566"/>
        </w:trPr>
        <w:tc>
          <w:tcPr>
            <w:tcW w:w="36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99" w14:textId="77777777" w:rsidR="00BC70A7" w:rsidRDefault="00000000">
            <w:pPr>
              <w:pStyle w:val="Nivel2"/>
            </w:pPr>
            <w:r>
              <w:rPr>
                <w:rFonts w:cs="Calibri"/>
                <w:color w:val="000000" w:themeColor="text1"/>
              </w:rPr>
              <w:t>Nº</w:t>
            </w:r>
          </w:p>
        </w:tc>
        <w:tc>
          <w:tcPr>
            <w:tcW w:w="457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9A" w14:textId="77777777" w:rsidR="00BC70A7" w:rsidRDefault="00000000">
            <w:pPr>
              <w:pStyle w:val="Nivel2"/>
            </w:pPr>
            <w:r>
              <w:rPr>
                <w:rFonts w:cs="Calibri"/>
                <w:color w:val="000000" w:themeColor="text1"/>
              </w:rPr>
              <w:t>Descrição Detalhada</w:t>
            </w:r>
          </w:p>
        </w:tc>
        <w:tc>
          <w:tcPr>
            <w:tcW w:w="94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9B" w14:textId="77777777" w:rsidR="00BC70A7" w:rsidRDefault="00000000">
            <w:pPr>
              <w:pStyle w:val="Nivel2"/>
            </w:pPr>
            <w:r>
              <w:rPr>
                <w:rFonts w:cs="Calibri"/>
                <w:color w:val="000000" w:themeColor="text1"/>
              </w:rPr>
              <w:t>CATMAT</w:t>
            </w:r>
          </w:p>
        </w:tc>
        <w:tc>
          <w:tcPr>
            <w:tcW w:w="53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9C" w14:textId="77777777" w:rsidR="00BC70A7" w:rsidRDefault="00000000">
            <w:pPr>
              <w:pStyle w:val="Nivel2"/>
            </w:pPr>
            <w:r>
              <w:rPr>
                <w:rFonts w:cs="Calibri"/>
                <w:color w:val="000000" w:themeColor="text1"/>
              </w:rPr>
              <w:t>QTD Mín</w:t>
            </w:r>
          </w:p>
        </w:tc>
        <w:tc>
          <w:tcPr>
            <w:tcW w:w="5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9D" w14:textId="77777777" w:rsidR="00BC70A7" w:rsidRDefault="00000000">
            <w:pPr>
              <w:pStyle w:val="Nivel2"/>
            </w:pPr>
            <w:r>
              <w:rPr>
                <w:rFonts w:cs="Calibri"/>
                <w:color w:val="000000" w:themeColor="text1"/>
              </w:rPr>
              <w:t>QTD Máx</w:t>
            </w:r>
          </w:p>
        </w:tc>
        <w:tc>
          <w:tcPr>
            <w:tcW w:w="60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9E" w14:textId="77777777" w:rsidR="00BC70A7" w:rsidRDefault="00000000">
            <w:pPr>
              <w:pStyle w:val="Nivel2"/>
            </w:pPr>
            <w:r>
              <w:rPr>
                <w:rFonts w:cs="Calibri"/>
                <w:color w:val="000000" w:themeColor="text1"/>
              </w:rPr>
              <w:t>QTD Total</w:t>
            </w:r>
          </w:p>
        </w:tc>
        <w:tc>
          <w:tcPr>
            <w:tcW w:w="127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9F" w14:textId="77777777" w:rsidR="00BC70A7" w:rsidRDefault="00000000">
            <w:pPr>
              <w:pStyle w:val="Nivel2"/>
            </w:pPr>
            <w:r>
              <w:rPr>
                <w:rFonts w:cs="Calibri"/>
                <w:color w:val="000000" w:themeColor="text1"/>
              </w:rPr>
              <w:t xml:space="preserve">Valor Unitário </w:t>
            </w:r>
          </w:p>
        </w:tc>
        <w:tc>
          <w:tcPr>
            <w:tcW w:w="158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A0" w14:textId="77777777" w:rsidR="00BC70A7" w:rsidRDefault="00000000">
            <w:pPr>
              <w:pStyle w:val="Nivel2"/>
            </w:pPr>
            <w:r>
              <w:rPr>
                <w:rFonts w:cs="Calibri"/>
                <w:color w:val="000000" w:themeColor="text1"/>
              </w:rPr>
              <w:t xml:space="preserve">Valor Total </w:t>
            </w:r>
          </w:p>
        </w:tc>
      </w:tr>
      <w:tr w:rsidR="00BC70A7" w14:paraId="7455E4AA" w14:textId="77777777">
        <w:trPr>
          <w:trHeight w:val="881"/>
        </w:trPr>
        <w:tc>
          <w:tcPr>
            <w:tcW w:w="36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A2" w14:textId="77777777" w:rsidR="00BC70A7" w:rsidRDefault="00000000">
            <w:pPr>
              <w:pStyle w:val="Nivel2"/>
            </w:pPr>
            <w:r>
              <w:rPr>
                <w:rFonts w:cs="Calibri"/>
                <w:color w:val="000000" w:themeColor="text1"/>
              </w:rPr>
              <w:t>1</w:t>
            </w:r>
          </w:p>
        </w:tc>
        <w:tc>
          <w:tcPr>
            <w:tcW w:w="457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A3" w14:textId="77777777" w:rsidR="00BC70A7" w:rsidRDefault="00000000">
            <w:pPr>
              <w:pStyle w:val="Nivel2"/>
            </w:pPr>
            <w:r>
              <w:rPr>
                <w:rFonts w:cs="Calibri"/>
                <w:color w:val="000000" w:themeColor="text1"/>
              </w:rPr>
              <w:t>Mesa Escritório - Altura: 0,74 M, Largura: 1,20 M, Características Adicionais: Com Chave , Profundidade: 0.60 M, Material Estrutura: Aço , Quantidade Gavetas: 2 UN, Material Tampo: Mdp , Cor Tampo: Cinza , Espessura Tampo: 15 M</w:t>
            </w:r>
          </w:p>
        </w:tc>
        <w:tc>
          <w:tcPr>
            <w:tcW w:w="94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A4" w14:textId="77777777" w:rsidR="00BC70A7" w:rsidRDefault="00000000">
            <w:pPr>
              <w:pStyle w:val="Nivel2"/>
            </w:pPr>
            <w:r>
              <w:rPr>
                <w:rFonts w:cs="Calibri"/>
                <w:color w:val="000000" w:themeColor="text1"/>
              </w:rPr>
              <w:t>483246</w:t>
            </w:r>
          </w:p>
        </w:tc>
        <w:tc>
          <w:tcPr>
            <w:tcW w:w="53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A5" w14:textId="77777777" w:rsidR="00BC70A7" w:rsidRDefault="00000000">
            <w:pPr>
              <w:pStyle w:val="Nivel2"/>
            </w:pPr>
            <w:r>
              <w:rPr>
                <w:rFonts w:cs="Calibri"/>
                <w:color w:val="000000" w:themeColor="text1"/>
              </w:rPr>
              <w:t>1</w:t>
            </w:r>
          </w:p>
        </w:tc>
        <w:tc>
          <w:tcPr>
            <w:tcW w:w="5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A6" w14:textId="77777777" w:rsidR="00BC70A7" w:rsidRDefault="00000000">
            <w:pPr>
              <w:pStyle w:val="Nivel2"/>
            </w:pPr>
            <w:r>
              <w:rPr>
                <w:rFonts w:cs="Calibri"/>
                <w:color w:val="000000" w:themeColor="text1"/>
              </w:rPr>
              <w:t>10</w:t>
            </w:r>
          </w:p>
        </w:tc>
        <w:tc>
          <w:tcPr>
            <w:tcW w:w="60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A7" w14:textId="77777777" w:rsidR="00BC70A7" w:rsidRDefault="00000000">
            <w:pPr>
              <w:pStyle w:val="Nivel2"/>
            </w:pPr>
            <w:r>
              <w:rPr>
                <w:rFonts w:cs="Calibri"/>
                <w:color w:val="000000" w:themeColor="text1"/>
              </w:rPr>
              <w:t>20</w:t>
            </w:r>
          </w:p>
        </w:tc>
        <w:tc>
          <w:tcPr>
            <w:tcW w:w="127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A8" w14:textId="77777777" w:rsidR="00BC70A7" w:rsidRDefault="00000000">
            <w:pPr>
              <w:pStyle w:val="Nivel2"/>
            </w:pPr>
            <w:r>
              <w:rPr>
                <w:rFonts w:cs="Calibri"/>
                <w:color w:val="000000" w:themeColor="text1"/>
              </w:rPr>
              <w:t xml:space="preserve">R$ 353,81 </w:t>
            </w:r>
          </w:p>
        </w:tc>
        <w:tc>
          <w:tcPr>
            <w:tcW w:w="158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A9" w14:textId="77777777" w:rsidR="00BC70A7" w:rsidRDefault="00000000">
            <w:pPr>
              <w:pStyle w:val="Nivel2"/>
            </w:pPr>
            <w:r>
              <w:rPr>
                <w:rFonts w:cs="Calibri"/>
                <w:color w:val="000000" w:themeColor="text1"/>
              </w:rPr>
              <w:t xml:space="preserve">R$ 7.076,20 </w:t>
            </w:r>
          </w:p>
        </w:tc>
      </w:tr>
      <w:tr w:rsidR="00BC70A7" w14:paraId="7455E4B3" w14:textId="77777777">
        <w:trPr>
          <w:trHeight w:val="2786"/>
        </w:trPr>
        <w:tc>
          <w:tcPr>
            <w:tcW w:w="36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AB" w14:textId="77777777" w:rsidR="00BC70A7" w:rsidRDefault="00000000">
            <w:pPr>
              <w:pStyle w:val="Nivel2"/>
            </w:pPr>
            <w:r>
              <w:rPr>
                <w:rFonts w:cs="Calibri"/>
                <w:color w:val="000000" w:themeColor="text1"/>
              </w:rPr>
              <w:t>2</w:t>
            </w:r>
          </w:p>
        </w:tc>
        <w:tc>
          <w:tcPr>
            <w:tcW w:w="457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AC" w14:textId="77777777" w:rsidR="00BC70A7" w:rsidRDefault="00000000">
            <w:pPr>
              <w:pStyle w:val="Nivel2"/>
            </w:pPr>
            <w:r>
              <w:rPr>
                <w:rFonts w:cs="Calibri"/>
                <w:color w:val="000000" w:themeColor="text1"/>
              </w:rPr>
              <w:t>Mesa de Reunião – Tampo inteiriço, com formato retangular ou oval, confeccionado com 25 mm de espessura; O bordo que acompanha todo o contorno do tampo é encabeçado com fita de poliestireno com 2,5 mm de espessura mínima, coladas com adesivo hot melt, com arestas arredondadas e raio ergonômico de 2,5 mm de acordo com as Normas ABNT; Dimensões aproximadas: 2400x1100x740mm; A fixação do tampo/estrutura deverá ser feita por meio de parafusos máquina M6, fixados por meio de buchas metálicas confeccionadas em zamak, cravadas na face inferior do tampo; Painéis frontais duplos e paralelos, um em cada coluna vertical da estrutura, estrutural e de privacidade, confeccionados com 18mm de espessura; O bordo que acompanha todo o contorno do painel é encabeçado em fita de poliestireno com 0,45 mm de espessura mínima, coladas com adesivo hot melt.</w:t>
            </w:r>
          </w:p>
        </w:tc>
        <w:tc>
          <w:tcPr>
            <w:tcW w:w="94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AD" w14:textId="77777777" w:rsidR="00BC70A7" w:rsidRDefault="00000000">
            <w:pPr>
              <w:pStyle w:val="Nivel2"/>
            </w:pPr>
            <w:r>
              <w:rPr>
                <w:rFonts w:cs="Calibri"/>
                <w:color w:val="000000" w:themeColor="text1"/>
              </w:rPr>
              <w:t>416576</w:t>
            </w:r>
          </w:p>
        </w:tc>
        <w:tc>
          <w:tcPr>
            <w:tcW w:w="53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AE" w14:textId="77777777" w:rsidR="00BC70A7" w:rsidRDefault="00000000">
            <w:pPr>
              <w:pStyle w:val="Nivel2"/>
            </w:pPr>
            <w:r>
              <w:rPr>
                <w:rFonts w:cs="Calibri"/>
                <w:color w:val="000000" w:themeColor="text1"/>
              </w:rPr>
              <w:t>1</w:t>
            </w:r>
          </w:p>
        </w:tc>
        <w:tc>
          <w:tcPr>
            <w:tcW w:w="5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AF" w14:textId="77777777" w:rsidR="00BC70A7" w:rsidRDefault="00000000">
            <w:pPr>
              <w:pStyle w:val="Nivel2"/>
            </w:pPr>
            <w:r>
              <w:rPr>
                <w:rFonts w:cs="Calibri"/>
                <w:color w:val="000000" w:themeColor="text1"/>
              </w:rPr>
              <w:t>3</w:t>
            </w:r>
          </w:p>
        </w:tc>
        <w:tc>
          <w:tcPr>
            <w:tcW w:w="60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B0" w14:textId="77777777" w:rsidR="00BC70A7" w:rsidRDefault="00000000">
            <w:pPr>
              <w:pStyle w:val="Nivel2"/>
            </w:pPr>
            <w:r>
              <w:rPr>
                <w:rFonts w:cs="Calibri"/>
                <w:color w:val="000000" w:themeColor="text1"/>
              </w:rPr>
              <w:t>5</w:t>
            </w:r>
          </w:p>
        </w:tc>
        <w:tc>
          <w:tcPr>
            <w:tcW w:w="127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B1" w14:textId="77777777" w:rsidR="00BC70A7" w:rsidRDefault="00000000">
            <w:pPr>
              <w:pStyle w:val="Nivel2"/>
            </w:pPr>
            <w:r>
              <w:rPr>
                <w:rFonts w:cs="Calibri"/>
                <w:color w:val="000000" w:themeColor="text1"/>
              </w:rPr>
              <w:t xml:space="preserve">R$ 1.300,13 </w:t>
            </w:r>
          </w:p>
        </w:tc>
        <w:tc>
          <w:tcPr>
            <w:tcW w:w="158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B2" w14:textId="77777777" w:rsidR="00BC70A7" w:rsidRDefault="00000000">
            <w:pPr>
              <w:pStyle w:val="Nivel2"/>
            </w:pPr>
            <w:r>
              <w:rPr>
                <w:rFonts w:cs="Calibri"/>
                <w:color w:val="000000" w:themeColor="text1"/>
              </w:rPr>
              <w:t xml:space="preserve">R$ 6.500,65 </w:t>
            </w:r>
          </w:p>
        </w:tc>
      </w:tr>
      <w:tr w:rsidR="00BC70A7" w14:paraId="7455E4BC" w14:textId="77777777">
        <w:trPr>
          <w:trHeight w:val="356"/>
        </w:trPr>
        <w:tc>
          <w:tcPr>
            <w:tcW w:w="36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B4" w14:textId="77777777" w:rsidR="00BC70A7" w:rsidRDefault="00000000">
            <w:pPr>
              <w:pStyle w:val="Nivel2"/>
            </w:pPr>
            <w:r>
              <w:rPr>
                <w:rFonts w:cs="Calibri"/>
                <w:color w:val="000000" w:themeColor="text1"/>
              </w:rPr>
              <w:t>3</w:t>
            </w:r>
          </w:p>
        </w:tc>
        <w:tc>
          <w:tcPr>
            <w:tcW w:w="457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B5" w14:textId="77777777" w:rsidR="00BC70A7" w:rsidRDefault="00000000">
            <w:pPr>
              <w:pStyle w:val="Nivel2"/>
            </w:pPr>
            <w:r>
              <w:rPr>
                <w:rFonts w:cs="Calibri"/>
                <w:color w:val="000000" w:themeColor="text1"/>
              </w:rPr>
              <w:t>Gaveteiro volante 03 gavetas (2+1) – dimensões 400 x 650 x 460 (LxAxP)</w:t>
            </w:r>
          </w:p>
        </w:tc>
        <w:tc>
          <w:tcPr>
            <w:tcW w:w="94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B6" w14:textId="77777777" w:rsidR="00BC70A7" w:rsidRDefault="00000000">
            <w:pPr>
              <w:pStyle w:val="Nivel2"/>
            </w:pPr>
            <w:r>
              <w:rPr>
                <w:rFonts w:cs="Calibri"/>
                <w:color w:val="000000" w:themeColor="text1"/>
              </w:rPr>
              <w:t>355043</w:t>
            </w:r>
          </w:p>
        </w:tc>
        <w:tc>
          <w:tcPr>
            <w:tcW w:w="53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B7" w14:textId="77777777" w:rsidR="00BC70A7" w:rsidRDefault="00000000">
            <w:pPr>
              <w:pStyle w:val="Nivel2"/>
            </w:pPr>
            <w:r>
              <w:rPr>
                <w:rFonts w:cs="Calibri"/>
                <w:color w:val="000000" w:themeColor="text1"/>
              </w:rPr>
              <w:t>1</w:t>
            </w:r>
          </w:p>
        </w:tc>
        <w:tc>
          <w:tcPr>
            <w:tcW w:w="5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B8" w14:textId="77777777" w:rsidR="00BC70A7" w:rsidRDefault="00000000">
            <w:pPr>
              <w:pStyle w:val="Nivel2"/>
            </w:pPr>
            <w:r>
              <w:rPr>
                <w:rFonts w:cs="Calibri"/>
                <w:color w:val="000000" w:themeColor="text1"/>
              </w:rPr>
              <w:t>10</w:t>
            </w:r>
          </w:p>
        </w:tc>
        <w:tc>
          <w:tcPr>
            <w:tcW w:w="60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B9" w14:textId="77777777" w:rsidR="00BC70A7" w:rsidRDefault="00000000">
            <w:pPr>
              <w:pStyle w:val="Nivel2"/>
            </w:pPr>
            <w:r>
              <w:rPr>
                <w:rFonts w:cs="Calibri"/>
                <w:color w:val="000000" w:themeColor="text1"/>
              </w:rPr>
              <w:t>20</w:t>
            </w:r>
          </w:p>
        </w:tc>
        <w:tc>
          <w:tcPr>
            <w:tcW w:w="127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BA" w14:textId="77777777" w:rsidR="00BC70A7" w:rsidRDefault="00000000">
            <w:pPr>
              <w:pStyle w:val="Nivel2"/>
            </w:pPr>
            <w:r>
              <w:rPr>
                <w:rFonts w:cs="Calibri"/>
                <w:color w:val="000000" w:themeColor="text1"/>
              </w:rPr>
              <w:t xml:space="preserve">R$ 595,35 </w:t>
            </w:r>
          </w:p>
        </w:tc>
        <w:tc>
          <w:tcPr>
            <w:tcW w:w="158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BB" w14:textId="77777777" w:rsidR="00BC70A7" w:rsidRDefault="00000000">
            <w:pPr>
              <w:pStyle w:val="Nivel2"/>
            </w:pPr>
            <w:r>
              <w:rPr>
                <w:rFonts w:cs="Calibri"/>
                <w:color w:val="000000" w:themeColor="text1"/>
              </w:rPr>
              <w:t xml:space="preserve">R$ 11.907,00 </w:t>
            </w:r>
          </w:p>
        </w:tc>
      </w:tr>
      <w:tr w:rsidR="00BC70A7" w14:paraId="7455E4C5" w14:textId="77777777">
        <w:trPr>
          <w:trHeight w:val="1691"/>
        </w:trPr>
        <w:tc>
          <w:tcPr>
            <w:tcW w:w="36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BD" w14:textId="77777777" w:rsidR="00BC70A7" w:rsidRDefault="00000000">
            <w:pPr>
              <w:pStyle w:val="Nivel2"/>
            </w:pPr>
            <w:r>
              <w:rPr>
                <w:rFonts w:cs="Calibri"/>
                <w:color w:val="000000" w:themeColor="text1"/>
              </w:rPr>
              <w:t>4</w:t>
            </w:r>
          </w:p>
        </w:tc>
        <w:tc>
          <w:tcPr>
            <w:tcW w:w="457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BE" w14:textId="77777777" w:rsidR="00BC70A7" w:rsidRDefault="00000000">
            <w:pPr>
              <w:pStyle w:val="Nivel2"/>
            </w:pPr>
            <w:r>
              <w:rPr>
                <w:rFonts w:cs="Calibri"/>
                <w:color w:val="000000" w:themeColor="text1"/>
              </w:rPr>
              <w:t>Armário aço Chapa #24 (0,60mm espessura), sem portas, 04 prateleiras + base, Capacidade por prateleira 10 pastas. Modelo AZ-50 S/PT. Acabamento: Tratado pelo processo anticorrosivo por fosfatização, processo de pintura em epóxi eletrostática à Pó, secagem em estufa de alta temperatura 150 graus, na cor cinza claro. DETALHAMENTOS: Dimensões Externas: A – 2000 x L – 1200 x P – 320 Corpo e Prateleiras: Chapa #24 – 0,60 mm Quantidades de Prateleiras: 5 Fechamento: Aberto Portas: Não Pés: Fixos Pintura: Epóxi Pó Cor: Cinza</w:t>
            </w:r>
          </w:p>
        </w:tc>
        <w:tc>
          <w:tcPr>
            <w:tcW w:w="94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BF" w14:textId="77777777" w:rsidR="00BC70A7" w:rsidRDefault="00000000">
            <w:pPr>
              <w:pStyle w:val="Nivel2"/>
            </w:pPr>
            <w:r>
              <w:rPr>
                <w:rFonts w:cs="Calibri"/>
                <w:color w:val="000000" w:themeColor="text1"/>
              </w:rPr>
              <w:t>302924</w:t>
            </w:r>
          </w:p>
        </w:tc>
        <w:tc>
          <w:tcPr>
            <w:tcW w:w="53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C0" w14:textId="77777777" w:rsidR="00BC70A7" w:rsidRDefault="00000000">
            <w:pPr>
              <w:pStyle w:val="Nivel2"/>
            </w:pPr>
            <w:r>
              <w:rPr>
                <w:rFonts w:cs="Calibri"/>
                <w:color w:val="000000" w:themeColor="text1"/>
              </w:rPr>
              <w:t>1</w:t>
            </w:r>
          </w:p>
        </w:tc>
        <w:tc>
          <w:tcPr>
            <w:tcW w:w="5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C1" w14:textId="77777777" w:rsidR="00BC70A7" w:rsidRDefault="00000000">
            <w:pPr>
              <w:pStyle w:val="Nivel2"/>
            </w:pPr>
            <w:r>
              <w:rPr>
                <w:rFonts w:cs="Calibri"/>
                <w:color w:val="000000" w:themeColor="text1"/>
              </w:rPr>
              <w:t>10</w:t>
            </w:r>
          </w:p>
        </w:tc>
        <w:tc>
          <w:tcPr>
            <w:tcW w:w="60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C2" w14:textId="77777777" w:rsidR="00BC70A7" w:rsidRDefault="00000000">
            <w:pPr>
              <w:pStyle w:val="Nivel2"/>
            </w:pPr>
            <w:r>
              <w:rPr>
                <w:rFonts w:cs="Calibri"/>
                <w:color w:val="000000" w:themeColor="text1"/>
              </w:rPr>
              <w:t>20</w:t>
            </w:r>
          </w:p>
        </w:tc>
        <w:tc>
          <w:tcPr>
            <w:tcW w:w="127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C3" w14:textId="77777777" w:rsidR="00BC70A7" w:rsidRDefault="00000000">
            <w:pPr>
              <w:pStyle w:val="Nivel2"/>
            </w:pPr>
            <w:r>
              <w:rPr>
                <w:rFonts w:cs="Calibri"/>
                <w:color w:val="000000" w:themeColor="text1"/>
              </w:rPr>
              <w:t xml:space="preserve">R$ 1.383,54 </w:t>
            </w:r>
          </w:p>
        </w:tc>
        <w:tc>
          <w:tcPr>
            <w:tcW w:w="158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C4" w14:textId="77777777" w:rsidR="00BC70A7" w:rsidRDefault="00000000">
            <w:pPr>
              <w:pStyle w:val="Nivel2"/>
            </w:pPr>
            <w:r>
              <w:rPr>
                <w:rFonts w:cs="Calibri"/>
                <w:color w:val="000000" w:themeColor="text1"/>
              </w:rPr>
              <w:t xml:space="preserve">R$ 27.670,80 </w:t>
            </w:r>
          </w:p>
        </w:tc>
      </w:tr>
      <w:tr w:rsidR="00BC70A7" w14:paraId="7455E4CE" w14:textId="77777777">
        <w:trPr>
          <w:trHeight w:val="1421"/>
        </w:trPr>
        <w:tc>
          <w:tcPr>
            <w:tcW w:w="36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C6" w14:textId="77777777" w:rsidR="00BC70A7" w:rsidRDefault="00000000">
            <w:pPr>
              <w:pStyle w:val="Nivel2"/>
            </w:pPr>
            <w:r>
              <w:rPr>
                <w:rFonts w:cs="Calibri"/>
                <w:color w:val="000000" w:themeColor="text1"/>
              </w:rPr>
              <w:t>5</w:t>
            </w:r>
          </w:p>
        </w:tc>
        <w:tc>
          <w:tcPr>
            <w:tcW w:w="457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C7" w14:textId="77777777" w:rsidR="00BC70A7" w:rsidRDefault="00000000">
            <w:pPr>
              <w:pStyle w:val="Nivel2"/>
            </w:pPr>
            <w:r>
              <w:rPr>
                <w:rFonts w:cs="Calibri"/>
                <w:color w:val="000000" w:themeColor="text1"/>
              </w:rPr>
              <w:t xml:space="preserve">Cadeira presidente - Cadeira Escritório Tipo Sistema Regulagem Vertical: A Gás , Cor: Preta , Características Adicionais: Tipo Poltrona Presidente, Braço Em Couro , Material Estrutura: Aço Cromado , Material Revestimento Assento E Encosto: Couro , Material Encosto: Espuma Injetada , Material Assento: Espuma Injetada , Tipo Base: Giratória Com 5 Rodízios Duplos , Tipo Encosto: Espaldar Alto , Apoio Braço: Com Braços </w:t>
            </w:r>
          </w:p>
        </w:tc>
        <w:tc>
          <w:tcPr>
            <w:tcW w:w="94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C8" w14:textId="77777777" w:rsidR="00BC70A7" w:rsidRDefault="00000000">
            <w:pPr>
              <w:pStyle w:val="Nivel2"/>
            </w:pPr>
            <w:r>
              <w:rPr>
                <w:rFonts w:cs="Calibri"/>
                <w:color w:val="000000" w:themeColor="text1"/>
              </w:rPr>
              <w:t>390178</w:t>
            </w:r>
          </w:p>
        </w:tc>
        <w:tc>
          <w:tcPr>
            <w:tcW w:w="53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C9" w14:textId="77777777" w:rsidR="00BC70A7" w:rsidRDefault="00000000">
            <w:pPr>
              <w:pStyle w:val="Nivel2"/>
            </w:pPr>
            <w:r>
              <w:rPr>
                <w:rFonts w:cs="Calibri"/>
                <w:color w:val="000000" w:themeColor="text1"/>
              </w:rPr>
              <w:t>1</w:t>
            </w:r>
          </w:p>
        </w:tc>
        <w:tc>
          <w:tcPr>
            <w:tcW w:w="5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CA" w14:textId="77777777" w:rsidR="00BC70A7" w:rsidRDefault="00000000">
            <w:pPr>
              <w:pStyle w:val="Nivel2"/>
            </w:pPr>
            <w:r>
              <w:rPr>
                <w:rFonts w:cs="Calibri"/>
                <w:color w:val="000000" w:themeColor="text1"/>
              </w:rPr>
              <w:t>15</w:t>
            </w:r>
          </w:p>
        </w:tc>
        <w:tc>
          <w:tcPr>
            <w:tcW w:w="60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CB" w14:textId="77777777" w:rsidR="00BC70A7" w:rsidRDefault="00000000">
            <w:pPr>
              <w:pStyle w:val="Nivel2"/>
            </w:pPr>
            <w:r>
              <w:rPr>
                <w:rFonts w:cs="Calibri"/>
                <w:color w:val="000000" w:themeColor="text1"/>
              </w:rPr>
              <w:t>30</w:t>
            </w:r>
          </w:p>
        </w:tc>
        <w:tc>
          <w:tcPr>
            <w:tcW w:w="127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CC" w14:textId="77777777" w:rsidR="00BC70A7" w:rsidRDefault="00000000">
            <w:pPr>
              <w:pStyle w:val="Nivel2"/>
            </w:pPr>
            <w:r>
              <w:rPr>
                <w:rFonts w:cs="Calibri"/>
                <w:color w:val="000000" w:themeColor="text1"/>
              </w:rPr>
              <w:t xml:space="preserve">R$ 815,00 </w:t>
            </w:r>
          </w:p>
        </w:tc>
        <w:tc>
          <w:tcPr>
            <w:tcW w:w="158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CD" w14:textId="77777777" w:rsidR="00BC70A7" w:rsidRDefault="00000000">
            <w:pPr>
              <w:pStyle w:val="Nivel2"/>
            </w:pPr>
            <w:r>
              <w:rPr>
                <w:rFonts w:cs="Calibri"/>
                <w:color w:val="000000" w:themeColor="text1"/>
              </w:rPr>
              <w:t xml:space="preserve">R$ 24.450,00 </w:t>
            </w:r>
          </w:p>
        </w:tc>
      </w:tr>
      <w:tr w:rsidR="00BC70A7" w14:paraId="7455E4D7" w14:textId="77777777">
        <w:trPr>
          <w:trHeight w:val="1151"/>
        </w:trPr>
        <w:tc>
          <w:tcPr>
            <w:tcW w:w="36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CF" w14:textId="77777777" w:rsidR="00BC70A7" w:rsidRDefault="00000000">
            <w:pPr>
              <w:pStyle w:val="Nivel2"/>
            </w:pPr>
            <w:r>
              <w:rPr>
                <w:rFonts w:cs="Calibri"/>
                <w:color w:val="000000" w:themeColor="text1"/>
              </w:rPr>
              <w:lastRenderedPageBreak/>
              <w:t>6</w:t>
            </w:r>
          </w:p>
        </w:tc>
        <w:tc>
          <w:tcPr>
            <w:tcW w:w="457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D0" w14:textId="77777777" w:rsidR="00BC70A7" w:rsidRDefault="00000000">
            <w:pPr>
              <w:pStyle w:val="Nivel2"/>
            </w:pPr>
            <w:r>
              <w:rPr>
                <w:rFonts w:cs="Calibri"/>
                <w:color w:val="000000" w:themeColor="text1"/>
              </w:rPr>
              <w:t xml:space="preserve">Cadeira escritório - Cadeira Escritório Material Estrutura: Alumínio , Material Revestimento Assento E Encosto: Couro , Material Encosto: Madeira Multilaminada , Tipo Base: Giratória , Tipo Encosto: Espaldar Alto , Apoio Braço: Com Braços , Tipo Sistema Regulagem Vertical: A Gás , Quantidade Pés: 5 UN, Dimensões Assento: 85 X 71 C </w:t>
            </w:r>
          </w:p>
        </w:tc>
        <w:tc>
          <w:tcPr>
            <w:tcW w:w="94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D1" w14:textId="77777777" w:rsidR="00BC70A7" w:rsidRDefault="00000000">
            <w:pPr>
              <w:pStyle w:val="Nivel2"/>
            </w:pPr>
            <w:r>
              <w:rPr>
                <w:rFonts w:cs="Calibri"/>
                <w:color w:val="000000" w:themeColor="text1"/>
              </w:rPr>
              <w:t>607744</w:t>
            </w:r>
          </w:p>
        </w:tc>
        <w:tc>
          <w:tcPr>
            <w:tcW w:w="53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D2" w14:textId="77777777" w:rsidR="00BC70A7" w:rsidRDefault="00000000">
            <w:pPr>
              <w:pStyle w:val="Nivel2"/>
            </w:pPr>
            <w:r>
              <w:rPr>
                <w:rFonts w:cs="Calibri"/>
                <w:color w:val="000000" w:themeColor="text1"/>
              </w:rPr>
              <w:t>1</w:t>
            </w:r>
          </w:p>
        </w:tc>
        <w:tc>
          <w:tcPr>
            <w:tcW w:w="5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D3" w14:textId="77777777" w:rsidR="00BC70A7" w:rsidRDefault="00000000">
            <w:pPr>
              <w:pStyle w:val="Nivel2"/>
            </w:pPr>
            <w:r>
              <w:rPr>
                <w:rFonts w:cs="Calibri"/>
                <w:color w:val="000000" w:themeColor="text1"/>
              </w:rPr>
              <w:t>50</w:t>
            </w:r>
          </w:p>
        </w:tc>
        <w:tc>
          <w:tcPr>
            <w:tcW w:w="60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D4" w14:textId="77777777" w:rsidR="00BC70A7" w:rsidRDefault="00000000">
            <w:pPr>
              <w:pStyle w:val="Nivel2"/>
            </w:pPr>
            <w:r>
              <w:rPr>
                <w:rFonts w:cs="Calibri"/>
                <w:color w:val="000000" w:themeColor="text1"/>
              </w:rPr>
              <w:t>100</w:t>
            </w:r>
          </w:p>
        </w:tc>
        <w:tc>
          <w:tcPr>
            <w:tcW w:w="127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D5" w14:textId="77777777" w:rsidR="00BC70A7" w:rsidRDefault="00000000">
            <w:pPr>
              <w:pStyle w:val="Nivel2"/>
            </w:pPr>
            <w:r>
              <w:rPr>
                <w:rFonts w:cs="Calibri"/>
                <w:color w:val="000000" w:themeColor="text1"/>
              </w:rPr>
              <w:t xml:space="preserve">R$ 679,80 </w:t>
            </w:r>
          </w:p>
        </w:tc>
        <w:tc>
          <w:tcPr>
            <w:tcW w:w="158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D6" w14:textId="77777777" w:rsidR="00BC70A7" w:rsidRDefault="00000000">
            <w:pPr>
              <w:pStyle w:val="Nivel2"/>
            </w:pPr>
            <w:r>
              <w:rPr>
                <w:rFonts w:cs="Calibri"/>
                <w:color w:val="000000" w:themeColor="text1"/>
              </w:rPr>
              <w:t xml:space="preserve">R$ 67.980,00 </w:t>
            </w:r>
          </w:p>
        </w:tc>
      </w:tr>
      <w:tr w:rsidR="00BC70A7" w14:paraId="7455E4E0" w14:textId="77777777">
        <w:trPr>
          <w:trHeight w:val="1421"/>
        </w:trPr>
        <w:tc>
          <w:tcPr>
            <w:tcW w:w="36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D8" w14:textId="77777777" w:rsidR="00BC70A7" w:rsidRDefault="00000000">
            <w:pPr>
              <w:pStyle w:val="Nivel2"/>
            </w:pPr>
            <w:r>
              <w:rPr>
                <w:rFonts w:cs="Calibri"/>
                <w:color w:val="000000" w:themeColor="text1"/>
              </w:rPr>
              <w:t>7</w:t>
            </w:r>
          </w:p>
        </w:tc>
        <w:tc>
          <w:tcPr>
            <w:tcW w:w="457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D9" w14:textId="77777777" w:rsidR="00BC70A7" w:rsidRDefault="00000000">
            <w:pPr>
              <w:pStyle w:val="Nivel2"/>
            </w:pPr>
            <w:r>
              <w:rPr>
                <w:rFonts w:cs="Calibri"/>
                <w:color w:val="000000" w:themeColor="text1"/>
              </w:rPr>
              <w:t xml:space="preserve">Cadeira escritório - Cadeira Escritório Material Estrutura: Metálica , Material Revestimento Assento E Encosto: Tecido 100% Poliéster , Material Encosto: Espuma Injetada , Material Assento: Espuma Injetada , Tratamento Superficial Estrutura: Pintura Em Epóxi , Tipo Base: Fixa C/4 Pés , Tipo Encosto: Baixo , Apoio Braço: Com Braços Reguláveis , Cor: Azul , Características Adicionais: Tipo Longarina Com 3 Lugares , Cor Estrutura: Grafite , Altura: 101 CM, Largura: 58 C </w:t>
            </w:r>
          </w:p>
        </w:tc>
        <w:tc>
          <w:tcPr>
            <w:tcW w:w="94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DA" w14:textId="77777777" w:rsidR="00BC70A7" w:rsidRDefault="00000000">
            <w:pPr>
              <w:pStyle w:val="Nivel2"/>
            </w:pPr>
            <w:r>
              <w:rPr>
                <w:rFonts w:cs="Calibri"/>
                <w:color w:val="000000" w:themeColor="text1"/>
              </w:rPr>
              <w:t>258860</w:t>
            </w:r>
          </w:p>
        </w:tc>
        <w:tc>
          <w:tcPr>
            <w:tcW w:w="53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DB" w14:textId="77777777" w:rsidR="00BC70A7" w:rsidRDefault="00000000">
            <w:pPr>
              <w:pStyle w:val="Nivel2"/>
            </w:pPr>
            <w:r>
              <w:rPr>
                <w:rFonts w:cs="Calibri"/>
                <w:color w:val="000000" w:themeColor="text1"/>
              </w:rPr>
              <w:t>1</w:t>
            </w:r>
          </w:p>
        </w:tc>
        <w:tc>
          <w:tcPr>
            <w:tcW w:w="5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DC" w14:textId="77777777" w:rsidR="00BC70A7" w:rsidRDefault="00000000">
            <w:pPr>
              <w:pStyle w:val="Nivel2"/>
            </w:pPr>
            <w:r>
              <w:rPr>
                <w:rFonts w:cs="Calibri"/>
                <w:color w:val="000000" w:themeColor="text1"/>
              </w:rPr>
              <w:t>5</w:t>
            </w:r>
          </w:p>
        </w:tc>
        <w:tc>
          <w:tcPr>
            <w:tcW w:w="60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DD" w14:textId="77777777" w:rsidR="00BC70A7" w:rsidRDefault="00000000">
            <w:pPr>
              <w:pStyle w:val="Nivel2"/>
            </w:pPr>
            <w:r>
              <w:rPr>
                <w:rFonts w:cs="Calibri"/>
                <w:color w:val="000000" w:themeColor="text1"/>
              </w:rPr>
              <w:t>10</w:t>
            </w:r>
          </w:p>
        </w:tc>
        <w:tc>
          <w:tcPr>
            <w:tcW w:w="127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DE" w14:textId="77777777" w:rsidR="00BC70A7" w:rsidRDefault="00000000">
            <w:pPr>
              <w:pStyle w:val="Nivel2"/>
            </w:pPr>
            <w:r>
              <w:rPr>
                <w:rFonts w:cs="Calibri"/>
                <w:color w:val="000000" w:themeColor="text1"/>
              </w:rPr>
              <w:t xml:space="preserve">R$ 2.113,33 </w:t>
            </w:r>
          </w:p>
        </w:tc>
        <w:tc>
          <w:tcPr>
            <w:tcW w:w="158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DF" w14:textId="77777777" w:rsidR="00BC70A7" w:rsidRDefault="00000000">
            <w:pPr>
              <w:pStyle w:val="Nivel2"/>
            </w:pPr>
            <w:r>
              <w:rPr>
                <w:rFonts w:cs="Calibri"/>
                <w:color w:val="000000" w:themeColor="text1"/>
              </w:rPr>
              <w:t xml:space="preserve">R$ 21.133,30 </w:t>
            </w:r>
          </w:p>
        </w:tc>
      </w:tr>
      <w:tr w:rsidR="00BC70A7" w14:paraId="7455E4E9" w14:textId="77777777">
        <w:trPr>
          <w:trHeight w:val="356"/>
        </w:trPr>
        <w:tc>
          <w:tcPr>
            <w:tcW w:w="36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E1" w14:textId="77777777" w:rsidR="00BC70A7" w:rsidRDefault="00000000">
            <w:pPr>
              <w:pStyle w:val="Nivel2"/>
            </w:pPr>
            <w:r>
              <w:rPr>
                <w:rFonts w:cs="Calibri"/>
                <w:color w:val="000000" w:themeColor="text1"/>
              </w:rPr>
              <w:t>8</w:t>
            </w:r>
          </w:p>
        </w:tc>
        <w:tc>
          <w:tcPr>
            <w:tcW w:w="457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E2" w14:textId="77777777" w:rsidR="00BC70A7" w:rsidRDefault="00000000">
            <w:pPr>
              <w:pStyle w:val="Nivel2"/>
            </w:pPr>
            <w:r>
              <w:rPr>
                <w:rFonts w:cs="Calibri"/>
                <w:color w:val="000000" w:themeColor="text1"/>
              </w:rPr>
              <w:t>Roupeiro de aço Fepom 2 Portas | Chapa 24 - Maçaneta c/ chave - NR 24 / NR18 </w:t>
            </w:r>
          </w:p>
        </w:tc>
        <w:tc>
          <w:tcPr>
            <w:tcW w:w="94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E3" w14:textId="77777777" w:rsidR="00BC70A7" w:rsidRDefault="00000000">
            <w:pPr>
              <w:pStyle w:val="Nivel2"/>
            </w:pPr>
            <w:r>
              <w:rPr>
                <w:rFonts w:cs="Calibri"/>
                <w:color w:val="000000" w:themeColor="text1"/>
              </w:rPr>
              <w:t>463054</w:t>
            </w:r>
          </w:p>
        </w:tc>
        <w:tc>
          <w:tcPr>
            <w:tcW w:w="53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E4" w14:textId="77777777" w:rsidR="00BC70A7" w:rsidRDefault="00000000">
            <w:pPr>
              <w:pStyle w:val="Nivel2"/>
            </w:pPr>
            <w:r>
              <w:rPr>
                <w:rFonts w:cs="Calibri"/>
                <w:color w:val="000000" w:themeColor="text1"/>
              </w:rPr>
              <w:t>1</w:t>
            </w:r>
          </w:p>
        </w:tc>
        <w:tc>
          <w:tcPr>
            <w:tcW w:w="5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E5" w14:textId="77777777" w:rsidR="00BC70A7" w:rsidRDefault="00000000">
            <w:pPr>
              <w:pStyle w:val="Nivel2"/>
            </w:pPr>
            <w:r>
              <w:rPr>
                <w:rFonts w:cs="Calibri"/>
                <w:color w:val="000000" w:themeColor="text1"/>
              </w:rPr>
              <w:t>25</w:t>
            </w:r>
          </w:p>
        </w:tc>
        <w:tc>
          <w:tcPr>
            <w:tcW w:w="60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E6" w14:textId="77777777" w:rsidR="00BC70A7" w:rsidRDefault="00000000">
            <w:pPr>
              <w:pStyle w:val="Nivel2"/>
            </w:pPr>
            <w:r>
              <w:rPr>
                <w:rFonts w:cs="Calibri"/>
                <w:color w:val="000000" w:themeColor="text1"/>
              </w:rPr>
              <w:t>50</w:t>
            </w:r>
          </w:p>
        </w:tc>
        <w:tc>
          <w:tcPr>
            <w:tcW w:w="127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E7" w14:textId="77777777" w:rsidR="00BC70A7" w:rsidRDefault="00000000">
            <w:pPr>
              <w:pStyle w:val="Nivel2"/>
            </w:pPr>
            <w:r>
              <w:rPr>
                <w:rFonts w:cs="Calibri"/>
                <w:color w:val="000000" w:themeColor="text1"/>
              </w:rPr>
              <w:t xml:space="preserve">R$ 1.215,57 </w:t>
            </w:r>
          </w:p>
        </w:tc>
        <w:tc>
          <w:tcPr>
            <w:tcW w:w="158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E8" w14:textId="77777777" w:rsidR="00BC70A7" w:rsidRDefault="00000000">
            <w:pPr>
              <w:pStyle w:val="Nivel2"/>
            </w:pPr>
            <w:r>
              <w:rPr>
                <w:rFonts w:cs="Calibri"/>
                <w:color w:val="000000" w:themeColor="text1"/>
              </w:rPr>
              <w:t>R$ 60.778,50</w:t>
            </w:r>
          </w:p>
        </w:tc>
      </w:tr>
      <w:tr w:rsidR="00BC70A7" w14:paraId="7455E4F2" w14:textId="77777777">
        <w:trPr>
          <w:trHeight w:val="881"/>
        </w:trPr>
        <w:tc>
          <w:tcPr>
            <w:tcW w:w="36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EA" w14:textId="77777777" w:rsidR="00BC70A7" w:rsidRDefault="00000000">
            <w:pPr>
              <w:pStyle w:val="Nivel2"/>
            </w:pPr>
            <w:r>
              <w:rPr>
                <w:rFonts w:cs="Calibri"/>
                <w:color w:val="000000" w:themeColor="text1"/>
              </w:rPr>
              <w:t>9</w:t>
            </w:r>
          </w:p>
        </w:tc>
        <w:tc>
          <w:tcPr>
            <w:tcW w:w="457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EB" w14:textId="77777777" w:rsidR="00BC70A7" w:rsidRDefault="00000000">
            <w:pPr>
              <w:pStyle w:val="Nivel2"/>
            </w:pPr>
            <w:r>
              <w:rPr>
                <w:rFonts w:cs="Calibri"/>
                <w:color w:val="000000" w:themeColor="text1"/>
              </w:rPr>
              <w:t>Cama Conjugada Material: Aço , Acabamento Superficial: Pintura Eletrostática , Altura: 150 CM, Comprimento: 178 CM, Cor: Bege , Largura: 78 CM, Características Adicionais: Com Escada, Proteção Lateral , Quantidade Leitos: 2 U</w:t>
            </w:r>
          </w:p>
        </w:tc>
        <w:tc>
          <w:tcPr>
            <w:tcW w:w="942"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EC" w14:textId="77777777" w:rsidR="00BC70A7" w:rsidRDefault="00000000">
            <w:pPr>
              <w:pStyle w:val="Nivel2"/>
            </w:pPr>
            <w:r>
              <w:rPr>
                <w:rFonts w:cs="Calibri"/>
                <w:color w:val="000000" w:themeColor="text1"/>
              </w:rPr>
              <w:t>411991</w:t>
            </w:r>
          </w:p>
        </w:tc>
        <w:tc>
          <w:tcPr>
            <w:tcW w:w="53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ED" w14:textId="77777777" w:rsidR="00BC70A7" w:rsidRDefault="00000000">
            <w:pPr>
              <w:pStyle w:val="Nivel2"/>
            </w:pPr>
            <w:r>
              <w:rPr>
                <w:rFonts w:cs="Calibri"/>
                <w:color w:val="000000" w:themeColor="text1"/>
              </w:rPr>
              <w:t>1</w:t>
            </w:r>
          </w:p>
        </w:tc>
        <w:tc>
          <w:tcPr>
            <w:tcW w:w="59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EE" w14:textId="77777777" w:rsidR="00BC70A7" w:rsidRDefault="00000000">
            <w:pPr>
              <w:pStyle w:val="Nivel2"/>
            </w:pPr>
            <w:r>
              <w:rPr>
                <w:rFonts w:cs="Calibri"/>
                <w:color w:val="000000" w:themeColor="text1"/>
              </w:rPr>
              <w:t>5</w:t>
            </w:r>
          </w:p>
        </w:tc>
        <w:tc>
          <w:tcPr>
            <w:tcW w:w="607"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EF" w14:textId="77777777" w:rsidR="00BC70A7" w:rsidRDefault="00000000">
            <w:pPr>
              <w:pStyle w:val="Nivel2"/>
            </w:pPr>
            <w:r>
              <w:rPr>
                <w:rFonts w:cs="Calibri"/>
                <w:color w:val="000000" w:themeColor="text1"/>
              </w:rPr>
              <w:t>10</w:t>
            </w:r>
          </w:p>
        </w:tc>
        <w:tc>
          <w:tcPr>
            <w:tcW w:w="127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F0" w14:textId="77777777" w:rsidR="00BC70A7" w:rsidRDefault="00000000">
            <w:pPr>
              <w:pStyle w:val="Nivel2"/>
            </w:pPr>
            <w:r>
              <w:rPr>
                <w:rFonts w:cs="Calibri"/>
                <w:color w:val="000000" w:themeColor="text1"/>
              </w:rPr>
              <w:t xml:space="preserve">R$ 1.031,71 </w:t>
            </w:r>
          </w:p>
        </w:tc>
        <w:tc>
          <w:tcPr>
            <w:tcW w:w="158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F1" w14:textId="77777777" w:rsidR="00BC70A7" w:rsidRDefault="00000000">
            <w:pPr>
              <w:pStyle w:val="Nivel2"/>
            </w:pPr>
            <w:r>
              <w:rPr>
                <w:rFonts w:cs="Calibri"/>
                <w:color w:val="000000" w:themeColor="text1"/>
              </w:rPr>
              <w:t xml:space="preserve">R$ 10.317,10 </w:t>
            </w:r>
          </w:p>
        </w:tc>
      </w:tr>
      <w:tr w:rsidR="00BC70A7" w14:paraId="7455E4F5" w14:textId="77777777">
        <w:trPr>
          <w:trHeight w:val="356"/>
        </w:trPr>
        <w:tc>
          <w:tcPr>
            <w:tcW w:w="8897" w:type="dxa"/>
            <w:gridSpan w:val="7"/>
            <w:tcBorders>
              <w:top w:val="single" w:sz="2" w:space="0" w:color="000000"/>
              <w:left w:val="single" w:sz="2" w:space="0" w:color="000000"/>
              <w:bottom w:val="single" w:sz="2" w:space="0" w:color="000000"/>
              <w:right w:val="single" w:sz="2" w:space="0" w:color="000000"/>
            </w:tcBorders>
            <w:shd w:val="clear" w:color="auto" w:fill="auto"/>
            <w:vAlign w:val="center"/>
          </w:tcPr>
          <w:p w14:paraId="7455E4F3" w14:textId="77777777" w:rsidR="00BC70A7" w:rsidRDefault="00000000">
            <w:pPr>
              <w:pStyle w:val="Nivel2"/>
            </w:pPr>
            <w:r>
              <w:rPr>
                <w:rFonts w:cs="Calibri"/>
                <w:color w:val="000000" w:themeColor="text1"/>
              </w:rPr>
              <w:t>TOTAL</w:t>
            </w:r>
          </w:p>
        </w:tc>
        <w:tc>
          <w:tcPr>
            <w:tcW w:w="158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455E4F4" w14:textId="77777777" w:rsidR="00BC70A7" w:rsidRDefault="00000000">
            <w:pPr>
              <w:pStyle w:val="Nivel2"/>
            </w:pPr>
            <w:bookmarkStart w:id="1" w:name="__DdeLink__658_2504758063"/>
            <w:r>
              <w:rPr>
                <w:rFonts w:cs="Calibri"/>
                <w:color w:val="000000" w:themeColor="text1"/>
              </w:rPr>
              <w:t>R$ 237.813,55</w:t>
            </w:r>
            <w:bookmarkEnd w:id="1"/>
          </w:p>
        </w:tc>
      </w:tr>
    </w:tbl>
    <w:p w14:paraId="7455E4F6" w14:textId="77777777" w:rsidR="00BC70A7" w:rsidRDefault="00000000">
      <w:pPr>
        <w:pStyle w:val="Nivel2"/>
        <w:numPr>
          <w:ilvl w:val="0"/>
          <w:numId w:val="1"/>
        </w:numPr>
        <w:rPr>
          <w:rFonts w:ascii="Calibri" w:hAnsi="Calibri" w:cs="Calibri"/>
          <w:color w:val="000000" w:themeColor="text1"/>
          <w:sz w:val="24"/>
          <w:szCs w:val="24"/>
        </w:rPr>
      </w:pPr>
      <w:commentRangeStart w:id="2"/>
      <w:r>
        <w:rPr>
          <w:rFonts w:cs="Calibri"/>
          <w:color w:val="000000" w:themeColor="text1"/>
        </w:rPr>
        <w:t>Os bens objeto desta contratação são caracterizados como comuns, conforme justificativa constante do Estudo Técnico Preliminar.</w:t>
      </w:r>
      <w:commentRangeEnd w:id="2"/>
      <w:r>
        <w:commentReference w:id="2"/>
      </w:r>
    </w:p>
    <w:p w14:paraId="7455E4F7" w14:textId="77777777" w:rsidR="00BC70A7" w:rsidRDefault="00000000">
      <w:pPr>
        <w:pStyle w:val="Nivel2"/>
        <w:numPr>
          <w:ilvl w:val="0"/>
          <w:numId w:val="1"/>
        </w:numPr>
        <w:rPr>
          <w:rFonts w:ascii="Calibri" w:hAnsi="Calibri" w:cs="Calibri"/>
          <w:color w:val="000000" w:themeColor="text1"/>
          <w:sz w:val="24"/>
          <w:szCs w:val="24"/>
        </w:rPr>
      </w:pPr>
      <w:r>
        <w:rPr>
          <w:rFonts w:cs="Calibri"/>
          <w:color w:val="000000" w:themeColor="text1"/>
        </w:rPr>
        <w:t>O objeto desta contratação não se enquadra como sendo de bem de luxo, conforme Decreto nº 10.818, de 27 de setembro de 2021.</w:t>
      </w:r>
    </w:p>
    <w:p w14:paraId="7455E4F8" w14:textId="77777777" w:rsidR="00BC70A7" w:rsidRDefault="00000000">
      <w:pPr>
        <w:pStyle w:val="Nivel2"/>
        <w:numPr>
          <w:ilvl w:val="0"/>
          <w:numId w:val="1"/>
        </w:numPr>
        <w:rPr>
          <w:rFonts w:ascii="Calibri" w:hAnsi="Calibri" w:cs="Calibri"/>
          <w:color w:val="000000" w:themeColor="text1"/>
          <w:sz w:val="24"/>
          <w:szCs w:val="24"/>
        </w:rPr>
      </w:pPr>
      <w:r>
        <w:rPr>
          <w:rFonts w:cs="Calibri"/>
          <w:color w:val="000000" w:themeColor="text1"/>
        </w:rPr>
        <w:t>O prazo de vigência da contratação é de 12 meses contados da assinatura da ATA de registro de preços, na forma do artigo 105 da Lei n° 14.133, de 2021.</w:t>
      </w:r>
    </w:p>
    <w:p w14:paraId="7455E4F9" w14:textId="77777777" w:rsidR="00BC70A7" w:rsidRDefault="00000000">
      <w:pPr>
        <w:pStyle w:val="Nivel2"/>
        <w:numPr>
          <w:ilvl w:val="0"/>
          <w:numId w:val="1"/>
        </w:numPr>
        <w:rPr>
          <w:rFonts w:ascii="Calibri" w:hAnsi="Calibri" w:cs="Calibri"/>
          <w:color w:val="000000" w:themeColor="text1"/>
          <w:sz w:val="24"/>
          <w:szCs w:val="24"/>
        </w:rPr>
      </w:pPr>
      <w:r>
        <w:rPr>
          <w:rFonts w:cs="Calibri"/>
          <w:color w:val="000000" w:themeColor="text1"/>
        </w:rPr>
        <w:t>O contrato oferece maior detalhamento das regras que serão aplicadas em relação à vigência da contratação.</w:t>
      </w:r>
    </w:p>
    <w:p w14:paraId="7455E4FA" w14:textId="77777777" w:rsidR="00BC70A7" w:rsidRDefault="00000000">
      <w:pPr>
        <w:pStyle w:val="Nivel2"/>
        <w:numPr>
          <w:ilvl w:val="0"/>
          <w:numId w:val="1"/>
        </w:numPr>
        <w:rPr>
          <w:rFonts w:ascii="Calibri" w:hAnsi="Calibri" w:cs="Calibri"/>
          <w:color w:val="000000" w:themeColor="text1"/>
          <w:sz w:val="24"/>
          <w:szCs w:val="24"/>
        </w:rPr>
      </w:pPr>
      <w:r>
        <w:rPr>
          <w:rFonts w:cs="Calibri"/>
          <w:color w:val="000000" w:themeColor="text1"/>
        </w:rPr>
        <w:t>FUNDAMENTAÇÃO E DESCRIÇÃO DA NECESSIDADE DA CONTRATAÇÃO</w:t>
      </w:r>
    </w:p>
    <w:p w14:paraId="7455E4FB" w14:textId="77777777" w:rsidR="00BC70A7" w:rsidRDefault="00000000">
      <w:pPr>
        <w:pStyle w:val="Nivel2"/>
        <w:numPr>
          <w:ilvl w:val="1"/>
          <w:numId w:val="1"/>
        </w:numPr>
        <w:rPr>
          <w:rFonts w:ascii="Calibri" w:hAnsi="Calibri" w:cs="Calibri"/>
          <w:color w:val="000000" w:themeColor="text1"/>
          <w:sz w:val="24"/>
          <w:szCs w:val="24"/>
        </w:rPr>
      </w:pPr>
      <w:r>
        <w:rPr>
          <w:rFonts w:cs="Calibri"/>
          <w:color w:val="000000" w:themeColor="text1"/>
        </w:rPr>
        <w:t>A Fundamentação da Contratação e de seus quantitativos encontra-se pormenorizada em Tópico específico dos Estudos Técnicos Preliminares, apêndice deste Termo de Referência.</w:t>
      </w:r>
    </w:p>
    <w:p w14:paraId="7455E4FC" w14:textId="77777777" w:rsidR="00BC70A7" w:rsidRDefault="00000000">
      <w:pPr>
        <w:pStyle w:val="Nivel2"/>
        <w:numPr>
          <w:ilvl w:val="1"/>
          <w:numId w:val="1"/>
        </w:numPr>
        <w:rPr>
          <w:rFonts w:ascii="Calibri" w:hAnsi="Calibri" w:cs="Calibri"/>
          <w:color w:val="000000" w:themeColor="text1"/>
          <w:sz w:val="24"/>
          <w:szCs w:val="24"/>
        </w:rPr>
      </w:pPr>
      <w:r>
        <w:rPr>
          <w:rFonts w:cs="Calibri"/>
          <w:color w:val="000000" w:themeColor="text1"/>
        </w:rPr>
        <w:t>O objeto da contratação está previsto no Plano de Contratações Anual 2023, conforme consta das informações básicas desse termo de referência.</w:t>
      </w:r>
    </w:p>
    <w:p w14:paraId="7455E4FD" w14:textId="77777777" w:rsidR="00BC70A7" w:rsidRDefault="00000000">
      <w:pPr>
        <w:pStyle w:val="Nivel2"/>
        <w:numPr>
          <w:ilvl w:val="0"/>
          <w:numId w:val="1"/>
        </w:numPr>
        <w:rPr>
          <w:rFonts w:ascii="Calibri" w:hAnsi="Calibri" w:cs="Calibri"/>
          <w:color w:val="000000" w:themeColor="text1"/>
          <w:sz w:val="24"/>
          <w:szCs w:val="24"/>
        </w:rPr>
      </w:pPr>
      <w:r>
        <w:rPr>
          <w:rFonts w:cs="Calibri"/>
          <w:color w:val="000000" w:themeColor="text1"/>
        </w:rPr>
        <w:t>DESCRIÇÃO DA SOLUÇÃO COMO UM TODO CONSIDERADO O CICLO DE VIDA DO OBJETO E ESPECIFICAÇÃO DO PRODUTO</w:t>
      </w:r>
    </w:p>
    <w:p w14:paraId="7455E4FE" w14:textId="77777777" w:rsidR="00BC70A7" w:rsidRDefault="00000000">
      <w:pPr>
        <w:pStyle w:val="Nivel2"/>
        <w:numPr>
          <w:ilvl w:val="1"/>
          <w:numId w:val="1"/>
        </w:numPr>
        <w:rPr>
          <w:rFonts w:ascii="Calibri" w:hAnsi="Calibri" w:cs="Calibri"/>
          <w:color w:val="000000" w:themeColor="text1"/>
          <w:sz w:val="24"/>
          <w:szCs w:val="24"/>
        </w:rPr>
      </w:pPr>
      <w:commentRangeStart w:id="3"/>
      <w:r>
        <w:rPr>
          <w:rFonts w:cs="Calibri"/>
          <w:color w:val="000000" w:themeColor="text1"/>
        </w:rPr>
        <w:t>A descrição da solução como um todo encontra-se pormenorizada em tópico específico dos Estudos Técnicos Preliminares, apêndice deste Termo de Referência.</w:t>
      </w:r>
      <w:commentRangeEnd w:id="3"/>
      <w:r>
        <w:commentReference w:id="3"/>
      </w:r>
    </w:p>
    <w:p w14:paraId="7455E4FF" w14:textId="77777777" w:rsidR="00BC70A7" w:rsidRDefault="00000000">
      <w:pPr>
        <w:pStyle w:val="Nivel2"/>
        <w:numPr>
          <w:ilvl w:val="0"/>
          <w:numId w:val="1"/>
        </w:numPr>
        <w:rPr>
          <w:rFonts w:ascii="Calibri" w:hAnsi="Calibri" w:cs="Calibri"/>
          <w:color w:val="000000" w:themeColor="text1"/>
          <w:sz w:val="24"/>
          <w:szCs w:val="24"/>
        </w:rPr>
      </w:pPr>
      <w:r>
        <w:rPr>
          <w:rFonts w:cs="Calibri"/>
          <w:color w:val="000000" w:themeColor="text1"/>
        </w:rPr>
        <w:t>REQUISITOS DA CONTRATAÇÃO</w:t>
      </w:r>
    </w:p>
    <w:p w14:paraId="7455E500" w14:textId="77777777" w:rsidR="00BC70A7" w:rsidRDefault="00000000">
      <w:pPr>
        <w:pStyle w:val="Nivel2"/>
        <w:ind w:left="360"/>
        <w:rPr>
          <w:rFonts w:ascii="Calibri" w:hAnsi="Calibri" w:cs="Calibri"/>
          <w:color w:val="000000" w:themeColor="text1"/>
          <w:sz w:val="24"/>
          <w:szCs w:val="24"/>
        </w:rPr>
      </w:pPr>
      <w:r>
        <w:rPr>
          <w:rFonts w:cs="Calibri"/>
          <w:color w:val="000000" w:themeColor="text1"/>
        </w:rPr>
        <w:t>Sustentabilidade:</w:t>
      </w:r>
    </w:p>
    <w:p w14:paraId="7455E501" w14:textId="77777777" w:rsidR="00BC70A7" w:rsidRDefault="00000000">
      <w:pPr>
        <w:pStyle w:val="Nivel2"/>
        <w:numPr>
          <w:ilvl w:val="1"/>
          <w:numId w:val="1"/>
        </w:numPr>
        <w:rPr>
          <w:rFonts w:ascii="Calibri" w:hAnsi="Calibri" w:cs="Calibri"/>
          <w:color w:val="000000" w:themeColor="text1"/>
          <w:sz w:val="24"/>
          <w:szCs w:val="24"/>
        </w:rPr>
      </w:pPr>
      <w:r>
        <w:rPr>
          <w:rFonts w:cs="Calibri"/>
          <w:color w:val="000000" w:themeColor="text1"/>
        </w:rPr>
        <w:t>Além dos critérios de sustentabilidade eventualmente inseridos na descrição do objeto, devem ser atendidos os seguintes requisitos, que se baseiam no Guia Nacional de Contratações Sustentáveis:</w:t>
      </w:r>
    </w:p>
    <w:p w14:paraId="7455E502" w14:textId="77777777" w:rsidR="00BC70A7" w:rsidRDefault="00000000">
      <w:pPr>
        <w:pStyle w:val="Nivel2"/>
        <w:numPr>
          <w:ilvl w:val="0"/>
          <w:numId w:val="1"/>
        </w:numPr>
        <w:rPr>
          <w:rFonts w:ascii="Calibri" w:hAnsi="Calibri" w:cs="Calibri"/>
          <w:color w:val="000000" w:themeColor="text1"/>
          <w:sz w:val="24"/>
          <w:szCs w:val="24"/>
        </w:rPr>
      </w:pPr>
      <w:r>
        <w:rPr>
          <w:rFonts w:cs="Calibri"/>
          <w:color w:val="000000" w:themeColor="text1"/>
        </w:rPr>
        <w:t>Subcontratação</w:t>
      </w:r>
    </w:p>
    <w:p w14:paraId="7455E503" w14:textId="77777777" w:rsidR="00BC70A7" w:rsidRDefault="00000000">
      <w:pPr>
        <w:pStyle w:val="Nivel2"/>
        <w:numPr>
          <w:ilvl w:val="1"/>
          <w:numId w:val="1"/>
        </w:numPr>
        <w:rPr>
          <w:rFonts w:ascii="Calibri" w:hAnsi="Calibri" w:cs="Calibri"/>
          <w:color w:val="000000" w:themeColor="text1"/>
          <w:sz w:val="24"/>
          <w:szCs w:val="24"/>
        </w:rPr>
      </w:pPr>
      <w:r>
        <w:rPr>
          <w:rFonts w:cs="Calibri"/>
          <w:color w:val="000000" w:themeColor="text1"/>
        </w:rPr>
        <w:t>Não é admitida a subcontratação do objeto contratual.</w:t>
      </w:r>
    </w:p>
    <w:p w14:paraId="7455E504" w14:textId="77777777" w:rsidR="00BC70A7" w:rsidRDefault="00000000">
      <w:pPr>
        <w:pStyle w:val="Nivel2"/>
        <w:numPr>
          <w:ilvl w:val="0"/>
          <w:numId w:val="1"/>
        </w:numPr>
        <w:rPr>
          <w:rFonts w:ascii="Calibri" w:hAnsi="Calibri" w:cs="Calibri"/>
          <w:color w:val="000000" w:themeColor="text1"/>
          <w:sz w:val="24"/>
          <w:szCs w:val="24"/>
        </w:rPr>
      </w:pPr>
      <w:r>
        <w:rPr>
          <w:rFonts w:cs="Calibri"/>
          <w:color w:val="000000" w:themeColor="text1"/>
        </w:rPr>
        <w:t>Garantia da contratação</w:t>
      </w:r>
    </w:p>
    <w:p w14:paraId="7455E505" w14:textId="77777777" w:rsidR="00BC70A7" w:rsidRDefault="00000000">
      <w:pPr>
        <w:pStyle w:val="Nivel2"/>
        <w:numPr>
          <w:ilvl w:val="1"/>
          <w:numId w:val="1"/>
        </w:numPr>
      </w:pPr>
      <w:r>
        <w:rPr>
          <w:rFonts w:cs="Calibri"/>
          <w:color w:val="000000" w:themeColor="text1"/>
        </w:rPr>
        <w:t xml:space="preserve">Não haverá exigência da garantia da contratação dos </w:t>
      </w:r>
      <w:hyperlink r:id="rId11" w:anchor="art96" w:history="1">
        <w:r>
          <w:rPr>
            <w:rStyle w:val="LinkdaInternet"/>
            <w:rFonts w:cs="Calibri"/>
            <w:color w:val="000000" w:themeColor="text1"/>
          </w:rPr>
          <w:t>artigos 96 e seguintes da Lei nº 14.133, de 2021</w:t>
        </w:r>
      </w:hyperlink>
      <w:r>
        <w:rPr>
          <w:rFonts w:cs="Calibri"/>
          <w:color w:val="000000" w:themeColor="text1"/>
        </w:rPr>
        <w:t>, pelas razões constantes do Estudo Técnico Preliminar.</w:t>
      </w:r>
    </w:p>
    <w:p w14:paraId="7455E506" w14:textId="77777777" w:rsidR="00BC70A7" w:rsidRDefault="00000000">
      <w:pPr>
        <w:pStyle w:val="Nivel2"/>
        <w:numPr>
          <w:ilvl w:val="0"/>
          <w:numId w:val="1"/>
        </w:numPr>
        <w:rPr>
          <w:rFonts w:ascii="Calibri" w:hAnsi="Calibri" w:cs="Calibri"/>
          <w:color w:val="000000" w:themeColor="text1"/>
          <w:sz w:val="24"/>
          <w:szCs w:val="24"/>
        </w:rPr>
      </w:pPr>
      <w:r>
        <w:rPr>
          <w:rFonts w:cs="Calibri"/>
          <w:color w:val="000000" w:themeColor="text1"/>
        </w:rPr>
        <w:lastRenderedPageBreak/>
        <w:t>MODELO DE EXECUÇÃO DO OBJETO</w:t>
      </w:r>
    </w:p>
    <w:p w14:paraId="7455E507" w14:textId="77777777" w:rsidR="00BC70A7" w:rsidRDefault="00000000">
      <w:pPr>
        <w:pStyle w:val="Nivel2"/>
        <w:numPr>
          <w:ilvl w:val="0"/>
          <w:numId w:val="1"/>
        </w:numPr>
        <w:rPr>
          <w:rFonts w:ascii="Calibri" w:hAnsi="Calibri" w:cs="Calibri"/>
          <w:color w:val="000000" w:themeColor="text1"/>
          <w:sz w:val="24"/>
          <w:szCs w:val="24"/>
        </w:rPr>
      </w:pPr>
      <w:r>
        <w:rPr>
          <w:rFonts w:cs="Calibri"/>
          <w:color w:val="000000" w:themeColor="text1"/>
        </w:rPr>
        <w:t>Condições de Entrega</w:t>
      </w:r>
    </w:p>
    <w:p w14:paraId="7455E508" w14:textId="0F0A6011" w:rsidR="00BC70A7" w:rsidRDefault="00000000">
      <w:pPr>
        <w:pStyle w:val="Nivel2"/>
        <w:numPr>
          <w:ilvl w:val="1"/>
          <w:numId w:val="1"/>
        </w:numPr>
        <w:rPr>
          <w:rFonts w:ascii="Calibri" w:hAnsi="Calibri" w:cs="Calibri"/>
          <w:color w:val="000000" w:themeColor="text1"/>
          <w:sz w:val="24"/>
          <w:szCs w:val="24"/>
        </w:rPr>
      </w:pPr>
      <w:r>
        <w:rPr>
          <w:rFonts w:cs="Calibri"/>
          <w:color w:val="000000" w:themeColor="text1"/>
        </w:rPr>
        <w:t xml:space="preserve">O prazo de entrega dos bens é de </w:t>
      </w:r>
      <w:r w:rsidR="00BA6F9A">
        <w:rPr>
          <w:rFonts w:cs="Calibri"/>
          <w:color w:val="000000" w:themeColor="text1"/>
        </w:rPr>
        <w:t>30</w:t>
      </w:r>
      <w:r>
        <w:rPr>
          <w:rFonts w:cs="Calibri"/>
          <w:color w:val="000000" w:themeColor="text1"/>
        </w:rPr>
        <w:t xml:space="preserve"> dias, contados da data de recebimento da emissão de empenho pela empresa, em remessa única. </w:t>
      </w:r>
    </w:p>
    <w:p w14:paraId="7455E509" w14:textId="77777777" w:rsidR="00BC70A7" w:rsidRDefault="00000000">
      <w:pPr>
        <w:pStyle w:val="Nivel2"/>
        <w:numPr>
          <w:ilvl w:val="1"/>
          <w:numId w:val="1"/>
        </w:numPr>
        <w:rPr>
          <w:rFonts w:ascii="Calibri" w:hAnsi="Calibri" w:cs="Calibri"/>
          <w:color w:val="000000" w:themeColor="text1"/>
          <w:sz w:val="24"/>
          <w:szCs w:val="24"/>
        </w:rPr>
      </w:pPr>
      <w:r>
        <w:rPr>
          <w:rFonts w:cs="Calibri"/>
          <w:color w:val="000000" w:themeColor="text1"/>
        </w:rPr>
        <w:t>Caso não seja possível a entrega na data assinalada, a empresa deverá comunicar as razões respectivas com pelo menos 05 (</w:t>
      </w:r>
      <w:r>
        <w:rPr>
          <w:rFonts w:eastAsia="MS Gothic" w:cs="Calibri"/>
          <w:color w:val="000000" w:themeColor="text1"/>
        </w:rPr>
        <w:t>cinco</w:t>
      </w:r>
      <w:r>
        <w:rPr>
          <w:rFonts w:cs="Calibri"/>
          <w:color w:val="000000" w:themeColor="text1"/>
        </w:rPr>
        <w:t>) dias de antecedência para que qualquer pleito de prorrogação de prazo seja analisado, ressalvadas situações de caso fortuito e força maior.</w:t>
      </w:r>
    </w:p>
    <w:p w14:paraId="7455E50A" w14:textId="77777777" w:rsidR="00BC70A7" w:rsidRDefault="00000000">
      <w:pPr>
        <w:pStyle w:val="Nivel2"/>
        <w:numPr>
          <w:ilvl w:val="1"/>
          <w:numId w:val="1"/>
        </w:numPr>
        <w:rPr>
          <w:rFonts w:ascii="Calibri" w:hAnsi="Calibri" w:cs="Calibri"/>
          <w:color w:val="000000" w:themeColor="text1"/>
          <w:sz w:val="24"/>
          <w:szCs w:val="24"/>
        </w:rPr>
      </w:pPr>
      <w:r>
        <w:rPr>
          <w:rFonts w:cs="Calibri"/>
          <w:color w:val="000000" w:themeColor="text1"/>
        </w:rPr>
        <w:t>Os bens deverão ser entregues no Comando do 1º Distrito Naval no seguinte endereço: Praça Mauá, nº 65 – Centro-RJ</w:t>
      </w:r>
    </w:p>
    <w:p w14:paraId="7455E50B" w14:textId="77777777" w:rsidR="00BC70A7" w:rsidRDefault="00000000">
      <w:pPr>
        <w:pStyle w:val="Nivel2"/>
        <w:numPr>
          <w:ilvl w:val="0"/>
          <w:numId w:val="1"/>
        </w:numPr>
        <w:rPr>
          <w:rFonts w:ascii="Calibri" w:hAnsi="Calibri" w:cs="Calibri"/>
          <w:color w:val="000000" w:themeColor="text1"/>
          <w:sz w:val="24"/>
          <w:szCs w:val="24"/>
        </w:rPr>
      </w:pPr>
      <w:r>
        <w:rPr>
          <w:rFonts w:cs="Calibri"/>
          <w:color w:val="000000" w:themeColor="text1"/>
        </w:rPr>
        <w:t>Garantia, manutenção e assistência técnica</w:t>
      </w:r>
    </w:p>
    <w:p w14:paraId="7455E50C" w14:textId="77777777" w:rsidR="00BC70A7" w:rsidRDefault="00000000">
      <w:pPr>
        <w:pStyle w:val="Nivel2"/>
        <w:numPr>
          <w:ilvl w:val="1"/>
          <w:numId w:val="1"/>
        </w:numPr>
        <w:rPr>
          <w:rFonts w:ascii="Calibri" w:hAnsi="Calibri" w:cs="Calibri"/>
          <w:color w:val="000000" w:themeColor="text1"/>
          <w:sz w:val="24"/>
          <w:szCs w:val="24"/>
        </w:rPr>
      </w:pPr>
      <w:commentRangeStart w:id="4"/>
      <w:r>
        <w:rPr>
          <w:rFonts w:cs="Calibri"/>
          <w:color w:val="000000" w:themeColor="text1"/>
        </w:rPr>
        <w:t>O prazo de garantia é aquele estabelecido na Lei nº 8.078, de 11 de setembro de 1990 (Código de Defesa do Consumidor)</w:t>
      </w:r>
      <w:commentRangeEnd w:id="4"/>
      <w:r>
        <w:commentReference w:id="4"/>
      </w:r>
    </w:p>
    <w:p w14:paraId="7455E50D" w14:textId="77777777" w:rsidR="00BC70A7" w:rsidRDefault="00000000">
      <w:pPr>
        <w:pStyle w:val="Nivel2"/>
        <w:numPr>
          <w:ilvl w:val="0"/>
          <w:numId w:val="1"/>
        </w:numPr>
        <w:rPr>
          <w:rFonts w:ascii="Calibri" w:hAnsi="Calibri" w:cs="Calibri"/>
          <w:color w:val="000000" w:themeColor="text1"/>
          <w:sz w:val="24"/>
          <w:szCs w:val="24"/>
        </w:rPr>
      </w:pPr>
      <w:r>
        <w:rPr>
          <w:rFonts w:cs="Calibri"/>
          <w:color w:val="000000" w:themeColor="text1"/>
        </w:rPr>
        <w:t>MODELO DE GESTÃO DO CONTRATO</w:t>
      </w:r>
    </w:p>
    <w:p w14:paraId="7455E50E" w14:textId="77777777" w:rsidR="00BC70A7" w:rsidRDefault="00000000">
      <w:pPr>
        <w:pStyle w:val="Nivel2"/>
        <w:numPr>
          <w:ilvl w:val="1"/>
          <w:numId w:val="1"/>
        </w:numPr>
        <w:rPr>
          <w:rFonts w:ascii="Calibri" w:hAnsi="Calibri" w:cs="Calibri"/>
          <w:color w:val="000000" w:themeColor="text1"/>
          <w:sz w:val="24"/>
          <w:szCs w:val="24"/>
        </w:rPr>
      </w:pPr>
      <w:r>
        <w:rPr>
          <w:rFonts w:cs="Calibri"/>
          <w:color w:val="000000" w:themeColor="text1"/>
        </w:rPr>
        <w:t>O contrato deverá ser executado fielmente pelas partes, de acordo com as cláusulas avençadas e as normas da Lei nº 14.133, de 2021, e cada parte responderá pelas consequências de sua inexecução total ou parcial.</w:t>
      </w:r>
    </w:p>
    <w:p w14:paraId="7455E50F" w14:textId="77777777" w:rsidR="00BC70A7" w:rsidRDefault="00000000">
      <w:pPr>
        <w:pStyle w:val="Nivel2"/>
        <w:numPr>
          <w:ilvl w:val="1"/>
          <w:numId w:val="1"/>
        </w:numPr>
        <w:rPr>
          <w:rFonts w:ascii="Calibri" w:hAnsi="Calibri" w:cs="Calibri"/>
          <w:color w:val="000000" w:themeColor="text1"/>
          <w:sz w:val="24"/>
          <w:szCs w:val="24"/>
        </w:rPr>
      </w:pPr>
      <w:r>
        <w:rPr>
          <w:rFonts w:cs="Calibri"/>
          <w:color w:val="000000" w:themeColor="text1"/>
        </w:rPr>
        <w:t>Em caso de impedimento, ordem de paralisação ou suspensão do contrato, o cronograma de execução será prorrogado automaticamente pelo tempo correspondente, anotadas tais circunstâncias mediante simples apostila.</w:t>
      </w:r>
    </w:p>
    <w:p w14:paraId="7455E510" w14:textId="77777777" w:rsidR="00BC70A7" w:rsidRDefault="00000000">
      <w:pPr>
        <w:pStyle w:val="Nivel2"/>
        <w:numPr>
          <w:ilvl w:val="1"/>
          <w:numId w:val="1"/>
        </w:numPr>
        <w:rPr>
          <w:rFonts w:ascii="Calibri" w:hAnsi="Calibri" w:cs="Calibri"/>
          <w:color w:val="000000" w:themeColor="text1"/>
          <w:sz w:val="24"/>
          <w:szCs w:val="24"/>
        </w:rPr>
      </w:pPr>
      <w:r>
        <w:rPr>
          <w:rFonts w:cs="Calibri"/>
          <w:color w:val="000000" w:themeColor="text1"/>
        </w:rPr>
        <w:t>As comunicações entre o órgão ou entidade e a contratada devem ser realizadas por escrito sempre que o ato exigir tal formalidade, admitindo-se o uso de mensagem eletrônica para esse fim.</w:t>
      </w:r>
    </w:p>
    <w:p w14:paraId="7455E511" w14:textId="77777777" w:rsidR="00BC70A7" w:rsidRDefault="00000000">
      <w:pPr>
        <w:pStyle w:val="Nivel2"/>
        <w:numPr>
          <w:ilvl w:val="1"/>
          <w:numId w:val="1"/>
        </w:numPr>
        <w:rPr>
          <w:rFonts w:ascii="Calibri" w:hAnsi="Calibri" w:cs="Calibri"/>
          <w:color w:val="000000" w:themeColor="text1"/>
          <w:sz w:val="24"/>
          <w:szCs w:val="24"/>
        </w:rPr>
      </w:pPr>
      <w:r>
        <w:rPr>
          <w:rFonts w:cs="Calibri"/>
          <w:color w:val="000000" w:themeColor="text1"/>
        </w:rPr>
        <w:t>O órgão ou entidade poderá convocar representante da empresa para adoção de providências que devam ser cumpridas de imediato.</w:t>
      </w:r>
    </w:p>
    <w:p w14:paraId="7455E512" w14:textId="77777777" w:rsidR="00BC70A7" w:rsidRDefault="00000000">
      <w:pPr>
        <w:pStyle w:val="Nivel2"/>
        <w:numPr>
          <w:ilvl w:val="1"/>
          <w:numId w:val="1"/>
        </w:numPr>
        <w:rPr>
          <w:rFonts w:ascii="Calibri" w:hAnsi="Calibri" w:cs="Calibri"/>
          <w:color w:val="000000" w:themeColor="text1"/>
          <w:sz w:val="24"/>
          <w:szCs w:val="24"/>
        </w:rPr>
      </w:pPr>
      <w:r>
        <w:rPr>
          <w:rFonts w:cs="Calibri"/>
          <w:color w:val="000000" w:themeColor="text1"/>
        </w:rPr>
        <w:t>Após a assinatura do contrato ou instrumento equivalente</w:t>
      </w:r>
      <w:r>
        <w:rPr>
          <w:rFonts w:cs="Calibri"/>
          <w:strike/>
          <w:color w:val="000000" w:themeColor="text1"/>
        </w:rPr>
        <w:t>,</w:t>
      </w:r>
      <w:r>
        <w:rPr>
          <w:rFonts w:cs="Calibri"/>
          <w:color w:val="000000" w:themeColor="text1"/>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455E513" w14:textId="77777777" w:rsidR="00BC70A7" w:rsidRDefault="00000000">
      <w:pPr>
        <w:pStyle w:val="Nivel2"/>
        <w:numPr>
          <w:ilvl w:val="0"/>
          <w:numId w:val="1"/>
        </w:numPr>
        <w:rPr>
          <w:rFonts w:ascii="Calibri" w:hAnsi="Calibri" w:cs="Calibri"/>
          <w:color w:val="000000" w:themeColor="text1"/>
          <w:sz w:val="24"/>
          <w:szCs w:val="24"/>
        </w:rPr>
      </w:pPr>
      <w:r>
        <w:rPr>
          <w:rFonts w:cs="Calibri"/>
          <w:color w:val="000000" w:themeColor="text1"/>
        </w:rPr>
        <w:t>Fiscalização</w:t>
      </w:r>
    </w:p>
    <w:p w14:paraId="7455E514" w14:textId="77777777" w:rsidR="00BC70A7" w:rsidRDefault="00000000">
      <w:pPr>
        <w:pStyle w:val="Nivel2"/>
        <w:numPr>
          <w:ilvl w:val="1"/>
          <w:numId w:val="1"/>
        </w:numPr>
      </w:pPr>
      <w:r>
        <w:rPr>
          <w:rFonts w:cs="Calibri"/>
          <w:color w:val="000000" w:themeColor="text1"/>
        </w:rPr>
        <w:t>A execução do contrato deverá ser acompanhada e fiscalizada pelo(s) fiscal(is) do contrato, ou pelos respectivos substitutos (</w:t>
      </w:r>
      <w:hyperlink r:id="rId12" w:anchor="art117" w:history="1">
        <w:r>
          <w:rPr>
            <w:rStyle w:val="LinkdaInternet"/>
            <w:rFonts w:cs="Calibri"/>
            <w:color w:val="000000" w:themeColor="text1"/>
          </w:rPr>
          <w:t>Lei nº 14.133, de 2021, art. 117, caput</w:t>
        </w:r>
      </w:hyperlink>
      <w:r>
        <w:rPr>
          <w:rFonts w:cs="Calibri"/>
          <w:color w:val="000000" w:themeColor="text1"/>
        </w:rPr>
        <w:t>).</w:t>
      </w:r>
    </w:p>
    <w:p w14:paraId="7455E515" w14:textId="77777777" w:rsidR="00BC70A7" w:rsidRDefault="00000000">
      <w:pPr>
        <w:pStyle w:val="Nivel2"/>
        <w:numPr>
          <w:ilvl w:val="0"/>
          <w:numId w:val="1"/>
        </w:numPr>
        <w:rPr>
          <w:rFonts w:ascii="Calibri" w:hAnsi="Calibri" w:cs="Calibri"/>
          <w:color w:val="000000" w:themeColor="text1"/>
          <w:sz w:val="24"/>
          <w:szCs w:val="24"/>
        </w:rPr>
      </w:pPr>
      <w:r>
        <w:rPr>
          <w:rFonts w:cs="Calibri"/>
          <w:color w:val="000000" w:themeColor="text1"/>
        </w:rPr>
        <w:t>Fiscalização Técnica</w:t>
      </w:r>
    </w:p>
    <w:p w14:paraId="7455E516" w14:textId="77777777" w:rsidR="00BC70A7" w:rsidRDefault="00000000">
      <w:pPr>
        <w:pStyle w:val="Nivel2"/>
        <w:numPr>
          <w:ilvl w:val="1"/>
          <w:numId w:val="1"/>
        </w:numPr>
        <w:rPr>
          <w:rFonts w:ascii="Calibri" w:hAnsi="Calibri" w:cs="Calibri"/>
          <w:color w:val="000000" w:themeColor="text1"/>
          <w:sz w:val="24"/>
          <w:szCs w:val="24"/>
        </w:rPr>
      </w:pPr>
      <w:r>
        <w:rPr>
          <w:rFonts w:cs="Calibri"/>
          <w:color w:val="000000" w:themeColor="text1"/>
        </w:rPr>
        <w:t>O fiscal técnico do contrato acompanhará a execução do contrato, para que sejam cumpridas todas as condições estabelecidas no contrato, de modo a assegurar os melhores resultados para a Administração. (Decreto nº 11.246, de 2022, art. 22, VI);</w:t>
      </w:r>
    </w:p>
    <w:p w14:paraId="7455E517" w14:textId="77777777" w:rsidR="00BC70A7" w:rsidRDefault="00000000">
      <w:pPr>
        <w:pStyle w:val="Nivel2"/>
        <w:numPr>
          <w:ilvl w:val="1"/>
          <w:numId w:val="1"/>
        </w:numPr>
      </w:pPr>
      <w:r>
        <w:rPr>
          <w:rFonts w:cs="Calibri"/>
          <w:color w:val="000000" w:themeColor="text1"/>
        </w:rPr>
        <w:t>O fiscal técnico do contrato anotará no histórico de gerenciamento do contrato todas as ocorrências relacionadas à execução do contrato, com a descrição do que for necessário para a regularização das faltas ou dos defeitos observados. (</w:t>
      </w:r>
      <w:hyperlink r:id="rId13" w:anchor="art117§1" w:history="1">
        <w:r>
          <w:rPr>
            <w:rStyle w:val="LinkdaInternet"/>
            <w:rFonts w:cs="Calibri"/>
            <w:color w:val="000000" w:themeColor="text1"/>
          </w:rPr>
          <w:t>Lei nº 14.133, de 2021, art. 117, §1º</w:t>
        </w:r>
      </w:hyperlink>
      <w:r>
        <w:rPr>
          <w:rFonts w:cs="Calibri"/>
          <w:color w:val="000000" w:themeColor="text1"/>
        </w:rPr>
        <w:t xml:space="preserve">, e </w:t>
      </w:r>
      <w:hyperlink r:id="rId14" w:anchor="art22" w:history="1">
        <w:r>
          <w:rPr>
            <w:rStyle w:val="LinkdaInternet"/>
            <w:rFonts w:cs="Calibri"/>
            <w:color w:val="000000" w:themeColor="text1"/>
          </w:rPr>
          <w:t>Decreto nº 11.246, de 2022, art. 22, II);</w:t>
        </w:r>
      </w:hyperlink>
    </w:p>
    <w:p w14:paraId="7455E518" w14:textId="77777777" w:rsidR="00BC70A7" w:rsidRDefault="00000000">
      <w:pPr>
        <w:pStyle w:val="Nivel2"/>
        <w:numPr>
          <w:ilvl w:val="1"/>
          <w:numId w:val="1"/>
        </w:numPr>
      </w:pPr>
      <w:r>
        <w:rPr>
          <w:rFonts w:cs="Calibri"/>
          <w:color w:val="000000" w:themeColor="text1"/>
        </w:rPr>
        <w:t>Identificada qualquer inexatidão ou irregularidade, o fiscal técnico do contrato emitirá notificações para a correção da execução do contrato, determinando prazo para a correção. (</w:t>
      </w:r>
      <w:hyperlink r:id="rId15" w:anchor="art22" w:history="1">
        <w:r>
          <w:rPr>
            <w:rStyle w:val="LinkdaInternet"/>
            <w:rFonts w:cs="Calibri"/>
            <w:color w:val="000000" w:themeColor="text1"/>
          </w:rPr>
          <w:t>Decreto nº 11.246, de 2022, art. 22, III</w:t>
        </w:r>
      </w:hyperlink>
      <w:r>
        <w:rPr>
          <w:rFonts w:cs="Calibri"/>
          <w:color w:val="000000" w:themeColor="text1"/>
        </w:rPr>
        <w:t xml:space="preserve">); </w:t>
      </w:r>
    </w:p>
    <w:p w14:paraId="7455E519" w14:textId="77777777" w:rsidR="00BC70A7" w:rsidRDefault="00000000">
      <w:pPr>
        <w:pStyle w:val="Nivel2"/>
        <w:numPr>
          <w:ilvl w:val="1"/>
          <w:numId w:val="1"/>
        </w:numPr>
      </w:pPr>
      <w:r>
        <w:rPr>
          <w:rFonts w:cs="Calibri"/>
          <w:color w:val="000000" w:themeColor="text1"/>
        </w:rPr>
        <w:t>O fiscal técnico do contrato informará ao gestor do contato, em tempo hábil, a situação que demandar decisão ou adoção de medidas que ultrapassem sua competência, para que adote as medidas necessárias e saneadoras, se for o caso. (</w:t>
      </w:r>
      <w:hyperlink r:id="rId16" w:anchor="art22" w:history="1">
        <w:r>
          <w:rPr>
            <w:rStyle w:val="LinkdaInternet"/>
            <w:rFonts w:cs="Calibri"/>
            <w:color w:val="000000" w:themeColor="text1"/>
          </w:rPr>
          <w:t>Decreto nº 11.246, de 2022, art. 22, IV</w:t>
        </w:r>
      </w:hyperlink>
      <w:r>
        <w:rPr>
          <w:rFonts w:cs="Calibri"/>
          <w:color w:val="000000" w:themeColor="text1"/>
        </w:rPr>
        <w:t>).</w:t>
      </w:r>
    </w:p>
    <w:p w14:paraId="7455E51A" w14:textId="77777777" w:rsidR="00BC70A7" w:rsidRDefault="00000000">
      <w:pPr>
        <w:pStyle w:val="Nivel2"/>
        <w:numPr>
          <w:ilvl w:val="1"/>
          <w:numId w:val="1"/>
        </w:numPr>
      </w:pPr>
      <w:r>
        <w:rPr>
          <w:rFonts w:cs="Calibri"/>
          <w:color w:val="000000" w:themeColor="text1"/>
        </w:rPr>
        <w:t>No caso de ocorrências que possam inviabilizar a execução do contrato nas datas aprazadas, o fiscal técnico do contrato comunicará o fato imediatamente ao gestor do contrato. (</w:t>
      </w:r>
      <w:hyperlink r:id="rId17" w:anchor="art22" w:history="1">
        <w:r>
          <w:rPr>
            <w:rStyle w:val="LinkdaInternet"/>
            <w:rFonts w:cs="Calibri"/>
            <w:color w:val="000000" w:themeColor="text1"/>
          </w:rPr>
          <w:t>Decreto nº 11.246, de 2022, art. 22, V</w:t>
        </w:r>
      </w:hyperlink>
      <w:r>
        <w:rPr>
          <w:rFonts w:cs="Calibri"/>
          <w:color w:val="000000" w:themeColor="text1"/>
        </w:rPr>
        <w:t>).</w:t>
      </w:r>
    </w:p>
    <w:p w14:paraId="7455E51B" w14:textId="77777777" w:rsidR="00BC70A7" w:rsidRDefault="00000000">
      <w:pPr>
        <w:pStyle w:val="Nivel2"/>
        <w:numPr>
          <w:ilvl w:val="1"/>
          <w:numId w:val="1"/>
        </w:numPr>
      </w:pPr>
      <w:r>
        <w:rPr>
          <w:rFonts w:cs="Calibri"/>
          <w:color w:val="000000" w:themeColor="text1"/>
        </w:rPr>
        <w:t xml:space="preserve">O fiscal técnico do contrato comunicará ao gestor do contrato, em tempo hábil, o término do contrato sob sua responsabilidade, com vistas à renovação tempestiva ou à prorrogação contratual </w:t>
      </w:r>
      <w:hyperlink r:id="rId18" w:anchor="art22" w:history="1">
        <w:r>
          <w:rPr>
            <w:rStyle w:val="LinkdaInternet"/>
            <w:rFonts w:cs="Calibri"/>
            <w:color w:val="000000" w:themeColor="text1"/>
          </w:rPr>
          <w:t>(Decreto nº 11.246, de 2022, art. 22, VII</w:t>
        </w:r>
      </w:hyperlink>
      <w:r>
        <w:rPr>
          <w:rFonts w:cs="Calibri"/>
          <w:color w:val="000000" w:themeColor="text1"/>
        </w:rPr>
        <w:t>).</w:t>
      </w:r>
    </w:p>
    <w:p w14:paraId="7455E51C" w14:textId="77777777" w:rsidR="00BC70A7" w:rsidRDefault="00000000">
      <w:pPr>
        <w:pStyle w:val="Nivel2"/>
        <w:numPr>
          <w:ilvl w:val="0"/>
          <w:numId w:val="1"/>
        </w:numPr>
        <w:rPr>
          <w:rFonts w:ascii="Calibri" w:hAnsi="Calibri" w:cs="Calibri"/>
          <w:color w:val="000000" w:themeColor="text1"/>
          <w:sz w:val="24"/>
          <w:szCs w:val="24"/>
        </w:rPr>
      </w:pPr>
      <w:r>
        <w:rPr>
          <w:rFonts w:cs="Calibri"/>
          <w:color w:val="000000" w:themeColor="text1"/>
        </w:rPr>
        <w:lastRenderedPageBreak/>
        <w:t>Fiscalização Administrativa</w:t>
      </w:r>
    </w:p>
    <w:p w14:paraId="7455E51D" w14:textId="77777777" w:rsidR="00BC70A7" w:rsidRDefault="00000000">
      <w:pPr>
        <w:pStyle w:val="Nivel2"/>
        <w:numPr>
          <w:ilvl w:val="1"/>
          <w:numId w:val="1"/>
        </w:numPr>
      </w:pPr>
      <w:r>
        <w:rPr>
          <w:rFonts w:cs="Calibri"/>
          <w:color w:val="000000" w:themeColor="text1"/>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19" w:anchor="art23" w:history="1">
        <w:r>
          <w:rPr>
            <w:rStyle w:val="LinkdaInternet"/>
            <w:rFonts w:cs="Calibri"/>
            <w:color w:val="000000" w:themeColor="text1"/>
          </w:rPr>
          <w:t>Art. 23, I e II, do Decreto nº 11.246, de 2022</w:t>
        </w:r>
      </w:hyperlink>
      <w:r>
        <w:rPr>
          <w:rFonts w:cs="Calibri"/>
          <w:color w:val="000000" w:themeColor="text1"/>
        </w:rPr>
        <w:t>).</w:t>
      </w:r>
    </w:p>
    <w:p w14:paraId="7455E51E" w14:textId="77777777" w:rsidR="00BC70A7" w:rsidRDefault="00000000">
      <w:pPr>
        <w:pStyle w:val="Nivel2"/>
        <w:numPr>
          <w:ilvl w:val="1"/>
          <w:numId w:val="1"/>
        </w:numPr>
      </w:pPr>
      <w:r>
        <w:rPr>
          <w:rFonts w:cs="Calibri"/>
          <w:color w:val="000000" w:themeColor="text1"/>
        </w:rPr>
        <w:t>Caso ocorra descumprimento das obrigações contratuais, o fiscal administrativo do contrato atuará tempestivamente na solução do problema, reportando ao gestor do contrato para que tome as providências cabíveis, quando ultrapassar a sua competência; (</w:t>
      </w:r>
      <w:hyperlink r:id="rId20" w:anchor="art23" w:history="1">
        <w:r>
          <w:rPr>
            <w:rStyle w:val="LinkdaInternet"/>
            <w:rFonts w:cs="Calibri"/>
            <w:color w:val="000000" w:themeColor="text1"/>
          </w:rPr>
          <w:t>Decreto nº 11.246, de 2022, art. 23, IV</w:t>
        </w:r>
      </w:hyperlink>
      <w:r>
        <w:rPr>
          <w:rFonts w:cs="Calibri"/>
          <w:color w:val="000000" w:themeColor="text1"/>
        </w:rPr>
        <w:t>).</w:t>
      </w:r>
    </w:p>
    <w:p w14:paraId="7455E51F" w14:textId="77777777" w:rsidR="00BC70A7" w:rsidRDefault="00000000">
      <w:pPr>
        <w:pStyle w:val="Nivel2"/>
        <w:numPr>
          <w:ilvl w:val="0"/>
          <w:numId w:val="1"/>
        </w:numPr>
        <w:rPr>
          <w:rFonts w:ascii="Calibri" w:hAnsi="Calibri" w:cs="Calibri"/>
          <w:color w:val="000000" w:themeColor="text1"/>
          <w:sz w:val="24"/>
          <w:szCs w:val="24"/>
        </w:rPr>
      </w:pPr>
      <w:r>
        <w:rPr>
          <w:rFonts w:cs="Calibri"/>
          <w:color w:val="000000" w:themeColor="text1"/>
        </w:rPr>
        <w:t>Gestor do Contrato</w:t>
      </w:r>
    </w:p>
    <w:p w14:paraId="7455E520" w14:textId="77777777" w:rsidR="00BC70A7" w:rsidRDefault="00000000">
      <w:pPr>
        <w:pStyle w:val="Nivel2"/>
        <w:numPr>
          <w:ilvl w:val="1"/>
          <w:numId w:val="1"/>
        </w:numPr>
        <w:rPr>
          <w:rFonts w:ascii="Calibri" w:hAnsi="Calibri" w:cs="Calibri"/>
          <w:color w:val="000000" w:themeColor="text1"/>
          <w:sz w:val="24"/>
          <w:szCs w:val="24"/>
        </w:rPr>
      </w:pPr>
      <w:r>
        <w:rPr>
          <w:rFonts w:cs="Calibri"/>
          <w:color w:val="000000" w:themeColor="text1"/>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7455E521" w14:textId="77777777" w:rsidR="00BC70A7" w:rsidRDefault="00000000">
      <w:pPr>
        <w:pStyle w:val="Nivel2"/>
        <w:numPr>
          <w:ilvl w:val="1"/>
          <w:numId w:val="1"/>
        </w:numPr>
        <w:rPr>
          <w:rFonts w:ascii="Calibri" w:hAnsi="Calibri" w:cs="Calibri"/>
          <w:color w:val="000000" w:themeColor="text1"/>
          <w:sz w:val="24"/>
          <w:szCs w:val="24"/>
        </w:rPr>
      </w:pPr>
      <w:r>
        <w:rPr>
          <w:rFonts w:cs="Calibri"/>
          <w:color w:val="000000" w:themeColor="text1"/>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7455E522" w14:textId="77777777" w:rsidR="00BC70A7" w:rsidRDefault="00000000">
      <w:pPr>
        <w:pStyle w:val="Nivel2"/>
        <w:numPr>
          <w:ilvl w:val="1"/>
          <w:numId w:val="1"/>
        </w:numPr>
        <w:rPr>
          <w:rFonts w:ascii="Calibri" w:hAnsi="Calibri" w:cs="Calibri"/>
          <w:color w:val="000000" w:themeColor="text1"/>
          <w:sz w:val="24"/>
          <w:szCs w:val="24"/>
        </w:rPr>
      </w:pPr>
      <w:r>
        <w:rPr>
          <w:rFonts w:cs="Calibri"/>
          <w:color w:val="000000" w:themeColor="text1"/>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7455E523" w14:textId="77777777" w:rsidR="00BC70A7" w:rsidRDefault="00000000">
      <w:pPr>
        <w:pStyle w:val="Nivel2"/>
        <w:numPr>
          <w:ilvl w:val="1"/>
          <w:numId w:val="1"/>
        </w:numPr>
        <w:rPr>
          <w:rFonts w:ascii="Calibri" w:hAnsi="Calibri" w:cs="Calibri"/>
          <w:color w:val="000000" w:themeColor="text1"/>
          <w:sz w:val="24"/>
          <w:szCs w:val="24"/>
        </w:rPr>
      </w:pPr>
      <w:r>
        <w:rPr>
          <w:rFonts w:cs="Calibri"/>
          <w:color w:val="000000" w:themeColor="text1"/>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7455E524" w14:textId="77777777" w:rsidR="00BC70A7" w:rsidRDefault="00000000">
      <w:pPr>
        <w:pStyle w:val="Nivel2"/>
        <w:numPr>
          <w:ilvl w:val="1"/>
          <w:numId w:val="1"/>
        </w:numPr>
        <w:rPr>
          <w:rFonts w:ascii="Calibri" w:hAnsi="Calibri" w:cs="Calibri"/>
          <w:color w:val="000000" w:themeColor="text1"/>
          <w:sz w:val="24"/>
          <w:szCs w:val="24"/>
        </w:rPr>
      </w:pPr>
      <w:r>
        <w:rPr>
          <w:rFonts w:cs="Calibri"/>
          <w:color w:val="000000" w:themeColor="text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7455E525" w14:textId="77777777" w:rsidR="00BC70A7" w:rsidRDefault="00000000">
      <w:pPr>
        <w:pStyle w:val="Nivel2"/>
        <w:numPr>
          <w:ilvl w:val="1"/>
          <w:numId w:val="1"/>
        </w:numPr>
        <w:rPr>
          <w:rFonts w:ascii="Calibri" w:hAnsi="Calibri" w:cs="Calibri"/>
          <w:color w:val="000000" w:themeColor="text1"/>
          <w:sz w:val="24"/>
          <w:szCs w:val="24"/>
        </w:rPr>
      </w:pPr>
      <w:r>
        <w:rPr>
          <w:rFonts w:cs="Calibri"/>
          <w:color w:val="000000" w:themeColor="text1"/>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7455E526" w14:textId="77777777" w:rsidR="00BC70A7" w:rsidRDefault="00000000">
      <w:pPr>
        <w:pStyle w:val="Nivel2"/>
        <w:numPr>
          <w:ilvl w:val="1"/>
          <w:numId w:val="1"/>
        </w:numPr>
        <w:rPr>
          <w:rFonts w:ascii="Calibri" w:hAnsi="Calibri" w:cs="Calibri"/>
          <w:color w:val="000000" w:themeColor="text1"/>
          <w:sz w:val="24"/>
          <w:szCs w:val="24"/>
        </w:rPr>
      </w:pPr>
      <w:r>
        <w:rPr>
          <w:rFonts w:cs="Calibri"/>
          <w:color w:val="000000" w:themeColor="text1"/>
        </w:rPr>
        <w:t>O gestor do contrato deverá enviar a documentação pertinente ao setor de contratos para a formalização dos procedimentos de liquidação e pagamento, no valor dimensionado pela fiscalização e gestão nos termos do contrato.</w:t>
      </w:r>
    </w:p>
    <w:p w14:paraId="7455E527" w14:textId="77777777" w:rsidR="00BC70A7" w:rsidRDefault="00000000">
      <w:pPr>
        <w:pStyle w:val="Nivel2"/>
        <w:numPr>
          <w:ilvl w:val="0"/>
          <w:numId w:val="1"/>
        </w:numPr>
        <w:rPr>
          <w:rFonts w:ascii="Calibri" w:hAnsi="Calibri" w:cs="Calibri"/>
          <w:color w:val="000000" w:themeColor="text1"/>
          <w:sz w:val="24"/>
          <w:szCs w:val="24"/>
        </w:rPr>
      </w:pPr>
      <w:r>
        <w:rPr>
          <w:rFonts w:cs="Calibri"/>
          <w:color w:val="000000" w:themeColor="text1"/>
        </w:rPr>
        <w:t>CRITÉRIOS DE MEDIÇÃO E DE PAGAMENTO</w:t>
      </w:r>
    </w:p>
    <w:p w14:paraId="7455E528" w14:textId="77777777" w:rsidR="00BC70A7" w:rsidRDefault="00000000">
      <w:pPr>
        <w:pStyle w:val="Nivel2"/>
        <w:numPr>
          <w:ilvl w:val="0"/>
          <w:numId w:val="1"/>
        </w:numPr>
        <w:rPr>
          <w:rFonts w:ascii="Calibri" w:hAnsi="Calibri" w:cs="Calibri"/>
          <w:color w:val="000000" w:themeColor="text1"/>
          <w:sz w:val="24"/>
          <w:szCs w:val="24"/>
          <w:lang w:eastAsia="en-US"/>
        </w:rPr>
      </w:pPr>
      <w:r>
        <w:rPr>
          <w:rFonts w:cs="Calibri"/>
          <w:color w:val="000000" w:themeColor="text1"/>
        </w:rPr>
        <w:t>Recebimento</w:t>
      </w:r>
    </w:p>
    <w:p w14:paraId="7455E529" w14:textId="77777777" w:rsidR="00BC70A7" w:rsidRDefault="00000000">
      <w:pPr>
        <w:pStyle w:val="Nivel2"/>
        <w:numPr>
          <w:ilvl w:val="1"/>
          <w:numId w:val="1"/>
        </w:numPr>
        <w:rPr>
          <w:rFonts w:ascii="Calibri" w:hAnsi="Calibri" w:cs="Calibri"/>
          <w:color w:val="000000" w:themeColor="text1"/>
          <w:sz w:val="24"/>
          <w:szCs w:val="24"/>
          <w:lang w:eastAsia="en-US"/>
        </w:rPr>
      </w:pPr>
      <w:commentRangeStart w:id="5"/>
      <w:r>
        <w:rPr>
          <w:rFonts w:cs="Calibri"/>
          <w:color w:val="000000" w:themeColor="text1"/>
          <w:lang w:eastAsia="en-US"/>
        </w:rPr>
        <w:t>Os bens serão recebidos provisoriamente, de forma sumária</w:t>
      </w:r>
      <w:commentRangeEnd w:id="5"/>
      <w:r>
        <w:commentReference w:id="5"/>
      </w:r>
      <w:r>
        <w:rPr>
          <w:rFonts w:cs="Calibri"/>
          <w:color w:val="000000" w:themeColor="text1"/>
          <w:lang w:eastAsia="en-US"/>
        </w:rPr>
        <w:t xml:space="preserve">, no ato da entrega, juntamente com a </w:t>
      </w:r>
      <w:r>
        <w:rPr>
          <w:rFonts w:eastAsia="Calibri" w:cs="Calibri"/>
          <w:color w:val="000000" w:themeColor="text1"/>
          <w:lang w:eastAsia="en-US"/>
        </w:rPr>
        <w:t>nota</w:t>
      </w:r>
      <w:r>
        <w:rPr>
          <w:rFonts w:cs="Calibri"/>
          <w:color w:val="000000" w:themeColor="text1"/>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7455E52A" w14:textId="77777777" w:rsidR="00BC70A7" w:rsidRDefault="00000000">
      <w:pPr>
        <w:pStyle w:val="Nivel2"/>
        <w:numPr>
          <w:ilvl w:val="1"/>
          <w:numId w:val="1"/>
        </w:numPr>
        <w:rPr>
          <w:rFonts w:ascii="Calibri" w:hAnsi="Calibri" w:cs="Calibri"/>
          <w:color w:val="000000" w:themeColor="text1"/>
          <w:sz w:val="24"/>
          <w:szCs w:val="24"/>
          <w:lang w:eastAsia="en-US"/>
        </w:rPr>
      </w:pPr>
      <w:r>
        <w:rPr>
          <w:rFonts w:cs="Calibri"/>
          <w:color w:val="000000" w:themeColor="text1"/>
          <w:lang w:eastAsia="en-US"/>
        </w:rPr>
        <w:t>Os bens poderão ser rejeitados, no todo ou em parte, inclusive antes do recebimento provisório, quando em desacordo com as especificações constantes no Termo de Referência e na proposta, devendo ser substituídos no prazo de 10 (dez) dias, a contar da notificação da contratada, às suas custas, sem prejuízo da aplicação das penalidades.</w:t>
      </w:r>
    </w:p>
    <w:p w14:paraId="7455E52B" w14:textId="77777777" w:rsidR="00BC70A7" w:rsidRDefault="00000000">
      <w:pPr>
        <w:pStyle w:val="Nivel2"/>
        <w:numPr>
          <w:ilvl w:val="1"/>
          <w:numId w:val="1"/>
        </w:numPr>
        <w:rPr>
          <w:rFonts w:ascii="Calibri" w:hAnsi="Calibri" w:cs="Calibri"/>
          <w:color w:val="000000" w:themeColor="text1"/>
          <w:sz w:val="24"/>
          <w:szCs w:val="24"/>
          <w:lang w:eastAsia="en-US"/>
        </w:rPr>
      </w:pPr>
      <w:commentRangeStart w:id="6"/>
      <w:r>
        <w:rPr>
          <w:rFonts w:cs="Calibri"/>
          <w:color w:val="000000" w:themeColor="text1"/>
          <w:lang w:eastAsia="en-US"/>
        </w:rPr>
        <w:t>O recebimento definitivo ocorrerá no prazo de 20 (vinte) dias úteis, a contar do recebimento da nota fiscal ou instrumento de cobrança equivalente pela Administração, após a verificação da qualidade e quantidade do material e consequente aceitação mediante termo detalhado.</w:t>
      </w:r>
      <w:commentRangeEnd w:id="6"/>
      <w:r>
        <w:commentReference w:id="6"/>
      </w:r>
    </w:p>
    <w:p w14:paraId="7455E52C" w14:textId="77777777" w:rsidR="00BC70A7" w:rsidRDefault="00000000">
      <w:pPr>
        <w:pStyle w:val="Nivel2"/>
        <w:numPr>
          <w:ilvl w:val="1"/>
          <w:numId w:val="1"/>
        </w:numPr>
        <w:rPr>
          <w:rFonts w:ascii="Calibri" w:hAnsi="Calibri" w:cs="Calibri"/>
          <w:color w:val="000000" w:themeColor="text1"/>
          <w:sz w:val="24"/>
          <w:szCs w:val="24"/>
          <w:lang w:eastAsia="en-US"/>
        </w:rPr>
      </w:pPr>
      <w:commentRangeStart w:id="7"/>
      <w:r>
        <w:rPr>
          <w:rFonts w:cs="Calibri"/>
          <w:color w:val="000000" w:themeColor="text1"/>
          <w:lang w:eastAsia="en-US"/>
        </w:rPr>
        <w:t xml:space="preserve">Para as contratações decorrentes de despesas cujos valores não ultrapassem o limite de que trata o </w:t>
      </w:r>
      <w:hyperlink r:id="rId21" w:anchor="art75" w:history="1">
        <w:r>
          <w:rPr>
            <w:rStyle w:val="LinkdaInternet"/>
            <w:rFonts w:cs="Calibri"/>
            <w:color w:val="000000" w:themeColor="text1"/>
            <w:lang w:eastAsia="en-US"/>
          </w:rPr>
          <w:t>inciso II do art. 75 da Lei nº 14.133, de 2021</w:t>
        </w:r>
      </w:hyperlink>
      <w:r>
        <w:rPr>
          <w:rFonts w:cs="Calibri"/>
          <w:color w:val="000000" w:themeColor="text1"/>
          <w:lang w:eastAsia="en-US"/>
        </w:rPr>
        <w:t>, o prazo máximo para o recebimento definitivo será de até 05 (cinco) dias úteis.</w:t>
      </w:r>
      <w:commentRangeEnd w:id="7"/>
      <w:r>
        <w:commentReference w:id="7"/>
      </w:r>
    </w:p>
    <w:p w14:paraId="7455E52D" w14:textId="77777777" w:rsidR="00BC70A7" w:rsidRDefault="00000000">
      <w:pPr>
        <w:pStyle w:val="Nivel2"/>
        <w:numPr>
          <w:ilvl w:val="1"/>
          <w:numId w:val="1"/>
        </w:numPr>
        <w:rPr>
          <w:rFonts w:ascii="Calibri" w:hAnsi="Calibri" w:cs="Calibri"/>
          <w:color w:val="000000" w:themeColor="text1"/>
          <w:sz w:val="24"/>
          <w:szCs w:val="24"/>
        </w:rPr>
      </w:pPr>
      <w:r>
        <w:rPr>
          <w:rFonts w:cs="Calibri"/>
          <w:color w:val="000000" w:themeColor="text1"/>
          <w:lang w:eastAsia="en-US"/>
        </w:rPr>
        <w:lastRenderedPageBreak/>
        <w:t>O prazo para recebimento definitivo poderá ser excepcionalmente prorrogado, de forma justificada, por igual período, quando houver necessidade de diligências para a aferição do atendimento das exigências contratuais.</w:t>
      </w:r>
    </w:p>
    <w:p w14:paraId="7455E52E" w14:textId="77777777" w:rsidR="00BC70A7" w:rsidRDefault="00000000">
      <w:pPr>
        <w:pStyle w:val="Nivel2"/>
        <w:numPr>
          <w:ilvl w:val="1"/>
          <w:numId w:val="1"/>
        </w:numPr>
      </w:pPr>
      <w:r>
        <w:rPr>
          <w:rFonts w:cs="Calibri"/>
          <w:color w:val="000000" w:themeColor="text1"/>
          <w:lang w:eastAsia="en-US"/>
        </w:rPr>
        <w:t xml:space="preserve">No caso de controvérsia sobre a execução do objeto, quanto à dimensão, qualidade e quantidade, deverá ser observado o teor do </w:t>
      </w:r>
      <w:hyperlink r:id="rId22" w:anchor="art143" w:history="1">
        <w:r>
          <w:rPr>
            <w:rStyle w:val="LinkdaInternet"/>
            <w:rFonts w:cs="Calibri"/>
            <w:color w:val="000000" w:themeColor="text1"/>
            <w:lang w:eastAsia="en-US"/>
          </w:rPr>
          <w:t>art. 143 da Lei nº 14.133, de 2021</w:t>
        </w:r>
      </w:hyperlink>
      <w:r>
        <w:rPr>
          <w:rFonts w:cs="Calibri"/>
          <w:color w:val="000000" w:themeColor="text1"/>
          <w:lang w:eastAsia="en-US"/>
        </w:rPr>
        <w:t>, comunicando-se à empresa para emissão de Nota Fiscal no que pertine à parcela incontroversa da execução do objeto, para efeito de liquidação e pagamento.</w:t>
      </w:r>
    </w:p>
    <w:p w14:paraId="7455E52F" w14:textId="77777777" w:rsidR="00BC70A7" w:rsidRDefault="00000000">
      <w:pPr>
        <w:pStyle w:val="Nivel2"/>
        <w:numPr>
          <w:ilvl w:val="1"/>
          <w:numId w:val="1"/>
        </w:numPr>
        <w:rPr>
          <w:rFonts w:ascii="Calibri" w:hAnsi="Calibri" w:cs="Calibri"/>
          <w:color w:val="000000" w:themeColor="text1"/>
          <w:sz w:val="24"/>
          <w:szCs w:val="24"/>
          <w:lang w:eastAsia="en-US"/>
        </w:rPr>
      </w:pPr>
      <w:r>
        <w:rPr>
          <w:rFonts w:cs="Calibri"/>
          <w:color w:val="000000" w:themeColor="text1"/>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455E530" w14:textId="77777777" w:rsidR="00BC70A7" w:rsidRDefault="00000000">
      <w:pPr>
        <w:pStyle w:val="Nivel2"/>
        <w:numPr>
          <w:ilvl w:val="1"/>
          <w:numId w:val="1"/>
        </w:numPr>
        <w:rPr>
          <w:rFonts w:ascii="Calibri" w:hAnsi="Calibri" w:cs="Calibri"/>
          <w:color w:val="000000" w:themeColor="text1"/>
          <w:sz w:val="24"/>
          <w:szCs w:val="24"/>
          <w:lang w:eastAsia="en-US"/>
        </w:rPr>
      </w:pPr>
      <w:r>
        <w:rPr>
          <w:rFonts w:cs="Calibri"/>
          <w:color w:val="000000" w:themeColor="text1"/>
          <w:lang w:eastAsia="en-US"/>
        </w:rPr>
        <w:t>O recebimento provisório ou definitivo não excluirá a responsabilidade civil pela solidez e pela segurança dos bens nem a responsabilidade ético-profissional pela perfeita execução do contrato.</w:t>
      </w:r>
    </w:p>
    <w:p w14:paraId="7455E531" w14:textId="77777777" w:rsidR="00BC70A7" w:rsidRDefault="00000000">
      <w:pPr>
        <w:pStyle w:val="Nivel2"/>
        <w:numPr>
          <w:ilvl w:val="0"/>
          <w:numId w:val="1"/>
        </w:numPr>
        <w:rPr>
          <w:rFonts w:ascii="Calibri" w:hAnsi="Calibri" w:cs="Calibri"/>
          <w:color w:val="000000" w:themeColor="text1"/>
          <w:sz w:val="24"/>
          <w:szCs w:val="24"/>
        </w:rPr>
      </w:pPr>
      <w:r>
        <w:rPr>
          <w:rFonts w:cs="Calibri"/>
          <w:color w:val="000000" w:themeColor="text1"/>
        </w:rPr>
        <w:t>Liquidação</w:t>
      </w:r>
    </w:p>
    <w:p w14:paraId="7455E532" w14:textId="77777777" w:rsidR="00BC70A7" w:rsidRDefault="00000000">
      <w:pPr>
        <w:pStyle w:val="Nivel2"/>
        <w:numPr>
          <w:ilvl w:val="1"/>
          <w:numId w:val="1"/>
        </w:numPr>
        <w:rPr>
          <w:rFonts w:ascii="Calibri" w:hAnsi="Calibri" w:cs="Calibri"/>
          <w:color w:val="000000" w:themeColor="text1"/>
          <w:sz w:val="24"/>
          <w:szCs w:val="24"/>
        </w:rPr>
      </w:pPr>
      <w:r>
        <w:rPr>
          <w:rFonts w:cs="Calibri"/>
          <w:color w:val="000000" w:themeColor="text1"/>
          <w:lang w:eastAsia="en-US"/>
        </w:rPr>
        <w:t>Recebida a Nota Fiscal ou documento de cobrança equivalente, correrá o prazo de dez dias úteis para fins de liquidação, na forma desta seção, prorrogáveis por igual período, nos termos do art. 7º, §3</w:t>
      </w:r>
      <w:r>
        <w:rPr>
          <w:rStyle w:val="LinkdaInternet"/>
          <w:rFonts w:cs="Calibri"/>
          <w:color w:val="000000" w:themeColor="text1"/>
          <w:lang w:eastAsia="en-US"/>
        </w:rPr>
        <w:t>º da Instrução Normativa SEGES/ME nº 77/2022</w:t>
      </w:r>
      <w:r>
        <w:rPr>
          <w:rFonts w:cs="Calibri"/>
          <w:color w:val="000000" w:themeColor="text1"/>
          <w:lang w:eastAsia="en-US"/>
        </w:rPr>
        <w:t xml:space="preserve">. </w:t>
      </w:r>
    </w:p>
    <w:p w14:paraId="7455E533" w14:textId="77777777" w:rsidR="00BC70A7" w:rsidRDefault="00000000">
      <w:pPr>
        <w:pStyle w:val="Nivel2"/>
        <w:numPr>
          <w:ilvl w:val="1"/>
          <w:numId w:val="1"/>
        </w:numPr>
      </w:pPr>
      <w:r>
        <w:rPr>
          <w:rFonts w:cs="Calibri"/>
          <w:color w:val="000000" w:themeColor="text1"/>
        </w:rPr>
        <w:t xml:space="preserve">O prazo de que trata o item anterior será reduzido à metade, mantendo-se a possibilidade de prorrogação, no caso de contratações decorrentes de despesas cujos valores não ultrapassem o limite de que trata o </w:t>
      </w:r>
      <w:hyperlink r:id="rId23" w:anchor="art75" w:history="1">
        <w:r>
          <w:rPr>
            <w:rStyle w:val="LinkdaInternet"/>
            <w:rFonts w:cs="Calibri"/>
            <w:color w:val="000000" w:themeColor="text1"/>
          </w:rPr>
          <w:t>inciso II do art. 75 da Lei nº 14.133, de 2021</w:t>
        </w:r>
      </w:hyperlink>
      <w:r>
        <w:rPr>
          <w:rFonts w:cs="Calibri"/>
          <w:color w:val="000000" w:themeColor="text1"/>
        </w:rPr>
        <w:t>.</w:t>
      </w:r>
    </w:p>
    <w:p w14:paraId="7455E534" w14:textId="77777777" w:rsidR="00BC70A7" w:rsidRDefault="00000000">
      <w:pPr>
        <w:pStyle w:val="Nivel2"/>
        <w:numPr>
          <w:ilvl w:val="2"/>
          <w:numId w:val="1"/>
        </w:numPr>
        <w:rPr>
          <w:rFonts w:ascii="Calibri" w:hAnsi="Calibri" w:cs="Calibri"/>
          <w:color w:val="000000" w:themeColor="text1"/>
          <w:sz w:val="24"/>
          <w:szCs w:val="24"/>
          <w:lang w:eastAsia="en-US"/>
        </w:rPr>
      </w:pPr>
      <w:r>
        <w:rPr>
          <w:rFonts w:cs="Calibri"/>
          <w:color w:val="000000" w:themeColor="text1"/>
          <w:lang w:eastAsia="en-US"/>
        </w:rPr>
        <w:t xml:space="preserve">Para fins de liquidação, o setor competente deverá verificar se a nota fiscal ou instrumento de cobrança equivalente apresentado expressa os elementos necessários e essenciais do documento, tais como: </w:t>
      </w:r>
    </w:p>
    <w:p w14:paraId="7455E535" w14:textId="77777777" w:rsidR="00BC70A7" w:rsidRDefault="00000000">
      <w:pPr>
        <w:pStyle w:val="Nivel3"/>
        <w:numPr>
          <w:ilvl w:val="2"/>
          <w:numId w:val="1"/>
        </w:numPr>
        <w:rPr>
          <w:rFonts w:ascii="Calibri" w:hAnsi="Calibri" w:cs="Calibri"/>
          <w:color w:val="000000" w:themeColor="text1"/>
          <w:sz w:val="24"/>
          <w:szCs w:val="24"/>
          <w:lang w:eastAsia="en-US"/>
        </w:rPr>
      </w:pPr>
      <w:r>
        <w:rPr>
          <w:rFonts w:cs="Calibri"/>
          <w:color w:val="000000" w:themeColor="text1"/>
          <w:lang w:eastAsia="en-US"/>
        </w:rPr>
        <w:t>o prazo de validade;</w:t>
      </w:r>
    </w:p>
    <w:p w14:paraId="7455E536" w14:textId="77777777" w:rsidR="00BC70A7" w:rsidRDefault="00000000">
      <w:pPr>
        <w:pStyle w:val="Nivel3"/>
        <w:numPr>
          <w:ilvl w:val="2"/>
          <w:numId w:val="1"/>
        </w:numPr>
        <w:rPr>
          <w:rFonts w:ascii="Calibri" w:hAnsi="Calibri" w:cs="Calibri"/>
          <w:color w:val="000000" w:themeColor="text1"/>
          <w:sz w:val="24"/>
          <w:szCs w:val="24"/>
          <w:lang w:eastAsia="en-US"/>
        </w:rPr>
      </w:pPr>
      <w:r>
        <w:rPr>
          <w:rFonts w:cs="Calibri"/>
          <w:color w:val="000000" w:themeColor="text1"/>
          <w:lang w:eastAsia="en-US"/>
        </w:rPr>
        <w:t xml:space="preserve">a data da emissão; </w:t>
      </w:r>
    </w:p>
    <w:p w14:paraId="7455E537" w14:textId="77777777" w:rsidR="00BC70A7" w:rsidRDefault="00000000">
      <w:pPr>
        <w:pStyle w:val="Nivel3"/>
        <w:numPr>
          <w:ilvl w:val="2"/>
          <w:numId w:val="1"/>
        </w:numPr>
        <w:rPr>
          <w:rFonts w:ascii="Calibri" w:hAnsi="Calibri" w:cs="Calibri"/>
          <w:color w:val="000000" w:themeColor="text1"/>
          <w:sz w:val="24"/>
          <w:szCs w:val="24"/>
          <w:lang w:eastAsia="en-US"/>
        </w:rPr>
      </w:pPr>
      <w:r>
        <w:rPr>
          <w:rFonts w:cs="Calibri"/>
          <w:color w:val="000000" w:themeColor="text1"/>
          <w:lang w:eastAsia="en-US"/>
        </w:rPr>
        <w:t xml:space="preserve">os dados do contrato e do órgão contratante; </w:t>
      </w:r>
    </w:p>
    <w:p w14:paraId="7455E538" w14:textId="77777777" w:rsidR="00BC70A7" w:rsidRDefault="00000000">
      <w:pPr>
        <w:pStyle w:val="Nivel3"/>
        <w:numPr>
          <w:ilvl w:val="2"/>
          <w:numId w:val="1"/>
        </w:numPr>
        <w:rPr>
          <w:rFonts w:ascii="Calibri" w:hAnsi="Calibri" w:cs="Calibri"/>
          <w:color w:val="000000" w:themeColor="text1"/>
          <w:sz w:val="24"/>
          <w:szCs w:val="24"/>
          <w:lang w:eastAsia="en-US"/>
        </w:rPr>
      </w:pPr>
      <w:r>
        <w:rPr>
          <w:rFonts w:cs="Calibri"/>
          <w:color w:val="000000" w:themeColor="text1"/>
          <w:lang w:eastAsia="en-US"/>
        </w:rPr>
        <w:t xml:space="preserve">o período respectivo de execução do contrato; </w:t>
      </w:r>
    </w:p>
    <w:p w14:paraId="7455E539" w14:textId="77777777" w:rsidR="00BC70A7" w:rsidRDefault="00000000">
      <w:pPr>
        <w:pStyle w:val="Nivel3"/>
        <w:numPr>
          <w:ilvl w:val="2"/>
          <w:numId w:val="1"/>
        </w:numPr>
        <w:rPr>
          <w:rFonts w:ascii="Calibri" w:hAnsi="Calibri" w:cs="Calibri"/>
          <w:color w:val="000000" w:themeColor="text1"/>
          <w:sz w:val="24"/>
          <w:szCs w:val="24"/>
          <w:lang w:eastAsia="en-US"/>
        </w:rPr>
      </w:pPr>
      <w:r>
        <w:rPr>
          <w:rFonts w:cs="Calibri"/>
          <w:color w:val="000000" w:themeColor="text1"/>
          <w:lang w:eastAsia="en-US"/>
        </w:rPr>
        <w:t xml:space="preserve">o valor a pagar; e </w:t>
      </w:r>
    </w:p>
    <w:p w14:paraId="7455E53A" w14:textId="77777777" w:rsidR="00BC70A7" w:rsidRDefault="00000000">
      <w:pPr>
        <w:pStyle w:val="Nivel3"/>
        <w:numPr>
          <w:ilvl w:val="2"/>
          <w:numId w:val="1"/>
        </w:numPr>
        <w:rPr>
          <w:rFonts w:ascii="Calibri" w:hAnsi="Calibri" w:cs="Calibri"/>
          <w:color w:val="000000" w:themeColor="text1"/>
          <w:sz w:val="24"/>
          <w:szCs w:val="24"/>
          <w:lang w:eastAsia="en-US"/>
        </w:rPr>
      </w:pPr>
      <w:r>
        <w:rPr>
          <w:rFonts w:cs="Calibri"/>
          <w:color w:val="000000" w:themeColor="text1"/>
          <w:lang w:eastAsia="en-US"/>
        </w:rPr>
        <w:t>eventual destaque do valor de retenções tributárias cabíveis.</w:t>
      </w:r>
    </w:p>
    <w:p w14:paraId="7455E53B" w14:textId="77777777" w:rsidR="00BC70A7" w:rsidRDefault="00000000">
      <w:pPr>
        <w:pStyle w:val="Nivel2"/>
        <w:numPr>
          <w:ilvl w:val="1"/>
          <w:numId w:val="1"/>
        </w:numPr>
        <w:rPr>
          <w:rFonts w:ascii="Calibri" w:hAnsi="Calibri" w:cs="Calibri"/>
          <w:color w:val="000000" w:themeColor="text1"/>
          <w:sz w:val="24"/>
          <w:szCs w:val="24"/>
          <w:lang w:eastAsia="en-US"/>
        </w:rPr>
      </w:pPr>
      <w:r>
        <w:rPr>
          <w:rFonts w:eastAsia="Calibri" w:cs="Calibri"/>
          <w:color w:val="000000" w:themeColor="text1"/>
          <w:lang w:eastAsia="en-US"/>
        </w:rPr>
        <w:t xml:space="preserve">Havendo erro na apresentação da nota fiscal ou instrumento de cobrança equivalente, ou circunstância que impeça a </w:t>
      </w:r>
      <w:r>
        <w:rPr>
          <w:rFonts w:cs="Calibri"/>
          <w:color w:val="000000" w:themeColor="text1"/>
          <w:lang w:eastAsia="en-US"/>
        </w:rPr>
        <w:t>liquidação da despesa, esta ficará sobrestada até que o contratado providencie as medidas saneadoras, reiniciando-se o prazo após a comprovação da regularização da situação, sem ônus ao contratante;</w:t>
      </w:r>
    </w:p>
    <w:p w14:paraId="7455E53C" w14:textId="77777777" w:rsidR="00BC70A7" w:rsidRDefault="00000000">
      <w:pPr>
        <w:pStyle w:val="Nivel2"/>
        <w:numPr>
          <w:ilvl w:val="1"/>
          <w:numId w:val="1"/>
        </w:numPr>
      </w:pPr>
      <w:r>
        <w:rPr>
          <w:rFonts w:cs="Calibri"/>
          <w:color w:val="000000" w:themeColor="text1"/>
          <w:lang w:eastAsia="en-US"/>
        </w:rPr>
        <w:t xml:space="preserve">A nota fiscal ou instrumento de cobrança equivalente deverá ser obrigatoriamente acompanhado da comprovação da regularidade fiscal, constatada por meio de consulta </w:t>
      </w:r>
      <w:r>
        <w:rPr>
          <w:rFonts w:cs="Calibri"/>
          <w:i/>
          <w:iCs/>
          <w:color w:val="000000" w:themeColor="text1"/>
          <w:lang w:eastAsia="en-US"/>
        </w:rPr>
        <w:t>on-line</w:t>
      </w:r>
      <w:r>
        <w:rPr>
          <w:rFonts w:cs="Calibri"/>
          <w:color w:val="000000" w:themeColor="text1"/>
          <w:lang w:eastAsia="en-US"/>
        </w:rPr>
        <w:t xml:space="preserve"> ao SICAF ou, na impossibilidade de acesso ao referido Sistema, mediante consulta aos sítios eletrônicos oficiais ou à documentação mencionada no </w:t>
      </w:r>
      <w:hyperlink r:id="rId24" w:anchor="art68" w:history="1">
        <w:r>
          <w:rPr>
            <w:rStyle w:val="LinkdaInternet"/>
            <w:rFonts w:cs="Calibri"/>
            <w:color w:val="000000" w:themeColor="text1"/>
            <w:lang w:eastAsia="en-US"/>
          </w:rPr>
          <w:t xml:space="preserve">art. 68 da Lei nº 14.133, de 2021.  </w:t>
        </w:r>
      </w:hyperlink>
      <w:r>
        <w:rPr>
          <w:rFonts w:cs="Calibri"/>
          <w:color w:val="000000" w:themeColor="text1"/>
          <w:lang w:eastAsia="en-US"/>
        </w:rPr>
        <w:t xml:space="preserve"> </w:t>
      </w:r>
    </w:p>
    <w:p w14:paraId="7455E53D" w14:textId="77777777" w:rsidR="00BC70A7" w:rsidRDefault="00000000">
      <w:pPr>
        <w:pStyle w:val="Nivel2"/>
        <w:numPr>
          <w:ilvl w:val="1"/>
          <w:numId w:val="1"/>
        </w:numPr>
        <w:rPr>
          <w:rFonts w:ascii="Calibri" w:hAnsi="Calibri" w:cs="Calibri"/>
          <w:color w:val="000000" w:themeColor="text1"/>
          <w:sz w:val="24"/>
          <w:szCs w:val="24"/>
        </w:rPr>
      </w:pPr>
      <w:r>
        <w:rPr>
          <w:rFonts w:cs="Calibri"/>
          <w:color w:val="000000" w:themeColor="text1"/>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7455E53E" w14:textId="77777777" w:rsidR="00BC70A7" w:rsidRDefault="00000000">
      <w:pPr>
        <w:pStyle w:val="Nivel2"/>
        <w:numPr>
          <w:ilvl w:val="1"/>
          <w:numId w:val="1"/>
        </w:numPr>
        <w:rPr>
          <w:rFonts w:ascii="Calibri" w:hAnsi="Calibri" w:cs="Calibri"/>
          <w:color w:val="000000" w:themeColor="text1"/>
          <w:sz w:val="24"/>
          <w:szCs w:val="24"/>
          <w:lang w:eastAsia="en-US"/>
        </w:rPr>
      </w:pPr>
      <w:r>
        <w:rPr>
          <w:rFonts w:cs="Calibri"/>
          <w:color w:val="000000" w:themeColor="text1"/>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455E53F" w14:textId="77777777" w:rsidR="00BC70A7" w:rsidRDefault="00000000">
      <w:pPr>
        <w:pStyle w:val="Nivel2"/>
        <w:numPr>
          <w:ilvl w:val="1"/>
          <w:numId w:val="1"/>
        </w:numPr>
        <w:rPr>
          <w:rFonts w:ascii="Calibri" w:hAnsi="Calibri" w:cs="Calibri"/>
          <w:color w:val="000000" w:themeColor="text1"/>
          <w:sz w:val="24"/>
          <w:szCs w:val="24"/>
          <w:lang w:eastAsia="en-US"/>
        </w:rPr>
      </w:pPr>
      <w:r>
        <w:rPr>
          <w:rFonts w:cs="Calibri"/>
          <w:color w:val="000000" w:themeColor="text1"/>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w:t>
      </w:r>
      <w:r>
        <w:rPr>
          <w:rFonts w:cs="Calibri"/>
          <w:color w:val="000000" w:themeColor="text1"/>
          <w:lang w:eastAsia="en-US"/>
        </w:rPr>
        <w:lastRenderedPageBreak/>
        <w:t xml:space="preserve">que sejam acionados os meios pertinentes e necessários para garantir o recebimento de seus créditos.  </w:t>
      </w:r>
    </w:p>
    <w:p w14:paraId="7455E540" w14:textId="77777777" w:rsidR="00BC70A7" w:rsidRDefault="00000000">
      <w:pPr>
        <w:pStyle w:val="Nivel2"/>
        <w:numPr>
          <w:ilvl w:val="1"/>
          <w:numId w:val="1"/>
        </w:numPr>
        <w:rPr>
          <w:rFonts w:ascii="Calibri" w:hAnsi="Calibri" w:cs="Calibri"/>
          <w:color w:val="000000" w:themeColor="text1"/>
          <w:sz w:val="24"/>
          <w:szCs w:val="24"/>
          <w:lang w:eastAsia="en-US"/>
        </w:rPr>
      </w:pPr>
      <w:r>
        <w:rPr>
          <w:rFonts w:cs="Calibri"/>
          <w:color w:val="000000" w:themeColor="text1"/>
          <w:lang w:eastAsia="en-US"/>
        </w:rPr>
        <w:t xml:space="preserve">Persistindo a irregularidade, o contratante deverá adotar as medidas necessárias à rescisão contratual nos autos do processo administrativo correspondente, assegurada ao contratado a ampla defesa. </w:t>
      </w:r>
    </w:p>
    <w:p w14:paraId="7455E541" w14:textId="77777777" w:rsidR="00BC70A7" w:rsidRDefault="00000000">
      <w:pPr>
        <w:pStyle w:val="Nivel2"/>
        <w:numPr>
          <w:ilvl w:val="1"/>
          <w:numId w:val="1"/>
        </w:numPr>
        <w:rPr>
          <w:rFonts w:ascii="Calibri" w:hAnsi="Calibri" w:cs="Calibri"/>
          <w:color w:val="000000" w:themeColor="text1"/>
          <w:sz w:val="24"/>
          <w:szCs w:val="24"/>
          <w:lang w:eastAsia="en-US"/>
        </w:rPr>
      </w:pPr>
      <w:r>
        <w:rPr>
          <w:rFonts w:cs="Calibri"/>
          <w:color w:val="000000" w:themeColor="text1"/>
          <w:lang w:eastAsia="en-US"/>
        </w:rPr>
        <w:t xml:space="preserve">Havendo a efetiva execução do objeto, os pagamentos serão realizados normalmente, até que se decida pela rescisão do contrato, caso o contratado não regularize sua situação junto ao SICAF.  </w:t>
      </w:r>
    </w:p>
    <w:p w14:paraId="7455E542" w14:textId="77777777" w:rsidR="00BC70A7" w:rsidRDefault="00000000">
      <w:pPr>
        <w:pStyle w:val="Nivel2"/>
        <w:numPr>
          <w:ilvl w:val="0"/>
          <w:numId w:val="1"/>
        </w:numPr>
        <w:rPr>
          <w:rFonts w:ascii="Calibri" w:hAnsi="Calibri" w:cs="Calibri"/>
          <w:color w:val="000000" w:themeColor="text1"/>
          <w:sz w:val="24"/>
          <w:szCs w:val="24"/>
        </w:rPr>
      </w:pPr>
      <w:r>
        <w:rPr>
          <w:rFonts w:cs="Calibri"/>
          <w:color w:val="000000" w:themeColor="text1"/>
        </w:rPr>
        <w:t>Prazo de pagamento</w:t>
      </w:r>
    </w:p>
    <w:p w14:paraId="7455E543" w14:textId="77777777" w:rsidR="00BC70A7" w:rsidRDefault="00000000">
      <w:pPr>
        <w:pStyle w:val="Nivel2"/>
        <w:numPr>
          <w:ilvl w:val="1"/>
          <w:numId w:val="1"/>
        </w:numPr>
      </w:pPr>
      <w:r>
        <w:rPr>
          <w:rFonts w:cs="Calibri"/>
          <w:color w:val="000000" w:themeColor="text1"/>
        </w:rPr>
        <w:t xml:space="preserve">O pagamento será efetuado no prazo de até 10 (dez) dias úteis contados da finalização da liquidação da despesa, conforme seção anterior, nos termos da </w:t>
      </w:r>
      <w:hyperlink r:id="rId25">
        <w:r>
          <w:rPr>
            <w:rStyle w:val="LinkdaInternet"/>
            <w:rFonts w:cs="Calibri"/>
            <w:color w:val="000000" w:themeColor="text1"/>
          </w:rPr>
          <w:t>Instrução Normativa SEGES/ME nº 77, de 2022</w:t>
        </w:r>
      </w:hyperlink>
      <w:r>
        <w:rPr>
          <w:rFonts w:cs="Calibri"/>
          <w:color w:val="000000" w:themeColor="text1"/>
        </w:rPr>
        <w:t>.</w:t>
      </w:r>
    </w:p>
    <w:p w14:paraId="7455E544" w14:textId="77777777" w:rsidR="00BC70A7" w:rsidRDefault="00000000">
      <w:pPr>
        <w:pStyle w:val="Nivel2"/>
        <w:numPr>
          <w:ilvl w:val="1"/>
          <w:numId w:val="1"/>
        </w:numPr>
        <w:rPr>
          <w:rFonts w:ascii="Calibri" w:hAnsi="Calibri" w:cs="Calibri"/>
          <w:color w:val="000000" w:themeColor="text1"/>
          <w:sz w:val="24"/>
          <w:szCs w:val="24"/>
          <w:lang w:eastAsia="en-US"/>
        </w:rPr>
      </w:pPr>
      <w:commentRangeStart w:id="8"/>
      <w:r>
        <w:rPr>
          <w:rFonts w:cs="Calibri"/>
          <w:color w:val="000000" w:themeColor="text1"/>
          <w:lang w:eastAsia="en-US"/>
        </w:rPr>
        <w:t xml:space="preserve">No caso de atraso pelo Contratante, os valores devidos ao contratado serão atualizados monetariamente entre o termo final do prazo de pagamento até a data de sua efetiva realização, mediante aplicação do índice </w:t>
      </w:r>
      <w:r>
        <w:rPr>
          <w:rFonts w:cs="Calibri"/>
          <w:i/>
          <w:iCs/>
          <w:color w:val="000000" w:themeColor="text1"/>
          <w:lang w:eastAsia="en-US"/>
        </w:rPr>
        <w:t>IPCA</w:t>
      </w:r>
      <w:r>
        <w:rPr>
          <w:rFonts w:cs="Calibri"/>
          <w:color w:val="000000" w:themeColor="text1"/>
          <w:lang w:eastAsia="en-US"/>
        </w:rPr>
        <w:t xml:space="preserve"> de correção monetária.</w:t>
      </w:r>
      <w:commentRangeEnd w:id="8"/>
      <w:r>
        <w:commentReference w:id="8"/>
      </w:r>
    </w:p>
    <w:p w14:paraId="7455E545" w14:textId="77777777" w:rsidR="00BC70A7" w:rsidRDefault="00000000">
      <w:pPr>
        <w:pStyle w:val="Nivel2"/>
        <w:numPr>
          <w:ilvl w:val="0"/>
          <w:numId w:val="1"/>
        </w:numPr>
        <w:rPr>
          <w:rFonts w:ascii="Calibri" w:hAnsi="Calibri" w:cs="Calibri"/>
          <w:color w:val="000000" w:themeColor="text1"/>
          <w:sz w:val="24"/>
          <w:szCs w:val="24"/>
        </w:rPr>
      </w:pPr>
      <w:r>
        <w:rPr>
          <w:rFonts w:cs="Calibri"/>
          <w:color w:val="000000" w:themeColor="text1"/>
        </w:rPr>
        <w:t>Forma de pagamento</w:t>
      </w:r>
    </w:p>
    <w:p w14:paraId="7455E546" w14:textId="77777777" w:rsidR="00BC70A7" w:rsidRDefault="00000000">
      <w:pPr>
        <w:pStyle w:val="Nivel2"/>
        <w:numPr>
          <w:ilvl w:val="1"/>
          <w:numId w:val="1"/>
        </w:numPr>
        <w:rPr>
          <w:rFonts w:ascii="Calibri" w:hAnsi="Calibri" w:cs="Calibri"/>
          <w:color w:val="000000" w:themeColor="text1"/>
          <w:sz w:val="24"/>
          <w:szCs w:val="24"/>
          <w:lang w:eastAsia="en-US"/>
        </w:rPr>
      </w:pPr>
      <w:r>
        <w:rPr>
          <w:rFonts w:cs="Calibri"/>
          <w:color w:val="000000" w:themeColor="text1"/>
          <w:lang w:eastAsia="en-US"/>
        </w:rPr>
        <w:t>O pagamento será realizado por meio de ordem bancária, para crédito em banco, agência e conta corrente indicados pelo contratado.</w:t>
      </w:r>
    </w:p>
    <w:p w14:paraId="7455E547" w14:textId="77777777" w:rsidR="00BC70A7" w:rsidRDefault="00000000">
      <w:pPr>
        <w:pStyle w:val="Nivel2"/>
        <w:numPr>
          <w:ilvl w:val="1"/>
          <w:numId w:val="1"/>
        </w:numPr>
        <w:rPr>
          <w:rFonts w:ascii="Calibri" w:hAnsi="Calibri" w:cs="Calibri"/>
          <w:color w:val="000000" w:themeColor="text1"/>
          <w:sz w:val="24"/>
          <w:szCs w:val="24"/>
          <w:lang w:eastAsia="en-US"/>
        </w:rPr>
      </w:pPr>
      <w:r>
        <w:rPr>
          <w:rFonts w:cs="Calibri"/>
          <w:color w:val="000000" w:themeColor="text1"/>
          <w:lang w:eastAsia="en-US"/>
        </w:rPr>
        <w:t>Será considerada data do pagamento o dia em que constar como emitida a ordem bancária para pagamento.</w:t>
      </w:r>
    </w:p>
    <w:p w14:paraId="7455E548" w14:textId="77777777" w:rsidR="00BC70A7" w:rsidRDefault="00000000">
      <w:pPr>
        <w:pStyle w:val="Nivel2"/>
        <w:numPr>
          <w:ilvl w:val="1"/>
          <w:numId w:val="1"/>
        </w:numPr>
        <w:rPr>
          <w:rFonts w:ascii="Calibri" w:hAnsi="Calibri" w:cs="Calibri"/>
          <w:color w:val="000000" w:themeColor="text1"/>
          <w:sz w:val="24"/>
          <w:szCs w:val="24"/>
          <w:lang w:eastAsia="en-US"/>
        </w:rPr>
      </w:pPr>
      <w:r>
        <w:rPr>
          <w:rFonts w:cs="Calibri"/>
          <w:color w:val="000000" w:themeColor="text1"/>
          <w:lang w:eastAsia="en-US"/>
        </w:rPr>
        <w:t>Quando do pagamento, será efetuada a retenção tributária prevista na legislação aplicável.</w:t>
      </w:r>
    </w:p>
    <w:p w14:paraId="7455E549" w14:textId="77777777" w:rsidR="00BC70A7" w:rsidRDefault="00000000">
      <w:pPr>
        <w:pStyle w:val="Nivel3"/>
        <w:numPr>
          <w:ilvl w:val="2"/>
          <w:numId w:val="1"/>
        </w:numPr>
        <w:rPr>
          <w:rFonts w:ascii="Calibri" w:hAnsi="Calibri" w:cs="Calibri"/>
          <w:color w:val="000000" w:themeColor="text1"/>
          <w:sz w:val="24"/>
          <w:szCs w:val="24"/>
          <w:lang w:eastAsia="en-US"/>
        </w:rPr>
      </w:pPr>
      <w:commentRangeStart w:id="9"/>
      <w:r>
        <w:rPr>
          <w:rFonts w:cs="Calibri"/>
          <w:color w:val="000000" w:themeColor="text1"/>
          <w:lang w:eastAsia="en-US"/>
        </w:rPr>
        <w:t>Independentemente do percentual de tributo inserido na planilha, quando houver, serão retidos na fonte, quando da realização do pagamento, os percentuais estabelecidos na legislação vigente.</w:t>
      </w:r>
      <w:commentRangeEnd w:id="9"/>
      <w:r>
        <w:commentReference w:id="9"/>
      </w:r>
    </w:p>
    <w:p w14:paraId="7455E54A" w14:textId="77777777" w:rsidR="00BC70A7" w:rsidRDefault="00000000">
      <w:pPr>
        <w:pStyle w:val="Nivel2"/>
        <w:numPr>
          <w:ilvl w:val="1"/>
          <w:numId w:val="1"/>
        </w:numPr>
      </w:pPr>
      <w:r>
        <w:rPr>
          <w:rFonts w:cs="Calibri"/>
          <w:color w:val="000000" w:themeColor="text1"/>
          <w:lang w:eastAsia="en-US"/>
        </w:rPr>
        <w:t xml:space="preserve">O contratado regularmente optante pelo Simples Nacional, nos termos da </w:t>
      </w:r>
      <w:hyperlink r:id="rId26">
        <w:r>
          <w:rPr>
            <w:rStyle w:val="LinkdaInternet"/>
            <w:rFonts w:cs="Calibri"/>
            <w:color w:val="000000" w:themeColor="text1"/>
            <w:lang w:eastAsia="en-US"/>
          </w:rPr>
          <w:t>Lei Complementar nº 123, de 2006</w:t>
        </w:r>
      </w:hyperlink>
      <w:r>
        <w:rPr>
          <w:rFonts w:cs="Calibri"/>
          <w:color w:val="000000" w:themeColor="text1"/>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455E54B" w14:textId="77777777" w:rsidR="00BC70A7" w:rsidRDefault="00000000">
      <w:pPr>
        <w:pStyle w:val="Nivel2"/>
        <w:numPr>
          <w:ilvl w:val="0"/>
          <w:numId w:val="1"/>
        </w:numPr>
        <w:rPr>
          <w:rFonts w:ascii="Calibri" w:hAnsi="Calibri" w:cs="Calibri"/>
          <w:color w:val="000000" w:themeColor="text1"/>
          <w:sz w:val="24"/>
          <w:szCs w:val="24"/>
        </w:rPr>
      </w:pPr>
      <w:r>
        <w:rPr>
          <w:rFonts w:cs="Calibri"/>
          <w:color w:val="000000" w:themeColor="text1"/>
        </w:rPr>
        <w:t>FORMA E CRITÉRIOS DE SELEÇÃO DO FORNECEDOR E FORMA DE FORNECIMENTO</w:t>
      </w:r>
    </w:p>
    <w:p w14:paraId="7455E54C" w14:textId="77777777" w:rsidR="00BC70A7" w:rsidRDefault="00000000">
      <w:pPr>
        <w:pStyle w:val="Nivel2"/>
        <w:numPr>
          <w:ilvl w:val="0"/>
          <w:numId w:val="1"/>
        </w:numPr>
        <w:rPr>
          <w:rFonts w:ascii="Calibri" w:hAnsi="Calibri" w:cs="Calibri"/>
          <w:color w:val="000000" w:themeColor="text1"/>
          <w:sz w:val="24"/>
          <w:szCs w:val="24"/>
          <w:highlight w:val="yellow"/>
        </w:rPr>
      </w:pPr>
      <w:r>
        <w:rPr>
          <w:rFonts w:cs="Calibri"/>
          <w:color w:val="000000" w:themeColor="text1"/>
        </w:rPr>
        <w:t>Forma de seleção e critério de julgamento da proposta</w:t>
      </w:r>
    </w:p>
    <w:p w14:paraId="7455E54D" w14:textId="77777777" w:rsidR="00BC70A7" w:rsidRDefault="00000000">
      <w:pPr>
        <w:pStyle w:val="Nivel2"/>
        <w:numPr>
          <w:ilvl w:val="1"/>
          <w:numId w:val="1"/>
        </w:numPr>
        <w:rPr>
          <w:rFonts w:ascii="Calibri" w:hAnsi="Calibri" w:cs="Calibri"/>
          <w:color w:val="000000" w:themeColor="text1"/>
          <w:sz w:val="24"/>
          <w:szCs w:val="24"/>
        </w:rPr>
      </w:pPr>
      <w:r>
        <w:rPr>
          <w:rFonts w:cs="Calibri"/>
          <w:color w:val="000000" w:themeColor="text1"/>
        </w:rPr>
        <w:t>O fornecedor será selecionado por meio da realização de procedimento de LICITAÇÃO, na modalidade PREGÃO, sob a forma ELETRÔNICA, com adoção do critério de julgamento pelo MENOR PREÇO.</w:t>
      </w:r>
    </w:p>
    <w:p w14:paraId="7455E54E" w14:textId="77777777" w:rsidR="00BC70A7" w:rsidRDefault="00000000">
      <w:pPr>
        <w:pStyle w:val="Nivel2"/>
        <w:numPr>
          <w:ilvl w:val="0"/>
          <w:numId w:val="1"/>
        </w:numPr>
        <w:rPr>
          <w:rFonts w:ascii="Calibri" w:hAnsi="Calibri" w:cs="Calibri"/>
          <w:color w:val="000000" w:themeColor="text1"/>
          <w:sz w:val="24"/>
          <w:szCs w:val="24"/>
        </w:rPr>
      </w:pPr>
      <w:r>
        <w:rPr>
          <w:rFonts w:cs="Calibri"/>
          <w:color w:val="000000" w:themeColor="text1"/>
        </w:rPr>
        <w:t>Forma de fornecimento</w:t>
      </w:r>
    </w:p>
    <w:p w14:paraId="7455E54F" w14:textId="77777777" w:rsidR="00BC70A7" w:rsidRDefault="00000000">
      <w:pPr>
        <w:pStyle w:val="Nivel2"/>
        <w:numPr>
          <w:ilvl w:val="1"/>
          <w:numId w:val="1"/>
        </w:numPr>
        <w:rPr>
          <w:rFonts w:ascii="Calibri" w:hAnsi="Calibri" w:cs="Calibri"/>
          <w:color w:val="000000" w:themeColor="text1"/>
          <w:sz w:val="24"/>
          <w:szCs w:val="24"/>
        </w:rPr>
      </w:pPr>
      <w:r>
        <w:rPr>
          <w:rStyle w:val="normaltextrun"/>
          <w:rFonts w:cs="Calibri"/>
          <w:color w:val="000000" w:themeColor="text1"/>
          <w:shd w:val="clear" w:color="auto" w:fill="FFFFFF"/>
        </w:rPr>
        <w:t xml:space="preserve">O </w:t>
      </w:r>
      <w:r>
        <w:rPr>
          <w:rStyle w:val="findhit"/>
          <w:rFonts w:cs="Calibri"/>
          <w:color w:val="000000" w:themeColor="text1"/>
          <w:shd w:val="clear" w:color="auto" w:fill="FFFFFF"/>
        </w:rPr>
        <w:t xml:space="preserve">fornecimento do objeto será </w:t>
      </w:r>
      <w:r>
        <w:rPr>
          <w:rFonts w:cs="Calibri"/>
          <w:color w:val="000000" w:themeColor="text1"/>
        </w:rPr>
        <w:t>parcelado</w:t>
      </w:r>
      <w:r>
        <w:rPr>
          <w:rFonts w:cs="Calibri"/>
          <w:color w:val="000000" w:themeColor="text1"/>
          <w:shd w:val="clear" w:color="auto" w:fill="FFFFFF"/>
        </w:rPr>
        <w:t>.</w:t>
      </w:r>
    </w:p>
    <w:p w14:paraId="7455E550" w14:textId="77777777" w:rsidR="00BC70A7" w:rsidRDefault="00000000">
      <w:pPr>
        <w:pStyle w:val="Nivel2"/>
        <w:numPr>
          <w:ilvl w:val="0"/>
          <w:numId w:val="1"/>
        </w:numPr>
        <w:rPr>
          <w:rFonts w:ascii="Calibri" w:hAnsi="Calibri" w:cs="Calibri"/>
          <w:color w:val="000000" w:themeColor="text1"/>
          <w:sz w:val="24"/>
          <w:szCs w:val="24"/>
        </w:rPr>
      </w:pPr>
      <w:commentRangeStart w:id="10"/>
      <w:r>
        <w:rPr>
          <w:rFonts w:cs="Calibri"/>
          <w:color w:val="000000" w:themeColor="text1"/>
        </w:rPr>
        <w:t>Exigências de habilitação</w:t>
      </w:r>
      <w:commentRangeEnd w:id="10"/>
      <w:r>
        <w:commentReference w:id="10"/>
      </w:r>
    </w:p>
    <w:p w14:paraId="7455E551" w14:textId="77777777" w:rsidR="00BC70A7" w:rsidRDefault="00000000">
      <w:pPr>
        <w:pStyle w:val="Nivel2"/>
        <w:numPr>
          <w:ilvl w:val="1"/>
          <w:numId w:val="1"/>
        </w:numPr>
        <w:rPr>
          <w:rFonts w:ascii="Calibri" w:hAnsi="Calibri" w:cs="Calibri"/>
          <w:color w:val="000000" w:themeColor="text1"/>
          <w:sz w:val="24"/>
          <w:szCs w:val="24"/>
        </w:rPr>
      </w:pPr>
      <w:r>
        <w:rPr>
          <w:rFonts w:cs="Calibri"/>
          <w:color w:val="000000" w:themeColor="text1"/>
        </w:rPr>
        <w:t>Para fins de habilitação, deverá o licitante comprovar os seguintes requisitos:</w:t>
      </w:r>
    </w:p>
    <w:p w14:paraId="7455E552" w14:textId="77777777" w:rsidR="00BC70A7" w:rsidRDefault="00000000">
      <w:pPr>
        <w:pStyle w:val="Nivel2"/>
        <w:numPr>
          <w:ilvl w:val="0"/>
          <w:numId w:val="1"/>
        </w:numPr>
        <w:rPr>
          <w:rFonts w:ascii="Calibri" w:hAnsi="Calibri" w:cs="Calibri"/>
          <w:color w:val="000000" w:themeColor="text1"/>
          <w:sz w:val="24"/>
          <w:szCs w:val="24"/>
        </w:rPr>
      </w:pPr>
      <w:r>
        <w:rPr>
          <w:rFonts w:cs="Calibri"/>
          <w:color w:val="000000" w:themeColor="text1"/>
        </w:rPr>
        <w:t>Habilitação jurídica</w:t>
      </w:r>
    </w:p>
    <w:p w14:paraId="7455E553" w14:textId="77777777" w:rsidR="00BC70A7" w:rsidRDefault="00000000">
      <w:pPr>
        <w:pStyle w:val="Nivel2"/>
        <w:numPr>
          <w:ilvl w:val="1"/>
          <w:numId w:val="1"/>
        </w:numPr>
        <w:rPr>
          <w:rFonts w:ascii="Calibri" w:hAnsi="Calibri" w:cs="Calibri"/>
          <w:color w:val="000000" w:themeColor="text1"/>
          <w:sz w:val="24"/>
          <w:szCs w:val="24"/>
        </w:rPr>
      </w:pPr>
      <w:bookmarkStart w:id="11" w:name="_Ref115800561"/>
      <w:commentRangeStart w:id="12"/>
      <w:r>
        <w:rPr>
          <w:rFonts w:cs="Calibri"/>
          <w:b/>
          <w:bCs/>
          <w:color w:val="000000" w:themeColor="text1"/>
        </w:rPr>
        <w:t>Pessoa física:</w:t>
      </w:r>
      <w:r>
        <w:rPr>
          <w:rFonts w:cs="Calibri"/>
          <w:color w:val="000000" w:themeColor="text1"/>
        </w:rPr>
        <w:t xml:space="preserve"> cédula de identidade (RG) ou documento equivalente que, por força de lei, tenha validade para fins de identificação em todo o território nacional;</w:t>
      </w:r>
      <w:bookmarkEnd w:id="11"/>
      <w:commentRangeEnd w:id="12"/>
      <w:r>
        <w:commentReference w:id="12"/>
      </w:r>
    </w:p>
    <w:p w14:paraId="7455E554" w14:textId="77777777" w:rsidR="00BC70A7" w:rsidRDefault="00000000">
      <w:pPr>
        <w:pStyle w:val="Nivel2"/>
        <w:numPr>
          <w:ilvl w:val="1"/>
          <w:numId w:val="1"/>
        </w:numPr>
        <w:rPr>
          <w:rFonts w:ascii="Calibri" w:hAnsi="Calibri" w:cs="Calibri"/>
          <w:color w:val="000000" w:themeColor="text1"/>
          <w:sz w:val="24"/>
          <w:szCs w:val="24"/>
        </w:rPr>
      </w:pPr>
      <w:r>
        <w:rPr>
          <w:rFonts w:cs="Calibri"/>
          <w:b/>
          <w:bCs/>
          <w:color w:val="000000" w:themeColor="text1"/>
        </w:rPr>
        <w:t>Empresário individual:</w:t>
      </w:r>
      <w:r>
        <w:rPr>
          <w:rFonts w:cs="Calibri"/>
          <w:color w:val="000000" w:themeColor="text1"/>
        </w:rPr>
        <w:t xml:space="preserve"> inscrição no Registro Público de Empresas Mercantis, a cargo da Junta Comercial da respectiva sede; </w:t>
      </w:r>
    </w:p>
    <w:p w14:paraId="7455E555" w14:textId="77777777" w:rsidR="00BC70A7" w:rsidRDefault="00000000">
      <w:pPr>
        <w:pStyle w:val="Nivel2"/>
        <w:numPr>
          <w:ilvl w:val="1"/>
          <w:numId w:val="1"/>
        </w:numPr>
      </w:pPr>
      <w:r>
        <w:rPr>
          <w:rFonts w:cs="Calibri"/>
          <w:b/>
          <w:bCs/>
          <w:color w:val="000000" w:themeColor="text1"/>
        </w:rPr>
        <w:t>Microempreendedor Individual - MEI:</w:t>
      </w:r>
      <w:r>
        <w:rPr>
          <w:rFonts w:cs="Calibri"/>
          <w:color w:val="000000" w:themeColor="text1"/>
        </w:rPr>
        <w:t xml:space="preserve"> Certificado da Condição de Microempreendedor Individual - CCMEI, cuja aceitação ficará condicionada à verificação da autenticidade no sítio </w:t>
      </w:r>
      <w:hyperlink r:id="rId27">
        <w:r>
          <w:rPr>
            <w:rStyle w:val="LinkdaInternet"/>
            <w:rFonts w:cs="Calibri"/>
            <w:color w:val="000000" w:themeColor="text1"/>
          </w:rPr>
          <w:t>https://www.gov.br/empresas-e-negocios/pt-br/empreendedor</w:t>
        </w:r>
      </w:hyperlink>
      <w:r>
        <w:rPr>
          <w:rFonts w:cs="Calibri"/>
          <w:color w:val="000000" w:themeColor="text1"/>
        </w:rPr>
        <w:t xml:space="preserve">; </w:t>
      </w:r>
    </w:p>
    <w:p w14:paraId="7455E556" w14:textId="77777777" w:rsidR="00BC70A7" w:rsidRDefault="00000000">
      <w:pPr>
        <w:pStyle w:val="Nivel2"/>
        <w:numPr>
          <w:ilvl w:val="1"/>
          <w:numId w:val="1"/>
        </w:numPr>
        <w:rPr>
          <w:rFonts w:ascii="Calibri" w:hAnsi="Calibri" w:cs="Calibri"/>
          <w:color w:val="000000" w:themeColor="text1"/>
          <w:sz w:val="24"/>
          <w:szCs w:val="24"/>
        </w:rPr>
      </w:pPr>
      <w:commentRangeStart w:id="13"/>
      <w:r>
        <w:rPr>
          <w:rFonts w:cs="Calibri"/>
          <w:color w:val="000000" w:themeColor="text1"/>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commentRangeEnd w:id="13"/>
      <w:r>
        <w:commentReference w:id="13"/>
      </w:r>
    </w:p>
    <w:p w14:paraId="7455E557" w14:textId="77777777" w:rsidR="00BC70A7" w:rsidRDefault="00000000">
      <w:pPr>
        <w:pStyle w:val="Nivel2"/>
        <w:numPr>
          <w:ilvl w:val="1"/>
          <w:numId w:val="1"/>
        </w:numPr>
      </w:pPr>
      <w:r>
        <w:rPr>
          <w:rFonts w:cs="Calibri"/>
          <w:b/>
          <w:bCs/>
          <w:color w:val="000000" w:themeColor="text1"/>
        </w:rPr>
        <w:t>Sociedade empresária estrangeira:</w:t>
      </w:r>
      <w:r>
        <w:rPr>
          <w:rFonts w:cs="Calibri"/>
          <w:color w:val="000000" w:themeColor="text1"/>
        </w:rPr>
        <w:t xml:space="preserve"> portaria de autorização de funcionamento no Brasil, publicada no Diário Oficial da União e arquivada na Junta Comercial da unidade federativa onde </w:t>
      </w:r>
      <w:r>
        <w:rPr>
          <w:rFonts w:cs="Calibri"/>
          <w:color w:val="000000" w:themeColor="text1"/>
        </w:rPr>
        <w:lastRenderedPageBreak/>
        <w:t xml:space="preserve">se localizar a filial, agência, sucursal ou estabelecimento, a qual será considerada como sua sede, conforme Instrução </w:t>
      </w:r>
      <w:hyperlink r:id="rId28">
        <w:r>
          <w:rPr>
            <w:rStyle w:val="LinkdaInternet"/>
            <w:rFonts w:cs="Calibri"/>
            <w:color w:val="000000" w:themeColor="text1"/>
          </w:rPr>
          <w:t>Normativa DREI/ME n.º 77, de 18 de março de 2020</w:t>
        </w:r>
      </w:hyperlink>
      <w:r>
        <w:rPr>
          <w:rFonts w:cs="Calibri"/>
          <w:color w:val="000000" w:themeColor="text1"/>
        </w:rPr>
        <w:t>.</w:t>
      </w:r>
    </w:p>
    <w:p w14:paraId="7455E558" w14:textId="77777777" w:rsidR="00BC70A7" w:rsidRDefault="00000000">
      <w:pPr>
        <w:pStyle w:val="Nivel2"/>
        <w:numPr>
          <w:ilvl w:val="1"/>
          <w:numId w:val="1"/>
        </w:numPr>
        <w:rPr>
          <w:rFonts w:ascii="Calibri" w:hAnsi="Calibri" w:cs="Calibri"/>
          <w:color w:val="000000" w:themeColor="text1"/>
          <w:sz w:val="24"/>
          <w:szCs w:val="24"/>
        </w:rPr>
      </w:pPr>
      <w:r>
        <w:rPr>
          <w:rFonts w:cs="Calibri"/>
          <w:b/>
          <w:bCs/>
          <w:color w:val="000000" w:themeColor="text1"/>
        </w:rPr>
        <w:t xml:space="preserve">Sociedade simples: </w:t>
      </w:r>
      <w:r>
        <w:rPr>
          <w:rFonts w:cs="Calibri"/>
          <w:color w:val="000000" w:themeColor="text1"/>
        </w:rPr>
        <w:t>inscrição do ato constitutivo no Registro Civil de Pessoas Jurídicas do local de sua sede, acompanhada de documento comprobatório de seus administradores;</w:t>
      </w:r>
    </w:p>
    <w:p w14:paraId="7455E559" w14:textId="77777777" w:rsidR="00BC70A7" w:rsidRDefault="00000000">
      <w:pPr>
        <w:pStyle w:val="Nivel2"/>
        <w:numPr>
          <w:ilvl w:val="1"/>
          <w:numId w:val="1"/>
        </w:numPr>
      </w:pPr>
      <w:r>
        <w:rPr>
          <w:rFonts w:cs="Calibri"/>
          <w:b/>
          <w:bCs/>
          <w:color w:val="000000" w:themeColor="text1"/>
        </w:rPr>
        <w:t>Filial, sucursal ou agência de sociedade simples ou empresária:</w:t>
      </w:r>
      <w:r>
        <w:rPr>
          <w:rFonts w:cs="Calibri"/>
          <w:color w:val="000000" w:themeColor="text1"/>
        </w:rPr>
        <w:t xml:space="preserve"> inscrição do ato constitutivo da filial, sucursal ou agência da sociedade simples ou empresária, respectivamente, no Registro Civil das Pessoas Jurídicas ou no Registro Público de Empresas </w:t>
      </w:r>
      <w:bookmarkStart w:id="14" w:name="_Int_ySfCXwr4"/>
      <w:r>
        <w:rPr>
          <w:rFonts w:cs="Calibri"/>
          <w:color w:val="000000" w:themeColor="text1"/>
        </w:rPr>
        <w:t>Mercantis onde</w:t>
      </w:r>
      <w:bookmarkEnd w:id="14"/>
      <w:r>
        <w:rPr>
          <w:rFonts w:cs="Calibri"/>
          <w:color w:val="000000" w:themeColor="text1"/>
        </w:rPr>
        <w:t xml:space="preserve"> opera, com averbação no Registro onde tem sede a matriz</w:t>
      </w:r>
      <w:commentRangeStart w:id="15"/>
      <w:commentRangeEnd w:id="15"/>
      <w:r>
        <w:commentReference w:id="15"/>
      </w:r>
    </w:p>
    <w:p w14:paraId="7455E55A" w14:textId="77777777" w:rsidR="00BC70A7" w:rsidRDefault="00000000">
      <w:pPr>
        <w:pStyle w:val="Nivel2"/>
        <w:numPr>
          <w:ilvl w:val="1"/>
          <w:numId w:val="1"/>
        </w:numPr>
        <w:rPr>
          <w:rFonts w:ascii="Calibri" w:hAnsi="Calibri" w:cs="Calibri"/>
          <w:color w:val="000000" w:themeColor="text1"/>
          <w:sz w:val="24"/>
          <w:szCs w:val="24"/>
        </w:rPr>
      </w:pPr>
      <w:r>
        <w:rPr>
          <w:rFonts w:cs="Calibri"/>
          <w:color w:val="000000" w:themeColor="text1"/>
        </w:rPr>
        <w:t>Os documentos apresentados deverão estar acompanhados de todas as alterações ou da consolidação respectiva.</w:t>
      </w:r>
    </w:p>
    <w:p w14:paraId="7455E55B" w14:textId="77777777" w:rsidR="00BC70A7" w:rsidRDefault="00000000">
      <w:pPr>
        <w:pStyle w:val="Nivel2"/>
        <w:numPr>
          <w:ilvl w:val="0"/>
          <w:numId w:val="1"/>
        </w:numPr>
        <w:rPr>
          <w:rFonts w:ascii="Calibri" w:hAnsi="Calibri" w:cs="Calibri"/>
          <w:color w:val="000000" w:themeColor="text1"/>
          <w:sz w:val="24"/>
          <w:szCs w:val="24"/>
        </w:rPr>
      </w:pPr>
      <w:r>
        <w:rPr>
          <w:rFonts w:cs="Calibri"/>
          <w:color w:val="000000" w:themeColor="text1"/>
        </w:rPr>
        <w:t>Habilitação fiscal, social e trabalhista</w:t>
      </w:r>
    </w:p>
    <w:p w14:paraId="7455E55C" w14:textId="77777777" w:rsidR="00BC70A7" w:rsidRDefault="00000000">
      <w:pPr>
        <w:pStyle w:val="Nivel2"/>
        <w:numPr>
          <w:ilvl w:val="1"/>
          <w:numId w:val="1"/>
        </w:numPr>
        <w:rPr>
          <w:rFonts w:ascii="Calibri" w:hAnsi="Calibri" w:cs="Calibri"/>
          <w:color w:val="000000" w:themeColor="text1"/>
          <w:sz w:val="24"/>
          <w:szCs w:val="24"/>
        </w:rPr>
      </w:pPr>
      <w:commentRangeStart w:id="16"/>
      <w:r>
        <w:rPr>
          <w:rFonts w:cs="Calibri"/>
          <w:color w:val="000000" w:themeColor="text1"/>
        </w:rPr>
        <w:t>Prova de inscrição no Cadastro Nacional de Pessoas Jurídicas ou no Cadastro de Pessoas Físicas, conforme o caso;</w:t>
      </w:r>
    </w:p>
    <w:p w14:paraId="7455E55D" w14:textId="77777777" w:rsidR="00BC70A7" w:rsidRDefault="00000000">
      <w:pPr>
        <w:pStyle w:val="Nivel2"/>
        <w:numPr>
          <w:ilvl w:val="1"/>
          <w:numId w:val="1"/>
        </w:numPr>
        <w:rPr>
          <w:rFonts w:ascii="Calibri" w:hAnsi="Calibri" w:cs="Calibri"/>
          <w:color w:val="000000" w:themeColor="text1"/>
          <w:sz w:val="24"/>
          <w:szCs w:val="24"/>
        </w:rPr>
      </w:pPr>
      <w:r>
        <w:rPr>
          <w:rFonts w:cs="Calibri"/>
          <w:color w:val="000000" w:themeColor="text1"/>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455E55E" w14:textId="77777777" w:rsidR="00BC70A7" w:rsidRDefault="00000000">
      <w:pPr>
        <w:pStyle w:val="Nivel2"/>
        <w:numPr>
          <w:ilvl w:val="1"/>
          <w:numId w:val="1"/>
        </w:numPr>
        <w:rPr>
          <w:rFonts w:ascii="Calibri" w:hAnsi="Calibri" w:cs="Calibri"/>
          <w:color w:val="000000" w:themeColor="text1"/>
          <w:sz w:val="24"/>
          <w:szCs w:val="24"/>
        </w:rPr>
      </w:pPr>
      <w:r>
        <w:rPr>
          <w:rFonts w:cs="Calibri"/>
          <w:color w:val="000000" w:themeColor="text1"/>
        </w:rPr>
        <w:t>Prova de regularidade com o Fundo de Garantia do Tempo de Serviço (FGTS);</w:t>
      </w:r>
    </w:p>
    <w:p w14:paraId="7455E55F" w14:textId="77777777" w:rsidR="00BC70A7" w:rsidRDefault="00000000">
      <w:pPr>
        <w:pStyle w:val="Nivel2"/>
        <w:numPr>
          <w:ilvl w:val="1"/>
          <w:numId w:val="1"/>
        </w:numPr>
        <w:rPr>
          <w:rFonts w:ascii="Calibri" w:hAnsi="Calibri" w:cs="Calibri"/>
          <w:color w:val="000000" w:themeColor="text1"/>
          <w:sz w:val="24"/>
          <w:szCs w:val="24"/>
        </w:rPr>
      </w:pPr>
      <w:r>
        <w:rPr>
          <w:rFonts w:cs="Calibri"/>
          <w:color w:val="000000" w:themeColor="text1"/>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455E560" w14:textId="77777777" w:rsidR="00BC70A7" w:rsidRDefault="00000000">
      <w:pPr>
        <w:pStyle w:val="Nivel2"/>
        <w:numPr>
          <w:ilvl w:val="1"/>
          <w:numId w:val="1"/>
        </w:numPr>
        <w:rPr>
          <w:rFonts w:ascii="Calibri" w:hAnsi="Calibri" w:cs="Calibri"/>
          <w:color w:val="000000" w:themeColor="text1"/>
          <w:sz w:val="24"/>
          <w:szCs w:val="24"/>
        </w:rPr>
      </w:pPr>
      <w:r>
        <w:rPr>
          <w:rFonts w:cs="Calibri"/>
          <w:color w:val="000000" w:themeColor="text1"/>
        </w:rPr>
        <w:t xml:space="preserve">Prova de inscrição no cadastro de contribuintes </w:t>
      </w:r>
      <w:r>
        <w:rPr>
          <w:rFonts w:cs="Calibri"/>
          <w:i/>
          <w:iCs/>
          <w:color w:val="000000" w:themeColor="text1"/>
        </w:rPr>
        <w:t>Estadual</w:t>
      </w:r>
      <w:r>
        <w:rPr>
          <w:rFonts w:cs="Calibri"/>
          <w:color w:val="000000" w:themeColor="text1"/>
        </w:rPr>
        <w:t xml:space="preserve"> ou </w:t>
      </w:r>
      <w:r>
        <w:rPr>
          <w:rFonts w:cs="Calibri"/>
          <w:i/>
          <w:iCs/>
          <w:color w:val="000000" w:themeColor="text1"/>
        </w:rPr>
        <w:t>Municipal</w:t>
      </w:r>
      <w:r>
        <w:rPr>
          <w:rFonts w:cs="Calibri"/>
          <w:color w:val="000000" w:themeColor="text1"/>
        </w:rPr>
        <w:t xml:space="preserve"> relativo ao domicílio ou sede do fornecedor, pertinente ao seu ramo de atividade e compatível com o objeto contratual; </w:t>
      </w:r>
    </w:p>
    <w:p w14:paraId="7455E561" w14:textId="77777777" w:rsidR="00BC70A7" w:rsidRDefault="00000000">
      <w:pPr>
        <w:pStyle w:val="Nivel2"/>
        <w:numPr>
          <w:ilvl w:val="1"/>
          <w:numId w:val="1"/>
        </w:numPr>
        <w:rPr>
          <w:rFonts w:ascii="Calibri" w:hAnsi="Calibri" w:cs="Calibri"/>
          <w:color w:val="000000" w:themeColor="text1"/>
          <w:sz w:val="24"/>
          <w:szCs w:val="24"/>
        </w:rPr>
      </w:pPr>
      <w:r>
        <w:rPr>
          <w:rFonts w:cs="Calibri"/>
          <w:color w:val="000000" w:themeColor="text1"/>
        </w:rPr>
        <w:t xml:space="preserve">Prova de regularidade com a Fazenda </w:t>
      </w:r>
      <w:r>
        <w:rPr>
          <w:rFonts w:cs="Calibri"/>
          <w:i/>
          <w:iCs/>
          <w:color w:val="000000" w:themeColor="text1"/>
        </w:rPr>
        <w:t>Estadual</w:t>
      </w:r>
      <w:r>
        <w:rPr>
          <w:rFonts w:cs="Calibri"/>
          <w:color w:val="000000" w:themeColor="text1"/>
        </w:rPr>
        <w:t xml:space="preserve"> ou </w:t>
      </w:r>
      <w:r>
        <w:rPr>
          <w:rFonts w:cs="Calibri"/>
          <w:i/>
          <w:iCs/>
          <w:color w:val="000000" w:themeColor="text1"/>
        </w:rPr>
        <w:t>Municipal</w:t>
      </w:r>
      <w:r>
        <w:rPr>
          <w:rFonts w:cs="Calibri"/>
          <w:color w:val="000000" w:themeColor="text1"/>
        </w:rPr>
        <w:t xml:space="preserve"> do domicílio ou sede do fornecedor, relativa à atividade em cujo exercício contrata ou concorre;</w:t>
      </w:r>
      <w:commentRangeEnd w:id="16"/>
      <w:r>
        <w:commentReference w:id="16"/>
      </w:r>
    </w:p>
    <w:p w14:paraId="7455E562" w14:textId="77777777" w:rsidR="00BC70A7" w:rsidRDefault="00000000">
      <w:pPr>
        <w:pStyle w:val="Nivel2"/>
        <w:numPr>
          <w:ilvl w:val="1"/>
          <w:numId w:val="1"/>
        </w:numPr>
        <w:rPr>
          <w:rFonts w:ascii="Calibri" w:hAnsi="Calibri" w:cs="Calibri"/>
          <w:color w:val="000000" w:themeColor="text1"/>
          <w:sz w:val="24"/>
          <w:szCs w:val="24"/>
        </w:rPr>
      </w:pPr>
      <w:r>
        <w:rPr>
          <w:rFonts w:cs="Calibri"/>
          <w:color w:val="000000" w:themeColor="text1"/>
        </w:rPr>
        <w:t xml:space="preserve">Caso o fornecedor seja considerado isento dos tributos </w:t>
      </w:r>
      <w:r>
        <w:rPr>
          <w:rFonts w:cs="Calibri"/>
          <w:i/>
          <w:iCs/>
          <w:color w:val="000000" w:themeColor="text1"/>
        </w:rPr>
        <w:t>Estadual</w:t>
      </w:r>
      <w:r>
        <w:rPr>
          <w:rFonts w:cs="Calibri"/>
          <w:color w:val="000000" w:themeColor="text1"/>
        </w:rPr>
        <w:t xml:space="preserve"> ou </w:t>
      </w:r>
      <w:r>
        <w:rPr>
          <w:rFonts w:cs="Calibri"/>
          <w:i/>
          <w:iCs/>
          <w:color w:val="000000" w:themeColor="text1"/>
        </w:rPr>
        <w:t>Municipal</w:t>
      </w:r>
      <w:r>
        <w:rPr>
          <w:rFonts w:cs="Calibri"/>
          <w:color w:val="000000" w:themeColor="text1"/>
        </w:rPr>
        <w:t xml:space="preserve"> relacionados ao objeto contratual, deverá comprovar tal condição mediante a apresentação de declaração da Fazenda respectiva do seu domicílio ou sede, ou outra equivalente, na forma da lei.</w:t>
      </w:r>
    </w:p>
    <w:p w14:paraId="7455E563" w14:textId="77777777" w:rsidR="00BC70A7" w:rsidRDefault="00000000">
      <w:pPr>
        <w:pStyle w:val="Nivel2"/>
        <w:numPr>
          <w:ilvl w:val="1"/>
          <w:numId w:val="1"/>
        </w:numPr>
        <w:rPr>
          <w:rFonts w:ascii="Calibri" w:hAnsi="Calibri" w:cs="Calibri"/>
          <w:color w:val="000000" w:themeColor="text1"/>
          <w:sz w:val="24"/>
          <w:szCs w:val="24"/>
        </w:rPr>
      </w:pPr>
      <w:commentRangeStart w:id="17"/>
      <w:r>
        <w:rPr>
          <w:rFonts w:cs="Calibri"/>
          <w:color w:val="000000" w:themeColor="text1"/>
        </w:rPr>
        <w:t>O fornecedor enquadrado como microempreendedor individual que pretenda auferir os benefícios do tratamento diferenciado previstos na Lei Complementar n. 123, de 2006, estará dispensado da prova de inscrição nos cadastros de contribuintes estadual e municipal.</w:t>
      </w:r>
      <w:commentRangeEnd w:id="17"/>
      <w:r>
        <w:commentReference w:id="17"/>
      </w:r>
    </w:p>
    <w:p w14:paraId="7455E564" w14:textId="77777777" w:rsidR="00BC70A7" w:rsidRDefault="00000000">
      <w:pPr>
        <w:pStyle w:val="Nivel2"/>
        <w:numPr>
          <w:ilvl w:val="0"/>
          <w:numId w:val="1"/>
        </w:numPr>
        <w:rPr>
          <w:rFonts w:ascii="Calibri" w:hAnsi="Calibri" w:cs="Calibri"/>
          <w:color w:val="000000" w:themeColor="text1"/>
          <w:sz w:val="24"/>
          <w:szCs w:val="24"/>
        </w:rPr>
      </w:pPr>
      <w:commentRangeStart w:id="18"/>
      <w:r>
        <w:rPr>
          <w:rFonts w:cs="Calibri"/>
          <w:color w:val="000000" w:themeColor="text1"/>
        </w:rPr>
        <w:t>Qualificação Econômico-Financeira</w:t>
      </w:r>
      <w:commentRangeEnd w:id="18"/>
      <w:r>
        <w:commentReference w:id="18"/>
      </w:r>
    </w:p>
    <w:p w14:paraId="7455E565" w14:textId="77777777" w:rsidR="00BC70A7" w:rsidRDefault="00000000">
      <w:pPr>
        <w:pStyle w:val="Nivel2"/>
        <w:numPr>
          <w:ilvl w:val="1"/>
          <w:numId w:val="1"/>
        </w:numPr>
      </w:pPr>
      <w:r>
        <w:rPr>
          <w:rFonts w:cs="Calibri"/>
          <w:color w:val="000000" w:themeColor="text1"/>
        </w:rPr>
        <w:t>Certidão negativa de insolvência civil expedida pelo distribuidor do domicílio ou sede do licitante, caso se trate de pessoa física, desde que admitida a sua participação na licitação (</w:t>
      </w:r>
      <w:hyperlink r:id="rId29" w:anchor="art5" w:history="1">
        <w:r>
          <w:rPr>
            <w:rStyle w:val="LinkdaInternet"/>
            <w:rFonts w:cs="Calibri"/>
            <w:color w:val="000000" w:themeColor="text1"/>
          </w:rPr>
          <w:t>art. 5º, inciso II, alínea “c”, da Instrução Normativa Seges/ME nº 116, de 2021</w:t>
        </w:r>
      </w:hyperlink>
      <w:r>
        <w:rPr>
          <w:rFonts w:cs="Calibri"/>
          <w:color w:val="000000" w:themeColor="text1"/>
        </w:rPr>
        <w:t xml:space="preserve">), ou de sociedade simples; </w:t>
      </w:r>
    </w:p>
    <w:p w14:paraId="7455E566" w14:textId="77777777" w:rsidR="00BC70A7" w:rsidRDefault="00000000">
      <w:pPr>
        <w:pStyle w:val="Nivel2"/>
        <w:numPr>
          <w:ilvl w:val="1"/>
          <w:numId w:val="1"/>
        </w:numPr>
      </w:pPr>
      <w:r>
        <w:rPr>
          <w:rFonts w:cs="Calibri"/>
          <w:color w:val="000000" w:themeColor="text1"/>
        </w:rPr>
        <w:t xml:space="preserve">Certidão negativa de falência expedida pelo distribuidor da sede do fornecedor - </w:t>
      </w:r>
      <w:hyperlink r:id="rId30" w:anchor="art69" w:history="1">
        <w:r>
          <w:rPr>
            <w:rStyle w:val="LinkdaInternet"/>
            <w:rFonts w:cs="Calibri"/>
            <w:color w:val="000000" w:themeColor="text1"/>
          </w:rPr>
          <w:t>Lei nº 14.133, de 2021, art. 69, caput, inciso II</w:t>
        </w:r>
      </w:hyperlink>
      <w:r>
        <w:rPr>
          <w:rFonts w:cs="Calibri"/>
          <w:color w:val="000000" w:themeColor="text1"/>
        </w:rPr>
        <w:t>);</w:t>
      </w:r>
    </w:p>
    <w:p w14:paraId="7455E567" w14:textId="77777777" w:rsidR="00BC70A7" w:rsidRDefault="00000000">
      <w:pPr>
        <w:pStyle w:val="Nivel2"/>
        <w:numPr>
          <w:ilvl w:val="1"/>
          <w:numId w:val="1"/>
        </w:numPr>
        <w:rPr>
          <w:rFonts w:ascii="Calibri" w:hAnsi="Calibri" w:cs="Calibri"/>
          <w:color w:val="000000" w:themeColor="text1"/>
          <w:sz w:val="24"/>
          <w:szCs w:val="24"/>
        </w:rPr>
      </w:pPr>
      <w:r>
        <w:rPr>
          <w:rFonts w:cs="Calibri"/>
          <w:color w:val="000000" w:themeColor="text1"/>
        </w:rPr>
        <w:t>Balanço patrimonial, demonstração de resultado de exercício e demais demonstrações contábeis dos 2 (dois) últimos exercícios sociais, comprovando;</w:t>
      </w:r>
    </w:p>
    <w:p w14:paraId="7455E568" w14:textId="77777777" w:rsidR="00BC70A7" w:rsidRDefault="00000000">
      <w:pPr>
        <w:pStyle w:val="Nivel3"/>
        <w:numPr>
          <w:ilvl w:val="2"/>
          <w:numId w:val="1"/>
        </w:numPr>
        <w:rPr>
          <w:rFonts w:ascii="Calibri" w:hAnsi="Calibri" w:cs="Calibri"/>
          <w:color w:val="000000" w:themeColor="text1"/>
          <w:sz w:val="24"/>
          <w:szCs w:val="24"/>
        </w:rPr>
      </w:pPr>
      <w:r>
        <w:rPr>
          <w:rFonts w:cs="Calibri"/>
          <w:color w:val="000000" w:themeColor="text1"/>
        </w:rPr>
        <w:t>índices de Liquidez Geral (LG), Liquidez Corrente (LC), e Solvência Geral (SG) superiores a 1 (um);</w:t>
      </w:r>
    </w:p>
    <w:p w14:paraId="7455E569" w14:textId="77777777" w:rsidR="00BC70A7" w:rsidRDefault="00000000">
      <w:pPr>
        <w:pStyle w:val="Nivel3"/>
        <w:numPr>
          <w:ilvl w:val="2"/>
          <w:numId w:val="1"/>
        </w:numPr>
        <w:rPr>
          <w:rFonts w:ascii="Calibri" w:hAnsi="Calibri" w:cs="Calibri"/>
          <w:color w:val="000000" w:themeColor="text1"/>
          <w:sz w:val="24"/>
          <w:szCs w:val="24"/>
        </w:rPr>
      </w:pPr>
      <w:r>
        <w:rPr>
          <w:rFonts w:cs="Calibri"/>
          <w:color w:val="000000" w:themeColor="text1"/>
        </w:rPr>
        <w:t>As empresas criadas no exercício financeiro da licitação deverão atender a todas as exigências da habilitação e poderão substituir os demonstrativos contábeis pelo balanço de abertura.</w:t>
      </w:r>
    </w:p>
    <w:p w14:paraId="7455E56A" w14:textId="77777777" w:rsidR="00BC70A7" w:rsidRDefault="00000000">
      <w:pPr>
        <w:pStyle w:val="Nivel3"/>
        <w:numPr>
          <w:ilvl w:val="2"/>
          <w:numId w:val="1"/>
        </w:numPr>
        <w:rPr>
          <w:rFonts w:ascii="Calibri" w:hAnsi="Calibri" w:cs="Calibri"/>
          <w:color w:val="000000" w:themeColor="text1"/>
          <w:sz w:val="24"/>
          <w:szCs w:val="24"/>
        </w:rPr>
      </w:pPr>
      <w:r>
        <w:rPr>
          <w:rFonts w:cs="Calibri"/>
          <w:color w:val="000000" w:themeColor="text1"/>
        </w:rPr>
        <w:t>Os documentos referidos acima limitar-se-ão ao último exercício no caso de a pessoa jurídica ter sido constituída há menos de 2 (dois) anos;</w:t>
      </w:r>
    </w:p>
    <w:p w14:paraId="7455E56B" w14:textId="77777777" w:rsidR="00BC70A7" w:rsidRDefault="00000000">
      <w:pPr>
        <w:pStyle w:val="Nivel3"/>
        <w:numPr>
          <w:ilvl w:val="2"/>
          <w:numId w:val="1"/>
        </w:numPr>
        <w:rPr>
          <w:rFonts w:ascii="Calibri" w:hAnsi="Calibri" w:cs="Calibri"/>
          <w:color w:val="000000" w:themeColor="text1"/>
          <w:sz w:val="24"/>
          <w:szCs w:val="24"/>
        </w:rPr>
      </w:pPr>
      <w:commentRangeStart w:id="19"/>
      <w:r>
        <w:rPr>
          <w:rFonts w:cs="Calibri"/>
          <w:color w:val="000000" w:themeColor="text1"/>
        </w:rPr>
        <w:lastRenderedPageBreak/>
        <w:t xml:space="preserve">Os documentos referidos </w:t>
      </w:r>
      <w:commentRangeEnd w:id="19"/>
      <w:r>
        <w:commentReference w:id="19"/>
      </w:r>
      <w:r>
        <w:rPr>
          <w:rFonts w:cs="Calibri"/>
          <w:color w:val="000000" w:themeColor="text1"/>
        </w:rPr>
        <w:t>acima deverão ser exigidos com base no limite definido pela Receita Federal do Brasil para transmissão da Escrituração Contábil Digital - ECD ao Sped.</w:t>
      </w:r>
    </w:p>
    <w:p w14:paraId="7455E56C" w14:textId="77777777" w:rsidR="00BC70A7" w:rsidRDefault="00000000">
      <w:pPr>
        <w:pStyle w:val="Nivel2"/>
        <w:numPr>
          <w:ilvl w:val="1"/>
          <w:numId w:val="1"/>
        </w:numPr>
        <w:rPr>
          <w:rFonts w:ascii="Calibri" w:hAnsi="Calibri" w:cs="Calibri"/>
          <w:color w:val="000000" w:themeColor="text1"/>
          <w:sz w:val="24"/>
          <w:szCs w:val="24"/>
        </w:rPr>
      </w:pPr>
      <w:commentRangeStart w:id="20"/>
      <w:r>
        <w:rPr>
          <w:rFonts w:cs="Calibri"/>
          <w:color w:val="000000" w:themeColor="text1"/>
        </w:rPr>
        <w:t>Caso a empresa licitante apresente resultado inferior ou igual a 1 (um) em qualquer dos índices de Liquidez Geral (LG), Solvência Geral (SG) e Liquidez Corrente (LC), será exigido para fins de habilitação patrimônio líquido mínimo de 10% do valor total estimado da parcela pertinente.</w:t>
      </w:r>
      <w:commentRangeEnd w:id="20"/>
      <w:r>
        <w:commentReference w:id="20"/>
      </w:r>
    </w:p>
    <w:p w14:paraId="7455E56D" w14:textId="77777777" w:rsidR="00BC70A7" w:rsidRDefault="00000000">
      <w:pPr>
        <w:pStyle w:val="Nivel2"/>
        <w:numPr>
          <w:ilvl w:val="1"/>
          <w:numId w:val="1"/>
        </w:numPr>
        <w:rPr>
          <w:rFonts w:ascii="Calibri" w:hAnsi="Calibri" w:cs="Calibri"/>
          <w:color w:val="000000" w:themeColor="text1"/>
          <w:sz w:val="24"/>
          <w:szCs w:val="24"/>
        </w:rPr>
      </w:pPr>
      <w:r>
        <w:rPr>
          <w:rFonts w:cs="Calibri"/>
          <w:color w:val="000000" w:themeColor="text1"/>
        </w:rPr>
        <w:t>As empresas criadas no exercício financeiro da licitação deverão atender a todas as exigências da habilitação e poderão substituir os demonstrativos contábeis pelo balanço de abertura. (Lei nº 14.133, de 2021, art. 65, §1º).</w:t>
      </w:r>
    </w:p>
    <w:p w14:paraId="7455E56E" w14:textId="77777777" w:rsidR="00BC70A7" w:rsidRDefault="00000000">
      <w:pPr>
        <w:pStyle w:val="Nivel2"/>
        <w:numPr>
          <w:ilvl w:val="1"/>
          <w:numId w:val="1"/>
        </w:numPr>
        <w:rPr>
          <w:rFonts w:ascii="Calibri" w:hAnsi="Calibri" w:cs="Calibri"/>
          <w:color w:val="000000" w:themeColor="text1"/>
          <w:sz w:val="24"/>
          <w:szCs w:val="24"/>
        </w:rPr>
      </w:pPr>
      <w:commentRangeStart w:id="21"/>
      <w:r>
        <w:rPr>
          <w:rFonts w:cs="Calibri"/>
          <w:color w:val="000000" w:themeColor="text1"/>
        </w:rPr>
        <w:t>O atendimento dos índices econômicos previstos neste item deverá ser atestado mediante declaração assinada por profissional habilitado da área contábil, apresentada pelo fornecedor.</w:t>
      </w:r>
      <w:commentRangeEnd w:id="21"/>
      <w:r>
        <w:commentReference w:id="21"/>
      </w:r>
    </w:p>
    <w:p w14:paraId="7455E56F" w14:textId="77777777" w:rsidR="00BC70A7" w:rsidRDefault="00000000">
      <w:pPr>
        <w:pStyle w:val="Nivel2"/>
        <w:numPr>
          <w:ilvl w:val="0"/>
          <w:numId w:val="1"/>
        </w:numPr>
        <w:rPr>
          <w:rFonts w:ascii="Calibri" w:hAnsi="Calibri" w:cs="Calibri"/>
          <w:color w:val="000000" w:themeColor="text1"/>
          <w:sz w:val="24"/>
          <w:szCs w:val="24"/>
        </w:rPr>
      </w:pPr>
      <w:commentRangeStart w:id="22"/>
      <w:r>
        <w:rPr>
          <w:rFonts w:cs="Calibri"/>
          <w:color w:val="000000" w:themeColor="text1"/>
        </w:rPr>
        <w:t>Qualificação Técnica</w:t>
      </w:r>
      <w:commentRangeEnd w:id="22"/>
      <w:r>
        <w:commentReference w:id="22"/>
      </w:r>
    </w:p>
    <w:p w14:paraId="7455E570" w14:textId="77777777" w:rsidR="00BC70A7" w:rsidRDefault="00000000">
      <w:pPr>
        <w:pStyle w:val="Nivel2"/>
        <w:numPr>
          <w:ilvl w:val="1"/>
          <w:numId w:val="1"/>
        </w:numPr>
        <w:rPr>
          <w:rFonts w:ascii="Calibri" w:hAnsi="Calibri" w:cs="Calibri"/>
          <w:color w:val="000000" w:themeColor="text1"/>
          <w:sz w:val="24"/>
          <w:szCs w:val="24"/>
        </w:rPr>
      </w:pPr>
      <w:commentRangeStart w:id="23"/>
      <w:r>
        <w:rPr>
          <w:rFonts w:cs="Calibri"/>
          <w:color w:val="000000" w:themeColor="text1"/>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7455E571" w14:textId="77777777" w:rsidR="00BC70A7" w:rsidRDefault="00000000">
      <w:pPr>
        <w:pStyle w:val="Nivel2"/>
        <w:numPr>
          <w:ilvl w:val="1"/>
          <w:numId w:val="1"/>
        </w:numPr>
        <w:rPr>
          <w:rFonts w:ascii="Calibri" w:hAnsi="Calibri" w:cs="Calibri"/>
          <w:color w:val="000000" w:themeColor="text1"/>
          <w:sz w:val="24"/>
          <w:szCs w:val="24"/>
        </w:rPr>
      </w:pPr>
      <w:r>
        <w:rPr>
          <w:rFonts w:cs="Calibri"/>
          <w:color w:val="000000" w:themeColor="text1"/>
        </w:rPr>
        <w:t>Será admitida, para fins de comprovação de quantitativo mínimo, a apresentação e o somatório de diferentes atestados executados de forma concomitante.</w:t>
      </w:r>
      <w:commentRangeEnd w:id="23"/>
      <w:r>
        <w:commentReference w:id="23"/>
      </w:r>
    </w:p>
    <w:p w14:paraId="7455E572" w14:textId="77777777" w:rsidR="00BC70A7" w:rsidRDefault="00000000">
      <w:pPr>
        <w:pStyle w:val="Nivel2"/>
        <w:numPr>
          <w:ilvl w:val="1"/>
          <w:numId w:val="1"/>
        </w:numPr>
        <w:rPr>
          <w:rFonts w:ascii="Calibri" w:hAnsi="Calibri" w:cs="Calibri"/>
          <w:color w:val="000000" w:themeColor="text1"/>
          <w:sz w:val="24"/>
          <w:szCs w:val="24"/>
          <w:highlight w:val="yellow"/>
        </w:rPr>
      </w:pPr>
      <w:commentRangeStart w:id="24"/>
      <w:r>
        <w:rPr>
          <w:rFonts w:cs="Calibri"/>
          <w:color w:val="000000" w:themeColor="text1"/>
        </w:rPr>
        <w:t>Os atestados de capacidade técnica poderão ser apresentados em nome da matriz ou da filial do fornecedor.</w:t>
      </w:r>
      <w:commentRangeEnd w:id="24"/>
      <w:r>
        <w:commentReference w:id="24"/>
      </w:r>
    </w:p>
    <w:p w14:paraId="7455E573" w14:textId="77777777" w:rsidR="00BC70A7" w:rsidRDefault="00000000">
      <w:pPr>
        <w:pStyle w:val="Nivel2"/>
        <w:numPr>
          <w:ilvl w:val="1"/>
          <w:numId w:val="1"/>
        </w:numPr>
        <w:rPr>
          <w:rFonts w:ascii="Calibri" w:hAnsi="Calibri" w:cs="Calibri"/>
          <w:color w:val="000000" w:themeColor="text1"/>
          <w:sz w:val="24"/>
          <w:szCs w:val="24"/>
        </w:rPr>
      </w:pPr>
      <w:r>
        <w:rPr>
          <w:rFonts w:cs="Calibri"/>
          <w:color w:val="000000" w:themeColor="text1"/>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7455E574" w14:textId="77777777" w:rsidR="00BC70A7" w:rsidRDefault="00000000">
      <w:pPr>
        <w:pStyle w:val="Nivel2"/>
        <w:numPr>
          <w:ilvl w:val="1"/>
          <w:numId w:val="1"/>
        </w:numPr>
        <w:rPr>
          <w:rFonts w:ascii="Calibri" w:hAnsi="Calibri" w:cs="Calibri"/>
          <w:color w:val="000000" w:themeColor="text1"/>
          <w:sz w:val="24"/>
          <w:szCs w:val="24"/>
        </w:rPr>
      </w:pPr>
      <w:r>
        <w:rPr>
          <w:rFonts w:cs="Calibri"/>
          <w:color w:val="000000" w:themeColor="text1"/>
        </w:rPr>
        <w:t>Caso admitida a participação de cooperativas, será exigida a seguinte documentação complementar:</w:t>
      </w:r>
    </w:p>
    <w:p w14:paraId="7455E575" w14:textId="77777777" w:rsidR="00BC70A7" w:rsidRDefault="00000000">
      <w:pPr>
        <w:pStyle w:val="Nivel3"/>
        <w:numPr>
          <w:ilvl w:val="2"/>
          <w:numId w:val="1"/>
        </w:numPr>
      </w:pPr>
      <w:r>
        <w:rPr>
          <w:rFonts w:cs="Calibri"/>
          <w:color w:val="000000" w:themeColor="text1"/>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31" w:anchor="art4" w:history="1">
        <w:r>
          <w:rPr>
            <w:rStyle w:val="LinkdaInternet"/>
            <w:rFonts w:cs="Calibri"/>
            <w:color w:val="000000" w:themeColor="text1"/>
          </w:rPr>
          <w:t>arts. 4º, inciso XI, 21, inciso I</w:t>
        </w:r>
      </w:hyperlink>
      <w:r>
        <w:rPr>
          <w:rFonts w:cs="Calibri"/>
          <w:color w:val="000000" w:themeColor="text1"/>
        </w:rPr>
        <w:t xml:space="preserve"> e </w:t>
      </w:r>
      <w:hyperlink r:id="rId32" w:anchor="art42" w:history="1">
        <w:r>
          <w:rPr>
            <w:rStyle w:val="LinkdaInternet"/>
            <w:rFonts w:cs="Calibri"/>
            <w:color w:val="000000" w:themeColor="text1"/>
          </w:rPr>
          <w:t>42, §§2º a 6º da Lei n. 5.764, de 1971</w:t>
        </w:r>
      </w:hyperlink>
      <w:r>
        <w:rPr>
          <w:rFonts w:cs="Calibri"/>
          <w:color w:val="000000" w:themeColor="text1"/>
        </w:rPr>
        <w:t>;</w:t>
      </w:r>
    </w:p>
    <w:p w14:paraId="7455E576" w14:textId="77777777" w:rsidR="00BC70A7" w:rsidRDefault="00000000">
      <w:pPr>
        <w:pStyle w:val="Nivel3"/>
        <w:numPr>
          <w:ilvl w:val="2"/>
          <w:numId w:val="1"/>
        </w:numPr>
        <w:rPr>
          <w:rFonts w:ascii="Calibri" w:hAnsi="Calibri" w:cs="Calibri"/>
          <w:color w:val="000000" w:themeColor="text1"/>
          <w:sz w:val="24"/>
          <w:szCs w:val="24"/>
        </w:rPr>
      </w:pPr>
      <w:r>
        <w:rPr>
          <w:rFonts w:cs="Calibri"/>
          <w:color w:val="000000" w:themeColor="text1"/>
        </w:rPr>
        <w:t>A declaração de regularidade de situação do contribuinte individual – DRSCI, para cada um dos cooperados indicados;</w:t>
      </w:r>
    </w:p>
    <w:p w14:paraId="7455E577" w14:textId="77777777" w:rsidR="00BC70A7" w:rsidRDefault="00000000">
      <w:pPr>
        <w:pStyle w:val="Nivel3"/>
        <w:numPr>
          <w:ilvl w:val="2"/>
          <w:numId w:val="1"/>
        </w:numPr>
        <w:rPr>
          <w:rFonts w:ascii="Calibri" w:hAnsi="Calibri" w:cs="Calibri"/>
          <w:color w:val="000000" w:themeColor="text1"/>
          <w:sz w:val="24"/>
          <w:szCs w:val="24"/>
        </w:rPr>
      </w:pPr>
      <w:r>
        <w:rPr>
          <w:rFonts w:cs="Calibri"/>
          <w:color w:val="000000" w:themeColor="text1"/>
        </w:rPr>
        <w:t xml:space="preserve">A comprovação do capital social proporcional ao número de cooperados necessários à execução contratual; </w:t>
      </w:r>
    </w:p>
    <w:p w14:paraId="7455E578" w14:textId="77777777" w:rsidR="00BC70A7" w:rsidRDefault="00000000">
      <w:pPr>
        <w:pStyle w:val="Nivel3"/>
        <w:numPr>
          <w:ilvl w:val="2"/>
          <w:numId w:val="1"/>
        </w:numPr>
      </w:pPr>
      <w:r>
        <w:rPr>
          <w:rFonts w:cs="Calibri"/>
          <w:color w:val="000000" w:themeColor="text1"/>
        </w:rPr>
        <w:t xml:space="preserve">O registro previsto na </w:t>
      </w:r>
      <w:hyperlink r:id="rId33" w:anchor="art107" w:history="1">
        <w:r>
          <w:rPr>
            <w:rStyle w:val="LinkdaInternet"/>
            <w:rFonts w:cs="Calibri"/>
            <w:color w:val="000000" w:themeColor="text1"/>
          </w:rPr>
          <w:t>Lei n. 5.764, de 1971, art. 107</w:t>
        </w:r>
      </w:hyperlink>
      <w:r>
        <w:rPr>
          <w:rFonts w:cs="Calibri"/>
          <w:color w:val="000000" w:themeColor="text1"/>
        </w:rPr>
        <w:t>;</w:t>
      </w:r>
    </w:p>
    <w:p w14:paraId="7455E579" w14:textId="77777777" w:rsidR="00BC70A7" w:rsidRDefault="00000000">
      <w:pPr>
        <w:pStyle w:val="Nivel3"/>
        <w:numPr>
          <w:ilvl w:val="2"/>
          <w:numId w:val="1"/>
        </w:numPr>
        <w:rPr>
          <w:rFonts w:ascii="Calibri" w:hAnsi="Calibri" w:cs="Calibri"/>
          <w:color w:val="000000" w:themeColor="text1"/>
          <w:sz w:val="24"/>
          <w:szCs w:val="24"/>
        </w:rPr>
      </w:pPr>
      <w:r>
        <w:rPr>
          <w:rFonts w:cs="Calibri"/>
          <w:color w:val="000000" w:themeColor="text1"/>
        </w:rPr>
        <w:t>A comprovação de integração das respectivas quotas-partes por parte dos cooperados que executarão o contrato; e</w:t>
      </w:r>
    </w:p>
    <w:p w14:paraId="7455E57A" w14:textId="77777777" w:rsidR="00BC70A7" w:rsidRDefault="00000000">
      <w:pPr>
        <w:pStyle w:val="Nivel3"/>
        <w:numPr>
          <w:ilvl w:val="2"/>
          <w:numId w:val="1"/>
        </w:numPr>
        <w:rPr>
          <w:rFonts w:ascii="Calibri" w:hAnsi="Calibri" w:cs="Calibri"/>
          <w:color w:val="000000" w:themeColor="text1"/>
          <w:sz w:val="24"/>
          <w:szCs w:val="24"/>
        </w:rPr>
      </w:pPr>
      <w:r>
        <w:rPr>
          <w:rFonts w:cs="Calibri"/>
          <w:color w:val="000000" w:themeColor="text1"/>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7455E57B" w14:textId="77777777" w:rsidR="00BC70A7" w:rsidRDefault="00000000">
      <w:pPr>
        <w:pStyle w:val="Nivel3"/>
        <w:numPr>
          <w:ilvl w:val="2"/>
          <w:numId w:val="1"/>
        </w:numPr>
      </w:pPr>
      <w:r>
        <w:rPr>
          <w:rFonts w:cs="Calibri"/>
          <w:color w:val="000000" w:themeColor="text1"/>
        </w:rPr>
        <w:t xml:space="preserve">A última auditoria contábil-financeira da cooperativa, conforme dispõe o </w:t>
      </w:r>
      <w:hyperlink r:id="rId34" w:anchor="art112" w:history="1">
        <w:r>
          <w:rPr>
            <w:rStyle w:val="LinkdaInternet"/>
            <w:rFonts w:cs="Calibri"/>
            <w:color w:val="000000" w:themeColor="text1"/>
          </w:rPr>
          <w:t>art. 112 da Lei n. 5.764, de 1971</w:t>
        </w:r>
      </w:hyperlink>
      <w:r>
        <w:rPr>
          <w:rFonts w:cs="Calibri"/>
          <w:color w:val="000000" w:themeColor="text1"/>
        </w:rPr>
        <w:t>, ou uma declaração, sob as penas da lei, de que tal auditoria não foi exigida pelo órgão fiscalizador.</w:t>
      </w:r>
    </w:p>
    <w:p w14:paraId="7455E57C" w14:textId="77777777" w:rsidR="00BC70A7" w:rsidRDefault="00000000">
      <w:pPr>
        <w:pStyle w:val="Nivel2"/>
        <w:numPr>
          <w:ilvl w:val="0"/>
          <w:numId w:val="1"/>
        </w:numPr>
        <w:rPr>
          <w:rFonts w:ascii="Calibri" w:hAnsi="Calibri" w:cs="Calibri"/>
          <w:color w:val="000000" w:themeColor="text1"/>
          <w:sz w:val="24"/>
          <w:szCs w:val="24"/>
        </w:rPr>
      </w:pPr>
      <w:commentRangeStart w:id="25"/>
      <w:r>
        <w:rPr>
          <w:rFonts w:cs="Calibri"/>
          <w:color w:val="000000" w:themeColor="text1"/>
        </w:rPr>
        <w:lastRenderedPageBreak/>
        <w:t>ESTIMATIVAS DO VALOR DA CONTRATAÇÃO</w:t>
      </w:r>
      <w:commentRangeEnd w:id="25"/>
      <w:r>
        <w:commentReference w:id="25"/>
      </w:r>
    </w:p>
    <w:p w14:paraId="7455E57D" w14:textId="77777777" w:rsidR="00BC70A7" w:rsidRDefault="00000000">
      <w:pPr>
        <w:pStyle w:val="Nivel2"/>
        <w:numPr>
          <w:ilvl w:val="1"/>
          <w:numId w:val="1"/>
        </w:numPr>
      </w:pPr>
      <w:r>
        <w:rPr>
          <w:rFonts w:cs="Calibri"/>
          <w:color w:val="000000" w:themeColor="text1"/>
        </w:rPr>
        <w:t>O custo estimado total da contratação é de R$ 237.813,55 (duzentos e trinta e sete mil, oitocentos e treze reais e cinquenta e cinco centavos).</w:t>
      </w:r>
    </w:p>
    <w:p w14:paraId="7455E57E" w14:textId="77777777" w:rsidR="00BC70A7" w:rsidRDefault="00000000">
      <w:pPr>
        <w:pStyle w:val="Nivel2"/>
        <w:numPr>
          <w:ilvl w:val="1"/>
          <w:numId w:val="1"/>
        </w:numPr>
        <w:rPr>
          <w:rFonts w:ascii="Calibri" w:hAnsi="Calibri" w:cs="Calibri"/>
          <w:color w:val="000000" w:themeColor="text1"/>
          <w:sz w:val="24"/>
          <w:szCs w:val="24"/>
        </w:rPr>
      </w:pPr>
      <w:commentRangeStart w:id="26"/>
      <w:r>
        <w:rPr>
          <w:rFonts w:cs="Calibri"/>
          <w:color w:val="000000" w:themeColor="text1"/>
        </w:rPr>
        <w:t>A estimativa de custo levou em consideração o risco envolvido na contratação e sua alocação entre contratante e contratado, conforme especificado na matriz de risco constante do Contrato.</w:t>
      </w:r>
      <w:commentRangeEnd w:id="26"/>
      <w:r>
        <w:commentReference w:id="26"/>
      </w:r>
    </w:p>
    <w:p w14:paraId="7455E57F" w14:textId="77777777" w:rsidR="00BC70A7" w:rsidRDefault="00000000">
      <w:pPr>
        <w:pStyle w:val="Nivel2"/>
        <w:numPr>
          <w:ilvl w:val="1"/>
          <w:numId w:val="1"/>
        </w:numPr>
        <w:rPr>
          <w:rFonts w:ascii="Calibri" w:hAnsi="Calibri" w:cs="Calibri"/>
          <w:color w:val="000000" w:themeColor="text1"/>
          <w:sz w:val="24"/>
          <w:szCs w:val="24"/>
        </w:rPr>
      </w:pPr>
      <w:r>
        <w:rPr>
          <w:rFonts w:eastAsia="MS Mincho" w:cs="Calibri"/>
          <w:color w:val="000000" w:themeColor="text1"/>
        </w:rPr>
        <w:t xml:space="preserve">Em caso de licitação para Registro de Preços, os preços </w:t>
      </w:r>
      <w:r>
        <w:rPr>
          <w:rFonts w:cs="Calibri"/>
          <w:color w:val="000000" w:themeColor="text1"/>
        </w:rPr>
        <w:t>registrados poderão ser alterados ou atualizados em decorrência de eventual redução dos preços praticados no mercado ou de fato que eleve o custo dos bens, das obras ou dos serviços registrados, nas seguintes situações (art. 25 do Decreto nº 11.462/2023):</w:t>
      </w:r>
    </w:p>
    <w:p w14:paraId="7455E580" w14:textId="77777777" w:rsidR="00BC70A7" w:rsidRDefault="00000000">
      <w:pPr>
        <w:pStyle w:val="Nivel2"/>
        <w:numPr>
          <w:ilvl w:val="1"/>
          <w:numId w:val="1"/>
        </w:numPr>
      </w:pPr>
      <w:r>
        <w:rPr>
          <w:rFonts w:cs="Calibri"/>
          <w:color w:val="000000" w:themeColor="text1"/>
        </w:rPr>
        <w:t>em caso de força maior, caso fortuito ou fato do príncipe ou em decorrência de fatos imprevisíveis ou previsíveis de consequências incalculáveis, que inviabilizem a execução da ata tal como pactuada, nos termos do disposto na a</w:t>
      </w:r>
      <w:hyperlink r:id="rId35" w:anchor="art124iid" w:history="1">
        <w:r>
          <w:rPr>
            <w:rStyle w:val="LinkdaInternet"/>
            <w:rFonts w:cs="Calibri"/>
            <w:color w:val="000000" w:themeColor="text1"/>
          </w:rPr>
          <w:t>línea “d” do inciso II do capu</w:t>
        </w:r>
      </w:hyperlink>
      <w:r>
        <w:rPr>
          <w:rStyle w:val="LinkdaInternet"/>
          <w:rFonts w:cs="Calibri"/>
          <w:b/>
          <w:bCs/>
          <w:color w:val="000000" w:themeColor="text1"/>
        </w:rPr>
        <w:t>t</w:t>
      </w:r>
      <w:r>
        <w:rPr>
          <w:rStyle w:val="LinkdaInternet"/>
          <w:rFonts w:cs="Calibri"/>
          <w:color w:val="000000" w:themeColor="text1"/>
        </w:rPr>
        <w:t xml:space="preserve"> do art. 124 da Lei nº 14.133, de 2021;</w:t>
      </w:r>
    </w:p>
    <w:p w14:paraId="7455E581" w14:textId="77777777" w:rsidR="00BC70A7" w:rsidRDefault="00000000">
      <w:pPr>
        <w:pStyle w:val="Nivel2"/>
        <w:numPr>
          <w:ilvl w:val="1"/>
          <w:numId w:val="1"/>
        </w:numPr>
        <w:rPr>
          <w:rFonts w:ascii="Calibri" w:eastAsia="MS Mincho" w:hAnsi="Calibri" w:cs="Calibri"/>
          <w:color w:val="000000" w:themeColor="text1"/>
          <w:sz w:val="24"/>
          <w:szCs w:val="24"/>
        </w:rPr>
      </w:pPr>
      <w:r>
        <w:rPr>
          <w:rFonts w:cs="Calibri"/>
          <w:color w:val="000000" w:themeColor="text1"/>
        </w:rPr>
        <w:t>em caso de criação, alteração ou extinção de quaisquer tributos ou encargos legais ou superveniência de disposições legais, com comprovada repercussão sobre os preços registrados;</w:t>
      </w:r>
    </w:p>
    <w:p w14:paraId="7455E582" w14:textId="77777777" w:rsidR="00BC70A7" w:rsidRDefault="00000000">
      <w:pPr>
        <w:pStyle w:val="Nivel2"/>
        <w:numPr>
          <w:ilvl w:val="1"/>
          <w:numId w:val="1"/>
        </w:numPr>
        <w:rPr>
          <w:rFonts w:ascii="Calibri" w:eastAsia="MS Mincho" w:hAnsi="Calibri" w:cs="Calibri"/>
          <w:color w:val="000000" w:themeColor="text1"/>
          <w:sz w:val="24"/>
          <w:szCs w:val="24"/>
        </w:rPr>
      </w:pPr>
      <w:r>
        <w:rPr>
          <w:rFonts w:cs="Calibri"/>
          <w:color w:val="000000" w:themeColor="text1"/>
        </w:rPr>
        <w:t>serão reajustados os preços registrados, respeitada a contagem da anualidade e o índice previsto para a contratação; ou</w:t>
      </w:r>
    </w:p>
    <w:p w14:paraId="7455E583" w14:textId="77777777" w:rsidR="00BC70A7" w:rsidRDefault="00000000">
      <w:pPr>
        <w:pStyle w:val="Nivel2"/>
        <w:numPr>
          <w:ilvl w:val="1"/>
          <w:numId w:val="1"/>
        </w:numPr>
        <w:rPr>
          <w:rFonts w:ascii="Calibri" w:eastAsia="MS Mincho" w:hAnsi="Calibri" w:cs="Calibri"/>
          <w:color w:val="000000" w:themeColor="text1"/>
          <w:sz w:val="24"/>
          <w:szCs w:val="24"/>
        </w:rPr>
      </w:pPr>
      <w:r>
        <w:rPr>
          <w:rFonts w:cs="Calibri"/>
          <w:color w:val="000000" w:themeColor="text1"/>
        </w:rPr>
        <w:t>poderão ser repactuados, a pedido do interessado, conforme critérios definidos para a contratação.</w:t>
      </w:r>
    </w:p>
    <w:p w14:paraId="7455E584" w14:textId="77777777" w:rsidR="00BC70A7" w:rsidRDefault="00000000">
      <w:pPr>
        <w:pStyle w:val="Nivel2"/>
        <w:numPr>
          <w:ilvl w:val="0"/>
          <w:numId w:val="1"/>
        </w:numPr>
        <w:rPr>
          <w:rFonts w:ascii="Calibri" w:hAnsi="Calibri" w:cs="Calibri"/>
          <w:color w:val="000000" w:themeColor="text1"/>
          <w:sz w:val="24"/>
          <w:szCs w:val="24"/>
        </w:rPr>
      </w:pPr>
      <w:bookmarkStart w:id="27" w:name="__DdeLink__1646_3538153647"/>
      <w:r>
        <w:rPr>
          <w:rFonts w:cs="Calibri"/>
          <w:color w:val="000000" w:themeColor="text1"/>
        </w:rPr>
        <w:t>ADEQUAÇÃO ORÇAMENTÁRIA</w:t>
      </w:r>
      <w:bookmarkEnd w:id="27"/>
    </w:p>
    <w:p w14:paraId="7455E585" w14:textId="77777777" w:rsidR="00BC70A7" w:rsidRDefault="00000000">
      <w:pPr>
        <w:pStyle w:val="Nivel2"/>
        <w:numPr>
          <w:ilvl w:val="1"/>
          <w:numId w:val="1"/>
        </w:numPr>
        <w:rPr>
          <w:rFonts w:ascii="Calibri" w:hAnsi="Calibri" w:cs="Calibri"/>
          <w:color w:val="000000" w:themeColor="text1"/>
          <w:sz w:val="24"/>
          <w:szCs w:val="24"/>
        </w:rPr>
      </w:pPr>
      <w:r>
        <w:rPr>
          <w:rFonts w:cs="Calibri"/>
          <w:color w:val="000000" w:themeColor="text1"/>
        </w:rPr>
        <w:t>As despesas decorrentes da presente contratação correrão à conta de recursos específicos consignados no Orçamento Geral da União.</w:t>
      </w:r>
    </w:p>
    <w:p w14:paraId="7455E586" w14:textId="77777777" w:rsidR="00BC70A7" w:rsidRDefault="00000000">
      <w:pPr>
        <w:pStyle w:val="Nivel2"/>
        <w:numPr>
          <w:ilvl w:val="1"/>
          <w:numId w:val="1"/>
        </w:numPr>
      </w:pPr>
      <w:r>
        <w:rPr>
          <w:rFonts w:cs="Calibri"/>
          <w:color w:val="000000" w:themeColor="text1"/>
        </w:rPr>
        <w:t>A contratação será atendida pela seguinte dotação:</w:t>
      </w:r>
      <w:r>
        <w:br w:type="page"/>
      </w:r>
    </w:p>
    <w:p w14:paraId="7455E587" w14:textId="77777777" w:rsidR="00BC70A7" w:rsidRDefault="00000000">
      <w:pPr>
        <w:pStyle w:val="Nivel2"/>
        <w:numPr>
          <w:ilvl w:val="1"/>
          <w:numId w:val="1"/>
        </w:numPr>
        <w:rPr>
          <w:rFonts w:ascii="Calibri" w:hAnsi="Calibri" w:cs="Calibri"/>
          <w:color w:val="000000" w:themeColor="text1"/>
          <w:sz w:val="24"/>
          <w:szCs w:val="24"/>
        </w:rPr>
      </w:pPr>
      <w:commentRangeStart w:id="28"/>
      <w:r>
        <w:rPr>
          <w:rFonts w:cs="Calibri"/>
          <w:color w:val="000000" w:themeColor="text1"/>
        </w:rPr>
        <w:lastRenderedPageBreak/>
        <w:t>A dotação relativa aos exercícios financeiros subsequentes será indicada após aprovação da Lei Orçamentária respectiva e liberação dos créditos correspondentes, mediante apostilamento.</w:t>
      </w:r>
      <w:bookmarkStart w:id="29" w:name="_Hlk82471863"/>
      <w:bookmarkEnd w:id="29"/>
      <w:commentRangeEnd w:id="28"/>
      <w:r>
        <w:commentReference w:id="28"/>
      </w:r>
    </w:p>
    <w:tbl>
      <w:tblPr>
        <w:tblW w:w="9793"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5" w:type="dxa"/>
          <w:left w:w="50" w:type="dxa"/>
          <w:bottom w:w="55" w:type="dxa"/>
          <w:right w:w="55" w:type="dxa"/>
        </w:tblCellMar>
        <w:tblLook w:val="0000" w:firstRow="0" w:lastRow="0" w:firstColumn="0" w:lastColumn="0" w:noHBand="0" w:noVBand="0"/>
      </w:tblPr>
      <w:tblGrid>
        <w:gridCol w:w="4840"/>
        <w:gridCol w:w="4953"/>
      </w:tblGrid>
      <w:tr w:rsidR="00BC70A7" w14:paraId="7455E589" w14:textId="77777777">
        <w:tc>
          <w:tcPr>
            <w:tcW w:w="9792" w:type="dxa"/>
            <w:gridSpan w:val="2"/>
            <w:tcBorders>
              <w:top w:val="single" w:sz="4" w:space="0" w:color="000000"/>
              <w:left w:val="single" w:sz="4" w:space="0" w:color="000000"/>
              <w:bottom w:val="single" w:sz="4" w:space="0" w:color="000000"/>
              <w:right w:val="single" w:sz="4" w:space="0" w:color="000000"/>
            </w:tcBorders>
            <w:shd w:val="clear" w:color="auto" w:fill="auto"/>
          </w:tcPr>
          <w:p w14:paraId="7455E588" w14:textId="77777777" w:rsidR="00BC70A7" w:rsidRDefault="00000000">
            <w:pPr>
              <w:pStyle w:val="Standard"/>
              <w:widowControl w:val="0"/>
              <w:snapToGrid w:val="0"/>
              <w:jc w:val="right"/>
              <w:rPr>
                <w:rFonts w:ascii="Calibri" w:hAnsi="Calibri" w:cs="Calibri"/>
                <w:color w:val="000000" w:themeColor="text1"/>
              </w:rPr>
            </w:pPr>
            <w:r>
              <w:rPr>
                <w:rFonts w:ascii="Arial" w:hAnsi="Arial" w:cs="Calibri"/>
                <w:color w:val="000000" w:themeColor="text1"/>
                <w:sz w:val="20"/>
                <w:szCs w:val="20"/>
              </w:rPr>
              <w:t>Rio de janeiro, RJ, ___ de julho de 2023.</w:t>
            </w:r>
          </w:p>
        </w:tc>
      </w:tr>
      <w:tr w:rsidR="00BC70A7" w14:paraId="7455E596" w14:textId="77777777">
        <w:tc>
          <w:tcPr>
            <w:tcW w:w="4840" w:type="dxa"/>
            <w:tcBorders>
              <w:top w:val="single" w:sz="4" w:space="0" w:color="000000"/>
              <w:left w:val="single" w:sz="4" w:space="0" w:color="000000"/>
              <w:bottom w:val="single" w:sz="4" w:space="0" w:color="000000"/>
              <w:right w:val="single" w:sz="4" w:space="0" w:color="000000"/>
            </w:tcBorders>
            <w:shd w:val="clear" w:color="auto" w:fill="auto"/>
          </w:tcPr>
          <w:p w14:paraId="7455E58A" w14:textId="77777777" w:rsidR="00BC70A7" w:rsidRDefault="00BC70A7">
            <w:pPr>
              <w:pStyle w:val="Standard"/>
              <w:widowControl w:val="0"/>
              <w:snapToGrid w:val="0"/>
              <w:jc w:val="center"/>
              <w:rPr>
                <w:rFonts w:ascii="Arial" w:eastAsia="Times New Roman" w:hAnsi="Arial" w:cs="Calibri"/>
                <w:color w:val="000000" w:themeColor="text1"/>
                <w:sz w:val="20"/>
                <w:szCs w:val="20"/>
              </w:rPr>
            </w:pPr>
          </w:p>
          <w:p w14:paraId="7455E58B" w14:textId="77777777" w:rsidR="00BC70A7" w:rsidRDefault="00BC70A7">
            <w:pPr>
              <w:pStyle w:val="Standard"/>
              <w:widowControl w:val="0"/>
              <w:snapToGrid w:val="0"/>
              <w:jc w:val="center"/>
              <w:rPr>
                <w:rFonts w:ascii="Arial" w:eastAsia="Times New Roman" w:hAnsi="Arial" w:cs="Calibri"/>
                <w:color w:val="000000" w:themeColor="text1"/>
                <w:sz w:val="20"/>
                <w:szCs w:val="20"/>
              </w:rPr>
            </w:pPr>
          </w:p>
          <w:p w14:paraId="7455E58C" w14:textId="77777777" w:rsidR="00BC70A7" w:rsidRDefault="00BC70A7">
            <w:pPr>
              <w:pStyle w:val="Standard"/>
              <w:widowControl w:val="0"/>
              <w:snapToGrid w:val="0"/>
              <w:jc w:val="center"/>
              <w:rPr>
                <w:rFonts w:ascii="Arial" w:hAnsi="Arial" w:cs="Calibri"/>
                <w:color w:val="000000" w:themeColor="text1"/>
                <w:sz w:val="20"/>
                <w:szCs w:val="20"/>
              </w:rPr>
            </w:pPr>
          </w:p>
          <w:p w14:paraId="7455E58D" w14:textId="77777777" w:rsidR="00BC70A7" w:rsidRDefault="00000000">
            <w:pPr>
              <w:pStyle w:val="Standard"/>
              <w:widowControl w:val="0"/>
              <w:jc w:val="center"/>
              <w:rPr>
                <w:rFonts w:ascii="Calibri" w:hAnsi="Calibri" w:cs="Calibri"/>
                <w:color w:val="000000" w:themeColor="text1"/>
              </w:rPr>
            </w:pPr>
            <w:r>
              <w:rPr>
                <w:rFonts w:ascii="Arial" w:hAnsi="Arial" w:cs="Calibri"/>
                <w:color w:val="000000" w:themeColor="text1"/>
                <w:sz w:val="20"/>
                <w:szCs w:val="20"/>
              </w:rPr>
              <w:t>GUILHERME SOUSA TAVARES</w:t>
            </w:r>
          </w:p>
          <w:p w14:paraId="7455E58E" w14:textId="77777777" w:rsidR="00BC70A7" w:rsidRDefault="00000000">
            <w:pPr>
              <w:pStyle w:val="Standard"/>
              <w:widowControl w:val="0"/>
              <w:jc w:val="center"/>
              <w:rPr>
                <w:rFonts w:ascii="Calibri" w:hAnsi="Calibri" w:cs="Calibri"/>
                <w:color w:val="000000" w:themeColor="text1"/>
              </w:rPr>
            </w:pPr>
            <w:r>
              <w:rPr>
                <w:rFonts w:ascii="Arial" w:hAnsi="Arial" w:cs="Calibri"/>
                <w:color w:val="000000" w:themeColor="text1"/>
                <w:sz w:val="20"/>
                <w:szCs w:val="20"/>
              </w:rPr>
              <w:t>3º SG-ES</w:t>
            </w:r>
          </w:p>
          <w:p w14:paraId="7455E58F" w14:textId="77777777" w:rsidR="00BC70A7" w:rsidRDefault="00000000">
            <w:pPr>
              <w:pStyle w:val="Standard"/>
              <w:widowControl w:val="0"/>
              <w:jc w:val="center"/>
              <w:rPr>
                <w:rFonts w:ascii="Calibri" w:hAnsi="Calibri" w:cs="Calibri"/>
                <w:color w:val="000000" w:themeColor="text1"/>
              </w:rPr>
            </w:pPr>
            <w:r>
              <w:rPr>
                <w:rFonts w:ascii="Arial" w:hAnsi="Arial" w:cs="Calibri"/>
                <w:color w:val="000000" w:themeColor="text1"/>
                <w:sz w:val="20"/>
                <w:szCs w:val="20"/>
              </w:rPr>
              <w:t>MEMBRO DA EQUIPE DE PLANEJAMENTO</w:t>
            </w:r>
          </w:p>
        </w:tc>
        <w:tc>
          <w:tcPr>
            <w:tcW w:w="4952" w:type="dxa"/>
            <w:tcBorders>
              <w:top w:val="single" w:sz="4" w:space="0" w:color="000000"/>
              <w:left w:val="single" w:sz="4" w:space="0" w:color="000000"/>
              <w:bottom w:val="single" w:sz="4" w:space="0" w:color="000000"/>
              <w:right w:val="single" w:sz="4" w:space="0" w:color="000000"/>
            </w:tcBorders>
            <w:shd w:val="clear" w:color="auto" w:fill="auto"/>
          </w:tcPr>
          <w:p w14:paraId="7455E590" w14:textId="77777777" w:rsidR="00BC70A7" w:rsidRDefault="00BC70A7">
            <w:pPr>
              <w:pStyle w:val="Standard"/>
              <w:widowControl w:val="0"/>
              <w:snapToGrid w:val="0"/>
              <w:jc w:val="center"/>
              <w:rPr>
                <w:rFonts w:ascii="Arial" w:hAnsi="Arial" w:cs="Calibri"/>
                <w:color w:val="000000" w:themeColor="text1"/>
                <w:sz w:val="20"/>
                <w:szCs w:val="20"/>
              </w:rPr>
            </w:pPr>
          </w:p>
          <w:p w14:paraId="7455E591" w14:textId="77777777" w:rsidR="00BC70A7" w:rsidRDefault="00BC70A7">
            <w:pPr>
              <w:pStyle w:val="Standard"/>
              <w:widowControl w:val="0"/>
              <w:snapToGrid w:val="0"/>
              <w:jc w:val="center"/>
              <w:rPr>
                <w:rFonts w:ascii="Arial" w:hAnsi="Arial" w:cs="Calibri"/>
                <w:color w:val="000000" w:themeColor="text1"/>
                <w:sz w:val="20"/>
                <w:szCs w:val="20"/>
              </w:rPr>
            </w:pPr>
          </w:p>
          <w:p w14:paraId="7455E592" w14:textId="77777777" w:rsidR="00BC70A7" w:rsidRDefault="00BC70A7">
            <w:pPr>
              <w:pStyle w:val="Standard"/>
              <w:widowControl w:val="0"/>
              <w:snapToGrid w:val="0"/>
              <w:jc w:val="center"/>
              <w:rPr>
                <w:rFonts w:ascii="Arial" w:hAnsi="Arial" w:cs="Calibri"/>
                <w:color w:val="000000" w:themeColor="text1"/>
                <w:sz w:val="20"/>
                <w:szCs w:val="20"/>
              </w:rPr>
            </w:pPr>
          </w:p>
          <w:p w14:paraId="7455E593" w14:textId="77777777" w:rsidR="00BC70A7" w:rsidRDefault="00000000">
            <w:pPr>
              <w:pStyle w:val="Standard"/>
              <w:widowControl w:val="0"/>
              <w:jc w:val="center"/>
              <w:rPr>
                <w:rFonts w:ascii="Calibri" w:hAnsi="Calibri" w:cs="Calibri"/>
                <w:color w:val="000000" w:themeColor="text1"/>
              </w:rPr>
            </w:pPr>
            <w:r>
              <w:rPr>
                <w:rFonts w:ascii="Arial" w:hAnsi="Arial" w:cs="Calibri"/>
                <w:color w:val="000000" w:themeColor="text1"/>
                <w:sz w:val="20"/>
                <w:szCs w:val="20"/>
              </w:rPr>
              <w:t>ALAN ALVES FERNANDES DE CARVALHO</w:t>
            </w:r>
          </w:p>
          <w:p w14:paraId="7455E594" w14:textId="77777777" w:rsidR="00BC70A7" w:rsidRDefault="00000000">
            <w:pPr>
              <w:pStyle w:val="Standard"/>
              <w:widowControl w:val="0"/>
              <w:jc w:val="center"/>
              <w:rPr>
                <w:rFonts w:ascii="Calibri" w:hAnsi="Calibri" w:cs="Calibri"/>
                <w:color w:val="000000" w:themeColor="text1"/>
              </w:rPr>
            </w:pPr>
            <w:r>
              <w:rPr>
                <w:rFonts w:ascii="Arial" w:hAnsi="Arial" w:cs="Calibri"/>
                <w:color w:val="000000" w:themeColor="text1"/>
                <w:sz w:val="20"/>
                <w:szCs w:val="20"/>
              </w:rPr>
              <w:t>3º SG-ES</w:t>
            </w:r>
          </w:p>
          <w:p w14:paraId="7455E595" w14:textId="77777777" w:rsidR="00BC70A7" w:rsidRDefault="00000000">
            <w:pPr>
              <w:pStyle w:val="Standard"/>
              <w:widowControl w:val="0"/>
              <w:jc w:val="center"/>
              <w:rPr>
                <w:rFonts w:ascii="Calibri" w:hAnsi="Calibri" w:cs="Calibri"/>
                <w:color w:val="000000" w:themeColor="text1"/>
              </w:rPr>
            </w:pPr>
            <w:r>
              <w:rPr>
                <w:rFonts w:ascii="Arial" w:hAnsi="Arial" w:cs="Calibri"/>
                <w:color w:val="000000" w:themeColor="text1"/>
                <w:sz w:val="20"/>
                <w:szCs w:val="20"/>
              </w:rPr>
              <w:t>MEMBRO DA EQUIPE DE PLANEJAMENTO</w:t>
            </w:r>
          </w:p>
        </w:tc>
      </w:tr>
      <w:tr w:rsidR="00BC70A7" w14:paraId="7455E59D" w14:textId="77777777">
        <w:tc>
          <w:tcPr>
            <w:tcW w:w="9792" w:type="dxa"/>
            <w:gridSpan w:val="2"/>
            <w:tcBorders>
              <w:top w:val="single" w:sz="4" w:space="0" w:color="000000"/>
              <w:left w:val="single" w:sz="4" w:space="0" w:color="000000"/>
              <w:bottom w:val="single" w:sz="4" w:space="0" w:color="000000"/>
              <w:right w:val="single" w:sz="4" w:space="0" w:color="000000"/>
            </w:tcBorders>
            <w:shd w:val="clear" w:color="auto" w:fill="auto"/>
          </w:tcPr>
          <w:p w14:paraId="7455E597" w14:textId="77777777" w:rsidR="00BC70A7" w:rsidRDefault="00BC70A7">
            <w:pPr>
              <w:pStyle w:val="Standard"/>
              <w:widowControl w:val="0"/>
              <w:snapToGrid w:val="0"/>
              <w:jc w:val="right"/>
              <w:rPr>
                <w:rFonts w:ascii="Arial" w:hAnsi="Arial" w:cs="Calibri"/>
                <w:color w:val="000000" w:themeColor="text1"/>
                <w:sz w:val="20"/>
                <w:szCs w:val="20"/>
              </w:rPr>
            </w:pPr>
          </w:p>
          <w:p w14:paraId="7455E598" w14:textId="77777777" w:rsidR="00BC70A7" w:rsidRDefault="00BC70A7">
            <w:pPr>
              <w:pStyle w:val="Standard"/>
              <w:widowControl w:val="0"/>
              <w:jc w:val="center"/>
              <w:rPr>
                <w:rFonts w:ascii="Arial" w:hAnsi="Arial" w:cs="Calibri"/>
                <w:color w:val="000000" w:themeColor="text1"/>
                <w:sz w:val="20"/>
                <w:szCs w:val="20"/>
              </w:rPr>
            </w:pPr>
          </w:p>
          <w:p w14:paraId="7455E599" w14:textId="77777777" w:rsidR="00BC70A7" w:rsidRDefault="00BC70A7">
            <w:pPr>
              <w:pStyle w:val="Standard"/>
              <w:widowControl w:val="0"/>
              <w:jc w:val="center"/>
              <w:rPr>
                <w:rFonts w:ascii="Arial" w:hAnsi="Arial" w:cs="Calibri"/>
                <w:color w:val="000000" w:themeColor="text1"/>
                <w:sz w:val="20"/>
                <w:szCs w:val="20"/>
              </w:rPr>
            </w:pPr>
          </w:p>
          <w:p w14:paraId="7455E59A" w14:textId="77777777" w:rsidR="00BC70A7" w:rsidRDefault="00000000">
            <w:pPr>
              <w:pStyle w:val="Standard"/>
              <w:widowControl w:val="0"/>
              <w:jc w:val="center"/>
              <w:rPr>
                <w:rFonts w:ascii="Calibri" w:hAnsi="Calibri" w:cs="Calibri"/>
                <w:color w:val="000000" w:themeColor="text1"/>
              </w:rPr>
            </w:pPr>
            <w:r>
              <w:rPr>
                <w:rFonts w:ascii="Arial" w:hAnsi="Arial" w:cs="Calibri"/>
                <w:color w:val="000000" w:themeColor="text1"/>
                <w:sz w:val="20"/>
                <w:szCs w:val="20"/>
              </w:rPr>
              <w:t>MARCOS FELLIPE ALVES DE ALMEIDA</w:t>
            </w:r>
          </w:p>
          <w:p w14:paraId="7455E59B" w14:textId="77777777" w:rsidR="00BC70A7" w:rsidRDefault="00000000">
            <w:pPr>
              <w:pStyle w:val="Standard"/>
              <w:widowControl w:val="0"/>
              <w:jc w:val="center"/>
              <w:rPr>
                <w:rFonts w:ascii="Calibri" w:hAnsi="Calibri" w:cs="Calibri"/>
                <w:color w:val="000000" w:themeColor="text1"/>
              </w:rPr>
            </w:pPr>
            <w:r>
              <w:rPr>
                <w:rFonts w:ascii="Arial" w:hAnsi="Arial" w:cs="Calibri"/>
                <w:color w:val="000000" w:themeColor="text1"/>
                <w:sz w:val="20"/>
                <w:szCs w:val="20"/>
              </w:rPr>
              <w:t>Primeiro- Tenente (IM)</w:t>
            </w:r>
          </w:p>
          <w:p w14:paraId="7455E59C" w14:textId="77777777" w:rsidR="00BC70A7" w:rsidRDefault="00000000">
            <w:pPr>
              <w:pStyle w:val="Standard"/>
              <w:widowControl w:val="0"/>
              <w:jc w:val="center"/>
              <w:rPr>
                <w:rFonts w:ascii="Calibri" w:hAnsi="Calibri" w:cs="Calibri"/>
                <w:color w:val="000000" w:themeColor="text1"/>
              </w:rPr>
            </w:pPr>
            <w:r>
              <w:rPr>
                <w:rFonts w:ascii="Arial" w:hAnsi="Arial" w:cs="Calibri"/>
                <w:color w:val="000000" w:themeColor="text1"/>
                <w:sz w:val="20"/>
                <w:szCs w:val="20"/>
              </w:rPr>
              <w:t>MEMBRO DA EQUIPE DE PLANEJAMENTO</w:t>
            </w:r>
          </w:p>
        </w:tc>
      </w:tr>
    </w:tbl>
    <w:p w14:paraId="7455E59E" w14:textId="77777777" w:rsidR="00BC70A7" w:rsidRDefault="00BC70A7">
      <w:pPr>
        <w:pStyle w:val="Nivel01"/>
      </w:pPr>
    </w:p>
    <w:sectPr w:rsidR="00BC70A7">
      <w:headerReference w:type="default" r:id="rId36"/>
      <w:footerReference w:type="default" r:id="rId37"/>
      <w:pgSz w:w="11906" w:h="16838"/>
      <w:pgMar w:top="1418" w:right="1134" w:bottom="1418" w:left="1134" w:header="709" w:footer="709" w:gutter="0"/>
      <w:cols w:space="720"/>
      <w:formProt w:val="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or" w:date="1900-01-01T00:00:00Z" w:initials="A">
    <w:p w14:paraId="7455E59F" w14:textId="77777777" w:rsidR="00BC70A7" w:rsidRDefault="00000000">
      <w:pPr>
        <w:rPr>
          <w:rFonts w:hint="eastAsia"/>
        </w:rPr>
      </w:pPr>
      <w:r>
        <w:rPr>
          <w:rFonts w:ascii="Liberation Serif" w:eastAsia="Segoe UI" w:hAnsi="Liberation Serif" w:cs="DejaVu Sans"/>
          <w:b/>
          <w:bCs/>
          <w:i/>
          <w:iCs/>
          <w:color w:val="000000"/>
          <w:lang w:val="en-US" w:eastAsia="en-US" w:bidi="en-US"/>
        </w:rPr>
        <w:t>ORIENTAÇÕES PARA USO DO MODELO – LEITURA OBRIGATÓRIA</w:t>
      </w:r>
    </w:p>
    <w:p w14:paraId="7455E5A0" w14:textId="77777777" w:rsidR="00BC70A7" w:rsidRDefault="00000000">
      <w:pPr>
        <w:rPr>
          <w:rFonts w:hint="eastAsia"/>
        </w:rPr>
      </w:pPr>
      <w:r>
        <w:rPr>
          <w:rFonts w:ascii="Liberation Serif" w:eastAsia="Segoe UI" w:hAnsi="Liberation Serif" w:cs="DejaVu Sans"/>
          <w:b/>
          <w:bCs/>
          <w:i/>
          <w:iCs/>
          <w:color w:val="000000"/>
          <w:lang w:val="en-US" w:eastAsia="en-US" w:bidi="en-US"/>
        </w:rPr>
        <w:t xml:space="preserve">1) </w:t>
      </w:r>
      <w:r>
        <w:rPr>
          <w:rFonts w:ascii="Liberation Serif" w:eastAsia="Segoe UI" w:hAnsi="Liberation Serif" w:cs="DejaVu Sans"/>
          <w:i/>
          <w:iCs/>
          <w:color w:val="000000"/>
          <w:lang w:val="en-US" w:eastAsia="en-US" w:bidi="en-US"/>
        </w:rPr>
        <w:t xml:space="preserve">O presente modelo de Termo de Referência procura fornecer um ponto de partida para a definição do objeto e condições da contratação. </w:t>
      </w:r>
      <w:r>
        <w:rPr>
          <w:rFonts w:ascii="Liberation Serif" w:eastAsia="Segoe UI" w:hAnsi="Liberation Serif" w:cs="DejaVu Sans"/>
          <w:b/>
          <w:bCs/>
          <w:i/>
          <w:iCs/>
          <w:color w:val="000000"/>
          <w:lang w:val="en-US" w:eastAsia="en-US" w:bidi="en-US"/>
        </w:rPr>
        <w:t>Este é o documento que mais terá variação de conteúdo, de acordo com as peculiaridades da demanda da Administração e do objeto a ser contratado.</w:t>
      </w:r>
      <w:r>
        <w:rPr>
          <w:rFonts w:ascii="Liberation Serif" w:eastAsia="Segoe UI" w:hAnsi="Liberation Serif" w:cs="DejaVu Sans"/>
          <w:i/>
          <w:iCs/>
          <w:color w:val="000000"/>
          <w:lang w:val="en-US" w:eastAsia="en-US" w:bidi="en-US"/>
        </w:rPr>
        <w:t xml:space="preserve"> Assim, não se deve prender ao texto apresentado, mas sim trabalhá-lo à luz dos pontos fundamentais da contratação, sempre de forma clara e objetiva.</w:t>
      </w:r>
    </w:p>
    <w:p w14:paraId="7455E5A1" w14:textId="77777777" w:rsidR="00BC70A7" w:rsidRDefault="00000000">
      <w:pPr>
        <w:rPr>
          <w:rFonts w:hint="eastAsia"/>
        </w:rPr>
      </w:pPr>
      <w:r>
        <w:rPr>
          <w:rFonts w:ascii="Liberation Serif" w:eastAsia="Segoe UI" w:hAnsi="Liberation Serif" w:cs="DejaVu Sans"/>
          <w:b/>
          <w:bCs/>
          <w:i/>
          <w:iCs/>
          <w:color w:val="000000"/>
          <w:lang w:val="en-US" w:eastAsia="en-US" w:bidi="en-US"/>
        </w:rPr>
        <w:t xml:space="preserve">2) </w:t>
      </w:r>
      <w:r>
        <w:rPr>
          <w:rFonts w:ascii="Liberation Serif" w:eastAsia="Segoe UI" w:hAnsi="Liberation Serif" w:cs="DejaVu Sans"/>
          <w:i/>
          <w:iCs/>
          <w:color w:val="000000"/>
          <w:lang w:val="en-US" w:eastAsia="en-US" w:bidi="en-US"/>
        </w:rPr>
        <w:t xml:space="preserve">A redação em preto consiste no que se espera ser invariável. Ela até pode sofrer modificações a depender do caso concreto, mas não são disposições feitas para variar. Por essa razão, </w:t>
      </w:r>
      <w:r>
        <w:rPr>
          <w:rFonts w:ascii="Liberation Serif" w:eastAsia="Segoe UI" w:hAnsi="Liberation Serif" w:cs="DejaVu Sans"/>
          <w:b/>
          <w:bCs/>
          <w:i/>
          <w:iCs/>
          <w:color w:val="000000"/>
          <w:lang w:val="en-US" w:eastAsia="en-US" w:bidi="en-US"/>
        </w:rPr>
        <w:t>quaisquer modificações nas partes em preto, sem marcação de itálico, devem necessariamente ser justificadas nos autos</w:t>
      </w:r>
      <w:r>
        <w:rPr>
          <w:rFonts w:ascii="Liberation Serif" w:eastAsia="Segoe UI" w:hAnsi="Liberation Serif" w:cs="DejaVu Sans"/>
          <w:i/>
          <w:iCs/>
          <w:color w:val="000000"/>
          <w:lang w:val="en-US" w:eastAsia="en-US" w:bidi="en-US"/>
        </w:rPr>
        <w:t>, sem prejuízo de eventual consulta ao órgão de assessoramento jurídico respectivo, a depender da matéria.</w:t>
      </w:r>
    </w:p>
    <w:p w14:paraId="7455E5A2" w14:textId="77777777" w:rsidR="00BC70A7" w:rsidRDefault="00000000">
      <w:pPr>
        <w:rPr>
          <w:rFonts w:hint="eastAsia"/>
        </w:rPr>
      </w:pPr>
      <w:r>
        <w:rPr>
          <w:rFonts w:ascii="Liberation Serif" w:eastAsia="Segoe UI" w:hAnsi="Liberation Serif" w:cs="DejaVu Sans"/>
          <w:b/>
          <w:bCs/>
          <w:i/>
          <w:iCs/>
          <w:color w:val="000000"/>
          <w:lang w:val="en-US" w:eastAsia="en-US" w:bidi="en-US"/>
        </w:rPr>
        <w:t>3) Os itens deste modelo destacados em vermelho itálico devem ser preenchidos ou adotados pelo órgão ou entidade pública contratante segundo critérios de oportunidade e conveniência</w:t>
      </w:r>
      <w:r>
        <w:rPr>
          <w:rFonts w:ascii="Liberation Serif" w:eastAsia="Segoe UI" w:hAnsi="Liberation Serif" w:cs="DejaVu Sans"/>
          <w:i/>
          <w:iCs/>
          <w:color w:val="000000"/>
          <w:lang w:val="en-US" w:eastAsia="en-US" w:bidi="en-US"/>
        </w:rPr>
        <w:t>, de acordo com as peculiaridades do objeto e cuidando-se para que sejam reproduzidas as mesmas definições nos demais instrumentos da contratação (minuta de Edital e de Contrato), para que não conflitem. São previsões feitas para variarem. Eventuais justificativas podem ser exigidas a depender do caso.</w:t>
      </w:r>
    </w:p>
    <w:p w14:paraId="7455E5A3" w14:textId="77777777" w:rsidR="00BC70A7" w:rsidRDefault="00000000">
      <w:pPr>
        <w:rPr>
          <w:rFonts w:hint="eastAsia"/>
        </w:rPr>
      </w:pPr>
      <w:r>
        <w:rPr>
          <w:rFonts w:ascii="Liberation Serif" w:eastAsia="Segoe UI" w:hAnsi="Liberation Serif" w:cs="DejaVu Sans"/>
          <w:b/>
          <w:bCs/>
          <w:i/>
          <w:iCs/>
          <w:color w:val="000000"/>
          <w:lang w:val="en-US" w:eastAsia="en-US" w:bidi="en-US"/>
        </w:rPr>
        <w:t>4) Alguns itens receberam notas explicativas, destacadas para compreensão do agente ou setor responsável pela elaboração do Termo de Referência</w:t>
      </w:r>
      <w:r>
        <w:rPr>
          <w:rFonts w:ascii="Liberation Serif" w:eastAsia="Segoe UI" w:hAnsi="Liberation Serif" w:cs="DejaVu Sans"/>
          <w:i/>
          <w:iCs/>
          <w:color w:val="000000"/>
          <w:lang w:val="en-US" w:eastAsia="en-US" w:bidi="en-US"/>
        </w:rPr>
        <w:t>, que deverão ser devidamente suprimidas ao se finalizar o documento na versão original.</w:t>
      </w:r>
    </w:p>
    <w:p w14:paraId="7455E5A4" w14:textId="77777777" w:rsidR="00BC70A7" w:rsidRDefault="00000000">
      <w:pPr>
        <w:rPr>
          <w:rFonts w:hint="eastAsia"/>
        </w:rPr>
      </w:pPr>
      <w:r>
        <w:rPr>
          <w:rFonts w:ascii="Liberation Serif" w:eastAsia="Segoe UI" w:hAnsi="Liberation Serif" w:cs="DejaVu Sans"/>
          <w:b/>
          <w:bCs/>
          <w:i/>
          <w:iCs/>
          <w:color w:val="000000"/>
          <w:lang w:val="en-US" w:eastAsia="en-US" w:bidi="en-US"/>
        </w:rPr>
        <w:t>5) Recomenda-se indicar no processo a versão (mês e ano) utilizada para elaboração da minuta</w:t>
      </w:r>
      <w:r>
        <w:rPr>
          <w:rFonts w:ascii="Liberation Serif" w:eastAsia="Segoe UI" w:hAnsi="Liberation Serif" w:cs="DejaVu Sans"/>
          <w:i/>
          <w:iCs/>
          <w:color w:val="000000"/>
          <w:lang w:val="en-US" w:eastAsia="en-US" w:bidi="en-US"/>
        </w:rPr>
        <w:t>, em especial ao encaminhar o feito para análise jurídica. Tal informação consta no rodapé do documento. Essa indicação pode ocorrer expressamente no despacho de encaminhamento ou mantendo-se o rodapé na minuta encaminhada, conforme o caso. É um dado importante já que indica qual o parâmetro a ser utilizado em eventual checagem.</w:t>
      </w:r>
    </w:p>
    <w:p w14:paraId="7455E5A5" w14:textId="77777777" w:rsidR="00BC70A7" w:rsidRDefault="00000000">
      <w:pPr>
        <w:rPr>
          <w:rFonts w:hint="eastAsia"/>
        </w:rPr>
      </w:pPr>
      <w:r>
        <w:rPr>
          <w:rFonts w:ascii="Liberation Serif" w:eastAsia="Segoe UI" w:hAnsi="Liberation Serif" w:cs="DejaVu Sans"/>
          <w:b/>
          <w:bCs/>
          <w:i/>
          <w:iCs/>
          <w:color w:val="000000"/>
          <w:lang w:val="en-US" w:eastAsia="en-US" w:bidi="en-US"/>
        </w:rPr>
        <w:t xml:space="preserve">6) </w:t>
      </w:r>
      <w:r>
        <w:rPr>
          <w:rFonts w:ascii="Liberation Serif" w:eastAsia="Segoe UI" w:hAnsi="Liberation Serif" w:cs="DejaVu Sans"/>
          <w:i/>
          <w:iCs/>
          <w:color w:val="000000"/>
          <w:lang w:val="en-US" w:eastAsia="en-US" w:bidi="en-US"/>
        </w:rPr>
        <w:t xml:space="preserve">O Termo de Referência deve ser elaborado também no Sistema TR Digital ou em ferramenta informatizada própria (art. 4º da </w:t>
      </w:r>
      <w:r>
        <w:rPr>
          <w:rFonts w:ascii="Liberation Serif" w:eastAsia="Segoe UI" w:hAnsi="Liberation Serif" w:cs="DejaVu Sans"/>
          <w:i/>
          <w:iCs/>
          <w:lang w:val="en-US" w:eastAsia="en-US" w:bidi="en-US"/>
        </w:rPr>
        <w:t>IN Seges/ME nº 81, de 25 de novembro de 2022).</w:t>
      </w:r>
    </w:p>
    <w:p w14:paraId="7455E5A6" w14:textId="77777777" w:rsidR="00BC70A7" w:rsidRDefault="00000000">
      <w:pPr>
        <w:rPr>
          <w:rFonts w:hint="eastAsia"/>
        </w:rPr>
      </w:pPr>
      <w:r>
        <w:rPr>
          <w:rFonts w:ascii="Liberation Serif" w:eastAsia="Segoe UI" w:hAnsi="Liberation Serif" w:cs="DejaVu Sans"/>
          <w:b/>
          <w:bCs/>
          <w:i/>
          <w:iCs/>
          <w:color w:val="000000"/>
          <w:lang w:val="en-US" w:eastAsia="en-US" w:bidi="en-US"/>
        </w:rPr>
        <w:t xml:space="preserve">7) </w:t>
      </w:r>
      <w:r>
        <w:rPr>
          <w:rFonts w:ascii="Liberation Serif" w:eastAsia="Segoe UI" w:hAnsi="Liberation Serif" w:cs="DejaVu Sans"/>
          <w:i/>
          <w:iCs/>
          <w:color w:val="000000"/>
          <w:lang w:val="en-US" w:eastAsia="en-US" w:bidi="en-US"/>
        </w:rPr>
        <w:t>A elaboração do TR deve levar em conta o art. 3º, inciso I, da</w:t>
      </w:r>
      <w:r>
        <w:rPr>
          <w:rFonts w:ascii="Liberation Serif" w:eastAsia="Segoe UI" w:hAnsi="Liberation Serif" w:cs="DejaVu Sans"/>
          <w:i/>
          <w:iCs/>
          <w:lang w:val="en-US" w:eastAsia="en-US" w:bidi="en-US"/>
        </w:rPr>
        <w:t xml:space="preserve"> IN Seges/ME nº 81, de 2022, </w:t>
      </w:r>
      <w:r>
        <w:rPr>
          <w:rFonts w:ascii="Liberation Serif" w:eastAsia="Segoe UI" w:hAnsi="Liberation Serif" w:cs="DejaVu Sans"/>
          <w:i/>
          <w:iCs/>
          <w:color w:val="000000"/>
          <w:lang w:val="en-US" w:eastAsia="en-US" w:bidi="en-US"/>
        </w:rPr>
        <w:t>que traz a seguinte definição de TR: “documento necessário para a contratação de bens e serviços, que deve conter os parâmetros e elementos descritivos estabelecidos no art. 9º, sendo documento constitutivo da fase preparatória da instrução do processo de licitação”.</w:t>
      </w:r>
    </w:p>
    <w:p w14:paraId="7455E5A7" w14:textId="77777777" w:rsidR="00BC70A7" w:rsidRDefault="00000000">
      <w:pPr>
        <w:rPr>
          <w:rFonts w:hint="eastAsia"/>
        </w:rPr>
      </w:pPr>
      <w:r>
        <w:rPr>
          <w:rFonts w:ascii="Liberation Serif" w:eastAsia="Segoe UI" w:hAnsi="Liberation Serif" w:cs="DejaVu Sans"/>
          <w:b/>
          <w:bCs/>
          <w:i/>
          <w:iCs/>
          <w:color w:val="000000"/>
          <w:lang w:val="en-US" w:eastAsia="en-US" w:bidi="en-US"/>
        </w:rPr>
        <w:t xml:space="preserve">8) </w:t>
      </w:r>
      <w:r>
        <w:rPr>
          <w:rFonts w:ascii="Liberation Serif" w:eastAsia="Segoe UI" w:hAnsi="Liberation Serif" w:cs="DejaVu Sans"/>
          <w:i/>
          <w:iCs/>
          <w:color w:val="000000"/>
          <w:lang w:val="en-US" w:eastAsia="en-US" w:bidi="en-US"/>
        </w:rPr>
        <w:t>A não utilização dos m</w:t>
      </w:r>
      <w:r>
        <w:rPr>
          <w:rFonts w:ascii="Liberation Serif" w:eastAsia="Segoe UI" w:hAnsi="Liberation Serif" w:cs="DejaVu Sans"/>
          <w:i/>
          <w:iCs/>
          <w:lang w:val="en-US" w:eastAsia="en-US" w:bidi="en-US"/>
        </w:rPr>
        <w:t>odelos de TR instituídos pela Secretaria de Gestão e Inovação, do Ministério da Gestão e da Inovação em Serviços Públicos de</w:t>
      </w:r>
      <w:r>
        <w:rPr>
          <w:rFonts w:ascii="Liberation Serif" w:eastAsia="Segoe UI" w:hAnsi="Liberation Serif" w:cs="DejaVu Sans"/>
          <w:i/>
          <w:iCs/>
          <w:color w:val="000000"/>
          <w:lang w:val="en-US" w:eastAsia="en-US" w:bidi="en-US"/>
        </w:rPr>
        <w:t xml:space="preserve">ve ser justificada por escrito, com anexação ao respectivo processo de contratação, conforme art. 19, §2º, da Lei nº 14.133, de 2021 e art. 9º, §3º da </w:t>
      </w:r>
      <w:r>
        <w:rPr>
          <w:rFonts w:ascii="Liberation Serif" w:eastAsia="Segoe UI" w:hAnsi="Liberation Serif" w:cs="DejaVu Sans"/>
          <w:i/>
          <w:iCs/>
          <w:lang w:val="en-US" w:eastAsia="en-US" w:bidi="en-US"/>
        </w:rPr>
        <w:t xml:space="preserve">IN </w:t>
      </w:r>
      <w:r>
        <w:rPr>
          <w:rFonts w:ascii="Liberation Serif" w:eastAsia="Segoe UI" w:hAnsi="Liberation Serif" w:cs="DejaVu Sans"/>
          <w:i/>
          <w:iCs/>
          <w:color w:val="000000"/>
          <w:lang w:val="en-US" w:eastAsia="en-US" w:bidi="en-US"/>
        </w:rPr>
        <w:t>Seges/ME nº 81, de 2022.</w:t>
      </w:r>
    </w:p>
    <w:p w14:paraId="7455E5A8" w14:textId="77777777" w:rsidR="00BC70A7" w:rsidRDefault="00000000">
      <w:pPr>
        <w:rPr>
          <w:rFonts w:hint="eastAsia"/>
        </w:rPr>
      </w:pPr>
      <w:r>
        <w:rPr>
          <w:rFonts w:ascii="Liberation Serif" w:eastAsia="Segoe UI" w:hAnsi="Liberation Serif" w:cs="DejaVu Sans"/>
          <w:b/>
          <w:bCs/>
          <w:i/>
          <w:iCs/>
          <w:color w:val="000000"/>
          <w:lang w:val="en-US" w:eastAsia="en-US" w:bidi="en-US"/>
        </w:rPr>
        <w:t xml:space="preserve">9) </w:t>
      </w:r>
      <w:r>
        <w:rPr>
          <w:rFonts w:ascii="Liberation Serif" w:eastAsia="Segoe UI" w:hAnsi="Liberation Serif" w:cs="DejaVu Sans"/>
          <w:i/>
          <w:iCs/>
          <w:color w:val="000000"/>
          <w:lang w:val="en-US" w:eastAsia="en-US" w:bidi="en-US"/>
        </w:rPr>
        <w:t>A fim de aprimorar as atividades da Administração, a elaboração dos estudos preliminares e do TR deve levar em conta o relatório final com informações de contratação anterior, nos termos da alínea “d” do inciso VI do § 3º do art. 174 da Lei nº 14.133, de 20</w:t>
      </w:r>
      <w:r>
        <w:rPr>
          <w:rFonts w:ascii="Liberation Serif" w:eastAsia="Segoe UI" w:hAnsi="Liberation Serif" w:cs="DejaVu Sans"/>
          <w:i/>
          <w:iCs/>
          <w:lang w:val="en-US" w:eastAsia="en-US" w:bidi="en-US"/>
        </w:rPr>
        <w:t>21 e inciso VI do art. 21 do Decreto nº 11.246, de 27 de outubro de 2022. Caso referido rel</w:t>
      </w:r>
      <w:r>
        <w:rPr>
          <w:rFonts w:ascii="Liberation Serif" w:eastAsia="Segoe UI" w:hAnsi="Liberation Serif" w:cs="DejaVu Sans"/>
          <w:i/>
          <w:iCs/>
          <w:color w:val="000000"/>
          <w:lang w:val="en-US" w:eastAsia="en-US" w:bidi="en-US"/>
        </w:rPr>
        <w:t>atório não tenha sido elaborado, o processo deve ser enriquecido com essa informação, devendo o gestor do contrato cuidar de elaborá-lo ao fim da contratação que será efetivada.</w:t>
      </w:r>
    </w:p>
    <w:p w14:paraId="7455E5A9" w14:textId="77777777" w:rsidR="00BC70A7" w:rsidRDefault="00000000">
      <w:pPr>
        <w:rPr>
          <w:rFonts w:hint="eastAsia"/>
        </w:rPr>
      </w:pPr>
      <w:r>
        <w:rPr>
          <w:rFonts w:ascii="Liberation Serif" w:eastAsia="Segoe UI" w:hAnsi="Liberation Serif" w:cs="DejaVu Sans"/>
          <w:b/>
          <w:bCs/>
          <w:i/>
          <w:iCs/>
          <w:color w:val="000000"/>
          <w:lang w:val="en-US" w:eastAsia="en-US" w:bidi="en-US"/>
        </w:rPr>
        <w:t>10)</w:t>
      </w:r>
      <w:r>
        <w:rPr>
          <w:rFonts w:ascii="Liberation Serif" w:eastAsia="Segoe UI" w:hAnsi="Liberation Serif" w:cs="DejaVu Sans"/>
          <w:i/>
          <w:iCs/>
          <w:color w:val="000000"/>
          <w:lang w:val="en-US" w:eastAsia="en-US" w:bidi="en-US"/>
        </w:rPr>
        <w:t>. Este modelo poderá ser adotado por todos os entes federados, conforme estabelece o inciso IV do art. 19 da Lei nº 14.133, de 1º de abril de 2021, com a realização das adequações eventualmente necessárias, sobretudo em virtude da possível existência de normas locais específicas, que poderão ser consideradas no caso concreto.</w:t>
      </w:r>
    </w:p>
    <w:p w14:paraId="7455E5AA" w14:textId="77777777" w:rsidR="00BC70A7" w:rsidRDefault="00000000">
      <w:pPr>
        <w:rPr>
          <w:rFonts w:hint="eastAsia"/>
        </w:rPr>
      </w:pPr>
      <w:r>
        <w:rPr>
          <w:rFonts w:ascii="Liberation Serif" w:eastAsia="Segoe UI" w:hAnsi="Liberation Serif" w:cs="DejaVu Sans"/>
          <w:b/>
          <w:bCs/>
          <w:i/>
          <w:iCs/>
          <w:color w:val="000000"/>
          <w:lang w:val="en-US" w:eastAsia="en-US" w:bidi="en-US"/>
        </w:rPr>
        <w:t xml:space="preserve">11) </w:t>
      </w:r>
      <w:r>
        <w:rPr>
          <w:rFonts w:ascii="Liberation Serif" w:eastAsia="Segoe UI" w:hAnsi="Liberation Serif" w:cs="DejaVu Sans"/>
          <w:i/>
          <w:iCs/>
          <w:color w:val="000000"/>
          <w:lang w:val="en-US" w:eastAsia="en-US" w:bidi="en-US"/>
        </w:rPr>
        <w:t xml:space="preserve">Quaisquer sugestões de alteração poderão ser encaminhadas ao e-mail: </w:t>
      </w:r>
      <w:r>
        <w:rPr>
          <w:rFonts w:ascii="Liberation Serif" w:eastAsia="Segoe UI" w:hAnsi="Liberation Serif" w:cs="DejaVu Sans"/>
          <w:lang w:val="en-US" w:eastAsia="en-US" w:bidi="en-US"/>
        </w:rPr>
        <w:t>cgu.modeloscontratacao@agu.gov.br</w:t>
      </w:r>
      <w:r>
        <w:rPr>
          <w:rFonts w:ascii="Liberation Serif" w:eastAsia="Segoe UI" w:hAnsi="Liberation Serif" w:cs="DejaVu Sans"/>
          <w:i/>
          <w:iCs/>
          <w:color w:val="000000"/>
          <w:lang w:val="en-US" w:eastAsia="en-US" w:bidi="en-US"/>
        </w:rPr>
        <w:t>.</w:t>
      </w:r>
    </w:p>
  </w:comment>
  <w:comment w:id="2" w:author="Autor" w:date="1900-01-01T00:00:00Z" w:initials="A">
    <w:p w14:paraId="7455E5AB" w14:textId="77777777" w:rsidR="00BC70A7" w:rsidRDefault="00000000">
      <w:pPr>
        <w:rPr>
          <w:rFonts w:hint="eastAsia"/>
        </w:rPr>
      </w:pPr>
      <w:r>
        <w:rPr>
          <w:rFonts w:ascii="Liberation Serif" w:eastAsia="Segoe UI" w:hAnsi="Liberation Serif" w:cs="DejaVu Sans"/>
          <w:b/>
          <w:bCs/>
          <w:i/>
          <w:iCs/>
          <w:color w:val="000000"/>
          <w:lang w:val="en-US" w:eastAsia="en-US" w:bidi="en-US"/>
        </w:rPr>
        <w:t>Nota Explicativa:</w:t>
      </w:r>
      <w:r>
        <w:rPr>
          <w:rFonts w:ascii="Liberation Serif" w:eastAsia="Segoe UI" w:hAnsi="Liberation Serif" w:cs="DejaVu Sans"/>
          <w:i/>
          <w:iCs/>
          <w:color w:val="000000"/>
          <w:lang w:val="en-US" w:eastAsia="en-US" w:bidi="en-US"/>
        </w:rPr>
        <w:t xml:space="preserve"> Orientação Normativa AGU nº 54/2014: Compete ao agente ou setor técnico da administração declarar que o objeto licitatório é de natureza comum para efeito de utilização da modalidade pregão e definir se o objeto corresponde a obra ou serviço de engenharia, sendo atribuição do órgão jurídico analisar o devido enquadramento da modalidade licitatória aplicável</w:t>
      </w:r>
    </w:p>
  </w:comment>
  <w:comment w:id="3" w:author="Autor" w:date="1900-01-01T00:00:00Z" w:initials="A">
    <w:p w14:paraId="7455E5AC" w14:textId="77777777" w:rsidR="00BC70A7" w:rsidRDefault="00000000">
      <w:pPr>
        <w:rPr>
          <w:rFonts w:hint="eastAsia"/>
        </w:rPr>
      </w:pPr>
      <w:r>
        <w:rPr>
          <w:rFonts w:ascii="Liberation Serif" w:eastAsia="Segoe UI" w:hAnsi="Liberation Serif" w:cs="DejaVu Sans"/>
          <w:b/>
          <w:bCs/>
          <w:i/>
          <w:iCs/>
          <w:color w:val="000000"/>
          <w:lang w:val="en-US" w:eastAsia="en-US" w:bidi="en-US"/>
        </w:rPr>
        <w:t>Nota Explicativa 1:</w:t>
      </w:r>
      <w:r>
        <w:rPr>
          <w:rFonts w:ascii="Liberation Serif" w:eastAsia="Segoe UI" w:hAnsi="Liberation Serif" w:cs="DejaVu Sans"/>
          <w:i/>
          <w:iCs/>
          <w:color w:val="000000"/>
          <w:lang w:val="en-US" w:eastAsia="en-US" w:bidi="en-US"/>
        </w:rPr>
        <w:t xml:space="preserve"> Artigo 18, §1º, da Lei nº 14.133, de 2021, contém a seguinte redação: </w:t>
      </w:r>
    </w:p>
    <w:p w14:paraId="7455E5AD" w14:textId="77777777" w:rsidR="00BC70A7" w:rsidRDefault="00000000">
      <w:pPr>
        <w:rPr>
          <w:rFonts w:hint="eastAsia"/>
        </w:rPr>
      </w:pPr>
      <w:r>
        <w:rPr>
          <w:rFonts w:ascii="Liberation Serif" w:eastAsia="Segoe UI" w:hAnsi="Liberation Serif" w:cs="DejaVu Sans"/>
          <w:i/>
          <w:iCs/>
          <w:color w:val="000000"/>
          <w:lang w:val="en-US" w:eastAsia="en-US" w:bidi="en-US"/>
        </w:rPr>
        <w:t>§ 1º O estudo técnico preliminar a que se refere o inciso I do caput deste artigo deverá evidenciar o problema a ser resolvido e a sua melhor solução, de modo a permitir a avaliação da viabilidade técnica e econômica da contratação, e conterá os seguintes elementos: (...)VII - descrição da solução como um todo, inclusive das exigências relacionadas à manutenção e à assistência técnica, quando for o caso.</w:t>
      </w:r>
    </w:p>
    <w:p w14:paraId="7455E5AE" w14:textId="77777777" w:rsidR="00BC70A7" w:rsidRDefault="00000000">
      <w:pPr>
        <w:rPr>
          <w:rFonts w:hint="eastAsia"/>
        </w:rPr>
      </w:pPr>
      <w:r>
        <w:rPr>
          <w:rFonts w:ascii="Liberation Serif" w:eastAsia="Segoe UI" w:hAnsi="Liberation Serif" w:cs="DejaVu Sans"/>
          <w:i/>
          <w:iCs/>
          <w:color w:val="000000"/>
          <w:lang w:val="en-US" w:eastAsia="en-US" w:bidi="en-US"/>
        </w:rPr>
        <w:t>Ver também Instrução Normativa SEGES/ME nº 58, de 08 de agosto de 2022 (ETP), art. 3º, inciso I e art. 6º.</w:t>
      </w:r>
    </w:p>
    <w:p w14:paraId="7455E5AF" w14:textId="77777777" w:rsidR="00BC70A7" w:rsidRDefault="00000000">
      <w:pPr>
        <w:rPr>
          <w:rFonts w:hint="eastAsia"/>
        </w:rPr>
      </w:pPr>
      <w:r>
        <w:rPr>
          <w:rFonts w:ascii="Liberation Serif" w:eastAsia="Segoe UI" w:hAnsi="Liberation Serif" w:cs="DejaVu Sans"/>
          <w:i/>
          <w:iCs/>
          <w:color w:val="000000"/>
          <w:lang w:val="en-US" w:eastAsia="en-US" w:bidi="en-US"/>
        </w:rPr>
        <w:t>Caso haja a necessidade de modificação da descrição em relação à originalmente feita nos estudos técnicos preliminares, recomenda-se o dispositivo 3.1, para que passe a contemplar essa alteração.</w:t>
      </w:r>
    </w:p>
    <w:p w14:paraId="7455E5B0" w14:textId="77777777" w:rsidR="00BC70A7" w:rsidRDefault="00000000">
      <w:pPr>
        <w:rPr>
          <w:rFonts w:hint="eastAsia"/>
        </w:rPr>
      </w:pPr>
      <w:r>
        <w:rPr>
          <w:rFonts w:ascii="Liberation Serif" w:eastAsia="Segoe UI" w:hAnsi="Liberation Serif" w:cs="DejaVu Sans"/>
          <w:i/>
          <w:iCs/>
          <w:color w:val="000000"/>
          <w:lang w:val="en-US" w:eastAsia="en-US" w:bidi="en-US"/>
        </w:rPr>
        <w:t>A Instrução Normativa Seges/ME nº 81, de 2022, também trata da necessidade de descrição da solução como um todo, considerado todo o ciclo de vida do objeto, com preferência a arranjos inovadores em sede de economia circular, conforme seu artigo 9º, inciso III.</w:t>
      </w:r>
    </w:p>
    <w:p w14:paraId="7455E5B1" w14:textId="77777777" w:rsidR="00BC70A7" w:rsidRDefault="00BC70A7">
      <w:pPr>
        <w:rPr>
          <w:rFonts w:hint="eastAsia"/>
        </w:rPr>
      </w:pPr>
    </w:p>
    <w:p w14:paraId="7455E5B2" w14:textId="77777777" w:rsidR="00BC70A7" w:rsidRDefault="00000000">
      <w:pPr>
        <w:rPr>
          <w:rFonts w:hint="eastAsia"/>
        </w:rPr>
      </w:pPr>
      <w:r>
        <w:rPr>
          <w:rFonts w:ascii="Liberation Serif" w:eastAsia="Segoe UI" w:hAnsi="Liberation Serif" w:cs="DejaVu Sans"/>
          <w:b/>
          <w:bCs/>
          <w:i/>
          <w:iCs/>
          <w:color w:val="000000"/>
          <w:lang w:val="en-US" w:eastAsia="en-US" w:bidi="en-US"/>
        </w:rPr>
        <w:t>Nota Explicativa 2:</w:t>
      </w:r>
      <w:r>
        <w:rPr>
          <w:rFonts w:ascii="Liberation Serif" w:eastAsia="Segoe UI" w:hAnsi="Liberation Serif" w:cs="DejaVu Sans"/>
          <w:i/>
          <w:iCs/>
          <w:color w:val="000000"/>
          <w:lang w:val="en-US" w:eastAsia="en-US" w:bidi="en-US"/>
        </w:rPr>
        <w:t xml:space="preserve"> A Instrução Normativa SEGES/ME nº 73, de 30 de setembro de 2022, em seu art. 9º, §1º, estabelece que os custos indiretos, relacionados às despesas de manutenção, utilização, reposição, depreciação e impacto ambiental, entre outros fatores vinculados ao seu ciclo de vida, poderão ser considerados para a definição do menor dispêndio, sempre que objetivamente mensuráveis, conforme parâmetros definidos em regulamento, de acordo com o § 1º do art. 34 da Lei nº 14.133, de 2021. Logo, a definição do menor dispêndio para Administração deve levar em consideração esse aspecto.</w:t>
      </w:r>
    </w:p>
    <w:p w14:paraId="7455E5B3" w14:textId="77777777" w:rsidR="00BC70A7" w:rsidRDefault="00BC70A7">
      <w:pPr>
        <w:rPr>
          <w:rFonts w:hint="eastAsia"/>
        </w:rPr>
      </w:pPr>
    </w:p>
    <w:p w14:paraId="7455E5B4" w14:textId="77777777" w:rsidR="00BC70A7" w:rsidRDefault="00000000">
      <w:pPr>
        <w:rPr>
          <w:rFonts w:hint="eastAsia"/>
        </w:rPr>
      </w:pPr>
      <w:r>
        <w:rPr>
          <w:rFonts w:ascii="Liberation Serif" w:eastAsia="Segoe UI" w:hAnsi="Liberation Serif" w:cs="DejaVu Sans"/>
          <w:b/>
          <w:bCs/>
          <w:i/>
          <w:iCs/>
          <w:color w:val="000000"/>
          <w:lang w:val="en-US" w:eastAsia="en-US" w:bidi="en-US"/>
        </w:rPr>
        <w:t xml:space="preserve">Nota Explicativa 3: </w:t>
      </w:r>
      <w:r>
        <w:rPr>
          <w:rFonts w:ascii="Liberation Serif" w:eastAsia="Segoe UI" w:hAnsi="Liberation Serif" w:cs="DejaVu Sans"/>
          <w:i/>
          <w:iCs/>
          <w:color w:val="000000"/>
          <w:lang w:val="en-US" w:eastAsia="en-US" w:bidi="en-US"/>
        </w:rPr>
        <w:t>O objeto deve ser descrito de forma detalhada, com todas as especificações necessárias e suficientes para garantir a qualidade da contração, cuidando-se para que não sejam admitidas, previstas ou incluídas condições impertinentes ou irrelevantes para o específico objeto do contrato. Deve-se levar em consideração as normas técnicas eventualmente existentes, elaboradas pela Associação Brasileira de Normas Técnicas – ABNT, quanto a requisitos mínimos de qualidade, utilidade, resistência e segurança, nos termos da Lei n° 4.150, de 21 de novembro de 1962.</w:t>
      </w:r>
    </w:p>
    <w:p w14:paraId="7455E5B5" w14:textId="77777777" w:rsidR="00BC70A7" w:rsidRDefault="00BC70A7">
      <w:pPr>
        <w:rPr>
          <w:rFonts w:hint="eastAsia"/>
        </w:rPr>
      </w:pPr>
    </w:p>
    <w:p w14:paraId="7455E5B6" w14:textId="77777777" w:rsidR="00BC70A7" w:rsidRDefault="00000000">
      <w:pPr>
        <w:rPr>
          <w:rFonts w:hint="eastAsia"/>
        </w:rPr>
      </w:pPr>
      <w:r>
        <w:rPr>
          <w:rFonts w:ascii="Liberation Serif" w:eastAsia="Segoe UI" w:hAnsi="Liberation Serif" w:cs="DejaVu Sans"/>
          <w:b/>
          <w:bCs/>
          <w:i/>
          <w:iCs/>
          <w:color w:val="000000"/>
          <w:lang w:val="en-US" w:eastAsia="en-US" w:bidi="en-US"/>
        </w:rPr>
        <w:t xml:space="preserve">Nota Explicativa 4: </w:t>
      </w:r>
      <w:r>
        <w:rPr>
          <w:rFonts w:ascii="Liberation Serif" w:eastAsia="Segoe UI" w:hAnsi="Liberation Serif" w:cs="DejaVu Sans"/>
          <w:i/>
          <w:iCs/>
          <w:color w:val="000000"/>
          <w:lang w:val="en-US" w:eastAsia="en-US" w:bidi="en-US"/>
        </w:rPr>
        <w:t xml:space="preserve">O art. 6º, XXIII, “c”, da Lei nº 14.133, de 2021, e o art. 9º, IIII, da Instrução Normativa Seges/ME nº 81, de 2022, dispõem que a descrição da solução como um todo deve considerar todo o ciclo de vida do objeto. “Ciclo de Vida” é definido no art. 3º da Lei nº 12.305, de 02 de agosto de 2010, como sendo “série de etapas que envolvem o desenvolvimento do produto, a obtenção de matérias-primas e insumos, o processo produtivo, o consumo e a disposição final”. Desse modo, a descrição da solução deve considerar não só suas características intrínsecas ao uso em si, mas também eventual sustentabilidade de sua produção, duração de seu consumo (se é menos ou mais durável) até a destinação final. </w:t>
      </w:r>
      <w:r>
        <w:rPr>
          <w:rFonts w:ascii="Liberation Serif" w:eastAsia="Segoe UI" w:hAnsi="Liberation Serif" w:cs="DejaVu Sans"/>
          <w:b/>
          <w:bCs/>
          <w:i/>
          <w:iCs/>
          <w:color w:val="000000"/>
          <w:lang w:val="en-US" w:eastAsia="en-US" w:bidi="en-US"/>
        </w:rPr>
        <w:t>Reitere-se: se a descrição contida no ETP não contiver esse ponto, deve ser complementada neste TR</w:t>
      </w:r>
      <w:r>
        <w:rPr>
          <w:rFonts w:ascii="Liberation Serif" w:eastAsia="Segoe UI" w:hAnsi="Liberation Serif" w:cs="DejaVu Sans"/>
          <w:i/>
          <w:iCs/>
          <w:color w:val="000000"/>
          <w:lang w:val="en-US" w:eastAsia="en-US" w:bidi="en-US"/>
        </w:rPr>
        <w:t>.</w:t>
      </w:r>
    </w:p>
    <w:p w14:paraId="7455E5B7" w14:textId="77777777" w:rsidR="00BC70A7" w:rsidRDefault="00BC70A7">
      <w:pPr>
        <w:rPr>
          <w:rFonts w:hint="eastAsia"/>
        </w:rPr>
      </w:pPr>
    </w:p>
    <w:p w14:paraId="7455E5B8" w14:textId="77777777" w:rsidR="00BC70A7" w:rsidRDefault="00000000">
      <w:pPr>
        <w:rPr>
          <w:rFonts w:hint="eastAsia"/>
        </w:rPr>
      </w:pPr>
      <w:r>
        <w:rPr>
          <w:rFonts w:ascii="Liberation Serif" w:eastAsia="Segoe UI" w:hAnsi="Liberation Serif" w:cs="DejaVu Sans"/>
          <w:b/>
          <w:bCs/>
          <w:i/>
          <w:iCs/>
          <w:color w:val="000000"/>
          <w:lang w:val="en-US" w:eastAsia="en-US" w:bidi="en-US"/>
        </w:rPr>
        <w:t>Nota Explicativa 5:</w:t>
      </w:r>
      <w:r>
        <w:rPr>
          <w:rFonts w:ascii="Liberation Serif" w:eastAsia="Segoe UI" w:hAnsi="Liberation Serif" w:cs="DejaVu Sans"/>
          <w:i/>
          <w:iCs/>
          <w:color w:val="000000"/>
          <w:lang w:val="en-US" w:eastAsia="en-US" w:bidi="en-US"/>
        </w:rPr>
        <w:t xml:space="preserve"> O art. 40, §1º, inciso I, da Lei nº 14.133, de 2021, e o art. 9º, inciso I, alínea b, da Instrução Normativa Seges/ME nº 81, de 2022, estabelece que deve ser feita a especificação do produto/bem/serviço, preferencialmente conforme catálogo eletrônico de padronização, observados os requisitos de qualidade, rendimento, compatibilidade, durabilidade e segurança”. A Portaria SEGES/ME nº 938, de 02 de fevereiro de 2022, instituiu o </w:t>
      </w:r>
      <w:r>
        <w:rPr>
          <w:rFonts w:ascii="Liberation Serif" w:eastAsia="Segoe UI" w:hAnsi="Liberation Serif" w:cs="DejaVu Sans"/>
          <w:lang w:val="en-US" w:eastAsia="en-US" w:bidi="en-US"/>
        </w:rPr>
        <w:t>catálogo eletrônico de padronização</w:t>
      </w:r>
      <w:r>
        <w:rPr>
          <w:rFonts w:ascii="Liberation Serif" w:eastAsia="Segoe UI" w:hAnsi="Liberation Serif" w:cs="DejaVu Sans"/>
          <w:i/>
          <w:iCs/>
          <w:color w:val="000000"/>
          <w:lang w:val="en-US" w:eastAsia="en-US" w:bidi="en-US"/>
        </w:rPr>
        <w:t>, o qual deverá ser consultado para verificar se a contratação almejada está contemplada em seus termos. Em existindo padronização aprovada, ela deve ser considerada e eventual não-uso justificado nos autos.</w:t>
      </w:r>
    </w:p>
    <w:p w14:paraId="7455E5B9" w14:textId="77777777" w:rsidR="00BC70A7" w:rsidRDefault="00BC70A7">
      <w:pPr>
        <w:rPr>
          <w:rFonts w:hint="eastAsia"/>
        </w:rPr>
      </w:pPr>
    </w:p>
    <w:p w14:paraId="7455E5BA" w14:textId="77777777" w:rsidR="00BC70A7" w:rsidRDefault="00000000">
      <w:pPr>
        <w:rPr>
          <w:rFonts w:hint="eastAsia"/>
        </w:rPr>
      </w:pPr>
      <w:r>
        <w:rPr>
          <w:rFonts w:ascii="Liberation Serif" w:eastAsia="Segoe UI" w:hAnsi="Liberation Serif" w:cs="DejaVu Sans"/>
          <w:b/>
          <w:bCs/>
          <w:i/>
          <w:iCs/>
          <w:color w:val="000000"/>
          <w:lang w:val="en-US" w:eastAsia="en-US" w:bidi="en-US"/>
        </w:rPr>
        <w:t xml:space="preserve">Nota Explicativa 6: </w:t>
      </w:r>
      <w:r>
        <w:rPr>
          <w:rFonts w:ascii="Liberation Serif" w:eastAsia="Segoe UI" w:hAnsi="Liberation Serif" w:cs="DejaVu Sans"/>
          <w:i/>
          <w:iCs/>
          <w:color w:val="000000"/>
          <w:lang w:val="en-US" w:eastAsia="en-US" w:bidi="en-US"/>
        </w:rPr>
        <w:t xml:space="preserve">Em havendo elementos de sustentabilidade (fornecimento em material reciclável ou com madeira de reflorestamento etc.) inerentes ao objeto contratual, estes devem estar na solução como um todo de modo específico e concreto, evitando-se descrições genéricas, de difícil aferição e controle. Recomenda-se destacar em tópicos específicos da descrição do objeto seus elementos atinentes a aspectos de sustentabilidade. Sugere-se consultar o </w:t>
      </w:r>
      <w:r>
        <w:rPr>
          <w:rFonts w:ascii="Liberation Serif" w:eastAsia="Segoe UI" w:hAnsi="Liberation Serif" w:cs="DejaVu Sans"/>
          <w:lang w:val="en-US" w:eastAsia="en-US" w:bidi="en-US"/>
        </w:rPr>
        <w:t>Guia Nacional de Contratações Sustentáveis da AGU</w:t>
      </w:r>
      <w:r>
        <w:rPr>
          <w:rFonts w:ascii="Liberation Serif" w:eastAsia="Segoe UI" w:hAnsi="Liberation Serif" w:cs="DejaVu Sans"/>
          <w:i/>
          <w:iCs/>
          <w:color w:val="000000"/>
          <w:lang w:val="en-US" w:eastAsia="en-US" w:bidi="en-US"/>
        </w:rPr>
        <w:t xml:space="preserve"> para tal fim. Caso o Estudo Técnico Preliminar seja silente ou insuficiente a esse respeito, recomenda-se abrir tópico específico nesta seção sobre a matéria.</w:t>
      </w:r>
    </w:p>
    <w:p w14:paraId="7455E5BB" w14:textId="77777777" w:rsidR="00BC70A7" w:rsidRDefault="00000000">
      <w:pPr>
        <w:rPr>
          <w:rFonts w:hint="eastAsia"/>
        </w:rPr>
      </w:pPr>
      <w:r>
        <w:rPr>
          <w:rFonts w:ascii="Liberation Serif" w:eastAsia="Segoe UI" w:hAnsi="Liberation Serif" w:cs="DejaVu Sans"/>
          <w:i/>
          <w:iCs/>
          <w:color w:val="000000"/>
          <w:lang w:val="en-US" w:eastAsia="en-US" w:bidi="en-US"/>
        </w:rPr>
        <w:t>Vale registrar que a sustentabilidade pode incidir a partir de características do próprio objeto a ser contratado como também de outros modos, compilados no tópico “requisitos da contratação”, abaixo.</w:t>
      </w:r>
    </w:p>
  </w:comment>
  <w:comment w:id="4" w:author="Autor" w:date="1900-01-01T00:00:00Z" w:initials="A">
    <w:p w14:paraId="7455E5BC" w14:textId="77777777" w:rsidR="00BC70A7" w:rsidRDefault="00000000">
      <w:pPr>
        <w:rPr>
          <w:rFonts w:hint="eastAsia"/>
        </w:rPr>
      </w:pPr>
      <w:r>
        <w:rPr>
          <w:rFonts w:ascii="Liberation Serif" w:eastAsia="Segoe UI" w:hAnsi="Liberation Serif" w:cs="DejaVu Sans"/>
          <w:b/>
          <w:bCs/>
          <w:lang w:val="en-US" w:eastAsia="en-US" w:bidi="en-US"/>
        </w:rPr>
        <w:t xml:space="preserve">Nota Explicativa: </w:t>
      </w:r>
      <w:r>
        <w:rPr>
          <w:rFonts w:ascii="Liberation Serif" w:eastAsia="Segoe UI" w:hAnsi="Liberation Serif" w:cs="DejaVu Sans"/>
          <w:lang w:val="en-US" w:eastAsia="en-US" w:bidi="en-US"/>
        </w:rPr>
        <w:t>Sugere-se esta redação para material de consumo</w:t>
      </w:r>
    </w:p>
  </w:comment>
  <w:comment w:id="5" w:author="Autor" w:date="1900-01-01T00:00:00Z" w:initials="A">
    <w:p w14:paraId="7455E5BD" w14:textId="77777777" w:rsidR="00BC70A7" w:rsidRDefault="00000000">
      <w:pPr>
        <w:rPr>
          <w:rFonts w:hint="eastAsia"/>
        </w:rPr>
      </w:pPr>
      <w:r>
        <w:rPr>
          <w:rFonts w:ascii="Liberation Serif" w:eastAsia="Segoe UI" w:hAnsi="Liberation Serif" w:cs="DejaVu Sans"/>
          <w:b/>
          <w:lang w:val="en-US" w:eastAsia="en-US" w:bidi="en-US"/>
        </w:rPr>
        <w:t>Nota Explicativa:</w:t>
      </w:r>
      <w:r>
        <w:rPr>
          <w:rFonts w:ascii="Liberation Serif" w:eastAsia="Segoe UI" w:hAnsi="Liberation Serif" w:cs="DejaVu Sans"/>
          <w:lang w:val="en-US" w:eastAsia="en-US" w:bidi="en-US"/>
        </w:rPr>
        <w:t xml:space="preserve"> O modelo contém redação mais simples de recebimento. Caso se entenda que há necessidade de maior detalhamento, o órgão poderá promover aprimoramento da redação nesse ponto, inclusive com disciplina do recebimento provisório pelo fiscal técnico e administrativo, se for o caso.</w:t>
      </w:r>
    </w:p>
  </w:comment>
  <w:comment w:id="6" w:author="Autor" w:date="1900-01-01T00:00:00Z" w:initials="A">
    <w:p w14:paraId="7455E5BE" w14:textId="77777777" w:rsidR="00BC70A7" w:rsidRDefault="00000000">
      <w:pPr>
        <w:rPr>
          <w:rFonts w:hint="eastAsia"/>
        </w:rPr>
      </w:pPr>
      <w:r>
        <w:rPr>
          <w:rFonts w:ascii="Liberation Serif" w:eastAsia="Segoe UI" w:hAnsi="Liberation Serif" w:cs="DejaVu Sans"/>
          <w:b/>
          <w:bCs/>
          <w:i/>
          <w:iCs/>
          <w:color w:val="000000"/>
          <w:lang w:val="en-US" w:eastAsia="en-US" w:bidi="en-US"/>
        </w:rPr>
        <w:t>Nota explicativa:</w:t>
      </w:r>
      <w:r>
        <w:rPr>
          <w:rFonts w:ascii="Liberation Serif" w:eastAsia="Segoe UI" w:hAnsi="Liberation Serif" w:cs="DejaVu Sans"/>
          <w:i/>
          <w:iCs/>
          <w:color w:val="000000"/>
          <w:lang w:val="en-US" w:eastAsia="en-US" w:bidi="en-US"/>
        </w:rPr>
        <w:t xml:space="preserve"> O art. 7º, inciso I, </w:t>
      </w:r>
      <w:r>
        <w:rPr>
          <w:rFonts w:ascii="Liberation Serif" w:eastAsia="Segoe UI" w:hAnsi="Liberation Serif" w:cs="DejaVu Sans"/>
          <w:lang w:val="en-US" w:eastAsia="en-US" w:bidi="en-US"/>
        </w:rPr>
        <w:t>da Instrução Normativa SEGES/ME nº 77, de 4 de novembro de 2022</w:t>
      </w:r>
      <w:r>
        <w:rPr>
          <w:rFonts w:ascii="Liberation Serif" w:eastAsia="Segoe UI" w:hAnsi="Liberation Serif" w:cs="DejaVu Sans"/>
          <w:i/>
          <w:iCs/>
          <w:color w:val="000000"/>
          <w:lang w:val="en-US" w:eastAsia="en-US" w:bidi="en-US"/>
        </w:rPr>
        <w:t xml:space="preserve">, estabelece o prazo de 10 (dez dias) úteis para a liquidação da despesa, </w:t>
      </w:r>
      <w:r>
        <w:rPr>
          <w:rFonts w:ascii="Liberation Serif" w:eastAsia="Segoe UI" w:hAnsi="Liberation Serif" w:cs="DejaVu Sans"/>
          <w:b/>
          <w:bCs/>
          <w:i/>
          <w:iCs/>
          <w:color w:val="000000"/>
          <w:lang w:val="en-US" w:eastAsia="en-US" w:bidi="en-US"/>
        </w:rPr>
        <w:t xml:space="preserve">a contar do recebimento da nota fiscal ou instrumento de cobrança equivalente </w:t>
      </w:r>
      <w:r>
        <w:rPr>
          <w:rFonts w:ascii="Liberation Serif" w:eastAsia="Segoe UI" w:hAnsi="Liberation Serif" w:cs="DejaVu Sans"/>
          <w:i/>
          <w:iCs/>
          <w:color w:val="000000"/>
          <w:lang w:val="en-US" w:eastAsia="en-US" w:bidi="en-US"/>
        </w:rPr>
        <w:t xml:space="preserve">pela Administração. Tendo em vista que os bens serão entregues para a Administração juntamente com a respectiva nota fiscal ou instrumento equivalente de cobrança (fatura, invoice etc.), deve-se concluir que, no caso das compras, durante o curso do prazo de liquidação, a Administração deverá realizar também os recebimentos provisório e definitivo do bem. Em outras palavras, </w:t>
      </w:r>
      <w:r>
        <w:rPr>
          <w:rFonts w:ascii="Liberation Serif" w:eastAsia="Segoe UI" w:hAnsi="Liberation Serif" w:cs="DejaVu Sans"/>
          <w:b/>
          <w:bCs/>
          <w:i/>
          <w:iCs/>
          <w:color w:val="000000"/>
          <w:lang w:val="en-US" w:eastAsia="en-US" w:bidi="en-US"/>
        </w:rPr>
        <w:t>o prazo máximo de 10 dias úteis deverá ser suficiente para as providências de recebimentos provisório, definitivo e de liquidação</w:t>
      </w:r>
      <w:r>
        <w:rPr>
          <w:rFonts w:ascii="Liberation Serif" w:eastAsia="Segoe UI" w:hAnsi="Liberation Serif" w:cs="DejaVu Sans"/>
          <w:i/>
          <w:iCs/>
          <w:color w:val="000000"/>
          <w:lang w:val="en-US" w:eastAsia="en-US" w:bidi="en-US"/>
        </w:rPr>
        <w:t xml:space="preserve">. Assim, embora a </w:t>
      </w:r>
      <w:r>
        <w:rPr>
          <w:rFonts w:ascii="Liberation Serif" w:eastAsia="Segoe UI" w:hAnsi="Liberation Serif" w:cs="DejaVu Sans"/>
          <w:lang w:val="en-US" w:eastAsia="en-US" w:bidi="en-US"/>
        </w:rPr>
        <w:t>Lei nº 14.133/21</w:t>
      </w:r>
      <w:r>
        <w:rPr>
          <w:rFonts w:ascii="Liberation Serif" w:eastAsia="Segoe UI" w:hAnsi="Liberation Serif" w:cs="DejaVu Sans"/>
          <w:i/>
          <w:iCs/>
          <w:color w:val="000000"/>
          <w:lang w:val="en-US" w:eastAsia="en-US" w:bidi="en-US"/>
        </w:rPr>
        <w:t xml:space="preserve"> não fixe prazo máximo de recebimento definitivo, este prazo deverá ser inferior ao fixado para liquidação de despesa pela </w:t>
      </w:r>
      <w:r>
        <w:rPr>
          <w:rFonts w:ascii="Liberation Serif" w:eastAsia="Segoe UI" w:hAnsi="Liberation Serif" w:cs="DejaVu Sans"/>
          <w:lang w:val="en-US" w:eastAsia="en-US" w:bidi="en-US"/>
        </w:rPr>
        <w:t>IN SEGES/ME nº 77, de 2022</w:t>
      </w:r>
      <w:r>
        <w:rPr>
          <w:rFonts w:ascii="Liberation Serif" w:eastAsia="Segoe UI" w:hAnsi="Liberation Serif" w:cs="DejaVu Sans"/>
          <w:i/>
          <w:iCs/>
          <w:color w:val="000000"/>
          <w:lang w:val="en-US" w:eastAsia="en-US" w:bidi="en-US"/>
        </w:rPr>
        <w:t>. Portanto, a Administração deve definir o prazo de recebimento considerando o máximo de 10 dias úteis, a sua realidade administrativa, a complexidade do objeto e o tempo que será consumido para os procedimentos contábeis de liquidação. Em sendo detectado, na fase de planejamento da contratação (notadamente no gerenciamento dos riscos), que haverá dificuldades para cumprimento do prazo estabelecido, deverão ser previstas medidas para superar tais contingências.</w:t>
      </w:r>
    </w:p>
  </w:comment>
  <w:comment w:id="7" w:author="Autor" w:date="1900-01-01T00:00:00Z" w:initials="A">
    <w:p w14:paraId="7455E5BF" w14:textId="77777777" w:rsidR="00BC70A7" w:rsidRDefault="00000000">
      <w:pPr>
        <w:rPr>
          <w:rFonts w:hint="eastAsia"/>
        </w:rPr>
      </w:pPr>
      <w:r>
        <w:rPr>
          <w:rFonts w:ascii="Liberation Serif" w:eastAsia="Segoe UI" w:hAnsi="Liberation Serif" w:cs="DejaVu Sans"/>
          <w:b/>
          <w:bCs/>
          <w:i/>
          <w:iCs/>
          <w:color w:val="000000"/>
          <w:lang w:val="en-US" w:eastAsia="en-US" w:bidi="en-US"/>
        </w:rPr>
        <w:t xml:space="preserve">Nota Explicativa: </w:t>
      </w:r>
      <w:r>
        <w:rPr>
          <w:rFonts w:ascii="Liberation Serif" w:eastAsia="Segoe UI" w:hAnsi="Liberation Serif" w:cs="DejaVu Sans"/>
          <w:i/>
          <w:iCs/>
          <w:color w:val="000000"/>
          <w:lang w:val="en-US" w:eastAsia="en-US" w:bidi="en-US"/>
        </w:rPr>
        <w:t xml:space="preserve">Observar que o artigo 7º, §2º, </w:t>
      </w:r>
      <w:r>
        <w:rPr>
          <w:rFonts w:ascii="Liberation Serif" w:eastAsia="Segoe UI" w:hAnsi="Liberation Serif" w:cs="DejaVu Sans"/>
          <w:lang w:val="en-US" w:eastAsia="en-US" w:bidi="en-US"/>
        </w:rPr>
        <w:t>da Instrução Normativa nº 77, de 2022</w:t>
      </w:r>
      <w:r>
        <w:rPr>
          <w:rFonts w:ascii="Liberation Serif" w:eastAsia="Segoe UI" w:hAnsi="Liberation Serif" w:cs="DejaVu Sans"/>
          <w:i/>
          <w:iCs/>
          <w:color w:val="000000"/>
          <w:lang w:val="en-US" w:eastAsia="en-US" w:bidi="en-US"/>
        </w:rPr>
        <w:t xml:space="preserve">, prevê que “Para as contratações decorrentes de despesas cujos valores não ultrapassem o limite de que trata o inciso II do </w:t>
      </w:r>
      <w:r>
        <w:rPr>
          <w:rFonts w:ascii="Liberation Serif" w:eastAsia="Segoe UI" w:hAnsi="Liberation Serif" w:cs="DejaVu Sans"/>
          <w:lang w:val="en-US" w:eastAsia="en-US" w:bidi="en-US"/>
        </w:rPr>
        <w:t>art. 75 da Lei nº 14.133, de 2021</w:t>
      </w:r>
      <w:r>
        <w:rPr>
          <w:rFonts w:ascii="Liberation Serif" w:eastAsia="Segoe UI" w:hAnsi="Liberation Serif" w:cs="DejaVu Sans"/>
          <w:i/>
          <w:iCs/>
          <w:color w:val="000000"/>
          <w:lang w:val="en-US" w:eastAsia="en-US" w:bidi="en-US"/>
        </w:rPr>
        <w:t xml:space="preserve">, os prazos de que dos incisos I e II do caput </w:t>
      </w:r>
      <w:r>
        <w:rPr>
          <w:rFonts w:ascii="Liberation Serif" w:eastAsia="Segoe UI" w:hAnsi="Liberation Serif" w:cs="DejaVu Sans"/>
          <w:b/>
          <w:bCs/>
          <w:i/>
          <w:iCs/>
          <w:color w:val="000000"/>
          <w:lang w:val="en-US" w:eastAsia="en-US" w:bidi="en-US"/>
        </w:rPr>
        <w:t>serão reduzidos pela metade</w:t>
      </w:r>
      <w:r>
        <w:rPr>
          <w:rFonts w:ascii="Liberation Serif" w:eastAsia="Segoe UI" w:hAnsi="Liberation Serif" w:cs="DejaVu Sans"/>
          <w:i/>
          <w:iCs/>
          <w:color w:val="000000"/>
          <w:lang w:val="en-US" w:eastAsia="en-US" w:bidi="en-US"/>
        </w:rPr>
        <w:t>.” (g.n). Como o prazo máximo de liquidação será reduzido pela metade, então o prazo de recebimento também deverá ser ajustado.</w:t>
      </w:r>
    </w:p>
  </w:comment>
  <w:comment w:id="8" w:author="Autor" w:date="1900-01-01T00:00:00Z" w:initials="A">
    <w:p w14:paraId="7455E5C0" w14:textId="77777777" w:rsidR="00BC70A7" w:rsidRDefault="00000000">
      <w:pPr>
        <w:rPr>
          <w:rFonts w:hint="eastAsia"/>
        </w:rPr>
      </w:pPr>
      <w:r>
        <w:rPr>
          <w:rFonts w:ascii="Liberation Serif" w:eastAsia="Segoe UI" w:hAnsi="Liberation Serif" w:cs="DejaVu Sans"/>
          <w:b/>
          <w:bCs/>
          <w:i/>
          <w:iCs/>
          <w:color w:val="000000"/>
          <w:lang w:val="en-US" w:eastAsia="en-US" w:bidi="en-US"/>
        </w:rPr>
        <w:t>Nota Explicativa:</w:t>
      </w:r>
      <w:r>
        <w:rPr>
          <w:rFonts w:ascii="Liberation Serif" w:eastAsia="Segoe UI" w:hAnsi="Liberation Serif" w:cs="DejaVu Sans"/>
          <w:i/>
          <w:iCs/>
          <w:color w:val="000000"/>
          <w:lang w:val="en-US" w:eastAsia="en-US" w:bidi="en-US"/>
        </w:rPr>
        <w:t xml:space="preserve"> Deverá a Administração indicar o índice de preços a ser utilizado para a atualização monetária do valor devido ao contratado.</w:t>
      </w:r>
    </w:p>
  </w:comment>
  <w:comment w:id="9" w:author="Autor" w:date="1900-01-01T00:00:00Z" w:initials="A">
    <w:p w14:paraId="7455E5C1" w14:textId="77777777" w:rsidR="00BC70A7" w:rsidRDefault="00000000">
      <w:pPr>
        <w:rPr>
          <w:rFonts w:hint="eastAsia"/>
        </w:rPr>
      </w:pPr>
      <w:r>
        <w:rPr>
          <w:rFonts w:ascii="Liberation Serif" w:eastAsia="Segoe UI" w:hAnsi="Liberation Serif" w:cs="DejaVu Sans"/>
          <w:b/>
          <w:bCs/>
          <w:i/>
          <w:iCs/>
          <w:color w:val="000000"/>
          <w:lang w:val="en-US" w:eastAsia="en-US" w:bidi="en-US"/>
        </w:rPr>
        <w:t xml:space="preserve">Nota Explicativa: </w:t>
      </w:r>
      <w:r>
        <w:rPr>
          <w:rFonts w:ascii="Liberation Serif" w:eastAsia="Segoe UI" w:hAnsi="Liberation Serif" w:cs="DejaVu Sans"/>
          <w:i/>
          <w:iCs/>
          <w:color w:val="000000"/>
          <w:lang w:val="en-US" w:eastAsia="en-US" w:bidi="en-US"/>
        </w:rPr>
        <w:t>A natureza do contrato e o objeto da contratação irão determinar a retenção tributária eventualmente cabível, bem como a possibilidade de a empresa se beneficiar da condição de optante do Simples Nacional, dentre outras questões de caráter tributário.</w:t>
      </w:r>
    </w:p>
  </w:comment>
  <w:comment w:id="10" w:author="Autor" w:date="1900-01-01T00:00:00Z" w:initials="A">
    <w:p w14:paraId="7455E5C2" w14:textId="77777777" w:rsidR="00BC70A7" w:rsidRDefault="00000000">
      <w:pPr>
        <w:rPr>
          <w:rFonts w:hint="eastAsia"/>
        </w:rPr>
      </w:pPr>
      <w:r>
        <w:rPr>
          <w:rFonts w:ascii="Liberation Serif" w:eastAsia="Segoe UI" w:hAnsi="Liberation Serif" w:cs="DejaVu Sans"/>
          <w:b/>
          <w:bCs/>
          <w:i/>
          <w:iCs/>
          <w:color w:val="000000"/>
          <w:lang w:val="en-US" w:eastAsia="en-US" w:bidi="en-US"/>
        </w:rPr>
        <w:t>Nota Explicativa:</w:t>
      </w:r>
      <w:r>
        <w:rPr>
          <w:rFonts w:ascii="Liberation Serif" w:eastAsia="Segoe UI" w:hAnsi="Liberation Serif" w:cs="DejaVu Sans"/>
          <w:i/>
          <w:iCs/>
          <w:color w:val="000000"/>
          <w:lang w:val="en-US" w:eastAsia="en-US" w:bidi="en-US"/>
        </w:rPr>
        <w:t xml:space="preserve"> É fundamental que a Administração observe que exigências demasiadas poderão prejudicar a competitividade da licitação e ofender a o disposto no </w:t>
      </w:r>
      <w:r>
        <w:rPr>
          <w:rFonts w:ascii="Liberation Serif" w:eastAsia="Segoe UI" w:hAnsi="Liberation Serif" w:cs="DejaVu Sans"/>
          <w:lang w:val="en-US" w:eastAsia="en-US" w:bidi="en-US"/>
        </w:rPr>
        <w:t>art. 37, inciso XXI da Constituição Federal</w:t>
      </w:r>
      <w:r>
        <w:rPr>
          <w:rFonts w:ascii="Liberation Serif" w:eastAsia="Segoe UI" w:hAnsi="Liberation Serif" w:cs="DejaVu Sans"/>
          <w:i/>
          <w:iCs/>
          <w:color w:val="000000"/>
          <w:lang w:val="en-US" w:eastAsia="en-US" w:bidi="en-US"/>
        </w:rPr>
        <w:t>, o qual preceitua que “o processo de licitação pública... somente permitirá as exigências de qualificação técnica e econômica indispensáveis à garantia do cumprimento das obrigações”.</w:t>
      </w:r>
    </w:p>
    <w:p w14:paraId="7455E5C3" w14:textId="77777777" w:rsidR="00BC70A7" w:rsidRDefault="00000000">
      <w:pPr>
        <w:rPr>
          <w:rFonts w:hint="eastAsia"/>
        </w:rPr>
      </w:pPr>
      <w:r>
        <w:rPr>
          <w:rFonts w:ascii="Liberation Serif" w:eastAsia="Segoe UI" w:hAnsi="Liberation Serif" w:cs="DejaVu Sans"/>
          <w:i/>
          <w:iCs/>
          <w:color w:val="000000"/>
          <w:lang w:val="en-US" w:eastAsia="en-US" w:bidi="en-US"/>
        </w:rPr>
        <w:t>O</w:t>
      </w:r>
      <w:r>
        <w:rPr>
          <w:rFonts w:ascii="Liberation Serif" w:eastAsia="Segoe UI" w:hAnsi="Liberation Serif" w:cs="DejaVu Sans"/>
          <w:lang w:val="en-US" w:eastAsia="en-US" w:bidi="en-US"/>
        </w:rPr>
        <w:t xml:space="preserve"> art. 70, III, da Lei Nº 14.133/2021</w:t>
      </w:r>
      <w:r>
        <w:rPr>
          <w:rFonts w:ascii="Liberation Serif" w:eastAsia="Segoe UI" w:hAnsi="Liberation Serif" w:cs="DejaVu Sans"/>
          <w:i/>
          <w:iCs/>
          <w:color w:val="000000"/>
          <w:lang w:val="en-US" w:eastAsia="en-US" w:bidi="en-US"/>
        </w:rPr>
        <w:t>, por sua vez, dispõe que as exigências de habilitação poderão ser dispensadas, “total ou parcialmente, nas contratações para entrega imediata, nas contratações em valores inferiores a 1/4 (um quarto) do limite para dispensa de licitação para compras em geral e nas contratações de produto para pesquisa e desenvolvimento até o valor de R$ 300.000,00 (trezentos mil reais).” (Referidos valores são atualizados anualmente por Decreto, conforme art. 182 da mesma Lei).</w:t>
      </w:r>
    </w:p>
    <w:p w14:paraId="7455E5C4" w14:textId="77777777" w:rsidR="00BC70A7" w:rsidRDefault="00000000">
      <w:pPr>
        <w:rPr>
          <w:rFonts w:hint="eastAsia"/>
        </w:rPr>
      </w:pPr>
      <w:r>
        <w:rPr>
          <w:rFonts w:ascii="Liberation Serif" w:eastAsia="Segoe UI" w:hAnsi="Liberation Serif" w:cs="DejaVu Sans"/>
          <w:i/>
          <w:iCs/>
          <w:color w:val="000000"/>
          <w:lang w:val="en-US" w:eastAsia="en-US" w:bidi="en-US"/>
        </w:rPr>
        <w:t xml:space="preserve">A combinação da disposição constitucional com a disposição legal resulta que as exigências de qualificação técnica e econômica nas situações retratadas no art. 70, III, deve ser excepcional e justificada. Nas demais situações, em razão da diretriz constitucional, a Administração deve observar, diante do caso concreto, se o objeto da contratação demanda a exigência de todos os requisitos de habilitação apresentados neste modelo, levando-se em consideração o vulto e/ou a complexidade do objeto, a essencialidade do serviço e os riscos decorrentes de sua paralisação em função da eventual incapacidade econômica da contratada em suportar vicissitudes contratuais, excluindo-se o que entender excessivo. </w:t>
      </w:r>
    </w:p>
    <w:p w14:paraId="7455E5C5" w14:textId="77777777" w:rsidR="00BC70A7" w:rsidRDefault="00000000">
      <w:pPr>
        <w:rPr>
          <w:rFonts w:hint="eastAsia"/>
        </w:rPr>
      </w:pPr>
      <w:r>
        <w:rPr>
          <w:rFonts w:ascii="Liberation Serif" w:eastAsia="Segoe UI" w:hAnsi="Liberation Serif" w:cs="DejaVu Sans"/>
          <w:i/>
          <w:iCs/>
          <w:color w:val="000000"/>
          <w:lang w:val="en-US" w:eastAsia="en-US" w:bidi="en-US"/>
        </w:rPr>
        <w:t>Em licitação dividida em itens, as exigências de habilitação podem adequar-se a essa divisibilidade, sendo possível, em um mesmo instrumento, a exigência de requisitos de habilitação mais amplos somente para alguns itens. Para se fazer isso, basta acrescentar uma ressalva ao final na exigência pertinente, tal como “(exigência relativa somente aos itens X, Y, Z)”.</w:t>
      </w:r>
    </w:p>
    <w:p w14:paraId="7455E5C6" w14:textId="77777777" w:rsidR="00BC70A7" w:rsidRDefault="00000000">
      <w:pPr>
        <w:rPr>
          <w:rFonts w:hint="eastAsia"/>
        </w:rPr>
      </w:pPr>
      <w:r>
        <w:rPr>
          <w:rFonts w:ascii="Liberation Serif" w:eastAsia="Segoe UI" w:hAnsi="Liberation Serif" w:cs="DejaVu Sans"/>
          <w:i/>
          <w:iCs/>
          <w:color w:val="000000"/>
          <w:lang w:val="en-US" w:eastAsia="en-US" w:bidi="en-US"/>
        </w:rPr>
        <w:t>É vedada a inclusão de requisitos que não tenham suporte nos arts. 66 a 69 da Lei nº 14.133, de 2021.</w:t>
      </w:r>
    </w:p>
  </w:comment>
  <w:comment w:id="12" w:author="Autor" w:date="1900-01-01T00:00:00Z" w:initials="A">
    <w:p w14:paraId="7455E5C7" w14:textId="77777777" w:rsidR="00BC70A7" w:rsidRDefault="00000000">
      <w:pPr>
        <w:rPr>
          <w:rFonts w:hint="eastAsia"/>
        </w:rPr>
      </w:pPr>
      <w:r>
        <w:rPr>
          <w:rFonts w:ascii="Liberation Serif" w:eastAsia="Segoe UI" w:hAnsi="Liberation Serif" w:cs="DejaVu Sans"/>
          <w:b/>
          <w:bCs/>
          <w:i/>
          <w:iCs/>
          <w:color w:val="000000"/>
          <w:lang w:val="en-US" w:eastAsia="en-US" w:bidi="en-US"/>
        </w:rPr>
        <w:t>Nota Explicativa:</w:t>
      </w:r>
      <w:r>
        <w:rPr>
          <w:rFonts w:ascii="Liberation Serif" w:eastAsia="Segoe UI" w:hAnsi="Liberation Serif" w:cs="DejaVu Sans"/>
          <w:i/>
          <w:iCs/>
          <w:color w:val="000000"/>
          <w:lang w:val="en-US" w:eastAsia="en-US" w:bidi="en-US"/>
        </w:rPr>
        <w:t xml:space="preserve"> A Instrução Normativa </w:t>
      </w:r>
      <w:r>
        <w:rPr>
          <w:rFonts w:ascii="Liberation Serif" w:eastAsia="Segoe UI" w:hAnsi="Liberation Serif" w:cs="DejaVu Sans"/>
          <w:lang w:val="en-US" w:eastAsia="en-US" w:bidi="en-US"/>
        </w:rPr>
        <w:t>SEGES/ME nº 116, de 21 de dezembro de 2021</w:t>
      </w:r>
      <w:r>
        <w:rPr>
          <w:rFonts w:ascii="Liberation Serif" w:eastAsia="Segoe UI" w:hAnsi="Liberation Serif" w:cs="DejaVu Sans"/>
          <w:i/>
          <w:iCs/>
          <w:color w:val="000000"/>
          <w:lang w:val="en-US" w:eastAsia="en-US" w:bidi="en-US"/>
        </w:rPr>
        <w:t xml:space="preserve">, estabelece procedimentos para a participação de pessoa física nas contratações públicas regidas pela </w:t>
      </w:r>
      <w:r>
        <w:rPr>
          <w:rFonts w:ascii="Liberation Serif" w:eastAsia="Segoe UI" w:hAnsi="Liberation Serif" w:cs="DejaVu Sans"/>
          <w:lang w:val="en-US" w:eastAsia="en-US" w:bidi="en-US"/>
        </w:rPr>
        <w:t>Lei nº 14.133, de 2021</w:t>
      </w:r>
      <w:r>
        <w:rPr>
          <w:rFonts w:ascii="Liberation Serif" w:eastAsia="Segoe UI" w:hAnsi="Liberation Serif" w:cs="DejaVu Sans"/>
          <w:i/>
          <w:iCs/>
          <w:color w:val="000000"/>
          <w:lang w:val="en-US" w:eastAsia="en-US" w:bidi="en-US"/>
        </w:rPr>
        <w:t>, no âmbito da Administração Pública federal direta, autárquica e fundacional. Em seu art. 2º, a norma considera pessoa física “ todo o trabalhador autônomo, sem qualquer vínculo de subordinação para fins de execução do objeto da contratação pública, incluindo os profissionais liberais não enquadrados como sociedade empresária ou empresário individual, nos termos das legislações específicas, que participa ou manifesta a intenção de participar de processo de contratação pública, sendo equiparado a fornecedor ou ao prestador de serviço que, em atendimento à solicitação da Administração, oferece proposta”.</w:t>
      </w:r>
    </w:p>
    <w:p w14:paraId="7455E5C8" w14:textId="77777777" w:rsidR="00BC70A7" w:rsidRDefault="00000000">
      <w:pPr>
        <w:rPr>
          <w:rFonts w:hint="eastAsia"/>
        </w:rPr>
      </w:pPr>
      <w:r>
        <w:rPr>
          <w:rFonts w:ascii="Liberation Serif" w:eastAsia="Segoe UI" w:hAnsi="Liberation Serif" w:cs="DejaVu Sans"/>
          <w:i/>
          <w:iCs/>
          <w:color w:val="000000"/>
          <w:lang w:val="en-US" w:eastAsia="en-US" w:bidi="en-US"/>
        </w:rPr>
        <w:t xml:space="preserve">A </w:t>
      </w:r>
      <w:r>
        <w:rPr>
          <w:rFonts w:ascii="Liberation Serif" w:eastAsia="Segoe UI" w:hAnsi="Liberation Serif" w:cs="DejaVu Sans"/>
          <w:lang w:val="en-US" w:eastAsia="en-US" w:bidi="en-US"/>
        </w:rPr>
        <w:t>IN SEGES/ME nº 116, de 2021</w:t>
      </w:r>
      <w:r>
        <w:rPr>
          <w:rFonts w:ascii="Liberation Serif" w:eastAsia="Segoe UI" w:hAnsi="Liberation Serif" w:cs="DejaVu Sans"/>
          <w:i/>
          <w:iCs/>
          <w:color w:val="000000"/>
          <w:lang w:val="en-US" w:eastAsia="en-US" w:bidi="en-US"/>
        </w:rPr>
        <w:t xml:space="preserve">, determina, em seu art. 4º, caput, que os editais ou os avisos de contratação direta possibilitem a contratação das pessoas físicas, em observância aos objetivos da isonomia e da justa competição. Ainda de acordo com o parágrafo único desse mesmo dispositivo, será ressalvada a participação de pessoas físicas nas licitações ou contratações diretas, “quando a contratação exigir </w:t>
      </w:r>
      <w:r>
        <w:rPr>
          <w:rFonts w:ascii="Liberation Serif" w:eastAsia="Segoe UI" w:hAnsi="Liberation Serif" w:cs="DejaVu Sans"/>
          <w:b/>
          <w:bCs/>
          <w:i/>
          <w:iCs/>
          <w:color w:val="000000"/>
          <w:lang w:val="en-US" w:eastAsia="en-US" w:bidi="en-US"/>
        </w:rPr>
        <w:t>capital social mínimo</w:t>
      </w:r>
      <w:r>
        <w:rPr>
          <w:rFonts w:ascii="Liberation Serif" w:eastAsia="Segoe UI" w:hAnsi="Liberation Serif" w:cs="DejaVu Sans"/>
          <w:i/>
          <w:iCs/>
          <w:color w:val="000000"/>
          <w:lang w:val="en-US" w:eastAsia="en-US" w:bidi="en-US"/>
        </w:rPr>
        <w:t xml:space="preserve"> e </w:t>
      </w:r>
      <w:r>
        <w:rPr>
          <w:rFonts w:ascii="Liberation Serif" w:eastAsia="Segoe UI" w:hAnsi="Liberation Serif" w:cs="DejaVu Sans"/>
          <w:b/>
          <w:bCs/>
          <w:i/>
          <w:iCs/>
          <w:color w:val="000000"/>
          <w:lang w:val="en-US" w:eastAsia="en-US" w:bidi="en-US"/>
        </w:rPr>
        <w:t>estrutura mínima</w:t>
      </w:r>
      <w:r>
        <w:rPr>
          <w:rFonts w:ascii="Liberation Serif" w:eastAsia="Segoe UI" w:hAnsi="Liberation Serif" w:cs="DejaVu Sans"/>
          <w:i/>
          <w:iCs/>
          <w:color w:val="000000"/>
          <w:lang w:val="en-US" w:eastAsia="en-US" w:bidi="en-US"/>
        </w:rPr>
        <w:t xml:space="preserve">, com equipamentos, instalações e equipe de profissionais ou corpo técnico para a execução do objeto </w:t>
      </w:r>
      <w:r>
        <w:rPr>
          <w:rFonts w:ascii="Liberation Serif" w:eastAsia="Segoe UI" w:hAnsi="Liberation Serif" w:cs="DejaVu Sans"/>
          <w:b/>
          <w:bCs/>
          <w:i/>
          <w:iCs/>
          <w:color w:val="000000"/>
          <w:lang w:val="en-US" w:eastAsia="en-US" w:bidi="en-US"/>
        </w:rPr>
        <w:t>incompatíveis com a natureza profissional da pessoa física</w:t>
      </w:r>
      <w:r>
        <w:rPr>
          <w:rFonts w:ascii="Liberation Serif" w:eastAsia="Segoe UI" w:hAnsi="Liberation Serif" w:cs="DejaVu Sans"/>
          <w:i/>
          <w:iCs/>
          <w:color w:val="000000"/>
          <w:lang w:val="en-US" w:eastAsia="en-US" w:bidi="en-US"/>
        </w:rPr>
        <w:t xml:space="preserve">, conforme </w:t>
      </w:r>
      <w:r>
        <w:rPr>
          <w:rFonts w:ascii="Liberation Serif" w:eastAsia="Segoe UI" w:hAnsi="Liberation Serif" w:cs="DejaVu Sans"/>
          <w:b/>
          <w:bCs/>
          <w:i/>
          <w:iCs/>
          <w:color w:val="000000"/>
          <w:lang w:val="en-US" w:eastAsia="en-US" w:bidi="en-US"/>
        </w:rPr>
        <w:t>demonstrado em estudo técnico preliminar</w:t>
      </w:r>
      <w:r>
        <w:rPr>
          <w:rFonts w:ascii="Liberation Serif" w:eastAsia="Segoe UI" w:hAnsi="Liberation Serif" w:cs="DejaVu Sans"/>
          <w:i/>
          <w:iCs/>
          <w:color w:val="000000"/>
          <w:lang w:val="en-US" w:eastAsia="en-US" w:bidi="en-US"/>
        </w:rPr>
        <w:t xml:space="preserve">”. Portanto, a possibilidade, ou não, de contratação de pessoas físicas deverá ser objeto de prévia análise e manifestação técnica por parte do órgão contratante, na fase de planejamento da contratação. </w:t>
      </w:r>
    </w:p>
    <w:p w14:paraId="7455E5C9" w14:textId="77777777" w:rsidR="00BC70A7" w:rsidRDefault="00000000">
      <w:pPr>
        <w:rPr>
          <w:rFonts w:hint="eastAsia"/>
        </w:rPr>
      </w:pPr>
      <w:r>
        <w:rPr>
          <w:rFonts w:ascii="Liberation Serif" w:eastAsia="Segoe UI" w:hAnsi="Liberation Serif" w:cs="DejaVu Sans"/>
          <w:i/>
          <w:iCs/>
          <w:color w:val="000000"/>
          <w:lang w:val="en-US" w:eastAsia="en-US" w:bidi="en-US"/>
        </w:rPr>
        <w:t xml:space="preserve">O </w:t>
      </w:r>
      <w:r>
        <w:rPr>
          <w:rFonts w:ascii="Liberation Serif" w:eastAsia="Segoe UI" w:hAnsi="Liberation Serif" w:cs="DejaVu Sans"/>
          <w:lang w:val="en-US" w:eastAsia="en-US" w:bidi="en-US"/>
        </w:rPr>
        <w:t>Decreto n.º 10.977, de 23 de fevereiro de 2022,</w:t>
      </w:r>
      <w:r>
        <w:rPr>
          <w:rFonts w:ascii="Liberation Serif" w:eastAsia="Segoe UI" w:hAnsi="Liberation Serif" w:cs="DejaVu Sans"/>
          <w:i/>
          <w:iCs/>
          <w:color w:val="000000"/>
          <w:lang w:val="en-US" w:eastAsia="en-US" w:bidi="en-US"/>
        </w:rPr>
        <w:t xml:space="preserve"> que regulamenta a Lei nº 7.116, de 29 de agosto de 1983, e a Lei nº 9.454, de 7 de abril de 1997, estabelece, em seu art. 3º, que a Carteira de Identidade passa a adotar o número de inscrição no Cadastro de Pessoas Físicas - CPF como o número do registro geral nacional previsto no inciso IV do </w:t>
      </w:r>
      <w:r>
        <w:rPr>
          <w:rFonts w:ascii="Liberation Serif" w:eastAsia="Segoe UI" w:hAnsi="Liberation Serif" w:cs="DejaVu Sans"/>
          <w:b/>
          <w:bCs/>
          <w:i/>
          <w:iCs/>
          <w:color w:val="000000"/>
          <w:lang w:val="en-US" w:eastAsia="en-US" w:bidi="en-US"/>
        </w:rPr>
        <w:t>caput </w:t>
      </w:r>
      <w:r>
        <w:rPr>
          <w:rFonts w:ascii="Liberation Serif" w:eastAsia="Segoe UI" w:hAnsi="Liberation Serif" w:cs="DejaVu Sans"/>
          <w:i/>
          <w:iCs/>
          <w:color w:val="000000"/>
          <w:lang w:val="en-US" w:eastAsia="en-US" w:bidi="en-US"/>
        </w:rPr>
        <w:t>do seu art. 11.</w:t>
      </w:r>
    </w:p>
  </w:comment>
  <w:comment w:id="13" w:author="Autor" w:date="1900-01-01T00:00:00Z" w:initials="A">
    <w:p w14:paraId="7455E5CA" w14:textId="77777777" w:rsidR="00BC70A7" w:rsidRDefault="00000000">
      <w:pPr>
        <w:rPr>
          <w:rFonts w:hint="eastAsia"/>
        </w:rPr>
      </w:pPr>
      <w:r>
        <w:rPr>
          <w:rFonts w:ascii="Liberation Serif" w:eastAsia="Segoe UI" w:hAnsi="Liberation Serif" w:cs="DejaVu Sans"/>
          <w:b/>
          <w:bCs/>
          <w:i/>
          <w:iCs/>
          <w:color w:val="000000"/>
          <w:lang w:val="en-US" w:eastAsia="en-US" w:bidi="en-US"/>
        </w:rPr>
        <w:t>Nota Explicativa</w:t>
      </w:r>
      <w:r>
        <w:rPr>
          <w:rFonts w:ascii="Liberation Serif" w:eastAsia="Segoe UI" w:hAnsi="Liberation Serif" w:cs="DejaVu Sans"/>
          <w:i/>
          <w:iCs/>
          <w:color w:val="000000"/>
          <w:lang w:val="en-US" w:eastAsia="en-US" w:bidi="en-US"/>
        </w:rPr>
        <w:t xml:space="preserve">: O </w:t>
      </w:r>
      <w:r>
        <w:rPr>
          <w:rFonts w:ascii="Liberation Serif" w:eastAsia="Segoe UI" w:hAnsi="Liberation Serif" w:cs="DejaVu Sans"/>
          <w:lang w:val="en-US" w:eastAsia="en-US" w:bidi="en-US"/>
        </w:rPr>
        <w:t>art. 41 da Lei nº 14.195, de 26 de agosto de 2021</w:t>
      </w:r>
      <w:r>
        <w:rPr>
          <w:rFonts w:ascii="Liberation Serif" w:eastAsia="Segoe UI" w:hAnsi="Liberation Serif" w:cs="DejaVu Sans"/>
          <w:i/>
          <w:iCs/>
          <w:color w:val="000000"/>
          <w:lang w:val="en-US" w:eastAsia="en-US" w:bidi="en-US"/>
        </w:rPr>
        <w:t>, transformou todas as empresas individuais de responsabilidade limitada (EIRELI) existentes na data da entrada em vigor da Lei em sociedades limitadas unipessoais (SLU), independentemente de qualquer alteração em seus respectivos atos constitutivos.</w:t>
      </w:r>
    </w:p>
    <w:p w14:paraId="7455E5CB" w14:textId="77777777" w:rsidR="00BC70A7" w:rsidRDefault="00000000">
      <w:pPr>
        <w:rPr>
          <w:rFonts w:hint="eastAsia"/>
        </w:rPr>
      </w:pPr>
      <w:r>
        <w:rPr>
          <w:rFonts w:ascii="Liberation Serif" w:eastAsia="Segoe UI" w:hAnsi="Liberation Serif" w:cs="DejaVu Sans"/>
          <w:i/>
          <w:iCs/>
          <w:color w:val="000000"/>
          <w:lang w:val="en-US" w:eastAsia="en-US" w:bidi="en-US"/>
        </w:rPr>
        <w:t xml:space="preserve">Posteriormente, </w:t>
      </w:r>
      <w:r>
        <w:rPr>
          <w:rFonts w:ascii="Liberation Serif" w:eastAsia="Segoe UI" w:hAnsi="Liberation Serif" w:cs="DejaVu Sans"/>
          <w:lang w:val="en-US" w:eastAsia="en-US" w:bidi="en-US"/>
        </w:rPr>
        <w:t>o inciso VI, alíneas “a” e “b”, art. 20, da Lei nº 14.382, de 27 de junho de 2022</w:t>
      </w:r>
      <w:r>
        <w:rPr>
          <w:rFonts w:ascii="Liberation Serif" w:eastAsia="Segoe UI" w:hAnsi="Liberation Serif" w:cs="DejaVu Sans"/>
          <w:i/>
          <w:iCs/>
          <w:color w:val="000000"/>
          <w:lang w:val="en-US" w:eastAsia="en-US" w:bidi="en-US"/>
        </w:rPr>
        <w:t>, revogou as disposições sobre EIRELI constantes do inciso VI do caput do art. 44 e do Título I-A do Livro II da Parte Especial do Código Civil (</w:t>
      </w:r>
      <w:r>
        <w:rPr>
          <w:rFonts w:ascii="Liberation Serif" w:eastAsia="Segoe UI" w:hAnsi="Liberation Serif" w:cs="DejaVu Sans"/>
          <w:lang w:val="en-US" w:eastAsia="en-US" w:bidi="en-US"/>
        </w:rPr>
        <w:t>Lei nº 10.406, de 10 de janeiro de 2002</w:t>
      </w:r>
      <w:r>
        <w:rPr>
          <w:rFonts w:ascii="Liberation Serif" w:eastAsia="Segoe UI" w:hAnsi="Liberation Serif" w:cs="DejaVu Sans"/>
          <w:i/>
          <w:iCs/>
          <w:color w:val="000000"/>
          <w:lang w:val="en-US" w:eastAsia="en-US" w:bidi="en-US"/>
        </w:rPr>
        <w:t>).</w:t>
      </w:r>
    </w:p>
    <w:p w14:paraId="7455E5CC" w14:textId="77777777" w:rsidR="00BC70A7" w:rsidRDefault="00000000">
      <w:pPr>
        <w:rPr>
          <w:rFonts w:hint="eastAsia"/>
        </w:rPr>
      </w:pPr>
      <w:r>
        <w:rPr>
          <w:rFonts w:ascii="Liberation Serif" w:eastAsia="Segoe UI" w:hAnsi="Liberation Serif" w:cs="DejaVu Sans"/>
          <w:i/>
          <w:iCs/>
          <w:color w:val="000000"/>
          <w:lang w:val="en-US" w:eastAsia="en-US" w:bidi="en-US"/>
        </w:rPr>
        <w:t>Diante dessa situação, orientamos os agentes de contratação da seguinte forma: se a empresa for identificada como EIRELI em seus atos constitutivos, ela deverá ser considerada como convertida em SLU, automaticamente, durante o processo de contratação. Os atos constitutivos, inclusive, deverão ser considerados regulares como EIRELI, mas a empresa deverá se comportar na contratação como uma SLU.</w:t>
      </w:r>
    </w:p>
  </w:comment>
  <w:comment w:id="15" w:author="Autor" w:date="1900-01-01T00:00:00Z" w:initials="A">
    <w:p w14:paraId="7455E5CD" w14:textId="77777777" w:rsidR="00BC70A7" w:rsidRDefault="00000000">
      <w:pPr>
        <w:rPr>
          <w:rFonts w:hint="eastAsia"/>
        </w:rPr>
      </w:pPr>
      <w:r>
        <w:rPr>
          <w:rFonts w:ascii="Liberation Serif" w:eastAsia="Segoe UI" w:hAnsi="Liberation Serif" w:cs="DejaVu Sans"/>
          <w:b/>
          <w:bCs/>
          <w:i/>
          <w:iCs/>
          <w:color w:val="000000"/>
          <w:lang w:val="en-US" w:eastAsia="en-US" w:bidi="en-US"/>
        </w:rPr>
        <w:t>Nota Explicativa:</w:t>
      </w:r>
      <w:r>
        <w:rPr>
          <w:rFonts w:ascii="Liberation Serif" w:eastAsia="Segoe UI" w:hAnsi="Liberation Serif" w:cs="DejaVu Sans"/>
          <w:i/>
          <w:iCs/>
          <w:color w:val="000000"/>
          <w:lang w:val="en-US" w:eastAsia="en-US" w:bidi="en-US"/>
        </w:rPr>
        <w:t xml:space="preserve"> O subitem 8.13 tem como fundamento a parte final do disposto no </w:t>
      </w:r>
      <w:r>
        <w:rPr>
          <w:rFonts w:ascii="Liberation Serif" w:eastAsia="Segoe UI" w:hAnsi="Liberation Serif" w:cs="DejaVu Sans"/>
          <w:lang w:val="en-US" w:eastAsia="en-US" w:bidi="en-US"/>
        </w:rPr>
        <w:t>art. 66 da Lei nº 14.133, de 2021</w:t>
      </w:r>
      <w:r>
        <w:rPr>
          <w:rFonts w:ascii="Liberation Serif" w:eastAsia="Segoe UI" w:hAnsi="Liberation Serif" w:cs="DejaVu Sans"/>
          <w:i/>
          <w:iCs/>
          <w:color w:val="000000"/>
          <w:lang w:val="en-US" w:eastAsia="en-US" w:bidi="en-US"/>
        </w:rPr>
        <w:t>. Cabe ao órgão ou entidade analisar se a atividade relativa ao objeto a ser contratado exige registro ou autorização para funcionamento, em razão de previsão legal ou normativa. Em caso positivo, deverão ser especificados o documento a ser apresentado, o órgão competente para expedi-lo e o respectivo fundamento legal. Cite-se, como exemplo, a necessidade de registro de pessoas físicas ou jurídicas no Exército, com vistas ao exercício de qualquer atividade relativa a Produto Controlado pelo Exército (PCE), tais como a fabricação, o comércio, a importação, a exportação, a utilização e a prestação de serviços envolvendo arma de fogo, explosivo, munição, dentre outros.</w:t>
      </w:r>
    </w:p>
  </w:comment>
  <w:comment w:id="16" w:author="Autor" w:date="1900-01-01T00:00:00Z" w:initials="A">
    <w:p w14:paraId="7455E5CE" w14:textId="77777777" w:rsidR="00BC70A7" w:rsidRDefault="00000000">
      <w:pPr>
        <w:rPr>
          <w:rFonts w:hint="eastAsia"/>
        </w:rPr>
      </w:pPr>
      <w:r>
        <w:rPr>
          <w:rFonts w:ascii="Liberation Serif" w:eastAsia="Segoe UI" w:hAnsi="Liberation Serif" w:cs="DejaVu Sans"/>
          <w:b/>
          <w:bCs/>
          <w:i/>
          <w:iCs/>
          <w:color w:val="000000"/>
          <w:lang w:val="en-US" w:eastAsia="en-US" w:bidi="en-US"/>
        </w:rPr>
        <w:t>Nota Explicativa:</w:t>
      </w:r>
      <w:r>
        <w:rPr>
          <w:rFonts w:ascii="Liberation Serif" w:eastAsia="Segoe UI" w:hAnsi="Liberation Serif" w:cs="DejaVu Sans"/>
          <w:i/>
          <w:iCs/>
          <w:color w:val="000000"/>
          <w:lang w:val="en-US" w:eastAsia="en-US" w:bidi="en-US"/>
        </w:rPr>
        <w:t xml:space="preserve"> O artigo 193 do Código Tributário Nacional (</w:t>
      </w:r>
      <w:r>
        <w:rPr>
          <w:rFonts w:ascii="Liberation Serif" w:eastAsia="Segoe UI" w:hAnsi="Liberation Serif" w:cs="DejaVu Sans"/>
          <w:lang w:val="en-US" w:eastAsia="en-US" w:bidi="en-US"/>
        </w:rPr>
        <w:t>Lei nº 5.172, de 25 de outubro de 1966</w:t>
      </w:r>
      <w:r>
        <w:rPr>
          <w:rFonts w:ascii="Liberation Serif" w:eastAsia="Segoe UI" w:hAnsi="Liberation Serif" w:cs="DejaVu Sans"/>
          <w:i/>
          <w:iCs/>
          <w:color w:val="000000"/>
          <w:lang w:val="en-US" w:eastAsia="en-US" w:bidi="en-US"/>
        </w:rPr>
        <w:t xml:space="preserve">) preceitua que a prova da quitação de todos os tributos devidos dar-se-á no âmbito da Fazenda Pública interessada, “relativos à atividade em cujo exercício contrata ou concorre”. Nessa mesma linha, </w:t>
      </w:r>
      <w:r>
        <w:rPr>
          <w:rFonts w:ascii="Liberation Serif" w:eastAsia="Segoe UI" w:hAnsi="Liberation Serif" w:cs="DejaVu Sans"/>
          <w:lang w:val="en-US" w:eastAsia="en-US" w:bidi="en-US"/>
        </w:rPr>
        <w:t>o art. 68, inciso II, da Lei n.º 14.133, de 2021</w:t>
      </w:r>
      <w:r>
        <w:rPr>
          <w:rFonts w:ascii="Liberation Serif" w:eastAsia="Segoe UI" w:hAnsi="Liberation Serif" w:cs="DejaVu Sans"/>
          <w:i/>
          <w:iCs/>
          <w:color w:val="000000"/>
          <w:lang w:val="en-US" w:eastAsia="en-US" w:bidi="en-US"/>
        </w:rPr>
        <w:t>, estabelece a exigência de “inscrição no cadastro de contribuintes estadual e/ou municipal, se houver, relativo ao domicílio ou sede do licitante, pertinente ao seu ramo de atividade e compatível com o objeto contratual”. Dessa forma, a prova de inscrição no cadastro de contribuintes estadual ou municipal e a prova de regularidade fiscal correspondente deve levar em conta a natureza da atividade objeto da contratação e o âmbito da tributação sobre ele incidente:  tratando-se de serviços em geral, incide o ISS, tributo de competência municipal, ao passo que, para aquisições incide o ICMS, tributo de competência estadual. Cabe ao órgão contratante aferir o imposto aplicável e ajustar conforme o caso.</w:t>
      </w:r>
    </w:p>
  </w:comment>
  <w:comment w:id="17" w:author="Autor" w:date="1900-01-01T00:00:00Z" w:initials="A">
    <w:p w14:paraId="7455E5CF" w14:textId="77777777" w:rsidR="00BC70A7" w:rsidRDefault="00000000">
      <w:pPr>
        <w:rPr>
          <w:rFonts w:hint="eastAsia"/>
        </w:rPr>
      </w:pPr>
      <w:r>
        <w:rPr>
          <w:rFonts w:ascii="Liberation Serif" w:eastAsia="Segoe UI" w:hAnsi="Liberation Serif" w:cs="DejaVu Sans"/>
          <w:b/>
          <w:bCs/>
          <w:i/>
          <w:iCs/>
          <w:color w:val="000000"/>
          <w:lang w:val="en-US" w:eastAsia="en-US" w:bidi="en-US"/>
        </w:rPr>
        <w:t>Nota Explicativa:</w:t>
      </w:r>
      <w:r>
        <w:rPr>
          <w:rFonts w:ascii="Liberation Serif" w:eastAsia="Segoe UI" w:hAnsi="Liberation Serif" w:cs="DejaVu Sans"/>
          <w:i/>
          <w:iCs/>
          <w:color w:val="000000"/>
          <w:lang w:val="en-US" w:eastAsia="en-US" w:bidi="en-US"/>
        </w:rPr>
        <w:t xml:space="preserve"> A apresentação do Certificado de Condição de Microempreendedor Individual – CCMEI supre as exigências de inscrição nos cadastros fiscais, na medida em que essas informações constam no próprio Certificado.</w:t>
      </w:r>
    </w:p>
  </w:comment>
  <w:comment w:id="18" w:author="Autor" w:date="1900-01-01T00:00:00Z" w:initials="A">
    <w:p w14:paraId="7455E5D0" w14:textId="77777777" w:rsidR="00BC70A7" w:rsidRDefault="00000000">
      <w:pPr>
        <w:rPr>
          <w:rFonts w:hint="eastAsia"/>
        </w:rPr>
      </w:pPr>
      <w:r>
        <w:rPr>
          <w:rFonts w:ascii="Liberation Serif" w:eastAsia="Segoe UI" w:hAnsi="Liberation Serif" w:cs="DejaVu Sans"/>
          <w:b/>
          <w:bCs/>
          <w:i/>
          <w:iCs/>
          <w:color w:val="000000"/>
          <w:lang w:val="en-US" w:eastAsia="en-US" w:bidi="en-US"/>
        </w:rPr>
        <w:t>Nota Explicativa 1:</w:t>
      </w:r>
      <w:r>
        <w:rPr>
          <w:rFonts w:ascii="Liberation Serif" w:eastAsia="Segoe UI" w:hAnsi="Liberation Serif" w:cs="DejaVu Sans"/>
          <w:i/>
          <w:iCs/>
          <w:color w:val="000000"/>
          <w:lang w:val="en-US" w:eastAsia="en-US" w:bidi="en-US"/>
        </w:rPr>
        <w:t xml:space="preserve"> A Administração deve examinar, diante do caso concreto, se o objeto da contratação demanda a exigência de todos os requisitos de habilitação apresentados neste modelo, levando-se em consideração o vulto e/ou a complexidade e a essencialidade do objeto, bem como os riscos decorrentes de sua paralisação em função da eventual incapacidade econômica da contratada em suportar os deveres contratuais, excluindo-se o que entender excessivo. Nesse sentido, a exigência pode restringir-se a alguns itens, como, por exemplo, somente aos itens não exclusivos a microempresa e empresas de pequeno porte, ou mesmo não ser exigida para nenhum deles, caso em que deve ser suprimida do edital. Conforme Nota Explicativa do início deste tópico, a exigência de qualificação técnica e econômica nas circunstâncias previstas no art. 70, III da </w:t>
      </w:r>
      <w:r>
        <w:rPr>
          <w:rFonts w:ascii="Liberation Serif" w:eastAsia="Segoe UI" w:hAnsi="Liberation Serif" w:cs="DejaVu Sans"/>
          <w:lang w:val="en-US" w:eastAsia="en-US" w:bidi="en-US"/>
        </w:rPr>
        <w:t>Lei n.º 14.133, de 2021</w:t>
      </w:r>
      <w:r>
        <w:rPr>
          <w:rFonts w:ascii="Liberation Serif" w:eastAsia="Segoe UI" w:hAnsi="Liberation Serif" w:cs="DejaVu Sans"/>
          <w:i/>
          <w:iCs/>
          <w:color w:val="000000"/>
          <w:lang w:val="en-US" w:eastAsia="en-US" w:bidi="en-US"/>
        </w:rPr>
        <w:t xml:space="preserve">, deve ser excepcional e justificada, à luz do </w:t>
      </w:r>
      <w:r>
        <w:rPr>
          <w:rFonts w:ascii="Liberation Serif" w:eastAsia="Segoe UI" w:hAnsi="Liberation Serif" w:cs="DejaVu Sans"/>
          <w:lang w:val="en-US" w:eastAsia="en-US" w:bidi="en-US"/>
        </w:rPr>
        <w:t>art. 37, XXI, da Constituição Federal</w:t>
      </w:r>
      <w:r>
        <w:rPr>
          <w:rFonts w:ascii="Liberation Serif" w:eastAsia="Segoe UI" w:hAnsi="Liberation Serif" w:cs="DejaVu Sans"/>
          <w:i/>
          <w:iCs/>
          <w:color w:val="000000"/>
          <w:lang w:val="en-US" w:eastAsia="en-US" w:bidi="en-US"/>
        </w:rPr>
        <w:t>.</w:t>
      </w:r>
    </w:p>
    <w:p w14:paraId="7455E5D1" w14:textId="77777777" w:rsidR="00BC70A7" w:rsidRDefault="00000000">
      <w:pPr>
        <w:rPr>
          <w:rFonts w:hint="eastAsia"/>
        </w:rPr>
      </w:pPr>
      <w:r>
        <w:rPr>
          <w:rFonts w:ascii="Liberation Serif" w:eastAsia="Segoe UI" w:hAnsi="Liberation Serif" w:cs="DejaVu Sans"/>
          <w:b/>
          <w:bCs/>
          <w:i/>
          <w:iCs/>
          <w:color w:val="000000"/>
          <w:lang w:val="en-US" w:eastAsia="en-US" w:bidi="en-US"/>
        </w:rPr>
        <w:t>Nota Explicativa 2:</w:t>
      </w:r>
      <w:r>
        <w:rPr>
          <w:rFonts w:ascii="Liberation Serif" w:eastAsia="Segoe UI" w:hAnsi="Liberation Serif" w:cs="DejaVu Sans"/>
          <w:i/>
          <w:iCs/>
          <w:color w:val="000000"/>
          <w:lang w:val="en-US" w:eastAsia="en-US" w:bidi="en-US"/>
        </w:rPr>
        <w:t xml:space="preserve"> É possível adotar critérios de habilitação econômico-financeira com requisitos diferenciados, estabelecidos conforme as peculiaridades do objeto a ser licitado, com justificativa do percentual adotado nos autos do procedimento licitatório.</w:t>
      </w:r>
    </w:p>
  </w:comment>
  <w:comment w:id="19" w:author="Autor" w:date="1900-01-01T00:00:00Z" w:initials="A">
    <w:p w14:paraId="7455E5D2" w14:textId="77777777" w:rsidR="00BC70A7" w:rsidRDefault="00000000">
      <w:pPr>
        <w:rPr>
          <w:rFonts w:hint="eastAsia"/>
        </w:rPr>
      </w:pPr>
      <w:r>
        <w:rPr>
          <w:rFonts w:ascii="Liberation Serif" w:eastAsia="Segoe UI" w:hAnsi="Liberation Serif" w:cs="DejaVu Sans"/>
          <w:lang w:val="en-US" w:eastAsia="en-US" w:bidi="en-US"/>
        </w:rPr>
        <w:t>Nota Explicativa: Conforme o §4º do art. 16 da Instrução Normativa SEGES/MP nº 3, de 2018</w:t>
      </w:r>
    </w:p>
  </w:comment>
  <w:comment w:id="20" w:author="Autor" w:date="1900-01-01T00:00:00Z" w:initials="A">
    <w:p w14:paraId="7455E5D3" w14:textId="77777777" w:rsidR="00BC70A7" w:rsidRDefault="00000000">
      <w:pPr>
        <w:rPr>
          <w:rFonts w:hint="eastAsia"/>
        </w:rPr>
      </w:pPr>
      <w:r>
        <w:rPr>
          <w:rFonts w:ascii="Liberation Serif" w:eastAsia="Segoe UI" w:hAnsi="Liberation Serif" w:cs="DejaVu Sans"/>
          <w:b/>
          <w:bCs/>
          <w:i/>
          <w:iCs/>
          <w:color w:val="000000"/>
          <w:lang w:val="en-US" w:eastAsia="en-US" w:bidi="en-US"/>
        </w:rPr>
        <w:t>Nota Explicativa 1:</w:t>
      </w:r>
      <w:r>
        <w:rPr>
          <w:rFonts w:ascii="Liberation Serif" w:eastAsia="Segoe UI" w:hAnsi="Liberation Serif" w:cs="DejaVu Sans"/>
          <w:i/>
          <w:iCs/>
          <w:color w:val="000000"/>
          <w:lang w:val="en-US" w:eastAsia="en-US" w:bidi="en-US"/>
        </w:rPr>
        <w:t xml:space="preserve"> Não podem ser cumulativas as exigências de capital mínimo e de patrimônio líquido mínimo, razão pela qual a Administração deverá escolher motivadamente entre uma das duas opções.</w:t>
      </w:r>
    </w:p>
    <w:p w14:paraId="7455E5D4" w14:textId="77777777" w:rsidR="00BC70A7" w:rsidRDefault="00000000">
      <w:pPr>
        <w:rPr>
          <w:rFonts w:hint="eastAsia"/>
        </w:rPr>
      </w:pPr>
      <w:r>
        <w:rPr>
          <w:rFonts w:ascii="Liberation Serif" w:eastAsia="Segoe UI" w:hAnsi="Liberation Serif" w:cs="DejaVu Sans"/>
          <w:b/>
          <w:bCs/>
          <w:i/>
          <w:iCs/>
          <w:color w:val="000000"/>
          <w:lang w:val="en-US" w:eastAsia="en-US" w:bidi="en-US"/>
        </w:rPr>
        <w:t>Nota Explicativa 2:</w:t>
      </w:r>
      <w:r>
        <w:rPr>
          <w:rFonts w:ascii="Liberation Serif" w:eastAsia="Segoe UI" w:hAnsi="Liberation Serif" w:cs="DejaVu Sans"/>
          <w:i/>
          <w:iCs/>
          <w:color w:val="000000"/>
          <w:lang w:val="en-US" w:eastAsia="en-US" w:bidi="en-US"/>
        </w:rPr>
        <w:t xml:space="preserve"> A fixação do percentual se insere na esfera de atuação discricionária da Administração até o limite legal de 10% (dez por cento) do valor estimado da contratação e deve ser proporcional aos riscos que a inexecução total ou parcial do contrato poderá acarretar para a Administração, considerando-se, entre outros fatores, o valor do contrato, a essencialidade do objeto, o tempo de duração do contrato. </w:t>
      </w:r>
    </w:p>
    <w:p w14:paraId="7455E5D5" w14:textId="77777777" w:rsidR="00BC70A7" w:rsidRDefault="00000000">
      <w:pPr>
        <w:rPr>
          <w:rFonts w:hint="eastAsia"/>
        </w:rPr>
      </w:pPr>
      <w:r>
        <w:rPr>
          <w:rFonts w:ascii="Liberation Serif" w:eastAsia="Segoe UI" w:hAnsi="Liberation Serif" w:cs="DejaVu Sans"/>
          <w:i/>
          <w:iCs/>
          <w:color w:val="000000"/>
          <w:lang w:val="en-US" w:eastAsia="en-US" w:bidi="en-US"/>
        </w:rPr>
        <w:t>A sondagem do mercado se afigura importante, a fim de obter dados sobre o porte das empresas que atuam na área objeto da contratação. Ressalte-se que, se o referido percentual for fixado em seu mais alto patamar e o valor total estimado da contratação também for significativo, trará como consequência a necessidade de comprovação de patrimônio líquido elevado, o que poderá resultar na restrição à participação de interessados no certame, em especial, de microempresas ou empresas de pequeno porte, podendo ferir o princípio constitucional de incentivo a essas unidades empresariais. Por essa razão, é indispensável avaliação técnica sobre o assunto.</w:t>
      </w:r>
    </w:p>
  </w:comment>
  <w:comment w:id="21" w:author="Autor" w:date="1900-01-01T00:00:00Z" w:initials="A">
    <w:p w14:paraId="7455E5D6" w14:textId="77777777" w:rsidR="00BC70A7" w:rsidRDefault="00000000">
      <w:pPr>
        <w:rPr>
          <w:rFonts w:hint="eastAsia"/>
        </w:rPr>
      </w:pPr>
      <w:r>
        <w:rPr>
          <w:rFonts w:ascii="Liberation Serif" w:eastAsia="Segoe UI" w:hAnsi="Liberation Serif" w:cs="DejaVu Sans"/>
          <w:b/>
          <w:bCs/>
          <w:i/>
          <w:iCs/>
          <w:color w:val="000000"/>
          <w:lang w:val="en-US" w:eastAsia="en-US" w:bidi="en-US"/>
        </w:rPr>
        <w:t>Nota Explicativa:</w:t>
      </w:r>
      <w:r>
        <w:rPr>
          <w:rFonts w:ascii="Liberation Serif" w:eastAsia="Segoe UI" w:hAnsi="Liberation Serif" w:cs="DejaVu Sans"/>
          <w:i/>
          <w:iCs/>
          <w:color w:val="000000"/>
          <w:lang w:val="en-US" w:eastAsia="en-US" w:bidi="en-US"/>
        </w:rPr>
        <w:t xml:space="preserve"> A previsão do subitem 8.29 decorre do disposto no </w:t>
      </w:r>
      <w:r>
        <w:rPr>
          <w:rFonts w:ascii="Liberation Serif" w:eastAsia="Segoe UI" w:hAnsi="Liberation Serif" w:cs="DejaVu Sans"/>
          <w:lang w:val="en-US" w:eastAsia="en-US" w:bidi="en-US"/>
        </w:rPr>
        <w:t>art. 69, §1º da Lei nº 14.133, de 2021</w:t>
      </w:r>
      <w:r>
        <w:rPr>
          <w:rFonts w:ascii="Liberation Serif" w:eastAsia="Segoe UI" w:hAnsi="Liberation Serif" w:cs="DejaVu Sans"/>
          <w:i/>
          <w:iCs/>
          <w:color w:val="000000"/>
          <w:lang w:val="en-US" w:eastAsia="en-US" w:bidi="en-US"/>
        </w:rPr>
        <w:t>, podendo a Administração optar por tal disposição, desde que justificadamente.</w:t>
      </w:r>
    </w:p>
  </w:comment>
  <w:comment w:id="22" w:author="Autor" w:date="1900-01-01T00:00:00Z" w:initials="A">
    <w:p w14:paraId="7455E5D7" w14:textId="77777777" w:rsidR="00BC70A7" w:rsidRDefault="00000000">
      <w:pPr>
        <w:rPr>
          <w:rFonts w:hint="eastAsia"/>
        </w:rPr>
      </w:pPr>
      <w:r>
        <w:rPr>
          <w:rFonts w:ascii="Liberation Serif" w:eastAsia="Segoe UI" w:hAnsi="Liberation Serif" w:cs="DejaVu Sans"/>
          <w:b/>
          <w:bCs/>
          <w:i/>
          <w:iCs/>
          <w:color w:val="000000"/>
          <w:lang w:val="en-US" w:eastAsia="en-US" w:bidi="en-US"/>
        </w:rPr>
        <w:t>Nota Explicativa 1</w:t>
      </w:r>
      <w:r>
        <w:rPr>
          <w:rFonts w:ascii="Liberation Serif" w:eastAsia="Segoe UI" w:hAnsi="Liberation Serif" w:cs="DejaVu Sans"/>
          <w:i/>
          <w:iCs/>
          <w:color w:val="000000"/>
          <w:lang w:val="en-US" w:eastAsia="en-US" w:bidi="en-US"/>
        </w:rPr>
        <w:t xml:space="preserve">: O </w:t>
      </w:r>
      <w:r>
        <w:rPr>
          <w:rFonts w:ascii="Liberation Serif" w:eastAsia="Segoe UI" w:hAnsi="Liberation Serif" w:cs="DejaVu Sans"/>
          <w:lang w:val="en-US" w:eastAsia="en-US" w:bidi="en-US"/>
        </w:rPr>
        <w:t>art. 67 da Lei nº 14.133, de 2021</w:t>
      </w:r>
      <w:r>
        <w:rPr>
          <w:rFonts w:ascii="Liberation Serif" w:eastAsia="Segoe UI" w:hAnsi="Liberation Serif" w:cs="DejaVu Sans"/>
          <w:i/>
          <w:iCs/>
          <w:color w:val="000000"/>
          <w:lang w:val="en-US" w:eastAsia="en-US" w:bidi="en-US"/>
        </w:rPr>
        <w:t xml:space="preserve">, não estabelece exigências de qualificação técnico-operacional ou técnico-profissional para o caso de contratações cujo objeto seja a aquisição de bens, tratando o dispositivo legal apenas das exigências pertinentes às obras e serviços. Nada obstante, entende-se ser juridicamente possível que a Administração formule exigências de qualificação técnica dos fornecedores no caso de compras de bens, com fundamento no </w:t>
      </w:r>
      <w:r>
        <w:rPr>
          <w:rFonts w:ascii="Liberation Serif" w:eastAsia="Segoe UI" w:hAnsi="Liberation Serif" w:cs="DejaVu Sans"/>
          <w:lang w:val="en-US" w:eastAsia="en-US" w:bidi="en-US"/>
        </w:rPr>
        <w:t>artigo 37, inciso XXI, da Constituição Federal</w:t>
      </w:r>
      <w:r>
        <w:rPr>
          <w:rFonts w:ascii="Liberation Serif" w:eastAsia="Segoe UI" w:hAnsi="Liberation Serif" w:cs="DejaVu Sans"/>
          <w:i/>
          <w:iCs/>
          <w:color w:val="000000"/>
          <w:lang w:val="en-US" w:eastAsia="en-US" w:bidi="en-US"/>
        </w:rPr>
        <w:t xml:space="preserve">, caso verifique que a medida é indispensável à garantia do cumprimento das obrigações pertinentes à execução do objeto. </w:t>
      </w:r>
    </w:p>
    <w:p w14:paraId="7455E5D8" w14:textId="77777777" w:rsidR="00BC70A7" w:rsidRDefault="00000000">
      <w:pPr>
        <w:rPr>
          <w:rFonts w:hint="eastAsia"/>
        </w:rPr>
      </w:pPr>
      <w:r>
        <w:rPr>
          <w:rFonts w:ascii="Liberation Serif" w:eastAsia="Segoe UI" w:hAnsi="Liberation Serif" w:cs="DejaVu Sans"/>
          <w:i/>
          <w:iCs/>
          <w:color w:val="000000"/>
          <w:lang w:val="en-US" w:eastAsia="en-US" w:bidi="en-US"/>
        </w:rPr>
        <w:t>Para tanto, recomenda-se que a Administração se utilize da interpretação extensiva das regras, limites e princípios que incidem em relação à prova de qualificação técnica dos licitantes na contratação de serviços, observadas as peculiaridades das compras em cada caso concreto.</w:t>
      </w:r>
    </w:p>
    <w:p w14:paraId="7455E5D9" w14:textId="77777777" w:rsidR="00BC70A7" w:rsidRDefault="00000000">
      <w:pPr>
        <w:rPr>
          <w:rFonts w:hint="eastAsia"/>
        </w:rPr>
      </w:pPr>
      <w:r>
        <w:rPr>
          <w:rFonts w:ascii="Liberation Serif" w:eastAsia="Segoe UI" w:hAnsi="Liberation Serif" w:cs="DejaVu Sans"/>
          <w:b/>
          <w:bCs/>
          <w:i/>
          <w:iCs/>
          <w:lang w:val="en-US" w:eastAsia="en-US" w:bidi="en-US"/>
        </w:rPr>
        <w:t xml:space="preserve">Nota Explicativa 2: </w:t>
      </w:r>
      <w:r>
        <w:rPr>
          <w:rFonts w:ascii="Liberation Serif" w:eastAsia="Segoe UI" w:hAnsi="Liberation Serif" w:cs="DejaVu Sans"/>
          <w:i/>
          <w:iCs/>
          <w:color w:val="000000"/>
          <w:lang w:val="en-US" w:eastAsia="en-US" w:bidi="en-US"/>
        </w:rPr>
        <w:t>Além de avaliar a pertinência de exigir qualificação técnica, o rigor das exigências também deve ser avaliado, promovendo-se adaptações pela área demandante ante o tipo de contratação que se pretende fazer. A redação ora apresentada visa a dispor sobre as possibilidades gerais trazidas pela lei, mas a área competente do órgão contratante deverá, NECESSARIAMENTE, ajustar TODAS as cláusulas aqui presentes à realidade de sua demanda específica, com base em justificativa do ETP.</w:t>
      </w:r>
    </w:p>
    <w:p w14:paraId="7455E5DA" w14:textId="77777777" w:rsidR="00BC70A7" w:rsidRDefault="00000000">
      <w:pPr>
        <w:rPr>
          <w:rFonts w:hint="eastAsia"/>
        </w:rPr>
      </w:pPr>
      <w:r>
        <w:rPr>
          <w:rFonts w:ascii="Liberation Serif" w:eastAsia="Segoe UI" w:hAnsi="Liberation Serif" w:cs="DejaVu Sans"/>
          <w:b/>
          <w:bCs/>
          <w:i/>
          <w:iCs/>
          <w:color w:val="000000"/>
          <w:lang w:val="en-US" w:eastAsia="en-US" w:bidi="en-US"/>
        </w:rPr>
        <w:t>Nota Explicativa 3</w:t>
      </w:r>
      <w:r>
        <w:rPr>
          <w:rFonts w:ascii="Liberation Serif" w:eastAsia="Segoe UI" w:hAnsi="Liberation Serif" w:cs="DejaVu Sans"/>
          <w:i/>
          <w:iCs/>
          <w:color w:val="000000"/>
          <w:lang w:val="en-US" w:eastAsia="en-US" w:bidi="en-US"/>
        </w:rPr>
        <w:t>: Em relação pessoa física ou jurídica que se caracterize como “potencial subcontratado”, é possível a previsão de exigência de atestados específicos, situação na qual mais de um licitante poderá apresentar atestado relativo ao mesmo potencial subcontratado. Nesse sentido é o teor do § 9º do art. 67 da Lei nº 14.133, de 2021:</w:t>
      </w:r>
    </w:p>
    <w:p w14:paraId="7455E5DB" w14:textId="77777777" w:rsidR="00BC70A7" w:rsidRDefault="00000000">
      <w:pPr>
        <w:rPr>
          <w:rFonts w:hint="eastAsia"/>
        </w:rPr>
      </w:pPr>
      <w:r>
        <w:rPr>
          <w:rFonts w:ascii="Liberation Serif" w:eastAsia="Segoe UI" w:hAnsi="Liberation Serif" w:cs="DejaVu Sans"/>
          <w:i/>
          <w:iCs/>
          <w:color w:val="000000"/>
          <w:lang w:val="en-US" w:eastAsia="en-US" w:bidi="en-US"/>
        </w:rPr>
        <w:t>“O edital poderá prever, para aspectos técnicos específicos, que a qualificação técnica seja demonstrada por meio de atestados relativos a potencial subcontratado, limitado a 25% (vinte e cinco por cento) do objeto a ser licitado, hipótese em que mais de um licitante poderá apresentar atestado relativo ao mesmo potencial subcontratado.”</w:t>
      </w:r>
    </w:p>
  </w:comment>
  <w:comment w:id="23" w:author="Autor" w:date="1900-01-01T00:00:00Z" w:initials="A">
    <w:p w14:paraId="7455E5DC" w14:textId="77777777" w:rsidR="00BC70A7" w:rsidRDefault="00000000">
      <w:pPr>
        <w:rPr>
          <w:rFonts w:hint="eastAsia"/>
        </w:rPr>
      </w:pPr>
      <w:r>
        <w:rPr>
          <w:rFonts w:ascii="Liberation Serif" w:eastAsia="Segoe UI" w:hAnsi="Liberation Serif" w:cs="DejaVu Sans"/>
          <w:b/>
          <w:bCs/>
          <w:i/>
          <w:iCs/>
          <w:color w:val="000000"/>
          <w:lang w:val="en-US" w:eastAsia="en-US" w:bidi="en-US"/>
        </w:rPr>
        <w:t>Nota Explicativa 1:</w:t>
      </w:r>
      <w:r>
        <w:rPr>
          <w:rFonts w:ascii="Liberation Serif" w:eastAsia="Segoe UI" w:hAnsi="Liberation Serif" w:cs="DejaVu Sans"/>
          <w:i/>
          <w:iCs/>
          <w:color w:val="000000"/>
          <w:lang w:val="en-US" w:eastAsia="en-US" w:bidi="en-US"/>
        </w:rPr>
        <w:t xml:space="preserve"> A essência da capacidade operacional é procurar identificar se a futura contratada tem a infraestrutura empresarial e a capacidade de gestão de executar o objeto e, justamente por esse contexto, podem ser feitas exigências de comprovação de anterior execução de quantitativos mínimos (compatíveis com o objeto a ser contratado). Deste modo, é possível que essa comprovação se dê pela somatória de atestados de contratos executados realizados concomitantemente, pois da mesma forma revelam a capacidade operacional da empresa.</w:t>
      </w:r>
    </w:p>
    <w:p w14:paraId="7455E5DD" w14:textId="77777777" w:rsidR="00BC70A7" w:rsidRDefault="00000000">
      <w:pPr>
        <w:rPr>
          <w:rFonts w:hint="eastAsia"/>
        </w:rPr>
      </w:pPr>
      <w:r>
        <w:rPr>
          <w:rFonts w:ascii="Liberation Serif" w:eastAsia="Segoe UI" w:hAnsi="Liberation Serif" w:cs="DejaVu Sans"/>
          <w:i/>
          <w:iCs/>
          <w:color w:val="000000"/>
          <w:lang w:val="en-US" w:eastAsia="en-US" w:bidi="en-US"/>
        </w:rPr>
        <w:t xml:space="preserve">De qualquer forma, é absolutamente fundamental que a exigência seja totalmente objetiva, indicando quantitativos precisos, para evitar dúvidas na hora da habilitação, que podem vir a comprometer o objetivo do processo, de formalizar a contratação. </w:t>
      </w:r>
    </w:p>
    <w:p w14:paraId="7455E5DE" w14:textId="77777777" w:rsidR="00BC70A7" w:rsidRDefault="00000000">
      <w:pPr>
        <w:rPr>
          <w:rFonts w:hint="eastAsia"/>
        </w:rPr>
      </w:pPr>
      <w:r>
        <w:rPr>
          <w:rFonts w:ascii="Liberation Serif" w:eastAsia="Segoe UI" w:hAnsi="Liberation Serif" w:cs="DejaVu Sans"/>
          <w:i/>
          <w:iCs/>
          <w:color w:val="000000"/>
          <w:lang w:val="en-US" w:eastAsia="en-US" w:bidi="en-US"/>
        </w:rPr>
        <w:t xml:space="preserve">Conforme </w:t>
      </w:r>
      <w:r>
        <w:rPr>
          <w:rFonts w:ascii="Liberation Serif" w:eastAsia="Segoe UI" w:hAnsi="Liberation Serif" w:cs="DejaVu Sans"/>
          <w:lang w:val="en-US" w:eastAsia="en-US" w:bidi="en-US"/>
        </w:rPr>
        <w:t>§2º do art. 67 da Lei nº 14.133, de 2021</w:t>
      </w:r>
      <w:r>
        <w:rPr>
          <w:rFonts w:ascii="Liberation Serif" w:eastAsia="Segoe UI" w:hAnsi="Liberation Serif" w:cs="DejaVu Sans"/>
          <w:i/>
          <w:iCs/>
          <w:color w:val="000000"/>
          <w:lang w:val="en-US" w:eastAsia="en-US" w:bidi="en-US"/>
        </w:rPr>
        <w:t xml:space="preserve">, “será admitida a exigência de atestados com quantidades mínimas de até 50% (cinquenta por cento) das parcelas de que trata o referido parágrafo, vedadas limitações de tempo e de locais específicos relativas aos atestados”. Além disso, registre-se que só é possível a exigência de atestado quanto às parcelas de maior relevância, entendidas essas como as que possuem valor individual igual ou superior a 4% do valor total estimado da contratação (art. 67, §1º). </w:t>
      </w:r>
    </w:p>
    <w:p w14:paraId="7455E5DF" w14:textId="77777777" w:rsidR="00BC70A7" w:rsidRDefault="00000000">
      <w:pPr>
        <w:rPr>
          <w:rFonts w:hint="eastAsia"/>
        </w:rPr>
      </w:pPr>
      <w:r>
        <w:rPr>
          <w:rFonts w:ascii="Liberation Serif" w:eastAsia="Segoe UI" w:hAnsi="Liberation Serif" w:cs="DejaVu Sans"/>
          <w:b/>
          <w:bCs/>
          <w:i/>
          <w:iCs/>
          <w:color w:val="000000"/>
          <w:lang w:val="en-US" w:eastAsia="en-US" w:bidi="en-US"/>
        </w:rPr>
        <w:t xml:space="preserve">Nota Explicativa 2: </w:t>
      </w:r>
      <w:r>
        <w:rPr>
          <w:rFonts w:ascii="Liberation Serif" w:eastAsia="Segoe UI" w:hAnsi="Liberation Serif" w:cs="DejaVu Sans"/>
          <w:i/>
          <w:iCs/>
          <w:color w:val="000000"/>
          <w:lang w:val="en-US" w:eastAsia="en-US" w:bidi="en-US"/>
        </w:rPr>
        <w:t xml:space="preserve">Os requisitos de qualificação técnica são aplicáveis a todos os licitantes, inclusive pessoas físicas, conforme inciso I do </w:t>
      </w:r>
      <w:r>
        <w:rPr>
          <w:rFonts w:ascii="Liberation Serif" w:eastAsia="Segoe UI" w:hAnsi="Liberation Serif" w:cs="DejaVu Sans"/>
          <w:lang w:val="en-US" w:eastAsia="en-US" w:bidi="en-US"/>
        </w:rPr>
        <w:t>art. 5º da Instrução Normativa Seges/ME nº 116, de 2021</w:t>
      </w:r>
      <w:r>
        <w:rPr>
          <w:rFonts w:ascii="Liberation Serif" w:eastAsia="Segoe UI" w:hAnsi="Liberation Serif" w:cs="DejaVu Sans"/>
          <w:i/>
          <w:iCs/>
          <w:color w:val="000000"/>
          <w:lang w:val="en-US" w:eastAsia="en-US" w:bidi="en-US"/>
        </w:rPr>
        <w:t>.</w:t>
      </w:r>
    </w:p>
    <w:p w14:paraId="7455E5E0" w14:textId="77777777" w:rsidR="00BC70A7" w:rsidRDefault="00000000">
      <w:pPr>
        <w:rPr>
          <w:rFonts w:hint="eastAsia"/>
        </w:rPr>
      </w:pPr>
      <w:r>
        <w:rPr>
          <w:rFonts w:ascii="Liberation Serif" w:eastAsia="Segoe UI" w:hAnsi="Liberation Serif" w:cs="DejaVu Sans"/>
          <w:b/>
          <w:bCs/>
          <w:i/>
          <w:iCs/>
          <w:color w:val="000000"/>
          <w:lang w:val="en-US" w:eastAsia="en-US" w:bidi="en-US"/>
        </w:rPr>
        <w:t xml:space="preserve">Nota Explicativa 3: </w:t>
      </w:r>
      <w:r>
        <w:rPr>
          <w:rFonts w:ascii="Liberation Serif" w:eastAsia="Segoe UI" w:hAnsi="Liberation Serif" w:cs="DejaVu Sans"/>
          <w:i/>
          <w:iCs/>
          <w:color w:val="000000"/>
          <w:lang w:val="en-US" w:eastAsia="en-US" w:bidi="en-US"/>
        </w:rPr>
        <w:t xml:space="preserve">Caso seja permitida a subcontratação de fornecimento com aspectos técnicos específicos, poderá ser admitida a apresentação de atestados relativos a potencial subcontratado, limitado a 25% do objeto licitado, conforme </w:t>
      </w:r>
      <w:r>
        <w:rPr>
          <w:rFonts w:ascii="Liberation Serif" w:eastAsia="Segoe UI" w:hAnsi="Liberation Serif" w:cs="DejaVu Sans"/>
          <w:lang w:val="en-US" w:eastAsia="en-US" w:bidi="en-US"/>
        </w:rPr>
        <w:t>art. 67, §9º da Lei nº 14.133, de 2021.</w:t>
      </w:r>
    </w:p>
    <w:p w14:paraId="7455E5E1" w14:textId="77777777" w:rsidR="00BC70A7" w:rsidRDefault="00000000">
      <w:pPr>
        <w:rPr>
          <w:rFonts w:hint="eastAsia"/>
        </w:rPr>
      </w:pPr>
      <w:r>
        <w:rPr>
          <w:rFonts w:ascii="Liberation Serif" w:eastAsia="Segoe UI" w:hAnsi="Liberation Serif" w:cs="DejaVu Sans"/>
          <w:b/>
          <w:bCs/>
          <w:i/>
          <w:iCs/>
          <w:color w:val="000000"/>
          <w:lang w:val="en-US" w:eastAsia="en-US" w:bidi="en-US"/>
        </w:rPr>
        <w:t xml:space="preserve">Em sendo esse o caso do processo, recomenda-se inserir a seguinte disposição: </w:t>
      </w:r>
    </w:p>
    <w:p w14:paraId="7455E5E2" w14:textId="77777777" w:rsidR="00BC70A7" w:rsidRDefault="00000000">
      <w:pPr>
        <w:rPr>
          <w:rFonts w:hint="eastAsia"/>
        </w:rPr>
      </w:pPr>
      <w:r>
        <w:rPr>
          <w:rFonts w:ascii="Liberation Serif" w:eastAsia="Segoe UI" w:hAnsi="Liberation Serif" w:cs="DejaVu Sans"/>
          <w:b/>
          <w:bCs/>
          <w:i/>
          <w:iCs/>
          <w:color w:val="000000"/>
          <w:lang w:val="en-US" w:eastAsia="en-US" w:bidi="en-US"/>
        </w:rPr>
        <w:t>8.31.x: Será admitida a apresentação de atestados relativos a potencial subcontratado em relação à parcela do fornecimento de.... ..., cuja subcontratação foi expressamente autorizada no tópico pertinente.</w:t>
      </w:r>
    </w:p>
  </w:comment>
  <w:comment w:id="24" w:author="Autor" w:date="1900-01-01T00:00:00Z" w:initials="A">
    <w:p w14:paraId="7455E5E3" w14:textId="77777777" w:rsidR="00BC70A7" w:rsidRDefault="00000000">
      <w:pPr>
        <w:rPr>
          <w:rFonts w:hint="eastAsia"/>
        </w:rPr>
      </w:pPr>
      <w:r>
        <w:rPr>
          <w:rFonts w:ascii="Liberation Serif" w:eastAsia="Segoe UI" w:hAnsi="Liberation Serif" w:cs="DejaVu Sans"/>
          <w:b/>
          <w:bCs/>
          <w:i/>
          <w:iCs/>
          <w:color w:val="000000"/>
          <w:lang w:val="en-US" w:eastAsia="en-US" w:bidi="en-US"/>
        </w:rPr>
        <w:t>Nota Explicativa:</w:t>
      </w:r>
      <w:r>
        <w:rPr>
          <w:rFonts w:ascii="Liberation Serif" w:eastAsia="Segoe UI" w:hAnsi="Liberation Serif" w:cs="DejaVu Sans"/>
          <w:i/>
          <w:iCs/>
          <w:color w:val="000000"/>
          <w:lang w:val="en-US" w:eastAsia="en-US" w:bidi="en-US"/>
        </w:rPr>
        <w:t xml:space="preserve"> Nesse sentido, o </w:t>
      </w:r>
      <w:r>
        <w:rPr>
          <w:rFonts w:ascii="Liberation Serif" w:eastAsia="Segoe UI" w:hAnsi="Liberation Serif" w:cs="DejaVu Sans"/>
          <w:lang w:val="en-US" w:eastAsia="en-US" w:bidi="en-US"/>
        </w:rPr>
        <w:t>Parecer n. 00005/2021/CNMLC/CGU/AGU</w:t>
      </w:r>
      <w:r>
        <w:rPr>
          <w:rFonts w:ascii="Liberation Serif" w:eastAsia="Segoe UI" w:hAnsi="Liberation Serif" w:cs="DejaVu Sans"/>
          <w:i/>
          <w:iCs/>
          <w:color w:val="000000"/>
          <w:lang w:val="en-US" w:eastAsia="en-US" w:bidi="en-US"/>
        </w:rPr>
        <w:t xml:space="preserve"> fixou que “se a filial pode até mesmo executar uma contratação formalizada com a matriz, não restam motivos para entender que os atestados de capacitação técnica emitidos em favor de uma não possam ser aproveitados pela outra, haja vista serem ambas rigorosamente a mesma empresa.” Vale observar que referido entendimento se inspirou na </w:t>
      </w:r>
      <w:r>
        <w:rPr>
          <w:rFonts w:ascii="Liberation Serif" w:eastAsia="Segoe UI" w:hAnsi="Liberation Serif" w:cs="DejaVu Sans"/>
          <w:lang w:val="en-US" w:eastAsia="en-US" w:bidi="en-US"/>
        </w:rPr>
        <w:t>ORIENTAÇÃO NORMATIVA Nº 66, DE 29 DE MAIO DE 2020.</w:t>
      </w:r>
    </w:p>
  </w:comment>
  <w:comment w:id="25" w:author="Autor" w:date="1900-01-01T00:00:00Z" w:initials="A">
    <w:p w14:paraId="7455E5E4" w14:textId="77777777" w:rsidR="00BC70A7" w:rsidRDefault="00000000">
      <w:pPr>
        <w:rPr>
          <w:rFonts w:hint="eastAsia"/>
        </w:rPr>
      </w:pPr>
      <w:r>
        <w:rPr>
          <w:rFonts w:ascii="Liberation Serif" w:eastAsia="Segoe UI" w:hAnsi="Liberation Serif" w:cs="DejaVu Sans"/>
          <w:b/>
          <w:bCs/>
          <w:i/>
          <w:iCs/>
          <w:color w:val="000000"/>
          <w:lang w:val="en-US" w:eastAsia="en-US" w:bidi="en-US"/>
        </w:rPr>
        <w:t xml:space="preserve">Nota Explicativa 1: </w:t>
      </w:r>
      <w:r>
        <w:rPr>
          <w:rFonts w:ascii="Liberation Serif" w:eastAsia="Segoe UI" w:hAnsi="Liberation Serif" w:cs="DejaVu Sans"/>
          <w:i/>
          <w:iCs/>
          <w:color w:val="000000"/>
          <w:lang w:val="en-US" w:eastAsia="en-US" w:bidi="en-US"/>
        </w:rPr>
        <w:t xml:space="preserve">Pesquisa de Preços - A estimativa de preços deve ser precedida de regular pesquisa, nos moldes do </w:t>
      </w:r>
      <w:r>
        <w:rPr>
          <w:rFonts w:ascii="Liberation Serif" w:eastAsia="Segoe UI" w:hAnsi="Liberation Serif" w:cs="DejaVu Sans"/>
          <w:lang w:val="en-US" w:eastAsia="en-US" w:bidi="en-US"/>
        </w:rPr>
        <w:t>art. 23 da Lei nº 14.133, de 2021</w:t>
      </w:r>
      <w:r>
        <w:rPr>
          <w:rFonts w:ascii="Liberation Serif" w:eastAsia="Segoe UI" w:hAnsi="Liberation Serif" w:cs="DejaVu Sans"/>
          <w:i/>
          <w:iCs/>
          <w:color w:val="000000"/>
          <w:lang w:val="en-US" w:eastAsia="en-US" w:bidi="en-US"/>
        </w:rPr>
        <w:t xml:space="preserve">, e da </w:t>
      </w:r>
      <w:r>
        <w:rPr>
          <w:rFonts w:ascii="Liberation Serif" w:eastAsia="Segoe UI" w:hAnsi="Liberation Serif" w:cs="DejaVu Sans"/>
          <w:lang w:val="en-US" w:eastAsia="en-US" w:bidi="en-US"/>
        </w:rPr>
        <w:t>Instrução Normativa SEGES/ME nº 65, de 7 de julho 2021.</w:t>
      </w:r>
    </w:p>
    <w:p w14:paraId="7455E5E5" w14:textId="77777777" w:rsidR="00BC70A7" w:rsidRDefault="00000000">
      <w:pPr>
        <w:rPr>
          <w:rFonts w:hint="eastAsia"/>
        </w:rPr>
      </w:pPr>
      <w:r>
        <w:rPr>
          <w:rFonts w:ascii="Liberation Serif" w:eastAsia="Segoe UI" w:hAnsi="Liberation Serif" w:cs="DejaVu Sans"/>
          <w:b/>
          <w:bCs/>
          <w:i/>
          <w:iCs/>
          <w:lang w:val="en-US" w:eastAsia="en-US" w:bidi="en-US"/>
        </w:rPr>
        <w:t>Nota Explicativa 2:</w:t>
      </w:r>
      <w:r>
        <w:rPr>
          <w:rFonts w:ascii="Liberation Serif" w:eastAsia="Segoe UI" w:hAnsi="Liberation Serif" w:cs="DejaVu Sans"/>
          <w:i/>
          <w:iCs/>
          <w:lang w:val="en-US" w:eastAsia="en-US" w:bidi="en-US"/>
        </w:rPr>
        <w:t xml:space="preserve"> Os preços unitários referenciais, as memórias de cálculo e os documentos que lhe dão suporte, com os parâmetros utilizados para a obtenção dos preços e para os respectivos cálculos, devem constar de anexo ao termo de referência,</w:t>
      </w:r>
      <w:r>
        <w:rPr>
          <w:rFonts w:ascii="Liberation Serif" w:eastAsia="Segoe UI" w:hAnsi="Liberation Serif" w:cs="DejaVu Sans"/>
          <w:i/>
          <w:iCs/>
          <w:color w:val="FF0000"/>
          <w:lang w:val="en-US" w:eastAsia="en-US" w:bidi="en-US"/>
        </w:rPr>
        <w:t xml:space="preserve"> </w:t>
      </w:r>
      <w:r>
        <w:rPr>
          <w:rFonts w:ascii="Liberation Serif" w:eastAsia="Segoe UI" w:hAnsi="Liberation Serif" w:cs="DejaVu Sans"/>
          <w:i/>
          <w:iCs/>
          <w:lang w:val="en-US" w:eastAsia="en-US" w:bidi="en-US"/>
        </w:rPr>
        <w:t xml:space="preserve">nos termos do </w:t>
      </w:r>
      <w:r>
        <w:rPr>
          <w:rFonts w:ascii="Liberation Serif" w:eastAsia="Segoe UI" w:hAnsi="Liberation Serif" w:cs="DejaVu Sans"/>
          <w:lang w:val="en-US" w:eastAsia="en-US" w:bidi="en-US"/>
        </w:rPr>
        <w:t>art. 9º, IX, da Instrução Normativa Seges/ME nº 81, de 2022</w:t>
      </w:r>
      <w:r>
        <w:rPr>
          <w:rFonts w:ascii="Liberation Serif" w:eastAsia="Segoe UI" w:hAnsi="Liberation Serif" w:cs="DejaVu Sans"/>
          <w:i/>
          <w:iCs/>
          <w:lang w:val="en-US" w:eastAsia="en-US" w:bidi="en-US"/>
        </w:rPr>
        <w:t xml:space="preserve">. Caso a Administração opte por preservar o sigilo da estimativa do valor da contratação, também deverá ser preservado o sigilo desse anexo. </w:t>
      </w:r>
    </w:p>
    <w:p w14:paraId="7455E5E6" w14:textId="77777777" w:rsidR="00BC70A7" w:rsidRDefault="00000000">
      <w:pPr>
        <w:rPr>
          <w:rFonts w:hint="eastAsia"/>
        </w:rPr>
      </w:pPr>
      <w:r>
        <w:rPr>
          <w:rFonts w:ascii="Liberation Serif" w:eastAsia="Segoe UI" w:hAnsi="Liberation Serif" w:cs="DejaVu Sans"/>
          <w:b/>
          <w:bCs/>
          <w:i/>
          <w:iCs/>
          <w:lang w:val="en-US" w:eastAsia="en-US" w:bidi="en-US"/>
        </w:rPr>
        <w:t xml:space="preserve">Nota Explicativa 3: </w:t>
      </w:r>
      <w:r>
        <w:rPr>
          <w:rFonts w:ascii="Liberation Serif" w:eastAsia="Segoe UI" w:hAnsi="Liberation Serif" w:cs="DejaVu Sans"/>
          <w:i/>
          <w:iCs/>
          <w:lang w:val="en-US" w:eastAsia="en-US" w:bidi="en-US"/>
        </w:rPr>
        <w:t>Utilizar a redação do item 9.1 na hipótese de licitação em que for adotado o critério de julgamento por menor preço, sem caráter sigiloso.</w:t>
      </w:r>
    </w:p>
  </w:comment>
  <w:comment w:id="26" w:author="Autor" w:date="1900-01-01T00:00:00Z" w:initials="A">
    <w:p w14:paraId="7455E5E7" w14:textId="77777777" w:rsidR="00BC70A7" w:rsidRDefault="00000000">
      <w:pPr>
        <w:rPr>
          <w:rFonts w:hint="eastAsia"/>
        </w:rPr>
      </w:pPr>
      <w:r>
        <w:rPr>
          <w:rFonts w:ascii="Liberation Serif" w:eastAsia="Segoe UI" w:hAnsi="Liberation Serif" w:cs="DejaVu Sans"/>
          <w:b/>
          <w:bCs/>
          <w:i/>
          <w:iCs/>
          <w:lang w:val="en-US" w:eastAsia="en-US" w:bidi="en-US"/>
        </w:rPr>
        <w:t>Nota Explicativa:</w:t>
      </w:r>
      <w:r>
        <w:rPr>
          <w:rFonts w:ascii="Liberation Serif" w:eastAsia="Segoe UI" w:hAnsi="Liberation Serif" w:cs="DejaVu Sans"/>
          <w:i/>
          <w:iCs/>
          <w:lang w:val="en-US" w:eastAsia="en-US" w:bidi="en-US"/>
        </w:rPr>
        <w:t xml:space="preserve"> </w:t>
      </w:r>
      <w:r>
        <w:rPr>
          <w:rFonts w:ascii="Liberation Serif" w:eastAsia="Segoe UI" w:hAnsi="Liberation Serif" w:cs="DejaVu Sans"/>
          <w:i/>
          <w:iCs/>
          <w:color w:val="000000"/>
          <w:lang w:val="en-US" w:eastAsia="en-US" w:bidi="en-US"/>
        </w:rPr>
        <w:t>Em caso de utilização de matriz de alocação de risco, o custo estimado da contratação deve levar em consideração o conjunto de riscos alocados ao contratado, o que naturalmente implicará elevação no custo da contratação (cf. art. 22, caput, e art. 103, §3º, ambos da Lei n. 14.133, de 2021).</w:t>
      </w:r>
    </w:p>
  </w:comment>
  <w:comment w:id="28" w:author="Autor" w:date="1900-01-01T00:00:00Z" w:initials="A">
    <w:p w14:paraId="7455E5E8" w14:textId="77777777" w:rsidR="00BC70A7" w:rsidRDefault="00000000">
      <w:pPr>
        <w:rPr>
          <w:rFonts w:hint="eastAsia"/>
        </w:rPr>
      </w:pPr>
      <w:r>
        <w:rPr>
          <w:rFonts w:ascii="Liberation Serif" w:eastAsia="Segoe UI" w:hAnsi="Liberation Serif" w:cs="DejaVu Sans"/>
          <w:b/>
          <w:bCs/>
          <w:i/>
          <w:iCs/>
          <w:color w:val="000000"/>
          <w:lang w:val="en-US" w:eastAsia="en-US" w:bidi="en-US"/>
        </w:rPr>
        <w:t xml:space="preserve">Nota Explicativa: </w:t>
      </w:r>
      <w:r>
        <w:rPr>
          <w:rFonts w:ascii="Liberation Serif" w:eastAsia="Segoe UI" w:hAnsi="Liberation Serif" w:cs="DejaVu Sans"/>
          <w:i/>
          <w:iCs/>
          <w:color w:val="000000"/>
          <w:lang w:val="en-US" w:eastAsia="en-US" w:bidi="en-US"/>
        </w:rPr>
        <w:t xml:space="preserve">O art. 106, II da </w:t>
      </w:r>
      <w:r>
        <w:rPr>
          <w:rFonts w:ascii="Liberation Serif" w:eastAsia="Segoe UI" w:hAnsi="Liberation Serif" w:cs="DejaVu Sans"/>
          <w:lang w:val="en-US" w:eastAsia="en-US" w:bidi="en-US"/>
        </w:rPr>
        <w:t>Lei nº 14.133, de 2021</w:t>
      </w:r>
      <w:r>
        <w:rPr>
          <w:rFonts w:ascii="Liberation Serif" w:eastAsia="Segoe UI" w:hAnsi="Liberation Serif" w:cs="DejaVu Sans"/>
          <w:i/>
          <w:iCs/>
          <w:color w:val="000000"/>
          <w:lang w:val="en-US" w:eastAsia="en-US" w:bidi="en-US"/>
        </w:rPr>
        <w:t>, prevê para contratações de serviços e fornecimento continuado que a “a Administração deverá atestar, no início da contratação e de cada exercício, a existência de créditos orçamentários vinculados à contratação e a vantagem em sua manutenção”. Quanto à rescisão contratual por ausência de crédito ou vantajosidade (art. 106, III), remete-se às regras específicas constantes do contrato, inclusive em relação à aplicação do art. 106, §1º.</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55E5AA" w15:done="0"/>
  <w15:commentEx w15:paraId="7455E5AB" w15:done="0"/>
  <w15:commentEx w15:paraId="7455E5BB" w15:done="0"/>
  <w15:commentEx w15:paraId="7455E5BC" w15:done="0"/>
  <w15:commentEx w15:paraId="7455E5BD" w15:done="0"/>
  <w15:commentEx w15:paraId="7455E5BE" w15:done="0"/>
  <w15:commentEx w15:paraId="7455E5BF" w15:done="0"/>
  <w15:commentEx w15:paraId="7455E5C0" w15:done="0"/>
  <w15:commentEx w15:paraId="7455E5C1" w15:done="0"/>
  <w15:commentEx w15:paraId="7455E5C6" w15:done="0"/>
  <w15:commentEx w15:paraId="7455E5C9" w15:done="0"/>
  <w15:commentEx w15:paraId="7455E5CC" w15:done="0"/>
  <w15:commentEx w15:paraId="7455E5CD" w15:done="0"/>
  <w15:commentEx w15:paraId="7455E5CE" w15:done="0"/>
  <w15:commentEx w15:paraId="7455E5CF" w15:done="0"/>
  <w15:commentEx w15:paraId="7455E5D1" w15:done="0"/>
  <w15:commentEx w15:paraId="7455E5D2" w15:done="0"/>
  <w15:commentEx w15:paraId="7455E5D5" w15:done="0"/>
  <w15:commentEx w15:paraId="7455E5D6" w15:done="0"/>
  <w15:commentEx w15:paraId="7455E5DB" w15:done="0"/>
  <w15:commentEx w15:paraId="7455E5E2" w15:done="0"/>
  <w15:commentEx w15:paraId="7455E5E3" w15:done="0"/>
  <w15:commentEx w15:paraId="7455E5E6" w15:done="0"/>
  <w15:commentEx w15:paraId="7455E5E7" w15:done="0"/>
  <w15:commentEx w15:paraId="7455E5E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55E5AA" w16cid:durableId="286B9F41"/>
  <w16cid:commentId w16cid:paraId="7455E5AB" w16cid:durableId="286B9F42"/>
  <w16cid:commentId w16cid:paraId="7455E5BB" w16cid:durableId="286B9F43"/>
  <w16cid:commentId w16cid:paraId="7455E5BC" w16cid:durableId="286B9F44"/>
  <w16cid:commentId w16cid:paraId="7455E5BD" w16cid:durableId="286B9F45"/>
  <w16cid:commentId w16cid:paraId="7455E5BE" w16cid:durableId="286B9F46"/>
  <w16cid:commentId w16cid:paraId="7455E5BF" w16cid:durableId="286B9F47"/>
  <w16cid:commentId w16cid:paraId="7455E5C0" w16cid:durableId="286B9F48"/>
  <w16cid:commentId w16cid:paraId="7455E5C1" w16cid:durableId="286B9F49"/>
  <w16cid:commentId w16cid:paraId="7455E5C6" w16cid:durableId="286B9F4A"/>
  <w16cid:commentId w16cid:paraId="7455E5C9" w16cid:durableId="286B9F4B"/>
  <w16cid:commentId w16cid:paraId="7455E5CC" w16cid:durableId="286B9F4C"/>
  <w16cid:commentId w16cid:paraId="7455E5CD" w16cid:durableId="286B9F4D"/>
  <w16cid:commentId w16cid:paraId="7455E5CE" w16cid:durableId="286B9F4E"/>
  <w16cid:commentId w16cid:paraId="7455E5CF" w16cid:durableId="286B9F4F"/>
  <w16cid:commentId w16cid:paraId="7455E5D1" w16cid:durableId="286B9F50"/>
  <w16cid:commentId w16cid:paraId="7455E5D2" w16cid:durableId="286B9F51"/>
  <w16cid:commentId w16cid:paraId="7455E5D5" w16cid:durableId="286B9F52"/>
  <w16cid:commentId w16cid:paraId="7455E5D6" w16cid:durableId="286B9F53"/>
  <w16cid:commentId w16cid:paraId="7455E5DB" w16cid:durableId="286B9F54"/>
  <w16cid:commentId w16cid:paraId="7455E5E2" w16cid:durableId="286B9F55"/>
  <w16cid:commentId w16cid:paraId="7455E5E3" w16cid:durableId="286B9F56"/>
  <w16cid:commentId w16cid:paraId="7455E5E6" w16cid:durableId="286B9F57"/>
  <w16cid:commentId w16cid:paraId="7455E5E7" w16cid:durableId="286B9F58"/>
  <w16cid:commentId w16cid:paraId="7455E5E8" w16cid:durableId="286B9F5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9AD18" w14:textId="77777777" w:rsidR="009D0232" w:rsidRDefault="009D0232">
      <w:pPr>
        <w:rPr>
          <w:rFonts w:hint="eastAsia"/>
        </w:rPr>
      </w:pPr>
      <w:r>
        <w:separator/>
      </w:r>
    </w:p>
  </w:endnote>
  <w:endnote w:type="continuationSeparator" w:id="0">
    <w:p w14:paraId="2C9451F7" w14:textId="77777777" w:rsidR="009D0232" w:rsidRDefault="009D023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Ecofont_Spranq_eco_Sans">
    <w:altName w:val="Cambria"/>
    <w:charset w:val="01"/>
    <w:family w:val="roman"/>
    <w:pitch w:val="variable"/>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altName w:val="Times New Roman"/>
    <w:panose1 w:val="02020603050405020304"/>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jaVu Sans">
    <w:panose1 w:val="020B0603030804020204"/>
    <w:charset w:val="00"/>
    <w:family w:val="swiss"/>
    <w:pitch w:val="variable"/>
    <w:sig w:usb0="E7002EFF" w:usb1="D200FDFF" w:usb2="0A246029" w:usb3="00000000" w:csb0="000001FF" w:csb1="00000000"/>
  </w:font>
  <w:font w:name="Rawline">
    <w:altName w:val="Cambria"/>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5E5EA" w14:textId="77777777" w:rsidR="00BC70A7" w:rsidRDefault="00000000">
    <w:pPr>
      <w:pStyle w:val="Rodap"/>
      <w:rPr>
        <w:rFonts w:hint="eastAsia"/>
      </w:rPr>
    </w:pPr>
    <w:r>
      <w:rPr>
        <w:color w:val="7F7F7F" w:themeColor="text1" w:themeTint="80"/>
        <w:spacing w:val="60"/>
        <w:sz w:val="22"/>
        <w:szCs w:val="22"/>
      </w:rPr>
      <w:tab/>
    </w:r>
    <w:r>
      <w:rPr>
        <w:color w:val="7F7F7F" w:themeColor="text1" w:themeTint="80"/>
        <w:spacing w:val="60"/>
        <w:sz w:val="22"/>
        <w:szCs w:val="22"/>
      </w:rPr>
      <w:tab/>
    </w:r>
    <w:r>
      <w:rPr>
        <w:color w:val="595959" w:themeColor="text1" w:themeTint="A6"/>
        <w:spacing w:val="60"/>
        <w:sz w:val="22"/>
        <w:szCs w:val="22"/>
      </w:rPr>
      <w:t>Página</w:t>
    </w:r>
    <w:r>
      <w:rPr>
        <w:color w:val="595959" w:themeColor="text1" w:themeTint="A6"/>
        <w:sz w:val="22"/>
        <w:szCs w:val="22"/>
      </w:rPr>
      <w:t xml:space="preserve"> </w:t>
    </w:r>
    <w:r>
      <w:rPr>
        <w:sz w:val="22"/>
        <w:szCs w:val="22"/>
        <w:shd w:val="clear" w:color="auto" w:fill="E6E6E6"/>
      </w:rPr>
      <w:fldChar w:fldCharType="begin"/>
    </w:r>
    <w:r>
      <w:rPr>
        <w:sz w:val="22"/>
        <w:szCs w:val="22"/>
        <w:shd w:val="clear" w:color="auto" w:fill="E6E6E6"/>
      </w:rPr>
      <w:instrText>PAGE</w:instrText>
    </w:r>
    <w:r>
      <w:rPr>
        <w:sz w:val="22"/>
        <w:szCs w:val="22"/>
        <w:shd w:val="clear" w:color="auto" w:fill="E6E6E6"/>
      </w:rPr>
      <w:fldChar w:fldCharType="separate"/>
    </w:r>
    <w:r>
      <w:rPr>
        <w:sz w:val="22"/>
        <w:szCs w:val="22"/>
        <w:shd w:val="clear" w:color="auto" w:fill="E6E6E6"/>
      </w:rPr>
      <w:t>10</w:t>
    </w:r>
    <w:r>
      <w:rPr>
        <w:sz w:val="22"/>
        <w:szCs w:val="22"/>
        <w:shd w:val="clear" w:color="auto" w:fill="E6E6E6"/>
      </w:rPr>
      <w:fldChar w:fldCharType="end"/>
    </w:r>
    <w:r>
      <w:rPr>
        <w:color w:val="595959" w:themeColor="text1" w:themeTint="A6"/>
        <w:sz w:val="22"/>
        <w:szCs w:val="22"/>
      </w:rPr>
      <w:t xml:space="preserve"> | </w:t>
    </w:r>
    <w:r>
      <w:rPr>
        <w:sz w:val="22"/>
        <w:szCs w:val="22"/>
        <w:shd w:val="clear" w:color="auto" w:fill="E6E6E6"/>
      </w:rPr>
      <w:fldChar w:fldCharType="begin"/>
    </w:r>
    <w:r>
      <w:rPr>
        <w:sz w:val="22"/>
        <w:szCs w:val="22"/>
        <w:shd w:val="clear" w:color="auto" w:fill="E6E6E6"/>
      </w:rPr>
      <w:instrText>NUMPAGES</w:instrText>
    </w:r>
    <w:r>
      <w:rPr>
        <w:sz w:val="22"/>
        <w:szCs w:val="22"/>
        <w:shd w:val="clear" w:color="auto" w:fill="E6E6E6"/>
      </w:rPr>
      <w:fldChar w:fldCharType="separate"/>
    </w:r>
    <w:r>
      <w:rPr>
        <w:sz w:val="22"/>
        <w:szCs w:val="22"/>
        <w:shd w:val="clear" w:color="auto" w:fill="E6E6E6"/>
      </w:rPr>
      <w:t>10</w:t>
    </w:r>
    <w:r>
      <w:rPr>
        <w:sz w:val="22"/>
        <w:szCs w:val="22"/>
        <w:shd w:val="clear" w:color="auto" w:fill="E6E6E6"/>
      </w:rPr>
      <w:fldChar w:fldCharType="end"/>
    </w:r>
  </w:p>
  <w:p w14:paraId="7455E5EB" w14:textId="77777777" w:rsidR="00BC70A7" w:rsidRDefault="00000000">
    <w:pPr>
      <w:pStyle w:val="Rodap"/>
      <w:rPr>
        <w:rFonts w:ascii="Rawline" w:hAnsi="Rawline" w:cs="Arial" w:hint="eastAsia"/>
        <w:sz w:val="12"/>
      </w:rPr>
    </w:pPr>
    <w:r>
      <w:rPr>
        <w:rFonts w:ascii="Rawline" w:hAnsi="Rawline" w:cs="Arial"/>
        <w:sz w:val="12"/>
      </w:rPr>
      <w:t>Câmara Nacional de Modelos de Licitações e Contratos da Consultoria-Geral da União</w:t>
    </w:r>
  </w:p>
  <w:p w14:paraId="7455E5EC" w14:textId="77777777" w:rsidR="00BC70A7" w:rsidRDefault="00000000">
    <w:pPr>
      <w:pStyle w:val="Rodap"/>
      <w:rPr>
        <w:rFonts w:ascii="Rawline" w:hAnsi="Rawline" w:cs="Arial" w:hint="eastAsia"/>
        <w:sz w:val="12"/>
      </w:rPr>
    </w:pPr>
    <w:r>
      <w:rPr>
        <w:rFonts w:ascii="Rawline" w:hAnsi="Rawline" w:cs="Arial"/>
        <w:sz w:val="12"/>
      </w:rPr>
      <w:t>Atualização: maio/2023</w:t>
    </w:r>
  </w:p>
  <w:p w14:paraId="7455E5ED" w14:textId="77777777" w:rsidR="00BC70A7" w:rsidRDefault="00000000">
    <w:pPr>
      <w:pStyle w:val="Rodap"/>
      <w:rPr>
        <w:rFonts w:ascii="Rawline" w:hAnsi="Rawline" w:hint="eastAsia"/>
        <w:color w:val="0F243E" w:themeColor="text2" w:themeShade="80"/>
        <w:sz w:val="22"/>
        <w:szCs w:val="22"/>
      </w:rPr>
    </w:pPr>
    <w:r>
      <w:rPr>
        <w:rFonts w:ascii="Rawline" w:hAnsi="Rawline" w:cs="Arial"/>
        <w:sz w:val="12"/>
        <w:szCs w:val="12"/>
      </w:rPr>
      <w:t>Termo de Referência Aquisições – Licitação - Modelo para Pregão Eletrônico</w:t>
    </w:r>
    <w:r>
      <w:rPr>
        <w:rFonts w:ascii="Rawline" w:hAnsi="Rawline" w:cs="Arial"/>
        <w:sz w:val="12"/>
        <w:szCs w:val="12"/>
      </w:rPr>
      <w:tab/>
    </w:r>
    <w:r>
      <w:rPr>
        <w:rFonts w:ascii="Rawline" w:hAnsi="Rawline" w:cs="Arial"/>
        <w:sz w:val="12"/>
        <w:szCs w:val="12"/>
      </w:rPr>
      <w:tab/>
    </w:r>
  </w:p>
  <w:p w14:paraId="7455E5EE" w14:textId="77777777" w:rsidR="00BC70A7" w:rsidRDefault="00000000">
    <w:pPr>
      <w:pStyle w:val="Rodap"/>
      <w:rPr>
        <w:rFonts w:ascii="Rawline" w:hAnsi="Rawline" w:hint="eastAsia"/>
        <w:sz w:val="12"/>
        <w:szCs w:val="12"/>
      </w:rPr>
    </w:pPr>
    <w:r>
      <w:rPr>
        <w:rFonts w:ascii="Rawline" w:hAnsi="Rawline"/>
        <w:sz w:val="12"/>
        <w:szCs w:val="12"/>
      </w:rPr>
      <w:t>Aprovado pela Secretaria de Gestão.</w:t>
    </w:r>
  </w:p>
  <w:p w14:paraId="7455E5EF" w14:textId="77777777" w:rsidR="00BC70A7" w:rsidRDefault="00000000">
    <w:pPr>
      <w:pStyle w:val="Rodap"/>
      <w:rPr>
        <w:rFonts w:ascii="Rawline" w:hAnsi="Rawline" w:hint="eastAsia"/>
      </w:rPr>
    </w:pPr>
    <w:r>
      <w:rPr>
        <w:rFonts w:ascii="Rawline" w:hAnsi="Rawline"/>
        <w:sz w:val="12"/>
        <w:szCs w:val="12"/>
      </w:rPr>
      <w:t>Identidade visual pela Secretaria de Gestão (versão dezembro/2022)</w:t>
    </w:r>
  </w:p>
  <w:p w14:paraId="7455E5F0" w14:textId="77777777" w:rsidR="00BC70A7" w:rsidRDefault="00BC70A7">
    <w:pPr>
      <w:pStyle w:val="Rodap"/>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2C730" w14:textId="77777777" w:rsidR="009D0232" w:rsidRDefault="009D0232">
      <w:pPr>
        <w:rPr>
          <w:rFonts w:hint="eastAsia"/>
        </w:rPr>
      </w:pPr>
      <w:r>
        <w:separator/>
      </w:r>
    </w:p>
  </w:footnote>
  <w:footnote w:type="continuationSeparator" w:id="0">
    <w:p w14:paraId="0E1420B3" w14:textId="77777777" w:rsidR="009D0232" w:rsidRDefault="009D0232">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5E5E9" w14:textId="77777777" w:rsidR="00BC70A7" w:rsidRDefault="00000000">
    <w:pPr>
      <w:pStyle w:val="Cabealho"/>
      <w:jc w:val="right"/>
      <w:rPr>
        <w:rFonts w:hint="eastAsia"/>
      </w:rPr>
    </w:pPr>
    <w:r>
      <w:rPr>
        <w:rFonts w:ascii="Arial" w:hAnsi="Arial" w:cs="Arial"/>
        <w:sz w:val="20"/>
        <w:szCs w:val="20"/>
      </w:rPr>
      <w:t>TERMO DE REFERÊNCIA - AQUISIÇÕES - LICITAÇÃO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73F9A"/>
    <w:multiLevelType w:val="multilevel"/>
    <w:tmpl w:val="566CE82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1E2E0B82"/>
    <w:multiLevelType w:val="multilevel"/>
    <w:tmpl w:val="51EE6EE2"/>
    <w:lvl w:ilvl="0">
      <w:start w:val="1"/>
      <w:numFmt w:val="decimal"/>
      <w:lvlText w:val="%1."/>
      <w:lvlJc w:val="left"/>
      <w:pPr>
        <w:ind w:left="360" w:hanging="360"/>
      </w:pPr>
      <w:rPr>
        <w:rFonts w:ascii="Calibri" w:hAnsi="Calibri"/>
        <w:b/>
        <w:sz w:val="24"/>
      </w:rPr>
    </w:lvl>
    <w:lvl w:ilvl="1">
      <w:start w:val="1"/>
      <w:numFmt w:val="decimal"/>
      <w:lvlText w:val="%1.%2."/>
      <w:lvlJc w:val="left"/>
      <w:pPr>
        <w:ind w:left="999" w:hanging="432"/>
      </w:pPr>
      <w:rPr>
        <w:rFonts w:ascii="Calibri" w:hAnsi="Calibri"/>
        <w:b w:val="0"/>
        <w:i w:val="0"/>
        <w:strike w:val="0"/>
        <w:dstrike w:val="0"/>
        <w:color w:val="auto"/>
        <w:sz w:val="24"/>
        <w:szCs w:val="20"/>
        <w:u w:val="none"/>
      </w:rPr>
    </w:lvl>
    <w:lvl w:ilvl="2">
      <w:start w:val="1"/>
      <w:numFmt w:val="decimal"/>
      <w:lvlText w:val="%1.%2.%3."/>
      <w:lvlJc w:val="left"/>
      <w:pPr>
        <w:ind w:left="1781" w:hanging="504"/>
      </w:pPr>
      <w:rPr>
        <w:rFonts w:ascii="Calibri" w:hAnsi="Calibri"/>
        <w:b w:val="0"/>
        <w:i w:val="0"/>
        <w:strike w:val="0"/>
        <w:dstrike w:val="0"/>
        <w:color w:val="auto"/>
        <w:sz w:val="24"/>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34675286">
    <w:abstractNumId w:val="1"/>
  </w:num>
  <w:num w:numId="2" w16cid:durableId="6887233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0A7"/>
    <w:rsid w:val="009D0232"/>
    <w:rsid w:val="00BA6F9A"/>
    <w:rsid w:val="00BC70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5E494"/>
  <w15:docId w15:val="{C89A1872-1AF9-4BA2-901A-7F24B7A93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CitaoChar">
    <w:name w:val="Citação Char"/>
    <w:link w:val="Citao"/>
    <w:qFormat/>
    <w:rsid w:val="00080B53"/>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character" w:customStyle="1" w:styleId="CabealhoChar">
    <w:name w:val="Cabeçalho Char"/>
    <w:link w:val="Cabealho"/>
    <w:uiPriority w:val="99"/>
    <w:qFormat/>
    <w:rsid w:val="00CA24FB"/>
    <w:rPr>
      <w:rFonts w:ascii="Ecofont_Spranq_eco_Sans" w:hAnsi="Ecofont_Spranq_eco_Sans" w:cs="Tahoma"/>
      <w:sz w:val="24"/>
      <w:szCs w:val="24"/>
    </w:r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character" w:styleId="Refdecomentrio">
    <w:name w:val="annotation reference"/>
    <w:basedOn w:val="Fontepargpadro"/>
    <w:unhideWhenUsed/>
    <w:qFormat/>
    <w:rsid w:val="00430FDB"/>
    <w:rPr>
      <w:sz w:val="16"/>
      <w:szCs w:val="16"/>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qFormat/>
    <w:rsid w:val="007F77AD"/>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sid w:val="00881F44"/>
    <w:rPr>
      <w:rFonts w:ascii="Arial" w:eastAsiaTheme="majorEastAsia" w:hAnsi="Arial" w:cs="Arial"/>
      <w:b/>
      <w:bCs/>
      <w:color w:val="17365D" w:themeColor="text2" w:themeShade="BF"/>
      <w:spacing w:val="5"/>
      <w:kern w:val="2"/>
      <w:sz w:val="52"/>
      <w:szCs w:val="52"/>
      <w:lang w:eastAsia="pt-BR"/>
    </w:rPr>
  </w:style>
  <w:style w:type="character" w:customStyle="1" w:styleId="Ttulo1Char">
    <w:name w:val="Título 1 Char"/>
    <w:basedOn w:val="Fontepargpadro"/>
    <w:link w:val="Ttulo1"/>
    <w:uiPriority w:val="9"/>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
      <w:sz w:val="52"/>
      <w:szCs w:val="52"/>
      <w:lang w:eastAsia="pt-BR"/>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Corpodetexto"/>
    <w:uiPriority w:val="99"/>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character" w:customStyle="1" w:styleId="Nivel4Char">
    <w:name w:val="Nivel 4 Char"/>
    <w:basedOn w:val="Fontepargpadro"/>
    <w:link w:val="Nivel4"/>
    <w:qFormat/>
    <w:rsid w:val="00DA3EF1"/>
    <w:rPr>
      <w:rFonts w:ascii="Arial" w:hAnsi="Arial" w:cs="Arial"/>
      <w:lang w:eastAsia="pt-BR"/>
    </w:rPr>
  </w:style>
  <w:style w:type="character" w:customStyle="1" w:styleId="cp0020corpodespachochar1">
    <w:name w:val="cp_0020corpodespacho__char1"/>
    <w:qFormat/>
    <w:rsid w:val="00D30A43"/>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GradeColorida-nfase1Char">
    <w:name w:val="Grade Colorida - Ênfase 1 Char"/>
    <w:uiPriority w:val="29"/>
    <w:qFormat/>
    <w:rsid w:val="00D30A43"/>
    <w:rPr>
      <w:rFonts w:ascii="Arial" w:eastAsia="Calibri" w:hAnsi="Arial"/>
      <w:i/>
      <w:iCs/>
      <w:color w:val="000000"/>
      <w:szCs w:val="24"/>
      <w:shd w:val="clear" w:color="auto" w:fill="FFFFCC"/>
    </w:rPr>
  </w:style>
  <w:style w:type="character" w:customStyle="1" w:styleId="highlight">
    <w:name w:val="highlight"/>
    <w:basedOn w:val="Fontepargpadro"/>
    <w:qFormat/>
    <w:rsid w:val="00D30A43"/>
  </w:style>
  <w:style w:type="character" w:styleId="HiperlinkVisitado">
    <w:name w:val="FollowedHyperlink"/>
    <w:basedOn w:val="Fontepargpadro"/>
    <w:uiPriority w:val="99"/>
    <w:semiHidden/>
    <w:unhideWhenUsed/>
    <w:qFormat/>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64361F"/>
    <w:rPr>
      <w:rFonts w:ascii="Arial" w:eastAsia="Arial" w:hAnsi="Arial" w:cs="Arial"/>
      <w:color w:val="000000"/>
      <w:lang w:eastAsia="pt-BR"/>
    </w:rPr>
  </w:style>
  <w:style w:type="character" w:customStyle="1" w:styleId="Nvel2OpcionalChar">
    <w:name w:val="Nível 2 Opcional Char"/>
    <w:basedOn w:val="Fontepargpadro"/>
    <w:link w:val="Nvel2Opcional"/>
    <w:qFormat/>
    <w:rsid w:val="00A831D9"/>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character" w:customStyle="1" w:styleId="markedcontent">
    <w:name w:val="markedcontent"/>
    <w:basedOn w:val="Fontepargpadro"/>
    <w:qFormat/>
    <w:rsid w:val="00CB3192"/>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character" w:customStyle="1" w:styleId="ouChar">
    <w:name w:val="ou Char"/>
    <w:basedOn w:val="PargrafodaListaChar"/>
    <w:qFormat/>
    <w:rsid w:val="00F93D80"/>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qFormat/>
    <w:rsid w:val="00DA3EF1"/>
    <w:rPr>
      <w:rFonts w:ascii="Arial" w:eastAsia="Arial" w:hAnsi="Arial" w:cs="Arial"/>
      <w:i/>
      <w:iCs/>
      <w:color w:val="FF0000"/>
      <w:lang w:eastAsia="pt-BR"/>
    </w:rPr>
  </w:style>
  <w:style w:type="character" w:customStyle="1" w:styleId="Nivel3Char">
    <w:name w:val="Nivel 3 Char"/>
    <w:basedOn w:val="Fontepargpadro"/>
    <w:link w:val="Nivel3"/>
    <w:qFormat/>
    <w:rsid w:val="005D30B6"/>
    <w:rPr>
      <w:rFonts w:ascii="Arial" w:hAnsi="Arial" w:cs="Arial"/>
      <w:color w:val="000000"/>
      <w:lang w:eastAsia="pt-BR"/>
    </w:rPr>
  </w:style>
  <w:style w:type="character" w:customStyle="1" w:styleId="Nvel3-RChar">
    <w:name w:val="Nível 3-R Char"/>
    <w:basedOn w:val="Nivel3Char"/>
    <w:qFormat/>
    <w:rsid w:val="00775CFB"/>
    <w:rPr>
      <w:rFonts w:ascii="Arial" w:hAnsi="Arial" w:cs="Arial"/>
      <w:i/>
      <w:iCs/>
      <w:color w:val="FF0000"/>
      <w:lang w:eastAsia="pt-BR"/>
    </w:rPr>
  </w:style>
  <w:style w:type="character" w:customStyle="1" w:styleId="Nvel4-RChar">
    <w:name w:val="Nível 4-R Char"/>
    <w:basedOn w:val="Nivel4Char"/>
    <w:qFormat/>
    <w:rsid w:val="00DA3EF1"/>
    <w:rPr>
      <w:rFonts w:ascii="Arial" w:hAnsi="Arial" w:cs="Arial"/>
      <w:i/>
      <w:iCs/>
      <w:color w:val="FF0000"/>
      <w:lang w:eastAsia="pt-BR"/>
    </w:rPr>
  </w:style>
  <w:style w:type="character" w:customStyle="1" w:styleId="Nvel1-SemNumChar">
    <w:name w:val="Nível 1-Sem Num Char"/>
    <w:basedOn w:val="Nivel01Char"/>
    <w:qFormat/>
    <w:rsid w:val="00881F44"/>
    <w:rPr>
      <w:rFonts w:ascii="Arial" w:eastAsiaTheme="majorEastAsia" w:hAnsi="Arial" w:cs="Arial"/>
      <w:b/>
      <w:bCs/>
      <w:color w:val="FF0000"/>
      <w:spacing w:val="5"/>
      <w:kern w:val="2"/>
      <w:sz w:val="52"/>
      <w:szCs w:val="52"/>
      <w:lang w:eastAsia="pt-BR"/>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qFormat/>
    <w:rsid w:val="008D252D"/>
    <w:rPr>
      <w:color w:val="605E5C"/>
      <w:shd w:val="clear" w:color="auto" w:fill="E1DFDD"/>
    </w:rPr>
  </w:style>
  <w:style w:type="character" w:customStyle="1" w:styleId="findhit">
    <w:name w:val="findhit"/>
    <w:basedOn w:val="Fontepargpadro"/>
    <w:qFormat/>
    <w:rsid w:val="00E66CC3"/>
  </w:style>
  <w:style w:type="character" w:customStyle="1" w:styleId="Nivel3-erroChar">
    <w:name w:val="Nivel 3-erro Char"/>
    <w:basedOn w:val="Fontepargpadro"/>
    <w:qFormat/>
    <w:rsid w:val="005B0AFB"/>
    <w:rPr>
      <w:rFonts w:ascii="Arial" w:hAnsi="Arial" w:cs="Tahoma"/>
      <w:szCs w:val="24"/>
      <w:lang w:eastAsia="pt-BR"/>
    </w:rPr>
  </w:style>
  <w:style w:type="character" w:customStyle="1" w:styleId="AlteraesChar">
    <w:name w:val="Alterações Char"/>
    <w:basedOn w:val="Fontepargpadro"/>
    <w:link w:val="Alteraes"/>
    <w:uiPriority w:val="1"/>
    <w:qFormat/>
    <w:rsid w:val="1414B7F7"/>
    <w:rPr>
      <w:rFonts w:ascii="Arial" w:hAnsi="Arial" w:cs="Arial"/>
      <w:i/>
      <w:iCs/>
      <w:color w:val="0000FF"/>
      <w:lang w:eastAsia="pt-BR"/>
    </w:rPr>
  </w:style>
  <w:style w:type="character" w:styleId="Meno">
    <w:name w:val="Mention"/>
    <w:basedOn w:val="Fontepargpadro"/>
    <w:uiPriority w:val="99"/>
    <w:unhideWhenUsed/>
    <w:qFormat/>
    <w:rsid w:val="002804A7"/>
    <w:rPr>
      <w:color w:val="2B579A"/>
      <w:shd w:val="clear" w:color="auto" w:fill="E6E6E6"/>
    </w:rPr>
  </w:style>
  <w:style w:type="character" w:styleId="MenoPendente">
    <w:name w:val="Unresolved Mention"/>
    <w:basedOn w:val="Fontepargpadro"/>
    <w:uiPriority w:val="99"/>
    <w:semiHidden/>
    <w:unhideWhenUsed/>
    <w:qFormat/>
    <w:rsid w:val="00921A92"/>
    <w:rPr>
      <w:color w:val="605E5C"/>
      <w:shd w:val="clear" w:color="auto" w:fill="E1DFDD"/>
    </w:rPr>
  </w:style>
  <w:style w:type="character" w:customStyle="1" w:styleId="Nvel1-SemNumPretoChar">
    <w:name w:val="Nível 1-Sem Num Preto Char"/>
    <w:basedOn w:val="Nvel1-SemNumChar"/>
    <w:qFormat/>
    <w:rsid w:val="00036AD7"/>
    <w:rPr>
      <w:rFonts w:ascii="Arial" w:eastAsiaTheme="majorEastAsia" w:hAnsi="Arial" w:cs="Arial"/>
      <w:b/>
      <w:bCs/>
      <w:color w:val="FF0000"/>
      <w:spacing w:val="5"/>
      <w:kern w:val="2"/>
      <w:sz w:val="52"/>
      <w:szCs w:val="52"/>
      <w:lang w:eastAsia="zh-CN" w:bidi="hi-IN"/>
    </w:rPr>
  </w:style>
  <w:style w:type="character" w:customStyle="1" w:styleId="nfaseforte">
    <w:name w:val="Ênfase forte"/>
    <w:qFormat/>
    <w:rPr>
      <w:b/>
      <w:bCs/>
    </w:rPr>
  </w:style>
  <w:style w:type="character" w:customStyle="1" w:styleId="ListLabel1">
    <w:name w:val="ListLabel 1"/>
    <w:qFormat/>
    <w:rPr>
      <w:b/>
      <w:sz w:val="24"/>
    </w:rPr>
  </w:style>
  <w:style w:type="character" w:customStyle="1" w:styleId="ListLabel2">
    <w:name w:val="ListLabel 2"/>
    <w:qFormat/>
    <w:rPr>
      <w:b/>
      <w:i w:val="0"/>
      <w:strike w:val="0"/>
      <w:dstrike w:val="0"/>
      <w:color w:val="auto"/>
      <w:sz w:val="24"/>
      <w:szCs w:val="20"/>
      <w:u w:val="none"/>
    </w:rPr>
  </w:style>
  <w:style w:type="character" w:customStyle="1" w:styleId="ListLabel3">
    <w:name w:val="ListLabel 3"/>
    <w:qFormat/>
    <w:rPr>
      <w:b w:val="0"/>
      <w:i w:val="0"/>
      <w:strike w:val="0"/>
      <w:dstrike w:val="0"/>
      <w:color w:val="auto"/>
      <w:sz w:val="24"/>
      <w:szCs w:val="20"/>
    </w:rPr>
  </w:style>
  <w:style w:type="character" w:customStyle="1" w:styleId="ListLabel4">
    <w:name w:val="ListLabel 4"/>
    <w:qFormat/>
    <w:rPr>
      <w:b/>
      <w:sz w:val="24"/>
    </w:rPr>
  </w:style>
  <w:style w:type="character" w:customStyle="1" w:styleId="ListLabel5">
    <w:name w:val="ListLabel 5"/>
    <w:qFormat/>
    <w:rPr>
      <w:b w:val="0"/>
      <w:i w:val="0"/>
      <w:strike w:val="0"/>
      <w:dstrike w:val="0"/>
      <w:color w:val="auto"/>
      <w:sz w:val="24"/>
      <w:szCs w:val="20"/>
      <w:u w:val="none"/>
    </w:rPr>
  </w:style>
  <w:style w:type="character" w:customStyle="1" w:styleId="ListLabel6">
    <w:name w:val="ListLabel 6"/>
    <w:qFormat/>
    <w:rPr>
      <w:rFonts w:ascii="Calibri" w:hAnsi="Calibri"/>
      <w:b w:val="0"/>
      <w:i w:val="0"/>
      <w:strike w:val="0"/>
      <w:dstrike w:val="0"/>
      <w:color w:val="auto"/>
      <w:sz w:val="24"/>
      <w:szCs w:val="20"/>
    </w:rPr>
  </w:style>
  <w:style w:type="character" w:customStyle="1" w:styleId="ListLabel7">
    <w:name w:val="ListLabel 7"/>
    <w:qFormat/>
    <w:rPr>
      <w:b/>
      <w:sz w:val="24"/>
    </w:rPr>
  </w:style>
  <w:style w:type="character" w:customStyle="1" w:styleId="ListLabel8">
    <w:name w:val="ListLabel 8"/>
    <w:qFormat/>
    <w:rPr>
      <w:b/>
      <w:i w:val="0"/>
      <w:strike w:val="0"/>
      <w:dstrike w:val="0"/>
      <w:color w:val="auto"/>
      <w:sz w:val="24"/>
      <w:szCs w:val="20"/>
      <w:u w:val="none"/>
    </w:rPr>
  </w:style>
  <w:style w:type="character" w:customStyle="1" w:styleId="ListLabel9">
    <w:name w:val="ListLabel 9"/>
    <w:qFormat/>
    <w:rPr>
      <w:b w:val="0"/>
      <w:i w:val="0"/>
      <w:strike w:val="0"/>
      <w:dstrike w:val="0"/>
      <w:color w:val="auto"/>
      <w:sz w:val="24"/>
      <w:szCs w:val="20"/>
    </w:rPr>
  </w:style>
  <w:style w:type="character" w:customStyle="1" w:styleId="ListLabel10">
    <w:name w:val="ListLabel 10"/>
    <w:qFormat/>
    <w:rPr>
      <w:b/>
      <w:sz w:val="24"/>
    </w:rPr>
  </w:style>
  <w:style w:type="character" w:customStyle="1" w:styleId="ListLabel11">
    <w:name w:val="ListLabel 11"/>
    <w:qFormat/>
    <w:rPr>
      <w:b/>
      <w:i w:val="0"/>
      <w:strike w:val="0"/>
      <w:dstrike w:val="0"/>
      <w:color w:val="auto"/>
      <w:sz w:val="24"/>
      <w:szCs w:val="20"/>
      <w:u w:val="none"/>
    </w:rPr>
  </w:style>
  <w:style w:type="character" w:customStyle="1" w:styleId="ListLabel12">
    <w:name w:val="ListLabel 12"/>
    <w:qFormat/>
    <w:rPr>
      <w:b w:val="0"/>
      <w:i w:val="0"/>
      <w:strike w:val="0"/>
      <w:dstrike w:val="0"/>
      <w:color w:val="auto"/>
      <w:sz w:val="24"/>
      <w:szCs w:val="20"/>
    </w:rPr>
  </w:style>
  <w:style w:type="character" w:customStyle="1" w:styleId="ListLabel13">
    <w:name w:val="ListLabel 13"/>
    <w:qFormat/>
    <w:rPr>
      <w:rFonts w:ascii="Calibri" w:hAnsi="Calibri" w:cs="Calibri"/>
      <w:color w:val="000000" w:themeColor="text1"/>
      <w:sz w:val="24"/>
      <w:szCs w:val="24"/>
    </w:rPr>
  </w:style>
  <w:style w:type="character" w:customStyle="1" w:styleId="ListLabel14">
    <w:name w:val="ListLabel 14"/>
    <w:qFormat/>
    <w:rPr>
      <w:rFonts w:ascii="Calibri" w:hAnsi="Calibri" w:cs="Calibri"/>
      <w:color w:val="000000" w:themeColor="text1"/>
      <w:sz w:val="24"/>
      <w:szCs w:val="24"/>
      <w:lang w:eastAsia="en-US"/>
    </w:rPr>
  </w:style>
  <w:style w:type="character" w:customStyle="1" w:styleId="ListLabel15">
    <w:name w:val="ListLabel 15"/>
    <w:qFormat/>
    <w:rPr>
      <w:rFonts w:ascii="Calibri" w:hAnsi="Calibri"/>
      <w:b/>
      <w:sz w:val="24"/>
    </w:rPr>
  </w:style>
  <w:style w:type="character" w:customStyle="1" w:styleId="ListLabel16">
    <w:name w:val="ListLabel 16"/>
    <w:qFormat/>
    <w:rPr>
      <w:rFonts w:ascii="Calibri" w:hAnsi="Calibri"/>
      <w:b w:val="0"/>
      <w:i w:val="0"/>
      <w:strike w:val="0"/>
      <w:dstrike w:val="0"/>
      <w:color w:val="auto"/>
      <w:sz w:val="24"/>
      <w:szCs w:val="20"/>
      <w:u w:val="none"/>
    </w:rPr>
  </w:style>
  <w:style w:type="character" w:customStyle="1" w:styleId="ListLabel17">
    <w:name w:val="ListLabel 17"/>
    <w:qFormat/>
    <w:rPr>
      <w:rFonts w:ascii="Calibri" w:hAnsi="Calibri"/>
      <w:b w:val="0"/>
      <w:i w:val="0"/>
      <w:strike w:val="0"/>
      <w:dstrike w:val="0"/>
      <w:color w:val="auto"/>
      <w:sz w:val="24"/>
      <w:szCs w:val="20"/>
    </w:rPr>
  </w:style>
  <w:style w:type="character" w:customStyle="1" w:styleId="ListLabel18">
    <w:name w:val="ListLabel 18"/>
    <w:qFormat/>
    <w:rPr>
      <w:rFonts w:ascii="Arial" w:hAnsi="Arial" w:cs="Calibri"/>
      <w:color w:val="000000" w:themeColor="text1"/>
      <w:sz w:val="20"/>
      <w:szCs w:val="20"/>
    </w:rPr>
  </w:style>
  <w:style w:type="character" w:customStyle="1" w:styleId="ListLabel19">
    <w:name w:val="ListLabel 19"/>
    <w:qFormat/>
    <w:rPr>
      <w:rFonts w:ascii="Arial" w:hAnsi="Arial" w:cs="Calibri"/>
      <w:color w:val="000000" w:themeColor="text1"/>
      <w:sz w:val="20"/>
      <w:szCs w:val="20"/>
      <w:lang w:eastAsia="en-US"/>
    </w:rPr>
  </w:style>
  <w:style w:type="character" w:customStyle="1" w:styleId="ListLabel20">
    <w:name w:val="ListLabel 20"/>
    <w:qFormat/>
    <w:rPr>
      <w:rFonts w:ascii="Calibri" w:hAnsi="Calibri"/>
      <w:b/>
      <w:sz w:val="24"/>
    </w:rPr>
  </w:style>
  <w:style w:type="character" w:customStyle="1" w:styleId="ListLabel21">
    <w:name w:val="ListLabel 21"/>
    <w:qFormat/>
    <w:rPr>
      <w:rFonts w:ascii="Calibri" w:hAnsi="Calibri"/>
      <w:b w:val="0"/>
      <w:i w:val="0"/>
      <w:strike w:val="0"/>
      <w:dstrike w:val="0"/>
      <w:color w:val="auto"/>
      <w:sz w:val="24"/>
      <w:szCs w:val="20"/>
      <w:u w:val="none"/>
    </w:rPr>
  </w:style>
  <w:style w:type="character" w:customStyle="1" w:styleId="ListLabel22">
    <w:name w:val="ListLabel 22"/>
    <w:qFormat/>
    <w:rPr>
      <w:rFonts w:ascii="Calibri" w:hAnsi="Calibri"/>
      <w:b w:val="0"/>
      <w:i w:val="0"/>
      <w:strike w:val="0"/>
      <w:dstrike w:val="0"/>
      <w:color w:val="auto"/>
      <w:sz w:val="24"/>
      <w:szCs w:val="20"/>
    </w:rPr>
  </w:style>
  <w:style w:type="character" w:customStyle="1" w:styleId="ListLabel23">
    <w:name w:val="ListLabel 23"/>
    <w:qFormat/>
    <w:rPr>
      <w:rFonts w:cs="Calibri"/>
      <w:color w:val="000000" w:themeColor="text1"/>
      <w:sz w:val="20"/>
      <w:szCs w:val="20"/>
    </w:rPr>
  </w:style>
  <w:style w:type="character" w:customStyle="1" w:styleId="ListLabel24">
    <w:name w:val="ListLabel 24"/>
    <w:qFormat/>
    <w:rPr>
      <w:rFonts w:cs="Calibri"/>
      <w:color w:val="000000" w:themeColor="text1"/>
      <w:sz w:val="20"/>
      <w:szCs w:val="20"/>
      <w:lang w:eastAsia="en-US"/>
    </w:rPr>
  </w:style>
  <w:style w:type="paragraph" w:styleId="Ttulo">
    <w:name w:val="Title"/>
    <w:basedOn w:val="Normal"/>
    <w:next w:val="Corpodetexto"/>
    <w:link w:val="TtuloChar"/>
    <w:qFormat/>
    <w:rsid w:val="007F77AD"/>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detexto">
    <w:name w:val="Body Text"/>
    <w:basedOn w:val="Normal"/>
    <w:link w:val="CorpodetextoChar"/>
    <w:uiPriority w:val="99"/>
    <w:unhideWhenUsed/>
    <w:rsid w:val="00D30A43"/>
    <w:pPr>
      <w:spacing w:beforeAutospacing="1" w:afterAutospacing="1"/>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paragraph" w:styleId="Citao">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rsid w:val="001A3A05"/>
    <w:pPr>
      <w:contextualSpacing/>
    </w:pPr>
  </w:style>
  <w:style w:type="paragraph" w:customStyle="1" w:styleId="Notaexplicativa">
    <w:name w:val="Nota explicativa"/>
    <w:basedOn w:val="Citao"/>
    <w:link w:val="NotaexplicativaChar"/>
    <w:qFormat/>
    <w:rsid w:val="00265FB6"/>
    <w:rPr>
      <w:szCs w:val="20"/>
    </w:rPr>
  </w:style>
  <w:style w:type="paragraph" w:customStyle="1" w:styleId="CabealhoeRodap">
    <w:name w:val="Cabeçalho e Rodapé"/>
    <w:basedOn w:val="Normal"/>
    <w:qFormat/>
  </w:style>
  <w:style w:type="paragraph" w:styleId="Cabealho">
    <w:name w:val="header"/>
    <w:basedOn w:val="Normal"/>
    <w:link w:val="CabealhoChar"/>
    <w:uiPriority w:val="99"/>
    <w:rsid w:val="00CA24FB"/>
    <w:pPr>
      <w:tabs>
        <w:tab w:val="center" w:pos="4252"/>
        <w:tab w:val="right" w:pos="8504"/>
      </w:tabs>
    </w:pPr>
  </w:style>
  <w:style w:type="paragraph" w:styleId="Rodap">
    <w:name w:val="footer"/>
    <w:basedOn w:val="Normal"/>
    <w:link w:val="RodapChar"/>
    <w:uiPriority w:val="99"/>
    <w:rsid w:val="00CA24FB"/>
    <w:pPr>
      <w:tabs>
        <w:tab w:val="center" w:pos="4252"/>
        <w:tab w:val="right" w:pos="8504"/>
      </w:tabs>
    </w:pPr>
  </w:style>
  <w:style w:type="paragraph" w:styleId="Textodecomentrio">
    <w:name w:val="annotation text"/>
    <w:basedOn w:val="Normal"/>
    <w:link w:val="TextodecomentrioChar"/>
    <w:uiPriority w:val="99"/>
    <w:unhideWhenUsed/>
    <w:qFormat/>
    <w:rsid w:val="00D30A43"/>
    <w:rPr>
      <w:sz w:val="20"/>
      <w:szCs w:val="20"/>
    </w:rPr>
  </w:style>
  <w:style w:type="paragraph" w:styleId="Assuntodocomentrio">
    <w:name w:val="annotation subject"/>
    <w:basedOn w:val="Textodecomentrio"/>
    <w:link w:val="AssuntodocomentrioChar"/>
    <w:uiPriority w:val="99"/>
    <w:semiHidden/>
    <w:unhideWhenUsed/>
    <w:qFormat/>
    <w:rsid w:val="00430FDB"/>
    <w:rPr>
      <w:b/>
      <w:bCs/>
    </w:rPr>
  </w:style>
  <w:style w:type="paragraph" w:customStyle="1" w:styleId="Nivel01">
    <w:name w:val="Nivel 01"/>
    <w:basedOn w:val="Ttulo1"/>
    <w:next w:val="Normal"/>
    <w:link w:val="Nivel01Char"/>
    <w:autoRedefine/>
    <w:qFormat/>
    <w:rsid w:val="00881F44"/>
    <w:pPr>
      <w:tabs>
        <w:tab w:val="left" w:pos="567"/>
      </w:tabs>
      <w:spacing w:before="240" w:after="120" w:line="276" w:lineRule="auto"/>
      <w:jc w:val="both"/>
    </w:pPr>
    <w:rPr>
      <w:rFonts w:ascii="Arial" w:hAnsi="Arial" w:cs="Arial"/>
      <w:b w:val="0"/>
      <w:bCs w:val="0"/>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autoRedefine/>
    <w:qFormat/>
    <w:rsid w:val="0064361F"/>
    <w:pPr>
      <w:spacing w:before="6" w:after="6"/>
      <w:jc w:val="both"/>
    </w:pPr>
    <w:rPr>
      <w:rFonts w:ascii="Arial" w:eastAsia="Arial" w:hAnsi="Arial" w:cs="Arial"/>
      <w:color w:val="000000"/>
      <w:sz w:val="20"/>
      <w:szCs w:val="20"/>
    </w:rPr>
  </w:style>
  <w:style w:type="paragraph" w:customStyle="1" w:styleId="Nivel10">
    <w:name w:val="Nivel 1"/>
    <w:basedOn w:val="Nivel2"/>
    <w:qFormat/>
    <w:rsid w:val="003629E4"/>
    <w:rPr>
      <w:b/>
    </w:rPr>
  </w:style>
  <w:style w:type="paragraph" w:customStyle="1" w:styleId="Nivel3">
    <w:name w:val="Nivel 3"/>
    <w:basedOn w:val="Normal"/>
    <w:link w:val="Nivel3Char"/>
    <w:autoRedefine/>
    <w:qFormat/>
    <w:rsid w:val="005D30B6"/>
    <w:pPr>
      <w:spacing w:before="120" w:after="120" w:line="276" w:lineRule="auto"/>
      <w:ind w:left="284"/>
      <w:jc w:val="both"/>
    </w:pPr>
    <w:rPr>
      <w:rFonts w:ascii="Arial" w:hAnsi="Arial" w:cs="Arial"/>
      <w:color w:val="000000"/>
      <w:sz w:val="20"/>
      <w:szCs w:val="20"/>
    </w:rPr>
  </w:style>
  <w:style w:type="paragraph" w:customStyle="1" w:styleId="Nivel4">
    <w:name w:val="Nivel 4"/>
    <w:basedOn w:val="Nivel3"/>
    <w:link w:val="Nivel4Char"/>
    <w:autoRedefine/>
    <w:qFormat/>
    <w:rsid w:val="00DA3EF1"/>
    <w:pPr>
      <w:ind w:left="567"/>
    </w:pPr>
    <w:rPr>
      <w:color w:val="auto"/>
    </w:rPr>
  </w:style>
  <w:style w:type="paragraph" w:customStyle="1" w:styleId="Nivel5">
    <w:name w:val="Nivel 5"/>
    <w:basedOn w:val="Nivel4"/>
    <w:autoRedefine/>
    <w:qFormat/>
    <w:rsid w:val="00DA3EF1"/>
    <w:pPr>
      <w:ind w:left="851"/>
    </w:pPr>
  </w:style>
  <w:style w:type="paragraph" w:customStyle="1" w:styleId="textbody">
    <w:name w:val="textbody"/>
    <w:basedOn w:val="Normal"/>
    <w:qFormat/>
    <w:rsid w:val="00D30A43"/>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paragraph" w:styleId="Reviso">
    <w:name w:val="Revision"/>
    <w:uiPriority w:val="99"/>
    <w:semiHidden/>
    <w:qFormat/>
    <w:rsid w:val="00D30A43"/>
    <w:rPr>
      <w:rFonts w:ascii="Ecofont_Spranq_eco_Sans" w:eastAsia="Times New Roman" w:hAnsi="Ecofont_Spranq_eco_Sans" w:cs="Tahoma"/>
      <w:sz w:val="24"/>
      <w:szCs w:val="24"/>
      <w:lang w:eastAsia="pt-BR"/>
    </w:rPr>
  </w:style>
  <w:style w:type="paragraph" w:customStyle="1" w:styleId="texto1">
    <w:name w:val="texto1"/>
    <w:basedOn w:val="Normal"/>
    <w:qFormat/>
    <w:rsid w:val="00D30A43"/>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rsid w:val="00D30A43"/>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D30A43"/>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A831D9"/>
    <w:pPr>
      <w:ind w:left="432" w:hanging="432"/>
    </w:pPr>
    <w:rPr>
      <w:rFonts w:eastAsia="Times New Roman"/>
      <w:i/>
      <w:color w:val="FF0000"/>
    </w:rPr>
  </w:style>
  <w:style w:type="paragraph" w:customStyle="1" w:styleId="Nvel3Opcional">
    <w:name w:val="Nível 3 Opcional"/>
    <w:basedOn w:val="Nivel3"/>
    <w:link w:val="Nvel3OpcionalChar"/>
    <w:qFormat/>
    <w:rsid w:val="00A831D9"/>
    <w:pPr>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qFormat/>
    <w:rsid w:val="00CB3192"/>
    <w:pPr>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Autospacing="1" w:afterAutospacing="1"/>
    </w:pPr>
    <w:rPr>
      <w:rFonts w:ascii="Times New Roman" w:eastAsia="Times New Roman" w:hAnsi="Times New Roman" w:cs="Times New Roman"/>
    </w:rPr>
  </w:style>
  <w:style w:type="paragraph" w:customStyle="1" w:styleId="Standard">
    <w:name w:val="Standard"/>
    <w:qFormat/>
    <w:rsid w:val="00CB3192"/>
    <w:pPr>
      <w:suppressAutoHyphens/>
    </w:pPr>
    <w:rPr>
      <w:rFonts w:ascii="Liberation Serif" w:eastAsia="NSimSun" w:hAnsi="Liberation Serif" w:cs="Lucida Sans"/>
      <w:kern w:val="2"/>
      <w:sz w:val="24"/>
      <w:szCs w:val="24"/>
      <w:lang w:eastAsia="zh-CN" w:bidi="hi-IN"/>
    </w:rPr>
  </w:style>
  <w:style w:type="paragraph" w:customStyle="1" w:styleId="Textbody0">
    <w:name w:val="Text body"/>
    <w:basedOn w:val="Standard"/>
    <w:qFormat/>
    <w:rsid w:val="00CB3192"/>
    <w:pPr>
      <w:spacing w:after="140" w:line="276" w:lineRule="auto"/>
    </w:pPr>
  </w:style>
  <w:style w:type="paragraph" w:customStyle="1" w:styleId="ou">
    <w:name w:val="ou"/>
    <w:basedOn w:val="PargrafodaLista"/>
    <w:qFormat/>
    <w:rsid w:val="00F93D80"/>
    <w:pPr>
      <w:spacing w:before="60" w:after="60" w:line="259" w:lineRule="auto"/>
      <w:ind w:left="0"/>
      <w:jc w:val="center"/>
    </w:pPr>
    <w:rPr>
      <w:rFonts w:ascii="Arial" w:eastAsiaTheme="minorHAnsi" w:hAnsi="Arial" w:cs="Arial"/>
      <w:b/>
      <w:bCs/>
      <w:i/>
      <w:iCs/>
      <w:color w:val="FF0000"/>
      <w:sz w:val="20"/>
      <w:u w:val="single"/>
    </w:rPr>
  </w:style>
  <w:style w:type="paragraph" w:customStyle="1" w:styleId="dou-paragraph">
    <w:name w:val="dou-paragraph"/>
    <w:basedOn w:val="Normal"/>
    <w:qFormat/>
    <w:rsid w:val="00CB3192"/>
    <w:pPr>
      <w:spacing w:beforeAutospacing="1" w:afterAutospacing="1"/>
    </w:pPr>
    <w:rPr>
      <w:rFonts w:ascii="Times New Roman" w:eastAsia="Times New Roman" w:hAnsi="Times New Roman" w:cs="Times New Roman"/>
    </w:rPr>
  </w:style>
  <w:style w:type="paragraph" w:customStyle="1" w:styleId="Nvel2-Red">
    <w:name w:val="Nível 2 -Red"/>
    <w:basedOn w:val="Nivel2"/>
    <w:qFormat/>
    <w:rsid w:val="00DA3EF1"/>
    <w:rPr>
      <w:i/>
      <w:iCs/>
      <w:color w:val="FF0000"/>
    </w:rPr>
  </w:style>
  <w:style w:type="paragraph" w:customStyle="1" w:styleId="Nvel3-R">
    <w:name w:val="Nível 3-R"/>
    <w:basedOn w:val="Nivel3"/>
    <w:autoRedefine/>
    <w:qFormat/>
    <w:rsid w:val="00775CFB"/>
    <w:rPr>
      <w:i/>
      <w:iCs/>
      <w:color w:val="FF0000"/>
    </w:rPr>
  </w:style>
  <w:style w:type="paragraph" w:customStyle="1" w:styleId="Nvel4-R">
    <w:name w:val="Nível 4-R"/>
    <w:basedOn w:val="Nivel4"/>
    <w:autoRedefine/>
    <w:qFormat/>
    <w:rsid w:val="00DA3EF1"/>
    <w:rPr>
      <w:i/>
      <w:iCs/>
      <w:color w:val="FF0000"/>
    </w:rPr>
  </w:style>
  <w:style w:type="paragraph" w:customStyle="1" w:styleId="Nvel1-SemNum">
    <w:name w:val="Nível 1-Sem Num"/>
    <w:basedOn w:val="Nivel01"/>
    <w:autoRedefine/>
    <w:qFormat/>
    <w:rsid w:val="00881F44"/>
    <w:pPr>
      <w:outlineLvl w:val="1"/>
    </w:pPr>
    <w:rPr>
      <w:color w:val="FF0000"/>
    </w:rPr>
  </w:style>
  <w:style w:type="paragraph" w:customStyle="1" w:styleId="citao2">
    <w:name w:val="citação 2"/>
    <w:basedOn w:val="Citao"/>
    <w:qFormat/>
    <w:rsid w:val="00DC41DD"/>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paragraph" w:customStyle="1" w:styleId="Nivel3-erro">
    <w:name w:val="Nivel 3-erro"/>
    <w:basedOn w:val="Nivel3"/>
    <w:qFormat/>
    <w:rsid w:val="005B0AFB"/>
    <w:pPr>
      <w:spacing w:line="240" w:lineRule="auto"/>
      <w:ind w:left="425"/>
    </w:pPr>
    <w:rPr>
      <w:rFonts w:cs="Tahoma"/>
      <w:color w:val="auto"/>
      <w:szCs w:val="24"/>
    </w:rPr>
  </w:style>
  <w:style w:type="paragraph" w:customStyle="1" w:styleId="Alteraes">
    <w:name w:val="Alterações"/>
    <w:basedOn w:val="Normal"/>
    <w:link w:val="AlteraesChar"/>
    <w:uiPriority w:val="1"/>
    <w:qFormat/>
    <w:rsid w:val="1414B7F7"/>
    <w:pPr>
      <w:spacing w:before="120" w:after="120" w:line="276" w:lineRule="auto"/>
      <w:jc w:val="both"/>
      <w:outlineLvl w:val="1"/>
    </w:pPr>
    <w:rPr>
      <w:rFonts w:ascii="Arial" w:hAnsi="Arial" w:cs="Arial"/>
      <w:i/>
      <w:iCs/>
      <w:color w:val="0000FF"/>
      <w:sz w:val="20"/>
      <w:szCs w:val="20"/>
    </w:rPr>
  </w:style>
  <w:style w:type="paragraph" w:customStyle="1" w:styleId="Nvel1-SemNumPreto">
    <w:name w:val="Nível 1-Sem Num Preto"/>
    <w:basedOn w:val="Nvel1-SemNum"/>
    <w:qFormat/>
    <w:rsid w:val="00036AD7"/>
    <w:rPr>
      <w:color w:val="auto"/>
      <w:lang w:eastAsia="zh-CN" w:bidi="hi-IN"/>
    </w:rPr>
  </w:style>
  <w:style w:type="paragraph" w:customStyle="1" w:styleId="Contedodatabela">
    <w:name w:val="Conteúdo da tabela"/>
    <w:basedOn w:val="Normal"/>
    <w:qFormat/>
    <w:pPr>
      <w:suppressLineNumbers/>
    </w:pPr>
  </w:style>
  <w:style w:type="paragraph" w:customStyle="1" w:styleId="Ttulodetabela">
    <w:name w:val="Título de tabela"/>
    <w:basedOn w:val="Contedodatabela"/>
    <w:qFormat/>
    <w:pPr>
      <w:jc w:val="center"/>
    </w:pPr>
    <w:rPr>
      <w:b/>
      <w:bCs/>
    </w:rPr>
  </w:style>
  <w:style w:type="numbering" w:customStyle="1" w:styleId="Estilo1">
    <w:name w:val="Estilo1"/>
    <w:uiPriority w:val="99"/>
    <w:qFormat/>
    <w:rsid w:val="008C6874"/>
  </w:style>
  <w:style w:type="numbering" w:customStyle="1" w:styleId="Estilo2">
    <w:name w:val="Estilo2"/>
    <w:uiPriority w:val="99"/>
    <w:qFormat/>
    <w:rsid w:val="00A72B79"/>
  </w:style>
  <w:style w:type="numbering" w:customStyle="1" w:styleId="Estilo3">
    <w:name w:val="Estilo3"/>
    <w:uiPriority w:val="99"/>
    <w:qFormat/>
    <w:rsid w:val="00A72B79"/>
  </w:style>
  <w:style w:type="numbering" w:customStyle="1" w:styleId="Estilo4">
    <w:name w:val="Estilo4"/>
    <w:uiPriority w:val="99"/>
    <w:qFormat/>
    <w:rsid w:val="0054016D"/>
  </w:style>
  <w:style w:type="numbering" w:customStyle="1" w:styleId="Estilo5">
    <w:name w:val="Estilo5"/>
    <w:uiPriority w:val="99"/>
    <w:qFormat/>
    <w:rsid w:val="0054016D"/>
  </w:style>
  <w:style w:type="numbering" w:customStyle="1" w:styleId="Estilo6">
    <w:name w:val="Estilo6"/>
    <w:uiPriority w:val="99"/>
    <w:qFormat/>
    <w:rsid w:val="0054016D"/>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_ato2019-2022/2022/Decreto/D11246.htm" TargetMode="External"/><Relationship Id="rId26" Type="http://schemas.openxmlformats.org/officeDocument/2006/relationships/hyperlink" Target="https://www.planalto.gov.br/ccivil_03/leis/lcp/lcp123.htm" TargetMode="External"/><Relationship Id="rId39" Type="http://schemas.openxmlformats.org/officeDocument/2006/relationships/theme" Target="theme/theme1.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5764.htm" TargetMode="Externa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_ato2019-2022/2022/Decreto/D11246.htm" TargetMode="External"/><Relationship Id="rId25" Type="http://schemas.openxmlformats.org/officeDocument/2006/relationships/hyperlink" Target="https://in.gov.br/en/web/dou/-/instrucao-normativa-seges/me-n-77-de-4-de-novembro-de-2022-441681061" TargetMode="External"/><Relationship Id="rId33" Type="http://schemas.openxmlformats.org/officeDocument/2006/relationships/hyperlink" Target="https://www.planalto.gov.br/ccivil_03/leis/l5764.htm"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planalto.gov.br/ccivil_03/_ato2019-2022/2022/Decreto/D11246.htm" TargetMode="External"/><Relationship Id="rId20" Type="http://schemas.openxmlformats.org/officeDocument/2006/relationships/hyperlink" Target="https://www.planalto.gov.br/ccivil_03/_ato2019-2022/2022/Decreto/D11246.htm" TargetMode="External"/><Relationship Id="rId29" Type="http://schemas.openxmlformats.org/officeDocument/2006/relationships/hyperlink" Target="https://www.gov.br/compras/pt-br/acesso-a-informacao/legislacao/instrucoes-normativas/instrucao-normativa-seges-me-no-116-de-21-de-dezembro-de-202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l5764.htm"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planalto.gov.br/ccivil_03/_ato2019-2022/2022/Decreto/D11246.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gov.br/economia/pt-br/assuntos/drei/legislacao/arquivos/legislacoes-federais/indrei772020.pdf" TargetMode="External"/><Relationship Id="rId36" Type="http://schemas.openxmlformats.org/officeDocument/2006/relationships/header" Target="header1.xml"/><Relationship Id="rId10" Type="http://schemas.microsoft.com/office/2016/09/relationships/commentsIds" Target="commentsIds.xml"/><Relationship Id="rId19" Type="http://schemas.openxmlformats.org/officeDocument/2006/relationships/hyperlink" Target="https://www.planalto.gov.br/ccivil_03/_ato2019-2022/2022/Decreto/D11246.htm" TargetMode="External"/><Relationship Id="rId31" Type="http://schemas.openxmlformats.org/officeDocument/2006/relationships/hyperlink" Target="https://www.planalto.gov.br/ccivil_03/leis/l5764.htm"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yperlink" Target="https://www.planalto.gov.br/ccivil_03/_ato2019-2022/2022/Decreto/D11246.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gov.br/empresas-e-negocios/pt-br/empreendedor"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8" Type="http://schemas.openxmlformats.org/officeDocument/2006/relationships/comments" Target="comments.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36662-ABDA-4499-9690-AB4396A4B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10</Pages>
  <Words>5042</Words>
  <Characters>27230</Characters>
  <Application>Microsoft Office Word</Application>
  <DocSecurity>0</DocSecurity>
  <Lines>226</Lines>
  <Paragraphs>64</Paragraphs>
  <ScaleCrop>false</ScaleCrop>
  <Company/>
  <LinksUpToDate>false</LinksUpToDate>
  <CharactersWithSpaces>32208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Jefferson Gomes Reis</cp:lastModifiedBy>
  <cp:revision>16</cp:revision>
  <dcterms:created xsi:type="dcterms:W3CDTF">2023-05-22T11:28:00Z</dcterms:created>
  <dcterms:modified xsi:type="dcterms:W3CDTF">2023-07-26T16:34:00Z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