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wmf" ContentType="image/x-wmf"/>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p>
    <w:p>
      <w:pPr>
        <w:pStyle w:val="Normal"/>
        <w:rPr/>
      </w:pPr>
      <w:r>
        <w:rPr>
          <w:rFonts w:cs="Arial"/>
          <w:b/>
          <w:bCs/>
          <w:i/>
          <w:iCs/>
          <w:color w:val="5B5B5F"/>
          <w:sz w:val="32"/>
          <w:szCs w:val="32"/>
        </w:rPr>
        <w:t>41/2023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pPr>
      <w:r>
        <w:rPr>
          <w:rFonts w:cs="Arial"/>
          <w:b/>
          <w:bCs/>
          <w:color w:val="5B5B5F"/>
          <w:sz w:val="28"/>
          <w:szCs w:val="28"/>
        </w:rPr>
        <w:t>HOSPITAL NAVAL DE NATAL (783701)</w:t>
      </w:r>
    </w:p>
    <w:p>
      <w:pPr>
        <w:pStyle w:val="Normal"/>
        <w:rPr>
          <w:rFonts w:cs="Arial"/>
          <w:color w:val="5B5B5F"/>
          <w:sz w:val="32"/>
          <w:szCs w:val="32"/>
        </w:rPr>
      </w:pPr>
      <w:r>
        <w:rPr>
          <w:rFonts w:cs="Arial"/>
          <w:color w:val="5B5B5F"/>
          <w:sz w:val="32"/>
          <w:szCs w:val="32"/>
        </w:rPr>
      </w:r>
    </w:p>
    <w:p>
      <w:pPr>
        <w:pStyle w:val="Normal"/>
        <w:rPr>
          <w:rFonts w:cs="Arial"/>
          <w:b/>
          <w:b/>
          <w:bCs/>
          <w:color w:val="5B5B5F"/>
          <w:szCs w:val="20"/>
        </w:rPr>
      </w:pPr>
      <w:r>
        <w:rPr>
          <w:rFonts w:cs="Arial"/>
          <w:b/>
          <w:bCs/>
          <w:color w:val="405CA1"/>
          <w:sz w:val="32"/>
          <w:szCs w:val="32"/>
        </w:rPr>
        <w:t>OBJETO</w:t>
      </w:r>
    </w:p>
    <w:p>
      <w:pPr>
        <w:pStyle w:val="Normal"/>
        <w:rPr>
          <w:color w:val="666666"/>
        </w:rPr>
      </w:pPr>
      <w:r>
        <w:rPr>
          <w:rFonts w:eastAsia="Times New Roman" w:cs="Arial"/>
          <w:b/>
          <w:bCs/>
          <w:color w:val="666666"/>
          <w:kern w:val="0"/>
          <w:sz w:val="24"/>
          <w:szCs w:val="24"/>
          <w:lang w:val="pt-BR" w:eastAsia="pt-BR" w:bidi="ar-SA"/>
        </w:rPr>
        <w:t>FECHADURA PARA PORTA DO BANHEIRO FEMININO DO NAIM</w:t>
      </w:r>
    </w:p>
    <w:p>
      <w:pPr>
        <w:pStyle w:val="Normal"/>
        <w:rPr>
          <w:rFonts w:ascii="Arial" w:hAnsi="Arial" w:eastAsia="Times New Roman" w:cs="Arial"/>
          <w:b/>
          <w:b/>
          <w:bCs/>
          <w:color w:val="F58220"/>
          <w:kern w:val="0"/>
          <w:sz w:val="24"/>
          <w:szCs w:val="24"/>
          <w:lang w:val="pt-BR" w:eastAsia="pt-BR" w:bidi="ar-SA"/>
        </w:rPr>
      </w:pPr>
      <w:r>
        <w:rPr>
          <w:rFonts w:eastAsia="Times New Roman" w:cs="Arial"/>
          <w:b/>
          <w:bCs/>
          <w:color w:val="F58220"/>
          <w:kern w:val="0"/>
          <w:sz w:val="24"/>
          <w:szCs w:val="24"/>
          <w:lang w:val="pt-BR" w:eastAsia="pt-BR" w:bidi="ar-SA"/>
        </w:rPr>
      </w:r>
    </w:p>
    <w:p>
      <w:pPr>
        <w:pStyle w:val="Normal"/>
        <w:rPr>
          <w:rFonts w:cs="Arial"/>
          <w:b/>
          <w:b/>
          <w:bCs/>
          <w:color w:val="405CA1"/>
          <w:sz w:val="32"/>
          <w:szCs w:val="32"/>
        </w:rPr>
      </w:pPr>
      <w:bookmarkStart w:id="0" w:name="_GoBack"/>
      <w:bookmarkEnd w:id="0"/>
      <w:r>
        <w:rPr>
          <w:rFonts w:cs="Arial"/>
          <w:b/>
          <w:bCs/>
          <w:color w:val="405CA1"/>
          <w:sz w:val="32"/>
          <w:szCs w:val="32"/>
        </w:rPr>
        <w:t>VALOR TOTAL DA CONTRATAÇÃO</w:t>
      </w:r>
    </w:p>
    <w:p>
      <w:pPr>
        <w:pStyle w:val="Normal"/>
        <w:rPr>
          <w:color w:val="666666"/>
        </w:rPr>
      </w:pPr>
      <w:r>
        <w:rPr>
          <w:rFonts w:cs="Arial"/>
          <w:b/>
          <w:bCs/>
          <w:color w:val="666666"/>
          <w:sz w:val="28"/>
          <w:szCs w:val="28"/>
        </w:rPr>
        <w:t>R$ 107,14</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pPr>
      <w:r>
        <w:rPr>
          <w:rFonts w:eastAsia="Times New Roman" w:cs="Arial"/>
          <w:b/>
          <w:bCs/>
          <w:color w:val="666666"/>
          <w:kern w:val="0"/>
          <w:sz w:val="28"/>
          <w:szCs w:val="28"/>
          <w:lang w:val="pt-BR" w:eastAsia="pt-BR" w:bidi="ar-SA"/>
        </w:rPr>
        <w:t xml:space="preserve">De </w:t>
      </w:r>
      <w:r>
        <w:rPr>
          <w:rFonts w:eastAsia="Times New Roman" w:cs="Arial"/>
          <w:b/>
          <w:bCs/>
          <w:color w:val="666666"/>
          <w:kern w:val="0"/>
          <w:sz w:val="28"/>
          <w:szCs w:val="28"/>
          <w:lang w:val="pt-BR" w:eastAsia="pt-BR" w:bidi="ar-SA"/>
        </w:rPr>
        <w:t>06</w:t>
      </w:r>
      <w:r>
        <w:rPr>
          <w:rFonts w:eastAsia="Times New Roman" w:cs="Arial"/>
          <w:b/>
          <w:bCs/>
          <w:color w:val="666666"/>
          <w:kern w:val="0"/>
          <w:sz w:val="28"/>
          <w:szCs w:val="28"/>
          <w:lang w:val="pt-BR" w:eastAsia="pt-BR" w:bidi="ar-SA"/>
        </w:rPr>
        <w:t>/07</w:t>
      </w:r>
      <w:r>
        <w:rPr>
          <w:rFonts w:cs="Arial"/>
          <w:b/>
          <w:bCs/>
          <w:color w:val="666666"/>
          <w:sz w:val="28"/>
          <w:szCs w:val="28"/>
        </w:rPr>
        <w:t xml:space="preserve">/2023 às 8h </w:t>
      </w:r>
    </w:p>
    <w:p>
      <w:pPr>
        <w:pStyle w:val="Normal"/>
        <w:rPr/>
      </w:pPr>
      <w:r>
        <w:rPr>
          <w:rFonts w:cs="Arial"/>
          <w:b/>
          <w:bCs/>
          <w:color w:val="666666"/>
          <w:sz w:val="28"/>
          <w:szCs w:val="28"/>
        </w:rPr>
        <w:t>Até 1</w:t>
      </w:r>
      <w:r>
        <w:rPr>
          <w:rFonts w:cs="Arial"/>
          <w:b/>
          <w:bCs/>
          <w:color w:val="666666"/>
          <w:sz w:val="28"/>
          <w:szCs w:val="28"/>
        </w:rPr>
        <w:t>1</w:t>
      </w:r>
      <w:r>
        <w:rPr>
          <w:rFonts w:cs="Arial"/>
          <w:b/>
          <w:bCs/>
          <w:color w:val="666666"/>
          <w:sz w:val="28"/>
          <w:szCs w:val="28"/>
        </w:rPr>
        <w:t>/07/2023 às 8h</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PERÍODO DE LANCES</w:t>
      </w:r>
    </w:p>
    <w:p>
      <w:pPr>
        <w:pStyle w:val="Normal"/>
        <w:rPr/>
      </w:pPr>
      <w:r>
        <w:rPr>
          <w:rFonts w:eastAsia="Times New Roman" w:cs="Arial"/>
          <w:b/>
          <w:bCs/>
          <w:color w:val="666666"/>
          <w:kern w:val="0"/>
          <w:sz w:val="28"/>
          <w:szCs w:val="28"/>
          <w:lang w:val="pt-BR" w:eastAsia="pt-BR" w:bidi="ar-SA"/>
        </w:rPr>
        <w:t>De 1</w:t>
      </w:r>
      <w:r>
        <w:rPr>
          <w:rFonts w:eastAsia="Times New Roman" w:cs="Arial"/>
          <w:b/>
          <w:bCs/>
          <w:color w:val="666666"/>
          <w:kern w:val="0"/>
          <w:sz w:val="28"/>
          <w:szCs w:val="28"/>
          <w:lang w:val="pt-BR" w:eastAsia="pt-BR" w:bidi="ar-SA"/>
        </w:rPr>
        <w:t>1</w:t>
      </w:r>
      <w:r>
        <w:rPr>
          <w:rFonts w:eastAsia="Times New Roman" w:cs="Arial"/>
          <w:b/>
          <w:bCs/>
          <w:color w:val="666666"/>
          <w:kern w:val="0"/>
          <w:sz w:val="28"/>
          <w:szCs w:val="28"/>
          <w:lang w:val="pt-BR" w:eastAsia="pt-BR" w:bidi="ar-SA"/>
        </w:rPr>
        <w:t>/07</w:t>
      </w:r>
      <w:r>
        <w:rPr>
          <w:rFonts w:cs="Arial"/>
          <w:b/>
          <w:bCs/>
          <w:color w:val="666666"/>
          <w:sz w:val="28"/>
          <w:szCs w:val="28"/>
        </w:rPr>
        <w:t>/2021 às 8h</w:t>
      </w:r>
    </w:p>
    <w:p>
      <w:pPr>
        <w:pStyle w:val="Normal"/>
        <w:rPr/>
      </w:pPr>
      <w:r>
        <w:rPr>
          <w:rFonts w:cs="Arial"/>
          <w:b/>
          <w:bCs/>
          <w:color w:val="666666"/>
          <w:sz w:val="28"/>
          <w:szCs w:val="28"/>
        </w:rPr>
        <w:t>Até 1</w:t>
      </w:r>
      <w:r>
        <w:rPr>
          <w:rFonts w:cs="Arial"/>
          <w:b/>
          <w:bCs/>
          <w:color w:val="666666"/>
          <w:sz w:val="28"/>
          <w:szCs w:val="28"/>
        </w:rPr>
        <w:t>1</w:t>
      </w:r>
      <w:r>
        <w:rPr>
          <w:rFonts w:cs="Arial"/>
          <w:b/>
          <w:bCs/>
          <w:color w:val="666666"/>
          <w:sz w:val="28"/>
          <w:szCs w:val="28"/>
        </w:rPr>
        <w:t>/07/2021 às 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rFonts w:cs="Arial"/>
          <w:b/>
          <w:b/>
          <w:bCs/>
          <w:color w:val="5B5B5F"/>
          <w:sz w:val="28"/>
          <w:szCs w:val="28"/>
        </w:rPr>
      </w:pPr>
      <w:r>
        <w:rPr>
          <w:rFonts w:cs="Arial"/>
          <w:b/>
          <w:bCs/>
          <w:color w:val="666666"/>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sdt>
      <w:sdtPr>
        <w:docPartObj>
          <w:docPartGallery w:val="Table of Contents"/>
          <w:docPartUnique w:val="true"/>
        </w:docPartObj>
      </w:sdtPr>
      <w:sdtContent>
        <w:p>
          <w:pPr>
            <w:pStyle w:val="TOCHeading"/>
            <w:rPr>
              <w:rFonts w:ascii="Arial" w:hAnsi="Arial" w:cs="Arial"/>
              <w:sz w:val="22"/>
              <w:szCs w:val="22"/>
            </w:rPr>
          </w:pPr>
          <w:r>
            <w:br w:type="page"/>
          </w:r>
          <w:r>
            <w:rPr>
              <w:rFonts w:cs="Arial" w:ascii="Arial" w:hAnsi="Arial"/>
              <w:sz w:val="22"/>
              <w:szCs w:val="22"/>
            </w:rPr>
            <w:t>Sumário</w:t>
          </w:r>
        </w:p>
        <w:p>
          <w:pPr>
            <w:pStyle w:val="Normal"/>
            <w:rPr/>
          </w:pPr>
          <w:r>
            <w:rPr/>
          </w:r>
        </w:p>
        <w:p>
          <w:pPr>
            <w:pStyle w:val="Sumrio1"/>
            <w:tabs>
              <w:tab w:val="clear" w:pos="708"/>
              <w:tab w:val="left" w:pos="440" w:leader="none"/>
              <w:tab w:val="right" w:pos="9736" w:leader="dot"/>
            </w:tabs>
            <w:rPr>
              <w:rFonts w:eastAsia="" w:cs="Arial" w:eastAsiaTheme="minorEastAsia"/>
              <w:sz w:val="22"/>
              <w:szCs w:val="22"/>
            </w:rPr>
          </w:pPr>
          <w:r>
            <w:fldChar w:fldCharType="begin"/>
          </w:r>
          <w:r>
            <w:rPr>
              <w:webHidden/>
              <w:rStyle w:val="Vnculodendice"/>
              <w:sz w:val="22"/>
              <w:b/>
              <w:szCs w:val="22"/>
              <w:vanish w:val="false"/>
              <w:rFonts w:eastAsia="Calibri" w:cs="Arial"/>
            </w:rPr>
            <w:instrText>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fldChar w:fldCharType="separate"/>
            </w:r>
            <w:r>
              <w:rPr>
                <w:rStyle w:val="Vnculodendice"/>
                <w:rFonts w:cs="Arial"/>
                <w:vanish w:val="false"/>
                <w:sz w:val="22"/>
                <w:szCs w:val="22"/>
              </w:rPr>
              <w:tab/>
              <w:t>3</w:t>
            </w:r>
            <w:r>
              <w:rPr>
                <w:webHidden/>
              </w:rPr>
              <w:fldChar w:fldCharType="end"/>
            </w:r>
          </w:hyperlink>
        </w:p>
        <w:p>
          <w:pPr>
            <w:pStyle w:val="Sumrio1"/>
            <w:tabs>
              <w:tab w:val="clear" w:pos="708"/>
              <w:tab w:val="left" w:pos="440" w:leader="none"/>
              <w:tab w:val="right" w:pos="9736" w:leader="dot"/>
            </w:tabs>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webHidden/>
              </w:rPr>
              <w:fldChar w:fldCharType="begin"/>
            </w:r>
            <w:r>
              <w:rPr>
                <w:webHidden/>
              </w:rPr>
              <w:instrText>PAGEREF _Toc104906819 \h</w:instrText>
            </w:r>
            <w:r>
              <w:rPr>
                <w:webHidden/>
              </w:rPr>
              <w:fldChar w:fldCharType="separate"/>
            </w:r>
            <w:r>
              <w:rPr>
                <w:rStyle w:val="Vnculodendice"/>
                <w:rFonts w:cs="Arial"/>
                <w:vanish w:val="false"/>
                <w:sz w:val="22"/>
                <w:szCs w:val="22"/>
              </w:rPr>
              <w:tab/>
              <w:t>4</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webHidden/>
              </w:rPr>
              <w:fldChar w:fldCharType="begin"/>
            </w:r>
            <w:r>
              <w:rPr>
                <w:webHidden/>
              </w:rPr>
              <w:instrText>PAGEREF _Toc104906820 \h</w:instrText>
            </w:r>
            <w:r>
              <w:rPr>
                <w:webHidden/>
              </w:rPr>
              <w:fldChar w:fldCharType="separate"/>
            </w:r>
            <w:r>
              <w:rPr>
                <w:rStyle w:val="Vnculodendice"/>
                <w:rFonts w:cs="Arial"/>
                <w:vanish w:val="false"/>
                <w:sz w:val="22"/>
                <w:szCs w:val="22"/>
              </w:rPr>
              <w:tab/>
              <w:t>5</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webHidden/>
              </w:rPr>
              <w:fldChar w:fldCharType="begin"/>
            </w:r>
            <w:r>
              <w:rPr>
                <w:webHidden/>
              </w:rPr>
              <w:instrText>PAGEREF _Toc104906821 \h</w:instrText>
            </w:r>
            <w:r>
              <w:rPr>
                <w:webHidden/>
              </w:rPr>
              <w:fldChar w:fldCharType="separate"/>
            </w:r>
            <w:r>
              <w:rPr>
                <w:rStyle w:val="Vnculodendice"/>
                <w:rFonts w:cs="Arial"/>
                <w:vanish w:val="false"/>
                <w:sz w:val="22"/>
                <w:szCs w:val="22"/>
              </w:rPr>
              <w:tab/>
              <w:t>7</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webHidden/>
              </w:rPr>
              <w:fldChar w:fldCharType="begin"/>
            </w:r>
            <w:r>
              <w:rPr>
                <w:webHidden/>
              </w:rPr>
              <w:instrText>PAGEREF _Toc104906822 \h</w:instrText>
            </w:r>
            <w:r>
              <w:rPr>
                <w:webHidden/>
              </w:rPr>
              <w:fldChar w:fldCharType="separate"/>
            </w:r>
            <w:r>
              <w:rPr>
                <w:rStyle w:val="Vnculodendice"/>
                <w:rFonts w:cs="Arial"/>
                <w:vanish w:val="false"/>
                <w:sz w:val="22"/>
                <w:szCs w:val="22"/>
              </w:rPr>
              <w:tab/>
              <w:t>8</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webHidden/>
              </w:rPr>
              <w:fldChar w:fldCharType="begin"/>
            </w:r>
            <w:r>
              <w:rPr>
                <w:webHidden/>
              </w:rPr>
              <w:instrText>PAGEREF _Toc104906823 \h</w:instrText>
            </w:r>
            <w:r>
              <w:rPr>
                <w:webHidden/>
              </w:rPr>
              <w:fldChar w:fldCharType="separate"/>
            </w:r>
            <w:r>
              <w:rPr>
                <w:rStyle w:val="Vnculodendice"/>
                <w:rFonts w:cs="Arial"/>
                <w:vanish w:val="false"/>
                <w:sz w:val="22"/>
                <w:szCs w:val="22"/>
              </w:rPr>
              <w:tab/>
              <w:t>10</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webHidden/>
              </w:rPr>
              <w:fldChar w:fldCharType="begin"/>
            </w:r>
            <w:r>
              <w:rPr>
                <w:webHidden/>
              </w:rPr>
              <w:instrText>PAGEREF _Toc104906824 \h</w:instrText>
            </w:r>
            <w:r>
              <w:rPr>
                <w:webHidden/>
              </w:rPr>
              <w:fldChar w:fldCharType="separate"/>
            </w:r>
            <w:r>
              <w:rPr>
                <w:rStyle w:val="Vnculodendice"/>
                <w:rFonts w:cs="Arial"/>
                <w:vanish w:val="false"/>
                <w:sz w:val="22"/>
                <w:szCs w:val="22"/>
              </w:rPr>
              <w:tab/>
              <w:t>12</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fldChar w:fldCharType="separate"/>
            </w:r>
            <w:r>
              <w:rPr>
                <w:rStyle w:val="Vnculodendice"/>
                <w:rFonts w:cs="Arial"/>
                <w:vanish w:val="false"/>
                <w:sz w:val="22"/>
                <w:szCs w:val="22"/>
              </w:rPr>
              <w:tab/>
              <w:t>13</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fldChar w:fldCharType="separate"/>
            </w:r>
            <w:r>
              <w:rPr>
                <w:rStyle w:val="Vnculodendice"/>
                <w:rFonts w:cs="Arial"/>
                <w:vanish w:val="false"/>
                <w:sz w:val="22"/>
                <w:szCs w:val="22"/>
              </w:rPr>
              <w:tab/>
              <w:t>15</w:t>
            </w:r>
            <w:r>
              <w:rPr>
                <w:webHidden/>
              </w:rPr>
              <w:fldChar w:fldCharType="end"/>
            </w:r>
          </w:hyperlink>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Normal"/>
        <w:spacing w:lineRule="auto" w:line="276"/>
        <w:jc w:val="center"/>
        <w:rPr>
          <w:rFonts w:ascii="Calibri" w:hAnsi="Calibri" w:cs="Arial"/>
          <w:b/>
          <w:b/>
          <w:bCs/>
          <w:i w:val="false"/>
          <w:i w:val="false"/>
          <w:iCs w:val="false"/>
          <w:color w:val="000000"/>
          <w:sz w:val="24"/>
          <w:szCs w:val="24"/>
        </w:rPr>
      </w:pPr>
      <w:r>
        <w:rPr/>
        <w:drawing>
          <wp:inline distT="0" distB="0" distL="0" distR="0">
            <wp:extent cx="718820" cy="721360"/>
            <wp:effectExtent l="0" t="0" r="0" b="0"/>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2"/>
                    <a:srcRect l="-12" t="-12" r="-12" b="-12"/>
                    <a:stretch>
                      <a:fillRect/>
                    </a:stretch>
                  </pic:blipFill>
                  <pic:spPr bwMode="auto">
                    <a:xfrm>
                      <a:off x="0" y="0"/>
                      <a:ext cx="718820" cy="721360"/>
                    </a:xfrm>
                    <a:prstGeom prst="rect">
                      <a:avLst/>
                    </a:prstGeom>
                  </pic:spPr>
                </pic:pic>
              </a:graphicData>
            </a:graphic>
          </wp:inline>
        </w:drawing>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MARINHA DO BRASIL</w:t>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HOSPITAL NAVAL DE NATAL</w:t>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r>
    </w:p>
    <w:p>
      <w:pPr>
        <w:pStyle w:val="Normal"/>
        <w:spacing w:lineRule="auto" w:line="276"/>
        <w:jc w:val="center"/>
        <w:rPr/>
      </w:pPr>
      <w:r>
        <w:rPr>
          <w:rFonts w:cs="Arial"/>
          <w:b/>
          <w:bCs/>
          <w:i w:val="false"/>
          <w:iCs w:val="false"/>
          <w:color w:val="000000"/>
          <w:sz w:val="24"/>
          <w:szCs w:val="24"/>
        </w:rPr>
        <w:t>AVISO DE DISPENSA ELETRÔNICA Nº 41/2023</w:t>
      </w:r>
    </w:p>
    <w:p>
      <w:pPr>
        <w:pStyle w:val="Normal"/>
        <w:spacing w:lineRule="auto" w:line="276" w:before="0" w:after="120"/>
        <w:ind w:left="0" w:right="0" w:hanging="0"/>
        <w:jc w:val="center"/>
        <w:rPr/>
      </w:pPr>
      <w:r>
        <w:rPr>
          <w:rFonts w:cs="Arial"/>
          <w:b/>
          <w:bCs/>
          <w:i w:val="false"/>
          <w:iCs w:val="false"/>
          <w:color w:val="000000"/>
          <w:sz w:val="24"/>
          <w:szCs w:val="24"/>
        </w:rPr>
        <w:t>(Processo Administrativo n.°</w:t>
      </w:r>
      <w:r>
        <w:rPr>
          <w:rFonts w:cs="Arial"/>
          <w:b/>
          <w:bCs/>
          <w:i/>
          <w:iCs/>
          <w:color w:val="CE181E"/>
          <w:sz w:val="24"/>
          <w:szCs w:val="24"/>
        </w:rPr>
        <w:t xml:space="preserve"> </w:t>
      </w:r>
      <w:r>
        <w:rPr>
          <w:rStyle w:val="Nfaseforte"/>
          <w:rFonts w:cs="Arial"/>
          <w:i w:val="false"/>
          <w:iCs w:val="false"/>
          <w:color w:val="000000"/>
          <w:spacing w:val="0"/>
          <w:sz w:val="24"/>
          <w:szCs w:val="24"/>
        </w:rPr>
        <w:t>63064.006818/2023-14)</w:t>
      </w:r>
    </w:p>
    <w:p>
      <w:pPr>
        <w:pStyle w:val="Normal"/>
        <w:rPr>
          <w:rFonts w:ascii="Arial" w:hAnsi="Arial" w:cs="Arial"/>
          <w:sz w:val="24"/>
        </w:rPr>
      </w:pPr>
      <w:r>
        <w:rPr>
          <w:rFonts w:cs="Arial"/>
          <w:sz w:val="24"/>
        </w:rPr>
      </w:r>
    </w:p>
    <w:p>
      <w:pPr>
        <w:pStyle w:val="Normal"/>
        <w:snapToGrid w:val="false"/>
        <w:spacing w:lineRule="auto" w:line="276" w:before="0" w:after="120"/>
        <w:ind w:left="0" w:right="0" w:firstLine="540"/>
        <w:jc w:val="both"/>
        <w:rPr>
          <w:rFonts w:ascii="Arial" w:hAnsi="Arial"/>
          <w:sz w:val="24"/>
          <w:szCs w:val="24"/>
        </w:rPr>
      </w:pPr>
      <w:r>
        <w:rPr>
          <w:rFonts w:cs="Arial"/>
          <w:color w:val="000000"/>
          <w:sz w:val="24"/>
          <w:szCs w:val="24"/>
        </w:rPr>
        <w:t xml:space="preserve">Torna-se público que o Hospital Naval de Natal, por meio da Seção de Aquisições, realizará Dispensa Eletrônica, </w:t>
      </w:r>
      <w:r>
        <w:rPr>
          <w:rFonts w:cs="Arial"/>
          <w:bCs/>
          <w:color w:val="000000"/>
          <w:sz w:val="24"/>
          <w:szCs w:val="24"/>
        </w:rPr>
        <w:t>com critério de julgamento</w:t>
      </w:r>
      <w:r>
        <w:rPr>
          <w:rFonts w:cs="Arial"/>
          <w:b/>
          <w:bCs/>
          <w:i w:val="false"/>
          <w:iCs w:val="false"/>
          <w:color w:val="000000"/>
          <w:sz w:val="24"/>
          <w:szCs w:val="24"/>
        </w:rPr>
        <w:t xml:space="preserve"> </w:t>
      </w:r>
      <w:r>
        <w:rPr>
          <w:rFonts w:cs="Arial"/>
          <w:i w:val="false"/>
          <w:iCs w:val="false"/>
          <w:color w:val="000000"/>
          <w:sz w:val="24"/>
          <w:szCs w:val="24"/>
        </w:rPr>
        <w:t>menor preço</w:t>
      </w:r>
      <w:r>
        <w:rPr>
          <w:rFonts w:cs="Arial"/>
          <w:b w:val="false"/>
          <w:bCs w:val="false"/>
          <w:i w:val="false"/>
          <w:iCs w:val="false"/>
          <w:color w:val="000000"/>
          <w:sz w:val="24"/>
          <w:szCs w:val="24"/>
        </w:rPr>
        <w:t xml:space="preserve">, </w:t>
      </w:r>
      <w:r>
        <w:rPr>
          <w:rFonts w:cs="Arial"/>
          <w:b w:val="false"/>
          <w:bCs w:val="false"/>
          <w:color w:val="000000"/>
          <w:sz w:val="24"/>
          <w:szCs w:val="24"/>
        </w:rPr>
        <w:t>na hipótese do art. 75</w:t>
      </w:r>
      <w:r>
        <w:rPr>
          <w:rFonts w:cs="Arial"/>
          <w:b w:val="false"/>
          <w:bCs w:val="false"/>
          <w:i/>
          <w:iCs/>
          <w:color w:val="000000"/>
          <w:sz w:val="24"/>
          <w:szCs w:val="24"/>
        </w:rPr>
        <w:t xml:space="preserve">, </w:t>
      </w:r>
      <w:r>
        <w:rPr>
          <w:rFonts w:cs="Arial"/>
          <w:b w:val="false"/>
          <w:bCs w:val="false"/>
          <w:i w:val="false"/>
          <w:iCs w:val="false"/>
          <w:color w:val="000000"/>
          <w:sz w:val="24"/>
          <w:szCs w:val="24"/>
        </w:rPr>
        <w:t>inciso II</w:t>
      </w:r>
      <w:r>
        <w:rPr>
          <w:rFonts w:cs="Arial"/>
          <w:i w:val="false"/>
          <w:iCs w:val="false"/>
          <w:color w:val="000000"/>
          <w:sz w:val="24"/>
          <w:szCs w:val="24"/>
        </w:rPr>
        <w:t>,</w:t>
      </w:r>
      <w:r>
        <w:rPr>
          <w:rFonts w:cs="Arial"/>
          <w:color w:val="FF0000"/>
          <w:sz w:val="24"/>
          <w:szCs w:val="24"/>
        </w:rPr>
        <w:t xml:space="preserve"> </w:t>
      </w:r>
      <w:r>
        <w:rPr>
          <w:rFonts w:cs="Arial"/>
          <w:bCs/>
          <w:sz w:val="24"/>
          <w:szCs w:val="24"/>
        </w:rPr>
        <w:t>nos termos da Lei nº 14.133, de 1º de abril de 2021, da Instrução Normativa SEGES/ME nº 67/2021 e demais legislação aplicável</w:t>
      </w:r>
      <w:r>
        <w:rPr>
          <w:rFonts w:cs="Arial"/>
          <w:color w:val="000000"/>
          <w:sz w:val="24"/>
          <w:szCs w:val="24"/>
        </w:rPr>
        <w:t>.</w:t>
      </w:r>
    </w:p>
    <w:p>
      <w:pPr>
        <w:pStyle w:val="Normal"/>
        <w:spacing w:lineRule="auto" w:line="276"/>
        <w:jc w:val="both"/>
        <w:rPr>
          <w:rFonts w:ascii="Arial" w:hAnsi="Arial" w:cs="Arial"/>
          <w:color w:val="000000"/>
          <w:sz w:val="24"/>
          <w:szCs w:val="24"/>
        </w:rPr>
      </w:pPr>
      <w:r>
        <w:rPr>
          <w:rFonts w:cs="Arial"/>
          <w:color w:val="000000"/>
          <w:sz w:val="24"/>
          <w:szCs w:val="24"/>
        </w:rPr>
      </w:r>
    </w:p>
    <w:p>
      <w:pPr>
        <w:pStyle w:val="Normal"/>
        <w:spacing w:lineRule="auto" w:line="276"/>
        <w:jc w:val="both"/>
        <w:rPr/>
      </w:pPr>
      <w:r>
        <w:rPr>
          <w:rFonts w:cs="Arial"/>
          <w:color w:val="000000"/>
          <w:sz w:val="24"/>
          <w:szCs w:val="24"/>
        </w:rPr>
        <w:t>Data da sessão: 1</w:t>
      </w:r>
      <w:r>
        <w:rPr>
          <w:rFonts w:cs="Arial"/>
          <w:color w:val="000000"/>
          <w:sz w:val="24"/>
          <w:szCs w:val="24"/>
        </w:rPr>
        <w:t>1</w:t>
      </w:r>
      <w:r>
        <w:rPr>
          <w:rFonts w:cs="Arial"/>
          <w:color w:val="F58220"/>
          <w:sz w:val="24"/>
          <w:szCs w:val="24"/>
        </w:rPr>
        <w:t xml:space="preserve"> </w:t>
      </w:r>
      <w:r>
        <w:rPr>
          <w:rFonts w:cs="Arial"/>
          <w:color w:val="000000"/>
          <w:sz w:val="24"/>
          <w:szCs w:val="24"/>
        </w:rPr>
        <w:t>de julho de 2023</w:t>
      </w:r>
    </w:p>
    <w:p>
      <w:pPr>
        <w:pStyle w:val="Normal"/>
        <w:rPr>
          <w:rFonts w:ascii="Arial" w:hAnsi="Arial" w:cs="Arial"/>
          <w:color w:val="000000"/>
          <w:sz w:val="24"/>
          <w:szCs w:val="24"/>
        </w:rPr>
      </w:pPr>
      <w:r>
        <w:rPr>
          <w:rFonts w:cs="Arial"/>
          <w:color w:val="000000"/>
          <w:sz w:val="24"/>
          <w:szCs w:val="24"/>
        </w:rPr>
        <w:t>Link: Portal de Compras do Governo Federal – www.compras.gov.br</w:t>
      </w:r>
    </w:p>
    <w:p>
      <w:pPr>
        <w:pStyle w:val="Normal"/>
        <w:snapToGrid w:val="false"/>
        <w:spacing w:lineRule="auto" w:line="276" w:before="0" w:after="120"/>
        <w:ind w:right="-30" w:firstLine="540"/>
        <w:jc w:val="both"/>
        <w:rPr>
          <w:rFonts w:ascii="Arial" w:hAnsi="Arial"/>
          <w:color w:val="000000"/>
          <w:sz w:val="24"/>
          <w:szCs w:val="24"/>
        </w:rPr>
      </w:pPr>
      <w:r>
        <w:rPr>
          <w:rFonts w:cs="Arial"/>
          <w:i/>
          <w:color w:val="000000" w:themeColor="text1"/>
          <w:sz w:val="24"/>
          <w:szCs w:val="24"/>
        </w:rPr>
        <w:t>Horário da Fase de Lances: 8:00 às 14:</w:t>
      </w:r>
      <w:r>
        <w:rPr>
          <w:rFonts w:cs="Arial"/>
          <w:i w:val="false"/>
          <w:iCs w:val="false"/>
          <w:color w:val="000000" w:themeColor="text1"/>
          <w:sz w:val="24"/>
          <w:szCs w:val="24"/>
        </w:rPr>
        <w:t>00</w:t>
      </w:r>
      <w:r>
        <w:rPr>
          <w:rFonts w:cs="Arial"/>
          <w:i/>
          <w:color w:val="000000" w:themeColor="text1"/>
          <w:sz w:val="24"/>
          <w:szCs w:val="24"/>
        </w:rPr>
        <w:t>.</w:t>
      </w:r>
    </w:p>
    <w:p>
      <w:pPr>
        <w:pStyle w:val="PADRO"/>
        <w:keepNext w:val="false"/>
        <w:widowControl/>
        <w:shd w:val="clear" w:color="auto" w:fill="auto"/>
        <w:spacing w:before="120" w:after="120"/>
        <w:ind w:left="360"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00000A"/>
          <w:sz w:val="24"/>
          <w:szCs w:val="24"/>
        </w:rPr>
      </w:pPr>
      <w:bookmarkStart w:id="1" w:name="_Toc104906818"/>
      <w:bookmarkEnd w:id="1"/>
      <w:r>
        <w:rPr>
          <w:rFonts w:cs="Arial" w:ascii="Arial" w:hAnsi="Arial"/>
          <w:color w:val="00000A"/>
          <w:sz w:val="24"/>
          <w:szCs w:val="24"/>
        </w:rPr>
        <w:t>OBJETO DA CONTRATAÇÃO DIRETA</w:t>
      </w:r>
    </w:p>
    <w:p>
      <w:pPr>
        <w:pStyle w:val="PADRO"/>
        <w:keepNext w:val="true"/>
        <w:widowControl/>
        <w:numPr>
          <w:ilvl w:val="1"/>
          <w:numId w:val="1"/>
        </w:numPr>
        <w:shd w:val="clear" w:color="auto" w:fill="auto"/>
        <w:spacing w:before="120" w:after="120"/>
        <w:rPr/>
      </w:pPr>
      <w:r>
        <w:rPr>
          <w:rFonts w:cs="Arial" w:ascii="Arial" w:hAnsi="Arial"/>
          <w:color w:val="000000" w:themeColor="text1"/>
          <w:sz w:val="24"/>
          <w:szCs w:val="24"/>
        </w:rPr>
        <w:t xml:space="preserve">O objeto da presente dispensa é a escolha da proposta mais vantajosa para a </w:t>
      </w:r>
      <w:r>
        <w:rPr>
          <w:rFonts w:cs="Arial" w:ascii="Arial" w:hAnsi="Arial"/>
          <w:color w:val="000000"/>
          <w:sz w:val="24"/>
          <w:szCs w:val="24"/>
        </w:rPr>
        <w:t xml:space="preserve">contratação </w:t>
      </w:r>
      <w:r>
        <w:rPr>
          <w:rFonts w:cs="Arial" w:ascii="Arial" w:hAnsi="Arial"/>
          <w:color w:val="000000" w:themeColor="text1"/>
          <w:sz w:val="24"/>
          <w:szCs w:val="24"/>
        </w:rPr>
        <w:t>por dispensa de licitação de fechadura para porta do banheiro feminino do NAIM (Núcleo de Atendimento ao Idoso),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pPr>
      <w:r>
        <w:rPr>
          <w:rFonts w:cs="Arial" w:ascii="Arial" w:hAnsi="Arial"/>
          <w:i w:val="false"/>
          <w:iCs w:val="false"/>
          <w:color w:val="000000"/>
          <w:sz w:val="24"/>
        </w:rPr>
        <w:t>A aquisição ocorrerá em item único</w:t>
      </w:r>
      <w:r>
        <w:rPr>
          <w:rFonts w:cs="Arial" w:ascii="Arial" w:hAnsi="Arial"/>
          <w:b/>
          <w:bCs/>
          <w:i w:val="false"/>
          <w:iCs w:val="false"/>
          <w:color w:val="000000"/>
          <w:sz w:val="24"/>
        </w:rPr>
        <w:t>,</w:t>
      </w:r>
      <w:r>
        <w:rPr>
          <w:rFonts w:cs="Arial" w:ascii="Arial" w:hAnsi="Arial"/>
          <w:i w:val="false"/>
          <w:iCs w:val="false"/>
          <w:color w:val="000000"/>
          <w:sz w:val="24"/>
        </w:rPr>
        <w:t xml:space="preserve"> conforme tabela constante abaixo.</w:t>
      </w:r>
      <w:r>
        <w:rPr>
          <w:rFonts w:cs="Arial" w:ascii="Arial" w:hAnsi="Arial"/>
          <w:i/>
          <w:iCs/>
          <w:color w:val="000000"/>
          <w:sz w:val="24"/>
        </w:rPr>
        <w:t xml:space="preserve"> </w:t>
      </w:r>
    </w:p>
    <w:tbl>
      <w:tblPr>
        <w:tblW w:w="9690" w:type="dxa"/>
        <w:jc w:val="left"/>
        <w:tblInd w:w="92" w:type="dxa"/>
        <w:tblCellMar>
          <w:top w:w="0" w:type="dxa"/>
          <w:left w:w="73" w:type="dxa"/>
          <w:bottom w:w="0" w:type="dxa"/>
          <w:right w:w="108" w:type="dxa"/>
        </w:tblCellMar>
      </w:tblPr>
      <w:tblGrid>
        <w:gridCol w:w="1406"/>
        <w:gridCol w:w="2505"/>
        <w:gridCol w:w="1697"/>
        <w:gridCol w:w="1202"/>
        <w:gridCol w:w="1288"/>
        <w:gridCol w:w="1591"/>
      </w:tblGrid>
      <w:tr>
        <w:trPr/>
        <w:tc>
          <w:tcPr>
            <w:tcW w:w="140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ITEM</w:t>
            </w:r>
          </w:p>
        </w:tc>
        <w:tc>
          <w:tcPr>
            <w:tcW w:w="250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jc w:val="center"/>
              <w:rPr>
                <w:rFonts w:ascii="Arial" w:hAnsi="Arial" w:cs="Arial"/>
                <w:b/>
                <w:b/>
                <w:bCs/>
                <w:color w:val="000000"/>
                <w:sz w:val="24"/>
                <w:szCs w:val="24"/>
              </w:rPr>
            </w:pPr>
            <w:r>
              <w:rPr>
                <w:rFonts w:cs="Arial"/>
                <w:b/>
                <w:bCs/>
                <w:color w:val="000000"/>
                <w:sz w:val="24"/>
                <w:szCs w:val="24"/>
              </w:rPr>
              <w:t>DESCRIÇÃO/</w:t>
            </w:r>
          </w:p>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ESPECIFICAÇÃO</w:t>
            </w:r>
          </w:p>
        </w:tc>
        <w:tc>
          <w:tcPr>
            <w:tcW w:w="169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pPr>
            <w:r>
              <w:rPr>
                <w:rFonts w:cs="Arial"/>
                <w:b/>
                <w:bCs/>
                <w:color w:val="000000"/>
                <w:sz w:val="24"/>
                <w:szCs w:val="24"/>
              </w:rPr>
              <w:t>CATMAT</w:t>
            </w:r>
          </w:p>
        </w:tc>
        <w:tc>
          <w:tcPr>
            <w:tcW w:w="1202"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UN. DE MEDIDA</w:t>
            </w:r>
          </w:p>
        </w:tc>
        <w:tc>
          <w:tcPr>
            <w:tcW w:w="1288"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QUANT.</w:t>
            </w:r>
          </w:p>
        </w:tc>
        <w:tc>
          <w:tcPr>
            <w:tcW w:w="159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PRAZO DE EXECUÇÃO</w:t>
            </w:r>
          </w:p>
        </w:tc>
      </w:tr>
      <w:tr>
        <w:trPr/>
        <w:tc>
          <w:tcPr>
            <w:tcW w:w="140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color w:val="000000"/>
              </w:rPr>
            </w:pPr>
            <w:r>
              <w:rPr>
                <w:rFonts w:cs="Arial"/>
                <w:b w:val="false"/>
                <w:bCs w:val="false"/>
                <w:color w:val="000000"/>
                <w:sz w:val="24"/>
                <w:szCs w:val="24"/>
              </w:rPr>
              <w:t>1</w:t>
            </w:r>
          </w:p>
        </w:tc>
        <w:tc>
          <w:tcPr>
            <w:tcW w:w="250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lineRule="auto" w:line="276" w:before="0" w:after="120"/>
              <w:jc w:val="both"/>
              <w:rPr>
                <w:rFonts w:ascii="Calibri" w:hAnsi="Calibri" w:eastAsia="Arial"/>
                <w:color w:val="000000"/>
                <w:sz w:val="21"/>
                <w:szCs w:val="21"/>
              </w:rPr>
            </w:pPr>
            <w:r>
              <w:rPr>
                <w:rFonts w:eastAsia="Arial" w:ascii="Calibri" w:hAnsi="Calibri"/>
                <w:b w:val="false"/>
                <w:i w:val="false"/>
                <w:strike w:val="false"/>
                <w:dstrike w:val="false"/>
                <w:outline w:val="false"/>
                <w:shadow w:val="false"/>
                <w:color w:val="000000"/>
                <w:sz w:val="24"/>
                <w:szCs w:val="24"/>
                <w:u w:val="none"/>
                <w:em w:val="none"/>
              </w:rPr>
              <w:t>FECHADURA EXT. 3600/104 COLONIAL ZELO ALIANÇA.</w:t>
            </w:r>
          </w:p>
        </w:tc>
        <w:tc>
          <w:tcPr>
            <w:tcW w:w="1697" w:type="dxa"/>
            <w:tcBorders>
              <w:top w:val="single" w:sz="4" w:space="0" w:color="000001"/>
              <w:left w:val="single" w:sz="4" w:space="0" w:color="000001"/>
              <w:bottom w:val="single" w:sz="4" w:space="0" w:color="000001"/>
              <w:right w:val="single" w:sz="4" w:space="0" w:color="000001"/>
            </w:tcBorders>
            <w:shd w:fill="auto" w:val="clear"/>
            <w:vAlign w:val="center"/>
          </w:tcPr>
          <w:p>
            <w:pPr>
              <w:pStyle w:val="Contedodatabela"/>
              <w:jc w:val="center"/>
              <w:rPr/>
            </w:pPr>
            <w:r>
              <w:rPr>
                <w:sz w:val="24"/>
                <w:szCs w:val="24"/>
              </w:rPr>
              <w:t>2436</w:t>
            </w:r>
          </w:p>
        </w:tc>
        <w:tc>
          <w:tcPr>
            <w:tcW w:w="1202" w:type="dxa"/>
            <w:tcBorders>
              <w:top w:val="single" w:sz="4" w:space="0" w:color="000001"/>
              <w:left w:val="single" w:sz="4" w:space="0" w:color="000001"/>
              <w:bottom w:val="single" w:sz="4" w:space="0" w:color="000001"/>
              <w:right w:val="single" w:sz="4" w:space="0" w:color="000001"/>
            </w:tcBorders>
            <w:shd w:fill="auto" w:val="clear"/>
            <w:vAlign w:val="center"/>
          </w:tcPr>
          <w:p>
            <w:pPr>
              <w:pStyle w:val="Contedodatabela"/>
              <w:jc w:val="center"/>
              <w:rPr>
                <w:color w:val="000000"/>
              </w:rPr>
            </w:pPr>
            <w:r>
              <w:rPr>
                <w:color w:val="000000"/>
                <w:sz w:val="24"/>
                <w:szCs w:val="24"/>
              </w:rPr>
              <w:t>UN</w:t>
            </w:r>
          </w:p>
        </w:tc>
        <w:tc>
          <w:tcPr>
            <w:tcW w:w="1288" w:type="dxa"/>
            <w:tcBorders>
              <w:top w:val="single" w:sz="4" w:space="0" w:color="000001"/>
              <w:left w:val="single" w:sz="4" w:space="0" w:color="000001"/>
              <w:bottom w:val="single" w:sz="4" w:space="0" w:color="000001"/>
              <w:right w:val="single" w:sz="4" w:space="0" w:color="000001"/>
            </w:tcBorders>
            <w:shd w:fill="auto" w:val="clear"/>
            <w:vAlign w:val="center"/>
          </w:tcPr>
          <w:p>
            <w:pPr>
              <w:pStyle w:val="Contedodatabela"/>
              <w:jc w:val="center"/>
              <w:rPr>
                <w:color w:val="000000"/>
              </w:rPr>
            </w:pPr>
            <w:r>
              <w:rPr>
                <w:color w:val="000000"/>
                <w:sz w:val="24"/>
                <w:szCs w:val="24"/>
              </w:rPr>
              <w:t>1</w:t>
            </w:r>
          </w:p>
        </w:tc>
        <w:tc>
          <w:tcPr>
            <w:tcW w:w="1591" w:type="dxa"/>
            <w:tcBorders>
              <w:top w:val="single" w:sz="4" w:space="0" w:color="000001"/>
              <w:left w:val="single" w:sz="4" w:space="0" w:color="000001"/>
              <w:bottom w:val="single" w:sz="4" w:space="0" w:color="000001"/>
              <w:right w:val="single" w:sz="4" w:space="0" w:color="000001"/>
            </w:tcBorders>
            <w:shd w:fill="auto" w:val="clear"/>
            <w:vAlign w:val="center"/>
          </w:tcPr>
          <w:p>
            <w:pPr>
              <w:pStyle w:val="Contedodatabela"/>
              <w:jc w:val="center"/>
              <w:rPr>
                <w:color w:val="000000"/>
              </w:rPr>
            </w:pPr>
            <w:r>
              <w:rPr>
                <w:color w:val="000000"/>
                <w:sz w:val="24"/>
                <w:szCs w:val="24"/>
              </w:rPr>
              <w:t>Imediato</w:t>
            </w:r>
          </w:p>
        </w:tc>
      </w:tr>
    </w:tbl>
    <w:p>
      <w:pPr>
        <w:pStyle w:val="PADRO"/>
        <w:keepNext w:val="false"/>
        <w:widowControl/>
        <w:numPr>
          <w:ilvl w:val="2"/>
          <w:numId w:val="1"/>
        </w:numPr>
        <w:shd w:val="clear" w:color="auto" w:fill="auto"/>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000000"/>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p>
    <w:p>
      <w:pPr>
        <w:pStyle w:val="Ttulo1"/>
        <w:numPr>
          <w:ilvl w:val="0"/>
          <w:numId w:val="1"/>
        </w:numPr>
        <w:rPr>
          <w:rFonts w:ascii="Arial" w:hAnsi="Arial"/>
        </w:rPr>
      </w:pPr>
      <w:bookmarkStart w:id="2" w:name="_Toc104906819"/>
      <w:bookmarkEnd w:id="2"/>
      <w:r>
        <w:rPr>
          <w:rFonts w:cs="Arial" w:ascii="Arial" w:hAnsi="Arial"/>
          <w:color w:val="00000A"/>
          <w:sz w:val="24"/>
          <w:szCs w:val="24"/>
        </w:rPr>
        <w:t>PARTICIPAÇÃO NA DISPENSA ELETRÔNICA.</w:t>
      </w:r>
    </w:p>
    <w:p>
      <w:pPr>
        <w:pStyle w:val="Normal"/>
        <w:numPr>
          <w:ilvl w:val="1"/>
          <w:numId w:val="1"/>
        </w:numPr>
        <w:snapToGrid w:val="false"/>
        <w:spacing w:lineRule="auto" w:line="276" w:before="120" w:after="120"/>
        <w:jc w:val="both"/>
        <w:rPr>
          <w:rFonts w:ascii="Arial" w:hAnsi="Arial"/>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bCs/>
          <w:sz w:val="24"/>
          <w:szCs w:val="24"/>
        </w:rPr>
        <w:t>www.compras.gov.br.</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3">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Arial" w:hAnsi="Arial"/>
        </w:rPr>
      </w:pPr>
      <w:r>
        <w:rPr>
          <w:rFonts w:cs="Arial"/>
          <w:color w:val="000000"/>
          <w:sz w:val="24"/>
        </w:rPr>
        <w:t>organizações da Sociedade Civil de Interesse Público - OSCIP, atuando nessa condição (Acórdão nº 746/2014-TCU-Plenário); e</w:t>
      </w:r>
    </w:p>
    <w:p>
      <w:pPr>
        <w:pStyle w:val="Normal"/>
        <w:numPr>
          <w:ilvl w:val="0"/>
          <w:numId w:val="0"/>
        </w:numPr>
        <w:spacing w:lineRule="auto" w:line="276" w:before="120" w:after="120"/>
        <w:ind w:left="1224" w:hanging="0"/>
        <w:jc w:val="both"/>
        <w:rPr>
          <w:rFonts w:cs="Arial"/>
          <w:color w:val="000000"/>
          <w:sz w:val="24"/>
        </w:rPr>
      </w:pPr>
      <w:r>
        <w:rPr>
          <w:rFonts w:cs="Arial"/>
          <w:color w:val="000000"/>
          <w:sz w:val="24"/>
        </w:rPr>
      </w:r>
    </w:p>
    <w:p>
      <w:pPr>
        <w:pStyle w:val="Normal"/>
        <w:numPr>
          <w:ilvl w:val="1"/>
          <w:numId w:val="1"/>
        </w:numPr>
        <w:spacing w:lineRule="auto" w:line="276" w:before="120" w:after="120"/>
        <w:jc w:val="both"/>
        <w:rPr>
          <w:rFonts w:ascii="Arial" w:hAnsi="Arial"/>
          <w:color w:val="000000"/>
        </w:rPr>
      </w:pPr>
      <w:r>
        <w:rPr>
          <w:rFonts w:cs="Arial"/>
          <w:i/>
          <w:color w:val="000000"/>
          <w:sz w:val="24"/>
        </w:rPr>
        <w:t>Será permitida a participação de cooperativas, desde que apresentem demonstrativo de atuação em regime cooperado, com repartição de receitas e despesas entre os cooperados e atendam ao art. 16 da Lei nº 14.133/21.</w:t>
      </w:r>
    </w:p>
    <w:p>
      <w:pPr>
        <w:pStyle w:val="Normal"/>
        <w:numPr>
          <w:ilvl w:val="2"/>
          <w:numId w:val="1"/>
        </w:numPr>
        <w:spacing w:lineRule="auto" w:line="276" w:before="120" w:after="120"/>
        <w:jc w:val="both"/>
        <w:rPr>
          <w:rFonts w:ascii="Arial" w:hAnsi="Arial"/>
        </w:rPr>
      </w:pPr>
      <w:r>
        <w:rPr>
          <w:rFonts w:cs="Arial"/>
          <w:i/>
          <w:iCs/>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PADRO"/>
        <w:keepNext w:val="false"/>
        <w:widowControl/>
        <w:shd w:val="clear" w:color="auto" w:fill="auto"/>
        <w:spacing w:before="120" w:after="120"/>
        <w:ind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00000A"/>
          <w:sz w:val="24"/>
          <w:szCs w:val="24"/>
        </w:rPr>
      </w:pPr>
      <w:bookmarkStart w:id="3" w:name="_Toc104906820"/>
      <w:bookmarkEnd w:id="3"/>
      <w:r>
        <w:rPr>
          <w:rFonts w:cs="Arial" w:ascii="Arial" w:hAnsi="Arial"/>
          <w:color w:val="00000A"/>
          <w:sz w:val="24"/>
          <w:szCs w:val="24"/>
        </w:rPr>
        <w:t>INGRESSO NA DISPENSA ELETRÔNICA E CADASTRAMENTO DA PROPOSTA INICIAL</w:t>
      </w:r>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 w:val="24"/>
        </w:rPr>
        <w:t xml:space="preserve">A apresentação das propostas implica obrigatoriedade do cumprimento das disposições nelas contidas, em conformidade com o que dispõe </w:t>
      </w:r>
      <w:r>
        <w:rPr>
          <w:rFonts w:cs="Arial"/>
          <w:i w:val="false"/>
          <w:iCs w:val="false"/>
          <w:color w:val="F58220"/>
          <w:sz w:val="24"/>
        </w:rPr>
        <w:t>e</w:t>
      </w:r>
      <w:r>
        <w:rPr>
          <w:rFonts w:cs="Arial"/>
          <w:i w:val="false"/>
          <w:iCs w:val="false"/>
          <w:color w:val="000000"/>
          <w:sz w:val="24"/>
        </w:rPr>
        <w:t>ste Aviso de Dispensa,</w:t>
      </w:r>
      <w:r>
        <w:rPr>
          <w:rFonts w:cs="Arial"/>
          <w:color w:val="000000"/>
          <w:sz w:val="24"/>
        </w:rPr>
        <w:t xml:space="preserve"> assumindo o proponente o compromisso de executar os servi</w:t>
      </w:r>
      <w:r>
        <w:rPr>
          <w:rFonts w:cs="Arial"/>
          <w:sz w:val="24"/>
        </w:rPr>
        <w:t>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jc w:val="both"/>
        <w:rPr>
          <w:rFonts w:cs="Arial"/>
          <w:color w:val="000000"/>
          <w:sz w:val="24"/>
        </w:rPr>
      </w:pPr>
      <w:r>
        <w:rPr>
          <w:rFonts w:cs="Arial"/>
          <w:color w:val="000000"/>
          <w:sz w:val="24"/>
          <w:szCs w:val="24"/>
        </w:rPr>
        <w:t xml:space="preserve">      </w:t>
      </w:r>
      <w:r>
        <w:rPr>
          <w:rFonts w:cs="Arial"/>
          <w:color w:val="000000"/>
          <w:sz w:val="24"/>
          <w:szCs w:val="24"/>
        </w:rPr>
        <w:t>Até a abertura da sessão pública, os fornecedores poderão retirar ou substituir a proposta anteriormente inserida no sistema;</w:t>
      </w:r>
    </w:p>
    <w:p>
      <w:pPr>
        <w:pStyle w:val="Normal"/>
        <w:numPr>
          <w:ilvl w:val="1"/>
          <w:numId w:val="1"/>
        </w:numPr>
        <w:spacing w:lineRule="auto" w:line="276" w:before="120" w:after="120"/>
        <w:ind w:left="425" w:hanging="0"/>
        <w:jc w:val="both"/>
        <w:rPr>
          <w:rFonts w:ascii="Arial" w:hAnsi="Arial"/>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Arial" w:hAnsi="Arial"/>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ind w:left="720" w:hanging="0"/>
        <w:jc w:val="both"/>
        <w:rPr>
          <w:rFonts w:ascii="Arial" w:hAnsi="Arial" w:cs="Arial"/>
          <w:i/>
          <w:i/>
          <w:color w:val="FF0000"/>
          <w:sz w:val="24"/>
        </w:rPr>
      </w:pPr>
      <w:r>
        <w:rPr>
          <w:rFonts w:cs="Arial"/>
          <w:i/>
          <w:color w:val="FF0000"/>
          <w:sz w:val="24"/>
        </w:rPr>
      </w:r>
    </w:p>
    <w:p>
      <w:pPr>
        <w:pStyle w:val="Ttulo1"/>
        <w:numPr>
          <w:ilvl w:val="0"/>
          <w:numId w:val="1"/>
        </w:numPr>
        <w:rPr>
          <w:rFonts w:ascii="Arial" w:hAnsi="Arial" w:cs="Arial"/>
          <w:color w:val="00000A"/>
          <w:sz w:val="24"/>
          <w:szCs w:val="24"/>
        </w:rPr>
      </w:pPr>
      <w:bookmarkStart w:id="4" w:name="_Toc104906821"/>
      <w:bookmarkEnd w:id="4"/>
      <w:r>
        <w:rPr>
          <w:rFonts w:cs="Arial" w:ascii="Arial" w:hAnsi="Arial"/>
          <w:color w:val="00000A"/>
          <w:sz w:val="24"/>
          <w:szCs w:val="24"/>
        </w:rPr>
        <w:t>FASE DE LANCES</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pPr>
      <w:r>
        <w:rPr>
          <w:rFonts w:cs="Arial"/>
          <w:i w:val="false"/>
          <w:iCs w:val="false"/>
          <w:color w:val="000000"/>
          <w:sz w:val="24"/>
        </w:rPr>
        <w:t>O lance deverá ser ofertado pelo valor unitário do item.</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 w:val="24"/>
        </w:rPr>
        <w:t>O intervalo mínimo de diferença de valores ou percentuais entre os lances, que incidirá tanto em relação aos lances intermediários quanto em relação ao que cobrir a melhor oferta é d</w:t>
      </w:r>
      <w:r>
        <w:rPr>
          <w:rFonts w:cs="Arial"/>
          <w:i w:val="false"/>
          <w:iCs w:val="false"/>
          <w:sz w:val="24"/>
        </w:rPr>
        <w:t>e</w:t>
      </w:r>
      <w:r>
        <w:rPr>
          <w:rFonts w:cs="Arial"/>
          <w:i w:val="false"/>
          <w:iCs w:val="false"/>
          <w:color w:val="000000"/>
          <w:sz w:val="24"/>
        </w:rPr>
        <w:t xml:space="preserve"> R$ 0,10 (dez centavos)..</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120" w:after="120"/>
        <w:ind w:left="720" w:hanging="0"/>
        <w:jc w:val="both"/>
        <w:rPr>
          <w:rFonts w:ascii="Arial" w:hAnsi="Arial" w:cs="Arial"/>
          <w:sz w:val="24"/>
        </w:rPr>
      </w:pPr>
      <w:r>
        <w:rPr>
          <w:rFonts w:cs="Arial"/>
          <w:sz w:val="24"/>
        </w:rPr>
      </w:r>
    </w:p>
    <w:p>
      <w:pPr>
        <w:pStyle w:val="Ttulo1"/>
        <w:numPr>
          <w:ilvl w:val="0"/>
          <w:numId w:val="1"/>
        </w:numPr>
        <w:rPr>
          <w:rFonts w:ascii="Arial" w:hAnsi="Arial" w:cs="Arial"/>
          <w:color w:val="00000A"/>
          <w:sz w:val="24"/>
          <w:szCs w:val="24"/>
        </w:rPr>
      </w:pPr>
      <w:bookmarkStart w:id="5" w:name="_Toc104906822"/>
      <w:bookmarkEnd w:id="5"/>
      <w:r>
        <w:rPr>
          <w:rFonts w:cs="Arial" w:ascii="Arial" w:hAnsi="Arial"/>
          <w:color w:val="00000A"/>
          <w:sz w:val="24"/>
          <w:szCs w:val="24"/>
        </w:rPr>
        <w:t>JULGAMENTO DAS PROPOSTAS DE PREÇO</w:t>
      </w:r>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Arial" w:hAnsi="Arial"/>
        </w:rPr>
      </w:pPr>
      <w:r>
        <w:rPr>
          <w:rFonts w:cs="Arial"/>
          <w:sz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Arial" w:hAnsi="Arial"/>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90 dias,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Arial" w:hAnsi="Arial"/>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ascii="Arial" w:hAnsi="Arial" w:cs="Arial"/>
          <w:color w:val="000000" w:themeColor="text1"/>
          <w:sz w:val="24"/>
          <w:lang w:eastAsia="en-US"/>
        </w:rPr>
      </w:pPr>
      <w:r>
        <w:rPr>
          <w:rFonts w:cs="Arial"/>
          <w:color w:val="000000" w:themeColor="text1"/>
          <w:sz w:val="24"/>
          <w:lang w:eastAsia="en-US"/>
        </w:rPr>
      </w:r>
    </w:p>
    <w:p>
      <w:pPr>
        <w:pStyle w:val="Ttulo1"/>
        <w:numPr>
          <w:ilvl w:val="0"/>
          <w:numId w:val="1"/>
        </w:numPr>
        <w:rPr>
          <w:rFonts w:ascii="Arial" w:hAnsi="Arial" w:cs="Arial"/>
          <w:color w:val="00000A"/>
          <w:sz w:val="24"/>
          <w:szCs w:val="24"/>
        </w:rPr>
      </w:pPr>
      <w:bookmarkStart w:id="6" w:name="_Toc104906823"/>
      <w:bookmarkEnd w:id="6"/>
      <w:r>
        <w:rPr>
          <w:rFonts w:cs="Arial" w:ascii="Arial" w:hAnsi="Arial"/>
          <w:color w:val="00000A"/>
          <w:sz w:val="24"/>
          <w:szCs w:val="24"/>
        </w:rPr>
        <w:t>HABILITAÇÃO</w:t>
      </w:r>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4">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5">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ascii="Arial" w:hAnsi="Arial"/>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i/>
          <w:i/>
          <w:color w:val="FF0000"/>
          <w:sz w:val="24"/>
        </w:rPr>
      </w:pPr>
      <w:r>
        <w:rPr>
          <w:rFonts w:cs="Arial"/>
          <w:i w:val="false"/>
          <w:iCs w:val="false"/>
          <w:color w:val="000000"/>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ascii="Arial" w:hAnsi="Arial"/>
        </w:rPr>
      </w:pPr>
      <w:r>
        <w:rPr>
          <w:rFonts w:cs="Arial"/>
          <w:i w:val="false"/>
          <w:iCs w:val="false"/>
          <w:color w:val="000000"/>
          <w:sz w:val="24"/>
        </w:rPr>
        <w:t>Não havendo a comprovação cumulativa dos requisitos de habilitação, a inabilitação recairá sobre o(s) item(ns) de menor(es) valor(es) cuja retirada(s) seja(m) suficiente(s) para a habilitação do fornecedor nos remanescentes</w:t>
      </w:r>
      <w:r>
        <w:rPr>
          <w:rFonts w:cs="Arial"/>
          <w:i/>
          <w:color w:val="FF0000"/>
          <w:sz w:val="24"/>
        </w:rPr>
        <w:t>.</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ascii="Arial" w:hAnsi="Arial" w:cs="Arial"/>
          <w:iCs/>
          <w:sz w:val="24"/>
          <w:lang w:eastAsia="en-US"/>
        </w:rPr>
      </w:pPr>
      <w:r>
        <w:rPr>
          <w:rFonts w:cs="Arial"/>
          <w:iCs/>
          <w:sz w:val="24"/>
          <w:lang w:eastAsia="en-US"/>
        </w:rPr>
      </w:r>
    </w:p>
    <w:p>
      <w:pPr>
        <w:pStyle w:val="Ttulo1"/>
        <w:numPr>
          <w:ilvl w:val="0"/>
          <w:numId w:val="1"/>
        </w:numPr>
        <w:rPr>
          <w:rFonts w:ascii="Arial" w:hAnsi="Arial" w:cs="Arial"/>
          <w:color w:val="00000A"/>
          <w:sz w:val="24"/>
          <w:szCs w:val="24"/>
        </w:rPr>
      </w:pPr>
      <w:bookmarkStart w:id="7" w:name="_Toc104906824"/>
      <w:bookmarkEnd w:id="7"/>
      <w:r>
        <w:rPr>
          <w:rFonts w:cs="Arial" w:ascii="Arial" w:hAnsi="Arial"/>
          <w:color w:val="00000A"/>
          <w:sz w:val="24"/>
          <w:szCs w:val="24"/>
        </w:rPr>
        <w:t>CONTRATAÇÃO</w:t>
      </w:r>
    </w:p>
    <w:p>
      <w:pPr>
        <w:pStyle w:val="Normal"/>
        <w:numPr>
          <w:ilvl w:val="1"/>
          <w:numId w:val="1"/>
        </w:numPr>
        <w:spacing w:lineRule="auto" w:line="276" w:before="120" w:after="120"/>
        <w:ind w:left="857" w:hanging="432"/>
        <w:jc w:val="both"/>
        <w:rPr>
          <w:rFonts w:ascii="Arial" w:hAnsi="Arial"/>
        </w:rPr>
      </w:pPr>
      <w:r>
        <w:rPr>
          <w:rFonts w:eastAsia="Arial" w:cs="Arial"/>
          <w:color w:val="000000"/>
          <w:sz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Arial" w:hAnsi="Arial"/>
        </w:rPr>
      </w:pPr>
      <w:r>
        <w:rPr>
          <w:rFonts w:eastAsia="Arial" w:cs="Arial"/>
          <w:color w:val="000000"/>
          <w:sz w:val="24"/>
        </w:rPr>
        <w:t xml:space="preserve">O adjudicatário terá o prazo de 5 (cinco) dias úteis, contados a partir da data de sua convocação, para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ascii="Arial" w:hAnsi="Arial"/>
          <w:color w:val="000000"/>
        </w:rPr>
      </w:pPr>
      <w:r>
        <w:rPr>
          <w:rFonts w:eastAsia="Arial" w:cs="Arial"/>
          <w:i/>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a contar da data de seu recebimento. </w:t>
      </w:r>
    </w:p>
    <w:p>
      <w:pPr>
        <w:pStyle w:val="Normal"/>
        <w:numPr>
          <w:ilvl w:val="2"/>
          <w:numId w:val="1"/>
        </w:numPr>
        <w:spacing w:lineRule="auto" w:line="276" w:before="120" w:after="120"/>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 w:val="24"/>
        </w:rPr>
      </w:pPr>
      <w:r>
        <w:rPr>
          <w:rFonts w:eastAsia="Arial" w:cs="Arial"/>
          <w:i w:val="false"/>
          <w:iCs w:val="false"/>
          <w:color w:val="000000"/>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000000"/>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000000"/>
          <w:sz w:val="24"/>
        </w:rPr>
        <w:t>a contratada se vincula à sua proposta e às previsões contidas no Aviso de Contratação Direta e seus anexos;</w:t>
      </w:r>
    </w:p>
    <w:p>
      <w:pPr>
        <w:pStyle w:val="Normal"/>
        <w:numPr>
          <w:ilvl w:val="2"/>
          <w:numId w:val="1"/>
        </w:numPr>
        <w:spacing w:lineRule="auto" w:line="276" w:before="120" w:after="120"/>
        <w:jc w:val="both"/>
        <w:rPr>
          <w:rFonts w:ascii="Arial" w:hAnsi="Arial"/>
          <w:i w:val="false"/>
          <w:i w:val="false"/>
          <w:iCs w:val="false"/>
          <w:color w:val="000000"/>
        </w:rPr>
      </w:pPr>
      <w:r>
        <w:rPr>
          <w:rFonts w:eastAsia="Arial" w:cs="Arial"/>
          <w:i w:val="false"/>
          <w:iCs w:val="false"/>
          <w:color w:val="000000"/>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jc w:val="both"/>
        <w:rPr>
          <w:color w:val="000000"/>
        </w:rPr>
      </w:pPr>
      <w:r>
        <w:rPr>
          <w:rFonts w:eastAsia="Arial" w:cs="Arial"/>
          <w:i w:val="false"/>
          <w:iCs w:val="false"/>
          <w:color w:val="000000"/>
          <w:sz w:val="24"/>
        </w:rPr>
        <w:t xml:space="preserve">O prazo de vigência da contratação é de 12 (doze) meses prorrogável conforme previsão nos anexos a este Aviso de Contratação Direta. / </w:t>
      </w:r>
      <w:r>
        <w:rPr>
          <w:rFonts w:eastAsia="Arial" w:cs="Arial"/>
          <w:i w:val="false"/>
          <w:iCs w:val="false"/>
          <w:color w:val="000000"/>
          <w:sz w:val="24"/>
          <w:szCs w:val="24"/>
        </w:rPr>
        <w:t xml:space="preserve"> O prazo de entrega do item será de 07(sete) dias úteis a partir do recebimento da nota de empenho. </w:t>
      </w:r>
    </w:p>
    <w:p>
      <w:pPr>
        <w:pStyle w:val="Normal"/>
        <w:numPr>
          <w:ilvl w:val="1"/>
          <w:numId w:val="1"/>
        </w:numPr>
        <w:spacing w:lineRule="auto" w:line="276" w:before="120" w:after="120"/>
        <w:ind w:left="425" w:hanging="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425" w:hanging="0"/>
        <w:jc w:val="both"/>
        <w:rPr>
          <w:rFonts w:ascii="Arial" w:hAnsi="Arial" w:eastAsia="Arial" w:cs="Arial"/>
          <w:color w:val="000000"/>
          <w:sz w:val="24"/>
        </w:rPr>
      </w:pPr>
      <w:r>
        <w:rPr>
          <w:rFonts w:eastAsia="Arial" w:cs="Arial"/>
          <w:color w:val="000000"/>
          <w:sz w:val="24"/>
        </w:rPr>
      </w:r>
    </w:p>
    <w:p>
      <w:pPr>
        <w:pStyle w:val="Ttulo1"/>
        <w:numPr>
          <w:ilvl w:val="0"/>
          <w:numId w:val="1"/>
        </w:numPr>
        <w:rPr>
          <w:rFonts w:ascii="Arial" w:hAnsi="Arial" w:cs="Arial"/>
          <w:color w:val="00000A"/>
          <w:sz w:val="24"/>
          <w:szCs w:val="24"/>
        </w:rPr>
      </w:pPr>
      <w:bookmarkStart w:id="8" w:name="_Toc104906825"/>
      <w:bookmarkEnd w:id="8"/>
      <w:r>
        <w:rPr>
          <w:rFonts w:cs="Arial" w:ascii="Arial" w:hAnsi="Arial"/>
          <w:color w:val="00000A"/>
          <w:sz w:val="24"/>
          <w:szCs w:val="24"/>
        </w:rPr>
        <w:t>SANÇÕES</w:t>
      </w:r>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praticar ato lesivo previsto no </w:t>
      </w:r>
      <w:r>
        <w:fldChar w:fldCharType="begin"/>
      </w:r>
      <w:r>
        <w:rPr>
          <w:rStyle w:val="ListLabel74"/>
          <w:sz w:val="24"/>
          <w:rFonts w:cs="Arial"/>
          <w:color w:val="000000"/>
        </w:rPr>
        <w:instrText> HYPERLINK "http://www.planalto.gov.br/ccivil_03/_Ato2011-2014/2013/Lei/L12846.htm" \l "art5"</w:instrText>
      </w:r>
      <w:r>
        <w:rPr>
          <w:rStyle w:val="ListLabel74"/>
          <w:sz w:val="24"/>
          <w:rFonts w:cs="Arial"/>
          <w:color w:val="000000"/>
        </w:rPr>
        <w:fldChar w:fldCharType="separate"/>
      </w:r>
      <w:r>
        <w:rPr>
          <w:rStyle w:val="ListLabel74"/>
          <w:rFonts w:cs="Arial"/>
          <w:color w:val="000000"/>
          <w:sz w:val="24"/>
        </w:rPr>
        <w:t>art. 5º da Lei nº 12.846, de 1º de agosto de 2013.</w:t>
      </w:r>
      <w:r>
        <w:rPr>
          <w:rStyle w:val="ListLabel74"/>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5"/>
        </w:numPr>
        <w:spacing w:lineRule="auto" w:line="276" w:before="120" w:after="120"/>
        <w:jc w:val="both"/>
        <w:rPr>
          <w:rFonts w:ascii="Arial" w:hAnsi="Arial"/>
        </w:rPr>
      </w:pPr>
      <w:r>
        <w:rPr>
          <w:rFonts w:cs="Arial"/>
          <w:sz w:val="24"/>
        </w:rPr>
        <w:t xml:space="preserve">Multa de </w:t>
      </w:r>
      <w:r>
        <w:rPr>
          <w:rFonts w:cs="Arial"/>
          <w:color w:val="000000"/>
          <w:sz w:val="24"/>
        </w:rPr>
        <w:t>30% (trinta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5"/>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9" w:name="art156%25C2%25A78"/>
      <w:bookmarkStart w:id="10" w:name="art156%25C2%25A77"/>
      <w:bookmarkStart w:id="11" w:name="art156%25C2%25A76"/>
      <w:bookmarkEnd w:id="9"/>
      <w:bookmarkEnd w:id="10"/>
      <w:bookmarkEnd w:id="11"/>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2" w:name="art156%25C2%25A79"/>
      <w:bookmarkEnd w:id="12"/>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ascii="Arial" w:hAnsi="Arial" w:cs="Arial"/>
          <w:sz w:val="24"/>
        </w:rPr>
      </w:pPr>
      <w:r>
        <w:rPr>
          <w:rFonts w:cs="Arial"/>
          <w:sz w:val="24"/>
        </w:rPr>
      </w:r>
    </w:p>
    <w:p>
      <w:pPr>
        <w:pStyle w:val="Ttulo1"/>
        <w:numPr>
          <w:ilvl w:val="0"/>
          <w:numId w:val="1"/>
        </w:numPr>
        <w:rPr>
          <w:rFonts w:ascii="Arial" w:hAnsi="Arial" w:cs="Arial"/>
          <w:color w:val="00000A"/>
          <w:sz w:val="24"/>
          <w:szCs w:val="24"/>
        </w:rPr>
      </w:pPr>
      <w:bookmarkStart w:id="13" w:name="_Toc104906826"/>
      <w:bookmarkEnd w:id="13"/>
      <w:r>
        <w:rPr>
          <w:rFonts w:cs="Arial" w:ascii="Arial" w:hAnsi="Arial"/>
          <w:color w:val="00000A"/>
          <w:sz w:val="24"/>
          <w:szCs w:val="24"/>
        </w:rPr>
        <w:t>DAS DISPOSIÇÕES GERAIS</w:t>
      </w:r>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pPr>
      <w:r>
        <w:rPr>
          <w:rFonts w:cs="Arial"/>
          <w:color w:val="000000"/>
          <w:sz w:val="24"/>
        </w:rPr>
        <w:t>Em caso de divergência entre disposições deste Aviso de Contratação Direta e de seus anexos ou demais peças que compõem o processo, prevalecerá as deste Aviso.</w:t>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numPr>
          <w:ilvl w:val="1"/>
          <w:numId w:val="1"/>
        </w:numPr>
        <w:spacing w:lineRule="auto" w:line="276" w:before="120" w:after="120"/>
        <w:ind w:left="425" w:hanging="0"/>
        <w:jc w:val="both"/>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numPr>
          <w:ilvl w:val="2"/>
          <w:numId w:val="1"/>
        </w:numPr>
        <w:spacing w:lineRule="auto" w:line="276" w:before="120" w:after="120"/>
        <w:jc w:val="both"/>
        <w:rPr/>
      </w:pPr>
      <w:r>
        <w:rPr>
          <w:rFonts w:cs="Arial"/>
          <w:color w:val="000000"/>
          <w:sz w:val="24"/>
        </w:rPr>
        <w:t>ANEXO I – Documentação exigida para Habilitação</w:t>
      </w:r>
    </w:p>
    <w:p>
      <w:pPr>
        <w:pStyle w:val="Normal"/>
        <w:numPr>
          <w:ilvl w:val="0"/>
          <w:numId w:val="0"/>
        </w:numPr>
        <w:spacing w:lineRule="auto" w:line="276" w:before="120" w:after="120"/>
        <w:ind w:left="1224" w:hanging="0"/>
        <w:jc w:val="both"/>
        <w:rPr>
          <w:rFonts w:ascii="Arial" w:hAnsi="Arial" w:cs="Arial"/>
          <w:color w:val="000000"/>
          <w:sz w:val="24"/>
        </w:rPr>
      </w:pPr>
      <w:r>
        <w:rPr>
          <w:rFonts w:cs="Arial"/>
          <w:color w:val="000000"/>
          <w:sz w:val="24"/>
        </w:rPr>
      </w:r>
    </w:p>
    <w:p>
      <w:pPr>
        <w:pStyle w:val="Normal"/>
        <w:numPr>
          <w:ilvl w:val="0"/>
          <w:numId w:val="0"/>
        </w:numPr>
        <w:spacing w:lineRule="auto" w:line="276" w:before="120" w:after="120"/>
        <w:ind w:left="1224" w:hanging="0"/>
        <w:jc w:val="both"/>
        <w:rPr>
          <w:rFonts w:ascii="Arial" w:hAnsi="Arial" w:cs="Arial"/>
          <w:color w:val="000000"/>
          <w:sz w:val="24"/>
        </w:rPr>
      </w:pPr>
      <w:r>
        <w:rPr>
          <w:rFonts w:cs="Arial"/>
          <w:color w:val="000000"/>
          <w:sz w:val="24"/>
        </w:rPr>
      </w:r>
    </w:p>
    <w:p>
      <w:pPr>
        <w:pStyle w:val="Normal"/>
        <w:numPr>
          <w:ilvl w:val="0"/>
          <w:numId w:val="0"/>
        </w:numPr>
        <w:spacing w:lineRule="auto" w:line="276" w:before="120" w:after="120"/>
        <w:ind w:left="1224" w:hanging="0"/>
        <w:jc w:val="both"/>
        <w:rPr>
          <w:rFonts w:ascii="Arial" w:hAnsi="Arial" w:cs="Arial"/>
          <w:color w:val="000000"/>
          <w:sz w:val="24"/>
        </w:rPr>
      </w:pPr>
      <w:r>
        <w:rPr>
          <w:rFonts w:cs="Arial"/>
          <w:color w:val="000000"/>
          <w:sz w:val="24"/>
        </w:rPr>
      </w:r>
    </w:p>
    <w:p>
      <w:pPr>
        <w:pStyle w:val="Normal"/>
        <w:numPr>
          <w:ilvl w:val="0"/>
          <w:numId w:val="0"/>
        </w:numPr>
        <w:spacing w:lineRule="auto" w:line="276" w:before="120" w:after="120"/>
        <w:ind w:left="1224" w:hanging="0"/>
        <w:jc w:val="both"/>
        <w:rPr>
          <w:rFonts w:ascii="Arial" w:hAnsi="Arial" w:cs="Arial"/>
          <w:color w:val="000000"/>
          <w:sz w:val="24"/>
        </w:rPr>
      </w:pPr>
      <w:r>
        <w:rPr>
          <w:rFonts w:cs="Arial"/>
          <w:color w:val="000000"/>
          <w:sz w:val="24"/>
        </w:rPr>
      </w:r>
    </w:p>
    <w:p>
      <w:pPr>
        <w:pStyle w:val="Normal"/>
        <w:spacing w:lineRule="auto" w:line="276" w:before="0" w:after="120"/>
        <w:ind w:left="360" w:right="0" w:hanging="0"/>
        <w:jc w:val="both"/>
        <w:rPr/>
      </w:pPr>
      <w:r>
        <w:rPr>
          <w:rFonts w:cs="Arial"/>
          <w:color w:val="000000"/>
          <w:sz w:val="24"/>
          <w:szCs w:val="24"/>
        </w:rPr>
        <w:t>Natal,RN, 06 de julho de 2023.</w:t>
      </w:r>
    </w:p>
    <w:p>
      <w:pPr>
        <w:pStyle w:val="Normal"/>
        <w:spacing w:lineRule="auto" w:line="276" w:before="0" w:after="120"/>
        <w:ind w:left="360" w:right="0" w:hanging="0"/>
        <w:jc w:val="both"/>
        <w:rPr>
          <w:rFonts w:ascii="Arial" w:hAnsi="Arial" w:cs="Arial"/>
          <w:color w:val="000000"/>
          <w:sz w:val="24"/>
          <w:szCs w:val="24"/>
        </w:rPr>
      </w:pPr>
      <w:r>
        <w:rPr>
          <w:rFonts w:cs="Arial"/>
          <w:color w:val="000000"/>
          <w:sz w:val="24"/>
          <w:szCs w:val="24"/>
        </w:rPr>
      </w:r>
    </w:p>
    <w:p>
      <w:pPr>
        <w:pStyle w:val="Normal"/>
        <w:spacing w:lineRule="auto" w:line="276" w:before="0" w:after="120"/>
        <w:ind w:left="360" w:right="0" w:hanging="0"/>
        <w:jc w:val="both"/>
        <w:rPr>
          <w:rFonts w:ascii="Arial" w:hAnsi="Arial" w:cs="Arial"/>
          <w:color w:val="000000"/>
          <w:sz w:val="24"/>
          <w:szCs w:val="24"/>
        </w:rPr>
      </w:pPr>
      <w:r>
        <w:rPr>
          <w:rFonts w:cs="Arial"/>
          <w:color w:val="000000"/>
          <w:sz w:val="24"/>
          <w:szCs w:val="24"/>
        </w:rPr>
      </w:r>
    </w:p>
    <w:p>
      <w:pPr>
        <w:pStyle w:val="Normal"/>
        <w:widowControl/>
        <w:bidi w:val="0"/>
        <w:spacing w:lineRule="auto" w:line="276" w:before="0" w:after="0"/>
        <w:ind w:left="4819" w:right="0" w:hanging="0"/>
        <w:jc w:val="center"/>
        <w:rPr>
          <w:rFonts w:ascii="Calibri" w:hAnsi="Calibri" w:cs="Arial"/>
          <w:b w:val="false"/>
          <w:b w:val="false"/>
          <w:bCs w:val="false"/>
          <w:iCs/>
          <w:color w:val="000000"/>
          <w:sz w:val="24"/>
          <w:szCs w:val="24"/>
        </w:rPr>
      </w:pPr>
      <w:r>
        <w:rPr>
          <w:rFonts w:cs="Arial"/>
          <w:b w:val="false"/>
          <w:bCs w:val="false"/>
          <w:iCs/>
          <w:color w:val="000000"/>
          <w:sz w:val="24"/>
          <w:szCs w:val="24"/>
        </w:rPr>
        <w:t xml:space="preserve">ALEXANDRE </w:t>
      </w:r>
      <w:r>
        <w:rPr>
          <w:rStyle w:val="Nfaseforte"/>
          <w:rFonts w:cs="Arial"/>
          <w:iCs/>
          <w:color w:val="000000"/>
          <w:sz w:val="24"/>
          <w:szCs w:val="24"/>
        </w:rPr>
        <w:t>ALBUQUERQUE</w:t>
      </w:r>
      <w:r>
        <w:rPr>
          <w:rFonts w:cs="Arial"/>
          <w:b w:val="false"/>
          <w:bCs w:val="false"/>
          <w:iCs/>
          <w:color w:val="000000"/>
          <w:sz w:val="24"/>
          <w:szCs w:val="24"/>
        </w:rPr>
        <w:t xml:space="preserve"> ROSA </w:t>
      </w:r>
    </w:p>
    <w:p>
      <w:pPr>
        <w:pStyle w:val="Normal"/>
        <w:widowControl/>
        <w:bidi w:val="0"/>
        <w:spacing w:lineRule="auto" w:line="276" w:before="0" w:after="0"/>
        <w:ind w:left="4819" w:right="0" w:hanging="0"/>
        <w:jc w:val="center"/>
        <w:rPr>
          <w:rFonts w:ascii="Arial" w:hAnsi="Arial" w:cs="Arial"/>
          <w:b w:val="false"/>
          <w:b w:val="false"/>
          <w:bCs w:val="false"/>
          <w:iCs/>
          <w:color w:val="000000"/>
          <w:sz w:val="24"/>
          <w:szCs w:val="24"/>
        </w:rPr>
      </w:pPr>
      <w:r>
        <w:rPr>
          <w:rFonts w:cs="Arial"/>
          <w:b w:val="false"/>
          <w:bCs w:val="false"/>
          <w:iCs/>
          <w:color w:val="000000"/>
          <w:sz w:val="24"/>
          <w:szCs w:val="24"/>
        </w:rPr>
        <w:t>Capitão de Mar e Guerra (Md)</w:t>
      </w:r>
    </w:p>
    <w:p>
      <w:pPr>
        <w:pStyle w:val="Normal"/>
        <w:widowControl/>
        <w:bidi w:val="0"/>
        <w:spacing w:lineRule="auto" w:line="276" w:before="0" w:after="0"/>
        <w:ind w:left="4819" w:right="0" w:hanging="0"/>
        <w:jc w:val="center"/>
        <w:rPr>
          <w:rFonts w:ascii="Arial" w:hAnsi="Arial" w:cs="Arial"/>
          <w:b w:val="false"/>
          <w:b w:val="false"/>
          <w:bCs w:val="false"/>
          <w:iCs/>
          <w:color w:val="000000"/>
          <w:sz w:val="24"/>
          <w:szCs w:val="24"/>
        </w:rPr>
      </w:pPr>
      <w:r>
        <w:rPr>
          <w:rFonts w:cs="Arial"/>
          <w:b w:val="false"/>
          <w:bCs w:val="false"/>
          <w:iCs/>
          <w:color w:val="000000"/>
          <w:sz w:val="24"/>
          <w:szCs w:val="24"/>
        </w:rPr>
        <w:t>Diretor – Ordenador de Despesas</w:t>
      </w:r>
    </w:p>
    <w:p>
      <w:pPr>
        <w:pStyle w:val="Normal"/>
        <w:widowControl/>
        <w:bidi w:val="0"/>
        <w:spacing w:lineRule="auto" w:line="276" w:before="0" w:after="0"/>
        <w:ind w:left="4819" w:right="0" w:hanging="0"/>
        <w:jc w:val="center"/>
        <w:rPr>
          <w:rFonts w:cs="Arial"/>
          <w:b/>
          <w:b/>
          <w:bCs/>
          <w:iCs/>
          <w:color w:val="000000"/>
          <w:sz w:val="24"/>
        </w:rPr>
      </w:pPr>
      <w:r>
        <w:rPr>
          <w:rFonts w:cs="Arial"/>
          <w:b/>
          <w:bCs/>
          <w:iCs/>
          <w:color w:val="000000"/>
          <w:sz w:val="24"/>
        </w:rPr>
      </w:r>
    </w:p>
    <w:p>
      <w:pPr>
        <w:pStyle w:val="Normal"/>
        <w:spacing w:lineRule="auto" w:line="259" w:before="0" w:after="160"/>
        <w:rPr>
          <w:rFonts w:ascii="Arial" w:hAnsi="Arial" w:cs="Arial"/>
          <w:b/>
          <w:b/>
          <w:bCs/>
          <w:iCs/>
          <w:color w:val="000000"/>
          <w:sz w:val="24"/>
        </w:rPr>
      </w:pPr>
      <w:r>
        <w:rPr>
          <w:rFonts w:cs="Arial"/>
          <w:b/>
          <w:bCs/>
          <w:iCs/>
          <w:color w:val="000000"/>
          <w:sz w:val="24"/>
        </w:rPr>
      </w:r>
      <w:r>
        <w:br w:type="page"/>
      </w:r>
    </w:p>
    <w:p>
      <w:pPr>
        <w:pStyle w:val="Normal"/>
        <w:spacing w:lineRule="auto" w:line="276"/>
        <w:jc w:val="center"/>
        <w:rPr>
          <w:rFonts w:ascii="Arial" w:hAnsi="Arial" w:cs="Arial"/>
          <w:sz w:val="24"/>
        </w:rPr>
      </w:pPr>
      <w:r>
        <w:rPr>
          <w:rFonts w:cs="Arial"/>
          <w:sz w:val="24"/>
        </w:rPr>
      </w:r>
    </w:p>
    <w:p>
      <w:pPr>
        <w:pStyle w:val="Ttulododocumento"/>
        <w:jc w:val="center"/>
        <w:rPr>
          <w:rFonts w:ascii="Arial" w:hAnsi="Arial"/>
        </w:rPr>
      </w:pPr>
      <w:r>
        <w:rPr>
          <w:rFonts w:cs="Arial" w:ascii="Arial" w:hAnsi="Arial"/>
          <w:sz w:val="24"/>
          <w:szCs w:val="24"/>
        </w:rPr>
        <w:t>ANEXO I – DOCUMENTAÇÃO EXIGIDA PARA HABILITAÇÃO</w:t>
      </w:r>
    </w:p>
    <w:p>
      <w:pPr>
        <w:pStyle w:val="Normal"/>
        <w:rPr>
          <w:rFonts w:ascii="Arial" w:hAnsi="Arial" w:cs="Arial"/>
          <w:sz w:val="24"/>
          <w:lang w:eastAsia="en-US"/>
        </w:rPr>
      </w:pPr>
      <w:r>
        <w:rPr>
          <w:rFonts w:cs="Arial"/>
          <w:sz w:val="24"/>
          <w:lang w:eastAsia="en-US"/>
        </w:rPr>
      </w:r>
    </w:p>
    <w:p>
      <w:pPr>
        <w:pStyle w:val="Normal"/>
        <w:rPr>
          <w:rFonts w:ascii="Arial" w:hAnsi="Arial" w:cs="Arial"/>
          <w:sz w:val="24"/>
          <w:lang w:eastAsia="en-US"/>
        </w:rPr>
      </w:pPr>
      <w:r>
        <w:rPr>
          <w:rFonts w:cs="Arial"/>
          <w:sz w:val="24"/>
          <w:lang w:eastAsia="en-US"/>
        </w:rPr>
      </w:r>
    </w:p>
    <w:p>
      <w:pPr>
        <w:pStyle w:val="PADRO"/>
        <w:keepNext w:val="false"/>
        <w:widowControl/>
        <w:numPr>
          <w:ilvl w:val="0"/>
          <w:numId w:val="3"/>
        </w:numPr>
        <w:shd w:val="clear" w:fill="FFFFFF"/>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jc w:val="both"/>
        <w:rPr>
          <w:rFonts w:cs="Arial"/>
          <w:bCs/>
          <w:sz w:val="24"/>
        </w:rPr>
      </w:pPr>
      <w:r>
        <w:rPr>
          <w:rFonts w:cs="Arial"/>
          <w:bCs/>
          <w:i w:val="false"/>
          <w:iCs w:val="false"/>
          <w:color w:val="000000"/>
          <w:sz w:val="24"/>
        </w:rPr>
        <w:t xml:space="preserve">prova de </w:t>
      </w:r>
      <w:r>
        <w:rPr>
          <w:rFonts w:cs="Arial"/>
          <w:i w:val="false"/>
          <w:iCs w:val="false"/>
          <w:color w:val="000000"/>
          <w:sz w:val="24"/>
        </w:rPr>
        <w:t>inscrição no cadastro de contribuintes estadual e/ou municipal, relativo ao domicílio ou sede do fornecedor, pertinente ao seu ramo de atividade e compatível com o objeto contratual</w:t>
      </w:r>
      <w:r>
        <w:rPr>
          <w:rFonts w:cs="Arial"/>
          <w:bCs/>
          <w:i w:val="false"/>
          <w:iCs w:val="false"/>
          <w:color w:val="000000"/>
          <w:sz w:val="24"/>
        </w:rPr>
        <w:t xml:space="preserve">; </w:t>
      </w:r>
    </w:p>
    <w:p>
      <w:pPr>
        <w:pStyle w:val="Normal"/>
        <w:numPr>
          <w:ilvl w:val="1"/>
          <w:numId w:val="3"/>
        </w:numPr>
        <w:tabs>
          <w:tab w:val="clear" w:pos="708"/>
          <w:tab w:val="left" w:pos="1440" w:leader="none"/>
        </w:tabs>
        <w:snapToGrid w:val="false"/>
        <w:spacing w:lineRule="auto" w:line="276" w:before="120" w:after="120"/>
        <w:jc w:val="both"/>
        <w:rPr>
          <w:rFonts w:ascii="Arial" w:hAnsi="Arial"/>
          <w:i w:val="false"/>
          <w:i w:val="false"/>
          <w:iCs w:val="false"/>
          <w:color w:val="000000"/>
        </w:rPr>
      </w:pPr>
      <w:r>
        <w:rPr>
          <w:rFonts w:cs="Arial"/>
          <w:i w:val="false"/>
          <w:iCs w:val="false"/>
          <w:color w:val="000000"/>
          <w:sz w:val="24"/>
        </w:rPr>
        <w:t xml:space="preserve">prova de regularidade com a Fazenda Estadual e/ou Municipal do domicílio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jc w:val="both"/>
        <w:rPr>
          <w:rFonts w:cs="Arial"/>
          <w:b/>
          <w:b/>
          <w:sz w:val="24"/>
        </w:rPr>
      </w:pPr>
      <w:r>
        <w:rPr>
          <w:rFonts w:cs="Arial"/>
          <w:i w:val="false"/>
          <w:iCs w:val="false"/>
          <w:color w:val="000000"/>
          <w:sz w:val="24"/>
        </w:rPr>
        <w:t xml:space="preserve">caso o fornecedor seja considerado isento dos tributos estaduais </w:t>
      </w:r>
      <w:r>
        <w:rPr>
          <w:rFonts w:cs="Arial"/>
          <w:b/>
          <w:i w:val="false"/>
          <w:iCs w:val="false"/>
          <w:color w:val="000000"/>
          <w:sz w:val="24"/>
          <w:u w:val="single"/>
        </w:rPr>
        <w:t>ou</w:t>
      </w:r>
      <w:r>
        <w:rPr>
          <w:rFonts w:cs="Arial"/>
          <w:i w:val="false"/>
          <w:iCs w:val="false"/>
          <w:color w:val="000000"/>
          <w:sz w:val="24"/>
        </w:rPr>
        <w:t xml:space="preserve"> municipais relacionados ao objeto contratual, deverá comprovar tal condição mediante a apresentação de declaração da Fazenda respectiva do seu domicílio ou sede, ou outra equivalente, na forma da lei; </w:t>
      </w:r>
    </w:p>
    <w:p>
      <w:pPr>
        <w:sectPr>
          <w:headerReference w:type="default" r:id="rId6"/>
          <w:headerReference w:type="first" r:id="rId7"/>
          <w:footerReference w:type="default" r:id="rId8"/>
          <w:type w:val="nextPage"/>
          <w:pgSz w:w="11906" w:h="16838"/>
          <w:pgMar w:left="1080" w:right="1080" w:header="708" w:top="1440" w:footer="708" w:bottom="1440" w:gutter="0"/>
          <w:pgNumType w:fmt="decimal"/>
          <w:formProt w:val="false"/>
          <w:titlePg/>
          <w:textDirection w:val="lrTb"/>
          <w:docGrid w:type="default" w:linePitch="360" w:charSpace="0"/>
        </w:sectPr>
        <w:pStyle w:val="PADRO"/>
        <w:keepNext w:val="false"/>
        <w:widowControl/>
        <w:numPr>
          <w:ilvl w:val="0"/>
          <w:numId w:val="0"/>
        </w:numPr>
        <w:shd w:val="clear" w:fill="FFFFFF"/>
        <w:spacing w:before="120" w:after="120"/>
        <w:ind w:left="360" w:hanging="0"/>
        <w:rPr/>
      </w:pPr>
      <w:r>
        <w:rPr/>
      </w:r>
    </w:p>
    <w:p>
      <w:pPr>
        <w:pStyle w:val="Normal"/>
        <w:spacing w:lineRule="auto" w:line="276" w:before="0" w:after="0"/>
        <w:jc w:val="center"/>
        <w:rPr>
          <w:rFonts w:cs="Arial"/>
          <w:b/>
          <w:b/>
          <w:bCs/>
          <w:color w:val="000000"/>
        </w:rPr>
      </w:pPr>
      <w:r>
        <w:rPr>
          <w:rFonts w:cs="Arial"/>
          <w:b/>
          <w:bCs/>
          <w:color w:val="000000"/>
        </w:rPr>
      </w:r>
    </w:p>
    <w:p>
      <w:pPr>
        <w:pStyle w:val="Normal"/>
        <w:spacing w:lineRule="auto" w:line="276" w:before="0" w:after="0"/>
        <w:jc w:val="center"/>
        <w:rPr>
          <w:rFonts w:ascii="Arial" w:hAnsi="Arial"/>
          <w:sz w:val="24"/>
          <w:szCs w:val="24"/>
        </w:rPr>
      </w:pPr>
      <w:r>
        <w:rPr/>
        <w:drawing>
          <wp:inline distT="0" distB="0" distL="0" distR="0">
            <wp:extent cx="655955" cy="716915"/>
            <wp:effectExtent l="0" t="0" r="0" b="0"/>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9"/>
                    <a:stretch>
                      <a:fillRect/>
                    </a:stretch>
                  </pic:blipFill>
                  <pic:spPr bwMode="auto">
                    <a:xfrm>
                      <a:off x="0" y="0"/>
                      <a:ext cx="655955" cy="716915"/>
                    </a:xfrm>
                    <a:prstGeom prst="rect">
                      <a:avLst/>
                    </a:prstGeom>
                  </pic:spPr>
                </pic:pic>
              </a:graphicData>
            </a:graphic>
          </wp:inline>
        </w:drawing>
      </w:r>
    </w:p>
    <w:p>
      <w:pPr>
        <w:pStyle w:val="Normal"/>
        <w:spacing w:lineRule="auto" w:line="276" w:before="0" w:after="0"/>
        <w:jc w:val="center"/>
        <w:rPr>
          <w:rFonts w:cs="Arial"/>
          <w:b/>
          <w:b/>
          <w:bCs/>
          <w:color w:val="000000"/>
        </w:rPr>
      </w:pPr>
      <w:r>
        <w:rPr>
          <w:rFonts w:cs="Arial"/>
          <w:b/>
          <w:bCs/>
          <w:color w:val="000000"/>
        </w:rPr>
      </w:r>
    </w:p>
    <w:p>
      <w:pPr>
        <w:pStyle w:val="Normal"/>
        <w:spacing w:lineRule="auto" w:line="276" w:before="0" w:after="0"/>
        <w:jc w:val="center"/>
        <w:rPr>
          <w:rFonts w:ascii="Arial" w:hAnsi="Arial"/>
          <w:sz w:val="24"/>
          <w:szCs w:val="24"/>
        </w:rPr>
      </w:pPr>
      <w:r>
        <w:rPr>
          <w:rFonts w:cs="Arial"/>
          <w:b/>
          <w:bCs/>
          <w:color w:val="000000"/>
          <w:sz w:val="24"/>
          <w:szCs w:val="24"/>
        </w:rPr>
        <w:t>TERMO DE REFERÊNCIA – LEI 14.133/21</w:t>
      </w:r>
    </w:p>
    <w:p>
      <w:pPr>
        <w:pStyle w:val="Normal"/>
        <w:spacing w:lineRule="auto" w:line="276" w:before="0" w:after="0"/>
        <w:jc w:val="center"/>
        <w:rPr>
          <w:rFonts w:ascii="Arial" w:hAnsi="Arial"/>
          <w:sz w:val="24"/>
          <w:szCs w:val="24"/>
        </w:rPr>
      </w:pPr>
      <w:r>
        <w:rPr>
          <w:rFonts w:cs="Arial"/>
          <w:b/>
          <w:bCs/>
          <w:iCs/>
          <w:color w:val="000000"/>
          <w:sz w:val="24"/>
          <w:szCs w:val="24"/>
        </w:rPr>
        <w:t>COMPRAS – CONTRATAÇÃO DIRETA</w:t>
      </w:r>
    </w:p>
    <w:p>
      <w:pPr>
        <w:pStyle w:val="Normal"/>
        <w:spacing w:lineRule="auto" w:line="276" w:before="0" w:after="0"/>
        <w:jc w:val="center"/>
        <w:rPr/>
      </w:pPr>
      <w:r>
        <w:rPr>
          <w:rFonts w:cs="Arial"/>
          <w:b/>
          <w:bCs/>
          <w:iCs/>
          <w:color w:val="000000"/>
          <w:sz w:val="24"/>
          <w:szCs w:val="24"/>
        </w:rPr>
        <w:t xml:space="preserve">Processo Administrativo n. </w:t>
      </w:r>
      <w:r>
        <w:rPr>
          <w:rStyle w:val="Nfaseforte"/>
          <w:rFonts w:cs="Arial"/>
          <w:i w:val="false"/>
          <w:iCs w:val="false"/>
          <w:color w:val="000000"/>
          <w:spacing w:val="0"/>
          <w:sz w:val="24"/>
          <w:szCs w:val="24"/>
        </w:rPr>
        <w:t>63064.006818/2023-14</w:t>
      </w:r>
    </w:p>
    <w:p>
      <w:pPr>
        <w:pStyle w:val="Normal"/>
        <w:rPr>
          <w:rFonts w:ascii="Arial" w:hAnsi="Arial"/>
          <w:sz w:val="24"/>
          <w:szCs w:val="24"/>
        </w:rPr>
      </w:pPr>
      <w:r>
        <w:rPr>
          <w:sz w:val="24"/>
          <w:szCs w:val="24"/>
        </w:rPr>
      </w:r>
    </w:p>
    <w:p>
      <w:pPr>
        <w:pStyle w:val="Nivel1"/>
        <w:numPr>
          <w:ilvl w:val="0"/>
          <w:numId w:val="1"/>
        </w:numPr>
        <w:spacing w:before="0" w:after="0"/>
        <w:rPr>
          <w:rFonts w:ascii="Arial" w:hAnsi="Arial"/>
          <w:sz w:val="24"/>
          <w:szCs w:val="24"/>
        </w:rPr>
      </w:pPr>
      <w:r>
        <w:rPr>
          <w:bCs/>
          <w:sz w:val="24"/>
          <w:szCs w:val="24"/>
        </w:rPr>
        <w:t>DAS CONDIÇÕES GERAIS DA CONTRATAÇÃO (art. 6º, XXIII, “a” e “i”</w:t>
      </w:r>
      <w:r>
        <w:rPr>
          <w:sz w:val="24"/>
          <w:szCs w:val="24"/>
        </w:rPr>
        <w:t xml:space="preserve"> da Lei n. 14.133/2021).</w:t>
      </w:r>
    </w:p>
    <w:p>
      <w:pPr>
        <w:pStyle w:val="ListParagraph"/>
        <w:spacing w:lineRule="auto" w:line="276" w:before="0" w:after="0"/>
        <w:ind w:left="716" w:hanging="0"/>
        <w:contextualSpacing/>
        <w:jc w:val="both"/>
        <w:rPr>
          <w:rFonts w:ascii="Arial" w:hAnsi="Arial" w:cs="Arial"/>
          <w:b/>
          <w:b/>
          <w:iCs/>
          <w:sz w:val="24"/>
          <w:szCs w:val="24"/>
        </w:rPr>
      </w:pPr>
      <w:r>
        <w:rPr>
          <w:rFonts w:cs="Arial"/>
          <w:b/>
          <w:iCs/>
          <w:sz w:val="24"/>
          <w:szCs w:val="24"/>
        </w:rPr>
      </w:r>
    </w:p>
    <w:p>
      <w:pPr>
        <w:pStyle w:val="ListParagraph"/>
        <w:numPr>
          <w:ilvl w:val="1"/>
          <w:numId w:val="2"/>
        </w:numPr>
        <w:spacing w:lineRule="auto" w:line="276" w:before="0" w:after="0"/>
        <w:contextualSpacing/>
        <w:jc w:val="both"/>
        <w:rPr>
          <w:rFonts w:ascii="Arial" w:hAnsi="Arial"/>
          <w:sz w:val="24"/>
          <w:szCs w:val="24"/>
        </w:rPr>
      </w:pPr>
      <w:r>
        <w:rPr>
          <w:rFonts w:eastAsia="Calibri" w:cs="Arial" w:eastAsiaTheme="minorHAnsi"/>
          <w:iCs/>
          <w:color w:val="00000A"/>
          <w:kern w:val="0"/>
          <w:sz w:val="24"/>
          <w:szCs w:val="24"/>
          <w:lang w:val="pt-BR" w:eastAsia="en-US" w:bidi="ar-SA"/>
        </w:rPr>
        <w:t>Aquisição de fechadura para porta do banheiro feminino do NAIM</w:t>
      </w:r>
      <w:r>
        <w:rPr>
          <w:rFonts w:eastAsia="Calibri" w:cs="Arial" w:eastAsiaTheme="minorHAnsi"/>
          <w:b/>
          <w:iCs/>
          <w:color w:val="00000A"/>
          <w:kern w:val="0"/>
          <w:sz w:val="24"/>
          <w:szCs w:val="24"/>
          <w:lang w:val="pt-BR" w:eastAsia="en-US" w:bidi="ar-SA"/>
        </w:rPr>
        <w:t>,</w:t>
      </w:r>
      <w:r>
        <w:rPr>
          <w:rFonts w:eastAsia="Calibri" w:cs="Arial" w:eastAsiaTheme="minorHAnsi"/>
          <w:iCs/>
          <w:color w:val="00000A"/>
          <w:kern w:val="0"/>
          <w:sz w:val="24"/>
          <w:szCs w:val="24"/>
          <w:lang w:val="pt-BR" w:eastAsia="en-US" w:bidi="ar-SA"/>
        </w:rPr>
        <w:t xml:space="preserve"> nos termos da tabela abaixo, conforme condições e exigências estabelecidas neste instr</w:t>
      </w:r>
      <w:r>
        <w:rPr>
          <w:rFonts w:cs="Arial"/>
          <w:iCs/>
          <w:sz w:val="24"/>
          <w:szCs w:val="24"/>
        </w:rPr>
        <w:t>umento.</w:t>
      </w:r>
    </w:p>
    <w:p>
      <w:pPr>
        <w:pStyle w:val="ListParagraph"/>
        <w:spacing w:lineRule="auto" w:line="276" w:before="0" w:after="0"/>
        <w:contextualSpacing/>
        <w:jc w:val="both"/>
        <w:rPr>
          <w:rFonts w:ascii="Arial" w:hAnsi="Arial" w:cs="Arial"/>
          <w:iCs/>
          <w:sz w:val="24"/>
          <w:szCs w:val="24"/>
        </w:rPr>
      </w:pPr>
      <w:r>
        <w:rPr>
          <w:rFonts w:cs="Arial"/>
          <w:iCs/>
          <w:sz w:val="24"/>
          <w:szCs w:val="24"/>
        </w:rPr>
      </w:r>
    </w:p>
    <w:tbl>
      <w:tblPr>
        <w:tblW w:w="9695" w:type="dxa"/>
        <w:jc w:val="left"/>
        <w:tblInd w:w="-147" w:type="dxa"/>
        <w:tblCellMar>
          <w:top w:w="0" w:type="dxa"/>
          <w:left w:w="78" w:type="dxa"/>
          <w:bottom w:w="0" w:type="dxa"/>
          <w:right w:w="108" w:type="dxa"/>
        </w:tblCellMar>
        <w:tblLook w:val="04a0" w:noHBand="0" w:noVBand="1" w:firstColumn="1" w:lastRow="0" w:lastColumn="0" w:firstRow="1"/>
      </w:tblPr>
      <w:tblGrid>
        <w:gridCol w:w="709"/>
        <w:gridCol w:w="2552"/>
        <w:gridCol w:w="1277"/>
        <w:gridCol w:w="1134"/>
        <w:gridCol w:w="1556"/>
        <w:gridCol w:w="1278"/>
        <w:gridCol w:w="1188"/>
      </w:tblGrid>
      <w:tr>
        <w:trPr/>
        <w:tc>
          <w:tcPr>
            <w:tcW w:w="70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color w:val="000000"/>
                <w:sz w:val="24"/>
                <w:szCs w:val="24"/>
              </w:rPr>
              <w:t>ITEM</w:t>
            </w:r>
          </w:p>
          <w:p>
            <w:pPr>
              <w:pStyle w:val="Normal"/>
              <w:widowControl w:val="false"/>
              <w:suppressAutoHyphens w:val="true"/>
              <w:spacing w:lineRule="auto" w:line="276" w:before="0" w:after="0"/>
              <w:jc w:val="center"/>
              <w:rPr>
                <w:rFonts w:ascii="Arial" w:hAnsi="Arial" w:cs="Arial"/>
                <w:b/>
                <w:b/>
                <w:color w:val="000000"/>
                <w:sz w:val="24"/>
                <w:szCs w:val="24"/>
              </w:rPr>
            </w:pPr>
            <w:r>
              <w:rPr>
                <w:rFonts w:cs="Arial"/>
                <w:b/>
                <w:color w:val="000000"/>
                <w:sz w:val="24"/>
                <w:szCs w:val="24"/>
              </w:rPr>
            </w:r>
          </w:p>
        </w:tc>
        <w:tc>
          <w:tcPr>
            <w:tcW w:w="25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color w:val="000000"/>
                <w:sz w:val="24"/>
                <w:szCs w:val="24"/>
              </w:rPr>
              <w:t>ESPECIFICAÇÃO</w:t>
            </w:r>
          </w:p>
        </w:tc>
        <w:tc>
          <w:tcPr>
            <w:tcW w:w="127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color w:val="000000"/>
                <w:sz w:val="24"/>
                <w:szCs w:val="24"/>
              </w:rPr>
              <w:t>CATMAT</w:t>
            </w:r>
          </w:p>
        </w:tc>
        <w:tc>
          <w:tcPr>
            <w:tcW w:w="113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color w:val="000000"/>
                <w:sz w:val="24"/>
                <w:szCs w:val="24"/>
              </w:rPr>
              <w:t>UNIDADE DE MEDIDA</w:t>
            </w:r>
          </w:p>
        </w:tc>
        <w:tc>
          <w:tcPr>
            <w:tcW w:w="15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sz w:val="24"/>
                <w:szCs w:val="24"/>
              </w:rPr>
              <w:t>QUANTIDADE</w:t>
            </w:r>
          </w:p>
        </w:tc>
        <w:tc>
          <w:tcPr>
            <w:tcW w:w="127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sz w:val="24"/>
                <w:szCs w:val="24"/>
              </w:rPr>
              <w:t>VALOR UNITÁRIO</w:t>
            </w:r>
          </w:p>
        </w:tc>
        <w:tc>
          <w:tcPr>
            <w:tcW w:w="11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bCs/>
                <w:sz w:val="24"/>
                <w:szCs w:val="24"/>
              </w:rPr>
              <w:t>VALOR TOTAL</w:t>
            </w:r>
          </w:p>
        </w:tc>
      </w:tr>
      <w:tr>
        <w:trPr/>
        <w:tc>
          <w:tcPr>
            <w:tcW w:w="70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b/>
                <w:color w:val="000000"/>
                <w:sz w:val="24"/>
                <w:szCs w:val="24"/>
              </w:rPr>
              <w:t>1</w:t>
            </w:r>
          </w:p>
        </w:tc>
        <w:tc>
          <w:tcPr>
            <w:tcW w:w="255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120"/>
              <w:jc w:val="both"/>
              <w:rPr>
                <w:rFonts w:ascii="Arial" w:hAnsi="Arial"/>
                <w:sz w:val="24"/>
                <w:szCs w:val="24"/>
              </w:rPr>
            </w:pPr>
            <w:r>
              <w:rPr>
                <w:rFonts w:eastAsia="Arial" w:cs="Arial"/>
                <w:color w:val="000000"/>
                <w:sz w:val="24"/>
                <w:szCs w:val="24"/>
              </w:rPr>
              <w:t>Fechadura para a porta do banheiro feminino do Núcleo de Atendimento ao Idoso (NAIM)</w:t>
            </w:r>
          </w:p>
        </w:tc>
        <w:tc>
          <w:tcPr>
            <w:tcW w:w="127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rPr>
                <w:rFonts w:ascii="Arial" w:hAnsi="Arial"/>
                <w:sz w:val="24"/>
                <w:szCs w:val="24"/>
              </w:rPr>
            </w:pPr>
            <w:r>
              <w:rPr>
                <w:rFonts w:cs="Arial"/>
                <w:color w:val="000000"/>
                <w:sz w:val="24"/>
                <w:szCs w:val="24"/>
              </w:rPr>
              <w:t xml:space="preserve">    </w:t>
            </w:r>
          </w:p>
          <w:p>
            <w:pPr>
              <w:pStyle w:val="Normal"/>
              <w:widowControl w:val="false"/>
              <w:suppressAutoHyphens w:val="true"/>
              <w:spacing w:lineRule="auto" w:line="276" w:before="0" w:after="0"/>
              <w:rPr>
                <w:rFonts w:ascii="Arial" w:hAnsi="Arial"/>
                <w:sz w:val="24"/>
                <w:szCs w:val="24"/>
              </w:rPr>
            </w:pPr>
            <w:r>
              <w:rPr>
                <w:rFonts w:cs="Arial"/>
                <w:color w:val="000000"/>
                <w:sz w:val="24"/>
                <w:szCs w:val="24"/>
              </w:rPr>
              <w:t xml:space="preserve">      </w:t>
            </w:r>
            <w:r>
              <w:rPr>
                <w:rFonts w:cs="Arial"/>
                <w:color w:val="000000"/>
                <w:sz w:val="24"/>
                <w:szCs w:val="24"/>
              </w:rPr>
              <w:t>2436</w:t>
            </w:r>
          </w:p>
        </w:tc>
        <w:tc>
          <w:tcPr>
            <w:tcW w:w="1134"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eastAsia="Arial"/>
                <w:color w:val="000000"/>
                <w:sz w:val="24"/>
                <w:szCs w:val="24"/>
              </w:rPr>
              <w:t xml:space="preserve"> </w:t>
            </w:r>
          </w:p>
          <w:p>
            <w:pPr>
              <w:pStyle w:val="Normal"/>
              <w:widowControl w:val="false"/>
              <w:spacing w:lineRule="auto" w:line="276" w:before="0" w:after="120"/>
              <w:jc w:val="center"/>
              <w:rPr>
                <w:rFonts w:ascii="Arial" w:hAnsi="Arial"/>
                <w:sz w:val="24"/>
                <w:szCs w:val="24"/>
              </w:rPr>
            </w:pPr>
            <w:r>
              <w:rPr>
                <w:rFonts w:eastAsia="Arial"/>
                <w:color w:val="000000"/>
                <w:sz w:val="24"/>
                <w:szCs w:val="24"/>
              </w:rPr>
              <w:t>UN</w:t>
            </w:r>
          </w:p>
        </w:tc>
        <w:tc>
          <w:tcPr>
            <w:tcW w:w="15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eastAsia="Arial"/>
                <w:color w:val="000000"/>
                <w:sz w:val="24"/>
                <w:szCs w:val="24"/>
              </w:rPr>
            </w:pPr>
            <w:r>
              <w:rPr>
                <w:rFonts w:eastAsia="Arial"/>
                <w:color w:val="000000"/>
                <w:sz w:val="24"/>
                <w:szCs w:val="24"/>
              </w:rPr>
            </w:r>
          </w:p>
          <w:p>
            <w:pPr>
              <w:pStyle w:val="Normal"/>
              <w:widowControl w:val="false"/>
              <w:spacing w:lineRule="auto" w:line="276" w:before="0" w:after="120"/>
              <w:jc w:val="center"/>
              <w:rPr>
                <w:rFonts w:ascii="Arial" w:hAnsi="Arial"/>
                <w:sz w:val="24"/>
                <w:szCs w:val="24"/>
              </w:rPr>
            </w:pPr>
            <w:r>
              <w:rPr>
                <w:rFonts w:eastAsia="Arial"/>
                <w:color w:val="000000"/>
                <w:sz w:val="24"/>
                <w:szCs w:val="24"/>
              </w:rPr>
              <w:t>1</w:t>
            </w:r>
          </w:p>
        </w:tc>
        <w:tc>
          <w:tcPr>
            <w:tcW w:w="127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eastAsia="Arial"/>
                <w:color w:val="000000"/>
                <w:sz w:val="24"/>
                <w:szCs w:val="24"/>
              </w:rPr>
            </w:pPr>
            <w:r>
              <w:rPr>
                <w:rFonts w:eastAsia="Arial"/>
                <w:color w:val="000000"/>
                <w:sz w:val="24"/>
                <w:szCs w:val="24"/>
              </w:rPr>
            </w:r>
          </w:p>
          <w:p>
            <w:pPr>
              <w:pStyle w:val="Normal"/>
              <w:widowControl w:val="false"/>
              <w:spacing w:lineRule="auto" w:line="276" w:before="0" w:after="120"/>
              <w:jc w:val="center"/>
              <w:rPr>
                <w:rFonts w:ascii="Arial" w:hAnsi="Arial"/>
                <w:sz w:val="24"/>
                <w:szCs w:val="24"/>
              </w:rPr>
            </w:pPr>
            <w:r>
              <w:rPr>
                <w:rFonts w:eastAsia="Arial"/>
                <w:color w:val="000000"/>
                <w:sz w:val="24"/>
                <w:szCs w:val="24"/>
              </w:rPr>
              <w:t>R$ 107,14</w:t>
            </w:r>
          </w:p>
        </w:tc>
        <w:tc>
          <w:tcPr>
            <w:tcW w:w="11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eastAsia="Arial"/>
                <w:color w:val="000000"/>
                <w:sz w:val="24"/>
                <w:szCs w:val="24"/>
              </w:rPr>
            </w:pPr>
            <w:r>
              <w:rPr>
                <w:rFonts w:eastAsia="Arial"/>
                <w:color w:val="000000"/>
                <w:sz w:val="24"/>
                <w:szCs w:val="24"/>
              </w:rPr>
            </w:r>
          </w:p>
          <w:p>
            <w:pPr>
              <w:pStyle w:val="Normal"/>
              <w:widowControl w:val="false"/>
              <w:spacing w:lineRule="auto" w:line="276" w:before="0" w:after="120"/>
              <w:jc w:val="center"/>
              <w:rPr>
                <w:rFonts w:ascii="Arial" w:hAnsi="Arial"/>
                <w:sz w:val="24"/>
                <w:szCs w:val="24"/>
              </w:rPr>
            </w:pPr>
            <w:r>
              <w:rPr>
                <w:rFonts w:eastAsia="Arial"/>
                <w:color w:val="000000"/>
                <w:sz w:val="24"/>
                <w:szCs w:val="24"/>
              </w:rPr>
              <w:t>R$ 107,14</w:t>
            </w:r>
          </w:p>
        </w:tc>
      </w:tr>
    </w:tbl>
    <w:p>
      <w:pPr>
        <w:pStyle w:val="Normal"/>
        <w:spacing w:lineRule="auto" w:line="276" w:before="0" w:after="0"/>
        <w:contextualSpacing/>
        <w:jc w:val="both"/>
        <w:rPr>
          <w:rFonts w:ascii="Arial" w:hAnsi="Arial" w:cs="Arial"/>
          <w:iCs/>
          <w:sz w:val="24"/>
          <w:szCs w:val="24"/>
        </w:rPr>
      </w:pPr>
      <w:r>
        <w:rPr>
          <w:rFonts w:cs="Arial"/>
          <w:iCs/>
          <w:sz w:val="24"/>
          <w:szCs w:val="24"/>
        </w:rPr>
      </w:r>
    </w:p>
    <w:p>
      <w:pPr>
        <w:pStyle w:val="ListParagraph"/>
        <w:numPr>
          <w:ilvl w:val="1"/>
          <w:numId w:val="2"/>
        </w:numPr>
        <w:spacing w:lineRule="auto" w:line="276" w:before="0" w:after="0"/>
        <w:contextualSpacing/>
        <w:jc w:val="both"/>
        <w:rPr>
          <w:rFonts w:ascii="Arial" w:hAnsi="Arial"/>
          <w:sz w:val="24"/>
          <w:szCs w:val="24"/>
        </w:rPr>
      </w:pPr>
      <w:r>
        <w:rPr>
          <w:rFonts w:cs="Arial"/>
          <w:iCs/>
          <w:sz w:val="24"/>
          <w:szCs w:val="24"/>
        </w:rPr>
        <w:t xml:space="preserve">O objeto desta contratação não se enquadra como sendo de bem de luxo, conforme Decreto nº 10.818, de 2021. </w:t>
      </w:r>
    </w:p>
    <w:p>
      <w:pPr>
        <w:pStyle w:val="ListParagraph"/>
        <w:numPr>
          <w:ilvl w:val="1"/>
          <w:numId w:val="2"/>
        </w:numPr>
        <w:spacing w:lineRule="auto" w:line="276" w:before="0" w:after="0"/>
        <w:contextualSpacing/>
        <w:jc w:val="both"/>
        <w:rPr>
          <w:rFonts w:ascii="Arial" w:hAnsi="Arial"/>
          <w:sz w:val="24"/>
          <w:szCs w:val="24"/>
        </w:rPr>
      </w:pPr>
      <w:r>
        <w:rPr>
          <w:rFonts w:cs="Arial"/>
          <w:bCs/>
          <w:i w:val="false"/>
          <w:iCs w:val="false"/>
          <w:color w:val="000000"/>
          <w:sz w:val="24"/>
          <w:szCs w:val="24"/>
        </w:rPr>
        <w:t>O prazo de vigência da contratação é de 12 (doze) meses contados da entrega da nota de empenho, na forma do artigo 105 da Lei n° 14.133/2021.</w:t>
      </w:r>
    </w:p>
    <w:p>
      <w:pPr>
        <w:pStyle w:val="ListParagraph"/>
        <w:numPr>
          <w:ilvl w:val="1"/>
          <w:numId w:val="2"/>
        </w:numPr>
        <w:spacing w:lineRule="auto" w:line="276" w:before="0" w:after="0"/>
        <w:ind w:left="432" w:hanging="0"/>
        <w:contextualSpacing/>
        <w:jc w:val="both"/>
        <w:rPr>
          <w:rFonts w:ascii="Arial" w:hAnsi="Arial"/>
          <w:sz w:val="24"/>
          <w:szCs w:val="24"/>
        </w:rPr>
      </w:pPr>
      <w:r>
        <w:rPr>
          <w:rFonts w:cs="Arial"/>
          <w:iCs/>
          <w:color w:val="000000"/>
          <w:sz w:val="24"/>
          <w:szCs w:val="24"/>
        </w:rPr>
        <w:t>O custo estimado total da contratação é de</w:t>
      </w:r>
      <w:r>
        <w:rPr>
          <w:rFonts w:cs="Arial"/>
          <w:i/>
          <w:color w:val="000000"/>
          <w:sz w:val="24"/>
          <w:szCs w:val="24"/>
        </w:rPr>
        <w:t xml:space="preserve"> R$107,14 (cento e sete reais e quatorze centavos), </w:t>
      </w:r>
      <w:r>
        <w:rPr>
          <w:rFonts w:cs="Arial"/>
          <w:iCs/>
          <w:color w:val="000000"/>
          <w:sz w:val="24"/>
          <w:szCs w:val="24"/>
        </w:rPr>
        <w:t>conforme custos unitários apostos</w:t>
      </w:r>
      <w:r>
        <w:rPr>
          <w:rFonts w:cs="Arial"/>
          <w:i/>
          <w:color w:val="000000"/>
          <w:sz w:val="24"/>
          <w:szCs w:val="24"/>
        </w:rPr>
        <w:t xml:space="preserve"> na tabela acima.</w:t>
      </w:r>
    </w:p>
    <w:p>
      <w:pPr>
        <w:pStyle w:val="Normal"/>
        <w:spacing w:lineRule="auto" w:line="276" w:before="0" w:after="0"/>
        <w:jc w:val="both"/>
        <w:rPr>
          <w:rFonts w:ascii="Arial" w:hAnsi="Arial" w:cs="Arial"/>
          <w:sz w:val="24"/>
          <w:szCs w:val="24"/>
        </w:rPr>
      </w:pPr>
      <w:r>
        <w:rPr>
          <w:rFonts w:cs="Arial"/>
          <w:sz w:val="24"/>
          <w:szCs w:val="24"/>
        </w:rPr>
      </w:r>
    </w:p>
    <w:p>
      <w:pPr>
        <w:pStyle w:val="Nivel1"/>
        <w:numPr>
          <w:ilvl w:val="0"/>
          <w:numId w:val="1"/>
        </w:numPr>
        <w:spacing w:before="0" w:after="0"/>
        <w:rPr>
          <w:rFonts w:ascii="Arial" w:hAnsi="Arial"/>
          <w:sz w:val="24"/>
          <w:szCs w:val="24"/>
        </w:rPr>
      </w:pPr>
      <w:r>
        <w:rPr>
          <w:bCs/>
          <w:sz w:val="24"/>
          <w:szCs w:val="24"/>
        </w:rPr>
        <w:t xml:space="preserve">FUNDAMENTAÇÃO E DESCRIÇÃO DA NECESSIDADE DA CONTRATAÇÃO (art. 6º, inciso XXIII, alínea ‘b’, da Lei nº 14.133/2021). </w:t>
      </w:r>
    </w:p>
    <w:p>
      <w:pPr>
        <w:pStyle w:val="Nivel1"/>
        <w:numPr>
          <w:ilvl w:val="0"/>
          <w:numId w:val="0"/>
        </w:numPr>
        <w:spacing w:before="0" w:after="0"/>
        <w:ind w:left="360" w:hanging="0"/>
        <w:jc w:val="both"/>
        <w:rPr>
          <w:rFonts w:ascii="Arial" w:hAnsi="Arial"/>
          <w:sz w:val="24"/>
          <w:szCs w:val="24"/>
        </w:rPr>
      </w:pPr>
      <w:r>
        <w:rPr>
          <w:rFonts w:cs="Arial"/>
          <w:bCs/>
          <w:color w:val="000000"/>
          <w:sz w:val="24"/>
          <w:szCs w:val="24"/>
        </w:rPr>
        <w:t>2.1.</w:t>
      </w:r>
      <w:r>
        <w:rPr>
          <w:rFonts w:cs="Arial"/>
          <w:b w:val="false"/>
          <w:bCs w:val="false"/>
          <w:color w:val="000000"/>
          <w:sz w:val="24"/>
          <w:szCs w:val="24"/>
        </w:rPr>
        <w:tab/>
      </w:r>
      <w:r>
        <w:rPr>
          <w:rFonts w:eastAsia="Calibri" w:cs="Arial"/>
          <w:b w:val="false"/>
          <w:bCs w:val="false"/>
          <w:iCs/>
          <w:color w:val="000000"/>
          <w:kern w:val="0"/>
          <w:sz w:val="24"/>
          <w:szCs w:val="24"/>
          <w:lang w:val="pt-BR" w:eastAsia="en-US" w:bidi="ar-SA"/>
        </w:rPr>
        <w:t>A aquisição do serviço para reparo da porta blindex do hall de entrada do NAIM atenderá à   necessidade por um período de 1 (um) ano para o Hospital Naval de Natal.</w:t>
      </w:r>
    </w:p>
    <w:p>
      <w:pPr>
        <w:pStyle w:val="Normal"/>
        <w:numPr>
          <w:ilvl w:val="0"/>
          <w:numId w:val="0"/>
        </w:numPr>
        <w:spacing w:before="0" w:after="0"/>
        <w:ind w:left="360" w:hanging="0"/>
        <w:jc w:val="both"/>
        <w:rPr/>
      </w:pPr>
      <w:r>
        <w:rPr>
          <w:rFonts w:eastAsia="Calibri" w:cs="Arial"/>
          <w:b w:val="false"/>
          <w:bCs w:val="false"/>
          <w:iCs/>
          <w:color w:val="000000"/>
          <w:spacing w:val="4"/>
          <w:w w:val="105"/>
          <w:kern w:val="0"/>
          <w:sz w:val="24"/>
          <w:szCs w:val="24"/>
          <w:lang w:val="pt-BR" w:eastAsia="en-US" w:bidi="ar-SA"/>
        </w:rPr>
        <w:t xml:space="preserve">A conveniência da aquisição dos produtos, com previsão de entrega imediata, e pelo Registro de Preços, traz maior economicidade à Administração. Além disso, há um melhor controle de qualidade em relação ao serviço prestado quanto à segurança e conforto de nossos pacientes idosos e com comorbidades. Outrossim, a porta de entrada é única para atender cerca de 1.200  pacientes/mês aos consultórios e, haja vista, que seu reparo é necessário periodicamente para um bom funcionamento do mesmo. </w:t>
      </w:r>
      <w:r>
        <w:rPr>
          <w:rStyle w:val="Fontepargpadro"/>
          <w:rFonts w:eastAsia="Calibri" w:cs="Arial"/>
          <w:b w:val="false"/>
          <w:bCs w:val="false"/>
          <w:iCs/>
          <w:strike w:val="false"/>
          <w:dstrike w:val="false"/>
          <w:color w:val="000000"/>
          <w:spacing w:val="4"/>
          <w:w w:val="105"/>
          <w:kern w:val="0"/>
          <w:sz w:val="24"/>
          <w:szCs w:val="24"/>
          <w:u w:val="none"/>
          <w:lang w:val="pt-BR" w:eastAsia="en-US" w:bidi="ar-SA"/>
        </w:rPr>
        <w:t xml:space="preserve">Ressalta-se que devido a grande circulação de pessoas, impactando diretamente na segurança orgânica do HNNa, reitera-se tamanha importância para resolução da problemática em lide. </w:t>
      </w:r>
    </w:p>
    <w:p>
      <w:pPr>
        <w:pStyle w:val="Nivel1"/>
        <w:numPr>
          <w:ilvl w:val="0"/>
          <w:numId w:val="1"/>
        </w:numPr>
        <w:spacing w:before="0" w:after="0"/>
        <w:rPr>
          <w:rFonts w:ascii="Arial" w:hAnsi="Arial"/>
          <w:sz w:val="24"/>
          <w:szCs w:val="24"/>
        </w:rPr>
      </w:pPr>
      <w:r>
        <w:rPr>
          <w:bCs/>
          <w:sz w:val="24"/>
          <w:szCs w:val="24"/>
        </w:rPr>
        <w:t>DESCRIÇÃO DA SOLUÇÃO COMO UM TODO CONSIDERADO O CICLO DE VIDA DO OBJETO E ESPECIFICAÇÃO DO PRODUTO (art. 6º, inciso XXIII, alínea ‘c’, e art. 40, §1º, inciso I, da Lei nº 14.133/2021)</w:t>
      </w:r>
    </w:p>
    <w:p>
      <w:pPr>
        <w:pStyle w:val="Nivel1"/>
        <w:numPr>
          <w:ilvl w:val="0"/>
          <w:numId w:val="0"/>
        </w:numPr>
        <w:spacing w:before="0" w:after="0"/>
        <w:ind w:left="360" w:hanging="0"/>
        <w:rPr>
          <w:rFonts w:ascii="Arial" w:hAnsi="Arial"/>
          <w:sz w:val="24"/>
          <w:szCs w:val="24"/>
        </w:rPr>
      </w:pPr>
      <w:r>
        <w:rPr>
          <w:rFonts w:cs="Arial"/>
          <w:b/>
          <w:bCs/>
          <w:i/>
          <w:iCs/>
          <w:color w:val="000000"/>
          <w:sz w:val="24"/>
          <w:szCs w:val="24"/>
        </w:rPr>
        <w:t>3.1.</w:t>
      </w:r>
      <w:r>
        <w:rPr>
          <w:rFonts w:eastAsia="Times New Roman" w:cs="Times New Roman"/>
          <w:b w:val="false"/>
          <w:bCs w:val="false"/>
          <w:i w:val="false"/>
          <w:iCs w:val="false"/>
          <w:color w:val="000000"/>
          <w:spacing w:val="2"/>
          <w:w w:val="105"/>
          <w:sz w:val="24"/>
          <w:szCs w:val="24"/>
          <w:lang w:val="pt-PT" w:eastAsia="en-US" w:bidi="ar-SA"/>
        </w:rPr>
        <w:t>Considerando as necessidades da Administração, a solução escolhida está definida por previsão legal na Lei nº 14.133, de 01 de abril de 2021, que estabelece normas gerais</w:t>
      </w:r>
      <w:r>
        <w:rPr>
          <w:rFonts w:cs="Arial"/>
          <w:b w:val="false"/>
          <w:bCs w:val="false"/>
          <w:i w:val="false"/>
          <w:iCs w:val="false"/>
          <w:color w:val="000000"/>
          <w:sz w:val="24"/>
          <w:szCs w:val="24"/>
        </w:rPr>
        <w:t xml:space="preserve"> de licitação e contratação para as Administrações Públicas diretas, autárquicas e fundacionais da União, dos Estados, do Distrito Federal e dos Municípios</w:t>
      </w:r>
      <w:r>
        <w:rPr>
          <w:rFonts w:eastAsia="Times New Roman" w:cs="Times New Roman"/>
          <w:b w:val="false"/>
          <w:bCs w:val="false"/>
          <w:i w:val="false"/>
          <w:iCs w:val="false"/>
          <w:color w:val="000000"/>
          <w:spacing w:val="2"/>
          <w:w w:val="105"/>
          <w:sz w:val="24"/>
          <w:szCs w:val="24"/>
          <w:lang w:val="pt-PT" w:eastAsia="en-US" w:bidi="ar-SA"/>
        </w:rPr>
        <w:t>.</w:t>
      </w:r>
    </w:p>
    <w:p>
      <w:pPr>
        <w:pStyle w:val="Normal"/>
        <w:numPr>
          <w:ilvl w:val="0"/>
          <w:numId w:val="0"/>
        </w:numPr>
        <w:spacing w:before="0" w:after="0"/>
        <w:ind w:left="360" w:hanging="0"/>
        <w:rPr>
          <w:rFonts w:ascii="Arial" w:hAnsi="Arial" w:cs="Arial"/>
          <w:b/>
          <w:b/>
          <w:bCs/>
          <w:i/>
          <w:i/>
          <w:iCs/>
          <w:color w:val="ED1C24"/>
          <w:sz w:val="24"/>
          <w:szCs w:val="24"/>
          <w:highlight w:val="yellow"/>
        </w:rPr>
      </w:pPr>
      <w:r>
        <w:rPr>
          <w:rFonts w:cs="Arial"/>
          <w:b/>
          <w:bCs/>
          <w:i/>
          <w:iCs/>
          <w:color w:val="ED1C24"/>
          <w:sz w:val="24"/>
          <w:szCs w:val="24"/>
          <w:highlight w:val="yellow"/>
        </w:rPr>
      </w:r>
    </w:p>
    <w:p>
      <w:pPr>
        <w:pStyle w:val="ListParagraph"/>
        <w:numPr>
          <w:ilvl w:val="0"/>
          <w:numId w:val="0"/>
        </w:numPr>
        <w:spacing w:lineRule="auto" w:line="276" w:before="0" w:after="0"/>
        <w:ind w:left="1152" w:hanging="0"/>
        <w:contextualSpacing/>
        <w:jc w:val="both"/>
        <w:rPr>
          <w:rFonts w:ascii="Arial" w:hAnsi="Arial"/>
          <w:sz w:val="24"/>
          <w:szCs w:val="24"/>
        </w:rPr>
      </w:pPr>
      <w:r>
        <w:rPr>
          <w:sz w:val="24"/>
          <w:szCs w:val="24"/>
        </w:rPr>
      </w:r>
    </w:p>
    <w:p>
      <w:pPr>
        <w:pStyle w:val="Nivel1"/>
        <w:numPr>
          <w:ilvl w:val="0"/>
          <w:numId w:val="1"/>
        </w:numPr>
        <w:spacing w:before="0" w:after="0"/>
        <w:rPr>
          <w:rFonts w:ascii="Arial" w:hAnsi="Arial"/>
          <w:sz w:val="24"/>
          <w:szCs w:val="24"/>
        </w:rPr>
      </w:pPr>
      <w:r>
        <w:rPr>
          <w:bCs/>
          <w:sz w:val="24"/>
          <w:szCs w:val="24"/>
        </w:rPr>
        <w:t>REQUISITOS DA CONTRATAÇÃO (art. 6º, XXIII, alínea ‘d’, da Lei nº 14.133/21</w:t>
      </w:r>
    </w:p>
    <w:p>
      <w:pPr>
        <w:pStyle w:val="Nivel1"/>
        <w:numPr>
          <w:ilvl w:val="0"/>
          <w:numId w:val="0"/>
        </w:numPr>
        <w:spacing w:before="0" w:after="0"/>
        <w:ind w:left="432" w:hanging="0"/>
        <w:rPr>
          <w:rFonts w:ascii="Arial" w:hAnsi="Arial"/>
          <w:sz w:val="24"/>
          <w:szCs w:val="24"/>
        </w:rPr>
      </w:pPr>
      <w:r>
        <w:rPr>
          <w:rFonts w:cs="Arial"/>
          <w:bCs/>
          <w:sz w:val="24"/>
          <w:szCs w:val="24"/>
        </w:rPr>
        <w:t xml:space="preserve">4.1. </w:t>
      </w:r>
      <w:r>
        <w:rPr>
          <w:rFonts w:cs="Arial"/>
          <w:b w:val="false"/>
          <w:bCs w:val="false"/>
          <w:sz w:val="24"/>
          <w:szCs w:val="24"/>
        </w:rPr>
        <w:t>A contratação deverá observar os seguintes requisitos:</w:t>
      </w:r>
    </w:p>
    <w:p>
      <w:pPr>
        <w:pStyle w:val="ListParagraph"/>
        <w:numPr>
          <w:ilvl w:val="2"/>
          <w:numId w:val="1"/>
        </w:numPr>
        <w:spacing w:lineRule="auto" w:line="276" w:before="0" w:after="0"/>
        <w:contextualSpacing/>
        <w:jc w:val="both"/>
        <w:rPr>
          <w:rFonts w:ascii="Arial" w:hAnsi="Arial"/>
          <w:sz w:val="24"/>
          <w:szCs w:val="24"/>
        </w:rPr>
      </w:pPr>
      <w:r>
        <w:rPr>
          <w:rFonts w:cs="Arial"/>
          <w:i/>
          <w:iCs/>
          <w:sz w:val="24"/>
          <w:szCs w:val="24"/>
        </w:rPr>
        <w:t xml:space="preserve"> </w:t>
      </w:r>
      <w:r>
        <w:rPr>
          <w:rFonts w:cs="Arial"/>
          <w:i w:val="false"/>
          <w:iCs w:val="false"/>
          <w:color w:val="000000"/>
          <w:sz w:val="24"/>
          <w:szCs w:val="24"/>
        </w:rPr>
        <w:t>Sustentabilidade:</w:t>
      </w:r>
    </w:p>
    <w:p>
      <w:pPr>
        <w:pStyle w:val="ListParagraph"/>
        <w:numPr>
          <w:ilvl w:val="3"/>
          <w:numId w:val="1"/>
        </w:numPr>
        <w:shd w:val="clear" w:color="auto" w:fill="FFFFFF"/>
        <w:spacing w:lineRule="auto" w:line="276" w:before="0" w:after="0"/>
        <w:contextualSpacing/>
        <w:jc w:val="both"/>
        <w:rPr>
          <w:rFonts w:ascii="Arial" w:hAnsi="Arial"/>
          <w:sz w:val="24"/>
          <w:szCs w:val="24"/>
        </w:rPr>
      </w:pPr>
      <w:r>
        <w:rPr>
          <w:rFonts w:cs="Arial"/>
          <w:i w:val="false"/>
          <w:iCs w:val="false"/>
          <w:color w:val="000000"/>
          <w:sz w:val="24"/>
          <w:szCs w:val="24"/>
        </w:rPr>
        <w:t>Além dos critérios de sustentabilidade eventualmente inseridos na descrição do objeto, devem ser atendidos os seguintes requisitos, que se baseiam no Guia Nacional de Contratações Sustentáveis.</w:t>
      </w:r>
    </w:p>
    <w:p>
      <w:pPr>
        <w:pStyle w:val="ListParagraph"/>
        <w:widowControl/>
        <w:numPr>
          <w:ilvl w:val="4"/>
          <w:numId w:val="1"/>
        </w:numPr>
        <w:shd w:val="clear" w:color="auto" w:fill="FFFFFF"/>
        <w:bidi w:val="0"/>
        <w:spacing w:lineRule="auto" w:line="276" w:before="0" w:after="0"/>
        <w:ind w:left="2211" w:right="0" w:hanging="340"/>
        <w:contextualSpacing/>
        <w:jc w:val="both"/>
        <w:rPr>
          <w:rFonts w:ascii="Arial" w:hAnsi="Arial"/>
          <w:sz w:val="24"/>
          <w:szCs w:val="24"/>
        </w:rPr>
      </w:pPr>
      <w:r>
        <w:rPr>
          <w:rFonts w:cs="Arial"/>
          <w:i/>
          <w:iCs/>
          <w:color w:val="000000"/>
          <w:w w:val="105"/>
          <w:sz w:val="24"/>
          <w:szCs w:val="24"/>
        </w:rPr>
        <w:t xml:space="preserve">Os </w:t>
      </w:r>
      <w:r>
        <w:rPr>
          <w:rFonts w:cs="Arial"/>
          <w:i/>
          <w:iCs/>
          <w:color w:val="000000"/>
          <w:spacing w:val="2"/>
          <w:w w:val="105"/>
          <w:sz w:val="24"/>
          <w:szCs w:val="24"/>
        </w:rPr>
        <w:t>itens fornecidos pela CONTRATADA deverão apresentar Nota Fiscal original com garantia de, no mínimo, 90 dias para o objeto.</w:t>
      </w:r>
    </w:p>
    <w:p>
      <w:pPr>
        <w:pStyle w:val="ListParagraph"/>
        <w:numPr>
          <w:ilvl w:val="0"/>
          <w:numId w:val="0"/>
        </w:numPr>
        <w:spacing w:lineRule="auto" w:line="276" w:before="0" w:after="0"/>
        <w:ind w:left="432" w:hanging="0"/>
        <w:contextualSpacing/>
        <w:jc w:val="both"/>
        <w:rPr>
          <w:rFonts w:ascii="Arial" w:hAnsi="Arial"/>
          <w:sz w:val="24"/>
          <w:szCs w:val="24"/>
        </w:rPr>
      </w:pPr>
      <w:r>
        <w:rPr>
          <w:rFonts w:cs="Arial"/>
          <w:b/>
          <w:bCs/>
          <w:i w:val="false"/>
          <w:iCs w:val="false"/>
          <w:color w:val="000000"/>
          <w:sz w:val="24"/>
          <w:szCs w:val="24"/>
        </w:rPr>
        <w:t>4.2</w:t>
      </w:r>
      <w:r>
        <w:rPr>
          <w:rFonts w:cs="Arial"/>
          <w:i w:val="false"/>
          <w:iCs w:val="false"/>
          <w:color w:val="000000"/>
          <w:sz w:val="24"/>
          <w:szCs w:val="24"/>
        </w:rPr>
        <w:t>. Não será admitida a subcontratação do objeto contratual.</w:t>
      </w:r>
    </w:p>
    <w:p>
      <w:pPr>
        <w:pStyle w:val="ListParagraph"/>
        <w:numPr>
          <w:ilvl w:val="0"/>
          <w:numId w:val="0"/>
        </w:numPr>
        <w:spacing w:lineRule="auto" w:line="276" w:before="0" w:after="0"/>
        <w:ind w:left="432" w:hanging="0"/>
        <w:contextualSpacing/>
        <w:jc w:val="both"/>
        <w:rPr>
          <w:rFonts w:ascii="Arial" w:hAnsi="Arial" w:cs="Arial"/>
          <w:i w:val="false"/>
          <w:i w:val="false"/>
          <w:iCs w:val="false"/>
          <w:color w:val="000000"/>
          <w:sz w:val="24"/>
          <w:szCs w:val="24"/>
        </w:rPr>
      </w:pPr>
      <w:r>
        <w:rPr>
          <w:rFonts w:cs="Arial"/>
          <w:i w:val="false"/>
          <w:iCs w:val="false"/>
          <w:color w:val="000000"/>
          <w:sz w:val="24"/>
          <w:szCs w:val="24"/>
        </w:rPr>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i w:val="false"/>
          <w:iCs w:val="false"/>
          <w:color w:val="000000"/>
          <w:sz w:val="24"/>
          <w:szCs w:val="24"/>
        </w:rPr>
        <w:t>4.3. Não haverá exigência da garantia da contratação dos arts. 96 e seguintes da Lei nº 14.133/21, pelas razões abaixo justificadas:</w:t>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i w:val="false"/>
          <w:iCs w:val="false"/>
          <w:color w:val="000000"/>
          <w:sz w:val="24"/>
          <w:szCs w:val="24"/>
        </w:rPr>
        <w:t>4.3.1. pequeno valor</w:t>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i w:val="false"/>
          <w:iCs w:val="false"/>
          <w:color w:val="000000"/>
          <w:sz w:val="24"/>
          <w:szCs w:val="24"/>
        </w:rPr>
        <w:t>43.2. pagamento ocorrer apenas após a liquidação da despesa.</w:t>
      </w:r>
    </w:p>
    <w:p>
      <w:pPr>
        <w:pStyle w:val="Normal"/>
        <w:numPr>
          <w:ilvl w:val="0"/>
          <w:numId w:val="0"/>
        </w:numPr>
        <w:ind w:left="360" w:hanging="0"/>
        <w:rPr>
          <w:rFonts w:ascii="Arial" w:hAnsi="Arial"/>
          <w:sz w:val="24"/>
          <w:szCs w:val="24"/>
        </w:rPr>
      </w:pPr>
      <w:r>
        <w:rPr>
          <w:sz w:val="24"/>
          <w:szCs w:val="24"/>
        </w:rPr>
      </w:r>
    </w:p>
    <w:p>
      <w:pPr>
        <w:pStyle w:val="Nivel1"/>
        <w:numPr>
          <w:ilvl w:val="0"/>
          <w:numId w:val="1"/>
        </w:numPr>
        <w:spacing w:before="0" w:after="0"/>
        <w:rPr>
          <w:rFonts w:ascii="Arial" w:hAnsi="Arial"/>
          <w:sz w:val="24"/>
          <w:szCs w:val="24"/>
        </w:rPr>
      </w:pPr>
      <w:r>
        <w:rPr>
          <w:sz w:val="24"/>
          <w:szCs w:val="24"/>
        </w:rPr>
        <w:t>MODELO DE EXECUÇÃO CONTRATUAL (arts. 6º, XXIII, alínea “e” e 40, §1º, inciso II, da Lei nº 14.133/2021).</w:t>
      </w:r>
    </w:p>
    <w:p>
      <w:pPr>
        <w:pStyle w:val="Normal"/>
        <w:numPr>
          <w:ilvl w:val="0"/>
          <w:numId w:val="0"/>
        </w:numPr>
        <w:spacing w:before="0" w:after="0"/>
        <w:ind w:left="360" w:hanging="0"/>
        <w:rPr>
          <w:rFonts w:ascii="Arial" w:hAnsi="Arial" w:cs="Arial"/>
          <w:b/>
          <w:b/>
          <w:bCs/>
          <w:sz w:val="24"/>
          <w:szCs w:val="24"/>
        </w:rPr>
      </w:pPr>
      <w:r>
        <w:rPr>
          <w:rFonts w:cs="Arial"/>
          <w:b/>
          <w:bCs/>
          <w:sz w:val="24"/>
          <w:szCs w:val="24"/>
        </w:rPr>
      </w:r>
    </w:p>
    <w:p>
      <w:pPr>
        <w:pStyle w:val="Nivel2"/>
        <w:numPr>
          <w:ilvl w:val="1"/>
          <w:numId w:val="3"/>
        </w:numPr>
        <w:spacing w:before="0" w:after="0"/>
        <w:rPr>
          <w:rFonts w:ascii="Arial" w:hAnsi="Arial"/>
          <w:sz w:val="24"/>
          <w:szCs w:val="24"/>
        </w:rPr>
      </w:pPr>
      <w:r>
        <w:rPr>
          <w:rFonts w:ascii="Arial" w:hAnsi="Arial"/>
          <w:i w:val="false"/>
          <w:iCs w:val="false"/>
          <w:color w:val="000000"/>
          <w:sz w:val="24"/>
          <w:szCs w:val="24"/>
        </w:rPr>
        <w:t xml:space="preserve">O prazo de entrega dos bens é de 07 (sete) dias, contados do recebimento da nota de empenho, em remessa única. </w:t>
      </w:r>
    </w:p>
    <w:p>
      <w:pPr>
        <w:pStyle w:val="Normal"/>
        <w:spacing w:before="0" w:after="0"/>
        <w:rPr>
          <w:rFonts w:ascii="Arial" w:hAnsi="Arial" w:cs="Arial"/>
          <w:b/>
          <w:b/>
          <w:bCs/>
          <w:color w:val="000000"/>
          <w:sz w:val="24"/>
          <w:szCs w:val="24"/>
          <w:u w:val="single"/>
        </w:rPr>
      </w:pPr>
      <w:r>
        <w:rPr>
          <w:rFonts w:cs="Arial"/>
          <w:b/>
          <w:bCs/>
          <w:color w:val="000000"/>
          <w:sz w:val="24"/>
          <w:szCs w:val="24"/>
          <w:u w:val="single"/>
        </w:rPr>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5.2.</w:t>
      </w:r>
      <w:r>
        <w:rPr>
          <w:rFonts w:ascii="Arial" w:hAnsi="Arial"/>
          <w:bCs/>
          <w:i w:val="false"/>
          <w:iCs w:val="false"/>
          <w:color w:val="000000"/>
          <w:sz w:val="24"/>
          <w:szCs w:val="24"/>
        </w:rPr>
        <w:t xml:space="preserve"> Caso não seja possível a entrega na data assinalada, a empresa deverá comunicar as razões respectivas com pelo menos 5 (cinco) dias de antecedência para que qualquer pleito de prorrogação de prazo seja analisado, ressalvadas situações de caso fortuito e </w:t>
      </w:r>
      <w:r>
        <w:rPr>
          <w:rFonts w:ascii="Arial" w:hAnsi="Arial"/>
          <w:i w:val="false"/>
          <w:iCs w:val="false"/>
          <w:color w:val="000000"/>
          <w:sz w:val="24"/>
          <w:szCs w:val="24"/>
        </w:rPr>
        <w:t>força</w:t>
      </w:r>
      <w:r>
        <w:rPr>
          <w:rFonts w:ascii="Arial" w:hAnsi="Arial"/>
          <w:bCs/>
          <w:i w:val="false"/>
          <w:iCs w:val="false"/>
          <w:color w:val="000000"/>
          <w:sz w:val="24"/>
          <w:szCs w:val="24"/>
        </w:rPr>
        <w:t xml:space="preserve"> maior.</w:t>
      </w:r>
    </w:p>
    <w:p>
      <w:pPr>
        <w:pStyle w:val="Nivel2"/>
        <w:numPr>
          <w:ilvl w:val="0"/>
          <w:numId w:val="0"/>
        </w:numPr>
        <w:spacing w:before="0" w:after="0"/>
        <w:ind w:left="3240" w:hanging="0"/>
        <w:rPr>
          <w:rFonts w:ascii="Arial" w:hAnsi="Arial"/>
          <w:bCs/>
          <w:i/>
          <w:i/>
          <w:iCs/>
          <w:color w:val="FF0000"/>
          <w:sz w:val="24"/>
          <w:szCs w:val="24"/>
        </w:rPr>
      </w:pPr>
      <w:r>
        <w:rPr>
          <w:rFonts w:ascii="Arial" w:hAnsi="Arial"/>
          <w:bCs/>
          <w:i/>
          <w:iCs/>
          <w:color w:val="FF0000"/>
          <w:sz w:val="24"/>
          <w:szCs w:val="24"/>
        </w:rPr>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5.3. </w:t>
      </w:r>
      <w:r>
        <w:rPr>
          <w:rFonts w:ascii="Arial" w:hAnsi="Arial"/>
          <w:bCs/>
          <w:i w:val="false"/>
          <w:iCs w:val="false"/>
          <w:color w:val="000000"/>
          <w:sz w:val="24"/>
          <w:szCs w:val="24"/>
        </w:rPr>
        <w:t>Os bens deverão ser entregues no seguinte endereço: Rua Silvio Pelico, S/N, Alecrim, CEP: 59040-180, Natal/RN, de segunda a sexta-feira, das 08:00 às 15:00,</w:t>
      </w:r>
      <w:r>
        <w:rPr>
          <w:rFonts w:ascii="Arial" w:hAnsi="Arial"/>
          <w:bCs/>
          <w:i/>
          <w:iCs/>
          <w:color w:val="FF0000"/>
          <w:sz w:val="24"/>
          <w:szCs w:val="24"/>
        </w:rPr>
        <w:t xml:space="preserve"> </w:t>
      </w:r>
      <w:r>
        <w:rPr>
          <w:rFonts w:ascii="Arial" w:hAnsi="Arial"/>
          <w:bCs/>
          <w:i/>
          <w:iCs/>
          <w:color w:val="000000"/>
          <w:sz w:val="24"/>
          <w:szCs w:val="24"/>
        </w:rPr>
        <w:t>no Núcleo de Atendimento ao Idoso (NAIM).</w:t>
      </w:r>
    </w:p>
    <w:p>
      <w:pPr>
        <w:pStyle w:val="Nivel2"/>
        <w:numPr>
          <w:ilvl w:val="0"/>
          <w:numId w:val="0"/>
        </w:numPr>
        <w:spacing w:before="0" w:after="0"/>
        <w:ind w:left="0" w:hanging="0"/>
        <w:rPr>
          <w:rFonts w:ascii="Arial" w:hAnsi="Arial"/>
          <w:bCs/>
          <w:i/>
          <w:i/>
          <w:iCs/>
          <w:color w:val="000000"/>
          <w:sz w:val="24"/>
          <w:szCs w:val="24"/>
        </w:rPr>
      </w:pPr>
      <w:r>
        <w:rPr>
          <w:rFonts w:ascii="Arial" w:hAnsi="Arial"/>
          <w:bCs/>
          <w:i/>
          <w:iCs/>
          <w:color w:val="000000"/>
          <w:sz w:val="24"/>
          <w:szCs w:val="24"/>
        </w:rPr>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5.4.</w:t>
      </w:r>
      <w:r>
        <w:rPr>
          <w:rFonts w:ascii="Arial" w:hAnsi="Arial"/>
          <w:bCs/>
          <w:color w:val="00000A"/>
          <w:sz w:val="24"/>
          <w:szCs w:val="24"/>
        </w:rPr>
        <w:t xml:space="preserve"> Os bens serão recebidos provisoriamente, de forma sumária, no prazo de 07 (sete)</w:t>
      </w:r>
      <w:r>
        <w:rPr>
          <w:rFonts w:ascii="Arial" w:hAnsi="Arial"/>
          <w:bCs/>
          <w:color w:val="FF0000"/>
          <w:sz w:val="24"/>
          <w:szCs w:val="24"/>
        </w:rPr>
        <w:t xml:space="preserve"> </w:t>
      </w:r>
      <w:r>
        <w:rPr>
          <w:rFonts w:ascii="Arial" w:hAnsi="Arial"/>
          <w:bCs/>
          <w:color w:val="00000A"/>
          <w:sz w:val="24"/>
          <w:szCs w:val="24"/>
        </w:rPr>
        <w:t>dias, pelo(a) responsável pelo acompanhamento e fiscalização do contrato, para efeito de posterior verificação de sua conformidade com as especificações constantes neste Termo de Referência e na proposta.</w:t>
      </w:r>
    </w:p>
    <w:p>
      <w:pPr>
        <w:pStyle w:val="Nivel1"/>
        <w:numPr>
          <w:ilvl w:val="0"/>
          <w:numId w:val="0"/>
        </w:numPr>
        <w:spacing w:before="0" w:after="0"/>
        <w:ind w:left="360" w:hanging="0"/>
        <w:rPr>
          <w:rFonts w:ascii="Arial" w:hAnsi="Arial"/>
          <w:bCs/>
          <w:color w:val="00000A"/>
          <w:sz w:val="24"/>
          <w:szCs w:val="24"/>
        </w:rPr>
      </w:pPr>
      <w:r>
        <w:rPr>
          <w:bCs/>
          <w:color w:val="00000A"/>
          <w:sz w:val="24"/>
          <w:szCs w:val="24"/>
        </w:rPr>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5.5.</w:t>
      </w:r>
      <w:r>
        <w:rPr>
          <w:rFonts w:ascii="Arial" w:hAnsi="Arial"/>
          <w:bCs/>
          <w:color w:val="00000A"/>
          <w:sz w:val="24"/>
          <w:szCs w:val="24"/>
        </w:rPr>
        <w:t xml:space="preserve"> Os bens poderão ser rejeitados, no todo ou em parte, quando em desacordo com as especificações constantes neste Termo de Referência e na proposta, devendo ser substituídos no prazo de 5 (cinco)</w:t>
      </w:r>
      <w:r>
        <w:rPr>
          <w:rFonts w:ascii="Arial" w:hAnsi="Arial"/>
          <w:bCs/>
          <w:color w:val="FF0000"/>
          <w:sz w:val="24"/>
          <w:szCs w:val="24"/>
        </w:rPr>
        <w:t xml:space="preserve"> </w:t>
      </w:r>
      <w:r>
        <w:rPr>
          <w:rFonts w:ascii="Arial" w:hAnsi="Arial"/>
          <w:bCs/>
          <w:color w:val="00000A"/>
          <w:sz w:val="24"/>
          <w:szCs w:val="24"/>
        </w:rPr>
        <w:t>dias, a contar da notificação da contratada, às suas custas, sem prejuízo da aplicação das penalidades.</w:t>
      </w:r>
    </w:p>
    <w:p>
      <w:pPr>
        <w:pStyle w:val="Nivel2"/>
        <w:numPr>
          <w:ilvl w:val="0"/>
          <w:numId w:val="0"/>
        </w:numPr>
        <w:spacing w:before="0" w:after="0"/>
        <w:ind w:left="0" w:hanging="0"/>
        <w:rPr>
          <w:rFonts w:ascii="Arial" w:hAnsi="Arial"/>
          <w:bCs/>
          <w:color w:val="00000A"/>
          <w:sz w:val="24"/>
          <w:szCs w:val="24"/>
        </w:rPr>
      </w:pPr>
      <w:r>
        <w:rPr>
          <w:rFonts w:ascii="Arial" w:hAnsi="Arial"/>
          <w:bCs/>
          <w:color w:val="00000A"/>
          <w:sz w:val="24"/>
          <w:szCs w:val="24"/>
        </w:rPr>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5.6.</w:t>
      </w:r>
      <w:r>
        <w:rPr>
          <w:rFonts w:ascii="Arial" w:hAnsi="Arial"/>
          <w:bCs/>
          <w:color w:val="00000A"/>
          <w:sz w:val="24"/>
          <w:szCs w:val="24"/>
        </w:rPr>
        <w:t xml:space="preserve"> Os bens serão recebidos definitivamente no prazo de 10 (dez) dias, contados do recebimento provisório, após a verificação da qualidade e quantidade do material e consequente aceitação mediante termo detalhado.</w:t>
      </w:r>
    </w:p>
    <w:p>
      <w:pPr>
        <w:pStyle w:val="Nivel2"/>
        <w:numPr>
          <w:ilvl w:val="0"/>
          <w:numId w:val="0"/>
        </w:numPr>
        <w:spacing w:before="0" w:after="0"/>
        <w:ind w:left="0" w:hanging="0"/>
        <w:rPr>
          <w:rFonts w:ascii="Arial" w:hAnsi="Arial"/>
          <w:sz w:val="24"/>
          <w:szCs w:val="24"/>
        </w:rPr>
      </w:pPr>
      <w:r>
        <w:rPr>
          <w:rFonts w:cs="Arial" w:ascii="Arial" w:hAnsi="Arial"/>
          <w:bCs/>
          <w:color w:val="00000A"/>
          <w:sz w:val="24"/>
          <w:szCs w:val="24"/>
        </w:rPr>
        <w:tab/>
      </w:r>
      <w:r>
        <w:rPr>
          <w:rFonts w:ascii="Arial" w:hAnsi="Arial"/>
          <w:b/>
          <w:bCs/>
          <w:color w:val="00000A"/>
          <w:sz w:val="24"/>
          <w:szCs w:val="24"/>
        </w:rPr>
        <w:t xml:space="preserve">5.6.1. </w:t>
      </w:r>
      <w:r>
        <w:rPr>
          <w:rFonts w:ascii="Arial" w:hAnsi="Arial"/>
          <w:bCs/>
          <w:color w:val="00000A"/>
          <w:sz w:val="24"/>
          <w:szCs w:val="24"/>
        </w:rPr>
        <w:t>Na hipótese de a verificação a que se refere o subitem anterior não ser procedida dentro do prazo fixado, reputar-se-á como realizada, consumando-se o recebimento definitivo no dia do esgotamento do prazo.</w:t>
      </w:r>
    </w:p>
    <w:p>
      <w:pPr>
        <w:pStyle w:val="Nivel2"/>
        <w:numPr>
          <w:ilvl w:val="0"/>
          <w:numId w:val="0"/>
        </w:numPr>
        <w:spacing w:before="0" w:after="0"/>
        <w:ind w:left="930" w:hanging="0"/>
        <w:rPr>
          <w:rFonts w:ascii="Arial" w:hAnsi="Arial"/>
          <w:bCs/>
          <w:color w:val="00000A"/>
          <w:sz w:val="24"/>
          <w:szCs w:val="24"/>
        </w:rPr>
      </w:pPr>
      <w:r>
        <w:rPr>
          <w:rFonts w:ascii="Arial" w:hAnsi="Arial"/>
          <w:bCs/>
          <w:color w:val="00000A"/>
          <w:sz w:val="24"/>
          <w:szCs w:val="24"/>
        </w:rPr>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 xml:space="preserve">5.7. </w:t>
      </w:r>
      <w:r>
        <w:rPr>
          <w:rFonts w:ascii="Arial" w:hAnsi="Arial"/>
          <w:bCs/>
          <w:color w:val="00000A"/>
          <w:sz w:val="24"/>
          <w:szCs w:val="24"/>
        </w:rPr>
        <w:t>O recebimento provisório ou definitivo não excluirá a responsabilidade civil pela solidez e pela segurança do serviço nem a responsabilidade ético-profissional pela perfeita execução do contrato.</w:t>
      </w:r>
    </w:p>
    <w:p>
      <w:pPr>
        <w:pStyle w:val="Nivel2"/>
        <w:numPr>
          <w:ilvl w:val="0"/>
          <w:numId w:val="0"/>
        </w:numPr>
        <w:spacing w:before="0" w:after="0"/>
        <w:ind w:left="0" w:hanging="0"/>
        <w:rPr>
          <w:rFonts w:ascii="Arial" w:hAnsi="Arial"/>
          <w:bCs/>
          <w:color w:val="00000A"/>
          <w:sz w:val="24"/>
          <w:szCs w:val="24"/>
        </w:rPr>
      </w:pPr>
      <w:r>
        <w:rPr>
          <w:rFonts w:ascii="Arial" w:hAnsi="Arial"/>
          <w:bCs/>
          <w:color w:val="00000A"/>
          <w:sz w:val="24"/>
          <w:szCs w:val="24"/>
        </w:rPr>
      </w:r>
    </w:p>
    <w:p>
      <w:pPr>
        <w:pStyle w:val="Nivel2"/>
        <w:numPr>
          <w:ilvl w:val="0"/>
          <w:numId w:val="0"/>
        </w:numPr>
        <w:spacing w:before="0" w:after="0"/>
        <w:ind w:left="0" w:hanging="0"/>
        <w:rPr>
          <w:rFonts w:ascii="Arial" w:hAnsi="Arial"/>
          <w:bCs/>
          <w:color w:val="00000A"/>
          <w:sz w:val="24"/>
          <w:szCs w:val="24"/>
        </w:rPr>
      </w:pPr>
      <w:r>
        <w:rPr>
          <w:rFonts w:ascii="Arial" w:hAnsi="Arial"/>
          <w:bCs/>
          <w:color w:val="00000A"/>
          <w:sz w:val="24"/>
          <w:szCs w:val="24"/>
        </w:rPr>
      </w:r>
    </w:p>
    <w:p>
      <w:pPr>
        <w:pStyle w:val="Nivel1"/>
        <w:numPr>
          <w:ilvl w:val="0"/>
          <w:numId w:val="0"/>
        </w:numPr>
        <w:spacing w:before="0" w:after="0"/>
        <w:ind w:left="360" w:hanging="360"/>
        <w:rPr>
          <w:rFonts w:ascii="Arial" w:hAnsi="Arial"/>
          <w:color w:val="FF0000"/>
          <w:sz w:val="24"/>
          <w:szCs w:val="24"/>
        </w:rPr>
      </w:pPr>
      <w:r>
        <w:rPr>
          <w:color w:val="FF0000"/>
          <w:sz w:val="24"/>
          <w:szCs w:val="24"/>
        </w:rPr>
      </w:r>
    </w:p>
    <w:p>
      <w:pPr>
        <w:pStyle w:val="Nivel1"/>
        <w:numPr>
          <w:ilvl w:val="0"/>
          <w:numId w:val="1"/>
        </w:numPr>
        <w:spacing w:before="0" w:after="0"/>
        <w:rPr>
          <w:rFonts w:ascii="Arial" w:hAnsi="Arial"/>
          <w:sz w:val="24"/>
          <w:szCs w:val="24"/>
        </w:rPr>
      </w:pPr>
      <w:r>
        <w:rPr>
          <w:sz w:val="24"/>
          <w:szCs w:val="24"/>
        </w:rPr>
        <w:t>MODELO DE GESTÃO DO CONTRATO (art. 6º, XXIII, alínea “f”, da Lei nº 14.133/21)</w:t>
      </w:r>
    </w:p>
    <w:p>
      <w:pPr>
        <w:pStyle w:val="Nivel2"/>
        <w:spacing w:before="0" w:after="0"/>
        <w:rPr>
          <w:rFonts w:ascii="Arial" w:hAnsi="Arial"/>
          <w:color w:val="00000A"/>
          <w:sz w:val="24"/>
          <w:szCs w:val="24"/>
        </w:rPr>
      </w:pPr>
      <w:r>
        <w:rPr>
          <w:rFonts w:ascii="Arial" w:hAnsi="Arial"/>
          <w:color w:val="00000A"/>
          <w:sz w:val="24"/>
          <w:szCs w:val="24"/>
        </w:rPr>
      </w:r>
    </w:p>
    <w:p>
      <w:pPr>
        <w:pStyle w:val="Nivel2"/>
        <w:spacing w:before="0" w:after="0"/>
        <w:ind w:left="0" w:hanging="0"/>
        <w:rPr>
          <w:rFonts w:ascii="Arial" w:hAnsi="Arial"/>
          <w:sz w:val="24"/>
          <w:szCs w:val="24"/>
        </w:rPr>
      </w:pPr>
      <w:r>
        <w:rPr>
          <w:rFonts w:ascii="Arial" w:hAnsi="Arial"/>
          <w:b/>
          <w:bCs/>
          <w:color w:val="00000A"/>
          <w:sz w:val="24"/>
          <w:szCs w:val="24"/>
        </w:rPr>
        <w:t>6.1.</w:t>
      </w:r>
      <w:r>
        <w:rPr>
          <w:rFonts w:ascii="Arial" w:hAnsi="Arial"/>
          <w:color w:val="00000A"/>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w:t>
      </w:r>
      <w:r>
        <w:rPr>
          <w:rFonts w:ascii="Arial" w:hAnsi="Arial"/>
          <w:i/>
          <w:iCs/>
          <w:color w:val="00000A"/>
          <w:sz w:val="24"/>
          <w:szCs w:val="24"/>
        </w:rPr>
        <w:t>caput</w:t>
      </w:r>
      <w:r>
        <w:rPr>
          <w:rFonts w:ascii="Arial" w:hAnsi="Arial"/>
          <w:color w:val="00000A"/>
          <w:sz w:val="24"/>
          <w:szCs w:val="24"/>
        </w:rPr>
        <w:t>).</w:t>
      </w:r>
    </w:p>
    <w:p>
      <w:pPr>
        <w:pStyle w:val="Nivel2"/>
        <w:numPr>
          <w:ilvl w:val="0"/>
          <w:numId w:val="0"/>
        </w:numPr>
        <w:spacing w:before="0" w:after="0"/>
        <w:ind w:left="432" w:hanging="0"/>
        <w:rPr>
          <w:rFonts w:ascii="Arial" w:hAnsi="Arial"/>
          <w:sz w:val="24"/>
          <w:szCs w:val="24"/>
        </w:rPr>
      </w:pPr>
      <w:bookmarkStart w:id="14" w:name="art115§1"/>
      <w:bookmarkStart w:id="15" w:name="art115§5"/>
      <w:bookmarkEnd w:id="14"/>
      <w:bookmarkEnd w:id="15"/>
      <w:r>
        <w:rPr>
          <w:rFonts w:ascii="Arial" w:hAnsi="Arial"/>
          <w:b/>
          <w:bCs/>
          <w:color w:val="00000A"/>
          <w:sz w:val="24"/>
          <w:szCs w:val="24"/>
        </w:rPr>
        <w:t>6.2.</w:t>
      </w:r>
      <w:r>
        <w:rPr>
          <w:rFonts w:ascii="Arial" w:hAnsi="Arial"/>
          <w:color w:val="00000A"/>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pPr>
        <w:pStyle w:val="Nivel2"/>
        <w:numPr>
          <w:ilvl w:val="0"/>
          <w:numId w:val="0"/>
        </w:numPr>
        <w:spacing w:before="0" w:after="0"/>
        <w:ind w:left="432" w:hanging="0"/>
        <w:rPr>
          <w:rFonts w:ascii="Arial" w:hAnsi="Arial"/>
          <w:sz w:val="24"/>
          <w:szCs w:val="24"/>
        </w:rPr>
      </w:pPr>
      <w:bookmarkStart w:id="16" w:name="art116"/>
      <w:bookmarkEnd w:id="16"/>
      <w:r>
        <w:rPr>
          <w:rFonts w:ascii="Arial" w:hAnsi="Arial"/>
          <w:b/>
          <w:bCs/>
          <w:color w:val="00000A"/>
          <w:sz w:val="24"/>
          <w:szCs w:val="24"/>
        </w:rPr>
        <w:t>6.3.</w:t>
      </w:r>
      <w:r>
        <w:rPr>
          <w:rFonts w:ascii="Arial" w:hAnsi="Arial"/>
          <w:color w:val="00000A"/>
          <w:sz w:val="24"/>
          <w:szCs w:val="24"/>
        </w:rPr>
        <w:t xml:space="preserve"> A execução do contrato deverá ser acompanhada e fiscalizada pelo(s) fiscal(is) do contrato, ou pelos respectivos substitutos (Lei nº 14.133/2021, art. 117, </w:t>
      </w:r>
      <w:r>
        <w:rPr>
          <w:rFonts w:ascii="Arial" w:hAnsi="Arial"/>
          <w:i/>
          <w:iCs/>
          <w:color w:val="00000A"/>
          <w:sz w:val="24"/>
          <w:szCs w:val="24"/>
        </w:rPr>
        <w:t>caput</w:t>
      </w:r>
      <w:bookmarkStart w:id="17" w:name="art117§1"/>
      <w:bookmarkEnd w:id="17"/>
      <w:r>
        <w:rPr>
          <w:rFonts w:ascii="Arial" w:hAnsi="Arial"/>
          <w:color w:val="00000A"/>
          <w:sz w:val="24"/>
          <w:szCs w:val="24"/>
        </w:rPr>
        <w:t>).</w:t>
      </w:r>
    </w:p>
    <w:p>
      <w:pPr>
        <w:pStyle w:val="Nivel3"/>
        <w:numPr>
          <w:ilvl w:val="0"/>
          <w:numId w:val="0"/>
        </w:numPr>
        <w:spacing w:before="0" w:after="0"/>
        <w:ind w:left="1355" w:hanging="0"/>
        <w:contextualSpacing/>
        <w:rPr>
          <w:rFonts w:ascii="Arial" w:hAnsi="Arial"/>
          <w:sz w:val="24"/>
          <w:szCs w:val="24"/>
        </w:rPr>
      </w:pPr>
      <w:r>
        <w:rPr>
          <w:rFonts w:ascii="Arial" w:hAnsi="Arial"/>
          <w:b/>
          <w:bCs/>
          <w:sz w:val="24"/>
          <w:szCs w:val="24"/>
        </w:rPr>
        <w:t>6.3.1.</w:t>
      </w:r>
      <w:r>
        <w:rPr>
          <w:rFonts w:ascii="Arial" w:hAnsi="Arial"/>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§1º).</w:t>
      </w:r>
    </w:p>
    <w:p>
      <w:pPr>
        <w:pStyle w:val="Nivel3"/>
        <w:numPr>
          <w:ilvl w:val="0"/>
          <w:numId w:val="0"/>
        </w:numPr>
        <w:spacing w:before="0" w:after="0"/>
        <w:ind w:left="1355" w:hanging="0"/>
        <w:contextualSpacing/>
        <w:rPr>
          <w:rFonts w:ascii="Arial" w:hAnsi="Arial"/>
          <w:sz w:val="24"/>
          <w:szCs w:val="24"/>
        </w:rPr>
      </w:pPr>
      <w:bookmarkStart w:id="18" w:name="art117§2"/>
      <w:bookmarkEnd w:id="18"/>
      <w:r>
        <w:rPr>
          <w:rFonts w:ascii="Arial" w:hAnsi="Arial"/>
          <w:b/>
          <w:bCs/>
          <w:sz w:val="24"/>
          <w:szCs w:val="24"/>
        </w:rPr>
        <w:t>6.3.2.</w:t>
      </w:r>
      <w:r>
        <w:rPr>
          <w:rFonts w:ascii="Arial" w:hAnsi="Arial"/>
          <w:sz w:val="24"/>
          <w:szCs w:val="24"/>
        </w:rPr>
        <w:t xml:space="preserve"> O fiscal do contrato informará a seus superiores, em tempo hábil para a adoção das medidas convenientes, a situação que demandar decisão ou providência que ultrapasse sua competência (Lei nº 14.133/2021, art. 117, §2º).</w:t>
      </w:r>
    </w:p>
    <w:p>
      <w:pPr>
        <w:pStyle w:val="Nivel2"/>
        <w:numPr>
          <w:ilvl w:val="0"/>
          <w:numId w:val="0"/>
        </w:numPr>
        <w:spacing w:before="0" w:after="0"/>
        <w:ind w:left="432" w:hanging="0"/>
        <w:rPr>
          <w:rFonts w:ascii="Arial" w:hAnsi="Arial"/>
          <w:sz w:val="24"/>
          <w:szCs w:val="24"/>
        </w:rPr>
      </w:pPr>
      <w:r>
        <w:rPr>
          <w:rFonts w:ascii="Arial" w:hAnsi="Arial"/>
          <w:b/>
          <w:bCs/>
          <w:color w:val="00000A"/>
          <w:sz w:val="24"/>
          <w:szCs w:val="24"/>
        </w:rPr>
        <w:t>6.4.</w:t>
      </w:r>
      <w:r>
        <w:rPr>
          <w:rFonts w:ascii="Arial" w:hAnsi="Arial"/>
          <w:color w:val="00000A"/>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pPr>
        <w:pStyle w:val="Nivel2"/>
        <w:numPr>
          <w:ilvl w:val="0"/>
          <w:numId w:val="0"/>
        </w:numPr>
        <w:spacing w:before="0" w:after="0"/>
        <w:ind w:left="432" w:hanging="0"/>
        <w:rPr>
          <w:rFonts w:ascii="Arial" w:hAnsi="Arial"/>
          <w:sz w:val="24"/>
          <w:szCs w:val="24"/>
        </w:rPr>
      </w:pPr>
      <w:bookmarkStart w:id="19" w:name="art120"/>
      <w:bookmarkEnd w:id="19"/>
      <w:r>
        <w:rPr>
          <w:rFonts w:ascii="Arial" w:hAnsi="Arial"/>
          <w:b/>
          <w:bCs/>
          <w:color w:val="00000A"/>
          <w:sz w:val="24"/>
          <w:szCs w:val="24"/>
        </w:rPr>
        <w:t>6.5.</w:t>
      </w:r>
      <w:r>
        <w:rPr>
          <w:rFonts w:ascii="Arial" w:hAnsi="Arial"/>
          <w:color w:val="00000A"/>
          <w:sz w:val="24"/>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pPr>
        <w:pStyle w:val="Nivel2"/>
        <w:numPr>
          <w:ilvl w:val="0"/>
          <w:numId w:val="0"/>
        </w:numPr>
        <w:spacing w:before="0" w:after="0"/>
        <w:ind w:left="432" w:hanging="0"/>
        <w:rPr>
          <w:rFonts w:ascii="Arial" w:hAnsi="Arial"/>
          <w:sz w:val="24"/>
          <w:szCs w:val="24"/>
        </w:rPr>
      </w:pPr>
      <w:bookmarkStart w:id="20" w:name="art121"/>
      <w:bookmarkEnd w:id="20"/>
      <w:r>
        <w:rPr>
          <w:rFonts w:ascii="Arial" w:hAnsi="Arial"/>
          <w:b/>
          <w:bCs/>
          <w:color w:val="00000A"/>
          <w:sz w:val="24"/>
          <w:szCs w:val="24"/>
        </w:rPr>
        <w:t>6.6.</w:t>
      </w:r>
      <w:r>
        <w:rPr>
          <w:rFonts w:ascii="Arial" w:hAnsi="Arial"/>
          <w:color w:val="00000A"/>
          <w:sz w:val="24"/>
          <w:szCs w:val="24"/>
        </w:rPr>
        <w:t xml:space="preserve"> Somente o contratado será responsável pelos encargos trabalhistas, previdenciários, fiscais e comerciais resultantes da execução do contrato (Lei nº 14.133/2021, art. 121, </w:t>
      </w:r>
      <w:r>
        <w:rPr>
          <w:rFonts w:ascii="Arial" w:hAnsi="Arial"/>
          <w:i/>
          <w:iCs/>
          <w:color w:val="00000A"/>
          <w:sz w:val="24"/>
          <w:szCs w:val="24"/>
        </w:rPr>
        <w:t>caput</w:t>
      </w:r>
      <w:r>
        <w:rPr>
          <w:rFonts w:ascii="Arial" w:hAnsi="Arial"/>
          <w:color w:val="00000A"/>
          <w:sz w:val="24"/>
          <w:szCs w:val="24"/>
        </w:rPr>
        <w:t>).</w:t>
      </w:r>
    </w:p>
    <w:p>
      <w:pPr>
        <w:pStyle w:val="Nivel3"/>
        <w:numPr>
          <w:ilvl w:val="0"/>
          <w:numId w:val="0"/>
        </w:numPr>
        <w:spacing w:before="0" w:after="0"/>
        <w:ind w:left="1355" w:hanging="0"/>
        <w:contextualSpacing/>
        <w:rPr>
          <w:rFonts w:ascii="Arial" w:hAnsi="Arial"/>
          <w:sz w:val="24"/>
          <w:szCs w:val="24"/>
        </w:rPr>
      </w:pPr>
      <w:bookmarkStart w:id="21" w:name="art121§1"/>
      <w:bookmarkEnd w:id="21"/>
      <w:r>
        <w:rPr>
          <w:rFonts w:ascii="Arial" w:hAnsi="Arial"/>
          <w:b/>
          <w:bCs/>
          <w:sz w:val="24"/>
          <w:szCs w:val="24"/>
        </w:rPr>
        <w:t>6.6.1.</w:t>
      </w:r>
      <w:r>
        <w:rPr>
          <w:rFonts w:ascii="Arial" w:hAnsi="Arial"/>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§1º).</w:t>
      </w:r>
    </w:p>
    <w:p>
      <w:pPr>
        <w:pStyle w:val="Nivel2"/>
        <w:numPr>
          <w:ilvl w:val="0"/>
          <w:numId w:val="0"/>
        </w:numPr>
        <w:spacing w:before="0" w:after="0"/>
        <w:ind w:left="432" w:hanging="0"/>
        <w:rPr>
          <w:rFonts w:ascii="Arial" w:hAnsi="Arial"/>
          <w:sz w:val="24"/>
          <w:szCs w:val="24"/>
        </w:rPr>
      </w:pPr>
      <w:bookmarkStart w:id="22" w:name="art122"/>
      <w:bookmarkStart w:id="23" w:name="art122§1"/>
      <w:bookmarkStart w:id="24" w:name="art122§2"/>
      <w:bookmarkStart w:id="25" w:name="art122§3"/>
      <w:bookmarkStart w:id="26" w:name="art123"/>
      <w:bookmarkEnd w:id="22"/>
      <w:bookmarkEnd w:id="23"/>
      <w:bookmarkEnd w:id="24"/>
      <w:bookmarkEnd w:id="25"/>
      <w:bookmarkEnd w:id="26"/>
      <w:r>
        <w:rPr>
          <w:rFonts w:ascii="Arial" w:hAnsi="Arial"/>
          <w:b/>
          <w:bCs/>
          <w:sz w:val="24"/>
          <w:szCs w:val="24"/>
        </w:rPr>
        <w:t xml:space="preserve">6.7. </w:t>
      </w:r>
      <w:r>
        <w:rPr>
          <w:rFonts w:ascii="Arial" w:hAnsi="Arial"/>
          <w:sz w:val="24"/>
          <w:szCs w:val="24"/>
        </w:rPr>
        <w:t xml:space="preserve">As comunicações entre o órgão ou entidade e a contratada devem ser realizadas por escrito sempre que o ato exigir tal formalidade, admitindo-se, excepcionalmente, o uso de mensagem </w:t>
      </w:r>
      <w:r>
        <w:rPr>
          <w:rFonts w:ascii="Arial" w:hAnsi="Arial"/>
          <w:i w:val="false"/>
          <w:iCs w:val="false"/>
          <w:color w:val="000000"/>
          <w:sz w:val="24"/>
          <w:szCs w:val="24"/>
        </w:rPr>
        <w:t>eletrônica para esse fim (IN 5/2017, art. 44, §2º).</w:t>
      </w:r>
    </w:p>
    <w:p>
      <w:pPr>
        <w:pStyle w:val="Nivel2"/>
        <w:numPr>
          <w:ilvl w:val="0"/>
          <w:numId w:val="0"/>
        </w:numPr>
        <w:spacing w:before="0" w:after="0"/>
        <w:ind w:left="432" w:hanging="0"/>
        <w:rPr>
          <w:rFonts w:ascii="Arial" w:hAnsi="Arial"/>
          <w:sz w:val="24"/>
          <w:szCs w:val="24"/>
        </w:rPr>
      </w:pPr>
      <w:r>
        <w:rPr>
          <w:rFonts w:ascii="Arial" w:hAnsi="Arial"/>
          <w:b/>
          <w:bCs/>
          <w:i w:val="false"/>
          <w:iCs w:val="false"/>
          <w:color w:val="000000"/>
          <w:sz w:val="24"/>
          <w:szCs w:val="24"/>
        </w:rPr>
        <w:t>6.8.</w:t>
      </w:r>
      <w:r>
        <w:rPr>
          <w:rFonts w:ascii="Arial" w:hAnsi="Arial"/>
          <w:i w:val="false"/>
          <w:iCs w:val="false"/>
          <w:color w:val="000000"/>
          <w:sz w:val="24"/>
          <w:szCs w:val="24"/>
        </w:rPr>
        <w:t xml:space="preserve"> O órgão ou entidade poderá convocar representante da empresa para adoção de providências que devam ser cumpridas de imediato (IN 5/2017, art. 44, 31º).</w:t>
      </w:r>
    </w:p>
    <w:p>
      <w:pPr>
        <w:pStyle w:val="Nivel2"/>
        <w:numPr>
          <w:ilvl w:val="0"/>
          <w:numId w:val="0"/>
        </w:numPr>
        <w:spacing w:before="0" w:after="0"/>
        <w:ind w:left="432" w:hanging="0"/>
        <w:rPr>
          <w:rFonts w:ascii="Arial" w:hAnsi="Arial"/>
          <w:sz w:val="24"/>
          <w:szCs w:val="24"/>
        </w:rPr>
      </w:pPr>
      <w:r>
        <w:rPr>
          <w:rFonts w:ascii="Arial" w:hAnsi="Arial"/>
          <w:b/>
          <w:bCs/>
          <w:i w:val="false"/>
          <w:iCs w:val="false"/>
          <w:color w:val="000000"/>
          <w:sz w:val="24"/>
          <w:szCs w:val="24"/>
        </w:rPr>
        <w:t>6.9.</w:t>
      </w:r>
      <w:r>
        <w:rPr>
          <w:rFonts w:ascii="Arial" w:hAnsi="Arial"/>
          <w:i w:val="false"/>
          <w:iCs w:val="false"/>
          <w:color w:val="000000"/>
          <w:sz w:val="24"/>
          <w:szCs w:val="24"/>
        </w:rPr>
        <w:t xml:space="preserve"> Antes do pagamento da nota fiscal ou da fatura, deverá ser consultada a situação da empresa junto ao SICAF.</w:t>
      </w:r>
    </w:p>
    <w:p>
      <w:pPr>
        <w:pStyle w:val="Nivel2"/>
        <w:numPr>
          <w:ilvl w:val="0"/>
          <w:numId w:val="0"/>
        </w:numPr>
        <w:spacing w:before="0" w:after="0"/>
        <w:ind w:left="432" w:hanging="0"/>
        <w:rPr>
          <w:rFonts w:ascii="Arial" w:hAnsi="Arial"/>
          <w:sz w:val="24"/>
          <w:szCs w:val="24"/>
        </w:rPr>
      </w:pPr>
      <w:r>
        <w:rPr>
          <w:rFonts w:ascii="Arial" w:hAnsi="Arial"/>
          <w:b/>
          <w:bCs/>
          <w:i w:val="false"/>
          <w:iCs w:val="false"/>
          <w:color w:val="000000"/>
          <w:sz w:val="24"/>
          <w:szCs w:val="24"/>
        </w:rPr>
        <w:t>6.10.</w:t>
      </w:r>
      <w:r>
        <w:rPr>
          <w:rFonts w:ascii="Arial" w:hAnsi="Arial"/>
          <w:i w:val="false"/>
          <w:iCs w:val="false"/>
          <w:color w:val="000000"/>
          <w:sz w:val="24"/>
          <w:szCs w:val="24"/>
        </w:rPr>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pPr>
        <w:pStyle w:val="Normal"/>
        <w:rPr>
          <w:rFonts w:ascii="Arial" w:hAnsi="Arial"/>
          <w:sz w:val="24"/>
          <w:szCs w:val="24"/>
        </w:rPr>
      </w:pPr>
      <w:r>
        <w:rPr>
          <w:sz w:val="24"/>
          <w:szCs w:val="24"/>
        </w:rPr>
      </w:r>
    </w:p>
    <w:p>
      <w:pPr>
        <w:pStyle w:val="Nivel1"/>
        <w:numPr>
          <w:ilvl w:val="0"/>
          <w:numId w:val="1"/>
        </w:numPr>
        <w:spacing w:before="0" w:after="0"/>
        <w:rPr>
          <w:rFonts w:ascii="Arial" w:hAnsi="Arial"/>
          <w:sz w:val="24"/>
          <w:szCs w:val="24"/>
        </w:rPr>
      </w:pPr>
      <w:r>
        <w:rPr>
          <w:i w:val="false"/>
          <w:iCs w:val="false"/>
          <w:color w:val="000000"/>
          <w:sz w:val="24"/>
          <w:szCs w:val="24"/>
        </w:rPr>
        <w:t xml:space="preserve">FORMA E CRITÉRIOS DE SELEÇÃO DO FORNECEDOR MEDIANTE O USO DO SISTEMA DE DISPENSA ELETRÔNICA (art. 6º, inciso XXIII, alínea ‘h’, da Lei nº 14.133/2021) </w:t>
      </w:r>
    </w:p>
    <w:p>
      <w:pPr>
        <w:pStyle w:val="Normal"/>
        <w:numPr>
          <w:ilvl w:val="0"/>
          <w:numId w:val="0"/>
        </w:numPr>
        <w:spacing w:before="0" w:after="0"/>
        <w:ind w:left="360" w:hanging="0"/>
        <w:rPr>
          <w:rFonts w:ascii="Arial" w:hAnsi="Arial"/>
          <w:color w:val="000000"/>
          <w:sz w:val="24"/>
          <w:szCs w:val="24"/>
        </w:rPr>
      </w:pPr>
      <w:r>
        <w:rPr>
          <w:color w:val="000000"/>
          <w:sz w:val="24"/>
          <w:szCs w:val="24"/>
        </w:rPr>
      </w:r>
    </w:p>
    <w:p>
      <w:pPr>
        <w:pStyle w:val="Nivel2"/>
        <w:numPr>
          <w:ilvl w:val="0"/>
          <w:numId w:val="0"/>
        </w:numPr>
        <w:spacing w:before="0" w:after="0"/>
        <w:ind w:left="432" w:hanging="0"/>
        <w:rPr>
          <w:rFonts w:ascii="Arial" w:hAnsi="Arial"/>
          <w:sz w:val="24"/>
          <w:szCs w:val="24"/>
        </w:rPr>
      </w:pPr>
      <w:r>
        <w:rPr>
          <w:rFonts w:ascii="Arial" w:hAnsi="Arial"/>
          <w:b/>
          <w:bCs/>
          <w:i w:val="false"/>
          <w:iCs w:val="false"/>
          <w:color w:val="000000"/>
          <w:sz w:val="24"/>
          <w:szCs w:val="24"/>
        </w:rPr>
        <w:t>7.1.</w:t>
      </w:r>
      <w:r>
        <w:rPr>
          <w:rFonts w:ascii="Arial" w:hAnsi="Arial"/>
          <w:i w:val="false"/>
          <w:iCs w:val="false"/>
          <w:color w:val="000000"/>
          <w:sz w:val="24"/>
          <w:szCs w:val="24"/>
        </w:rPr>
        <w:tab/>
        <w:t>O fornecedor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w:t>
      </w:r>
    </w:p>
    <w:p>
      <w:pPr>
        <w:pStyle w:val="Nivel2"/>
        <w:numPr>
          <w:ilvl w:val="0"/>
          <w:numId w:val="0"/>
        </w:numPr>
        <w:spacing w:before="0" w:after="0"/>
        <w:ind w:left="432" w:hanging="0"/>
        <w:rPr>
          <w:rFonts w:ascii="Arial" w:hAnsi="Arial"/>
          <w:sz w:val="24"/>
          <w:szCs w:val="24"/>
        </w:rPr>
      </w:pPr>
      <w:r>
        <w:rPr>
          <w:rFonts w:eastAsia="Times New Roman" w:ascii="Arial" w:hAnsi="Arial"/>
          <w:b/>
          <w:bCs/>
          <w:i w:val="false"/>
          <w:iCs w:val="false"/>
          <w:color w:val="000000"/>
          <w:sz w:val="24"/>
          <w:szCs w:val="24"/>
          <w:lang w:eastAsia="pt-BR"/>
        </w:rPr>
        <w:t>7.2.</w:t>
      </w:r>
      <w:r>
        <w:rPr>
          <w:rFonts w:eastAsia="Times New Roman" w:ascii="Arial" w:hAnsi="Arial"/>
          <w:i w:val="false"/>
          <w:iCs w:val="false"/>
          <w:color w:val="000000"/>
          <w:sz w:val="24"/>
          <w:szCs w:val="24"/>
          <w:lang w:eastAsia="pt-BR"/>
        </w:rPr>
        <w:tab/>
        <w:t xml:space="preserve">As exigências de habilitação jurídica, </w:t>
      </w:r>
      <w:r>
        <w:rPr>
          <w:rFonts w:eastAsia="WenQuanYi Micro Hei" w:ascii="Arial" w:hAnsi="Arial"/>
          <w:i w:val="false"/>
          <w:iCs w:val="false"/>
          <w:color w:val="000000"/>
          <w:sz w:val="24"/>
          <w:szCs w:val="24"/>
          <w:lang w:eastAsia="zh-CN" w:bidi="hi-IN"/>
        </w:rPr>
        <w:t xml:space="preserve">fiscal, social e trabalhista </w:t>
      </w:r>
      <w:r>
        <w:rPr>
          <w:rFonts w:eastAsia="Times New Roman" w:ascii="Arial" w:hAnsi="Arial"/>
          <w:i w:val="false"/>
          <w:iCs w:val="false"/>
          <w:color w:val="000000"/>
          <w:sz w:val="24"/>
          <w:szCs w:val="24"/>
          <w:lang w:eastAsia="pt-BR"/>
        </w:rPr>
        <w:t xml:space="preserve">são as usuais para a generalidade dos objetos, conforme disciplinado no Anexo I do Aviso de </w:t>
      </w:r>
      <w:r>
        <w:rPr>
          <w:rFonts w:ascii="Arial" w:hAnsi="Arial"/>
          <w:i w:val="false"/>
          <w:iCs w:val="false"/>
          <w:color w:val="000000"/>
          <w:sz w:val="24"/>
          <w:szCs w:val="24"/>
        </w:rPr>
        <w:t>Contratação</w:t>
      </w:r>
      <w:r>
        <w:rPr>
          <w:rFonts w:eastAsia="Times New Roman" w:ascii="Arial" w:hAnsi="Arial"/>
          <w:i w:val="false"/>
          <w:iCs w:val="false"/>
          <w:color w:val="000000"/>
          <w:sz w:val="24"/>
          <w:szCs w:val="24"/>
          <w:lang w:eastAsia="pt-BR"/>
        </w:rPr>
        <w:t xml:space="preserve"> Direta.</w:t>
      </w:r>
    </w:p>
    <w:p>
      <w:pPr>
        <w:pStyle w:val="Nivel2"/>
        <w:numPr>
          <w:ilvl w:val="0"/>
          <w:numId w:val="0"/>
        </w:numPr>
        <w:spacing w:before="0" w:after="0"/>
        <w:ind w:left="432" w:hanging="0"/>
        <w:rPr>
          <w:rFonts w:ascii="Arial" w:hAnsi="Arial"/>
          <w:sz w:val="24"/>
          <w:szCs w:val="24"/>
        </w:rPr>
      </w:pPr>
      <w:r>
        <w:rPr>
          <w:rFonts w:eastAsia="Times New Roman" w:ascii="Arial" w:hAnsi="Arial"/>
          <w:b/>
          <w:bCs/>
          <w:i w:val="false"/>
          <w:iCs w:val="false"/>
          <w:color w:val="000000"/>
          <w:sz w:val="24"/>
          <w:szCs w:val="24"/>
          <w:lang w:eastAsia="pt-BR"/>
        </w:rPr>
        <w:t>7.3.</w:t>
        <w:tab/>
      </w:r>
      <w:r>
        <w:rPr>
          <w:rFonts w:eastAsia="Times New Roman" w:ascii="Arial" w:hAnsi="Arial"/>
          <w:i w:val="false"/>
          <w:iCs w:val="false"/>
          <w:color w:val="000000"/>
          <w:sz w:val="24"/>
          <w:szCs w:val="24"/>
          <w:lang w:eastAsia="pt-BR"/>
        </w:rPr>
        <w:t>Os critérios de habilitação econômico-financeira a serem atendidos pelo fornecedor estão previstos no Anexo I do Aviso de Contratação Direta.</w:t>
      </w:r>
    </w:p>
    <w:p>
      <w:pPr>
        <w:pStyle w:val="Nivel2"/>
        <w:numPr>
          <w:ilvl w:val="1"/>
          <w:numId w:val="1"/>
        </w:numPr>
        <w:spacing w:before="0" w:after="0"/>
        <w:ind w:left="0" w:hanging="0"/>
        <w:rPr>
          <w:rFonts w:ascii="Arial" w:hAnsi="Arial"/>
          <w:sz w:val="24"/>
          <w:szCs w:val="24"/>
        </w:rPr>
      </w:pPr>
      <w:r>
        <w:rPr>
          <w:rFonts w:eastAsia="Times New Roman" w:ascii="Arial" w:hAnsi="Arial"/>
          <w:i w:val="false"/>
          <w:iCs w:val="false"/>
          <w:color w:val="000000"/>
          <w:sz w:val="24"/>
          <w:szCs w:val="24"/>
          <w:lang w:eastAsia="pt-BR"/>
        </w:rPr>
        <w:t>Os critérios de habilitação técnica a serem atendidos pelo fornecedor serão:</w:t>
      </w:r>
    </w:p>
    <w:p>
      <w:pPr>
        <w:pStyle w:val="Nivel2"/>
        <w:spacing w:before="0" w:after="0"/>
        <w:ind w:left="930" w:hanging="0"/>
        <w:rPr>
          <w:rFonts w:ascii="Arial" w:hAnsi="Arial"/>
          <w:bCs/>
          <w:sz w:val="24"/>
          <w:szCs w:val="24"/>
        </w:rPr>
      </w:pPr>
      <w:r>
        <w:rPr>
          <w:rFonts w:ascii="Arial" w:hAnsi="Arial"/>
          <w:bCs/>
          <w:sz w:val="24"/>
          <w:szCs w:val="24"/>
        </w:rPr>
      </w:r>
    </w:p>
    <w:p>
      <w:pPr>
        <w:pStyle w:val="Nivel2"/>
        <w:numPr>
          <w:ilvl w:val="2"/>
          <w:numId w:val="1"/>
        </w:numPr>
        <w:spacing w:before="0" w:after="0"/>
        <w:rPr>
          <w:rFonts w:ascii="Arial" w:hAnsi="Arial"/>
          <w:sz w:val="24"/>
          <w:szCs w:val="24"/>
        </w:rPr>
      </w:pPr>
      <w:r>
        <w:rPr>
          <w:rFonts w:ascii="Arial" w:hAnsi="Arial"/>
          <w:i w:val="false"/>
          <w:iCs w:val="false"/>
          <w:color w:val="000000"/>
          <w:sz w:val="24"/>
          <w:szCs w:val="24"/>
        </w:rPr>
        <w:t>Comprovação</w:t>
      </w:r>
      <w:r>
        <w:rPr>
          <w:rFonts w:eastAsia="Times New Roman" w:ascii="Arial" w:hAnsi="Arial"/>
          <w:i w:val="false"/>
          <w:iCs w:val="false"/>
          <w:color w:val="000000"/>
          <w:sz w:val="24"/>
          <w:szCs w:val="24"/>
          <w:lang w:eastAsia="pt-BR"/>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Nivel2"/>
        <w:numPr>
          <w:ilvl w:val="2"/>
          <w:numId w:val="1"/>
        </w:numPr>
        <w:spacing w:before="0" w:after="0"/>
        <w:rPr>
          <w:rFonts w:ascii="Arial" w:hAnsi="Arial"/>
          <w:sz w:val="24"/>
          <w:szCs w:val="24"/>
        </w:rPr>
      </w:pPr>
      <w:r>
        <w:rPr>
          <w:rFonts w:ascii="Arial" w:hAnsi="Arial"/>
          <w:i w:val="false"/>
          <w:iCs w:val="false"/>
          <w:color w:val="000000"/>
          <w:sz w:val="24"/>
          <w:szCs w:val="24"/>
        </w:rPr>
        <w:t>Os atestados de capacidade técnica poderão ser apresentados em nome da matriz ou da filial do fornecedor.</w:t>
      </w:r>
    </w:p>
    <w:p>
      <w:pPr>
        <w:pStyle w:val="Nivel2"/>
        <w:numPr>
          <w:ilvl w:val="2"/>
          <w:numId w:val="1"/>
        </w:numPr>
        <w:spacing w:before="0" w:after="0"/>
        <w:rPr>
          <w:rFonts w:ascii="Arial" w:hAnsi="Arial"/>
          <w:sz w:val="24"/>
          <w:szCs w:val="24"/>
        </w:rPr>
      </w:pPr>
      <w:r>
        <w:rPr>
          <w:rFonts w:ascii="Arial" w:hAnsi="Arial"/>
          <w:bCs/>
          <w:i w:val="false"/>
          <w:iCs w:val="false"/>
          <w:color w:val="000000"/>
          <w:sz w:val="24"/>
          <w:szCs w:val="24"/>
        </w:rPr>
        <w:t xml:space="preserve">O fornecedor </w:t>
      </w:r>
      <w:r>
        <w:rPr>
          <w:rFonts w:ascii="Arial" w:hAnsi="Arial"/>
          <w:i w:val="false"/>
          <w:iCs w:val="false"/>
          <w:color w:val="000000"/>
          <w:sz w:val="24"/>
          <w:szCs w:val="24"/>
        </w:rPr>
        <w:t>disponibilizará</w:t>
      </w:r>
      <w:r>
        <w:rPr>
          <w:rFonts w:ascii="Arial" w:hAnsi="Arial"/>
          <w:bCs/>
          <w:i w:val="false"/>
          <w:iCs w:val="false"/>
          <w:color w:val="000000"/>
          <w:sz w:val="24"/>
          <w:szCs w:val="24"/>
        </w:rPr>
        <w:t xml:space="preserve"> todas as informações necessárias à </w:t>
      </w:r>
      <w:r>
        <w:rPr>
          <w:rFonts w:ascii="Arial" w:hAnsi="Arial"/>
          <w:i w:val="false"/>
          <w:iCs w:val="false"/>
          <w:color w:val="000000"/>
          <w:sz w:val="24"/>
          <w:szCs w:val="24"/>
        </w:rPr>
        <w:t>comprovação</w:t>
      </w:r>
      <w:r>
        <w:rPr>
          <w:rFonts w:ascii="Arial" w:hAnsi="Arial"/>
          <w:bCs/>
          <w:i w:val="false"/>
          <w:iCs w:val="false"/>
          <w:color w:val="000000"/>
          <w:sz w:val="24"/>
          <w:szCs w:val="24"/>
        </w:rPr>
        <w:t xml:space="preserve"> da legitimidade dos atestados, apresentando, quando solicitado pela Administração, </w:t>
      </w:r>
      <w:r>
        <w:rPr>
          <w:rFonts w:ascii="Arial" w:hAnsi="Arial"/>
          <w:i w:val="false"/>
          <w:iCs w:val="false"/>
          <w:color w:val="000000"/>
          <w:sz w:val="24"/>
          <w:szCs w:val="24"/>
        </w:rPr>
        <w:t>cópia</w:t>
      </w:r>
      <w:r>
        <w:rPr>
          <w:rFonts w:ascii="Arial" w:hAnsi="Arial"/>
          <w:bCs/>
          <w:i w:val="false"/>
          <w:iCs w:val="false"/>
          <w:color w:val="000000"/>
          <w:sz w:val="24"/>
          <w:szCs w:val="24"/>
        </w:rPr>
        <w:t xml:space="preserve"> do contrato que deu suporte à contratação, endereço atual da contratante e local em que foi executado o objeto contratado, dentre outros documentos.</w:t>
      </w:r>
    </w:p>
    <w:p>
      <w:pPr>
        <w:pStyle w:val="Nivel2"/>
        <w:spacing w:before="0" w:after="0"/>
        <w:rPr>
          <w:rFonts w:ascii="Arial" w:hAnsi="Arial"/>
          <w:bCs/>
          <w:i/>
          <w:i/>
          <w:color w:val="FF0000"/>
          <w:sz w:val="24"/>
          <w:szCs w:val="24"/>
        </w:rPr>
      </w:pPr>
      <w:r>
        <w:rPr>
          <w:rFonts w:ascii="Arial" w:hAnsi="Arial"/>
          <w:bCs/>
          <w:i/>
          <w:color w:val="FF0000"/>
          <w:sz w:val="24"/>
          <w:szCs w:val="24"/>
        </w:rPr>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ListParagraph"/>
        <w:spacing w:lineRule="auto" w:line="276" w:before="120" w:after="120"/>
        <w:ind w:left="1134" w:hanging="0"/>
        <w:contextualSpacing/>
        <w:jc w:val="both"/>
        <w:rPr>
          <w:rFonts w:ascii="Arial" w:hAnsi="Arial"/>
          <w:sz w:val="24"/>
          <w:szCs w:val="24"/>
        </w:rPr>
      </w:pPr>
      <w:r>
        <w:rPr>
          <w:rFonts w:cs="Arial"/>
          <w:i w:val="false"/>
          <w:iCs w:val="false"/>
          <w:color w:val="000000"/>
          <w:sz w:val="24"/>
          <w:szCs w:val="24"/>
          <w:lang w:eastAsia="ar-SA"/>
        </w:rPr>
        <w:t xml:space="preserve">a) SICAF;  </w:t>
      </w:r>
    </w:p>
    <w:p>
      <w:pPr>
        <w:pStyle w:val="ListParagraph"/>
        <w:spacing w:lineRule="auto" w:line="276" w:before="120" w:after="120"/>
        <w:ind w:left="1134" w:hanging="0"/>
        <w:contextualSpacing/>
        <w:jc w:val="both"/>
        <w:rPr/>
      </w:pPr>
      <w:r>
        <w:rPr>
          <w:rFonts w:cs="Arial"/>
          <w:i w:val="false"/>
          <w:iCs w:val="false"/>
          <w:color w:val="000000"/>
          <w:sz w:val="24"/>
          <w:szCs w:val="24"/>
          <w:lang w:eastAsia="ar-SA"/>
        </w:rPr>
        <w:t>b) Cadastro Nacional de Empresas Inidôneas e Suspensas - CEIS, mantido pela Controladoria-Geral da União (</w:t>
      </w:r>
      <w:hyperlink r:id="rId10">
        <w:r>
          <w:rPr>
            <w:rStyle w:val="LinkdaInternet"/>
            <w:rFonts w:cs="Arial"/>
            <w:i w:val="false"/>
            <w:iCs w:val="false"/>
            <w:color w:val="000000"/>
            <w:sz w:val="24"/>
            <w:szCs w:val="24"/>
            <w:lang w:eastAsia="ar-SA"/>
          </w:rPr>
          <w:t>www.portaldatransparencia.gov.br/ceis</w:t>
        </w:r>
      </w:hyperlink>
      <w:r>
        <w:rPr>
          <w:rFonts w:cs="Arial"/>
          <w:i w:val="false"/>
          <w:iCs w:val="false"/>
          <w:color w:val="000000"/>
          <w:sz w:val="24"/>
          <w:szCs w:val="24"/>
          <w:lang w:eastAsia="ar-SA"/>
        </w:rPr>
        <w:t xml:space="preserve">);  </w:t>
      </w:r>
    </w:p>
    <w:p>
      <w:pPr>
        <w:pStyle w:val="ListParagraph"/>
        <w:spacing w:lineRule="auto" w:line="276" w:before="120" w:after="120"/>
        <w:ind w:left="1134" w:hanging="0"/>
        <w:contextualSpacing/>
        <w:jc w:val="both"/>
        <w:rPr/>
      </w:pPr>
      <w:r>
        <w:rPr>
          <w:rFonts w:cs="Arial"/>
          <w:i w:val="false"/>
          <w:iCs w:val="false"/>
          <w:color w:val="000000"/>
          <w:sz w:val="24"/>
          <w:szCs w:val="24"/>
          <w:lang w:eastAsia="ar-SA"/>
        </w:rPr>
        <w:t>c) Cadastro Nacional de Empresas Punidas – CNEP, mantido pela Controladoria-Geral da União (</w:t>
      </w:r>
      <w:hyperlink r:id="rId11">
        <w:r>
          <w:rPr>
            <w:rStyle w:val="LinkdaInternet"/>
            <w:rFonts w:cs="Arial"/>
            <w:i w:val="false"/>
            <w:iCs w:val="false"/>
            <w:color w:val="000000"/>
            <w:sz w:val="24"/>
            <w:szCs w:val="24"/>
            <w:lang w:eastAsia="ar-SA"/>
          </w:rPr>
          <w:t>https://www.portaltransparencia.gov.br/sancoes/cnep</w:t>
        </w:r>
      </w:hyperlink>
      <w:r>
        <w:rPr>
          <w:rFonts w:cs="Arial"/>
          <w:i w:val="false"/>
          <w:iCs w:val="false"/>
          <w:color w:val="000000"/>
          <w:sz w:val="24"/>
          <w:szCs w:val="24"/>
          <w:lang w:eastAsia="ar-SA"/>
        </w:rPr>
        <w:t>)</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A tentativa de burla será verificada por meio dos vínculos societários, linhas de fornecimento similares, dentre outros.</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O fornecedor será convocado para manifestação previamente a uma eventual negativa de contratação.</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Caso atendidas as condições para contratação, a habilitação do fornecedor será verificada por meio do SICAF, nos documentos por ele abrangidos.</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É dever do fornecedor manter atualizada a respectiva documentação constante do SICAF, ou encaminhar, quando solicitado pela Administração, a respectiva documentação atualizada.</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Não serão aceitos documentos de habilitação com indicação de CNPJ/CPF diferentes, salvo aqueles legalmente permitidos.</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spacing w:before="0" w:after="0"/>
        <w:ind w:left="284" w:hanging="0"/>
        <w:rPr>
          <w:rFonts w:ascii="Arial" w:hAnsi="Arial"/>
          <w:sz w:val="24"/>
          <w:szCs w:val="24"/>
        </w:rPr>
      </w:pPr>
      <w:r>
        <w:rPr>
          <w:rFonts w:ascii="Arial" w:hAnsi="Arial"/>
          <w:i w:val="false"/>
          <w:iCs w:val="false"/>
          <w:color w:val="000000"/>
          <w:sz w:val="24"/>
          <w:szCs w:val="24"/>
        </w:rPr>
        <w:t>Para fins de contratação, deverá o fornecedor comprovar os seguintes requisitos de habilitação:</w:t>
      </w:r>
    </w:p>
    <w:p>
      <w:pPr>
        <w:pStyle w:val="Nivel2"/>
        <w:numPr>
          <w:ilvl w:val="1"/>
          <w:numId w:val="1"/>
        </w:numPr>
        <w:spacing w:before="0" w:after="0"/>
        <w:ind w:left="284" w:hanging="0"/>
        <w:rPr>
          <w:rFonts w:ascii="Arial" w:hAnsi="Arial"/>
          <w:sz w:val="24"/>
          <w:szCs w:val="24"/>
        </w:rPr>
      </w:pPr>
      <w:r>
        <w:rPr>
          <w:rFonts w:cs="Arial" w:ascii="Arial" w:hAnsi="Arial"/>
          <w:b/>
          <w:i w:val="false"/>
          <w:iCs w:val="false"/>
          <w:color w:val="000000"/>
          <w:sz w:val="24"/>
          <w:szCs w:val="24"/>
        </w:rPr>
        <w:t>Habilitação Jurídica</w:t>
      </w:r>
      <w:r>
        <w:rPr>
          <w:rFonts w:cs="Arial" w:ascii="Arial" w:hAnsi="Arial"/>
          <w:b/>
          <w:bCs/>
          <w:i w:val="false"/>
          <w:iCs w:val="false"/>
          <w:color w:val="000000"/>
          <w:sz w:val="24"/>
          <w:szCs w:val="24"/>
        </w:rPr>
        <w:t xml:space="preserve">: </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Pessoa física:</w:t>
      </w:r>
      <w:r>
        <w:rPr>
          <w:rFonts w:cs="Arial"/>
          <w:i w:val="false"/>
          <w:iCs w:val="false"/>
          <w:color w:val="000000"/>
          <w:sz w:val="24"/>
          <w:szCs w:val="24"/>
        </w:rPr>
        <w:t xml:space="preserve"> cédula de identidade (RG) ou documento equivalente que, por força de lei, tenha validade para fins de identificação em todo o território nacional; </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Empresário individual</w:t>
      </w:r>
      <w:r>
        <w:rPr>
          <w:rFonts w:cs="Arial"/>
          <w:i w:val="false"/>
          <w:iCs w:val="false"/>
          <w:color w:val="000000"/>
          <w:sz w:val="24"/>
          <w:szCs w:val="24"/>
        </w:rPr>
        <w:t xml:space="preserve">: inscrição no Registro Público de Empresas Mercantis, a cargo da Junta Comercial da respectiva sede; </w:t>
      </w:r>
    </w:p>
    <w:p>
      <w:pPr>
        <w:pStyle w:val="Normal"/>
        <w:numPr>
          <w:ilvl w:val="2"/>
          <w:numId w:val="1"/>
        </w:numPr>
        <w:spacing w:lineRule="auto" w:line="276" w:before="120" w:after="120"/>
        <w:jc w:val="both"/>
        <w:rPr/>
      </w:pPr>
      <w:r>
        <w:rPr>
          <w:rFonts w:cs="Arial"/>
          <w:b/>
          <w:i w:val="false"/>
          <w:iCs w:val="false"/>
          <w:color w:val="000000"/>
          <w:sz w:val="24"/>
          <w:szCs w:val="24"/>
        </w:rPr>
        <w:t>Microempreendedor Individual - MEI</w:t>
      </w:r>
      <w:r>
        <w:rPr>
          <w:rFonts w:cs="Arial"/>
          <w:i w:val="false"/>
          <w:iCs w:val="false"/>
          <w:color w:val="000000"/>
          <w:sz w:val="24"/>
          <w:szCs w:val="24"/>
        </w:rPr>
        <w:t xml:space="preserve">: Certificado da Condição de Microempreendedor Individual - CCMEI, cuja aceitação ficará condicionada à verificação da autenticidade no sítio </w:t>
      </w:r>
      <w:hyperlink r:id="rId12">
        <w:r>
          <w:rPr>
            <w:rStyle w:val="LinkdaInternet"/>
            <w:rFonts w:cs="Arial"/>
            <w:i w:val="false"/>
            <w:iCs w:val="false"/>
            <w:color w:val="000000"/>
            <w:sz w:val="24"/>
            <w:szCs w:val="24"/>
            <w:u w:val="single"/>
          </w:rPr>
          <w:t>www.portaldoempreendedor.gov.br</w:t>
        </w:r>
      </w:hyperlink>
      <w:r>
        <w:rPr>
          <w:rFonts w:cs="Arial"/>
          <w:i w:val="false"/>
          <w:iCs w:val="false"/>
          <w:color w:val="000000"/>
          <w:sz w:val="24"/>
          <w:szCs w:val="24"/>
        </w:rPr>
        <w:t xml:space="preserve">; </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Sociedade empresária, sociedade limitada unipessoal – SLU ou sociedade identificada como empresa individual de responsabilidade limitada - EIRELI</w:t>
      </w:r>
      <w:r>
        <w:rPr>
          <w:rFonts w:cs="Arial"/>
          <w:i w:val="false"/>
          <w:iCs w:val="false"/>
          <w:color w:val="000000"/>
          <w:sz w:val="24"/>
          <w:szCs w:val="24"/>
        </w:rPr>
        <w:t>: inscrição do ato constitutivo, estatuto ou contrato social no Registro Público de Empresas Mercantis, a cargo da Junta Comercial da respectiva sede, acompanhada de documento comprobatório de seus administradores;</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Sociedade empresária estrangeira com atuação permanente no País</w:t>
      </w:r>
      <w:r>
        <w:rPr>
          <w:rFonts w:cs="Arial"/>
          <w:i w:val="false"/>
          <w:iCs w:val="false"/>
          <w:color w:val="000000"/>
          <w:sz w:val="24"/>
          <w:szCs w:val="24"/>
        </w:rPr>
        <w:t>: decreto de autorização para funcionamento no Brasil;</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Sociedade simples</w:t>
      </w:r>
      <w:r>
        <w:rPr>
          <w:rFonts w:cs="Arial"/>
          <w:i w:val="false"/>
          <w:iCs w:val="false"/>
          <w:color w:val="000000"/>
          <w:sz w:val="24"/>
          <w:szCs w:val="24"/>
        </w:rPr>
        <w:t>: inscrição do ato constitutivo no Registro Civil de Pessoas Jurídicas do local de sua sede, acompanhada de documento comprobatório de seus administradores;</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Filial, sucursal ou agência</w:t>
      </w:r>
      <w:r>
        <w:rPr>
          <w:rFonts w:cs="Arial"/>
          <w:i w:val="false"/>
          <w:iCs w:val="false"/>
          <w:color w:val="000000"/>
          <w:sz w:val="24"/>
          <w:szCs w:val="24"/>
        </w:rPr>
        <w:t xml:space="preserve"> </w:t>
      </w:r>
      <w:r>
        <w:rPr>
          <w:rFonts w:cs="Arial"/>
          <w:b/>
          <w:i w:val="false"/>
          <w:iCs w:val="false"/>
          <w:color w:val="000000"/>
          <w:sz w:val="24"/>
          <w:szCs w:val="24"/>
        </w:rPr>
        <w:t>de sociedade simples ou empresária</w:t>
      </w:r>
      <w:r>
        <w:rPr>
          <w:rFonts w:cs="Arial"/>
          <w:i w:val="false"/>
          <w:iCs w:val="false"/>
          <w:color w:val="000000"/>
          <w:sz w:val="24"/>
          <w:szCs w:val="24"/>
        </w:rPr>
        <w:t xml:space="preserve"> - inscrição do ato constitutivo da filial, sucursal ou agência da sociedade simples ou empresária, respectivamente, no Registro Civil das Pessoas Jurídicas ou no Registro Público de Empresas Mercantis onde tem sede a matriz;</w:t>
      </w:r>
    </w:p>
    <w:p>
      <w:pPr>
        <w:pStyle w:val="Normal"/>
        <w:numPr>
          <w:ilvl w:val="2"/>
          <w:numId w:val="1"/>
        </w:numPr>
        <w:spacing w:lineRule="auto" w:line="276" w:before="120" w:after="120"/>
        <w:jc w:val="both"/>
        <w:rPr>
          <w:rFonts w:ascii="Arial" w:hAnsi="Arial"/>
          <w:sz w:val="24"/>
          <w:szCs w:val="24"/>
        </w:rPr>
      </w:pPr>
      <w:r>
        <w:rPr>
          <w:rFonts w:cs="Arial"/>
          <w:b/>
          <w:i w:val="false"/>
          <w:iCs w:val="false"/>
          <w:color w:val="000000"/>
          <w:sz w:val="24"/>
          <w:szCs w:val="24"/>
        </w:rPr>
        <w:t>Sociedade cooperativa</w:t>
      </w:r>
      <w:r>
        <w:rPr>
          <w:rFonts w:cs="Arial"/>
          <w:i w:val="false"/>
          <w:iCs w:val="false"/>
          <w:color w:val="000000"/>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1971.</w:t>
      </w:r>
      <w:r>
        <w:rPr>
          <w:rFonts w:cs="Arial"/>
          <w:i/>
          <w:iCs/>
          <w:color w:val="000000"/>
          <w:sz w:val="24"/>
          <w:szCs w:val="24"/>
        </w:rPr>
        <w:t xml:space="preserve"> </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 xml:space="preserve">7.18.10. </w:t>
      </w:r>
      <w:r>
        <w:rPr>
          <w:rFonts w:cs="Arial"/>
          <w:bCs/>
          <w:i w:val="false"/>
          <w:iCs w:val="false"/>
          <w:color w:val="000000"/>
          <w:sz w:val="24"/>
          <w:szCs w:val="24"/>
        </w:rPr>
        <w:t xml:space="preserve">Os </w:t>
      </w:r>
      <w:r>
        <w:rPr>
          <w:rFonts w:cs="Arial"/>
          <w:i w:val="false"/>
          <w:iCs w:val="false"/>
          <w:color w:val="000000"/>
          <w:sz w:val="24"/>
          <w:szCs w:val="24"/>
        </w:rPr>
        <w:t>documentos</w:t>
      </w:r>
      <w:r>
        <w:rPr>
          <w:rFonts w:cs="Arial"/>
          <w:bCs/>
          <w:i w:val="false"/>
          <w:iCs w:val="false"/>
          <w:color w:val="000000"/>
          <w:sz w:val="24"/>
          <w:szCs w:val="24"/>
        </w:rPr>
        <w:t xml:space="preserve"> apresentados deverão estar acompanhados de todas as alterações ou da consolidação respectiva.</w:t>
      </w:r>
    </w:p>
    <w:p>
      <w:pPr>
        <w:pStyle w:val="Normal"/>
        <w:numPr>
          <w:ilvl w:val="1"/>
          <w:numId w:val="1"/>
        </w:numPr>
        <w:spacing w:lineRule="auto" w:line="276" w:before="120" w:after="120"/>
        <w:ind w:left="425" w:hanging="0"/>
        <w:jc w:val="both"/>
        <w:rPr>
          <w:rFonts w:ascii="Arial" w:hAnsi="Arial"/>
          <w:sz w:val="24"/>
          <w:szCs w:val="24"/>
        </w:rPr>
      </w:pPr>
      <w:r>
        <w:rPr>
          <w:rFonts w:cs="Arial"/>
          <w:b/>
          <w:i w:val="false"/>
          <w:iCs w:val="false"/>
          <w:color w:val="000000"/>
          <w:sz w:val="24"/>
          <w:szCs w:val="24"/>
        </w:rPr>
        <w:t>Habilitações fiscal, social e trabalhista:</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7.19.1.</w:t>
      </w:r>
      <w:r>
        <w:rPr>
          <w:rFonts w:cs="Arial"/>
          <w:i w:val="false"/>
          <w:iCs w:val="false"/>
          <w:color w:val="000000"/>
          <w:sz w:val="24"/>
          <w:szCs w:val="24"/>
        </w:rPr>
        <w:tab/>
        <w:t>prova de inscrição no Cadastro de Pessoas Físicas (CPF);</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7.19.2.</w:t>
      </w:r>
      <w:r>
        <w:rPr>
          <w:rFonts w:cs="Arial"/>
          <w:i w:val="false"/>
          <w:iCs w:val="false"/>
          <w:color w:val="000000"/>
          <w:sz w:val="24"/>
          <w:szCs w:val="24"/>
        </w:rPr>
        <w:tab/>
        <w:t>prova de inscrição no Cadastro Nacional da Pessoa Jurídica (CNPJ);</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7.19.3.</w:t>
      </w:r>
      <w:r>
        <w:rPr>
          <w:rFonts w:cs="Arial"/>
          <w:i w:val="false"/>
          <w:iCs w:val="false"/>
          <w:color w:val="000000"/>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7.19.4.</w:t>
      </w:r>
      <w:r>
        <w:rPr>
          <w:rFonts w:cs="Arial"/>
          <w:i w:val="false"/>
          <w:iCs w:val="false"/>
          <w:color w:val="000000"/>
          <w:sz w:val="24"/>
          <w:szCs w:val="24"/>
        </w:rPr>
        <w:tab/>
        <w:t>prova de regularidade com o Fundo de Garantia do Tempo de Serviço (FGTS);</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 xml:space="preserve">7.19.5. </w:t>
      </w:r>
      <w:r>
        <w:rPr>
          <w:rFonts w:cs="Arial"/>
          <w:i w:val="false"/>
          <w:iCs w:val="false"/>
          <w:color w:val="000000"/>
          <w:sz w:val="24"/>
          <w:szCs w:val="24"/>
        </w:rPr>
        <w:tab/>
        <w:t>declaração de que não emprega menor de 18 anos em trabalho noturno, perigoso ou insalubre e não emprega menor de 16 anos, salvo menor, a partir de 14 anos, na condição de aprendiz, nos termos do artigo 7°, XXXIII, da Constituição;</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7.19.6.</w:t>
      </w:r>
      <w:r>
        <w:rPr>
          <w:rFonts w:cs="Arial"/>
          <w:i w:val="false"/>
          <w:iCs w:val="false"/>
          <w:color w:val="000000"/>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7.19.7.</w:t>
        <w:tab/>
      </w:r>
      <w:r>
        <w:rPr>
          <w:rFonts w:cs="Arial"/>
          <w:i w:val="false"/>
          <w:iCs w:val="false"/>
          <w:color w:val="000000"/>
          <w:sz w:val="24"/>
          <w:szCs w:val="24"/>
        </w:rPr>
        <w:t xml:space="preserve">prova de inscrição no cadastro de contribuintes estadual, se houver, relativo ao domicílio ou sede do fornecedor, pertinente ao seu ramo de atividade e compatível com o objeto contratual; </w:t>
      </w:r>
    </w:p>
    <w:p>
      <w:pPr>
        <w:pStyle w:val="Normal"/>
        <w:numPr>
          <w:ilvl w:val="0"/>
          <w:numId w:val="0"/>
        </w:numPr>
        <w:spacing w:lineRule="auto" w:line="276" w:before="120" w:after="120"/>
        <w:ind w:left="2491" w:hanging="0"/>
        <w:jc w:val="both"/>
        <w:rPr>
          <w:rFonts w:ascii="Arial" w:hAnsi="Arial"/>
          <w:sz w:val="24"/>
          <w:szCs w:val="24"/>
        </w:rPr>
      </w:pPr>
      <w:r>
        <w:rPr>
          <w:rFonts w:cs="Arial"/>
          <w:b/>
          <w:bCs/>
          <w:i w:val="false"/>
          <w:iCs w:val="false"/>
          <w:color w:val="000000"/>
          <w:sz w:val="24"/>
          <w:szCs w:val="24"/>
        </w:rPr>
        <w:t>7.19.7.1.</w:t>
      </w:r>
      <w:r>
        <w:rPr>
          <w:rFonts w:cs="Arial"/>
          <w:i w:val="false"/>
          <w:iCs w:val="false"/>
          <w:color w:val="000000"/>
          <w:sz w:val="24"/>
          <w:szCs w:val="24"/>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ormal"/>
        <w:numPr>
          <w:ilvl w:val="0"/>
          <w:numId w:val="0"/>
        </w:numPr>
        <w:spacing w:lineRule="auto" w:line="276" w:before="120" w:after="120"/>
        <w:ind w:left="930" w:hanging="0"/>
        <w:jc w:val="both"/>
        <w:rPr>
          <w:rFonts w:ascii="Arial" w:hAnsi="Arial"/>
          <w:sz w:val="24"/>
          <w:szCs w:val="24"/>
        </w:rPr>
      </w:pPr>
      <w:r>
        <w:rPr>
          <w:rFonts w:cs="Arial"/>
          <w:b/>
          <w:bCs/>
          <w:i w:val="false"/>
          <w:iCs w:val="false"/>
          <w:color w:val="000000"/>
          <w:sz w:val="24"/>
          <w:szCs w:val="24"/>
        </w:rPr>
        <w:t>7.19.8.</w:t>
      </w:r>
      <w:r>
        <w:rPr>
          <w:rFonts w:cs="Arial"/>
          <w:i w:val="false"/>
          <w:iCs w:val="false"/>
          <w:color w:val="000000"/>
          <w:sz w:val="24"/>
          <w:szCs w:val="24"/>
        </w:rPr>
        <w:tab/>
        <w:t xml:space="preserve">prova de regularidade com a Fazenda Estadual ou Distrital do domicílio ou sede do fornecedor, relativa à atividade em cujo exercício contrata ou concorre; </w:t>
      </w:r>
    </w:p>
    <w:p>
      <w:pPr>
        <w:pStyle w:val="Normal"/>
        <w:numPr>
          <w:ilvl w:val="0"/>
          <w:numId w:val="0"/>
        </w:numPr>
        <w:spacing w:lineRule="auto" w:line="276" w:before="120" w:after="120"/>
        <w:ind w:left="2491" w:hanging="0"/>
        <w:jc w:val="both"/>
        <w:rPr>
          <w:rFonts w:ascii="Arial" w:hAnsi="Arial"/>
          <w:sz w:val="24"/>
          <w:szCs w:val="24"/>
        </w:rPr>
      </w:pPr>
      <w:r>
        <w:rPr>
          <w:rFonts w:cs="Arial"/>
          <w:b/>
          <w:bCs/>
          <w:i w:val="false"/>
          <w:iCs w:val="false"/>
          <w:color w:val="000000"/>
          <w:sz w:val="24"/>
          <w:szCs w:val="24"/>
        </w:rPr>
        <w:t>7.19.8.1.</w:t>
      </w:r>
      <w:r>
        <w:rPr>
          <w:rFonts w:cs="Arial"/>
          <w:i w:val="false"/>
          <w:iCs w:val="false"/>
          <w:color w:val="000000"/>
          <w:sz w:val="24"/>
          <w:szCs w:val="24"/>
        </w:rPr>
        <w:tab/>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pStyle w:val="Normal"/>
        <w:numPr>
          <w:ilvl w:val="1"/>
          <w:numId w:val="1"/>
        </w:numPr>
        <w:spacing w:lineRule="auto" w:line="276" w:before="120" w:after="120"/>
        <w:ind w:left="425" w:hanging="0"/>
        <w:jc w:val="both"/>
        <w:rPr>
          <w:rFonts w:ascii="Arial" w:hAnsi="Arial"/>
          <w:sz w:val="24"/>
          <w:szCs w:val="24"/>
        </w:rPr>
      </w:pPr>
      <w:r>
        <w:rPr>
          <w:rFonts w:cs="Arial"/>
          <w:i w:val="false"/>
          <w:iCs w:val="false"/>
          <w:color w:val="000000"/>
          <w:sz w:val="24"/>
          <w:szCs w:val="24"/>
        </w:rPr>
        <w:t>Será exigida do fornecedor, ainda, a seguinte documentação complementar:</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w:t>
      </w:r>
      <w:r>
        <w:rPr>
          <w:rFonts w:cs="Arial"/>
          <w:i/>
          <w:iCs/>
          <w:color w:val="FF0000"/>
          <w:sz w:val="24"/>
          <w:szCs w:val="24"/>
        </w:rPr>
        <w:t xml:space="preserve"> </w:t>
      </w:r>
      <w:r>
        <w:rPr>
          <w:rFonts w:cs="Arial"/>
          <w:i w:val="false"/>
          <w:iCs w:val="false"/>
          <w:color w:val="000000"/>
          <w:sz w:val="24"/>
          <w:szCs w:val="24"/>
        </w:rPr>
        <w:t>cooperativa, respeitado o disposto nos arts. 4º, inciso XI, 21, inciso I e 42, §§2º a 6º da Lei n. 5.764 de 1971;</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A declaração de regularidade de situação do contribuinte individual – DRSCI, para cada um dos cooperados indicados;</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 xml:space="preserve">A comprovação do capital social proporcional ao número de cooperados necessários à prestação do serviço; </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O registro previsto na Lei n. 5.764/71, art. 107;</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 xml:space="preserve"> </w:t>
      </w:r>
      <w:r>
        <w:rPr>
          <w:rFonts w:cs="Arial"/>
          <w:i w:val="false"/>
          <w:iCs w:val="false"/>
          <w:color w:val="000000"/>
          <w:sz w:val="24"/>
          <w:szCs w:val="24"/>
        </w:rPr>
        <w:t xml:space="preserve">A comprovação de integração das respectivas quotas-partes por parte dos cooperados que executarão o contrato; </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 xml:space="preserve"> </w:t>
      </w:r>
      <w:r>
        <w:rPr>
          <w:rFonts w:cs="Arial"/>
          <w:i w:val="false"/>
          <w:iCs w:val="false"/>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pPr>
        <w:pStyle w:val="Normal"/>
        <w:numPr>
          <w:ilvl w:val="2"/>
          <w:numId w:val="1"/>
        </w:numPr>
        <w:spacing w:lineRule="auto" w:line="276" w:before="120" w:after="120"/>
        <w:ind w:left="1922" w:hanging="504"/>
        <w:jc w:val="both"/>
        <w:rPr>
          <w:rFonts w:ascii="Arial" w:hAnsi="Arial"/>
          <w:sz w:val="24"/>
          <w:szCs w:val="24"/>
        </w:rPr>
      </w:pPr>
      <w:r>
        <w:rPr>
          <w:rFonts w:cs="Arial"/>
          <w:i w:val="false"/>
          <w:iCs w:val="false"/>
          <w:color w:val="000000"/>
          <w:sz w:val="24"/>
          <w:szCs w:val="24"/>
        </w:rPr>
        <w:t>A última auditoria contábil-financeira da cooperativa, conforme dispõe o art. 112 da Lei n. 5.764/71 ou uma declaração, sob as penas da lei, de que tal auditoria não foi exigida pelo órgão fiscalizador.</w:t>
      </w:r>
    </w:p>
    <w:p>
      <w:pPr>
        <w:pStyle w:val="Normal"/>
        <w:spacing w:lineRule="auto" w:line="276" w:before="120" w:after="120"/>
        <w:ind w:left="1922" w:hanging="504"/>
        <w:jc w:val="both"/>
        <w:rPr>
          <w:rFonts w:ascii="Arial" w:hAnsi="Arial" w:cs="Arial"/>
          <w:i w:val="false"/>
          <w:i w:val="false"/>
          <w:iCs w:val="false"/>
          <w:color w:val="000000"/>
          <w:sz w:val="24"/>
          <w:szCs w:val="24"/>
        </w:rPr>
      </w:pPr>
      <w:r>
        <w:rPr>
          <w:rFonts w:cs="Arial"/>
          <w:i w:val="false"/>
          <w:iCs w:val="false"/>
          <w:color w:val="000000"/>
          <w:sz w:val="24"/>
          <w:szCs w:val="24"/>
        </w:rPr>
      </w:r>
    </w:p>
    <w:p>
      <w:pPr>
        <w:pStyle w:val="Normal"/>
        <w:spacing w:lineRule="auto" w:line="276" w:before="120" w:after="120"/>
        <w:ind w:left="1922" w:hanging="504"/>
        <w:jc w:val="both"/>
        <w:rPr>
          <w:rFonts w:ascii="Arial" w:hAnsi="Arial" w:cs="Arial"/>
          <w:i w:val="false"/>
          <w:i w:val="false"/>
          <w:iCs w:val="false"/>
          <w:color w:val="000000"/>
          <w:sz w:val="24"/>
          <w:szCs w:val="24"/>
        </w:rPr>
      </w:pPr>
      <w:r>
        <w:rPr>
          <w:rFonts w:cs="Arial"/>
          <w:i w:val="false"/>
          <w:iCs w:val="false"/>
          <w:color w:val="000000"/>
          <w:sz w:val="24"/>
          <w:szCs w:val="24"/>
        </w:rPr>
      </w:r>
    </w:p>
    <w:p>
      <w:pPr>
        <w:pStyle w:val="Normal"/>
        <w:spacing w:lineRule="auto" w:line="276" w:before="120" w:after="120"/>
        <w:ind w:left="1922" w:hanging="504"/>
        <w:jc w:val="both"/>
        <w:rPr>
          <w:rFonts w:ascii="Arial" w:hAnsi="Arial" w:cs="Arial"/>
          <w:i w:val="false"/>
          <w:i w:val="false"/>
          <w:iCs w:val="false"/>
          <w:color w:val="000000"/>
          <w:sz w:val="24"/>
          <w:szCs w:val="24"/>
        </w:rPr>
      </w:pPr>
      <w:r>
        <w:rPr>
          <w:rFonts w:cs="Arial"/>
          <w:i w:val="false"/>
          <w:iCs w:val="false"/>
          <w:color w:val="000000"/>
          <w:sz w:val="24"/>
          <w:szCs w:val="24"/>
        </w:rPr>
      </w:r>
    </w:p>
    <w:p>
      <w:pPr>
        <w:pStyle w:val="Normal"/>
        <w:spacing w:lineRule="auto" w:line="276" w:before="120" w:after="120"/>
        <w:ind w:left="1922" w:hanging="504"/>
        <w:jc w:val="both"/>
        <w:rPr>
          <w:rFonts w:ascii="Arial" w:hAnsi="Arial" w:cs="Arial"/>
          <w:i w:val="false"/>
          <w:i w:val="false"/>
          <w:iCs w:val="false"/>
          <w:color w:val="000000"/>
          <w:sz w:val="24"/>
          <w:szCs w:val="24"/>
        </w:rPr>
      </w:pPr>
      <w:r>
        <w:rPr>
          <w:rFonts w:cs="Arial"/>
          <w:i w:val="false"/>
          <w:iCs w:val="false"/>
          <w:color w:val="000000"/>
          <w:sz w:val="24"/>
          <w:szCs w:val="24"/>
        </w:rPr>
      </w:r>
    </w:p>
    <w:p>
      <w:pPr>
        <w:pStyle w:val="Normal"/>
        <w:spacing w:lineRule="auto" w:line="276" w:before="120" w:after="120"/>
        <w:ind w:left="1922" w:hanging="504"/>
        <w:jc w:val="both"/>
        <w:rPr>
          <w:rFonts w:ascii="Arial" w:hAnsi="Arial" w:cs="Arial"/>
          <w:i w:val="false"/>
          <w:i w:val="false"/>
          <w:iCs w:val="false"/>
          <w:color w:val="000000"/>
          <w:sz w:val="24"/>
          <w:szCs w:val="24"/>
        </w:rPr>
      </w:pPr>
      <w:r>
        <w:rPr>
          <w:rFonts w:cs="Arial"/>
          <w:i w:val="false"/>
          <w:iCs w:val="false"/>
          <w:color w:val="000000"/>
          <w:sz w:val="24"/>
          <w:szCs w:val="24"/>
        </w:rPr>
      </w:r>
    </w:p>
    <w:p>
      <w:pPr>
        <w:pStyle w:val="Nivel1"/>
        <w:numPr>
          <w:ilvl w:val="0"/>
          <w:numId w:val="1"/>
        </w:numPr>
        <w:spacing w:before="0" w:after="0"/>
        <w:rPr>
          <w:rFonts w:ascii="Arial" w:hAnsi="Arial"/>
          <w:sz w:val="24"/>
          <w:szCs w:val="24"/>
        </w:rPr>
      </w:pPr>
      <w:r>
        <w:rPr>
          <w:sz w:val="24"/>
          <w:szCs w:val="24"/>
        </w:rPr>
        <w:t xml:space="preserve">ADEQUAÇÃO ORÇAMENTÁRIA </w:t>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b/>
          <w:bCs/>
          <w:sz w:val="24"/>
          <w:szCs w:val="24"/>
        </w:rPr>
        <w:t>8.1.</w:t>
      </w:r>
      <w:r>
        <w:rPr>
          <w:rFonts w:cs="Arial"/>
          <w:sz w:val="24"/>
          <w:szCs w:val="24"/>
        </w:rPr>
        <w:tab/>
        <w:t>As despesas decorrentes da presente contratação correrão à conta de recursos específicos consignados no Orçamento Geral da União.</w:t>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b/>
          <w:bCs/>
          <w:iCs/>
          <w:sz w:val="24"/>
          <w:szCs w:val="24"/>
        </w:rPr>
        <w:t>8.2.</w:t>
      </w:r>
      <w:r>
        <w:rPr>
          <w:rFonts w:cs="Arial"/>
          <w:iCs/>
          <w:sz w:val="24"/>
          <w:szCs w:val="24"/>
        </w:rPr>
        <w:tab/>
        <w:t>A contratação será atendida pela seguinte dotação:</w:t>
      </w:r>
    </w:p>
    <w:p>
      <w:pPr>
        <w:pStyle w:val="Normal"/>
        <w:spacing w:lineRule="auto" w:line="276" w:before="0" w:after="0"/>
        <w:ind w:left="1133" w:firstLine="283"/>
        <w:jc w:val="both"/>
        <w:rPr>
          <w:rFonts w:ascii="Arial" w:hAnsi="Arial" w:cs="Arial"/>
          <w:iCs/>
          <w:sz w:val="24"/>
          <w:szCs w:val="24"/>
        </w:rPr>
      </w:pPr>
      <w:r>
        <w:rPr>
          <w:rFonts w:cs="Arial"/>
          <w:iCs/>
          <w:sz w:val="24"/>
          <w:szCs w:val="24"/>
        </w:rPr>
      </w:r>
    </w:p>
    <w:p>
      <w:pPr>
        <w:pStyle w:val="Normal"/>
        <w:spacing w:lineRule="auto" w:line="276" w:before="0" w:after="0"/>
        <w:ind w:left="1133" w:firstLine="283"/>
        <w:jc w:val="both"/>
        <w:rPr>
          <w:rFonts w:ascii="Arial" w:hAnsi="Arial"/>
          <w:sz w:val="24"/>
          <w:szCs w:val="24"/>
        </w:rPr>
      </w:pPr>
      <w:r>
        <w:rPr>
          <w:rFonts w:cs="Arial"/>
          <w:i w:val="false"/>
          <w:iCs w:val="false"/>
          <w:color w:val="000000"/>
          <w:sz w:val="24"/>
          <w:szCs w:val="24"/>
        </w:rPr>
        <w:t xml:space="preserve">Gestão/Unidade: </w:t>
      </w:r>
      <w:r>
        <w:rPr>
          <w:rFonts w:cs="Arial"/>
          <w:i w:val="false"/>
          <w:iCs w:val="false"/>
          <w:color w:val="000000"/>
          <w:spacing w:val="0"/>
          <w:sz w:val="24"/>
          <w:szCs w:val="24"/>
        </w:rPr>
        <w:t>783701</w:t>
      </w:r>
      <w:r>
        <w:rPr>
          <w:rFonts w:cs="Arial"/>
          <w:i w:val="false"/>
          <w:iCs w:val="false"/>
          <w:color w:val="000000"/>
          <w:sz w:val="24"/>
          <w:szCs w:val="24"/>
        </w:rPr>
        <w:t>;</w:t>
      </w:r>
    </w:p>
    <w:p>
      <w:pPr>
        <w:pStyle w:val="Normal"/>
        <w:spacing w:lineRule="auto" w:line="276" w:before="0" w:after="0"/>
        <w:ind w:left="850" w:firstLine="566"/>
        <w:jc w:val="both"/>
        <w:rPr>
          <w:rFonts w:ascii="Arial" w:hAnsi="Arial"/>
          <w:sz w:val="24"/>
          <w:szCs w:val="24"/>
        </w:rPr>
      </w:pPr>
      <w:r>
        <w:rPr>
          <w:rFonts w:cs="Arial"/>
          <w:i w:val="false"/>
          <w:iCs w:val="false"/>
          <w:color w:val="000000"/>
          <w:sz w:val="24"/>
          <w:szCs w:val="24"/>
        </w:rPr>
        <w:t>Fonte de Recursos: 2 216838;</w:t>
      </w:r>
    </w:p>
    <w:p>
      <w:pPr>
        <w:pStyle w:val="Normal"/>
        <w:spacing w:lineRule="auto" w:line="276" w:before="0" w:after="0"/>
        <w:ind w:left="1133" w:firstLine="283"/>
        <w:jc w:val="both"/>
        <w:rPr>
          <w:rFonts w:ascii="Arial" w:hAnsi="Arial"/>
          <w:sz w:val="24"/>
          <w:szCs w:val="24"/>
        </w:rPr>
      </w:pPr>
      <w:r>
        <w:rPr>
          <w:rFonts w:cs="Arial"/>
          <w:i w:val="false"/>
          <w:iCs w:val="false"/>
          <w:color w:val="000000"/>
          <w:sz w:val="24"/>
          <w:szCs w:val="24"/>
        </w:rPr>
        <w:t>Programa de Trabalho: 1000000000;</w:t>
      </w:r>
    </w:p>
    <w:p>
      <w:pPr>
        <w:pStyle w:val="Normal"/>
        <w:spacing w:lineRule="auto" w:line="276" w:before="0" w:after="0"/>
        <w:ind w:left="850" w:firstLine="566"/>
        <w:jc w:val="both"/>
        <w:rPr>
          <w:rFonts w:ascii="Arial" w:hAnsi="Arial"/>
          <w:sz w:val="24"/>
          <w:szCs w:val="24"/>
        </w:rPr>
      </w:pPr>
      <w:r>
        <w:rPr>
          <w:rFonts w:cs="Arial"/>
          <w:i w:val="false"/>
          <w:iCs w:val="false"/>
          <w:color w:val="000000"/>
          <w:sz w:val="24"/>
          <w:szCs w:val="24"/>
        </w:rPr>
        <w:t>Elemento de Despesa: 339039;</w:t>
      </w:r>
    </w:p>
    <w:p>
      <w:pPr>
        <w:pStyle w:val="Normal"/>
        <w:spacing w:lineRule="auto" w:line="276" w:before="0" w:after="0"/>
        <w:ind w:left="850" w:firstLine="566"/>
        <w:jc w:val="both"/>
        <w:rPr>
          <w:rFonts w:ascii="Arial" w:hAnsi="Arial"/>
          <w:sz w:val="24"/>
          <w:szCs w:val="24"/>
        </w:rPr>
      </w:pPr>
      <w:r>
        <w:rPr>
          <w:rFonts w:cs="Arial"/>
          <w:i w:val="false"/>
          <w:iCs w:val="false"/>
          <w:color w:val="000000"/>
          <w:sz w:val="24"/>
          <w:szCs w:val="24"/>
        </w:rPr>
        <w:t>Plano Interno: B406MN002C1</w:t>
      </w:r>
    </w:p>
    <w:p>
      <w:pPr>
        <w:pStyle w:val="Normal"/>
        <w:spacing w:lineRule="auto" w:line="276" w:before="0" w:after="0"/>
        <w:jc w:val="both"/>
        <w:rPr>
          <w:rFonts w:ascii="Arial" w:hAnsi="Arial" w:cs="Arial"/>
          <w:bCs/>
          <w:color w:val="000000"/>
          <w:sz w:val="24"/>
          <w:szCs w:val="24"/>
        </w:rPr>
      </w:pPr>
      <w:r>
        <w:rPr>
          <w:rFonts w:cs="Arial"/>
          <w:bCs/>
          <w:color w:val="000000"/>
          <w:sz w:val="24"/>
          <w:szCs w:val="24"/>
        </w:rPr>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b/>
          <w:bCs/>
          <w:i w:val="false"/>
          <w:iCs w:val="false"/>
          <w:color w:val="000000"/>
          <w:sz w:val="24"/>
          <w:szCs w:val="24"/>
        </w:rPr>
        <w:t>8.3.</w:t>
      </w:r>
      <w:r>
        <w:rPr>
          <w:rFonts w:cs="Arial"/>
          <w:i w:val="false"/>
          <w:iCs w:val="false"/>
          <w:color w:val="000000"/>
          <w:sz w:val="24"/>
          <w:szCs w:val="24"/>
        </w:rPr>
        <w:tab/>
        <w:t>A dotação relativa aos exercícios financeiros subsequentes será indicada após aprovação da Lei Orçamentária respectiva e liberação dos créditos correspondentes, mediante apostilamento.</w:t>
      </w:r>
    </w:p>
    <w:p>
      <w:pPr>
        <w:pStyle w:val="ListParagraph"/>
        <w:spacing w:lineRule="auto" w:line="276" w:before="0" w:after="0"/>
        <w:contextualSpacing/>
        <w:jc w:val="both"/>
        <w:rPr>
          <w:rFonts w:ascii="Arial" w:hAnsi="Arial" w:cs="Arial"/>
          <w:b w:val="false"/>
          <w:b w:val="false"/>
          <w:bCs w:val="false"/>
          <w:i w:val="false"/>
          <w:i w:val="false"/>
          <w:iCs w:val="false"/>
          <w:color w:val="000000"/>
          <w:sz w:val="24"/>
          <w:szCs w:val="24"/>
        </w:rPr>
      </w:pPr>
      <w:r>
        <w:rPr>
          <w:rFonts w:cs="Arial"/>
          <w:b w:val="false"/>
          <w:bCs w:val="false"/>
          <w:i w:val="false"/>
          <w:iCs w:val="false"/>
          <w:color w:val="000000"/>
          <w:sz w:val="24"/>
          <w:szCs w:val="24"/>
        </w:rPr>
      </w:r>
    </w:p>
    <w:p>
      <w:pPr>
        <w:pStyle w:val="ListParagraph"/>
        <w:numPr>
          <w:ilvl w:val="0"/>
          <w:numId w:val="0"/>
        </w:numPr>
        <w:spacing w:lineRule="auto" w:line="276" w:before="0" w:after="0"/>
        <w:ind w:left="0" w:hanging="0"/>
        <w:contextualSpacing/>
        <w:jc w:val="both"/>
        <w:rPr>
          <w:rFonts w:ascii="Arial" w:hAnsi="Arial" w:cs="Arial"/>
          <w:b w:val="false"/>
          <w:b w:val="false"/>
          <w:bCs w:val="false"/>
          <w:i w:val="false"/>
          <w:i w:val="false"/>
          <w:iCs w:val="false"/>
          <w:color w:val="000000"/>
          <w:sz w:val="24"/>
          <w:szCs w:val="24"/>
        </w:rPr>
      </w:pPr>
      <w:r>
        <w:rPr>
          <w:rFonts w:cs="Arial"/>
          <w:b w:val="false"/>
          <w:bCs w:val="false"/>
          <w:i w:val="false"/>
          <w:iCs w:val="false"/>
          <w:color w:val="000000"/>
          <w:sz w:val="24"/>
          <w:szCs w:val="24"/>
        </w:rPr>
      </w:r>
    </w:p>
    <w:p>
      <w:pPr>
        <w:pStyle w:val="Normal"/>
        <w:spacing w:before="0" w:after="360"/>
        <w:ind w:left="360" w:hanging="0"/>
        <w:rPr>
          <w:rFonts w:ascii="Arial" w:hAnsi="Arial"/>
          <w:sz w:val="24"/>
          <w:szCs w:val="24"/>
        </w:rPr>
      </w:pPr>
      <w:r>
        <w:rPr>
          <w:rFonts w:cs="Arial"/>
          <w:b w:val="false"/>
          <w:bCs w:val="false"/>
          <w:i w:val="false"/>
          <w:iCs w:val="false"/>
          <w:color w:val="000000"/>
          <w:sz w:val="24"/>
          <w:szCs w:val="24"/>
        </w:rPr>
        <w:t>Natal, RN, 06</w:t>
      </w:r>
      <w:r>
        <w:rPr>
          <w:rFonts w:cs="Arial"/>
          <w:b w:val="false"/>
          <w:bCs w:val="false"/>
          <w:color w:val="000000"/>
          <w:sz w:val="24"/>
          <w:szCs w:val="24"/>
        </w:rPr>
        <w:t xml:space="preserve"> de julho de 2023. </w:t>
      </w:r>
    </w:p>
    <w:p>
      <w:pPr>
        <w:pStyle w:val="Normal"/>
        <w:spacing w:before="0" w:after="360"/>
        <w:ind w:left="360" w:hanging="0"/>
        <w:rPr>
          <w:rFonts w:ascii="Arial" w:hAnsi="Arial" w:cs="Arial"/>
          <w:b w:val="false"/>
          <w:b w:val="false"/>
          <w:bCs w:val="false"/>
          <w:color w:val="000000"/>
          <w:sz w:val="24"/>
          <w:szCs w:val="24"/>
        </w:rPr>
      </w:pPr>
      <w:r>
        <w:rPr>
          <w:rFonts w:cs="Arial"/>
          <w:b w:val="false"/>
          <w:bCs w:val="false"/>
          <w:color w:val="000000"/>
          <w:sz w:val="24"/>
          <w:szCs w:val="24"/>
        </w:rPr>
      </w:r>
    </w:p>
    <w:p>
      <w:pPr>
        <w:pStyle w:val="Normal"/>
        <w:spacing w:before="0" w:after="360"/>
        <w:ind w:left="360" w:hanging="0"/>
        <w:rPr>
          <w:rFonts w:ascii="Arial" w:hAnsi="Arial"/>
          <w:sz w:val="24"/>
          <w:szCs w:val="24"/>
        </w:rPr>
      </w:pPr>
      <w:r>
        <w:rPr>
          <w:rFonts w:cs="Arial"/>
          <w:sz w:val="24"/>
          <w:szCs w:val="24"/>
        </w:rPr>
        <w:t>Elaborado por:</w:t>
      </w:r>
    </w:p>
    <w:p>
      <w:pPr>
        <w:pStyle w:val="Normal"/>
        <w:bidi w:val="0"/>
        <w:spacing w:before="0" w:after="0"/>
        <w:ind w:left="360" w:hanging="0"/>
        <w:jc w:val="center"/>
        <w:rPr>
          <w:rFonts w:ascii="Arial" w:hAnsi="Arial"/>
          <w:sz w:val="24"/>
          <w:szCs w:val="24"/>
        </w:rPr>
      </w:pPr>
      <w:r>
        <w:rPr>
          <w:rFonts w:cs="Arial"/>
          <w:sz w:val="24"/>
          <w:szCs w:val="24"/>
        </w:rPr>
        <w:t>__________________________________</w:t>
      </w:r>
    </w:p>
    <w:p>
      <w:pPr>
        <w:pStyle w:val="Corpodotextorecuado"/>
        <w:bidi w:val="0"/>
        <w:spacing w:before="0" w:after="0"/>
        <w:ind w:left="0" w:right="0" w:hanging="0"/>
        <w:jc w:val="center"/>
        <w:rPr>
          <w:rFonts w:ascii="Arial" w:hAnsi="Arial"/>
          <w:sz w:val="24"/>
          <w:szCs w:val="24"/>
        </w:rPr>
      </w:pPr>
      <w:r>
        <w:rPr>
          <w:rFonts w:cs="Arial"/>
          <w:b w:val="false"/>
          <w:bCs w:val="false"/>
          <w:i w:val="false"/>
          <w:strike w:val="false"/>
          <w:dstrike w:val="false"/>
          <w:outline w:val="false"/>
          <w:shadow w:val="false"/>
          <w:color w:val="000000"/>
          <w:sz w:val="24"/>
          <w:szCs w:val="24"/>
          <w:u w:val="none"/>
          <w:em w:val="none"/>
        </w:rPr>
        <w:t xml:space="preserve"> </w:t>
      </w:r>
      <w:r>
        <w:rPr>
          <w:rFonts w:cs="Arial"/>
          <w:b/>
          <w:bCs/>
          <w:i w:val="false"/>
          <w:strike w:val="false"/>
          <w:dstrike w:val="false"/>
          <w:outline w:val="false"/>
          <w:shadow w:val="false"/>
          <w:color w:val="000000"/>
          <w:sz w:val="24"/>
          <w:szCs w:val="24"/>
          <w:u w:val="none"/>
          <w:em w:val="none"/>
        </w:rPr>
        <w:t>LEILSON</w:t>
      </w:r>
      <w:r>
        <w:rPr>
          <w:rFonts w:cs="Arial"/>
          <w:b w:val="false"/>
          <w:bCs w:val="false"/>
          <w:i w:val="false"/>
          <w:strike w:val="false"/>
          <w:dstrike w:val="false"/>
          <w:outline w:val="false"/>
          <w:shadow w:val="false"/>
          <w:color w:val="000000"/>
          <w:sz w:val="24"/>
          <w:szCs w:val="24"/>
          <w:u w:val="none"/>
          <w:em w:val="none"/>
        </w:rPr>
        <w:t xml:space="preserve"> Araújo da Silva</w:t>
      </w:r>
    </w:p>
    <w:p>
      <w:pPr>
        <w:pStyle w:val="Normal"/>
        <w:bidi w:val="0"/>
        <w:spacing w:before="0" w:after="0"/>
        <w:ind w:hanging="0"/>
        <w:jc w:val="center"/>
        <w:rPr>
          <w:rFonts w:ascii="Arial" w:hAnsi="Arial"/>
          <w:sz w:val="24"/>
          <w:szCs w:val="24"/>
        </w:rPr>
      </w:pPr>
      <w:r>
        <w:rPr>
          <w:rFonts w:cs="Arial"/>
          <w:color w:val="000000"/>
          <w:sz w:val="24"/>
          <w:szCs w:val="24"/>
        </w:rPr>
        <w:t>1°SG-EF</w:t>
      </w:r>
    </w:p>
    <w:p>
      <w:pPr>
        <w:pStyle w:val="Normal"/>
        <w:bidi w:val="0"/>
        <w:spacing w:before="0" w:after="0"/>
        <w:ind w:hanging="0"/>
        <w:jc w:val="center"/>
        <w:rPr>
          <w:rFonts w:ascii="Arial" w:hAnsi="Arial"/>
          <w:sz w:val="24"/>
          <w:szCs w:val="24"/>
        </w:rPr>
      </w:pPr>
      <w:r>
        <w:rPr>
          <w:rFonts w:cs="Arial"/>
          <w:b w:val="false"/>
          <w:bCs w:val="false"/>
          <w:i w:val="false"/>
          <w:strike w:val="false"/>
          <w:dstrike w:val="false"/>
          <w:outline w:val="false"/>
          <w:shadow w:val="false"/>
          <w:color w:val="000000"/>
          <w:sz w:val="24"/>
          <w:szCs w:val="24"/>
          <w:u w:val="none"/>
          <w:em w:val="none"/>
        </w:rPr>
        <w:t>Supervisor do NAIM</w:t>
      </w:r>
    </w:p>
    <w:p>
      <w:pPr>
        <w:pStyle w:val="Normal"/>
        <w:bidi w:val="0"/>
        <w:spacing w:before="0" w:after="0"/>
        <w:ind w:left="360" w:hanging="0"/>
        <w:jc w:val="center"/>
        <w:rPr>
          <w:rFonts w:ascii="Arial" w:hAnsi="Arial" w:cs="Arial"/>
          <w:b w:val="false"/>
          <w:b w:val="false"/>
          <w:bCs w:val="false"/>
          <w:i w:val="false"/>
          <w:i w:val="false"/>
          <w:strike w:val="false"/>
          <w:dstrike w:val="false"/>
          <w:outline w:val="false"/>
          <w:shadow w:val="false"/>
          <w:color w:val="000000"/>
          <w:sz w:val="24"/>
          <w:szCs w:val="24"/>
          <w:u w:val="none"/>
          <w:em w:val="none"/>
        </w:rPr>
      </w:pPr>
      <w:r>
        <w:rPr>
          <w:rFonts w:cs="Arial"/>
          <w:b w:val="false"/>
          <w:bCs w:val="false"/>
          <w:i w:val="false"/>
          <w:strike w:val="false"/>
          <w:dstrike w:val="false"/>
          <w:outline w:val="false"/>
          <w:shadow w:val="false"/>
          <w:color w:val="000000"/>
          <w:sz w:val="24"/>
          <w:szCs w:val="24"/>
          <w:u w:val="none"/>
          <w:em w:val="none"/>
        </w:rPr>
      </w:r>
    </w:p>
    <w:p>
      <w:pPr>
        <w:pStyle w:val="Normal"/>
        <w:bidi w:val="0"/>
        <w:spacing w:before="0" w:after="0"/>
        <w:ind w:left="360" w:hanging="0"/>
        <w:jc w:val="center"/>
        <w:rPr>
          <w:rFonts w:ascii="Arial" w:hAnsi="Arial" w:cs="Arial"/>
          <w:b w:val="false"/>
          <w:b w:val="false"/>
          <w:bCs w:val="false"/>
          <w:i w:val="false"/>
          <w:i w:val="false"/>
          <w:strike w:val="false"/>
          <w:dstrike w:val="false"/>
          <w:outline w:val="false"/>
          <w:shadow w:val="false"/>
          <w:color w:val="000000"/>
          <w:sz w:val="24"/>
          <w:szCs w:val="24"/>
          <w:u w:val="none"/>
          <w:em w:val="none"/>
        </w:rPr>
      </w:pPr>
      <w:r>
        <w:rPr>
          <w:rFonts w:cs="Arial"/>
          <w:b w:val="false"/>
          <w:bCs w:val="false"/>
          <w:i w:val="false"/>
          <w:strike w:val="false"/>
          <w:dstrike w:val="false"/>
          <w:outline w:val="false"/>
          <w:shadow w:val="false"/>
          <w:color w:val="000000"/>
          <w:sz w:val="24"/>
          <w:szCs w:val="24"/>
          <w:u w:val="none"/>
          <w:em w:val="none"/>
        </w:rPr>
      </w:r>
    </w:p>
    <w:p>
      <w:pPr>
        <w:pStyle w:val="Normal"/>
        <w:bidi w:val="0"/>
        <w:spacing w:before="0" w:after="0"/>
        <w:ind w:left="360" w:hanging="0"/>
        <w:jc w:val="center"/>
        <w:rPr>
          <w:rFonts w:ascii="Arial" w:hAnsi="Arial" w:cs="Arial"/>
          <w:b w:val="false"/>
          <w:b w:val="false"/>
          <w:bCs w:val="false"/>
          <w:i w:val="false"/>
          <w:i w:val="false"/>
          <w:strike w:val="false"/>
          <w:dstrike w:val="false"/>
          <w:outline w:val="false"/>
          <w:shadow w:val="false"/>
          <w:color w:val="000000"/>
          <w:sz w:val="24"/>
          <w:szCs w:val="24"/>
          <w:u w:val="none"/>
          <w:em w:val="none"/>
        </w:rPr>
      </w:pPr>
      <w:r>
        <w:rPr>
          <w:rFonts w:cs="Arial"/>
          <w:b w:val="false"/>
          <w:bCs w:val="false"/>
          <w:i w:val="false"/>
          <w:strike w:val="false"/>
          <w:dstrike w:val="false"/>
          <w:outline w:val="false"/>
          <w:shadow w:val="false"/>
          <w:color w:val="000000"/>
          <w:sz w:val="24"/>
          <w:szCs w:val="24"/>
          <w:u w:val="none"/>
          <w:em w:val="none"/>
        </w:rPr>
      </w:r>
    </w:p>
    <w:p>
      <w:pPr>
        <w:pStyle w:val="Normal"/>
        <w:spacing w:before="0" w:after="360"/>
        <w:ind w:left="360" w:hanging="0"/>
        <w:rPr>
          <w:rFonts w:ascii="Arial" w:hAnsi="Arial"/>
          <w:sz w:val="24"/>
          <w:szCs w:val="24"/>
        </w:rPr>
      </w:pPr>
      <w:r>
        <w:rPr>
          <w:rFonts w:cs="Arial"/>
          <w:sz w:val="24"/>
          <w:szCs w:val="24"/>
        </w:rPr>
        <w:tab/>
        <w:tab/>
        <w:tab/>
        <w:t xml:space="preserve">           __________________________________</w:t>
      </w:r>
    </w:p>
    <w:p>
      <w:pPr>
        <w:pStyle w:val="Normal"/>
        <w:bidi w:val="0"/>
        <w:spacing w:before="0" w:after="0"/>
        <w:jc w:val="center"/>
        <w:rPr>
          <w:rFonts w:ascii="Arial" w:hAnsi="Arial"/>
          <w:sz w:val="24"/>
          <w:szCs w:val="24"/>
        </w:rPr>
      </w:pPr>
      <w:r>
        <w:rPr>
          <w:sz w:val="24"/>
          <w:szCs w:val="24"/>
        </w:rPr>
        <w:t xml:space="preserve">Carla </w:t>
      </w:r>
      <w:r>
        <w:rPr>
          <w:b/>
          <w:bCs/>
          <w:sz w:val="24"/>
          <w:szCs w:val="24"/>
        </w:rPr>
        <w:t>LYLIANE</w:t>
      </w:r>
      <w:r>
        <w:rPr>
          <w:rFonts w:cs="Arial"/>
          <w:sz w:val="24"/>
          <w:szCs w:val="24"/>
        </w:rPr>
        <w:t xml:space="preserve"> S. M. do </w:t>
      </w:r>
      <w:r>
        <w:rPr>
          <w:rFonts w:cs="Arial"/>
          <w:b/>
          <w:bCs/>
          <w:sz w:val="24"/>
          <w:szCs w:val="24"/>
        </w:rPr>
        <w:t>VALE</w:t>
      </w:r>
    </w:p>
    <w:p>
      <w:pPr>
        <w:pStyle w:val="Normal"/>
        <w:bidi w:val="0"/>
        <w:spacing w:before="0" w:after="0"/>
        <w:jc w:val="center"/>
        <w:rPr>
          <w:rFonts w:ascii="Arial" w:hAnsi="Arial"/>
          <w:sz w:val="24"/>
          <w:szCs w:val="24"/>
        </w:rPr>
      </w:pPr>
      <w:r>
        <w:rPr>
          <w:rFonts w:cs="Arial"/>
          <w:sz w:val="24"/>
          <w:szCs w:val="24"/>
        </w:rPr>
        <w:t>CB-RM2-RM</w:t>
      </w:r>
    </w:p>
    <w:p>
      <w:pPr>
        <w:pStyle w:val="Normal"/>
        <w:bidi w:val="0"/>
        <w:spacing w:before="0" w:after="0"/>
        <w:ind w:left="360" w:hanging="0"/>
        <w:jc w:val="center"/>
        <w:rPr>
          <w:rFonts w:ascii="Arial" w:hAnsi="Arial"/>
          <w:sz w:val="24"/>
          <w:szCs w:val="24"/>
        </w:rPr>
      </w:pPr>
      <w:r>
        <w:rPr>
          <w:rFonts w:cs="Arial"/>
          <w:sz w:val="24"/>
          <w:szCs w:val="24"/>
        </w:rPr>
        <w:t>Auxiliar da Seção de Aquisições</w:t>
      </w:r>
    </w:p>
    <w:p>
      <w:pPr>
        <w:pStyle w:val="Normal"/>
        <w:bidi w:val="0"/>
        <w:spacing w:before="0" w:after="0"/>
        <w:ind w:left="360" w:hanging="0"/>
        <w:jc w:val="center"/>
        <w:rPr>
          <w:rFonts w:ascii="Arial" w:hAnsi="Arial" w:cs="Arial"/>
          <w:sz w:val="24"/>
          <w:szCs w:val="24"/>
        </w:rPr>
      </w:pPr>
      <w:r>
        <w:rPr>
          <w:rFonts w:cs="Arial"/>
          <w:sz w:val="24"/>
          <w:szCs w:val="24"/>
        </w:rPr>
      </w:r>
    </w:p>
    <w:p>
      <w:pPr>
        <w:pStyle w:val="Normal"/>
        <w:bidi w:val="0"/>
        <w:spacing w:before="0" w:after="0"/>
        <w:ind w:left="360" w:hanging="0"/>
        <w:jc w:val="center"/>
        <w:rPr>
          <w:rFonts w:ascii="Arial" w:hAnsi="Arial" w:cs="Arial"/>
          <w:sz w:val="24"/>
          <w:szCs w:val="24"/>
        </w:rPr>
      </w:pPr>
      <w:r>
        <w:rPr>
          <w:rFonts w:cs="Arial"/>
          <w:sz w:val="24"/>
          <w:szCs w:val="24"/>
        </w:rPr>
      </w:r>
    </w:p>
    <w:p>
      <w:pPr>
        <w:pStyle w:val="Normal"/>
        <w:bidi w:val="0"/>
        <w:spacing w:before="0" w:after="0"/>
        <w:ind w:left="360" w:hanging="0"/>
        <w:jc w:val="center"/>
        <w:rPr>
          <w:rFonts w:ascii="Arial" w:hAnsi="Arial" w:cs="Arial"/>
          <w:sz w:val="24"/>
          <w:szCs w:val="24"/>
        </w:rPr>
      </w:pPr>
      <w:r>
        <w:rPr>
          <w:rFonts w:cs="Arial"/>
          <w:sz w:val="24"/>
          <w:szCs w:val="24"/>
        </w:rPr>
      </w:r>
    </w:p>
    <w:p>
      <w:pPr>
        <w:pStyle w:val="Normal"/>
        <w:spacing w:before="0" w:after="360"/>
        <w:ind w:left="360" w:hanging="0"/>
        <w:rPr>
          <w:rFonts w:ascii="Arial" w:hAnsi="Arial"/>
          <w:sz w:val="24"/>
          <w:szCs w:val="24"/>
        </w:rPr>
      </w:pPr>
      <w:r>
        <w:rPr>
          <w:rFonts w:cs="Arial"/>
          <w:sz w:val="24"/>
          <w:szCs w:val="24"/>
        </w:rPr>
        <w:t>Aprovado por:</w:t>
      </w:r>
    </w:p>
    <w:p>
      <w:pPr>
        <w:pStyle w:val="Normal"/>
        <w:bidi w:val="0"/>
        <w:spacing w:before="0" w:after="0"/>
        <w:ind w:hanging="0"/>
        <w:jc w:val="center"/>
        <w:rPr>
          <w:rFonts w:ascii="Arial" w:hAnsi="Arial"/>
          <w:sz w:val="24"/>
          <w:szCs w:val="24"/>
        </w:rPr>
      </w:pPr>
      <w:r>
        <w:rPr>
          <w:rFonts w:cs="Arial"/>
          <w:sz w:val="24"/>
          <w:szCs w:val="24"/>
        </w:rPr>
        <w:t>__________________________________</w:t>
      </w:r>
    </w:p>
    <w:p>
      <w:pPr>
        <w:pStyle w:val="Normal"/>
        <w:bidi w:val="0"/>
        <w:spacing w:before="0" w:after="0"/>
        <w:ind w:left="360" w:hanging="0"/>
        <w:jc w:val="center"/>
        <w:rPr>
          <w:rFonts w:ascii="Arial" w:hAnsi="Arial"/>
          <w:sz w:val="24"/>
          <w:szCs w:val="24"/>
        </w:rPr>
      </w:pPr>
      <w:r>
        <w:rPr>
          <w:rFonts w:cs="Arial"/>
          <w:color w:val="000000"/>
          <w:sz w:val="24"/>
          <w:szCs w:val="24"/>
        </w:rPr>
        <w:t xml:space="preserve">Alexandre </w:t>
      </w:r>
      <w:r>
        <w:rPr>
          <w:rFonts w:cs="Arial"/>
          <w:b/>
          <w:bCs/>
          <w:color w:val="000000"/>
          <w:sz w:val="24"/>
          <w:szCs w:val="24"/>
        </w:rPr>
        <w:t>ALBUQUERQUE</w:t>
      </w:r>
      <w:r>
        <w:rPr>
          <w:rFonts w:cs="Arial"/>
          <w:color w:val="000000"/>
          <w:sz w:val="24"/>
          <w:szCs w:val="24"/>
        </w:rPr>
        <w:t xml:space="preserve"> Rosa</w:t>
      </w:r>
    </w:p>
    <w:p>
      <w:pPr>
        <w:pStyle w:val="Normal"/>
        <w:bidi w:val="0"/>
        <w:spacing w:before="0" w:after="0"/>
        <w:ind w:left="360" w:hanging="0"/>
        <w:jc w:val="center"/>
        <w:rPr>
          <w:rFonts w:ascii="Arial" w:hAnsi="Arial"/>
          <w:sz w:val="24"/>
          <w:szCs w:val="24"/>
        </w:rPr>
      </w:pPr>
      <w:r>
        <w:rPr>
          <w:rFonts w:cs="Arial"/>
          <w:color w:val="000000"/>
          <w:sz w:val="24"/>
          <w:szCs w:val="24"/>
        </w:rPr>
        <w:t>Capitão de Mar e Guerra (Md)</w:t>
      </w:r>
    </w:p>
    <w:p>
      <w:pPr>
        <w:pStyle w:val="Normal"/>
        <w:widowControl/>
        <w:numPr>
          <w:ilvl w:val="0"/>
          <w:numId w:val="0"/>
        </w:numPr>
        <w:shd w:val="clear" w:fill="FFFFFF"/>
        <w:bidi w:val="0"/>
        <w:spacing w:before="0" w:after="0"/>
        <w:ind w:left="0" w:hanging="0"/>
        <w:jc w:val="center"/>
        <w:rPr>
          <w:rFonts w:ascii="Arial" w:hAnsi="Arial"/>
          <w:sz w:val="24"/>
          <w:szCs w:val="24"/>
        </w:rPr>
      </w:pPr>
      <w:r>
        <w:rPr>
          <w:rFonts w:cs="Arial"/>
          <w:color w:val="000000"/>
          <w:sz w:val="24"/>
          <w:szCs w:val="24"/>
        </w:rPr>
        <w:t>Ordenador de Despesa</w:t>
      </w:r>
    </w:p>
    <w:sectPr>
      <w:headerReference w:type="default" r:id="rId13"/>
      <w:footerReference w:type="default" r:id="rId14"/>
      <w:type w:val="nextPage"/>
      <w:pgSz w:w="11906" w:h="16838"/>
      <w:pgMar w:left="1080" w:right="1080" w:header="708"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Rawlin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fldChar w:fldCharType="begin"/>
    </w:r>
    <w:r>
      <w:rPr/>
      <w:instrText> PAGE </w:instrText>
    </w:r>
    <w:r>
      <w:rPr/>
      <w:fldChar w:fldCharType="separate"/>
    </w:r>
    <w:r>
      <w:rPr/>
      <w:t>2</w:t>
    </w:r>
    <w:r>
      <w:rPr/>
      <w:fldChar w:fldCharType="end"/>
    </w:r>
    <w:r>
      <w:rPr>
        <w:color w:val="323E4F" w:themeColor="text2" w:themeShade="bf"/>
        <w:sz w:val="22"/>
        <w:szCs w:val="22"/>
      </w:rPr>
      <w:t xml:space="preserve"> | </w:t>
    </w:r>
    <w:r>
      <w:rPr/>
      <w:fldChar w:fldCharType="begin"/>
    </w:r>
    <w:r>
      <w:rPr/>
      <w:instrText> NUMPAGES </w:instrText>
    </w:r>
    <w:r>
      <w:rPr/>
      <w:fldChar w:fldCharType="separate"/>
    </w:r>
    <w:r>
      <w:rPr/>
      <w:t>26</w:t>
    </w:r>
    <w:r>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fldChar w:fldCharType="begin"/>
    </w:r>
    <w:r>
      <w:rPr/>
      <w:instrText> PAGE </w:instrText>
    </w:r>
    <w:r>
      <w:rPr/>
      <w:fldChar w:fldCharType="separate"/>
    </w:r>
    <w:r>
      <w:rPr/>
      <w:t>26</w:t>
    </w:r>
    <w:r>
      <w:rPr/>
      <w:fldChar w:fldCharType="end"/>
    </w:r>
    <w:r>
      <w:rPr>
        <w:color w:val="323E4F" w:themeColor="text2" w:themeShade="bf"/>
        <w:sz w:val="22"/>
        <w:szCs w:val="22"/>
      </w:rPr>
      <w:t xml:space="preserve"> | </w:t>
    </w:r>
    <w:r>
      <w:rPr/>
      <w:fldChar w:fldCharType="begin"/>
    </w:r>
    <w:r>
      <w:rPr/>
      <w:instrText> NUMPAGES </w:instrText>
    </w:r>
    <w:r>
      <w:rPr/>
      <w:fldChar w:fldCharType="separate"/>
    </w:r>
    <w:r>
      <w:rPr/>
      <w:t>26</w:t>
    </w:r>
    <w:r>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rPr/>
      <w:instrText> FILENAME </w:instrText>
    </w:r>
    <w:r>
      <w:rPr/>
      <w:fldChar w:fldCharType="separate"/>
    </w:r>
    <w:r>
      <w:rPr/>
      <w:t>4----Aviso-de-Dispensa.docx</w:t>
    </w:r>
    <w:r>
      <w:rPr/>
      <w:fldChar w:fldCharType="end"/>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-1038225</wp:posOffset>
          </wp:positionH>
          <wp:positionV relativeFrom="paragraph">
            <wp:posOffset>-449580</wp:posOffset>
          </wp:positionV>
          <wp:extent cx="7560310" cy="10692130"/>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rPr/>
      <w:instrText> FILENAME </w:instrText>
    </w:r>
    <w:r>
      <w:rPr/>
      <w:fldChar w:fldCharType="separate"/>
    </w:r>
    <w:r>
      <w:rPr/>
      <w:t>4----Aviso-de-Dispensa.docx</w:t>
    </w:r>
    <w:r>
      <w:rPr/>
      <w:fldChar w:fldCharType="end"/>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sz w:val="24"/>
        <w:b/>
      </w:rPr>
    </w:lvl>
    <w:lvl w:ilvl="1">
      <w:start w:val="1"/>
      <w:numFmt w:val="decimal"/>
      <w:lvlText w:val="%1.%2."/>
      <w:lvlJc w:val="left"/>
      <w:pPr>
        <w:tabs>
          <w:tab w:val="num" w:pos="0"/>
        </w:tabs>
        <w:ind w:left="792" w:hanging="432"/>
      </w:pPr>
      <w:rPr>
        <w:sz w:val="24"/>
        <w:i w:val="false"/>
        <w:b/>
        <w:iCs/>
        <w:color w:val="000000"/>
      </w:rPr>
    </w:lvl>
    <w:lvl w:ilvl="2">
      <w:start w:val="1"/>
      <w:numFmt w:val="decimal"/>
      <w:lvlText w:val="%1.%2.%3."/>
      <w:lvlJc w:val="left"/>
      <w:pPr>
        <w:tabs>
          <w:tab w:val="num" w:pos="0"/>
        </w:tabs>
        <w:ind w:left="1224" w:hanging="504"/>
      </w:pPr>
      <w:rPr>
        <w:sz w:val="24"/>
        <w:i w:val="false"/>
        <w:b/>
        <w:iCs/>
        <w:rFonts w:cs="Arial"/>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Pr>
    </w:lvl>
    <w:lvl w:ilvl="2">
      <w:start w:val="1"/>
      <w:numFmt w:val="decimal"/>
      <w:lvlText w:val="%1.%2.%3"/>
      <w:lvlJc w:val="left"/>
      <w:pPr>
        <w:tabs>
          <w:tab w:val="num" w:pos="0"/>
        </w:tabs>
        <w:ind w:left="1854" w:hanging="720"/>
      </w:pPr>
      <w:rPr>
        <w:sz w:val="24"/>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character" w:styleId="Nfaseforte">
    <w:name w:val="Ênfase forte"/>
    <w:qFormat/>
    <w:rPr>
      <w:b/>
      <w:bCs/>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Contedodatabela">
    <w:name w:val="Conteúdo da tabela"/>
    <w:basedOn w:val="Normal"/>
    <w:qFormat/>
    <w:pPr>
      <w:suppressLineNumbers/>
    </w:pPr>
    <w:rPr/>
  </w:style>
  <w:style w:type="paragraph" w:styleId="Corpodotextorecuado">
    <w:name w:val="Body Text Indent"/>
    <w:basedOn w:val="Normal"/>
    <w:pPr>
      <w:ind w:left="708" w:right="0" w:firstLine="708"/>
      <w:jc w:val="both"/>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image" Target="media/image3.wmf"/><Relationship Id="rId10" Type="http://schemas.openxmlformats.org/officeDocument/2006/relationships/hyperlink" Target="http://www.portaldatransparencia.gov.br/ceis" TargetMode="External"/><Relationship Id="rId11" Type="http://schemas.openxmlformats.org/officeDocument/2006/relationships/hyperlink" Target="https://www.portaltransparencia.gov.br/sancoes/cnep" TargetMode="External"/><Relationship Id="rId12" Type="http://schemas.openxmlformats.org/officeDocument/2006/relationships/hyperlink" Target="http://www.portaldoempreendedor.gov.br/" TargetMode="External"/><Relationship Id="rId13" Type="http://schemas.openxmlformats.org/officeDocument/2006/relationships/header" Target="header3.xml"/><Relationship Id="rId14" Type="http://schemas.openxmlformats.org/officeDocument/2006/relationships/footer" Target="footer2.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Relationship Id="rId21" Type="http://schemas.openxmlformats.org/officeDocument/2006/relationships/customXml" Target="../customXml/item3.xml"/><Relationship Id="rId22"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Application>LibreOffice/6.4.7.2$Linux_X86_64 LibreOffice_project/40$Build-2</Application>
  <Pages>26</Pages>
  <Words>7833</Words>
  <Characters>44889</Characters>
  <CharactersWithSpaces>52236</CharactersWithSpaces>
  <Paragraphs>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2023-07-06T15:59:41Z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