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footer2.xml" ContentType="application/vnd.openxmlformats-officedocument.wordprocessingml.footer+xml"/>
  <Override PartName="/word/media/image1.png" ContentType="image/png"/>
  <Override PartName="/word/header1.xml" ContentType="application/vnd.openxmlformats-officedocument.wordprocessingml.header+xml"/>
  <Override PartName="/word/footer1.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spacing w:before="0" w:after="0"/>
        <w:jc w:val="center"/>
        <w:rPr>
          <w:rFonts w:ascii="Calibri" w:hAnsi="Calibri" w:cs="Calibri" w:asciiTheme="minorHAnsi" w:cstheme="minorHAnsi" w:hAnsiTheme="minorHAnsi"/>
          <w:b/>
          <w:b/>
          <w:bCs/>
          <w:i/>
          <w:i/>
          <w:iCs/>
          <w:color w:val="FF0000"/>
          <w:sz w:val="24"/>
          <w:szCs w:val="24"/>
        </w:rPr>
      </w:pPr>
      <w:r>
        <w:rPr/>
        <w:drawing>
          <wp:inline distT="0" distB="0" distL="0" distR="0">
            <wp:extent cx="719455" cy="719455"/>
            <wp:effectExtent l="0" t="0" r="0" b="0"/>
            <wp:docPr id="1" name="Figura2" descr="Desenho de pessoa com relógio no top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Desenho de pessoa com relógio no topo&#10;&#10;Descrição gerada automaticamente com confiança média"/>
                    <pic:cNvPicPr>
                      <a:picLocks noChangeAspect="1" noChangeArrowheads="1"/>
                    </pic:cNvPicPr>
                  </pic:nvPicPr>
                  <pic:blipFill>
                    <a:blip r:embed="rId2"/>
                    <a:stretch>
                      <a:fillRect/>
                    </a:stretch>
                  </pic:blipFill>
                  <pic:spPr bwMode="auto">
                    <a:xfrm>
                      <a:off x="0" y="0"/>
                      <a:ext cx="719455" cy="719455"/>
                    </a:xfrm>
                    <a:prstGeom prst="rect">
                      <a:avLst/>
                    </a:prstGeom>
                  </pic:spPr>
                </pic:pic>
              </a:graphicData>
            </a:graphic>
          </wp:inline>
        </w:drawing>
      </w:r>
    </w:p>
    <w:p>
      <w:pPr>
        <w:pStyle w:val="Normal"/>
        <w:tabs>
          <w:tab w:val="left" w:pos="1560" w:leader="none"/>
          <w:tab w:val="left" w:pos="1843" w:leader="none"/>
          <w:tab w:val="left" w:pos="3402" w:leader="none"/>
          <w:tab w:val="center" w:pos="4678" w:leader="none"/>
          <w:tab w:val="left" w:pos="7935" w:leader="none"/>
        </w:tabs>
        <w:spacing w:before="0" w:after="0"/>
        <w:jc w:val="center"/>
        <w:rPr/>
      </w:pPr>
      <w:r>
        <w:rPr>
          <w:rFonts w:eastAsia="Calibri" w:cs="Calibri" w:ascii="Calibri" w:hAnsi="Calibri" w:asciiTheme="minorHAnsi" w:cstheme="minorHAnsi" w:hAnsiTheme="minorHAnsi"/>
          <w:b/>
          <w:bCs/>
          <w:sz w:val="24"/>
          <w:lang w:eastAsia="en-US"/>
        </w:rPr>
        <w:t>MARINHA DO BRASIL</w:t>
      </w:r>
    </w:p>
    <w:p>
      <w:pPr>
        <w:pStyle w:val="Normal"/>
        <w:tabs>
          <w:tab w:val="left" w:pos="1701" w:leader="none"/>
        </w:tabs>
        <w:spacing w:before="0" w:after="0"/>
        <w:jc w:val="center"/>
        <w:rPr>
          <w:rFonts w:ascii="Calibri" w:hAnsi="Calibri" w:eastAsia="Calibri" w:cs="Calibri" w:asciiTheme="minorHAnsi" w:cstheme="minorHAnsi" w:hAnsiTheme="minorHAnsi"/>
          <w:sz w:val="24"/>
          <w:lang w:eastAsia="en-US"/>
        </w:rPr>
      </w:pPr>
      <w:r>
        <w:rPr>
          <w:rFonts w:eastAsia="Calibri" w:cs="Calibri" w:cstheme="minorHAnsi" w:ascii="Calibri" w:hAnsi="Calibri"/>
          <w:sz w:val="24"/>
          <w:lang w:eastAsia="en-US"/>
        </w:rPr>
      </w:r>
    </w:p>
    <w:p>
      <w:pPr>
        <w:pStyle w:val="Normal"/>
        <w:tabs>
          <w:tab w:val="left" w:pos="1701" w:leader="none"/>
        </w:tabs>
        <w:spacing w:before="0" w:after="0"/>
        <w:jc w:val="center"/>
        <w:rPr/>
      </w:pPr>
      <w:r>
        <w:rPr>
          <w:rFonts w:eastAsia="Calibri" w:cs="Calibri" w:ascii="Calibri" w:hAnsi="Calibri" w:asciiTheme="minorHAnsi" w:cstheme="minorHAnsi" w:hAnsiTheme="minorHAnsi"/>
          <w:b/>
          <w:bCs/>
          <w:sz w:val="24"/>
          <w:lang w:eastAsia="en-US"/>
        </w:rPr>
        <w:t>DIRETORIA-GERAL DE DESENVOLVIMENTO</w:t>
      </w:r>
    </w:p>
    <w:p>
      <w:pPr>
        <w:pStyle w:val="Normal"/>
        <w:tabs>
          <w:tab w:val="left" w:pos="1701" w:leader="none"/>
        </w:tabs>
        <w:spacing w:before="0" w:after="0"/>
        <w:jc w:val="center"/>
        <w:rPr/>
      </w:pPr>
      <w:r>
        <w:rPr>
          <w:rFonts w:eastAsia="Calibri" w:cs="Calibri" w:ascii="Calibri" w:hAnsi="Calibri" w:asciiTheme="minorHAnsi" w:cstheme="minorHAnsi" w:hAnsiTheme="minorHAnsi"/>
          <w:b/>
          <w:bCs/>
          <w:sz w:val="24"/>
          <w:lang w:eastAsia="en-US"/>
        </w:rPr>
        <w:t>NUCLEAR E TECNOLÓGICO DA MARINHA</w:t>
      </w:r>
    </w:p>
    <w:p>
      <w:pPr>
        <w:pStyle w:val="Normal"/>
        <w:tabs>
          <w:tab w:val="left" w:pos="1701" w:leader="none"/>
        </w:tabs>
        <w:spacing w:before="0" w:after="0"/>
        <w:jc w:val="center"/>
        <w:rPr/>
      </w:pPr>
      <w:r>
        <w:rPr>
          <w:rFonts w:eastAsia="Calibri" w:cs="Calibri" w:ascii="Calibri" w:hAnsi="Calibri" w:asciiTheme="minorHAnsi" w:cstheme="minorHAnsi" w:hAnsiTheme="minorHAnsi"/>
          <w:b/>
          <w:bCs/>
          <w:sz w:val="24"/>
          <w:lang w:eastAsia="en-US"/>
        </w:rPr>
        <w:t xml:space="preserve">COORDENADORIA-GERAL DO PROGRAMA DE </w:t>
      </w:r>
    </w:p>
    <w:p>
      <w:pPr>
        <w:pStyle w:val="Normal"/>
        <w:tabs>
          <w:tab w:val="left" w:pos="1701" w:leader="none"/>
        </w:tabs>
        <w:spacing w:before="0" w:after="0"/>
        <w:jc w:val="center"/>
        <w:rPr>
          <w:rFonts w:ascii="Calibri" w:hAnsi="Calibri" w:eastAsia="Calibri" w:cs="Calibri" w:asciiTheme="minorHAnsi" w:cstheme="minorHAnsi" w:hAnsiTheme="minorHAnsi"/>
          <w:b/>
          <w:b/>
          <w:bCs/>
          <w:sz w:val="24"/>
          <w:lang w:eastAsia="en-US"/>
        </w:rPr>
      </w:pPr>
      <w:r>
        <w:rPr>
          <w:rFonts w:eastAsia="Calibri" w:cs="Calibri" w:ascii="Calibri" w:hAnsi="Calibri" w:asciiTheme="minorHAnsi" w:cstheme="minorHAnsi" w:hAnsiTheme="minorHAnsi"/>
          <w:b/>
          <w:bCs/>
          <w:sz w:val="24"/>
          <w:lang w:eastAsia="en-US"/>
        </w:rPr>
        <w:t>DESENVOLVIMENTO DE SUBMARINO COM PROPULSÃO NUCLEAR</w:t>
      </w:r>
    </w:p>
    <w:p>
      <w:pPr>
        <w:pStyle w:val="Normal"/>
        <w:spacing w:lineRule="auto" w:line="276"/>
        <w:jc w:val="center"/>
        <w:rPr>
          <w:rFonts w:ascii="Calibri" w:hAnsi="Calibri" w:cs="Calibri" w:asciiTheme="minorHAnsi" w:cstheme="minorHAnsi" w:hAnsiTheme="minorHAnsi"/>
          <w:b/>
          <w:b/>
          <w:bCs/>
          <w:color w:val="000000" w:themeColor="text1"/>
          <w:sz w:val="24"/>
          <w14:textFill>
            <w14:solidFill>
              <w14:schemeClr w14:val="tx1"/>
            </w14:solidFill>
          </w14:textFill>
        </w:rPr>
      </w:pPr>
      <w:r>
        <w:rPr>
          <w:rFonts w:cs="Calibri" w:cstheme="minorHAnsi" w:ascii="Calibri" w:hAnsi="Calibri"/>
          <w:b/>
          <w:bCs/>
          <w:color w:val="000000" w:themeColor="text1"/>
          <w:sz w:val="24"/>
          <w14:textFill>
            <w14:solidFill>
              <w14:schemeClr w14:val="tx1"/>
            </w14:solidFill>
          </w14:textFill>
        </w:rPr>
      </w:r>
    </w:p>
    <w:p>
      <w:pPr>
        <w:pStyle w:val="Normal"/>
        <w:spacing w:lineRule="auto" w:line="276"/>
        <w:jc w:val="center"/>
        <w:rPr/>
      </w:pPr>
      <w:r>
        <w:rPr>
          <w:rFonts w:cs="Calibri" w:ascii="Calibri" w:hAnsi="Calibri" w:asciiTheme="minorHAnsi" w:cstheme="minorHAnsi" w:hAnsiTheme="minorHAnsi"/>
          <w:b/>
          <w:bCs/>
          <w:color w:val="000000" w:themeColor="text1"/>
          <w:sz w:val="24"/>
          <w14:textFill>
            <w14:solidFill>
              <w14:schemeClr w14:val="tx1"/>
            </w14:solidFill>
          </w14:textFill>
        </w:rPr>
        <w:t>AVISO DE DISPENSA ELETRÔNICA Nº</w:t>
      </w:r>
      <w:r>
        <w:rPr>
          <w:rFonts w:cs="Calibri" w:ascii="Calibri" w:hAnsi="Calibri" w:asciiTheme="minorHAnsi" w:cstheme="minorHAnsi" w:hAnsiTheme="minorHAnsi"/>
          <w:b/>
          <w:bCs/>
          <w:color w:val="000000" w:themeColor="text1"/>
          <w:sz w:val="24"/>
          <w:lang w:val="pt-PT"/>
          <w14:textFill>
            <w14:solidFill>
              <w14:schemeClr w14:val="tx1"/>
            </w14:solidFill>
          </w14:textFill>
        </w:rPr>
        <w:t xml:space="preserve"> 92</w:t>
      </w:r>
      <w:r>
        <w:rPr>
          <w:rFonts w:cs="Calibri" w:ascii="Calibri" w:hAnsi="Calibri" w:asciiTheme="minorHAnsi" w:cstheme="minorHAnsi" w:hAnsiTheme="minorHAnsi"/>
          <w:b/>
          <w:bCs/>
          <w:color w:val="000000" w:themeColor="text1"/>
          <w:sz w:val="24"/>
          <w14:textFill>
            <w14:solidFill>
              <w14:schemeClr w14:val="tx1"/>
            </w14:solidFill>
          </w14:textFill>
        </w:rPr>
        <w:t>/2023</w:t>
      </w:r>
    </w:p>
    <w:p>
      <w:pPr>
        <w:pStyle w:val="Normal"/>
        <w:spacing w:lineRule="auto" w:line="276"/>
        <w:jc w:val="center"/>
        <w:rPr>
          <w:rFonts w:ascii="Calibri" w:hAnsi="Calibri" w:cs="Calibri" w:asciiTheme="minorHAnsi" w:cstheme="minorHAnsi" w:hAnsiTheme="minorHAnsi"/>
          <w:b/>
          <w:b/>
          <w:bCs/>
          <w:color w:val="000000" w:themeColor="text1"/>
          <w:sz w:val="24"/>
          <w14:textFill>
            <w14:solidFill>
              <w14:schemeClr w14:val="tx1"/>
            </w14:solidFill>
          </w14:textFill>
        </w:rPr>
      </w:pPr>
      <w:r>
        <w:rPr>
          <w:rFonts w:cs="Calibri" w:cstheme="minorHAnsi" w:ascii="Calibri" w:hAnsi="Calibri"/>
          <w:b/>
          <w:bCs/>
          <w:color w:val="000000" w:themeColor="text1"/>
          <w:sz w:val="24"/>
          <w14:textFill>
            <w14:solidFill>
              <w14:schemeClr w14:val="tx1"/>
            </w14:solidFill>
          </w14:textFill>
        </w:rPr>
      </w:r>
    </w:p>
    <w:p>
      <w:pPr>
        <w:pStyle w:val="Normal"/>
        <w:spacing w:lineRule="auto" w:line="276" w:before="0" w:after="120"/>
        <w:ind w:right="-15" w:hanging="0"/>
        <w:jc w:val="center"/>
        <w:rPr/>
      </w:pPr>
      <w:r>
        <w:rPr>
          <w:rFonts w:cs="Calibri" w:ascii="Calibri" w:hAnsi="Calibri" w:asciiTheme="minorHAnsi" w:cstheme="minorHAnsi" w:hAnsiTheme="minorHAnsi"/>
          <w:b/>
          <w:bCs/>
          <w:color w:val="000000" w:themeColor="text1"/>
          <w:sz w:val="24"/>
          <w14:textFill>
            <w14:solidFill>
              <w14:schemeClr w14:val="tx1"/>
            </w14:solidFill>
          </w14:textFill>
        </w:rPr>
        <w:t xml:space="preserve">(Processo Administrativo n.° </w:t>
      </w:r>
      <w:r>
        <w:rPr>
          <w:rStyle w:val="Nfaseforte"/>
          <w:rFonts w:cs="Calibri" w:ascii="Calibri" w:hAnsi="Calibri" w:asciiTheme="minorHAnsi" w:cstheme="minorHAnsi" w:hAnsiTheme="minorHAnsi"/>
          <w:color w:val="000000" w:themeColor="text1"/>
          <w:sz w:val="24"/>
          <w14:textFill>
            <w14:solidFill>
              <w14:schemeClr w14:val="tx1"/>
            </w14:solidFill>
          </w14:textFill>
        </w:rPr>
        <w:t>62164.00</w:t>
      </w:r>
      <w:r>
        <w:rPr>
          <w:rStyle w:val="Nfaseforte"/>
          <w:rFonts w:cs="Calibri" w:ascii="Calibri" w:hAnsi="Calibri" w:asciiTheme="minorHAnsi" w:cstheme="minorHAnsi" w:hAnsiTheme="minorHAnsi"/>
          <w:color w:val="000000" w:themeColor="text1"/>
          <w:sz w:val="24"/>
          <w:lang w:val="pt-PT"/>
          <w14:textFill>
            <w14:solidFill>
              <w14:schemeClr w14:val="tx1"/>
            </w14:solidFill>
          </w14:textFill>
        </w:rPr>
        <w:t>3404</w:t>
      </w:r>
      <w:r>
        <w:rPr>
          <w:rStyle w:val="Nfaseforte"/>
          <w:rFonts w:cs="Calibri" w:ascii="Calibri" w:hAnsi="Calibri" w:asciiTheme="minorHAnsi" w:cstheme="minorHAnsi" w:hAnsiTheme="minorHAnsi"/>
          <w:color w:val="000000" w:themeColor="text1"/>
          <w:sz w:val="24"/>
          <w14:textFill>
            <w14:solidFill>
              <w14:schemeClr w14:val="tx1"/>
            </w14:solidFill>
          </w14:textFill>
        </w:rPr>
        <w:t>/2023-</w:t>
      </w:r>
      <w:r>
        <w:rPr>
          <w:rStyle w:val="Nfaseforte"/>
          <w:rFonts w:cs="Calibri" w:ascii="Calibri" w:hAnsi="Calibri" w:asciiTheme="minorHAnsi" w:cstheme="minorHAnsi" w:hAnsiTheme="minorHAnsi"/>
          <w:color w:val="000000" w:themeColor="text1"/>
          <w:sz w:val="24"/>
          <w:lang w:val="pt-PT"/>
          <w14:textFill>
            <w14:solidFill>
              <w14:schemeClr w14:val="tx1"/>
            </w14:solidFill>
          </w14:textFill>
        </w:rPr>
        <w:t>34</w:t>
      </w:r>
      <w:r>
        <w:rPr>
          <w:rFonts w:cs="Calibri" w:ascii="Calibri" w:hAnsi="Calibri" w:asciiTheme="minorHAnsi" w:cstheme="minorHAnsi" w:hAnsiTheme="minorHAnsi"/>
          <w:b/>
          <w:bCs/>
          <w:color w:val="000000" w:themeColor="text1"/>
          <w:sz w:val="24"/>
          <w14:textFill>
            <w14:solidFill>
              <w14:schemeClr w14:val="tx1"/>
            </w14:solidFill>
          </w14:textFill>
        </w:rPr>
        <w:t>)</w:t>
      </w:r>
    </w:p>
    <w:p>
      <w:pPr>
        <w:pStyle w:val="Normal"/>
        <w:rPr>
          <w:rFonts w:ascii="Calibri" w:hAnsi="Calibri" w:cs="Calibri" w:asciiTheme="minorHAnsi" w:cstheme="minorHAnsi" w:hAnsiTheme="minorHAnsi"/>
          <w:sz w:val="24"/>
        </w:rPr>
      </w:pPr>
      <w:r>
        <w:rPr>
          <w:rFonts w:cs="Calibri" w:cstheme="minorHAnsi" w:ascii="Calibri" w:hAnsi="Calibri"/>
          <w:sz w:val="24"/>
        </w:rPr>
      </w:r>
    </w:p>
    <w:p>
      <w:pPr>
        <w:pStyle w:val="Normal"/>
        <w:snapToGrid w:val="false"/>
        <w:spacing w:lineRule="auto" w:line="276" w:before="0" w:after="120"/>
        <w:ind w:right="-30" w:firstLine="540"/>
        <w:jc w:val="both"/>
        <w:rPr>
          <w:rFonts w:ascii="Calibri" w:hAnsi="Calibri" w:cs="Calibri" w:asciiTheme="minorHAnsi" w:cstheme="minorHAnsi" w:hAnsiTheme="minorHAnsi"/>
          <w:color w:val="000000"/>
          <w:sz w:val="24"/>
        </w:rPr>
      </w:pPr>
      <w:r>
        <w:rPr>
          <w:rFonts w:cs="Calibri" w:ascii="Calibri" w:hAnsi="Calibri" w:asciiTheme="minorHAnsi" w:cstheme="minorHAnsi" w:hAnsiTheme="minorHAnsi"/>
          <w:color w:val="000000" w:themeColor="text1"/>
          <w:sz w:val="24"/>
          <w14:textFill>
            <w14:solidFill>
              <w14:schemeClr w14:val="tx1"/>
            </w14:solidFill>
          </w14:textFill>
        </w:rPr>
        <w:t>Torna-se público que a Coordenadoria-Geral do Programa de Desenvolvimento de Submarino com Propulsão Nuclear, por meio da Divisão de Obtenção, realizará Dispensa Eletrônica, com critério de julgamento</w:t>
      </w:r>
      <w:r>
        <w:rPr>
          <w:rFonts w:cs="Calibri" w:ascii="Calibri" w:hAnsi="Calibri" w:asciiTheme="minorHAnsi" w:cstheme="minorHAnsi" w:hAnsiTheme="minorHAnsi"/>
          <w:b/>
          <w:bCs/>
          <w:iCs/>
          <w:color w:val="000000" w:themeColor="text1"/>
          <w:sz w:val="24"/>
          <w14:textFill>
            <w14:solidFill>
              <w14:schemeClr w14:val="tx1"/>
            </w14:solidFill>
          </w14:textFill>
        </w:rPr>
        <w:t xml:space="preserve"> menor preço</w:t>
      </w:r>
      <w:r>
        <w:rPr>
          <w:rFonts w:cs="Calibri" w:ascii="Calibri" w:hAnsi="Calibri" w:asciiTheme="minorHAnsi" w:cstheme="minorHAnsi" w:hAnsiTheme="minorHAnsi"/>
          <w:iCs/>
          <w:color w:val="000000" w:themeColor="text1"/>
          <w:sz w:val="24"/>
          <w14:textFill>
            <w14:solidFill>
              <w14:schemeClr w14:val="tx1"/>
            </w14:solidFill>
          </w14:textFill>
        </w:rPr>
        <w:t xml:space="preserve">, </w:t>
      </w:r>
      <w:r>
        <w:rPr>
          <w:rFonts w:cs="Calibri" w:ascii="Calibri" w:hAnsi="Calibri" w:asciiTheme="minorHAnsi" w:cstheme="minorHAnsi" w:hAnsiTheme="minorHAnsi"/>
          <w:color w:val="000000" w:themeColor="text1"/>
          <w:sz w:val="24"/>
          <w:u w:val="single"/>
          <w14:textFill>
            <w14:solidFill>
              <w14:schemeClr w14:val="tx1"/>
            </w14:solidFill>
          </w14:textFill>
        </w:rPr>
        <w:t>na hipótese do art. 75, inciso II, nos</w:t>
      </w:r>
      <w:r>
        <w:rPr>
          <w:rFonts w:cs="Calibri" w:ascii="Calibri" w:hAnsi="Calibri" w:asciiTheme="minorHAnsi" w:cstheme="minorHAnsi" w:hAnsiTheme="minorHAnsi"/>
          <w:bCs/>
          <w:sz w:val="24"/>
          <w:u w:val="single"/>
        </w:rPr>
        <w:t xml:space="preserve"> termos da Lei nº 14.133, de 1º de abril de 2021, </w:t>
      </w:r>
      <w:r>
        <w:rPr>
          <w:rFonts w:cs="Calibri" w:ascii="Calibri" w:hAnsi="Calibri" w:asciiTheme="minorHAnsi" w:cstheme="minorHAnsi" w:hAnsiTheme="minorHAnsi"/>
          <w:bCs/>
          <w:sz w:val="24"/>
        </w:rPr>
        <w:t>da Instrução Normativa SEGES/ME nº 67/2021 e demais legislações aplicáveis.</w:t>
      </w:r>
    </w:p>
    <w:p>
      <w:pPr>
        <w:pStyle w:val="Normal"/>
        <w:spacing w:lineRule="auto" w:line="276"/>
        <w:jc w:val="both"/>
        <w:rPr>
          <w:rFonts w:ascii="Calibri" w:hAnsi="Calibri" w:cs="Calibri" w:asciiTheme="minorHAnsi" w:cstheme="minorHAnsi" w:hAnsiTheme="minorHAnsi"/>
          <w:color w:val="000000" w:themeColor="text1"/>
          <w:sz w:val="24"/>
          <w14:textFill>
            <w14:solidFill>
              <w14:schemeClr w14:val="tx1"/>
            </w14:solidFill>
          </w14:textFill>
        </w:rPr>
      </w:pPr>
      <w:r>
        <w:rPr>
          <w:rFonts w:cs="Calibri" w:cstheme="minorHAnsi" w:ascii="Calibri" w:hAnsi="Calibri"/>
          <w:color w:val="000000" w:themeColor="text1"/>
          <w:sz w:val="24"/>
          <w14:textFill>
            <w14:solidFill>
              <w14:schemeClr w14:val="tx1"/>
            </w14:solidFill>
          </w14:textFill>
        </w:rPr>
      </w:r>
    </w:p>
    <w:p>
      <w:pPr>
        <w:pStyle w:val="Normal"/>
        <w:spacing w:lineRule="auto" w:line="276"/>
        <w:jc w:val="both"/>
        <w:rPr>
          <w:rFonts w:ascii="Calibri" w:hAnsi="Calibri" w:cs="Calibri" w:asciiTheme="minorHAnsi" w:cstheme="minorHAnsi" w:hAnsiTheme="minorHAnsi"/>
          <w:color w:val="000000" w:themeColor="text1"/>
          <w:sz w:val="24"/>
          <w14:textFill>
            <w14:solidFill>
              <w14:schemeClr w14:val="tx1"/>
            </w14:solidFill>
          </w14:textFill>
        </w:rPr>
      </w:pPr>
      <w:r>
        <w:rPr>
          <w:rFonts w:cs="Calibri" w:ascii="Calibri" w:hAnsi="Calibri" w:asciiTheme="minorHAnsi" w:cstheme="minorHAnsi" w:hAnsiTheme="minorHAnsi"/>
          <w:color w:val="000000" w:themeColor="text1"/>
          <w:sz w:val="24"/>
          <w14:textFill>
            <w14:solidFill>
              <w14:schemeClr w14:val="tx1"/>
            </w14:solidFill>
          </w14:textFill>
        </w:rPr>
        <w:t>Data da sessão: ____ /____ /2023.</w:t>
      </w:r>
    </w:p>
    <w:p>
      <w:pPr>
        <w:pStyle w:val="Normal"/>
        <w:spacing w:lineRule="auto" w:line="276"/>
        <w:jc w:val="both"/>
        <w:rPr>
          <w:rFonts w:ascii="Calibri" w:hAnsi="Calibri" w:cs="Calibri" w:asciiTheme="minorHAnsi" w:cstheme="minorHAnsi" w:hAnsiTheme="minorHAnsi"/>
          <w:color w:val="000000" w:themeColor="text1"/>
          <w:sz w:val="24"/>
          <w14:textFill>
            <w14:solidFill>
              <w14:schemeClr w14:val="tx1"/>
            </w14:solidFill>
          </w14:textFill>
        </w:rPr>
      </w:pPr>
      <w:r>
        <w:rPr>
          <w:rFonts w:cs="Calibri" w:ascii="Calibri" w:hAnsi="Calibri" w:asciiTheme="minorHAnsi" w:cstheme="minorHAnsi" w:hAnsiTheme="minorHAnsi"/>
          <w:color w:val="000000" w:themeColor="text1"/>
          <w:sz w:val="24"/>
          <w14:textFill>
            <w14:solidFill>
              <w14:schemeClr w14:val="tx1"/>
            </w14:solidFill>
          </w14:textFill>
        </w:rPr>
        <w:t>Horário da Fase de Lances: 8h00 às 14h00.</w:t>
      </w:r>
    </w:p>
    <w:p>
      <w:pPr>
        <w:pStyle w:val="Normal"/>
        <w:rPr>
          <w:rFonts w:ascii="Calibri" w:hAnsi="Calibri" w:cs="Calibri" w:asciiTheme="minorHAnsi" w:cstheme="minorHAnsi" w:hAnsiTheme="minorHAnsi"/>
          <w:color w:val="000000" w:themeColor="text1"/>
          <w:sz w:val="24"/>
          <w:u w:val="single"/>
          <w14:textFill>
            <w14:solidFill>
              <w14:schemeClr w14:val="tx1"/>
            </w14:solidFill>
          </w14:textFill>
        </w:rPr>
      </w:pPr>
      <w:r>
        <w:rPr>
          <w:rFonts w:cs="Calibri" w:ascii="Calibri" w:hAnsi="Calibri" w:asciiTheme="minorHAnsi" w:cstheme="minorHAnsi" w:hAnsiTheme="minorHAnsi"/>
          <w:color w:val="000000" w:themeColor="text1"/>
          <w:sz w:val="24"/>
          <w14:textFill>
            <w14:solidFill>
              <w14:schemeClr w14:val="tx1"/>
            </w14:solidFill>
          </w14:textFill>
        </w:rPr>
        <w:t xml:space="preserve">Link: </w:t>
      </w:r>
      <w:r>
        <w:rPr>
          <w:rFonts w:cs="Calibri" w:ascii="Calibri" w:hAnsi="Calibri" w:asciiTheme="minorHAnsi" w:cstheme="minorHAnsi" w:hAnsiTheme="minorHAnsi"/>
          <w:color w:val="000000" w:themeColor="text1"/>
          <w:sz w:val="24"/>
          <w:u w:val="single"/>
          <w14:textFill>
            <w14:solidFill>
              <w14:schemeClr w14:val="tx1"/>
            </w14:solidFill>
          </w14:textFill>
        </w:rPr>
        <w:t>http://www.comprasnet.gov.br/</w:t>
      </w:r>
    </w:p>
    <w:p>
      <w:pPr>
        <w:pStyle w:val="Normal"/>
        <w:rPr>
          <w:rFonts w:ascii="Calibri" w:hAnsi="Calibri" w:cs="Calibri" w:asciiTheme="minorHAnsi" w:cstheme="minorHAnsi" w:hAnsiTheme="minorHAnsi"/>
          <w:color w:val="000000" w:themeColor="text1"/>
          <w:sz w:val="24"/>
          <w14:textFill>
            <w14:solidFill>
              <w14:schemeClr w14:val="tx1"/>
            </w14:solidFill>
          </w14:textFill>
        </w:rPr>
      </w:pPr>
      <w:r>
        <w:rPr>
          <w:rFonts w:cs="Calibri" w:ascii="Calibri" w:hAnsi="Calibri" w:asciiTheme="minorHAnsi" w:cstheme="minorHAnsi" w:hAnsiTheme="minorHAnsi"/>
          <w:b w:val="false"/>
          <w:bCs w:val="false"/>
          <w:sz w:val="24"/>
        </w:rPr>
        <w:t>Critério de Julgamento:</w:t>
      </w:r>
      <w:r>
        <w:rPr>
          <w:rFonts w:cs="Calibri" w:ascii="Calibri" w:hAnsi="Calibri" w:asciiTheme="minorHAnsi" w:cstheme="minorHAnsi" w:hAnsiTheme="minorHAnsi"/>
          <w:sz w:val="24"/>
        </w:rPr>
        <w:t xml:space="preserve"> </w:t>
      </w:r>
      <w:r>
        <w:rPr>
          <w:rFonts w:cs="Calibri" w:ascii="Calibri" w:hAnsi="Calibri" w:asciiTheme="minorHAnsi" w:cstheme="minorHAnsi" w:hAnsiTheme="minorHAnsi"/>
          <w:i w:val="false"/>
          <w:iCs w:val="false"/>
          <w:color w:val="auto"/>
          <w:sz w:val="24"/>
          <w:shd w:fill="D9D9D9" w:val="clear"/>
        </w:rPr>
        <w:t>menor preço</w:t>
      </w:r>
      <w:r>
        <w:rPr>
          <w:rFonts w:cs="Calibri" w:ascii="Calibri" w:hAnsi="Calibri" w:asciiTheme="minorHAnsi" w:cstheme="minorHAnsi" w:hAnsiTheme="minorHAnsi"/>
          <w:i w:val="false"/>
          <w:iCs w:val="false"/>
          <w:color w:val="auto"/>
          <w:sz w:val="24"/>
          <w:shd w:fill="D9D9D9" w:val="clear"/>
          <w:lang w:val="pt-PT"/>
        </w:rPr>
        <w:t>.</w:t>
      </w:r>
      <w:r>
        <w:rPr>
          <w:rFonts w:cs="Calibri" w:ascii="Calibri" w:hAnsi="Calibri" w:asciiTheme="minorHAnsi" w:cstheme="minorHAnsi" w:hAnsiTheme="minorHAnsi"/>
          <w:color w:val="000000" w:themeColor="text1"/>
          <w:sz w:val="24"/>
          <w14:textFill>
            <w14:solidFill>
              <w14:schemeClr w14:val="tx1"/>
            </w14:solidFill>
          </w14:textFill>
        </w:rPr>
        <w:t xml:space="preserve"> </w:t>
      </w:r>
    </w:p>
    <w:p>
      <w:pPr>
        <w:pStyle w:val="PADRO"/>
        <w:keepNext w:val="false"/>
        <w:widowControl/>
        <w:shd w:val="clear" w:color="auto" w:fill="auto"/>
        <w:spacing w:lineRule="auto" w:line="240" w:before="0" w:after="0"/>
        <w:ind w:left="360" w:hanging="0"/>
        <w:rPr>
          <w:rFonts w:ascii="Calibri" w:hAnsi="Calibri" w:cs="Calibri" w:asciiTheme="minorHAnsi" w:cstheme="minorHAnsi" w:hAnsiTheme="minorHAnsi"/>
          <w:b/>
          <w:b/>
          <w:sz w:val="24"/>
        </w:rPr>
      </w:pPr>
      <w:r>
        <w:rPr>
          <w:rFonts w:cs="Calibri" w:cstheme="minorHAnsi" w:ascii="Calibri" w:hAnsi="Calibri"/>
          <w:b/>
          <w:sz w:val="24"/>
        </w:rPr>
      </w:r>
    </w:p>
    <w:p>
      <w:pPr>
        <w:pStyle w:val="Ttulo1"/>
        <w:numPr>
          <w:ilvl w:val="0"/>
          <w:numId w:val="2"/>
        </w:numPr>
        <w:rPr>
          <w:rFonts w:ascii="Calibri" w:hAnsi="Calibri" w:cs="Calibri" w:asciiTheme="minorHAnsi" w:cstheme="minorHAnsi" w:hAnsiTheme="minorHAnsi"/>
          <w:b/>
          <w:b/>
          <w:bCs/>
          <w:color w:val="auto"/>
          <w:sz w:val="24"/>
          <w:szCs w:val="24"/>
        </w:rPr>
      </w:pPr>
      <w:bookmarkStart w:id="0" w:name="_Toc104906818"/>
      <w:r>
        <w:rPr>
          <w:rFonts w:cs="Calibri" w:ascii="Calibri" w:hAnsi="Calibri" w:asciiTheme="minorHAnsi" w:cstheme="minorHAnsi" w:hAnsiTheme="minorHAnsi"/>
          <w:b/>
          <w:bCs/>
          <w:color w:val="auto"/>
          <w:sz w:val="24"/>
          <w:szCs w:val="24"/>
        </w:rPr>
        <w:t>OBJETO DA CONTRATAÇÃO DIRETA</w:t>
      </w:r>
      <w:bookmarkEnd w:id="0"/>
    </w:p>
    <w:p>
      <w:pPr>
        <w:pStyle w:val="PADRO"/>
        <w:keepNext w:val="false"/>
        <w:widowControl/>
        <w:numPr>
          <w:ilvl w:val="1"/>
          <w:numId w:val="2"/>
        </w:numPr>
        <w:shd w:val="clear" w:color="auto" w:fill="auto"/>
        <w:spacing w:before="120" w:after="120"/>
        <w:rPr/>
      </w:pPr>
      <w:r>
        <w:rPr>
          <w:rFonts w:cs="Calibri" w:ascii="Calibri" w:hAnsi="Calibri" w:asciiTheme="minorHAnsi" w:cstheme="minorHAnsi" w:hAnsiTheme="minorHAnsi"/>
          <w:color w:val="000000" w:themeColor="text1"/>
          <w:sz w:val="24"/>
          <w14:textFill>
            <w14:solidFill>
              <w14:schemeClr w14:val="tx1"/>
            </w14:solidFill>
          </w14:textFill>
        </w:rPr>
        <w:t>O objeto da presente dispensa é a escolha da proposta mais vantajosa para a contratação por dispensa de licitação</w:t>
      </w:r>
      <w:r>
        <w:rPr>
          <w:rFonts w:cs="Calibri" w:ascii="Calibri" w:hAnsi="Calibri" w:asciiTheme="minorHAnsi" w:cstheme="minorHAnsi" w:hAnsiTheme="minorHAnsi"/>
          <w:color w:val="000000" w:themeColor="text1"/>
          <w:sz w:val="24"/>
          <w:lang w:val="pt-PT"/>
          <w14:textFill>
            <w14:solidFill>
              <w14:schemeClr w14:val="tx1"/>
            </w14:solidFill>
          </w14:textFill>
        </w:rPr>
        <w:t xml:space="preserve"> de</w:t>
      </w:r>
      <w:r>
        <w:rPr>
          <w:rFonts w:cs="Calibri" w:ascii="Calibri" w:hAnsi="Calibri" w:asciiTheme="minorHAnsi" w:cstheme="minorHAnsi" w:hAnsiTheme="minorHAnsi"/>
          <w:color w:val="000000" w:themeColor="text1"/>
          <w:sz w:val="24"/>
          <w14:textFill>
            <w14:solidFill>
              <w14:schemeClr w14:val="tx1"/>
            </w14:solidFill>
          </w14:textFill>
        </w:rPr>
        <w:t xml:space="preserve"> </w:t>
      </w:r>
      <w:r>
        <w:rPr>
          <w:rFonts w:cs="Calibri" w:ascii="Calibri" w:hAnsi="Calibri" w:asciiTheme="minorHAnsi" w:cstheme="minorHAnsi" w:hAnsiTheme="minorHAnsi"/>
          <w:b/>
          <w:bCs/>
          <w:color w:val="000000" w:themeColor="text1"/>
          <w:sz w:val="24"/>
          <w:lang w:val="pt-PT"/>
          <w14:textFill>
            <w14:solidFill>
              <w14:schemeClr w14:val="tx1"/>
            </w14:solidFill>
          </w14:textFill>
        </w:rPr>
        <w:t>placa de sinalização</w:t>
      </w:r>
      <w:r>
        <w:rPr>
          <w:rFonts w:cs="Calibri" w:ascii="Calibri" w:hAnsi="Calibri" w:asciiTheme="minorHAnsi" w:cstheme="minorHAnsi" w:hAnsiTheme="minorHAnsi"/>
          <w:color w:val="000000" w:themeColor="text1"/>
          <w:sz w:val="24"/>
          <w14:textFill>
            <w14:solidFill>
              <w14:schemeClr w14:val="tx1"/>
            </w14:solidFill>
          </w14:textFill>
        </w:rPr>
        <w:t>, conforme condições, quantidades e exigências estabelecidas neste Aviso de Contratação Direta e seus anexos.</w:t>
      </w:r>
    </w:p>
    <w:p>
      <w:pPr>
        <w:pStyle w:val="PADRO"/>
        <w:keepNext w:val="false"/>
        <w:widowControl/>
        <w:numPr>
          <w:ilvl w:val="1"/>
          <w:numId w:val="2"/>
        </w:numPr>
        <w:shd w:val="clear" w:color="auto" w:fill="auto"/>
        <w:spacing w:before="120" w:after="120"/>
        <w:rPr>
          <w:rFonts w:ascii="Calibri" w:hAnsi="Calibri" w:cs="Calibri" w:asciiTheme="minorHAnsi" w:cstheme="minorHAnsi" w:hAnsiTheme="minorHAnsi"/>
          <w:color w:val="000000" w:themeColor="text1"/>
          <w:sz w:val="24"/>
          <w14:textFill>
            <w14:solidFill>
              <w14:schemeClr w14:val="tx1"/>
            </w14:solidFill>
          </w14:textFill>
        </w:rPr>
      </w:pPr>
      <w:r>
        <w:rPr>
          <w:rFonts w:cs="Calibri" w:ascii="Calibri" w:hAnsi="Calibri" w:asciiTheme="minorHAnsi" w:cstheme="minorHAnsi" w:hAnsiTheme="minorHAnsi"/>
          <w:i w:val="false"/>
          <w:iCs w:val="false"/>
          <w:color w:val="000000" w:themeColor="text1"/>
          <w:sz w:val="24"/>
          <w14:textFill>
            <w14:solidFill>
              <w14:schemeClr w14:val="tx1"/>
            </w14:solidFill>
          </w14:textFill>
        </w:rPr>
        <w:t>A contratação ocorrerá  conforme tabela constante abaixo</w:t>
      </w:r>
      <w:r>
        <w:rPr>
          <w:rFonts w:cs="Calibri" w:ascii="Calibri" w:hAnsi="Calibri" w:asciiTheme="minorHAnsi" w:cstheme="minorHAnsi" w:hAnsiTheme="minorHAnsi"/>
          <w:i/>
          <w:iCs/>
          <w:color w:val="000000" w:themeColor="text1"/>
          <w:sz w:val="24"/>
          <w14:textFill>
            <w14:solidFill>
              <w14:schemeClr w14:val="tx1"/>
            </w14:solidFill>
          </w14:textFill>
        </w:rPr>
        <w:t>.</w:t>
      </w:r>
    </w:p>
    <w:tbl>
      <w:tblPr>
        <w:tblStyle w:val="7"/>
        <w:tblW w:w="1063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3" w:type="dxa"/>
          <w:bottom w:w="0" w:type="dxa"/>
          <w:right w:w="108" w:type="dxa"/>
        </w:tblCellMar>
      </w:tblPr>
      <w:tblGrid>
        <w:gridCol w:w="782"/>
        <w:gridCol w:w="3583"/>
        <w:gridCol w:w="1075"/>
        <w:gridCol w:w="797"/>
        <w:gridCol w:w="516"/>
        <w:gridCol w:w="906"/>
        <w:gridCol w:w="1420"/>
        <w:gridCol w:w="7"/>
        <w:gridCol w:w="1544"/>
      </w:tblGrid>
      <w:tr>
        <w:trPr/>
        <w:tc>
          <w:tcPr>
            <w:tcW w:w="7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52"/>
              <w:jc w:val="center"/>
              <w:rPr>
                <w:rFonts w:ascii="Carlito" w:hAnsi="Carlito" w:cs="Carlito"/>
                <w:b/>
                <w:b/>
                <w:bCs/>
                <w:color w:val="000000"/>
                <w:sz w:val="18"/>
                <w:szCs w:val="18"/>
                <w:lang w:eastAsia="en-US"/>
              </w:rPr>
            </w:pPr>
            <w:r>
              <w:rPr>
                <w:rFonts w:cs="Carlito" w:ascii="Carlito" w:hAnsi="Carlito"/>
                <w:b/>
                <w:bCs/>
                <w:color w:val="000000"/>
                <w:sz w:val="18"/>
                <w:szCs w:val="18"/>
                <w:lang w:eastAsia="en-US"/>
              </w:rPr>
            </w:r>
          </w:p>
          <w:p>
            <w:pPr>
              <w:pStyle w:val="Normal"/>
              <w:widowControl w:val="false"/>
              <w:suppressAutoHyphens w:val="true"/>
              <w:spacing w:lineRule="auto" w:line="252"/>
              <w:jc w:val="center"/>
              <w:rPr>
                <w:rFonts w:ascii="Carlito" w:hAnsi="Carlito" w:cs="Carlito"/>
                <w:b/>
                <w:b/>
                <w:bCs/>
                <w:color w:val="000000"/>
                <w:sz w:val="22"/>
                <w:szCs w:val="22"/>
                <w:lang w:eastAsia="en-US"/>
              </w:rPr>
            </w:pPr>
            <w:r>
              <w:rPr>
                <w:rFonts w:cs="Carlito" w:ascii="Carlito" w:hAnsi="Carlito"/>
                <w:b/>
                <w:bCs/>
                <w:color w:val="000000"/>
                <w:sz w:val="18"/>
                <w:szCs w:val="18"/>
                <w:lang w:eastAsia="en-US"/>
              </w:rPr>
              <w:t>ITEM</w:t>
            </w:r>
          </w:p>
          <w:p>
            <w:pPr>
              <w:pStyle w:val="Normal"/>
              <w:widowControl w:val="false"/>
              <w:suppressAutoHyphens w:val="true"/>
              <w:spacing w:lineRule="auto" w:line="252"/>
              <w:jc w:val="center"/>
              <w:rPr>
                <w:rFonts w:ascii="Carlito" w:hAnsi="Carlito" w:cs="Carlito"/>
                <w:b/>
                <w:b/>
                <w:color w:val="000000"/>
                <w:sz w:val="18"/>
                <w:szCs w:val="18"/>
                <w:lang w:eastAsia="en-US"/>
              </w:rPr>
            </w:pPr>
            <w:r>
              <w:rPr>
                <w:rFonts w:cs="Carlito" w:ascii="Carlito" w:hAnsi="Carlito"/>
                <w:b/>
                <w:color w:val="000000"/>
                <w:sz w:val="18"/>
                <w:szCs w:val="18"/>
                <w:lang w:eastAsia="en-US"/>
              </w:rPr>
            </w:r>
          </w:p>
        </w:tc>
        <w:tc>
          <w:tcPr>
            <w:tcW w:w="35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lineRule="auto" w:line="252"/>
              <w:jc w:val="center"/>
              <w:rPr>
                <w:rFonts w:ascii="Carlito" w:hAnsi="Carlito" w:cs="Carlito"/>
                <w:b/>
                <w:b/>
                <w:bCs/>
                <w:color w:val="000000"/>
                <w:sz w:val="22"/>
                <w:szCs w:val="22"/>
                <w:lang w:eastAsia="en-US"/>
              </w:rPr>
            </w:pPr>
            <w:r>
              <w:rPr>
                <w:rFonts w:cs="Carlito" w:ascii="Carlito" w:hAnsi="Carlito"/>
                <w:b/>
                <w:bCs/>
                <w:color w:val="000000"/>
                <w:sz w:val="18"/>
                <w:szCs w:val="18"/>
                <w:lang w:eastAsia="en-US"/>
              </w:rPr>
              <w:t>DESCRIÇÃO/</w:t>
            </w:r>
          </w:p>
          <w:p>
            <w:pPr>
              <w:pStyle w:val="Normal"/>
              <w:widowControl w:val="false"/>
              <w:suppressAutoHyphens w:val="true"/>
              <w:spacing w:lineRule="auto" w:line="252"/>
              <w:jc w:val="center"/>
              <w:rPr>
                <w:rFonts w:ascii="Carlito" w:hAnsi="Carlito" w:cs="Carlito"/>
                <w:color w:val="000000"/>
                <w:sz w:val="22"/>
                <w:szCs w:val="22"/>
                <w:lang w:eastAsia="en-US"/>
              </w:rPr>
            </w:pPr>
            <w:r>
              <w:rPr>
                <w:rFonts w:cs="Carlito" w:ascii="Carlito" w:hAnsi="Carlito"/>
                <w:b/>
                <w:bCs/>
                <w:color w:val="000000"/>
                <w:sz w:val="18"/>
                <w:szCs w:val="18"/>
                <w:lang w:eastAsia="en-US"/>
              </w:rPr>
              <w:t>ESPECIFICAÇÃO</w:t>
            </w:r>
          </w:p>
        </w:tc>
        <w:tc>
          <w:tcPr>
            <w:tcW w:w="10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52"/>
              <w:jc w:val="center"/>
              <w:rPr>
                <w:rFonts w:ascii="Carlito" w:hAnsi="Carlito" w:cs="Carlito"/>
                <w:b/>
                <w:b/>
                <w:bCs/>
                <w:color w:val="000000"/>
                <w:sz w:val="22"/>
                <w:szCs w:val="22"/>
                <w:lang w:eastAsia="en-US"/>
              </w:rPr>
            </w:pPr>
            <w:r>
              <w:rPr>
                <w:rFonts w:cs="Carlito" w:ascii="Carlito" w:hAnsi="Carlito"/>
                <w:b/>
                <w:bCs/>
                <w:color w:val="000000"/>
                <w:sz w:val="18"/>
                <w:szCs w:val="18"/>
                <w:lang w:eastAsia="en-US"/>
              </w:rPr>
              <w:t>CATMAT</w:t>
            </w:r>
          </w:p>
        </w:tc>
        <w:tc>
          <w:tcPr>
            <w:tcW w:w="7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52"/>
              <w:jc w:val="center"/>
              <w:rPr>
                <w:rFonts w:ascii="Carlito" w:hAnsi="Carlito" w:cs="Carlito"/>
                <w:b/>
                <w:b/>
                <w:bCs/>
              </w:rPr>
            </w:pPr>
            <w:r>
              <w:rPr>
                <w:rFonts w:cs="Carlito" w:ascii="Carlito" w:hAnsi="Carlito"/>
                <w:b/>
                <w:bCs/>
                <w:sz w:val="18"/>
                <w:szCs w:val="18"/>
              </w:rPr>
              <w:t>PDM</w:t>
            </w:r>
          </w:p>
        </w:tc>
        <w:tc>
          <w:tcPr>
            <w:tcW w:w="5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52"/>
              <w:jc w:val="center"/>
              <w:rPr>
                <w:rFonts w:ascii="Carlito" w:hAnsi="Carlito" w:cs="Carlito"/>
                <w:color w:val="000000"/>
                <w:sz w:val="22"/>
                <w:szCs w:val="22"/>
                <w:lang w:eastAsia="en-US"/>
              </w:rPr>
            </w:pPr>
            <w:r>
              <w:rPr>
                <w:rFonts w:cs="Carlito" w:ascii="Carlito" w:hAnsi="Carlito"/>
                <w:b/>
                <w:bCs/>
                <w:color w:val="000000"/>
                <w:sz w:val="18"/>
                <w:szCs w:val="18"/>
                <w:lang w:eastAsia="en-US"/>
              </w:rPr>
              <w:t>UF</w:t>
            </w:r>
          </w:p>
        </w:tc>
        <w:tc>
          <w:tcPr>
            <w:tcW w:w="90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52"/>
              <w:jc w:val="center"/>
              <w:rPr>
                <w:rFonts w:ascii="Carlito" w:hAnsi="Carlito" w:cs="Carlito"/>
                <w:color w:val="000000"/>
                <w:sz w:val="22"/>
                <w:szCs w:val="22"/>
                <w:lang w:eastAsia="en-US"/>
              </w:rPr>
            </w:pPr>
            <w:r>
              <w:rPr>
                <w:rFonts w:cs="Carlito" w:ascii="Carlito" w:hAnsi="Carlito"/>
                <w:b/>
                <w:bCs/>
                <w:color w:val="000000"/>
                <w:sz w:val="18"/>
                <w:szCs w:val="18"/>
                <w:lang w:eastAsia="en-US"/>
              </w:rPr>
              <w:t>QNTD.</w:t>
            </w:r>
          </w:p>
        </w:tc>
        <w:tc>
          <w:tcPr>
            <w:tcW w:w="142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52"/>
              <w:jc w:val="center"/>
              <w:rPr>
                <w:rFonts w:ascii="Carlito" w:hAnsi="Carlito" w:cs="Carlito"/>
                <w:b/>
                <w:b/>
                <w:bCs/>
                <w:color w:val="000000"/>
                <w:sz w:val="22"/>
                <w:szCs w:val="22"/>
                <w:lang w:eastAsia="en-US"/>
              </w:rPr>
            </w:pPr>
            <w:r>
              <w:rPr>
                <w:rFonts w:cs="Carlito" w:ascii="Carlito" w:hAnsi="Carlito"/>
                <w:b/>
                <w:bCs/>
                <w:color w:val="000000"/>
                <w:sz w:val="18"/>
                <w:szCs w:val="18"/>
                <w:lang w:eastAsia="en-US"/>
              </w:rPr>
              <w:t>PREÇO UNIT. ESTIMADO</w:t>
            </w:r>
          </w:p>
        </w:tc>
        <w:tc>
          <w:tcPr>
            <w:tcW w:w="1551"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52"/>
              <w:jc w:val="center"/>
              <w:rPr>
                <w:rFonts w:ascii="Carlito" w:hAnsi="Carlito" w:cs="Carlito"/>
                <w:sz w:val="20"/>
                <w:szCs w:val="20"/>
              </w:rPr>
            </w:pPr>
            <w:r>
              <w:rPr>
                <w:rFonts w:cs="Carlito" w:ascii="Carlito" w:hAnsi="Carlito"/>
                <w:b/>
                <w:bCs/>
                <w:color w:val="000000"/>
                <w:sz w:val="18"/>
                <w:szCs w:val="18"/>
                <w:lang w:eastAsia="en-US"/>
              </w:rPr>
              <w:t>PREÇO TOTAL ESTIMADO</w:t>
            </w:r>
          </w:p>
        </w:tc>
      </w:tr>
      <w:tr>
        <w:trPr/>
        <w:tc>
          <w:tcPr>
            <w:tcW w:w="7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276" w:before="0" w:after="120"/>
              <w:jc w:val="center"/>
              <w:rPr>
                <w:rFonts w:ascii="Carlito" w:hAnsi="Carlito" w:cs="Carlito"/>
                <w:sz w:val="20"/>
                <w:szCs w:val="20"/>
              </w:rPr>
            </w:pPr>
            <w:r>
              <w:rPr>
                <w:rFonts w:cs="Carlito" w:ascii="Carlito" w:hAnsi="Carlito"/>
                <w:b/>
                <w:color w:val="000000"/>
                <w:sz w:val="18"/>
                <w:szCs w:val="18"/>
                <w:lang w:eastAsia="en-US"/>
              </w:rPr>
              <w:t>1</w:t>
            </w:r>
          </w:p>
        </w:tc>
        <w:tc>
          <w:tcPr>
            <w:tcW w:w="35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uppressAutoHyphens w:val="true"/>
              <w:spacing w:lineRule="auto" w:line="240" w:before="0" w:after="120"/>
              <w:rPr>
                <w:rFonts w:ascii="Carlito" w:hAnsi="Carlito" w:cs="Carlito"/>
                <w:lang w:val="pt-PT"/>
              </w:rPr>
            </w:pPr>
            <w:r>
              <w:rPr>
                <w:rFonts w:cs="Carlito" w:ascii="Carlito" w:hAnsi="Carlito"/>
                <w:b/>
                <w:bCs/>
                <w:lang w:val="pt-PT"/>
              </w:rPr>
              <w:t>Placa de Sinalização</w:t>
            </w:r>
            <w:r>
              <w:rPr>
                <w:rFonts w:cs="Carlito" w:ascii="Carlito" w:hAnsi="Carlito"/>
                <w:lang w:val="pt-PT"/>
              </w:rPr>
              <w:t>: Chapa de ACM - Alumínio composto: 3mm; Cor branca com letras recortadas em cores preta; Dimensões: 1,5m x 1,0m (LxA).</w:t>
            </w:r>
          </w:p>
          <w:p>
            <w:pPr>
              <w:pStyle w:val="Western"/>
              <w:keepNext w:val="false"/>
              <w:keepLines w:val="false"/>
              <w:widowControl/>
              <w:bidi w:val="0"/>
              <w:spacing w:lineRule="auto" w:line="240" w:beforeAutospacing="1" w:afterAutospacing="0" w:after="0"/>
              <w:ind w:left="0" w:right="0" w:hanging="0"/>
              <w:jc w:val="left"/>
              <w:rPr>
                <w:color w:val="000000"/>
              </w:rPr>
            </w:pPr>
            <w:r>
              <w:rPr>
                <w:rFonts w:eastAsia="Carlito" w:cs="Carlito" w:ascii="Carlito" w:hAnsi="Carlito"/>
                <w:color w:val="000000"/>
                <w:sz w:val="20"/>
                <w:szCs w:val="20"/>
                <w:lang w:val="pt"/>
              </w:rPr>
              <w:t>Descrição: Pintadas em fundo branco com letras preta e texto centralizado.</w:t>
            </w:r>
          </w:p>
          <w:p>
            <w:pPr>
              <w:pStyle w:val="Western"/>
              <w:keepNext w:val="false"/>
              <w:keepLines w:val="false"/>
              <w:widowControl/>
              <w:bidi w:val="0"/>
              <w:spacing w:lineRule="auto" w:line="240" w:beforeAutospacing="1" w:afterAutospacing="0" w:after="0"/>
              <w:ind w:left="0" w:right="0" w:hanging="0"/>
              <w:jc w:val="left"/>
              <w:rPr>
                <w:color w:val="000000"/>
              </w:rPr>
            </w:pPr>
            <w:r>
              <w:rPr>
                <w:rFonts w:eastAsia="Carlito" w:cs="Carlito" w:ascii="Carlito" w:hAnsi="Carlito"/>
                <w:color w:val="000000"/>
                <w:sz w:val="20"/>
                <w:szCs w:val="20"/>
                <w:lang w:val="pt"/>
              </w:rPr>
              <w:t xml:space="preserve">Letras: 8,5cm de altura; 8cm de largura; linhas das letras com espessuras de 2cm; fonte de letra Arial. </w:t>
            </w:r>
          </w:p>
          <w:p>
            <w:pPr>
              <w:pStyle w:val="Western"/>
              <w:keepNext w:val="false"/>
              <w:keepLines w:val="false"/>
              <w:widowControl/>
              <w:bidi w:val="0"/>
              <w:spacing w:lineRule="auto" w:line="240" w:beforeAutospacing="1" w:afterAutospacing="0" w:after="0"/>
              <w:ind w:left="0" w:right="0" w:hanging="0"/>
              <w:jc w:val="left"/>
              <w:rPr>
                <w:color w:val="000000"/>
              </w:rPr>
            </w:pPr>
            <w:r>
              <w:rPr>
                <w:rFonts w:eastAsia="Carlito" w:cs="Carlito" w:ascii="Carlito" w:hAnsi="Carlito"/>
                <w:color w:val="000000"/>
                <w:sz w:val="20"/>
                <w:szCs w:val="20"/>
                <w:lang w:val="pt"/>
              </w:rPr>
              <w:t>(modelo da placa – A</w:t>
            </w:r>
            <w:r>
              <w:rPr>
                <w:rFonts w:eastAsia="Carlito" w:cs="Carlito" w:ascii="Carlito" w:hAnsi="Carlito"/>
                <w:color w:val="000000"/>
                <w:sz w:val="20"/>
                <w:szCs w:val="20"/>
                <w:lang w:val="pt-PT"/>
              </w:rPr>
              <w:t>pêndice I</w:t>
            </w:r>
            <w:bookmarkStart w:id="1" w:name="_GoBack"/>
            <w:bookmarkEnd w:id="1"/>
            <w:r>
              <w:rPr>
                <w:rFonts w:eastAsia="Carlito" w:cs="Carlito" w:ascii="Carlito" w:hAnsi="Carlito"/>
                <w:color w:val="000000"/>
                <w:sz w:val="20"/>
                <w:szCs w:val="20"/>
                <w:lang w:val="pt"/>
              </w:rPr>
              <w:t xml:space="preserve">) </w:t>
            </w:r>
          </w:p>
          <w:p>
            <w:pPr>
              <w:pStyle w:val="Normal"/>
              <w:widowControl w:val="false"/>
              <w:suppressAutoHyphens w:val="true"/>
              <w:spacing w:lineRule="auto" w:line="240" w:before="0" w:after="120"/>
              <w:rPr>
                <w:rFonts w:ascii="Carlito" w:hAnsi="Carlito" w:cs="Carlito"/>
                <w:lang w:val="pt-PT"/>
              </w:rPr>
            </w:pPr>
            <w:r>
              <w:rPr>
                <w:rFonts w:cs="Carlito" w:ascii="Carlito" w:hAnsi="Carlito"/>
                <w:lang w:val="pt-PT"/>
              </w:rPr>
            </w:r>
          </w:p>
        </w:tc>
        <w:tc>
          <w:tcPr>
            <w:tcW w:w="10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rFonts w:ascii="Carlito" w:hAnsi="Carlito" w:cs="Carlito"/>
                <w:lang w:val="pt-PT"/>
              </w:rPr>
            </w:pPr>
            <w:r>
              <w:rPr>
                <w:rFonts w:cs="Carlito" w:ascii="Carlito" w:hAnsi="Carlito"/>
                <w:b w:val="false"/>
                <w:bCs w:val="false"/>
                <w:color w:val="000000" w:themeColor="text1"/>
                <w:sz w:val="18"/>
                <w:szCs w:val="18"/>
                <w:lang w:val="pt-PT" w:eastAsia="en-US"/>
                <w14:textFill>
                  <w14:solidFill>
                    <w14:schemeClr w14:val="tx1"/>
                  </w14:solidFill>
                </w14:textFill>
              </w:rPr>
              <w:t>461266</w:t>
            </w:r>
          </w:p>
        </w:tc>
        <w:tc>
          <w:tcPr>
            <w:tcW w:w="7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Ttulo6"/>
              <w:widowControl w:val="false"/>
              <w:numPr>
                <w:ilvl w:val="5"/>
                <w:numId w:val="3"/>
              </w:numPr>
              <w:suppressAutoHyphens w:val="true"/>
              <w:spacing w:lineRule="auto" w:line="276" w:before="0" w:after="120"/>
              <w:jc w:val="center"/>
              <w:rPr>
                <w:rFonts w:ascii="Carlito" w:hAnsi="Carlito" w:cs="Carlito"/>
              </w:rPr>
            </w:pPr>
            <w:r>
              <w:rPr>
                <w:rFonts w:cs="Carlito" w:ascii="Carlito" w:hAnsi="Carlito"/>
                <w:b w:val="false"/>
                <w:bCs w:val="false"/>
                <w:sz w:val="18"/>
                <w:szCs w:val="18"/>
                <w:lang w:val="pt-PT"/>
              </w:rPr>
              <w:t>4842</w:t>
            </w:r>
          </w:p>
        </w:tc>
        <w:tc>
          <w:tcPr>
            <w:tcW w:w="51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rFonts w:ascii="Carlito" w:hAnsi="Carlito" w:cs="Carlito"/>
                <w:sz w:val="18"/>
                <w:szCs w:val="18"/>
              </w:rPr>
            </w:pPr>
            <w:r>
              <w:rPr>
                <w:rFonts w:cs="Carlito" w:ascii="Carlito" w:hAnsi="Carlito"/>
                <w:b w:val="false"/>
                <w:bCs w:val="false"/>
                <w:color w:val="000000" w:themeColor="text1"/>
                <w:sz w:val="18"/>
                <w:szCs w:val="18"/>
                <w:lang w:eastAsia="en-US"/>
                <w14:textFill>
                  <w14:solidFill>
                    <w14:schemeClr w14:val="tx1"/>
                  </w14:solidFill>
                </w14:textFill>
              </w:rPr>
              <w:t>UN</w:t>
            </w:r>
          </w:p>
        </w:tc>
        <w:tc>
          <w:tcPr>
            <w:tcW w:w="90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rFonts w:ascii="Carlito" w:hAnsi="Carlito" w:cs="Carlito"/>
                <w:lang w:val="pt-PT"/>
              </w:rPr>
            </w:pPr>
            <w:r>
              <w:rPr>
                <w:rFonts w:cs="Carlito" w:ascii="Carlito" w:hAnsi="Carlito"/>
                <w:b w:val="false"/>
                <w:bCs w:val="false"/>
                <w:color w:val="000000" w:themeColor="text1"/>
                <w:sz w:val="18"/>
                <w:szCs w:val="18"/>
                <w:lang w:val="pt-PT" w:eastAsia="en-US"/>
                <w14:textFill>
                  <w14:solidFill>
                    <w14:schemeClr w14:val="tx1"/>
                  </w14:solidFill>
                </w14:textFill>
              </w:rPr>
              <w:t>10</w:t>
            </w:r>
          </w:p>
        </w:tc>
        <w:tc>
          <w:tcPr>
            <w:tcW w:w="142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rFonts w:ascii="Carlito" w:hAnsi="Carlito" w:cs="Carlito"/>
                <w:lang w:val="pt-PT"/>
              </w:rPr>
            </w:pPr>
            <w:r>
              <w:rPr>
                <w:rFonts w:cs="Carlito" w:ascii="Carlito" w:hAnsi="Carlito"/>
                <w:b w:val="false"/>
                <w:bCs w:val="false"/>
                <w:color w:val="000000" w:themeColor="text1"/>
                <w:sz w:val="18"/>
                <w:szCs w:val="18"/>
                <w:lang w:eastAsia="en-US"/>
                <w14:textFill>
                  <w14:solidFill>
                    <w14:schemeClr w14:val="tx1"/>
                  </w14:solidFill>
                </w14:textFill>
              </w:rPr>
              <w:t>R$</w:t>
            </w:r>
            <w:r>
              <w:rPr>
                <w:rFonts w:cs="Carlito" w:ascii="Carlito" w:hAnsi="Carlito"/>
                <w:b w:val="false"/>
                <w:bCs w:val="false"/>
                <w:color w:val="000000" w:themeColor="text1"/>
                <w:sz w:val="18"/>
                <w:szCs w:val="18"/>
                <w:lang w:val="pt-PT" w:eastAsia="en-US"/>
                <w14:textFill>
                  <w14:solidFill>
                    <w14:schemeClr w14:val="tx1"/>
                  </w14:solidFill>
                </w14:textFill>
              </w:rPr>
              <w:t xml:space="preserve"> 331,59</w:t>
            </w:r>
          </w:p>
        </w:tc>
        <w:tc>
          <w:tcPr>
            <w:tcW w:w="1551"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rFonts w:ascii="Carlito" w:hAnsi="Carlito" w:cs="Carlito"/>
                <w:lang w:val="pt-PT"/>
              </w:rPr>
            </w:pPr>
            <w:r>
              <w:rPr>
                <w:rFonts w:cs="Carlito" w:ascii="Carlito" w:hAnsi="Carlito"/>
                <w:b w:val="false"/>
                <w:bCs w:val="false"/>
                <w:color w:val="000000" w:themeColor="text1"/>
                <w:sz w:val="18"/>
                <w:szCs w:val="18"/>
                <w:lang w:eastAsia="en-US"/>
                <w14:textFill>
                  <w14:solidFill>
                    <w14:schemeClr w14:val="tx1"/>
                  </w14:solidFill>
                </w14:textFill>
              </w:rPr>
              <w:t xml:space="preserve">R$ </w:t>
            </w:r>
            <w:r>
              <w:rPr>
                <w:rFonts w:cs="Carlito" w:ascii="Carlito" w:hAnsi="Carlito"/>
                <w:b w:val="false"/>
                <w:bCs w:val="false"/>
                <w:color w:val="000000" w:themeColor="text1"/>
                <w:sz w:val="18"/>
                <w:szCs w:val="18"/>
                <w:lang w:val="pt-PT" w:eastAsia="en-US"/>
                <w14:textFill>
                  <w14:solidFill>
                    <w14:schemeClr w14:val="tx1"/>
                  </w14:solidFill>
                </w14:textFill>
              </w:rPr>
              <w:t>3.315,90</w:t>
            </w:r>
          </w:p>
        </w:tc>
      </w:tr>
      <w:tr>
        <w:trPr>
          <w:trHeight w:val="283" w:hRule="atLeast"/>
        </w:trPr>
        <w:tc>
          <w:tcPr>
            <w:tcW w:w="9086" w:type="dxa"/>
            <w:gridSpan w:val="8"/>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rFonts w:ascii="Carlito" w:hAnsi="Carlito" w:cs="Carlito"/>
                <w:color w:val="000000"/>
                <w:sz w:val="24"/>
                <w:lang w:eastAsia="en-US"/>
              </w:rPr>
            </w:pPr>
            <w:r>
              <w:rPr>
                <w:rFonts w:cs="Carlito" w:ascii="Carlito" w:hAnsi="Carlito"/>
                <w:b/>
                <w:color w:val="000000"/>
                <w:sz w:val="18"/>
                <w:szCs w:val="18"/>
                <w:lang w:eastAsia="en-US"/>
              </w:rPr>
              <w:t>VALOR TOTAL</w:t>
            </w:r>
          </w:p>
        </w:tc>
        <w:tc>
          <w:tcPr>
            <w:tcW w:w="154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uppressAutoHyphens w:val="true"/>
              <w:spacing w:lineRule="auto" w:line="276" w:before="0" w:after="120"/>
              <w:jc w:val="center"/>
              <w:rPr>
                <w:rFonts w:ascii="Carlito" w:hAnsi="Carlito" w:cs="Carlito"/>
                <w:lang w:val="pt-PT"/>
              </w:rPr>
            </w:pPr>
            <w:r>
              <w:rPr>
                <w:rFonts w:cs="Carlito" w:ascii="Carlito" w:hAnsi="Carlito"/>
                <w:b/>
                <w:bCs/>
                <w:color w:val="000000"/>
                <w:sz w:val="18"/>
                <w:szCs w:val="18"/>
                <w:lang w:eastAsia="en-US"/>
              </w:rPr>
              <w:t xml:space="preserve">R$ </w:t>
            </w:r>
            <w:r>
              <w:rPr>
                <w:rFonts w:cs="Carlito" w:ascii="Carlito" w:hAnsi="Carlito"/>
                <w:b/>
                <w:bCs/>
                <w:color w:val="000000"/>
                <w:sz w:val="18"/>
                <w:szCs w:val="18"/>
                <w:lang w:val="pt-PT" w:eastAsia="en-US"/>
              </w:rPr>
              <w:t>3.315,90</w:t>
            </w:r>
          </w:p>
        </w:tc>
      </w:tr>
    </w:tbl>
    <w:p>
      <w:pPr>
        <w:pStyle w:val="PADRO"/>
        <w:keepNext w:val="false"/>
        <w:widowControl/>
        <w:numPr>
          <w:ilvl w:val="2"/>
          <w:numId w:val="2"/>
        </w:numPr>
        <w:shd w:val="clear" w:color="auto" w:fill="auto"/>
        <w:spacing w:before="120" w:after="120"/>
        <w:rPr/>
      </w:pPr>
      <w:r>
        <w:rPr>
          <w:rFonts w:cs="Calibri" w:ascii="Calibri" w:hAnsi="Calibri" w:asciiTheme="minorHAnsi" w:cstheme="minorHAnsi" w:hAnsiTheme="minorHAnsi"/>
          <w:sz w:val="24"/>
        </w:rPr>
        <w:t xml:space="preserve">Havendo mais de um item ou lote faculta-se ao fornecedor a participação em quantos forem de seu interesse. </w:t>
      </w:r>
    </w:p>
    <w:p>
      <w:pPr>
        <w:pStyle w:val="PADRO"/>
        <w:keepNext w:val="false"/>
        <w:widowControl/>
        <w:numPr>
          <w:ilvl w:val="1"/>
          <w:numId w:val="2"/>
        </w:numPr>
        <w:shd w:val="clear" w:color="auto" w:fill="auto"/>
        <w:spacing w:lineRule="auto" w:line="259" w:before="120" w:after="160"/>
        <w:rPr>
          <w:rFonts w:ascii="Calibri" w:hAnsi="Calibri" w:cs="Calibri" w:asciiTheme="minorHAnsi" w:cstheme="minorHAnsi" w:hAnsiTheme="minorHAnsi"/>
          <w:sz w:val="24"/>
        </w:rPr>
      </w:pPr>
      <w:r>
        <w:rPr>
          <w:rFonts w:cs="Calibri" w:ascii="Calibri" w:hAnsi="Calibri" w:asciiTheme="minorHAnsi" w:cstheme="minorHAnsi" w:hAnsiTheme="minorHAnsi"/>
          <w:sz w:val="24"/>
        </w:rPr>
        <w:t xml:space="preserve">O critério de julgamento adotado será </w:t>
      </w:r>
      <w:r>
        <w:rPr>
          <w:rFonts w:cs="Calibri" w:ascii="Calibri" w:hAnsi="Calibri" w:asciiTheme="minorHAnsi" w:cstheme="minorHAnsi" w:hAnsiTheme="minorHAnsi"/>
          <w:color w:val="000000" w:themeColor="text1"/>
          <w:sz w:val="24"/>
          <w14:textFill>
            <w14:solidFill>
              <w14:schemeClr w14:val="tx1"/>
            </w14:solidFill>
          </w14:textFill>
        </w:rPr>
        <w:t>o</w:t>
      </w:r>
      <w:r>
        <w:rPr>
          <w:rFonts w:cs="Calibri" w:ascii="Calibri" w:hAnsi="Calibri" w:asciiTheme="minorHAnsi" w:cstheme="minorHAnsi" w:hAnsiTheme="minorHAnsi"/>
          <w:i/>
          <w:iCs/>
          <w:color w:val="000000" w:themeColor="text1"/>
          <w:sz w:val="24"/>
          <w14:textFill>
            <w14:solidFill>
              <w14:schemeClr w14:val="tx1"/>
            </w14:solidFill>
          </w14:textFill>
        </w:rPr>
        <w:t xml:space="preserve"> </w:t>
      </w:r>
      <w:r>
        <w:rPr>
          <w:rFonts w:cs="Calibri" w:ascii="Calibri" w:hAnsi="Calibri" w:asciiTheme="minorHAnsi" w:cstheme="minorHAnsi" w:hAnsiTheme="minorHAnsi"/>
          <w:b/>
          <w:bCs/>
          <w:i/>
          <w:iCs/>
          <w:color w:val="000000" w:themeColor="text1"/>
          <w:sz w:val="24"/>
          <w14:textFill>
            <w14:solidFill>
              <w14:schemeClr w14:val="tx1"/>
            </w14:solidFill>
          </w14:textFill>
        </w:rPr>
        <w:t>menor preço</w:t>
      </w:r>
      <w:r>
        <w:rPr>
          <w:rFonts w:cs="Calibri" w:ascii="Calibri" w:hAnsi="Calibri" w:asciiTheme="minorHAnsi" w:cstheme="minorHAnsi" w:hAnsiTheme="minorHAnsi"/>
          <w:i/>
          <w:iCs/>
          <w:color w:val="000000" w:themeColor="text1"/>
          <w:sz w:val="24"/>
          <w14:textFill>
            <w14:solidFill>
              <w14:schemeClr w14:val="tx1"/>
            </w14:solidFill>
          </w14:textFill>
        </w:rPr>
        <w:t>,</w:t>
      </w:r>
      <w:r>
        <w:rPr>
          <w:rFonts w:cs="Calibri" w:ascii="Calibri" w:hAnsi="Calibri" w:asciiTheme="minorHAnsi" w:cstheme="minorHAnsi" w:hAnsiTheme="minorHAnsi"/>
          <w:color w:val="000000" w:themeColor="text1"/>
          <w:sz w:val="24"/>
          <w14:textFill>
            <w14:solidFill>
              <w14:schemeClr w14:val="tx1"/>
            </w14:solidFill>
          </w14:textFill>
        </w:rPr>
        <w:t xml:space="preserve"> </w:t>
      </w:r>
      <w:r>
        <w:rPr>
          <w:rFonts w:cs="Calibri" w:ascii="Calibri" w:hAnsi="Calibri" w:asciiTheme="minorHAnsi" w:cstheme="minorHAnsi" w:hAnsiTheme="minorHAnsi"/>
          <w:sz w:val="24"/>
        </w:rPr>
        <w:t>observadas as exigências contidas neste Aviso de Contratação Direta e seus Anexos quanto às especificações do objeto.</w:t>
      </w:r>
    </w:p>
    <w:p>
      <w:pPr>
        <w:pStyle w:val="PADRO"/>
        <w:keepNext w:val="false"/>
        <w:widowControl/>
        <w:numPr>
          <w:ilvl w:val="1"/>
          <w:numId w:val="2"/>
        </w:numPr>
        <w:shd w:val="clear" w:color="auto" w:fill="auto"/>
        <w:spacing w:before="120" w:after="120"/>
        <w:textAlignment w:val="auto"/>
        <w:rPr>
          <w:rFonts w:ascii="Calibri" w:hAnsi="Calibri" w:cs="Calibri" w:asciiTheme="minorHAnsi" w:cstheme="minorHAnsi" w:hAnsiTheme="minorHAnsi"/>
          <w:b/>
          <w:b/>
          <w:bCs/>
          <w:color w:val="FF0000"/>
          <w:sz w:val="24"/>
          <w:u w:val="single"/>
        </w:rPr>
      </w:pPr>
      <w:r>
        <w:rPr>
          <w:rFonts w:cs="Calibri" w:ascii="Calibri" w:hAnsi="Calibri" w:asciiTheme="minorHAnsi" w:cstheme="minorHAnsi" w:hAnsiTheme="minorHAnsi"/>
          <w:b/>
          <w:bCs/>
          <w:color w:val="000000" w:themeColor="text1"/>
          <w:sz w:val="24"/>
          <w:u w:val="single"/>
          <w14:textFill>
            <w14:solidFill>
              <w14:schemeClr w14:val="tx1"/>
            </w14:solidFill>
          </w14:textFill>
        </w:rPr>
        <w:t>Havendo divergência entre a descrição do item fornecida pelo CATMAT e aquela apresentada neste Aviso de Dispensa Eletrônica, prevalecerá a especificação deste último.</w:t>
      </w:r>
    </w:p>
    <w:p>
      <w:pPr>
        <w:pStyle w:val="PADRO"/>
        <w:keepNext w:val="false"/>
        <w:widowControl/>
        <w:numPr>
          <w:ilvl w:val="1"/>
          <w:numId w:val="2"/>
        </w:numPr>
        <w:shd w:val="clear" w:color="auto" w:fill="auto"/>
        <w:spacing w:before="120" w:after="120"/>
        <w:textAlignment w:val="auto"/>
        <w:rPr>
          <w:rFonts w:ascii="Calibri" w:hAnsi="Calibri" w:cs="Calibri" w:asciiTheme="minorHAnsi" w:cstheme="minorHAnsi" w:hAnsiTheme="minorHAnsi"/>
          <w:b/>
          <w:b/>
          <w:bCs/>
          <w:color w:val="FF0000"/>
          <w:sz w:val="24"/>
          <w:u w:val="single"/>
        </w:rPr>
      </w:pPr>
      <w:r>
        <w:rPr>
          <w:rFonts w:cs="Calibri" w:ascii="Calibri" w:hAnsi="Calibri" w:asciiTheme="minorHAnsi" w:cstheme="minorHAnsi" w:hAnsiTheme="minorHAnsi"/>
          <w:color w:val="000000" w:themeColor="text1"/>
          <w:sz w:val="24"/>
          <w14:textFill>
            <w14:solidFill>
              <w14:schemeClr w14:val="tx1"/>
            </w14:solidFill>
          </w14:textFill>
        </w:rPr>
        <w:t>Para o fornecimento de itens é necessário informar na proposta: descrição completa do objeto, prazo de entrega, garantia do produto (se for o caso), marca do produto, fabricante, procedência e validade da proposta.</w:t>
      </w:r>
    </w:p>
    <w:p>
      <w:pPr>
        <w:pStyle w:val="PADRO"/>
        <w:keepNext w:val="false"/>
        <w:widowControl/>
        <w:numPr>
          <w:ilvl w:val="1"/>
          <w:numId w:val="2"/>
        </w:numPr>
        <w:shd w:val="clear" w:color="auto" w:fill="auto"/>
        <w:spacing w:before="120" w:after="120"/>
        <w:textAlignment w:val="auto"/>
        <w:rPr/>
      </w:pPr>
      <w:r>
        <w:rPr>
          <w:rFonts w:cs="Calibri" w:ascii="Calibri" w:hAnsi="Calibri" w:asciiTheme="minorHAnsi" w:cstheme="minorHAnsi" w:hAnsiTheme="minorHAnsi"/>
          <w:bCs/>
          <w:color w:val="000000" w:themeColor="text1"/>
          <w:sz w:val="24"/>
          <w14:textFill>
            <w14:solidFill>
              <w14:schemeClr w14:val="tx1"/>
            </w14:solidFill>
          </w14:textFill>
        </w:rPr>
        <w:t>Os bens deverão ser entregues no seguinte endereço:</w:t>
      </w:r>
      <w:r>
        <w:rPr>
          <w:rFonts w:cs="Calibri" w:ascii="Calibri" w:hAnsi="Calibri" w:asciiTheme="minorHAnsi" w:cstheme="minorHAnsi" w:hAnsiTheme="minorHAnsi"/>
          <w:bCs/>
          <w:i/>
          <w:iCs/>
          <w:color w:val="000000" w:themeColor="text1"/>
          <w:sz w:val="24"/>
          <w14:textFill>
            <w14:solidFill>
              <w14:schemeClr w14:val="tx1"/>
            </w14:solidFill>
          </w14:textFill>
        </w:rPr>
        <w:t xml:space="preserve"> </w:t>
      </w:r>
      <w:r>
        <w:rPr>
          <w:rFonts w:cs="Calibri" w:ascii="Calibri" w:hAnsi="Calibri" w:asciiTheme="minorHAnsi" w:cstheme="minorHAnsi" w:hAnsiTheme="minorHAnsi"/>
          <w:color w:val="000000" w:themeColor="text1"/>
          <w:sz w:val="24"/>
          <w:lang w:val="pt-PT"/>
          <w14:textFill>
            <w14:solidFill>
              <w14:schemeClr w14:val="tx1"/>
            </w14:solidFill>
          </w14:textFill>
        </w:rPr>
        <w:t xml:space="preserve">Av. Décio Nogueira, s/nº, Itacuruçá </w:t>
      </w:r>
      <w:r>
        <w:rPr>
          <w:rFonts w:cs="Calibri" w:ascii="Calibri" w:hAnsi="Calibri" w:asciiTheme="minorHAnsi" w:cstheme="minorHAnsi" w:hAnsiTheme="minorHAnsi"/>
          <w:color w:val="000000" w:themeColor="text1"/>
          <w:sz w:val="24"/>
          <w14:textFill>
            <w14:solidFill>
              <w14:schemeClr w14:val="tx1"/>
            </w14:solidFill>
          </w14:textFill>
        </w:rPr>
        <w:t xml:space="preserve">– </w:t>
      </w:r>
      <w:r>
        <w:rPr>
          <w:rFonts w:cs="Calibri" w:ascii="Calibri" w:hAnsi="Calibri" w:asciiTheme="minorHAnsi" w:cstheme="minorHAnsi" w:hAnsiTheme="minorHAnsi"/>
          <w:color w:val="000000" w:themeColor="text1"/>
          <w:sz w:val="24"/>
          <w:lang w:val="pt-PT"/>
          <w14:textFill>
            <w14:solidFill>
              <w14:schemeClr w14:val="tx1"/>
            </w14:solidFill>
          </w14:textFill>
        </w:rPr>
        <w:t>Mangaratiba</w:t>
      </w:r>
      <w:r>
        <w:rPr>
          <w:rFonts w:cs="Calibri" w:ascii="Calibri" w:hAnsi="Calibri" w:asciiTheme="minorHAnsi" w:cstheme="minorHAnsi" w:hAnsiTheme="minorHAnsi"/>
          <w:color w:val="000000" w:themeColor="text1"/>
          <w:sz w:val="24"/>
          <w14:textFill>
            <w14:solidFill>
              <w14:schemeClr w14:val="tx1"/>
            </w14:solidFill>
          </w14:textFill>
        </w:rPr>
        <w:t xml:space="preserve"> – Rio de Janeiro – RJ, CEP: </w:t>
      </w:r>
      <w:r>
        <w:rPr>
          <w:rFonts w:cs="Calibri" w:ascii="Calibri" w:hAnsi="Calibri" w:asciiTheme="minorHAnsi" w:cstheme="minorHAnsi" w:hAnsiTheme="minorHAnsi"/>
          <w:color w:val="000000" w:themeColor="text1"/>
          <w:sz w:val="24"/>
          <w:lang w:val="pt-PT"/>
          <w14:textFill>
            <w14:solidFill>
              <w14:schemeClr w14:val="tx1"/>
            </w14:solidFill>
          </w14:textFill>
        </w:rPr>
        <w:t>23860-000</w:t>
      </w:r>
      <w:r>
        <w:rPr>
          <w:rFonts w:cs="Calibri" w:ascii="Calibri" w:hAnsi="Calibri" w:asciiTheme="minorHAnsi" w:cstheme="minorHAnsi" w:hAnsiTheme="minorHAnsi"/>
          <w:color w:val="000000" w:themeColor="text1"/>
          <w:sz w:val="24"/>
          <w14:textFill>
            <w14:solidFill>
              <w14:schemeClr w14:val="tx1"/>
            </w14:solidFill>
          </w14:textFill>
        </w:rPr>
        <w:t>, a/c</w:t>
      </w:r>
      <w:r>
        <w:rPr>
          <w:rFonts w:cs="Calibri" w:ascii="Calibri" w:hAnsi="Calibri" w:asciiTheme="minorHAnsi" w:cstheme="minorHAnsi" w:hAnsiTheme="minorHAnsi"/>
          <w:color w:val="000000" w:themeColor="text1"/>
          <w:sz w:val="24"/>
          <w:lang w:val="pt-PT"/>
          <w14:textFill>
            <w14:solidFill>
              <w14:schemeClr w14:val="tx1"/>
            </w14:solidFill>
          </w14:textFill>
        </w:rPr>
        <w:t xml:space="preserve"> Capitão-Tenente Câmara ou Sargento Eduardo Ângelo, telefone: (</w:t>
      </w:r>
      <w:r>
        <w:rPr>
          <w:rFonts w:cs="Calibri" w:ascii="Calibri" w:hAnsi="Calibri" w:asciiTheme="minorHAnsi" w:cstheme="minorHAnsi" w:hAnsiTheme="minorHAnsi"/>
          <w:color w:val="000000" w:themeColor="text1"/>
          <w:sz w:val="24"/>
          <w14:textFill>
            <w14:solidFill>
              <w14:schemeClr w14:val="tx1"/>
            </w14:solidFill>
          </w14:textFill>
        </w:rPr>
        <w:t>21) 2178-</w:t>
      </w:r>
      <w:r>
        <w:rPr>
          <w:rFonts w:cs="Calibri" w:ascii="Calibri" w:hAnsi="Calibri" w:asciiTheme="minorHAnsi" w:cstheme="minorHAnsi" w:hAnsiTheme="minorHAnsi"/>
          <w:color w:val="000000" w:themeColor="text1"/>
          <w:sz w:val="24"/>
          <w:lang w:val="pt-PT"/>
          <w14:textFill>
            <w14:solidFill>
              <w14:schemeClr w14:val="tx1"/>
            </w14:solidFill>
          </w14:textFill>
        </w:rPr>
        <w:t>7325</w:t>
      </w:r>
      <w:r>
        <w:rPr>
          <w:rFonts w:cs="Calibri" w:ascii="Calibri" w:hAnsi="Calibri" w:asciiTheme="minorHAnsi" w:cstheme="minorHAnsi" w:hAnsiTheme="minorHAnsi"/>
          <w:color w:val="000000" w:themeColor="text1"/>
          <w:sz w:val="24"/>
          <w14:textFill>
            <w14:solidFill>
              <w14:schemeClr w14:val="tx1"/>
            </w14:solidFill>
          </w14:textFill>
        </w:rPr>
        <w:t xml:space="preserve"> / </w:t>
      </w:r>
      <w:r>
        <w:rPr>
          <w:rFonts w:cs="Calibri" w:ascii="Calibri" w:hAnsi="Calibri" w:asciiTheme="minorHAnsi" w:cstheme="minorHAnsi" w:hAnsiTheme="minorHAnsi"/>
          <w:color w:val="000000" w:themeColor="text1"/>
          <w:sz w:val="24"/>
          <w:lang w:val="pt-PT"/>
          <w14:textFill>
            <w14:solidFill>
              <w14:schemeClr w14:val="tx1"/>
            </w14:solidFill>
          </w14:textFill>
        </w:rPr>
        <w:t>7399</w:t>
      </w:r>
      <w:r>
        <w:rPr>
          <w:rFonts w:cs="Calibri" w:ascii="Calibri" w:hAnsi="Calibri" w:asciiTheme="minorHAnsi" w:cstheme="minorHAnsi" w:hAnsiTheme="minorHAnsi"/>
          <w:color w:val="000000" w:themeColor="text1"/>
          <w:sz w:val="24"/>
          <w:szCs w:val="22"/>
          <w14:textFill>
            <w14:solidFill>
              <w14:schemeClr w14:val="tx1"/>
            </w14:solidFill>
          </w14:textFill>
        </w:rPr>
        <w:t>, entrega de segunda a sexta-feira, entre 8hs e 16hs.</w:t>
      </w:r>
    </w:p>
    <w:p>
      <w:pPr>
        <w:pStyle w:val="PADRO"/>
        <w:keepNext w:val="false"/>
        <w:widowControl/>
        <w:numPr>
          <w:ilvl w:val="1"/>
          <w:numId w:val="2"/>
        </w:numPr>
        <w:shd w:val="clear" w:color="auto" w:fill="auto"/>
        <w:spacing w:before="120" w:after="120"/>
        <w:textAlignment w:val="auto"/>
        <w:rPr>
          <w:rFonts w:ascii="Calibri" w:hAnsi="Calibri" w:cs="Calibri" w:asciiTheme="minorHAnsi" w:cstheme="minorHAnsi" w:hAnsiTheme="minorHAnsi"/>
          <w:color w:val="auto"/>
          <w:sz w:val="24"/>
        </w:rPr>
      </w:pPr>
      <w:r>
        <w:rPr>
          <w:rFonts w:cs="Calibri" w:ascii="Calibri" w:hAnsi="Calibri" w:asciiTheme="minorHAnsi" w:cstheme="minorHAnsi" w:hAnsiTheme="minorHAnsi"/>
          <w:bCs/>
          <w:color w:val="000000" w:themeColor="text1"/>
          <w:sz w:val="24"/>
          <w14:textFill>
            <w14:solidFill>
              <w14:schemeClr w14:val="tx1"/>
            </w14:solidFill>
          </w14:textFill>
        </w:rPr>
        <w:t>Demais especificações técnicas do objeto encontram-</w:t>
      </w:r>
      <w:r>
        <w:rPr>
          <w:rFonts w:cs="Calibri" w:ascii="Calibri" w:hAnsi="Calibri" w:asciiTheme="minorHAnsi" w:cstheme="minorHAnsi" w:hAnsiTheme="minorHAnsi"/>
          <w:color w:val="000000" w:themeColor="text1"/>
          <w:sz w:val="24"/>
          <w14:textFill>
            <w14:solidFill>
              <w14:schemeClr w14:val="tx1"/>
            </w14:solidFill>
          </w14:textFill>
        </w:rPr>
        <w:t>se pormenorizadas no Termo de Referência, ANEXO II, deste Aviso.</w:t>
      </w:r>
      <w:bookmarkStart w:id="2" w:name="_Toc104906819"/>
    </w:p>
    <w:p>
      <w:pPr>
        <w:pStyle w:val="PADRO"/>
        <w:keepNext w:val="false"/>
        <w:widowControl/>
        <w:numPr>
          <w:ilvl w:val="0"/>
          <w:numId w:val="0"/>
        </w:numPr>
        <w:shd w:val="clear" w:color="auto" w:fill="auto"/>
        <w:spacing w:before="120" w:after="120"/>
        <w:ind w:left="360" w:firstLine="567"/>
        <w:textAlignment w:val="auto"/>
        <w:rPr>
          <w:rFonts w:ascii="Calibri" w:hAnsi="Calibri" w:cs="Calibri" w:asciiTheme="minorHAnsi" w:cstheme="minorHAnsi" w:hAnsiTheme="minorHAnsi"/>
          <w:color w:val="auto"/>
          <w:sz w:val="24"/>
        </w:rPr>
      </w:pPr>
      <w:r>
        <w:rPr>
          <w:rFonts w:cs="Calibri" w:cstheme="minorHAnsi" w:ascii="Calibri" w:hAnsi="Calibri"/>
          <w:color w:val="auto"/>
          <w:sz w:val="24"/>
        </w:rPr>
      </w:r>
    </w:p>
    <w:p>
      <w:pPr>
        <w:pStyle w:val="PADRO"/>
        <w:keepNext w:val="false"/>
        <w:widowControl/>
        <w:numPr>
          <w:ilvl w:val="0"/>
          <w:numId w:val="2"/>
        </w:numPr>
        <w:shd w:val="clear" w:color="auto" w:fill="auto"/>
        <w:spacing w:before="120" w:after="120"/>
        <w:ind w:left="360" w:hanging="360"/>
        <w:textAlignment w:val="auto"/>
        <w:rPr>
          <w:rFonts w:ascii="Calibri" w:hAnsi="Calibri" w:cs="Calibri" w:asciiTheme="minorHAnsi" w:cstheme="minorHAnsi" w:hAnsiTheme="minorHAnsi"/>
          <w:color w:val="auto"/>
          <w:sz w:val="24"/>
        </w:rPr>
      </w:pPr>
      <w:r>
        <w:rPr>
          <w:rFonts w:cs="Calibri" w:ascii="Calibri" w:hAnsi="Calibri" w:asciiTheme="minorHAnsi" w:cstheme="minorHAnsi" w:hAnsiTheme="minorHAnsi"/>
          <w:b/>
          <w:bCs/>
          <w:color w:val="auto"/>
          <w:sz w:val="24"/>
          <w:szCs w:val="24"/>
        </w:rPr>
        <w:t>PARTICIPAÇÃO NA DISPENSA ELETRÔNICA</w:t>
      </w:r>
      <w:bookmarkEnd w:id="2"/>
    </w:p>
    <w:p>
      <w:pPr>
        <w:pStyle w:val="PADRO"/>
        <w:keepNext w:val="false"/>
        <w:widowControl/>
        <w:numPr>
          <w:ilvl w:val="1"/>
          <w:numId w:val="2"/>
        </w:numPr>
        <w:shd w:val="clear" w:color="auto" w:fill="auto"/>
        <w:spacing w:before="120" w:after="120"/>
        <w:ind w:left="792" w:hanging="432"/>
        <w:textAlignment w:val="auto"/>
        <w:rPr/>
      </w:pPr>
      <w:r>
        <w:rPr>
          <w:rFonts w:cs="Calibri" w:ascii="Calibri" w:hAnsi="Calibri" w:asciiTheme="minorHAnsi" w:cstheme="minorHAnsi" w:hAnsiTheme="minorHAnsi"/>
          <w:color w:val="auto"/>
          <w:sz w:val="24"/>
        </w:rPr>
        <w:t xml:space="preserve">A participação na presente dispensa eletrônica ocorrerá por meio do </w:t>
      </w:r>
      <w:r>
        <w:rPr>
          <w:rFonts w:cs="Calibri" w:ascii="Calibri" w:hAnsi="Calibri" w:asciiTheme="minorHAnsi" w:cstheme="minorHAnsi" w:hAnsiTheme="minorHAnsi"/>
          <w:bCs/>
          <w:color w:val="auto"/>
          <w:sz w:val="24"/>
        </w:rPr>
        <w:t>Sistema de Dispensa Eletrônica, ferramenta informatizada</w:t>
      </w:r>
      <w:r>
        <w:rPr>
          <w:rFonts w:cs="Calibri" w:ascii="Calibri" w:hAnsi="Calibri" w:asciiTheme="minorHAnsi" w:cstheme="minorHAnsi" w:hAnsiTheme="minorHAnsi"/>
          <w:color w:val="auto"/>
          <w:sz w:val="24"/>
        </w:rPr>
        <w:t xml:space="preserve"> integrante do Sistema de Compras do Governo Federal – Compras.gov.br, disponível no </w:t>
      </w:r>
      <w:r>
        <w:rPr>
          <w:rFonts w:cs="Calibri" w:ascii="Calibri" w:hAnsi="Calibri" w:asciiTheme="minorHAnsi" w:cstheme="minorHAnsi" w:hAnsiTheme="minorHAnsi"/>
          <w:bCs/>
          <w:color w:val="auto"/>
          <w:sz w:val="24"/>
        </w:rPr>
        <w:t xml:space="preserve">Portal de Compras do Governo Federal, no endereço eletrônico </w:t>
      </w:r>
      <w:hyperlink r:id="rId3">
        <w:r>
          <w:rPr>
            <w:rStyle w:val="LinkdaInternet"/>
            <w:rFonts w:cs="Calibri" w:ascii="Calibri" w:hAnsi="Calibri" w:asciiTheme="minorHAnsi" w:cstheme="minorHAnsi" w:hAnsiTheme="minorHAnsi"/>
            <w:bCs/>
            <w:color w:val="auto"/>
            <w:sz w:val="24"/>
          </w:rPr>
          <w:t>www.gov.br/compras</w:t>
        </w:r>
      </w:hyperlink>
      <w:r>
        <w:rPr>
          <w:rFonts w:cs="Calibri" w:ascii="Calibri" w:hAnsi="Calibri" w:asciiTheme="minorHAnsi" w:cstheme="minorHAnsi" w:hAnsiTheme="minorHAnsi"/>
          <w:bCs/>
          <w:color w:val="auto"/>
          <w:sz w:val="24"/>
        </w:rPr>
        <w:t>.</w:t>
      </w:r>
      <w:r>
        <w:rPr>
          <w:rFonts w:cs="Calibri" w:ascii="Calibri" w:hAnsi="Calibri" w:asciiTheme="minorHAnsi" w:cstheme="minorHAnsi" w:hAnsiTheme="minorHAnsi"/>
          <w:color w:val="auto"/>
          <w:sz w:val="24"/>
        </w:rPr>
        <w:t xml:space="preserve"> </w:t>
      </w:r>
    </w:p>
    <w:p>
      <w:pPr>
        <w:pStyle w:val="PADRO"/>
        <w:keepNext w:val="false"/>
        <w:widowControl/>
        <w:numPr>
          <w:ilvl w:val="2"/>
          <w:numId w:val="2"/>
        </w:numPr>
        <w:shd w:val="clear" w:color="auto" w:fill="auto"/>
        <w:spacing w:before="120" w:after="120"/>
        <w:ind w:left="1224" w:hanging="504"/>
        <w:textAlignment w:val="auto"/>
        <w:rPr/>
      </w:pPr>
      <w:r>
        <w:rPr>
          <w:rFonts w:cs="Calibri" w:ascii="Calibri" w:hAnsi="Calibri" w:asciiTheme="minorHAnsi" w:cstheme="minorHAnsi" w:hAnsiTheme="minorHAnsi"/>
          <w:color w:val="auto"/>
          <w:sz w:val="24"/>
        </w:rPr>
        <w:t xml:space="preserve">O procedimento será divulgado no Compras.gov.br e no </w:t>
      </w:r>
      <w:hyperlink r:id="rId4">
        <w:r>
          <w:rPr>
            <w:rStyle w:val="LinkdaInternet"/>
            <w:rFonts w:cs="Calibri" w:ascii="Calibri" w:hAnsi="Calibri" w:asciiTheme="minorHAnsi" w:cstheme="minorHAnsi" w:hAnsiTheme="minorHAnsi"/>
            <w:color w:val="auto"/>
            <w:sz w:val="24"/>
          </w:rPr>
          <w:t>Portal Nacional de Contratações Públicas - PNCP</w:t>
        </w:r>
      </w:hyperlink>
      <w:r>
        <w:rPr>
          <w:rFonts w:cs="Calibri" w:ascii="Calibri" w:hAnsi="Calibri" w:asciiTheme="minorHAnsi" w:cstheme="minorHAnsi" w:hAnsiTheme="minorHAnsi"/>
          <w:color w:val="auto"/>
          <w:sz w:val="24"/>
        </w:rPr>
        <w:t>, e encaminhado automaticamente aos fornecedores registrados no Sistema de Registro Cadastral Unificado - Sicaf, por mensagem eletrônica, na correspondente linha de fornecimento que pretende atender.</w:t>
      </w:r>
    </w:p>
    <w:p>
      <w:pPr>
        <w:pStyle w:val="PADRO"/>
        <w:keepNext w:val="false"/>
        <w:widowControl/>
        <w:numPr>
          <w:ilvl w:val="2"/>
          <w:numId w:val="2"/>
        </w:numPr>
        <w:shd w:val="clear" w:color="auto" w:fill="auto"/>
        <w:spacing w:before="120" w:after="120"/>
        <w:ind w:left="1224" w:hanging="504"/>
        <w:textAlignment w:val="auto"/>
        <w:rPr/>
      </w:pPr>
      <w:r>
        <w:rPr>
          <w:rFonts w:cs="Calibri" w:ascii="Calibri" w:hAnsi="Calibri" w:asciiTheme="minorHAnsi" w:cstheme="minorHAnsi" w:hAnsiTheme="minorHAnsi"/>
          <w:color w:val="auto"/>
          <w:sz w:val="24"/>
        </w:rPr>
        <w:t xml:space="preserve">O Compras.gov.br poderá ser acessado pela web ou pelo </w:t>
      </w:r>
      <w:hyperlink r:id="rId5">
        <w:r>
          <w:rPr>
            <w:rStyle w:val="LinkdaInternet"/>
            <w:rFonts w:cs="Calibri" w:ascii="Calibri" w:hAnsi="Calibri" w:asciiTheme="minorHAnsi" w:cstheme="minorHAnsi" w:hAnsiTheme="minorHAnsi"/>
            <w:color w:val="auto"/>
            <w:sz w:val="24"/>
          </w:rPr>
          <w:t>aplicativo Compras.gov.br.</w:t>
        </w:r>
      </w:hyperlink>
    </w:p>
    <w:p>
      <w:pPr>
        <w:pStyle w:val="PADRO"/>
        <w:keepNext w:val="false"/>
        <w:widowControl/>
        <w:numPr>
          <w:ilvl w:val="2"/>
          <w:numId w:val="2"/>
        </w:numPr>
        <w:shd w:val="clear" w:color="auto" w:fill="auto"/>
        <w:spacing w:before="120" w:after="120"/>
        <w:ind w:left="1224" w:hanging="504"/>
        <w:textAlignment w:val="auto"/>
        <w:rPr>
          <w:rFonts w:ascii="Calibri" w:hAnsi="Calibri" w:cs="Calibri" w:asciiTheme="minorHAnsi" w:cstheme="minorHAnsi" w:hAnsiTheme="minorHAnsi"/>
          <w:color w:val="auto"/>
          <w:sz w:val="24"/>
        </w:rPr>
      </w:pPr>
      <w:r>
        <w:rPr>
          <w:rFonts w:cs="Calibri" w:ascii="Calibri" w:hAnsi="Calibri" w:asciiTheme="minorHAnsi" w:cstheme="minorHAnsi" w:hAnsiTheme="minorHAnsi"/>
          <w:color w:val="auto"/>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PADRO"/>
        <w:keepNext w:val="false"/>
        <w:widowControl/>
        <w:numPr>
          <w:ilvl w:val="1"/>
          <w:numId w:val="2"/>
        </w:numPr>
        <w:shd w:val="clear" w:color="auto" w:fill="auto"/>
        <w:spacing w:before="120" w:after="120"/>
        <w:ind w:left="792" w:hanging="432"/>
        <w:textAlignment w:val="auto"/>
        <w:rPr>
          <w:rFonts w:ascii="Calibri" w:hAnsi="Calibri" w:cs="Calibri" w:asciiTheme="minorHAnsi" w:cstheme="minorHAnsi" w:hAnsiTheme="minorHAnsi"/>
          <w:color w:val="auto"/>
          <w:sz w:val="24"/>
        </w:rPr>
      </w:pPr>
      <w:r>
        <w:rPr>
          <w:rFonts w:cs="Calibri" w:ascii="Calibri" w:hAnsi="Calibri" w:asciiTheme="minorHAnsi" w:cstheme="minorHAnsi" w:hAnsiTheme="minorHAnsi"/>
          <w:color w:val="auto"/>
          <w:sz w:val="24"/>
        </w:rPr>
        <w:t>Não poderão participar desta dispensa de licitação os fornecedores:</w:t>
      </w:r>
    </w:p>
    <w:p>
      <w:pPr>
        <w:pStyle w:val="PADRO"/>
        <w:keepNext w:val="false"/>
        <w:widowControl/>
        <w:numPr>
          <w:ilvl w:val="2"/>
          <w:numId w:val="2"/>
        </w:numPr>
        <w:shd w:val="clear" w:color="auto" w:fill="auto"/>
        <w:spacing w:before="120" w:after="120"/>
        <w:ind w:left="1224" w:hanging="504"/>
        <w:textAlignment w:val="auto"/>
        <w:rPr>
          <w:rFonts w:ascii="Calibri" w:hAnsi="Calibri" w:cs="Calibri" w:asciiTheme="minorHAnsi" w:cstheme="minorHAnsi" w:hAnsiTheme="minorHAnsi"/>
          <w:color w:val="auto"/>
          <w:sz w:val="24"/>
        </w:rPr>
      </w:pPr>
      <w:r>
        <w:rPr>
          <w:rFonts w:cs="Calibri" w:ascii="Calibri" w:hAnsi="Calibri" w:asciiTheme="minorHAnsi" w:cstheme="minorHAnsi" w:hAnsiTheme="minorHAnsi"/>
          <w:color w:val="auto"/>
          <w:sz w:val="24"/>
        </w:rPr>
        <w:t>que não atendam às condições deste Aviso de Contratação Direta e seu(s) anexo(s);</w:t>
      </w:r>
    </w:p>
    <w:p>
      <w:pPr>
        <w:pStyle w:val="Ttulo1"/>
        <w:numPr>
          <w:ilvl w:val="2"/>
          <w:numId w:val="2"/>
        </w:numPr>
        <w:ind w:left="1224" w:hanging="504"/>
        <w:jc w:val="both"/>
        <w:rPr>
          <w:rFonts w:ascii="Calibri" w:hAnsi="Calibri" w:cs="Calibri" w:asciiTheme="minorHAnsi" w:cstheme="minorHAnsi" w:hAnsiTheme="minorHAnsi"/>
          <w:color w:val="auto"/>
          <w:sz w:val="24"/>
        </w:rPr>
      </w:pPr>
      <w:r>
        <w:rPr>
          <w:rFonts w:cs="Calibri" w:ascii="Calibri" w:hAnsi="Calibri" w:asciiTheme="minorHAnsi" w:cstheme="minorHAnsi" w:hAnsiTheme="minorHAnsi"/>
          <w:color w:val="auto"/>
          <w:sz w:val="24"/>
        </w:rPr>
        <w:t>estrangeiros que não tenham representação legal no Brasil com poderes expressos para receber citação e responder administrativa ou judicialmente;</w:t>
      </w:r>
    </w:p>
    <w:p>
      <w:pPr>
        <w:pStyle w:val="Ttulo1"/>
        <w:numPr>
          <w:ilvl w:val="2"/>
          <w:numId w:val="2"/>
        </w:numPr>
        <w:ind w:left="1224" w:hanging="504"/>
        <w:jc w:val="both"/>
        <w:rPr>
          <w:color w:val="auto"/>
        </w:rPr>
      </w:pPr>
      <w:r>
        <w:rPr>
          <w:rFonts w:cs="Calibri" w:ascii="Calibri" w:hAnsi="Calibri" w:asciiTheme="minorHAnsi" w:cstheme="minorHAnsi" w:hAnsiTheme="minorHAnsi"/>
          <w:color w:val="auto"/>
          <w:sz w:val="24"/>
        </w:rPr>
        <w:t>que se enquadrem nas seguintes vedações:</w:t>
      </w:r>
    </w:p>
    <w:p>
      <w:pPr>
        <w:pStyle w:val="Normal"/>
        <w:numPr>
          <w:ilvl w:val="3"/>
          <w:numId w:val="4"/>
        </w:numPr>
        <w:spacing w:lineRule="auto" w:line="276" w:before="120" w:after="120"/>
        <w:ind w:left="1728" w:hanging="648"/>
        <w:jc w:val="both"/>
        <w:rPr>
          <w:rFonts w:ascii="Calibri" w:hAnsi="Calibri" w:cs="Calibri" w:asciiTheme="minorHAnsi" w:cstheme="minorHAnsi" w:hAnsiTheme="minorHAnsi"/>
          <w:color w:val="auto"/>
          <w:sz w:val="24"/>
        </w:rPr>
      </w:pPr>
      <w:r>
        <w:rPr>
          <w:rFonts w:cs="Calibri" w:ascii="Calibri" w:hAnsi="Calibri" w:asciiTheme="minorHAnsi" w:cstheme="minorHAnsi" w:hAnsiTheme="minorHAnsi"/>
          <w:color w:val="auto"/>
          <w:sz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ind w:left="1728" w:hanging="648"/>
        <w:jc w:val="both"/>
        <w:rPr>
          <w:rFonts w:ascii="Calibri" w:hAnsi="Calibri" w:cs="Calibri" w:asciiTheme="minorHAnsi" w:cstheme="minorHAnsi" w:hAnsiTheme="minorHAnsi"/>
          <w:color w:val="auto"/>
          <w:sz w:val="24"/>
        </w:rPr>
      </w:pPr>
      <w:r>
        <w:rPr>
          <w:rFonts w:cs="Calibri" w:ascii="Calibri" w:hAnsi="Calibri" w:asciiTheme="minorHAnsi" w:cstheme="minorHAnsi" w:hAnsiTheme="minorHAnsi"/>
          <w:color w:val="auto"/>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ind w:left="1728" w:hanging="648"/>
        <w:jc w:val="both"/>
        <w:rPr>
          <w:rFonts w:ascii="Calibri" w:hAnsi="Calibri" w:cs="Calibri" w:asciiTheme="minorHAnsi" w:cstheme="minorHAnsi" w:hAnsiTheme="minorHAnsi"/>
          <w:color w:val="auto"/>
          <w:sz w:val="24"/>
        </w:rPr>
      </w:pPr>
      <w:r>
        <w:rPr>
          <w:rFonts w:cs="Calibri" w:ascii="Calibri" w:hAnsi="Calibri" w:asciiTheme="minorHAnsi" w:cstheme="minorHAnsi" w:hAnsiTheme="minorHAnsi"/>
          <w:color w:val="auto"/>
          <w:sz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ind w:left="1728" w:hanging="648"/>
        <w:jc w:val="both"/>
        <w:rPr>
          <w:rFonts w:ascii="Calibri" w:hAnsi="Calibri" w:cs="Calibri" w:asciiTheme="minorHAnsi" w:cstheme="minorHAnsi" w:hAnsiTheme="minorHAnsi"/>
          <w:color w:val="auto"/>
          <w:sz w:val="24"/>
        </w:rPr>
      </w:pPr>
      <w:r>
        <w:rPr>
          <w:rFonts w:cs="Calibri" w:ascii="Calibri" w:hAnsi="Calibri" w:asciiTheme="minorHAnsi" w:cstheme="minorHAnsi" w:hAnsiTheme="minorHAnsi"/>
          <w:color w:val="auto"/>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ind w:left="1728" w:hanging="648"/>
        <w:jc w:val="both"/>
        <w:rPr/>
      </w:pPr>
      <w:r>
        <w:rPr>
          <w:rFonts w:cs="Calibri" w:ascii="Calibri" w:hAnsi="Calibri" w:asciiTheme="minorHAnsi" w:cstheme="minorHAnsi" w:hAnsiTheme="minorHAnsi"/>
          <w:color w:val="auto"/>
          <w:sz w:val="24"/>
        </w:rPr>
        <w:t>empresas controladoras, controladas ou coligadas, nos termos da </w:t>
      </w:r>
      <w:hyperlink r:id="rId6">
        <w:r>
          <w:rPr>
            <w:rStyle w:val="LinkdaInternet"/>
            <w:rFonts w:eastAsia="Calibri" w:cs="Calibri" w:ascii="Calibri" w:hAnsi="Calibri" w:asciiTheme="minorHAnsi" w:cstheme="minorHAnsi" w:hAnsiTheme="minorHAnsi"/>
            <w:color w:val="auto"/>
            <w:sz w:val="24"/>
          </w:rPr>
          <w:t>Lei nº 6.404, de 15 de dezembro de 1976</w:t>
        </w:r>
      </w:hyperlink>
      <w:r>
        <w:rPr>
          <w:rFonts w:cs="Calibri" w:ascii="Calibri" w:hAnsi="Calibri" w:asciiTheme="minorHAnsi" w:cstheme="minorHAnsi" w:hAnsiTheme="minorHAnsi"/>
          <w:color w:val="auto"/>
          <w:sz w:val="24"/>
        </w:rPr>
        <w:t>, concorrendo entre si;</w:t>
      </w:r>
    </w:p>
    <w:p>
      <w:pPr>
        <w:pStyle w:val="Normal"/>
        <w:pageBreakBefore w:val="false"/>
        <w:widowControl/>
        <w:numPr>
          <w:ilvl w:val="3"/>
          <w:numId w:val="4"/>
        </w:numPr>
        <w:overflowPunct w:val="true"/>
        <w:bidi w:val="0"/>
        <w:snapToGrid w:val="true"/>
        <w:spacing w:lineRule="auto" w:line="240" w:before="0" w:after="0"/>
        <w:ind w:left="1728" w:hanging="648"/>
        <w:jc w:val="both"/>
        <w:textAlignment w:val="auto"/>
        <w:rPr>
          <w:rFonts w:ascii="Calibri" w:hAnsi="Calibri" w:cs="Calibri" w:asciiTheme="minorHAnsi" w:cstheme="minorHAnsi" w:hAnsiTheme="minorHAnsi"/>
          <w:color w:val="auto"/>
          <w:sz w:val="24"/>
        </w:rPr>
      </w:pPr>
      <w:r>
        <w:rPr>
          <w:rFonts w:cs="Calibri" w:ascii="Calibri" w:hAnsi="Calibri" w:asciiTheme="minorHAnsi" w:cstheme="minorHAnsi" w:hAnsiTheme="minorHAnsi"/>
          <w:color w:val="auto"/>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rFonts w:cs="Calibri" w:ascii="Calibri" w:hAnsi="Calibri" w:asciiTheme="minorHAnsi" w:cstheme="minorHAnsi" w:hAnsiTheme="minorHAnsi"/>
          <w:color w:val="auto"/>
          <w:sz w:val="24"/>
          <w:lang w:val="pt-PT"/>
        </w:rPr>
        <w:t xml:space="preserve"> </w:t>
      </w:r>
    </w:p>
    <w:p>
      <w:pPr>
        <w:sectPr>
          <w:headerReference w:type="default" r:id="rId7"/>
          <w:footerReference w:type="default" r:id="rId8"/>
          <w:footerReference w:type="first" r:id="rId9"/>
          <w:type w:val="nextPage"/>
          <w:pgSz w:w="11906" w:h="16838"/>
          <w:pgMar w:left="1080" w:right="1080" w:header="708" w:top="1440" w:footer="708" w:bottom="1440" w:gutter="0"/>
          <w:pgNumType w:fmt="decimal"/>
          <w:formProt w:val="false"/>
          <w:titlePg/>
          <w:textDirection w:val="lrTb"/>
          <w:docGrid w:type="default" w:linePitch="360" w:charSpace="0"/>
        </w:sectPr>
      </w:pPr>
    </w:p>
    <w:p>
      <w:pPr>
        <w:pStyle w:val="Ttulo1"/>
        <w:numPr>
          <w:ilvl w:val="3"/>
          <w:numId w:val="2"/>
        </w:numPr>
        <w:ind w:left="1728" w:hanging="648"/>
        <w:jc w:val="both"/>
        <w:rPr>
          <w:rFonts w:ascii="Carlito" w:hAnsi="Carlito"/>
        </w:rPr>
      </w:pPr>
      <w:r>
        <w:rPr>
          <w:rFonts w:cs="Calibri" w:ascii="Carlito" w:hAnsi="Carlito" w:cstheme="minorHAnsi"/>
          <w:color w:val="auto"/>
          <w:sz w:val="24"/>
        </w:rPr>
        <w:t>Equiparam-se aos autores do projeto as empresas integrantes do mesmo grupo econômico;</w:t>
      </w:r>
    </w:p>
    <w:p>
      <w:pPr>
        <w:pStyle w:val="Ttulo1"/>
        <w:numPr>
          <w:ilvl w:val="3"/>
          <w:numId w:val="2"/>
        </w:numPr>
        <w:ind w:left="1728" w:hanging="648"/>
        <w:jc w:val="both"/>
        <w:rPr>
          <w:rFonts w:ascii="Carlito" w:hAnsi="Carlito"/>
        </w:rPr>
      </w:pPr>
      <w:r>
        <w:rPr>
          <w:rFonts w:cs="Calibri" w:ascii="Carlito" w:hAnsi="Carlito" w:cstheme="minorHAnsi"/>
          <w:color w:val="auto"/>
          <w:sz w:val="24"/>
        </w:rPr>
        <w:t xml:space="preserve"> </w:t>
      </w:r>
      <w:r>
        <w:rPr>
          <w:rFonts w:cs="Calibri" w:ascii="Carlito" w:hAnsi="Carlito" w:cstheme="minorHAnsi"/>
          <w:color w:val="auto"/>
          <w:sz w:val="24"/>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Ttulo1"/>
        <w:numPr>
          <w:ilvl w:val="2"/>
          <w:numId w:val="2"/>
        </w:numPr>
        <w:ind w:left="1224" w:hanging="504"/>
        <w:jc w:val="both"/>
        <w:rPr>
          <w:rFonts w:ascii="Carlito" w:hAnsi="Carlito"/>
        </w:rPr>
      </w:pPr>
      <w:r>
        <w:rPr>
          <w:rFonts w:cs="Calibri" w:ascii="Carlito" w:hAnsi="Carlito" w:cstheme="minorHAnsi"/>
          <w:color w:val="auto"/>
          <w:sz w:val="24"/>
        </w:rPr>
        <w:t>organizações da Sociedade Civil de Interesse Público - OSCIP, atuando nessa condição (Acórdão nº 746/2014-TCU-Plenário); e</w:t>
      </w:r>
    </w:p>
    <w:p>
      <w:pPr>
        <w:pStyle w:val="Ttulo1"/>
        <w:numPr>
          <w:ilvl w:val="1"/>
          <w:numId w:val="2"/>
        </w:numPr>
        <w:ind w:left="792" w:hanging="432"/>
        <w:jc w:val="both"/>
        <w:rPr/>
      </w:pPr>
      <w:r>
        <w:rPr>
          <w:rFonts w:cs="Calibri" w:ascii="Carlito" w:hAnsi="Carlito" w:cstheme="minorHAnsi"/>
          <w:color w:val="auto"/>
          <w:sz w:val="24"/>
        </w:rPr>
        <w:t xml:space="preserve">Será permitida a participação de cooperativas, desde que apresentem demonstrativo de atuação em regime cooperado, com repartição de receitas e despesas entre os cooperados e atendam ao </w:t>
      </w:r>
      <w:r>
        <w:fldChar w:fldCharType="begin"/>
      </w:r>
      <w:r>
        <w:rPr>
          <w:rStyle w:val="ListLabel22"/>
          <w:sz w:val="24"/>
          <w:rFonts w:cs="Calibri" w:ascii="Carlito" w:hAnsi="Carlito"/>
        </w:rPr>
        <w:instrText> HYPERLINK "http://www.planalto.gov.br/ccivil_03/_ato2019-2022/2021/lei/L14133.htm" \l "art16"</w:instrText>
      </w:r>
      <w:r>
        <w:rPr>
          <w:rStyle w:val="ListLabel22"/>
          <w:sz w:val="24"/>
          <w:rFonts w:cs="Calibri" w:ascii="Carlito" w:hAnsi="Carlito"/>
        </w:rPr>
        <w:fldChar w:fldCharType="separate"/>
      </w:r>
      <w:r>
        <w:rPr>
          <w:rStyle w:val="ListLabel22"/>
          <w:rFonts w:cs="Calibri" w:ascii="Carlito" w:hAnsi="Carlito" w:cstheme="minorHAnsi"/>
          <w:color w:val="auto"/>
          <w:sz w:val="24"/>
        </w:rPr>
        <w:t>art. 16 da Lei nº 14.133, de 2021</w:t>
      </w:r>
      <w:r>
        <w:rPr>
          <w:rStyle w:val="ListLabel22"/>
          <w:sz w:val="24"/>
          <w:rFonts w:cs="Calibri" w:ascii="Carlito" w:hAnsi="Carlito"/>
        </w:rPr>
        <w:fldChar w:fldCharType="end"/>
      </w:r>
      <w:r>
        <w:rPr>
          <w:rFonts w:cs="Calibri" w:ascii="Carlito" w:hAnsi="Carlito" w:cstheme="minorHAnsi"/>
          <w:color w:val="auto"/>
          <w:sz w:val="24"/>
        </w:rPr>
        <w:t>.</w:t>
      </w:r>
    </w:p>
    <w:p>
      <w:pPr>
        <w:pStyle w:val="Ttulo1"/>
        <w:numPr>
          <w:ilvl w:val="2"/>
          <w:numId w:val="2"/>
        </w:numPr>
        <w:ind w:left="1224" w:hanging="504"/>
        <w:jc w:val="both"/>
        <w:rPr/>
      </w:pPr>
      <w:r>
        <w:rPr>
          <w:rFonts w:cs="Calibri" w:ascii="Carlito" w:hAnsi="Carlito" w:cstheme="minorHAnsi"/>
          <w:color w:val="auto"/>
          <w:sz w:val="24"/>
        </w:rPr>
        <w:t xml:space="preserve">Em sendo permitida a participação de cooperativas, serão estendidas a elas os benefícios previstos para as microempresas e empresas de pequeno porte quando elas atenderem ao disposto </w:t>
      </w:r>
      <w:r>
        <w:fldChar w:fldCharType="begin"/>
      </w:r>
      <w:r>
        <w:rPr>
          <w:rStyle w:val="ListLabel22"/>
          <w:sz w:val="24"/>
          <w:rFonts w:cs="Calibri" w:ascii="Carlito" w:hAnsi="Carlito"/>
        </w:rPr>
        <w:instrText> HYPERLINK "https://www.planalto.gov.br/ccivil_03/_ato2007-2010/2007/lei/l11488.htm" \l "art34"</w:instrText>
      </w:r>
      <w:r>
        <w:rPr>
          <w:rStyle w:val="ListLabel22"/>
          <w:sz w:val="24"/>
          <w:rFonts w:cs="Calibri" w:ascii="Carlito" w:hAnsi="Carlito"/>
        </w:rPr>
        <w:fldChar w:fldCharType="separate"/>
      </w:r>
      <w:r>
        <w:rPr>
          <w:rStyle w:val="ListLabel22"/>
          <w:rFonts w:cs="Calibri" w:ascii="Carlito" w:hAnsi="Carlito" w:cstheme="minorHAnsi"/>
          <w:color w:val="auto"/>
          <w:sz w:val="24"/>
        </w:rPr>
        <w:t>no art. 34 da Lei n.º 11.488, de 15 de junho de 2007</w:t>
      </w:r>
      <w:r>
        <w:rPr>
          <w:rStyle w:val="ListLabel22"/>
          <w:sz w:val="24"/>
          <w:rFonts w:cs="Calibri" w:ascii="Carlito" w:hAnsi="Carlito"/>
        </w:rPr>
        <w:fldChar w:fldCharType="end"/>
      </w:r>
      <w:r>
        <w:rPr>
          <w:rFonts w:cs="Calibri" w:ascii="Carlito" w:hAnsi="Carlito" w:cstheme="minorHAnsi"/>
          <w:color w:val="auto"/>
          <w:sz w:val="24"/>
        </w:rPr>
        <w:t>.</w:t>
      </w:r>
    </w:p>
    <w:p>
      <w:pPr>
        <w:pStyle w:val="Ttulo1"/>
        <w:numPr>
          <w:ilvl w:val="1"/>
          <w:numId w:val="2"/>
        </w:numPr>
        <w:ind w:left="792" w:hanging="432"/>
        <w:jc w:val="both"/>
        <w:rPr/>
      </w:pPr>
      <w:r>
        <w:rPr>
          <w:rFonts w:cs="Calibri" w:ascii="Carlito" w:hAnsi="Carlito" w:cstheme="minorHAnsi"/>
          <w:bCs/>
          <w:color w:val="auto"/>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sz w:val="24"/>
          <w:bCs/>
          <w:rFonts w:cs="Calibri" w:ascii="Carlito" w:hAnsi="Carlito"/>
        </w:rPr>
        <w:instrText> HYPERLINK "http://www.planalto.gov.br/ccivil_03/_ato2019-2022/2021/lei/L14133.htm" \l "art9§1"</w:instrText>
      </w:r>
      <w:r>
        <w:rPr>
          <w:rStyle w:val="LinkdaInternet"/>
          <w:sz w:val="24"/>
          <w:bCs/>
          <w:rFonts w:cs="Calibri" w:ascii="Carlito" w:hAnsi="Carlito"/>
        </w:rPr>
        <w:fldChar w:fldCharType="separate"/>
      </w:r>
      <w:r>
        <w:rPr>
          <w:rStyle w:val="LinkdaInternet"/>
          <w:rFonts w:cs="Calibri" w:ascii="Carlito" w:hAnsi="Carlito" w:cstheme="minorHAnsi"/>
          <w:bCs/>
          <w:color w:val="auto"/>
          <w:sz w:val="24"/>
        </w:rPr>
        <w:t>§ 1º do art. 9º da Lei n.º 14.133, de 2021</w:t>
      </w:r>
      <w:r>
        <w:rPr>
          <w:rStyle w:val="LinkdaInternet"/>
          <w:sz w:val="24"/>
          <w:bCs/>
          <w:rFonts w:cs="Calibri" w:ascii="Carlito" w:hAnsi="Carlito"/>
        </w:rPr>
        <w:fldChar w:fldCharType="end"/>
      </w:r>
      <w:r>
        <w:rPr>
          <w:rFonts w:cs="Calibri" w:ascii="Carlito" w:hAnsi="Carlito" w:cstheme="minorHAnsi"/>
          <w:bCs/>
          <w:color w:val="auto"/>
          <w:sz w:val="24"/>
        </w:rPr>
        <w:t>.</w:t>
      </w:r>
    </w:p>
    <w:p>
      <w:pPr>
        <w:pStyle w:val="Ttulo1"/>
        <w:numPr>
          <w:ilvl w:val="0"/>
          <w:numId w:val="2"/>
        </w:numPr>
        <w:rPr>
          <w:rFonts w:ascii="Carlito" w:hAnsi="Carlito"/>
        </w:rPr>
      </w:pPr>
      <w:bookmarkStart w:id="3" w:name="_Toc104906820"/>
      <w:r>
        <w:rPr>
          <w:rFonts w:cs="Calibri" w:ascii="Carlito" w:hAnsi="Carlito" w:cstheme="minorHAnsi"/>
          <w:b/>
          <w:bCs/>
          <w:color w:val="auto"/>
          <w:sz w:val="24"/>
          <w:szCs w:val="24"/>
        </w:rPr>
        <w:t>INGRESSO NA DISPENSA ELETRÔNICA E CADASTRAMENTO DA PROPOSTA INICIAL</w:t>
      </w:r>
      <w:bookmarkStart w:id="4" w:name="_Toc104906821"/>
      <w:bookmarkEnd w:id="3"/>
    </w:p>
    <w:p>
      <w:pPr>
        <w:pStyle w:val="Ttulo1"/>
        <w:numPr>
          <w:ilvl w:val="1"/>
          <w:numId w:val="2"/>
        </w:numPr>
        <w:ind w:left="792" w:hanging="432"/>
        <w:jc w:val="both"/>
        <w:rPr>
          <w:rFonts w:ascii="Carlito" w:hAnsi="Carlito"/>
        </w:rPr>
      </w:pPr>
      <w:r>
        <w:rPr>
          <w:rFonts w:cs="Calibri" w:ascii="Carlito" w:hAnsi="Carlito" w:cstheme="minorHAnsi"/>
          <w:color w:val="auto"/>
          <w:sz w:val="24"/>
        </w:rPr>
        <w:t>O ingresso do fornecedor na disputa da dispensa eletrônica ocorrerá com o cadastramento de sua proposta inicial, na forma deste item.</w:t>
      </w:r>
    </w:p>
    <w:p>
      <w:pPr>
        <w:pStyle w:val="Ttulo1"/>
        <w:numPr>
          <w:ilvl w:val="1"/>
          <w:numId w:val="2"/>
        </w:numPr>
        <w:ind w:left="792" w:hanging="432"/>
        <w:jc w:val="both"/>
        <w:rPr>
          <w:rFonts w:ascii="Carlito" w:hAnsi="Carlito"/>
        </w:rPr>
      </w:pPr>
      <w:r>
        <w:rPr>
          <w:rFonts w:cs="Calibri" w:ascii="Carlito" w:hAnsi="Carlito" w:cstheme="minorHAnsi"/>
          <w:color w:val="auto"/>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Ttulo1"/>
        <w:numPr>
          <w:ilvl w:val="1"/>
          <w:numId w:val="2"/>
        </w:numPr>
        <w:ind w:left="792" w:hanging="432"/>
        <w:jc w:val="both"/>
        <w:rPr>
          <w:rFonts w:ascii="Carlito" w:hAnsi="Carlito"/>
        </w:rPr>
      </w:pPr>
      <w:r>
        <w:rPr>
          <w:rFonts w:cs="Calibri" w:ascii="Carlito" w:hAnsi="Carlito" w:cstheme="minorHAnsi"/>
          <w:color w:val="auto"/>
          <w:sz w:val="24"/>
        </w:rPr>
        <w:t>Todas as especificações do objeto contidas na proposta, em especial o preço ou o desconto ofertados, vinculam a Contratada.</w:t>
      </w:r>
    </w:p>
    <w:p>
      <w:pPr>
        <w:pStyle w:val="Ttulo1"/>
        <w:numPr>
          <w:ilvl w:val="1"/>
          <w:numId w:val="2"/>
        </w:numPr>
        <w:ind w:left="792" w:hanging="432"/>
        <w:jc w:val="both"/>
        <w:rPr>
          <w:rFonts w:ascii="Carlito" w:hAnsi="Carlito"/>
        </w:rPr>
      </w:pPr>
      <w:r>
        <w:rPr>
          <w:rFonts w:cs="Calibri" w:ascii="Carlito" w:hAnsi="Carlito" w:cstheme="minorHAnsi"/>
          <w:color w:val="auto"/>
          <w:sz w:val="24"/>
        </w:rPr>
        <w:t>Nos valores propostos estarão inclusos todos os custos operacionais, encargos previdenciários, trabalhistas, tributários, comerciais e quaisquer outros que incidam direta ou indiretamente na execução do objeto;</w:t>
      </w:r>
    </w:p>
    <w:p>
      <w:pPr>
        <w:pStyle w:val="Ttulo1"/>
        <w:numPr>
          <w:ilvl w:val="2"/>
          <w:numId w:val="2"/>
        </w:numPr>
        <w:ind w:left="1224" w:hanging="504"/>
        <w:jc w:val="both"/>
        <w:rPr>
          <w:rFonts w:ascii="Carlito" w:hAnsi="Carlito"/>
        </w:rPr>
      </w:pPr>
      <w:r>
        <w:rPr>
          <w:rFonts w:cs="Calibri" w:ascii="Carlito" w:hAnsi="Carlito" w:cstheme="minorHAnsi"/>
          <w:color w:val="auto"/>
          <w:sz w:val="24"/>
        </w:rPr>
        <w:t xml:space="preserve"> </w:t>
      </w:r>
      <w:r>
        <w:rPr>
          <w:rFonts w:cs="Calibri" w:ascii="Carlito" w:hAnsi="Carlito" w:cstheme="minorHAnsi"/>
          <w:b/>
          <w:bCs/>
          <w:color w:val="auto"/>
          <w:sz w:val="24"/>
          <w:u w:val="single"/>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Ttulo1"/>
        <w:numPr>
          <w:ilvl w:val="2"/>
          <w:numId w:val="2"/>
        </w:numPr>
        <w:ind w:left="1224" w:hanging="504"/>
        <w:jc w:val="both"/>
        <w:rPr>
          <w:rFonts w:ascii="Carlito" w:hAnsi="Carlito"/>
        </w:rPr>
      </w:pPr>
      <w:r>
        <w:rPr>
          <w:rFonts w:cs="Calibri" w:ascii="Carlito" w:hAnsi="Carlito" w:cstheme="minorHAnsi"/>
          <w:color w:val="auto"/>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Ttulo1"/>
        <w:numPr>
          <w:ilvl w:val="1"/>
          <w:numId w:val="2"/>
        </w:numPr>
        <w:ind w:left="792" w:hanging="432"/>
        <w:jc w:val="both"/>
        <w:rPr>
          <w:rFonts w:ascii="Carlito" w:hAnsi="Carlito"/>
        </w:rPr>
      </w:pPr>
      <w:r>
        <w:rPr>
          <w:rFonts w:cs="Calibri" w:ascii="Carlito" w:hAnsi="Carlito" w:cstheme="minorHAnsi"/>
          <w:color w:val="auto"/>
          <w:sz w:val="24"/>
        </w:rPr>
        <w:t xml:space="preserve">Se o regime tributário da empresa implicar o recolhimento de tributos em percentuais variáveis, a cotação adequada será aquela correspondente à média dos efetivos recolhimentos da empresa nos últimos doze meses. </w:t>
      </w:r>
    </w:p>
    <w:p>
      <w:pPr>
        <w:pStyle w:val="Ttulo1"/>
        <w:numPr>
          <w:ilvl w:val="1"/>
          <w:numId w:val="2"/>
        </w:numPr>
        <w:ind w:left="792" w:hanging="432"/>
        <w:jc w:val="both"/>
        <w:rPr>
          <w:rFonts w:ascii="Carlito" w:hAnsi="Carlito"/>
        </w:rPr>
      </w:pPr>
      <w:r>
        <w:rPr>
          <w:rFonts w:cs="Calibri" w:ascii="Carlito" w:hAnsi="Carlito" w:cstheme="minorHAnsi"/>
          <w:color w:val="auto"/>
          <w:sz w:val="24"/>
        </w:rPr>
        <w:t>Independentemente do percentual do tributo que constar da planilha, no pagamento serão retidos na fonte os percentuais estabelecidos pela legislação vigente.</w:t>
      </w:r>
    </w:p>
    <w:p>
      <w:pPr>
        <w:pStyle w:val="Ttulo1"/>
        <w:numPr>
          <w:ilvl w:val="1"/>
          <w:numId w:val="2"/>
        </w:numPr>
        <w:ind w:left="792" w:hanging="432"/>
        <w:jc w:val="both"/>
        <w:rPr>
          <w:rFonts w:ascii="Carlito" w:hAnsi="Carlito"/>
        </w:rPr>
      </w:pPr>
      <w:r>
        <w:rPr>
          <w:rFonts w:cs="Calibri" w:ascii="Carlito" w:hAnsi="Carlito" w:cstheme="minorHAnsi"/>
          <w:color w:val="auto"/>
          <w:sz w:val="24"/>
        </w:rPr>
        <w:t xml:space="preserve">A apresentação das propostas implica obrigatoriedade do cumprimento das disposições nelas contidas, em conformidade com o que dispõe o </w:t>
      </w:r>
      <w:r>
        <w:rPr>
          <w:rFonts w:cs="Calibri" w:ascii="Carlito" w:hAnsi="Carlito" w:cstheme="minorHAnsi"/>
          <w:iCs/>
          <w:color w:val="auto"/>
          <w:sz w:val="24"/>
        </w:rPr>
        <w:t>Termo de Referência</w:t>
      </w:r>
      <w:r>
        <w:rPr>
          <w:rFonts w:cs="Calibri" w:ascii="Carlito" w:hAnsi="Carlito" w:cstheme="minorHAnsi"/>
          <w:i/>
          <w:color w:val="auto"/>
          <w:sz w:val="24"/>
        </w:rPr>
        <w:t xml:space="preserve">, </w:t>
      </w:r>
      <w:r>
        <w:rPr>
          <w:rFonts w:cs="Calibri" w:ascii="Carlito" w:hAnsi="Carlito" w:cstheme="minorHAnsi"/>
          <w:color w:val="auto"/>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Ttulo1"/>
        <w:numPr>
          <w:ilvl w:val="1"/>
          <w:numId w:val="2"/>
        </w:numPr>
        <w:ind w:left="792" w:hanging="432"/>
        <w:rPr>
          <w:rFonts w:ascii="Carlito" w:hAnsi="Carlito"/>
        </w:rPr>
      </w:pPr>
      <w:r>
        <w:rPr>
          <w:rFonts w:cs="Calibri" w:ascii="Carlito" w:hAnsi="Carlito" w:cstheme="minorHAnsi"/>
          <w:color w:val="000000" w:themeColor="text1"/>
          <w:sz w:val="24"/>
          <w14:textFill>
            <w14:solidFill>
              <w14:schemeClr w14:val="tx1"/>
            </w14:solidFill>
          </w14:textFill>
        </w:rPr>
        <w:t>No cadastramento da proposta inicial, o fornecedor deverá, também, assinalar Termo de Aceitação, em campo próprio do sistema eletrônico, relativo às seguintes declarações</w:t>
      </w:r>
      <w:r>
        <w:rPr>
          <w:rFonts w:cs="Calibri" w:ascii="Carlito" w:hAnsi="Carlito" w:cstheme="minorHAnsi"/>
          <w:color w:val="000000" w:themeColor="text1"/>
          <w:sz w:val="24"/>
          <w:lang w:val="pt-PT"/>
          <w14:textFill>
            <w14:solidFill>
              <w14:schemeClr w14:val="tx1"/>
            </w14:solidFill>
          </w14:textFill>
        </w:rPr>
        <w:t>:</w:t>
      </w:r>
    </w:p>
    <w:p>
      <w:pPr>
        <w:pStyle w:val="Ttulo1"/>
        <w:numPr>
          <w:ilvl w:val="2"/>
          <w:numId w:val="2"/>
        </w:numPr>
        <w:ind w:left="1224" w:hanging="504"/>
        <w:jc w:val="both"/>
        <w:rPr>
          <w:rFonts w:ascii="Carlito" w:hAnsi="Carlito"/>
        </w:rPr>
      </w:pPr>
      <w:r>
        <w:rPr>
          <w:rFonts w:cs="Calibri" w:ascii="Carlito" w:hAnsi="Carlito" w:cstheme="minorHAnsi"/>
          <w:color w:val="000000" w:themeColor="text1"/>
          <w:sz w:val="24"/>
          <w:lang w:val="pt-PT"/>
          <w14:textFill>
            <w14:solidFill>
              <w14:schemeClr w14:val="tx1"/>
            </w14:solidFill>
          </w14:textFill>
        </w:rPr>
        <w:t>q</w:t>
      </w:r>
      <w:r>
        <w:rPr>
          <w:rFonts w:cs="Calibri" w:ascii="Carlito" w:hAnsi="Carlito" w:cstheme="minorHAnsi"/>
          <w:color w:val="000000" w:themeColor="text1"/>
          <w:sz w:val="24"/>
          <w14:textFill>
            <w14:solidFill>
              <w14:schemeClr w14:val="tx1"/>
            </w14:solidFill>
          </w14:textFill>
        </w:rPr>
        <w:t>ue inexistem fatos impeditivos para sua habilitação no certame, ciente da obrigatoriedade de declarar ocorrências posteriores;</w:t>
      </w:r>
    </w:p>
    <w:p>
      <w:pPr>
        <w:pStyle w:val="Ttulo1"/>
        <w:numPr>
          <w:ilvl w:val="2"/>
          <w:numId w:val="2"/>
        </w:numPr>
        <w:ind w:left="1224" w:hanging="504"/>
        <w:jc w:val="both"/>
        <w:rPr>
          <w:rFonts w:ascii="Carlito" w:hAnsi="Carlito"/>
        </w:rPr>
      </w:pPr>
      <w:r>
        <w:rPr>
          <w:rFonts w:cs="Calibri" w:ascii="Carlito" w:hAnsi="Carlito" w:cstheme="minorHAnsi"/>
          <w:color w:val="000000" w:themeColor="text1"/>
          <w:sz w:val="24"/>
          <w14:textFill>
            <w14:solidFill>
              <w14:schemeClr w14:val="tx1"/>
            </w14:solidFill>
          </w14:textFill>
        </w:rPr>
        <w:t>que está ciente e concorda com as condições contidas no Aviso de Contratação Direta e seus anexos;</w:t>
      </w:r>
    </w:p>
    <w:p>
      <w:pPr>
        <w:pStyle w:val="Ttulo1"/>
        <w:numPr>
          <w:ilvl w:val="2"/>
          <w:numId w:val="2"/>
        </w:numPr>
        <w:ind w:left="1224" w:hanging="504"/>
        <w:jc w:val="both"/>
        <w:rPr>
          <w:rFonts w:ascii="Carlito" w:hAnsi="Carlito"/>
        </w:rPr>
      </w:pPr>
      <w:r>
        <w:rPr>
          <w:rFonts w:cs="Calibri" w:ascii="Carlito" w:hAnsi="Carlito" w:cstheme="minorHAnsi"/>
          <w:color w:val="000000" w:themeColor="text1"/>
          <w:sz w:val="24"/>
          <w14:textFill>
            <w14:solidFill>
              <w14:schemeClr w14:val="tx1"/>
            </w14:solidFill>
          </w14:textFill>
        </w:rPr>
        <w:t>que se responsabiliza pelas transações que forem efetuadas no sistema, assumindo-as como firmes e verdadeiras;</w:t>
      </w:r>
    </w:p>
    <w:p>
      <w:pPr>
        <w:pStyle w:val="Ttulo1"/>
        <w:numPr>
          <w:ilvl w:val="2"/>
          <w:numId w:val="2"/>
        </w:numPr>
        <w:ind w:left="1224" w:hanging="504"/>
        <w:jc w:val="both"/>
        <w:rPr/>
      </w:pPr>
      <w:r>
        <w:rPr>
          <w:rFonts w:cs="Calibri" w:ascii="Carlito" w:hAnsi="Carlito" w:cstheme="minorHAnsi"/>
          <w:color w:val="000000" w:themeColor="text1"/>
          <w:sz w:val="24"/>
          <w14:textFill>
            <w14:solidFill>
              <w14:schemeClr w14:val="tx1"/>
            </w14:solidFill>
          </w14:textFill>
        </w:rPr>
        <w:t xml:space="preserve">que cumpre as exigências de reserva de cargos para pessoa com deficiência e para reabilitado da Previdência Social, de que trata </w:t>
      </w:r>
      <w:r>
        <w:fldChar w:fldCharType="begin"/>
      </w:r>
      <w:r>
        <w:rPr>
          <w:rStyle w:val="LinkdaInternet"/>
          <w:sz w:val="24"/>
          <w:rFonts w:cs="Calibri" w:ascii="Carlito" w:hAnsi="Carlito"/>
        </w:rPr>
        <w:instrText> HYPERLINK "https://www.planalto.gov.br/ccivil_03/leis/l8213cons.htm" \l "art93"</w:instrText>
      </w:r>
      <w:r>
        <w:rPr>
          <w:rStyle w:val="LinkdaInternet"/>
          <w:sz w:val="24"/>
          <w:rFonts w:cs="Calibri" w:ascii="Carlito" w:hAnsi="Carlito"/>
        </w:rPr>
        <w:fldChar w:fldCharType="separate"/>
      </w:r>
      <w:r>
        <w:rPr>
          <w:rStyle w:val="LinkdaInternet"/>
          <w:rFonts w:cs="Calibri" w:ascii="Carlito" w:hAnsi="Carlito" w:cstheme="minorHAnsi"/>
          <w:sz w:val="24"/>
        </w:rPr>
        <w:t>o art. 93 da Lei nº 8.213/91</w:t>
      </w:r>
      <w:r>
        <w:rPr>
          <w:rStyle w:val="LinkdaInternet"/>
          <w:sz w:val="24"/>
          <w:rFonts w:cs="Calibri" w:ascii="Carlito" w:hAnsi="Carlito"/>
        </w:rPr>
        <w:fldChar w:fldCharType="end"/>
      </w:r>
      <w:r>
        <w:rPr>
          <w:rFonts w:cs="Calibri" w:ascii="Carlito" w:hAnsi="Carlito" w:cstheme="minorHAnsi"/>
          <w:color w:val="000000" w:themeColor="text1"/>
          <w:sz w:val="24"/>
          <w14:textFill>
            <w14:solidFill>
              <w14:schemeClr w14:val="tx1"/>
            </w14:solidFill>
          </w14:textFill>
        </w:rPr>
        <w:t>.</w:t>
      </w:r>
    </w:p>
    <w:p>
      <w:pPr>
        <w:pStyle w:val="Ttulo1"/>
        <w:numPr>
          <w:ilvl w:val="2"/>
          <w:numId w:val="2"/>
        </w:numPr>
        <w:ind w:left="1224" w:hanging="504"/>
        <w:jc w:val="both"/>
        <w:rPr/>
      </w:pPr>
      <w:r>
        <w:rPr>
          <w:rFonts w:cs="Calibri" w:ascii="Carlito" w:hAnsi="Carlito" w:cstheme="minorHAnsi"/>
          <w:color w:val="000000" w:themeColor="text1"/>
          <w:sz w:val="24"/>
          <w14:textFill>
            <w14:solidFill>
              <w14:schemeClr w14:val="tx1"/>
            </w14:solidFill>
          </w14:textFill>
        </w:rPr>
        <w:t xml:space="preserve">que não emprega menor de 18 anos em trabalho noturno, perigoso ou insalubre e não emprega menor de 16 anos, salvo menor, a partir de 14 anos, na condição de aprendiz, nos termos do </w:t>
      </w:r>
      <w:r>
        <w:fldChar w:fldCharType="begin"/>
      </w:r>
      <w:r>
        <w:rPr>
          <w:rStyle w:val="LinkdaInternet"/>
          <w:sz w:val="24"/>
          <w:rFonts w:cs="Calibri" w:ascii="Carlito" w:hAnsi="Carlito"/>
        </w:rPr>
        <w:instrText> HYPERLINK "https://normas.leg.br/?urn=urn:lex:br:federal:constituicao:1988-10-05;1988" \l "art7"</w:instrText>
      </w:r>
      <w:r>
        <w:rPr>
          <w:rStyle w:val="LinkdaInternet"/>
          <w:sz w:val="24"/>
          <w:rFonts w:cs="Calibri" w:ascii="Carlito" w:hAnsi="Carlito"/>
        </w:rPr>
        <w:fldChar w:fldCharType="separate"/>
      </w:r>
      <w:r>
        <w:rPr>
          <w:rStyle w:val="LinkdaInternet"/>
          <w:rFonts w:cs="Calibri" w:ascii="Carlito" w:hAnsi="Carlito" w:cstheme="minorHAnsi"/>
          <w:sz w:val="24"/>
        </w:rPr>
        <w:t>artigo 7°, XXXIII, da Constituição</w:t>
      </w:r>
      <w:r>
        <w:rPr>
          <w:rStyle w:val="LinkdaInternet"/>
          <w:sz w:val="24"/>
          <w:rFonts w:cs="Calibri" w:ascii="Carlito" w:hAnsi="Carlito"/>
        </w:rPr>
        <w:fldChar w:fldCharType="end"/>
      </w:r>
      <w:r>
        <w:rPr>
          <w:rFonts w:cs="Calibri" w:ascii="Carlito" w:hAnsi="Carlito" w:cstheme="minorHAnsi"/>
          <w:color w:val="000000" w:themeColor="text1"/>
          <w:sz w:val="24"/>
          <w14:textFill>
            <w14:solidFill>
              <w14:schemeClr w14:val="tx1"/>
            </w14:solidFill>
          </w14:textFill>
        </w:rPr>
        <w:t>;</w:t>
      </w:r>
    </w:p>
    <w:p>
      <w:pPr>
        <w:pStyle w:val="Ttulo1"/>
        <w:numPr>
          <w:ilvl w:val="1"/>
          <w:numId w:val="2"/>
        </w:numPr>
        <w:ind w:left="792" w:hanging="432"/>
        <w:jc w:val="both"/>
        <w:rPr/>
      </w:pPr>
      <w:r>
        <w:rPr>
          <w:rFonts w:cs="Calibri" w:ascii="Carlito" w:hAnsi="Carlito" w:cstheme="minorHAnsi"/>
          <w:color w:val="000000" w:themeColor="text1"/>
          <w:sz w:val="24"/>
          <w14:textFill>
            <w14:solidFill>
              <w14:schemeClr w14:val="tx1"/>
            </w14:solidFill>
          </w14:textFill>
        </w:rPr>
        <w:t xml:space="preserve">O licitante organizado em cooperativa deverá declarar, ainda, em campo próprio do sistema eletrônico, que cumpre os requisitos estabelecidos no </w:t>
      </w:r>
      <w:r>
        <w:fldChar w:fldCharType="begin"/>
      </w:r>
      <w:r>
        <w:rPr>
          <w:rStyle w:val="LinkdaInternet"/>
          <w:sz w:val="24"/>
          <w:rFonts w:cs="Calibri" w:ascii="Carlito" w:hAnsi="Carlito"/>
        </w:rPr>
        <w:instrText> HYPERLINK "http://www.planalto.gov.br/ccivil_03/_ato2019-2022/2021/lei/L14133.htm" \l "art16"</w:instrText>
      </w:r>
      <w:r>
        <w:rPr>
          <w:rStyle w:val="LinkdaInternet"/>
          <w:sz w:val="24"/>
          <w:rFonts w:cs="Calibri" w:ascii="Carlito" w:hAnsi="Carlito"/>
        </w:rPr>
        <w:fldChar w:fldCharType="separate"/>
      </w:r>
      <w:r>
        <w:rPr>
          <w:rStyle w:val="LinkdaInternet"/>
          <w:rFonts w:cs="Calibri" w:ascii="Carlito" w:hAnsi="Carlito" w:cstheme="minorHAnsi"/>
          <w:sz w:val="24"/>
        </w:rPr>
        <w:t>artigo 16 da Lei nº 14.133, de 2021.</w:t>
      </w:r>
      <w:r>
        <w:rPr>
          <w:rStyle w:val="LinkdaInternet"/>
          <w:sz w:val="24"/>
          <w:rFonts w:cs="Calibri" w:ascii="Carlito" w:hAnsi="Carlito"/>
        </w:rPr>
        <w:fldChar w:fldCharType="end"/>
      </w:r>
    </w:p>
    <w:p>
      <w:pPr>
        <w:pStyle w:val="Ttulo1"/>
        <w:numPr>
          <w:ilvl w:val="1"/>
          <w:numId w:val="2"/>
        </w:numPr>
        <w:ind w:left="792" w:hanging="432"/>
        <w:jc w:val="both"/>
        <w:rPr/>
      </w:pPr>
      <w:r>
        <w:rPr>
          <w:rFonts w:cs="Calibri" w:ascii="Carlito" w:hAnsi="Carlito" w:cstheme="minorHAnsi"/>
          <w:color w:val="000000" w:themeColor="text1"/>
          <w:sz w:val="24"/>
          <w14:textFill>
            <w14:solidFill>
              <w14:schemeClr w14:val="tx1"/>
            </w14:solidFill>
          </w14:textFill>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LinkdaInternet"/>
          <w:sz w:val="24"/>
          <w:rFonts w:cs="Calibri" w:ascii="Carlito" w:hAnsi="Carlito"/>
        </w:rPr>
        <w:instrText> HYPERLINK "https://www.planalto.gov.br/ccivil_03/leis/lcp/lcp123.htm" \l "art3"</w:instrText>
      </w:r>
      <w:r>
        <w:rPr>
          <w:rStyle w:val="LinkdaInternet"/>
          <w:sz w:val="24"/>
          <w:rFonts w:cs="Calibri" w:ascii="Carlito" w:hAnsi="Carlito"/>
        </w:rPr>
        <w:fldChar w:fldCharType="separate"/>
      </w:r>
      <w:r>
        <w:rPr>
          <w:rStyle w:val="LinkdaInternet"/>
          <w:rFonts w:cs="Calibri" w:ascii="Carlito" w:hAnsi="Carlito" w:cstheme="minorHAnsi"/>
          <w:sz w:val="24"/>
        </w:rPr>
        <w:t>artigo 3° da Lei Complementar nº 123, de 2006</w:t>
      </w:r>
      <w:r>
        <w:rPr>
          <w:rStyle w:val="LinkdaInternet"/>
          <w:sz w:val="24"/>
          <w:rFonts w:cs="Calibri" w:ascii="Carlito" w:hAnsi="Carlito"/>
        </w:rPr>
        <w:fldChar w:fldCharType="end"/>
      </w:r>
      <w:r>
        <w:rPr>
          <w:rFonts w:cs="Calibri" w:ascii="Carlito" w:hAnsi="Carlito" w:cstheme="minorHAnsi"/>
          <w:color w:val="000000" w:themeColor="text1"/>
          <w:sz w:val="24"/>
          <w14:textFill>
            <w14:solidFill>
              <w14:schemeClr w14:val="tx1"/>
            </w14:solidFill>
          </w14:textFill>
        </w:rPr>
        <w:t xml:space="preserve">, estando apto a usufruir do tratamento favorecido estabelecido em seus arts. 42 a 49, observado o disposto nos </w:t>
      </w:r>
      <w:r>
        <w:fldChar w:fldCharType="begin"/>
      </w:r>
      <w:r>
        <w:rPr>
          <w:rStyle w:val="LinkdaInternet"/>
          <w:sz w:val="24"/>
          <w:rFonts w:cs="Calibri" w:ascii="Carlito" w:hAnsi="Carlito"/>
        </w:rPr>
        <w:instrText> HYPERLINK "http://www.planalto.gov.br/ccivil_03/_ato2019-2022/2021/lei/L14133.htm" \l "art4§1"</w:instrText>
      </w:r>
      <w:r>
        <w:rPr>
          <w:rStyle w:val="LinkdaInternet"/>
          <w:sz w:val="24"/>
          <w:rFonts w:cs="Calibri" w:ascii="Carlito" w:hAnsi="Carlito"/>
        </w:rPr>
        <w:fldChar w:fldCharType="separate"/>
      </w:r>
      <w:r>
        <w:rPr>
          <w:rStyle w:val="LinkdaInternet"/>
          <w:rFonts w:cs="Calibri" w:ascii="Carlito" w:hAnsi="Carlito" w:cstheme="minorHAnsi"/>
          <w:sz w:val="24"/>
        </w:rPr>
        <w:t>§§ 1º ao 3º do art. 4º, da Lei n.º 14.133, de 2021.</w:t>
      </w:r>
      <w:r>
        <w:rPr>
          <w:rStyle w:val="LinkdaInternet"/>
          <w:sz w:val="24"/>
          <w:rFonts w:cs="Calibri" w:ascii="Carlito" w:hAnsi="Carlito"/>
        </w:rPr>
        <w:fldChar w:fldCharType="end"/>
      </w:r>
    </w:p>
    <w:p>
      <w:pPr>
        <w:pStyle w:val="Ttulo1"/>
        <w:numPr>
          <w:ilvl w:val="1"/>
          <w:numId w:val="2"/>
        </w:numPr>
        <w:ind w:left="792" w:hanging="432"/>
        <w:jc w:val="both"/>
        <w:rPr>
          <w:rFonts w:ascii="Carlito" w:hAnsi="Carlito"/>
        </w:rPr>
      </w:pPr>
      <w:r>
        <w:rPr>
          <w:rFonts w:cs="Calibri" w:ascii="Carlito" w:hAnsi="Carlito" w:cstheme="minorHAnsi"/>
          <w:iCs/>
          <w:color w:val="auto"/>
          <w:sz w:val="24"/>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Ttulo1"/>
        <w:numPr>
          <w:ilvl w:val="2"/>
          <w:numId w:val="2"/>
        </w:numPr>
        <w:ind w:left="1224" w:hanging="504"/>
        <w:jc w:val="both"/>
        <w:rPr>
          <w:rFonts w:ascii="Carlito" w:hAnsi="Carlito"/>
        </w:rPr>
      </w:pPr>
      <w:r>
        <w:rPr>
          <w:rFonts w:cs="Calibri" w:ascii="Carlito" w:hAnsi="Carlito" w:cstheme="minorHAnsi"/>
          <w:iCs/>
          <w:color w:val="auto"/>
          <w:sz w:val="24"/>
        </w:rPr>
        <w:t>Feita essa opção os lances serão enviados automaticamente pelo sistema, respeitados os limites cadastrados pelo fornecedor e o intervalo mínimo entre lances previsto neste aviso.</w:t>
      </w:r>
    </w:p>
    <w:p>
      <w:pPr>
        <w:pStyle w:val="Ttulo1"/>
        <w:numPr>
          <w:ilvl w:val="3"/>
          <w:numId w:val="2"/>
        </w:numPr>
        <w:ind w:left="1728" w:hanging="648"/>
        <w:jc w:val="both"/>
        <w:rPr>
          <w:rFonts w:ascii="Carlito" w:hAnsi="Carlito"/>
        </w:rPr>
      </w:pPr>
      <w:r>
        <w:rPr>
          <w:rFonts w:cs="Calibri" w:ascii="Carlito" w:hAnsi="Carlito" w:cstheme="minorHAnsi"/>
          <w:iCs/>
          <w:color w:val="auto"/>
          <w:sz w:val="24"/>
        </w:rPr>
        <w:t>Sem prejuízo do disposto acima, os lances poderão ser enviados manualmente, na forma da seção respectiva deste Aviso de Contratação Direta;</w:t>
      </w:r>
    </w:p>
    <w:p>
      <w:pPr>
        <w:pStyle w:val="Ttulo1"/>
        <w:numPr>
          <w:ilvl w:val="2"/>
          <w:numId w:val="2"/>
        </w:numPr>
        <w:ind w:left="1224" w:hanging="504"/>
        <w:jc w:val="both"/>
        <w:rPr>
          <w:rFonts w:ascii="Carlito" w:hAnsi="Carlito"/>
        </w:rPr>
      </w:pPr>
      <w:r>
        <w:rPr>
          <w:rFonts w:cs="Calibri" w:ascii="Carlito" w:hAnsi="Carlito" w:cstheme="minorHAnsi"/>
          <w:iCs/>
          <w:color w:val="auto"/>
          <w:sz w:val="24"/>
        </w:rPr>
        <w:t>O valor final mínimo poderá ser alterado pelo fornecedor durante a fase de disputa, desde que não assuma valor superior a lance já registrado por ele no sistema.</w:t>
      </w:r>
    </w:p>
    <w:p>
      <w:pPr>
        <w:pStyle w:val="Ttulo1"/>
        <w:numPr>
          <w:ilvl w:val="2"/>
          <w:numId w:val="2"/>
        </w:numPr>
        <w:ind w:left="1224" w:hanging="504"/>
        <w:jc w:val="both"/>
        <w:rPr>
          <w:rFonts w:ascii="Carlito" w:hAnsi="Carlito"/>
        </w:rPr>
      </w:pPr>
      <w:r>
        <w:rPr>
          <w:rFonts w:cs="Calibri" w:ascii="Carlito" w:hAnsi="Carlito" w:cstheme="minorHAnsi"/>
          <w:iCs/>
          <w:color w:val="auto"/>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Ttulo1"/>
        <w:numPr>
          <w:ilvl w:val="0"/>
          <w:numId w:val="2"/>
        </w:numPr>
        <w:rPr>
          <w:rFonts w:ascii="Carlito" w:hAnsi="Carlito"/>
        </w:rPr>
      </w:pPr>
      <w:r>
        <w:rPr>
          <w:rFonts w:cs="Calibri" w:ascii="Carlito" w:hAnsi="Carlito" w:cstheme="minorHAnsi"/>
          <w:b/>
          <w:bCs/>
          <w:color w:val="auto"/>
          <w:sz w:val="24"/>
          <w:szCs w:val="24"/>
        </w:rPr>
        <w:t>FASE DE LANCES</w:t>
      </w:r>
      <w:bookmarkEnd w:id="4"/>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 xml:space="preserve">A partir das 8:00h da data estabelecida neste Aviso de Contratação Direta, a sessão pública será automaticamente aberta pelo sistema para o envio de lances públicos e sucessivos, </w:t>
      </w:r>
      <w:r>
        <w:rPr>
          <w:rFonts w:cs="Calibri" w:ascii="Carlito" w:hAnsi="Carlito" w:cstheme="minorHAnsi"/>
          <w:bCs/>
          <w:sz w:val="24"/>
          <w:lang w:eastAsia="en-US"/>
        </w:rPr>
        <w:t>exclusivamente por meio do sistema eletrônico</w:t>
      </w:r>
      <w:r>
        <w:rPr>
          <w:rFonts w:cs="Calibri" w:ascii="Carlito" w:hAnsi="Carlito" w:cstheme="minorHAnsi"/>
          <w:sz w:val="24"/>
          <w:lang w:eastAsia="en-US"/>
        </w:rPr>
        <w:t xml:space="preserve">, </w:t>
      </w:r>
      <w:r>
        <w:rPr>
          <w:rFonts w:cs="Calibri" w:ascii="Carlito" w:hAnsi="Carlito" w:cstheme="minorHAnsi"/>
          <w:color w:val="000000" w:themeColor="text1"/>
          <w:sz w:val="24"/>
          <w:lang w:eastAsia="en-US"/>
          <w14:textFill>
            <w14:solidFill>
              <w14:schemeClr w14:val="tx1"/>
            </w14:solidFill>
          </w14:textFill>
        </w:rPr>
        <w:t>sendo encerrado no horário de finalização de lances também já previsto neste aviso.</w:t>
      </w:r>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color w:val="000000" w:themeColor="text1"/>
          <w:sz w:val="24"/>
          <w14:textFill>
            <w14:solidFill>
              <w14:schemeClr w14:val="tx1"/>
            </w14:solidFill>
          </w14:textFill>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i/>
          <w:iCs/>
          <w:color w:val="000000" w:themeColor="text1"/>
          <w:sz w:val="24"/>
          <w14:textFill>
            <w14:solidFill>
              <w14:schemeClr w14:val="tx1"/>
            </w14:solidFill>
          </w14:textFill>
        </w:rPr>
        <w:t xml:space="preserve">O lance deverá ser ofertado pelo </w:t>
      </w:r>
      <w:r>
        <w:rPr>
          <w:rFonts w:cs="Calibri" w:ascii="Carlito" w:hAnsi="Carlito" w:cstheme="minorHAnsi"/>
          <w:b/>
          <w:bCs/>
          <w:i/>
          <w:iCs/>
          <w:color w:val="000000" w:themeColor="text1"/>
          <w:sz w:val="24"/>
          <w14:textFill>
            <w14:solidFill>
              <w14:schemeClr w14:val="tx1"/>
            </w14:solidFill>
          </w14:textFill>
        </w:rPr>
        <w:t xml:space="preserve">valor unitário </w:t>
      </w:r>
      <w:r>
        <w:rPr>
          <w:rFonts w:cs="Calibri" w:ascii="Carlito" w:hAnsi="Carlito" w:cstheme="minorHAnsi"/>
          <w:b/>
          <w:bCs/>
          <w:i/>
          <w:iCs/>
          <w:color w:val="000000" w:themeColor="text1"/>
          <w:sz w:val="24"/>
          <w:lang w:val="pt-PT"/>
          <w14:textFill>
            <w14:solidFill>
              <w14:schemeClr w14:val="tx1"/>
            </w14:solidFill>
          </w14:textFill>
        </w:rPr>
        <w:t xml:space="preserve">do </w:t>
      </w:r>
      <w:r>
        <w:rPr>
          <w:rFonts w:cs="Calibri" w:ascii="Carlito" w:hAnsi="Carlito" w:cstheme="minorHAnsi"/>
          <w:b/>
          <w:bCs/>
          <w:i/>
          <w:iCs/>
          <w:color w:val="000000" w:themeColor="text1"/>
          <w:sz w:val="24"/>
          <w14:textFill>
            <w14:solidFill>
              <w14:schemeClr w14:val="tx1"/>
            </w14:solidFill>
          </w14:textFill>
        </w:rPr>
        <w:t>item</w:t>
      </w:r>
      <w:r>
        <w:rPr>
          <w:rFonts w:cs="Calibri" w:ascii="Carlito" w:hAnsi="Carlito" w:cstheme="minorHAnsi"/>
          <w:i/>
          <w:iCs/>
          <w:color w:val="000000" w:themeColor="text1"/>
          <w:sz w:val="24"/>
          <w14:textFill>
            <w14:solidFill>
              <w14:schemeClr w14:val="tx1"/>
            </w14:solidFill>
          </w14:textFill>
        </w:rPr>
        <w:t>.</w:t>
      </w:r>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O fornecedor somente poderá oferecer valor inferior ou maior percentual de desconto em relação ao último lance por ele ofertado e registrado pelo sistema.</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b/>
          <w:bCs/>
          <w:color w:val="000000" w:themeColor="text1"/>
          <w:sz w:val="24"/>
          <w14:textFill>
            <w14:solidFill>
              <w14:schemeClr w14:val="tx1"/>
            </w14:solidFill>
          </w14:textFill>
        </w:rPr>
        <w:t>O intervalo mínimo de diferença de valores ou percentuais entre os lances, que incidirá tanto em relação aos lances intermediários quanto em relação ao que cobrir a melhor oferta é de</w:t>
      </w:r>
      <w:r>
        <w:rPr>
          <w:rFonts w:cs="Calibri" w:ascii="Carlito" w:hAnsi="Carlito" w:cstheme="minorHAnsi"/>
          <w:b/>
          <w:bCs/>
          <w:i w:val="false"/>
          <w:iCs w:val="false"/>
          <w:color w:val="000000" w:themeColor="text1"/>
          <w:sz w:val="24"/>
          <w14:textFill>
            <w14:solidFill>
              <w14:schemeClr w14:val="tx1"/>
            </w14:solidFill>
          </w14:textFill>
        </w:rPr>
        <w:t xml:space="preserve"> R$ 2 (dois) reais.</w:t>
      </w:r>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Havendo lances iguais ao menor já ofertado, prevalecerá aquele que for recebido e registrado primeiro no sistema.</w:t>
      </w:r>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Caso o fornecedor não apresente lances, concorrerá com o valor de sua proposta.</w:t>
      </w:r>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Durante o procedimento, os fornecedores serão informados, em tempo real, do valor do menor lance registrado, vedada a identificação do fornecedor.</w:t>
      </w:r>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Imediatamente após o término do prazo estabelecido para a fase de lances, haverá o seu encerramento, com o ordenamento e divulgação dos lances, pelo sistema, em ordem crescente de classificação.</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O encerramento da fase de lances ocorrerá de forma automática pontualmente no horário indicado, sem qualquer possibilidade de prorrogação e não havendo tempo aleatório ou mecanismo similar.</w:t>
      </w:r>
    </w:p>
    <w:p>
      <w:pPr>
        <w:pStyle w:val="Ttulo1"/>
        <w:numPr>
          <w:ilvl w:val="0"/>
          <w:numId w:val="2"/>
        </w:numPr>
        <w:rPr>
          <w:rFonts w:ascii="Carlito" w:hAnsi="Carlito"/>
        </w:rPr>
      </w:pPr>
      <w:bookmarkStart w:id="5" w:name="_Toc104906822"/>
      <w:r>
        <w:rPr>
          <w:rFonts w:cs="Calibri" w:ascii="Carlito" w:hAnsi="Carlito" w:cstheme="minorHAnsi"/>
          <w:b/>
          <w:bCs/>
          <w:color w:val="auto"/>
          <w:sz w:val="24"/>
          <w:szCs w:val="24"/>
        </w:rPr>
        <w:t>JULGAMENTO DAS PROPOSTAS DE PREÇO</w:t>
      </w:r>
      <w:bookmarkEnd w:id="5"/>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sz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sz w:val="24"/>
        </w:rPr>
        <w:t>No caso de o preço da proposta vencedora estar acima do estimado pela Administração, poderá haver a negociação de condições mais vantajosas.</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color w:val="000000"/>
          <w:sz w:val="24"/>
        </w:rPr>
        <w:t>Neste caso, será encaminhada contraproposta ao fornecedor que tenha apresentado o melhor preço, para que seja obtida melhor proposta com preço compatível ao estimado pela Administração.</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sz w:val="24"/>
        </w:rPr>
        <w:t>Em qualquer caso, concluída a negociação, o resultado será registrado na ata do procedimento da dispensa eletrônica.</w:t>
      </w:r>
    </w:p>
    <w:p>
      <w:pPr>
        <w:pStyle w:val="ListParagraph"/>
        <w:numPr>
          <w:ilvl w:val="1"/>
          <w:numId w:val="2"/>
        </w:numPr>
        <w:spacing w:lineRule="auto" w:line="276" w:before="120" w:after="120"/>
        <w:contextualSpacing/>
        <w:jc w:val="both"/>
        <w:rPr/>
      </w:pPr>
      <w:r>
        <w:rPr>
          <w:rFonts w:cs="Calibri" w:ascii="Carlito" w:hAnsi="Carlito" w:cstheme="minorHAnsi"/>
          <w:color w:val="000000" w:themeColor="text1"/>
          <w:sz w:val="24"/>
          <w:u w:val="none"/>
          <w:lang w:val="pt-PT"/>
          <w14:textFill>
            <w14:solidFill>
              <w14:schemeClr w14:val="tx1"/>
            </w14:solidFill>
          </w14:textFill>
        </w:rPr>
        <w:t xml:space="preserve">Constatada a compatibilidade entre o valor da proposta e o estipulado para a contratação, será solicitada ao fornecedor a adequação da proposta ao valor negociado, acompanhada de documentos ccomplementares, se necessários. Caso o fornecedor tenha dificuldade para realizar o upload da proposta no sistema, poderá, excepcionalmente encaminhá-la para: </w:t>
      </w:r>
      <w:hyperlink r:id="rId10">
        <w:r>
          <w:rPr>
            <w:rStyle w:val="LinkdaInternet"/>
            <w:rFonts w:cs="Calibri" w:ascii="Carlito" w:hAnsi="Carlito" w:cstheme="minorHAnsi"/>
            <w:color w:val="000000" w:themeColor="text1"/>
            <w:sz w:val="24"/>
            <w:u w:val="none"/>
            <w:lang w:val="pt-PT"/>
            <w14:textFill>
              <w14:solidFill>
                <w14:schemeClr w14:val="tx1"/>
              </w14:solidFill>
            </w14:textFill>
          </w:rPr>
          <w:t>thamiris@marinha.mil.br</w:t>
        </w:r>
      </w:hyperlink>
      <w:r>
        <w:rPr>
          <w:rFonts w:cs="Calibri" w:ascii="Carlito" w:hAnsi="Carlito" w:cstheme="minorHAnsi"/>
          <w:color w:val="000000" w:themeColor="text1"/>
          <w:sz w:val="24"/>
          <w:u w:val="none"/>
          <w:lang w:val="pt-PT"/>
          <w14:textFill>
            <w14:solidFill>
              <w14:schemeClr w14:val="tx1"/>
            </w14:solidFill>
          </w14:textFill>
        </w:rPr>
        <w:t xml:space="preserve"> ou </w:t>
      </w:r>
      <w:hyperlink r:id="rId11">
        <w:r>
          <w:rPr>
            <w:rStyle w:val="LinkdaInternet"/>
            <w:rFonts w:cs="Calibri" w:ascii="Carlito" w:hAnsi="Carlito" w:cstheme="minorHAnsi"/>
            <w:color w:val="000000" w:themeColor="text1"/>
            <w:sz w:val="24"/>
            <w:u w:val="none"/>
            <w:lang w:val="pt-PT"/>
            <w14:textFill>
              <w14:solidFill>
                <w14:schemeClr w14:val="tx1"/>
              </w14:solidFill>
            </w14:textFill>
          </w:rPr>
          <w:t>bruna.fortunato@marinha.mil.br</w:t>
        </w:r>
      </w:hyperlink>
    </w:p>
    <w:p>
      <w:pPr>
        <w:pStyle w:val="Normal"/>
        <w:numPr>
          <w:ilvl w:val="1"/>
          <w:numId w:val="2"/>
        </w:numPr>
        <w:spacing w:lineRule="auto" w:line="276" w:before="120" w:after="120"/>
        <w:jc w:val="both"/>
        <w:rPr>
          <w:rFonts w:ascii="Carlito" w:hAnsi="Carlito"/>
        </w:rPr>
      </w:pPr>
      <w:r>
        <w:rPr>
          <w:rFonts w:cs="Calibri" w:ascii="Carlito" w:hAnsi="Carlito" w:cstheme="minorHAnsi"/>
          <w:color w:val="000000" w:themeColor="text1"/>
          <w:sz w:val="24"/>
          <w:u w:val="single"/>
          <w14:textFill>
            <w14:solidFill>
              <w14:schemeClr w14:val="tx1"/>
            </w14:solidFill>
          </w14:textFill>
        </w:rPr>
        <w:t xml:space="preserve">O prazo de validade </w:t>
      </w:r>
      <w:r>
        <w:rPr>
          <w:rFonts w:cs="Calibri" w:ascii="Carlito" w:hAnsi="Carlito" w:cstheme="minorHAnsi"/>
          <w:sz w:val="24"/>
          <w:u w:val="single"/>
        </w:rPr>
        <w:t>da</w:t>
      </w:r>
      <w:r>
        <w:rPr>
          <w:rFonts w:cs="Calibri" w:ascii="Carlito" w:hAnsi="Carlito" w:cstheme="minorHAnsi"/>
          <w:color w:val="000000" w:themeColor="text1"/>
          <w:sz w:val="24"/>
          <w:u w:val="single"/>
          <w14:textFill>
            <w14:solidFill>
              <w14:schemeClr w14:val="tx1"/>
            </w14:solidFill>
          </w14:textFill>
        </w:rPr>
        <w:t xml:space="preserve"> proposta não será inferior a 60 (sessenta) dias, a contar da data de sua apresentação.</w:t>
      </w:r>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 xml:space="preserve">Será desclassificada a proposta vencedora que: </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color w:val="000000"/>
          <w:sz w:val="24"/>
        </w:rPr>
        <w:t>contiver vícios insanáveis</w:t>
      </w:r>
      <w:r>
        <w:rPr>
          <w:rFonts w:cs="Calibri" w:ascii="Carlito" w:hAnsi="Carlito" w:cstheme="minorHAnsi"/>
          <w:iCs/>
          <w:color w:val="000000" w:themeColor="text1"/>
          <w:sz w:val="24"/>
          <w14:textFill>
            <w14:solidFill>
              <w14:schemeClr w14:val="tx1"/>
            </w14:solidFill>
          </w14:textFill>
        </w:rPr>
        <w:t>;</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color w:val="000000"/>
          <w:sz w:val="24"/>
        </w:rPr>
        <w:t>não obedecer às especificações técnicas pormenorizadas neste aviso ou em seus anexos</w:t>
      </w:r>
      <w:r>
        <w:rPr>
          <w:rFonts w:cs="Calibri" w:ascii="Carlito" w:hAnsi="Carlito" w:cstheme="minorHAnsi"/>
          <w:iCs/>
          <w:color w:val="000000" w:themeColor="text1"/>
          <w:sz w:val="24"/>
          <w14:textFill>
            <w14:solidFill>
              <w14:schemeClr w14:val="tx1"/>
            </w14:solidFill>
          </w14:textFill>
        </w:rPr>
        <w:t>;</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color w:val="000000"/>
          <w:sz w:val="24"/>
        </w:rPr>
        <w:t>apresentar preços inexequíveis ou permanecerem acima do preço máximo definido para a contratação;</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color w:val="000000"/>
          <w:sz w:val="24"/>
        </w:rPr>
        <w:t>não tiverem sua exequibilidade demonstrada, quando exigido pela Administração</w:t>
      </w:r>
      <w:r>
        <w:rPr>
          <w:rFonts w:cs="Calibri" w:ascii="Carlito" w:hAnsi="Carlito" w:cstheme="minorHAnsi"/>
          <w:iCs/>
          <w:color w:val="000000" w:themeColor="text1"/>
          <w:sz w:val="24"/>
          <w14:textFill>
            <w14:solidFill>
              <w14:schemeClr w14:val="tx1"/>
            </w14:solidFill>
          </w14:textFill>
        </w:rPr>
        <w:t>;</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color w:val="000000"/>
          <w:sz w:val="24"/>
        </w:rPr>
        <w:t>apresentar desconformidade com quaisquer outras exigências deste aviso ou seus anexos, desde que insanável.</w:t>
      </w:r>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Quando</w:t>
      </w:r>
      <w:r>
        <w:rPr>
          <w:rFonts w:cs="Calibri" w:ascii="Carlito" w:hAnsi="Carlito" w:cstheme="minorHAnsi"/>
          <w:sz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2"/>
        </w:numPr>
        <w:spacing w:lineRule="auto" w:line="276" w:before="120" w:after="120"/>
        <w:ind w:left="792" w:right="-15" w:hanging="432"/>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 xml:space="preserve">Se houver indícios de inexequibilidade da proposta de preço, ou em caso da necessidade de esclarecimentos </w:t>
      </w:r>
      <w:r>
        <w:rPr>
          <w:rFonts w:cs="Calibri" w:ascii="Carlito" w:hAnsi="Carlito" w:cstheme="minorHAnsi"/>
          <w:sz w:val="24"/>
        </w:rPr>
        <w:t>complementares</w:t>
      </w:r>
      <w:r>
        <w:rPr>
          <w:rFonts w:cs="Calibri" w:ascii="Carlito" w:hAnsi="Carlito" w:cstheme="minorHAnsi"/>
          <w:color w:val="000000" w:themeColor="text1"/>
          <w:sz w:val="24"/>
          <w:lang w:eastAsia="en-US"/>
          <w14:textFill>
            <w14:solidFill>
              <w14:schemeClr w14:val="tx1"/>
            </w14:solidFill>
          </w14:textFill>
        </w:rPr>
        <w:t xml:space="preserve">, poderão ser efetuadas diligências, para que a empresa comprove a exequibilidade da proposta.  </w:t>
      </w:r>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 xml:space="preserve">Erros no preenchimento da planilha não constituem motivo para a desclassificação da proposta. A planilha </w:t>
      </w:r>
      <w:r>
        <w:rPr>
          <w:rFonts w:cs="Calibri" w:ascii="Carlito" w:hAnsi="Carlito" w:cstheme="minorHAnsi"/>
          <w:sz w:val="24"/>
        </w:rPr>
        <w:t>poderá́</w:t>
      </w:r>
      <w:r>
        <w:rPr>
          <w:rFonts w:cs="Calibri" w:ascii="Carlito" w:hAnsi="Carlito" w:cstheme="minorHAnsi"/>
          <w:color w:val="000000" w:themeColor="text1"/>
          <w:sz w:val="24"/>
          <w:lang w:eastAsia="en-US"/>
          <w14:textFill>
            <w14:solidFill>
              <w14:schemeClr w14:val="tx1"/>
            </w14:solidFill>
          </w14:textFill>
        </w:rPr>
        <w:t xml:space="preserve"> ser ajustada pelo fornecedor, no prazo indicado pelo sistema, desde que não haja majoração do preço.</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O ajuste de que trata este dispositivo se limita a sanar erros ou falhas que não alterem a substância das propostas;</w:t>
      </w:r>
    </w:p>
    <w:p>
      <w:pPr>
        <w:pStyle w:val="ListParagraph"/>
        <w:numPr>
          <w:ilvl w:val="2"/>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Considera-se erro no preenchimento da planilha passível de correção a indicação de recolhimento de impostos e contribuições na forma do Simples Nacional, quando não cabível esse regime.</w:t>
      </w:r>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Para fins de análise da proposta quanto ao cumprimento das especificações do objeto, poderá ser colhida a manifestação escrita do setor requisitante do serviço ou da área especializada no objeto.</w:t>
      </w:r>
    </w:p>
    <w:p>
      <w:pPr>
        <w:pStyle w:val="ListParagraph"/>
        <w:widowControl/>
        <w:numPr>
          <w:ilvl w:val="1"/>
          <w:numId w:val="2"/>
        </w:numPr>
        <w:bidi w:val="0"/>
        <w:spacing w:lineRule="auto" w:line="276" w:before="120" w:after="120"/>
        <w:ind w:left="624" w:right="0" w:hanging="283"/>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Se a proposta ou lance vencedor for desclassificado, será examinada a proposta ou lance subsequente, e, assim sucessivamente, na ordem de classificação.</w:t>
      </w:r>
    </w:p>
    <w:p>
      <w:pPr>
        <w:pStyle w:val="ListParagraph"/>
        <w:numPr>
          <w:ilvl w:val="1"/>
          <w:numId w:val="2"/>
        </w:numPr>
        <w:spacing w:lineRule="auto" w:line="276" w:before="120" w:after="12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Havendo necessidade, a sessão será suspensa, informando-se no “chat” a nova data e horário para a sua continuidade.</w:t>
      </w:r>
    </w:p>
    <w:p>
      <w:pPr>
        <w:pStyle w:val="ListParagraph"/>
        <w:widowControl/>
        <w:numPr>
          <w:ilvl w:val="1"/>
          <w:numId w:val="2"/>
        </w:numPr>
        <w:bidi w:val="0"/>
        <w:spacing w:lineRule="auto" w:line="276" w:before="120" w:after="120"/>
        <w:ind w:left="340" w:right="0" w:hanging="0"/>
        <w:contextualSpacing/>
        <w:jc w:val="both"/>
        <w:rPr>
          <w:rFonts w:ascii="Carlito" w:hAnsi="Carlito"/>
        </w:rPr>
      </w:pPr>
      <w:r>
        <w:rPr>
          <w:rFonts w:cs="Calibri" w:ascii="Carlito" w:hAnsi="Carlito" w:cstheme="minorHAnsi"/>
          <w:color w:val="000000" w:themeColor="text1"/>
          <w:sz w:val="24"/>
          <w:lang w:eastAsia="en-US"/>
          <w14:textFill>
            <w14:solidFill>
              <w14:schemeClr w14:val="tx1"/>
            </w14:solidFill>
          </w14:textFill>
        </w:rPr>
        <w:t>Encerrada a análise quanto à aceitação da proposta, se iniciará a fase de habilitação, observado o disposto neste Aviso de Contratação Direta.</w:t>
      </w:r>
      <w:bookmarkStart w:id="6" w:name="_Toc104906823"/>
    </w:p>
    <w:p>
      <w:pPr>
        <w:pStyle w:val="ListParagraph"/>
        <w:widowControl/>
        <w:numPr>
          <w:ilvl w:val="0"/>
          <w:numId w:val="0"/>
        </w:numPr>
        <w:bidi w:val="0"/>
        <w:spacing w:lineRule="auto" w:line="276" w:before="120" w:after="120"/>
        <w:ind w:left="340" w:right="0" w:hanging="0"/>
        <w:contextualSpacing/>
        <w:jc w:val="both"/>
        <w:rPr>
          <w:rFonts w:ascii="Carlito" w:hAnsi="Carlito" w:cs="Calibri" w:cstheme="minorHAnsi"/>
          <w:b/>
          <w:b/>
          <w:sz w:val="24"/>
          <w:lang w:eastAsia="ar-SA"/>
        </w:rPr>
      </w:pPr>
      <w:r>
        <w:rPr>
          <w:rFonts w:cs="Calibri" w:cstheme="minorHAnsi" w:ascii="Carlito" w:hAnsi="Carlito"/>
          <w:b/>
          <w:sz w:val="24"/>
          <w:lang w:eastAsia="ar-SA"/>
        </w:rPr>
      </w:r>
    </w:p>
    <w:p>
      <w:pPr>
        <w:pStyle w:val="ListParagraph"/>
        <w:widowControl/>
        <w:numPr>
          <w:ilvl w:val="0"/>
          <w:numId w:val="2"/>
        </w:numPr>
        <w:bidi w:val="0"/>
        <w:spacing w:lineRule="auto" w:line="276" w:before="120" w:after="120"/>
        <w:ind w:left="-80" w:right="0" w:hanging="0"/>
        <w:contextualSpacing/>
        <w:jc w:val="both"/>
        <w:rPr>
          <w:rFonts w:ascii="Carlito" w:hAnsi="Carlito"/>
        </w:rPr>
      </w:pPr>
      <w:r>
        <w:rPr>
          <w:rFonts w:cs="Calibri" w:ascii="Carlito" w:hAnsi="Carlito" w:cstheme="minorHAnsi"/>
          <w:b/>
          <w:bCs/>
          <w:color w:val="auto"/>
          <w:sz w:val="24"/>
          <w:szCs w:val="24"/>
        </w:rPr>
        <w:t>HABILITAÇÃO</w:t>
      </w:r>
      <w:bookmarkStart w:id="7" w:name="_Toc104906824"/>
      <w:bookmarkEnd w:id="6"/>
      <w:bookmarkEnd w:id="7"/>
    </w:p>
    <w:p>
      <w:pPr>
        <w:pStyle w:val="ListParagraph"/>
        <w:widowControl/>
        <w:numPr>
          <w:ilvl w:val="1"/>
          <w:numId w:val="2"/>
        </w:numPr>
        <w:bidi w:val="0"/>
        <w:spacing w:lineRule="auto" w:line="276" w:before="120" w:after="120"/>
        <w:ind w:left="340" w:right="0" w:hanging="0"/>
        <w:contextualSpacing/>
        <w:jc w:val="both"/>
        <w:rPr>
          <w:rFonts w:ascii="Carlito" w:hAnsi="Carlito"/>
        </w:rPr>
      </w:pPr>
      <w:r>
        <w:rPr>
          <w:rFonts w:cs="Calibri" w:ascii="Carlito" w:hAnsi="Carlito" w:cstheme="minorHAnsi"/>
          <w:color w:val="auto"/>
          <w:sz w:val="24"/>
          <w:lang w:eastAsia="ar-SA"/>
        </w:rPr>
        <w:t xml:space="preserve">Os </w:t>
      </w:r>
      <w:r>
        <w:rPr>
          <w:rFonts w:cs="Calibri" w:ascii="Carlito" w:hAnsi="Carlito" w:cstheme="minorHAnsi"/>
          <w:color w:val="auto"/>
          <w:sz w:val="24"/>
        </w:rPr>
        <w:t>documentos</w:t>
      </w:r>
      <w:r>
        <w:rPr>
          <w:rFonts w:cs="Calibri" w:ascii="Carlito" w:hAnsi="Carlito" w:cstheme="minorHAnsi"/>
          <w:color w:val="auto"/>
          <w:sz w:val="24"/>
          <w:lang w:eastAsia="ar-SA"/>
        </w:rPr>
        <w:t xml:space="preserve"> a serem exigidos para fins de habilitação constam do </w:t>
      </w:r>
      <w:r>
        <w:rPr>
          <w:rFonts w:cs="Calibri" w:ascii="Carlito" w:hAnsi="Carlito" w:cstheme="minorHAnsi"/>
          <w:b/>
          <w:color w:val="auto"/>
          <w:sz w:val="24"/>
          <w:lang w:eastAsia="ar-SA"/>
        </w:rPr>
        <w:t xml:space="preserve">ANEXO I – DOCUMENTAÇÃO EXIGIDA PARA HABILITAÇÃO </w:t>
      </w:r>
      <w:r>
        <w:rPr>
          <w:rFonts w:cs="Calibri" w:ascii="Carlito" w:hAnsi="Carlito" w:cstheme="minorHAnsi"/>
          <w:color w:val="auto"/>
          <w:sz w:val="24"/>
          <w:lang w:eastAsia="ar-SA"/>
        </w:rPr>
        <w:t>deste aviso e serão solicitados do fornecedor mais bem classificado na fase de lances.</w:t>
      </w:r>
    </w:p>
    <w:p>
      <w:pPr>
        <w:pStyle w:val="ListParagraph"/>
        <w:widowControl/>
        <w:numPr>
          <w:ilvl w:val="1"/>
          <w:numId w:val="2"/>
        </w:numPr>
        <w:bidi w:val="0"/>
        <w:spacing w:lineRule="auto" w:line="276" w:before="120" w:after="120"/>
        <w:ind w:left="340" w:right="0" w:hanging="0"/>
        <w:contextualSpacing/>
        <w:jc w:val="both"/>
        <w:rPr>
          <w:rFonts w:ascii="Carlito" w:hAnsi="Carlito"/>
        </w:rPr>
      </w:pPr>
      <w:r>
        <w:rPr>
          <w:rFonts w:cs="Calibri" w:ascii="Carlito" w:hAnsi="Carlito" w:cstheme="minorHAnsi"/>
          <w:color w:val="auto"/>
          <w:sz w:val="24"/>
          <w:lang w:eastAsia="ar-SA"/>
        </w:rPr>
        <w:t xml:space="preserve">Como </w:t>
      </w:r>
      <w:r>
        <w:rPr>
          <w:rFonts w:cs="Calibri" w:ascii="Carlito" w:hAnsi="Carlito" w:cstheme="minorHAnsi"/>
          <w:color w:val="auto"/>
          <w:sz w:val="24"/>
        </w:rPr>
        <w:t>condição</w:t>
      </w:r>
      <w:r>
        <w:rPr>
          <w:rFonts w:cs="Calibri" w:ascii="Carlito" w:hAnsi="Carlito" w:cstheme="minorHAnsi"/>
          <w:color w:val="auto"/>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pPr>
        <w:pStyle w:val="ListParagraph"/>
        <w:spacing w:lineRule="auto" w:line="276" w:before="120" w:after="120"/>
        <w:ind w:left="1134" w:hanging="0"/>
        <w:contextualSpacing/>
        <w:jc w:val="both"/>
        <w:rPr/>
      </w:pPr>
      <w:r>
        <w:rPr>
          <w:rFonts w:cs="Calibri" w:ascii="Carlito" w:hAnsi="Carlito" w:cstheme="minorHAnsi"/>
          <w:sz w:val="24"/>
          <w:lang w:eastAsia="ar-SA"/>
        </w:rPr>
        <w:t xml:space="preserve">a) </w:t>
      </w:r>
      <w:hyperlink r:id="rId12">
        <w:r>
          <w:rPr>
            <w:rStyle w:val="LinkdaInternet"/>
            <w:rFonts w:cs="Calibri" w:ascii="Carlito" w:hAnsi="Carlito" w:cstheme="minorHAnsi"/>
            <w:sz w:val="24"/>
            <w:lang w:eastAsia="ar-SA"/>
          </w:rPr>
          <w:t>SICAF</w:t>
        </w:r>
      </w:hyperlink>
      <w:r>
        <w:rPr>
          <w:rFonts w:cs="Calibri" w:ascii="Carlito" w:hAnsi="Carlito" w:cstheme="minorHAnsi"/>
          <w:sz w:val="24"/>
          <w:lang w:eastAsia="ar-SA"/>
        </w:rPr>
        <w:t xml:space="preserve">;  </w:t>
      </w:r>
    </w:p>
    <w:p>
      <w:pPr>
        <w:pStyle w:val="ListParagraph"/>
        <w:spacing w:lineRule="auto" w:line="276" w:before="120" w:after="120"/>
        <w:ind w:left="1134" w:hanging="0"/>
        <w:contextualSpacing/>
        <w:jc w:val="both"/>
        <w:rPr>
          <w:rFonts w:ascii="Carlito" w:hAnsi="Carlito"/>
        </w:rPr>
      </w:pPr>
      <w:r>
        <w:rPr>
          <w:rFonts w:cs="Calibri" w:ascii="Carlito" w:hAnsi="Carlito" w:cstheme="minorHAnsi"/>
          <w:sz w:val="24"/>
          <w:lang w:eastAsia="ar-SA"/>
        </w:rPr>
        <w:t xml:space="preserve">b) Cadastro Nacional de Empresas Inidôneas e Suspensas - CEIS, mantido pela Controladoria-Geral da União </w:t>
      </w:r>
    </w:p>
    <w:p>
      <w:pPr>
        <w:pStyle w:val="ListParagraph"/>
        <w:spacing w:lineRule="auto" w:line="276" w:before="120" w:after="120"/>
        <w:ind w:left="1134" w:hanging="0"/>
        <w:contextualSpacing/>
        <w:jc w:val="both"/>
        <w:rPr/>
      </w:pPr>
      <w:r>
        <w:rPr>
          <w:rFonts w:cs="Calibri" w:ascii="Carlito" w:hAnsi="Carlito" w:cstheme="minorHAnsi"/>
          <w:sz w:val="24"/>
          <w:lang w:eastAsia="ar-SA"/>
        </w:rPr>
        <w:t>(</w:t>
      </w:r>
      <w:hyperlink r:id="rId13">
        <w:r>
          <w:rPr>
            <w:rStyle w:val="LinkdaInternet"/>
            <w:rFonts w:cs="Calibri" w:ascii="Carlito" w:hAnsi="Carlito" w:cstheme="minorHAnsi"/>
            <w:sz w:val="24"/>
          </w:rPr>
          <w:t>https://portaldatransparencia.gov.br/sancoes/consulta?cadastro=1%2C2</w:t>
        </w:r>
      </w:hyperlink>
      <w:r>
        <w:rPr>
          <w:rFonts w:cs="Calibri" w:ascii="Carlito" w:hAnsi="Carlito" w:cstheme="minorHAnsi"/>
          <w:sz w:val="24"/>
          <w:lang w:eastAsia="ar-SA"/>
        </w:rPr>
        <w:t>); e</w:t>
      </w:r>
    </w:p>
    <w:p>
      <w:pPr>
        <w:pStyle w:val="ListParagraph"/>
        <w:spacing w:lineRule="auto" w:line="276" w:before="120" w:after="120"/>
        <w:ind w:left="1134" w:hanging="0"/>
        <w:contextualSpacing/>
        <w:jc w:val="both"/>
        <w:rPr>
          <w:rFonts w:ascii="Carlito" w:hAnsi="Carlito"/>
        </w:rPr>
      </w:pPr>
      <w:r>
        <w:rPr>
          <w:rFonts w:cs="Calibri" w:ascii="Carlito" w:hAnsi="Carlito" w:cstheme="minorHAnsi"/>
          <w:sz w:val="24"/>
          <w:lang w:eastAsia="ar-SA"/>
        </w:rPr>
        <w:t xml:space="preserve">c) Cadastro Nacional de Empresas Punidas – CNEP, mantido pela Controladoria-Geral da União </w:t>
      </w:r>
    </w:p>
    <w:p>
      <w:pPr>
        <w:pStyle w:val="ListParagraph"/>
        <w:widowControl/>
        <w:numPr>
          <w:ilvl w:val="0"/>
          <w:numId w:val="0"/>
        </w:numPr>
        <w:bidi w:val="0"/>
        <w:spacing w:lineRule="auto" w:line="276" w:before="120" w:after="120"/>
        <w:ind w:left="340" w:right="0" w:hanging="0"/>
        <w:contextualSpacing/>
        <w:jc w:val="both"/>
        <w:rPr/>
      </w:pPr>
      <w:r>
        <w:rPr>
          <w:rFonts w:cs="Calibri" w:ascii="Carlito" w:hAnsi="Carlito" w:cstheme="minorHAnsi"/>
          <w:sz w:val="24"/>
          <w:lang w:eastAsia="ar-SA"/>
        </w:rPr>
        <w:t>(</w:t>
      </w:r>
      <w:hyperlink r:id="rId14">
        <w:r>
          <w:rPr>
            <w:rStyle w:val="LinkdaInternet"/>
            <w:rFonts w:cs="Calibri" w:ascii="Carlito" w:hAnsi="Carlito" w:cstheme="minorHAnsi"/>
            <w:sz w:val="24"/>
          </w:rPr>
          <w:t>https://portaldatransparencia.gov.br/sancoes/consulta?cadastro=1%2C2</w:t>
        </w:r>
      </w:hyperlink>
      <w:r>
        <w:rPr>
          <w:rFonts w:cs="Calibri" w:ascii="Carlito" w:hAnsi="Carlito" w:cstheme="minorHAnsi"/>
          <w:sz w:val="24"/>
          <w:lang w:eastAsia="ar-SA"/>
        </w:rPr>
        <w:t>)</w:t>
      </w:r>
      <w:r>
        <w:rPr>
          <w:rFonts w:cs="Calibri" w:ascii="Carlito" w:hAnsi="Carlito" w:cstheme="minorHAnsi"/>
          <w:sz w:val="24"/>
          <w:lang w:val="pt-PT" w:eastAsia="ar-SA"/>
        </w:rPr>
        <w:t>.</w:t>
      </w:r>
    </w:p>
    <w:p>
      <w:pPr>
        <w:pStyle w:val="ListParagraph"/>
        <w:widowControl/>
        <w:numPr>
          <w:ilvl w:val="2"/>
          <w:numId w:val="2"/>
        </w:numPr>
        <w:bidi w:val="0"/>
        <w:spacing w:lineRule="auto" w:line="276" w:before="120" w:after="120"/>
        <w:ind w:left="760" w:right="0" w:hanging="0"/>
        <w:contextualSpacing/>
        <w:jc w:val="both"/>
        <w:rPr/>
      </w:pPr>
      <w:r>
        <w:rPr>
          <w:rFonts w:cs="Calibri" w:ascii="Carlito" w:hAnsi="Carlito" w:cstheme="minorHAnsi"/>
          <w:color w:val="auto"/>
          <w:sz w:val="24"/>
        </w:rPr>
        <w:t xml:space="preserve">A consulta aos </w:t>
      </w:r>
      <w:r>
        <w:rPr>
          <w:rFonts w:cs="Calibri" w:ascii="Carlito" w:hAnsi="Carlito" w:cstheme="minorHAnsi"/>
          <w:color w:val="auto"/>
          <w:sz w:val="24"/>
          <w:lang w:eastAsia="ar-SA"/>
        </w:rPr>
        <w:t>cadastros</w:t>
      </w:r>
      <w:r>
        <w:rPr>
          <w:rFonts w:cs="Calibri" w:ascii="Carlito" w:hAnsi="Carlito" w:cstheme="minorHAnsi"/>
          <w:color w:val="auto"/>
          <w:sz w:val="24"/>
        </w:rPr>
        <w:t xml:space="preserve"> será realizada em nome da empresa fornecedora e de seu sócio majoritário, por força do </w:t>
      </w:r>
      <w:r>
        <w:fldChar w:fldCharType="begin"/>
      </w:r>
      <w:r>
        <w:rPr>
          <w:rStyle w:val="LinkdaInternet"/>
          <w:sz w:val="24"/>
          <w:rFonts w:cs="Calibri" w:ascii="Carlito" w:hAnsi="Carlito"/>
        </w:rPr>
        <w:instrText> HYPERLINK "https://www.planalto.gov.br/ccivil_03/leis/l8429.htm" \l "art12"</w:instrText>
      </w:r>
      <w:r>
        <w:rPr>
          <w:rStyle w:val="LinkdaInternet"/>
          <w:sz w:val="24"/>
          <w:rFonts w:cs="Calibri" w:ascii="Carlito" w:hAnsi="Carlito"/>
        </w:rPr>
        <w:fldChar w:fldCharType="separate"/>
      </w:r>
      <w:r>
        <w:rPr>
          <w:rStyle w:val="LinkdaInternet"/>
          <w:rFonts w:cs="Calibri" w:ascii="Carlito" w:hAnsi="Carlito" w:cstheme="minorHAnsi"/>
          <w:color w:val="auto"/>
          <w:sz w:val="24"/>
        </w:rPr>
        <w:t>artigo 12 da Lei n° 8.429, de 2 de junho de 1992</w:t>
      </w:r>
      <w:r>
        <w:rPr>
          <w:rStyle w:val="LinkdaInternet"/>
          <w:sz w:val="24"/>
          <w:rFonts w:cs="Calibri" w:ascii="Carlito" w:hAnsi="Carlito"/>
        </w:rPr>
        <w:fldChar w:fldCharType="end"/>
      </w:r>
      <w:r>
        <w:rPr>
          <w:rFonts w:cs="Calibri" w:ascii="Carlito" w:hAnsi="Carlito" w:cstheme="minorHAnsi"/>
          <w:color w:val="auto"/>
          <w:sz w:val="24"/>
        </w:rPr>
        <w:t>, que prevê, dentre as sanções impostas ao responsável pela prática de ato de improbidade administrativa, a proibição de contratar com o Poder Público, inclusive por intermédio de pessoa jurídica da qual seja sócio majoritário.</w:t>
      </w:r>
    </w:p>
    <w:p>
      <w:pPr>
        <w:pStyle w:val="ListParagraph"/>
        <w:widowControl/>
        <w:numPr>
          <w:ilvl w:val="3"/>
          <w:numId w:val="2"/>
        </w:numPr>
        <w:bidi w:val="0"/>
        <w:spacing w:lineRule="auto" w:line="276" w:before="120" w:after="120"/>
        <w:ind w:left="1180" w:right="0" w:hanging="0"/>
        <w:contextualSpacing/>
        <w:jc w:val="both"/>
        <w:rPr>
          <w:rFonts w:ascii="Carlito" w:hAnsi="Carlito"/>
        </w:rPr>
      </w:pPr>
      <w:r>
        <w:rPr>
          <w:rFonts w:cs="Calibri" w:ascii="Carlito" w:hAnsi="Carlito" w:cstheme="minorHAnsi"/>
          <w:color w:val="auto"/>
          <w:sz w:val="24"/>
        </w:rPr>
        <w:t>Caso conste na Consulta de Situação do Fornecedor a existência de Ocorrências Impeditivas Indiretas, o gestor diligenciará para verificar se houve fraude por parte das empresas apontadas no respectivo Relatório.</w:t>
      </w:r>
    </w:p>
    <w:p>
      <w:pPr>
        <w:pStyle w:val="ListParagraph"/>
        <w:widowControl/>
        <w:numPr>
          <w:ilvl w:val="3"/>
          <w:numId w:val="2"/>
        </w:numPr>
        <w:bidi w:val="0"/>
        <w:spacing w:lineRule="auto" w:line="276" w:before="120" w:after="120"/>
        <w:ind w:left="1180" w:right="0" w:hanging="0"/>
        <w:contextualSpacing/>
        <w:jc w:val="both"/>
        <w:rPr>
          <w:rFonts w:ascii="Carlito" w:hAnsi="Carlito"/>
        </w:rPr>
      </w:pPr>
      <w:r>
        <w:rPr>
          <w:rFonts w:cs="Calibri" w:ascii="Carlito" w:hAnsi="Carlito" w:cstheme="minorHAnsi"/>
          <w:color w:val="auto"/>
          <w:sz w:val="24"/>
        </w:rPr>
        <w:t>A tentativa de burla será verificada por meio dos vínculos societários, linhas de fornecimento similares, dentre outros.</w:t>
      </w:r>
    </w:p>
    <w:p>
      <w:pPr>
        <w:pStyle w:val="ListParagraph"/>
        <w:widowControl/>
        <w:numPr>
          <w:ilvl w:val="2"/>
          <w:numId w:val="2"/>
        </w:numPr>
        <w:bidi w:val="0"/>
        <w:spacing w:lineRule="auto" w:line="276" w:before="120" w:after="120"/>
        <w:ind w:left="760" w:right="0" w:hanging="0"/>
        <w:contextualSpacing/>
        <w:jc w:val="both"/>
        <w:rPr>
          <w:rFonts w:ascii="Carlito" w:hAnsi="Carlito"/>
        </w:rPr>
      </w:pPr>
      <w:r>
        <w:rPr>
          <w:rFonts w:cs="Calibri" w:ascii="Carlito" w:hAnsi="Carlito" w:cstheme="minorHAnsi"/>
          <w:color w:val="auto"/>
          <w:sz w:val="24"/>
        </w:rPr>
        <w:t>O fornecedor será convocado para manifestação previamente à sua desclassificação</w:t>
      </w:r>
      <w:r>
        <w:rPr>
          <w:rFonts w:cs="Calibri" w:ascii="Carlito" w:hAnsi="Carlito" w:cstheme="minorHAnsi"/>
          <w:color w:val="auto"/>
          <w:sz w:val="24"/>
          <w:lang w:val="pt-PT"/>
        </w:rPr>
        <w:t>.</w:t>
      </w:r>
    </w:p>
    <w:p>
      <w:pPr>
        <w:pStyle w:val="ListParagraph"/>
        <w:widowControl/>
        <w:numPr>
          <w:ilvl w:val="2"/>
          <w:numId w:val="2"/>
        </w:numPr>
        <w:bidi w:val="0"/>
        <w:spacing w:lineRule="auto" w:line="276" w:before="120" w:after="120"/>
        <w:ind w:left="760" w:right="0" w:hanging="0"/>
        <w:contextualSpacing/>
        <w:jc w:val="both"/>
        <w:rPr>
          <w:rFonts w:ascii="Carlito" w:hAnsi="Carlito"/>
        </w:rPr>
      </w:pPr>
      <w:r>
        <w:rPr>
          <w:rFonts w:cs="Calibri" w:ascii="Carlito" w:hAnsi="Carlito" w:cstheme="minorHAnsi"/>
          <w:color w:val="auto"/>
          <w:sz w:val="24"/>
        </w:rPr>
        <w:t>Constatada a existência de sanção, o fornecedor será considerado inabilitado, por falta de condição de participação.</w:t>
      </w:r>
    </w:p>
    <w:p>
      <w:pPr>
        <w:pStyle w:val="ListParagraph"/>
        <w:widowControl/>
        <w:numPr>
          <w:ilvl w:val="1"/>
          <w:numId w:val="2"/>
        </w:numPr>
        <w:bidi w:val="0"/>
        <w:spacing w:lineRule="auto" w:line="276" w:before="120" w:after="120"/>
        <w:ind w:left="340" w:right="0" w:hanging="0"/>
        <w:contextualSpacing/>
        <w:jc w:val="both"/>
        <w:rPr>
          <w:rFonts w:ascii="Carlito" w:hAnsi="Carlito"/>
        </w:rPr>
      </w:pPr>
      <w:r>
        <w:rPr>
          <w:rFonts w:cs="Calibri" w:ascii="Carlito" w:hAnsi="Carlito" w:cstheme="minorHAnsi"/>
          <w:color w:val="auto"/>
          <w:sz w:val="24"/>
        </w:rPr>
        <w:t>Caso atendidas as condições de participação, a habilitação dos fornecedores será verificada por meio do SICAF, nos documentos por ele abrangidos.</w:t>
      </w:r>
    </w:p>
    <w:p>
      <w:pPr>
        <w:pStyle w:val="ListParagraph"/>
        <w:widowControl/>
        <w:numPr>
          <w:ilvl w:val="2"/>
          <w:numId w:val="2"/>
        </w:numPr>
        <w:bidi w:val="0"/>
        <w:spacing w:lineRule="auto" w:line="276" w:before="120" w:after="120"/>
        <w:ind w:left="760" w:right="0" w:hanging="0"/>
        <w:contextualSpacing/>
        <w:jc w:val="both"/>
        <w:rPr>
          <w:rFonts w:ascii="Carlito" w:hAnsi="Carlito"/>
        </w:rPr>
      </w:pPr>
      <w:r>
        <w:rPr>
          <w:rFonts w:cs="Calibri" w:ascii="Carlito" w:hAnsi="Carlito" w:cstheme="minorHAnsi"/>
          <w:color w:val="auto"/>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widowControl/>
        <w:numPr>
          <w:ilvl w:val="2"/>
          <w:numId w:val="2"/>
        </w:numPr>
        <w:bidi w:val="0"/>
        <w:spacing w:lineRule="auto" w:line="276" w:before="120" w:after="120"/>
        <w:ind w:left="760" w:right="0" w:hanging="0"/>
        <w:contextualSpacing/>
        <w:jc w:val="both"/>
        <w:rPr>
          <w:rFonts w:ascii="Carlito" w:hAnsi="Carlito"/>
        </w:rPr>
      </w:pPr>
      <w:r>
        <w:rPr>
          <w:rFonts w:cs="Calibri" w:ascii="Carlito" w:hAnsi="Carlito" w:cstheme="minorHAnsi"/>
          <w:color w:val="auto"/>
          <w:sz w:val="24"/>
        </w:rPr>
        <w:t>O descumprimento do subitem acima implicará a inabilitação do fornecedor, exceto se a consulta aos sítios eletrônicos oficiais emissores de certidões lograr êxito em encontrar a(s) certidão(ões) válida(s).</w:t>
      </w:r>
    </w:p>
    <w:p>
      <w:pPr>
        <w:pStyle w:val="ListParagraph"/>
        <w:widowControl/>
        <w:numPr>
          <w:ilvl w:val="1"/>
          <w:numId w:val="2"/>
        </w:numPr>
        <w:bidi w:val="0"/>
        <w:spacing w:lineRule="auto" w:line="276" w:before="120" w:after="120"/>
        <w:ind w:left="340" w:right="0" w:hanging="0"/>
        <w:contextualSpacing/>
        <w:jc w:val="both"/>
        <w:rPr/>
      </w:pPr>
      <w:r>
        <w:rPr>
          <w:rFonts w:cs="Calibri" w:ascii="Carlito" w:hAnsi="Carlito" w:cstheme="minorHAnsi"/>
          <w:color w:val="auto"/>
          <w:sz w:val="24"/>
        </w:rPr>
        <w:t>Na hipótese de necessidade de envio de documentos complementares, indispensáveis à confirmação dos já apresentados para a habilitação, ou de documentos não constantes do SICAF, o fornecedor será convocado a encaminhá-los, em formato digital, por meio do sistema, no</w:t>
      </w:r>
      <w:r>
        <w:rPr>
          <w:rFonts w:cs="Calibri" w:ascii="Carlito" w:hAnsi="Carlito" w:cstheme="minorHAnsi"/>
          <w:b/>
          <w:bCs/>
          <w:color w:val="FF0000"/>
          <w:sz w:val="24"/>
        </w:rPr>
        <w:t xml:space="preserve"> </w:t>
      </w:r>
      <w:r>
        <w:rPr>
          <w:rFonts w:cs="Calibri" w:ascii="Carlito" w:hAnsi="Carlito" w:cstheme="minorHAnsi"/>
          <w:b w:val="false"/>
          <w:bCs w:val="false"/>
          <w:color w:val="auto"/>
          <w:sz w:val="24"/>
        </w:rPr>
        <w:t xml:space="preserve">prazo de </w:t>
      </w:r>
      <w:r>
        <w:rPr>
          <w:rFonts w:cs="Calibri" w:ascii="Carlito" w:hAnsi="Carlito" w:cstheme="minorHAnsi"/>
          <w:b w:val="false"/>
          <w:bCs w:val="false"/>
          <w:color w:val="auto"/>
          <w:sz w:val="24"/>
          <w:lang w:val="pt-PT"/>
        </w:rPr>
        <w:t>5 (cinco) dias</w:t>
      </w:r>
      <w:r>
        <w:rPr>
          <w:rFonts w:cs="Calibri" w:ascii="Carlito" w:hAnsi="Carlito" w:cstheme="minorHAnsi"/>
          <w:color w:val="auto"/>
          <w:sz w:val="24"/>
        </w:rPr>
        <w:t>, sob pena de inabilitação. (</w:t>
      </w:r>
      <w:r>
        <w:fldChar w:fldCharType="begin"/>
      </w:r>
      <w:r>
        <w:rPr>
          <w:rStyle w:val="LinkdaInternet"/>
          <w:sz w:val="24"/>
          <w:rFonts w:cs="Calibri" w:ascii="Carlito" w:hAnsi="Carlito"/>
        </w:rPr>
        <w:instrText> HYPERLINK "https://www.in.gov.br/en/web/dou/-/instrucao-normativa-seges/me-n-67-de-8-de-julho-de-2021-330985107" \l "art19§3"</w:instrText>
      </w:r>
      <w:r>
        <w:rPr>
          <w:rStyle w:val="LinkdaInternet"/>
          <w:sz w:val="24"/>
          <w:rFonts w:cs="Calibri" w:ascii="Carlito" w:hAnsi="Carlito"/>
        </w:rPr>
        <w:fldChar w:fldCharType="separate"/>
      </w:r>
      <w:r>
        <w:rPr>
          <w:rStyle w:val="LinkdaInternet"/>
          <w:rFonts w:cs="Calibri" w:ascii="Carlito" w:hAnsi="Carlito" w:cstheme="minorHAnsi"/>
          <w:color w:val="auto"/>
          <w:sz w:val="24"/>
        </w:rPr>
        <w:t>art. 19, § 3º, da IN Seges/ME nº 67, de 2021</w:t>
      </w:r>
      <w:r>
        <w:rPr>
          <w:rStyle w:val="LinkdaInternet"/>
          <w:sz w:val="24"/>
          <w:rFonts w:cs="Calibri" w:ascii="Carlito" w:hAnsi="Carlito"/>
        </w:rPr>
        <w:fldChar w:fldCharType="end"/>
      </w:r>
      <w:r>
        <w:rPr>
          <w:rFonts w:cs="Calibri" w:ascii="Carlito" w:hAnsi="Carlito" w:cstheme="minorHAnsi"/>
          <w:color w:val="auto"/>
          <w:sz w:val="24"/>
        </w:rPr>
        <w:t>).</w:t>
      </w:r>
    </w:p>
    <w:p>
      <w:pPr>
        <w:pStyle w:val="ListParagraph"/>
        <w:widowControl/>
        <w:numPr>
          <w:ilvl w:val="1"/>
          <w:numId w:val="2"/>
        </w:numPr>
        <w:bidi w:val="0"/>
        <w:spacing w:lineRule="auto" w:line="276" w:before="120" w:after="120"/>
        <w:ind w:left="340" w:right="0" w:hanging="0"/>
        <w:contextualSpacing/>
        <w:jc w:val="both"/>
        <w:rPr>
          <w:rFonts w:ascii="Carlito" w:hAnsi="Carlito"/>
        </w:rPr>
      </w:pPr>
      <w:r>
        <w:rPr>
          <w:rFonts w:cs="Calibri" w:ascii="Carlito" w:hAnsi="Carlito" w:cstheme="minorHAnsi"/>
          <w:color w:val="auto"/>
          <w:sz w:val="24"/>
        </w:rPr>
        <w:t>Somente haverá a necessidade de comprovação do preenchimento de requisitos mediante apresentação dos documentos originais não-digitais quando houver dúvida em relação à integridade do documento digital.</w:t>
      </w:r>
    </w:p>
    <w:p>
      <w:pPr>
        <w:pStyle w:val="ListParagraph"/>
        <w:widowControl/>
        <w:numPr>
          <w:ilvl w:val="1"/>
          <w:numId w:val="2"/>
        </w:numPr>
        <w:bidi w:val="0"/>
        <w:spacing w:lineRule="auto" w:line="276" w:before="120" w:after="120"/>
        <w:ind w:left="340" w:right="0" w:hanging="0"/>
        <w:contextualSpacing/>
        <w:jc w:val="both"/>
        <w:rPr>
          <w:rFonts w:ascii="Carlito" w:hAnsi="Carlito"/>
        </w:rPr>
      </w:pPr>
      <w:r>
        <w:rPr>
          <w:rFonts w:cs="Calibri" w:ascii="Carlito" w:hAnsi="Carlito" w:cstheme="minorHAnsi"/>
          <w:color w:val="auto"/>
          <w:sz w:val="24"/>
        </w:rPr>
        <w:t>Não serão aceitos documentos de habilitação com indicação de CNPJ/CPF diferentes, salvo aqueles legalmente permitidos.</w:t>
      </w:r>
    </w:p>
    <w:p>
      <w:pPr>
        <w:pStyle w:val="ListParagraph"/>
        <w:widowControl/>
        <w:numPr>
          <w:ilvl w:val="1"/>
          <w:numId w:val="2"/>
        </w:numPr>
        <w:bidi w:val="0"/>
        <w:spacing w:lineRule="auto" w:line="276" w:before="120" w:after="120"/>
        <w:ind w:left="340" w:right="0" w:hanging="0"/>
        <w:contextualSpacing/>
        <w:jc w:val="both"/>
        <w:rPr>
          <w:rFonts w:ascii="Carlito" w:hAnsi="Carlito"/>
        </w:rPr>
      </w:pPr>
      <w:r>
        <w:rPr>
          <w:rFonts w:cs="Calibri" w:ascii="Carlito" w:hAnsi="Carlito" w:cstheme="minorHAnsi"/>
          <w:color w:val="auto"/>
          <w:sz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ListParagraph"/>
        <w:widowControl/>
        <w:numPr>
          <w:ilvl w:val="1"/>
          <w:numId w:val="2"/>
        </w:numPr>
        <w:bidi w:val="0"/>
        <w:spacing w:lineRule="auto" w:line="276" w:before="120" w:after="120"/>
        <w:ind w:left="340" w:right="0" w:hanging="0"/>
        <w:contextualSpacing/>
        <w:jc w:val="both"/>
        <w:rPr>
          <w:rFonts w:ascii="Carlito" w:hAnsi="Carlito"/>
        </w:rPr>
      </w:pPr>
      <w:r>
        <w:rPr>
          <w:rFonts w:cs="Calibri" w:ascii="Carlito" w:hAnsi="Carlito" w:cstheme="minorHAnsi"/>
          <w:color w:val="auto"/>
          <w:sz w:val="24"/>
        </w:rPr>
        <w:t>Serão aceitos registros de CNPJ de licitante matriz e filial com diferenças de números de documentos pertinentes ao CND e ao CRF/FGTS, quando for comprovada a centralização do recolhimento dessas contribuições.</w:t>
      </w:r>
    </w:p>
    <w:p>
      <w:pPr>
        <w:pStyle w:val="ListParagraph"/>
        <w:widowControl/>
        <w:numPr>
          <w:ilvl w:val="1"/>
          <w:numId w:val="2"/>
        </w:numPr>
        <w:bidi w:val="0"/>
        <w:spacing w:lineRule="auto" w:line="276" w:before="120" w:after="120"/>
        <w:ind w:left="340" w:right="0" w:hanging="0"/>
        <w:contextualSpacing/>
        <w:jc w:val="both"/>
        <w:rPr>
          <w:rFonts w:ascii="Carlito" w:hAnsi="Carlito"/>
        </w:rPr>
      </w:pPr>
      <w:r>
        <w:rPr>
          <w:rFonts w:cs="Calibri" w:ascii="Carlito" w:hAnsi="Carlito" w:cstheme="minorHAnsi"/>
          <w:bCs/>
          <w:color w:val="auto"/>
          <w:sz w:val="24"/>
        </w:rPr>
        <w:t xml:space="preserve">Havendo </w:t>
      </w:r>
      <w:r>
        <w:rPr>
          <w:rFonts w:cs="Calibri" w:ascii="Carlito" w:hAnsi="Carlito" w:cstheme="minorHAnsi"/>
          <w:iCs/>
          <w:color w:val="auto"/>
          <w:sz w:val="24"/>
        </w:rPr>
        <w:t>necessidade</w:t>
      </w:r>
      <w:r>
        <w:rPr>
          <w:rFonts w:cs="Calibri" w:ascii="Carlito" w:hAnsi="Carlito" w:cstheme="minorHAnsi"/>
          <w:bCs/>
          <w:color w:val="auto"/>
          <w:sz w:val="24"/>
        </w:rPr>
        <w:t xml:space="preserve"> de analisar minuciosamente os documentos exigidos, a sessão será suspensa, sendo informada a nova data e horário para a sua continuidade.</w:t>
      </w:r>
    </w:p>
    <w:p>
      <w:pPr>
        <w:pStyle w:val="Ttulo1"/>
        <w:numPr>
          <w:ilvl w:val="1"/>
          <w:numId w:val="2"/>
        </w:numPr>
        <w:ind w:left="792" w:hanging="432"/>
        <w:jc w:val="both"/>
        <w:rPr>
          <w:rFonts w:ascii="Carlito" w:hAnsi="Carlito"/>
        </w:rPr>
      </w:pPr>
      <w:r>
        <w:rPr>
          <w:rFonts w:cs="Calibri" w:ascii="Carlito" w:hAnsi="Carlito" w:cstheme="minorHAnsi"/>
          <w:color w:val="auto"/>
          <w:sz w:val="24"/>
        </w:rPr>
        <w:t xml:space="preserve">Será inabilitado o fornecedor que não comprovar sua habilitação, seja por não apresentar </w:t>
      </w:r>
      <w:r>
        <w:rPr>
          <w:rFonts w:cs="Calibri" w:ascii="Carlito" w:hAnsi="Carlito" w:cstheme="minorHAnsi"/>
          <w:iCs/>
          <w:color w:val="auto"/>
          <w:sz w:val="24"/>
        </w:rPr>
        <w:t>quaisquer</w:t>
      </w:r>
      <w:r>
        <w:rPr>
          <w:rFonts w:cs="Calibri" w:ascii="Carlito" w:hAnsi="Carlito" w:cstheme="minorHAnsi"/>
          <w:color w:val="auto"/>
          <w:sz w:val="24"/>
        </w:rPr>
        <w:t xml:space="preserve"> dos </w:t>
      </w:r>
      <w:r>
        <w:rPr>
          <w:rFonts w:cs="Calibri" w:ascii="Carlito" w:hAnsi="Carlito" w:cstheme="minorHAnsi"/>
          <w:bCs/>
          <w:color w:val="auto"/>
          <w:sz w:val="24"/>
        </w:rPr>
        <w:t>documentos</w:t>
      </w:r>
      <w:r>
        <w:rPr>
          <w:rFonts w:cs="Calibri" w:ascii="Carlito" w:hAnsi="Carlito" w:cstheme="minorHAnsi"/>
          <w:color w:val="auto"/>
          <w:sz w:val="24"/>
        </w:rPr>
        <w:t xml:space="preserve"> exigidos, ou apresentá-los em desacordo com o estabelecido neste Aviso de Contratação Direta.</w:t>
      </w:r>
    </w:p>
    <w:p>
      <w:pPr>
        <w:pStyle w:val="Ttulo1"/>
        <w:numPr>
          <w:ilvl w:val="2"/>
          <w:numId w:val="2"/>
        </w:numPr>
        <w:ind w:left="1224" w:hanging="504"/>
        <w:jc w:val="both"/>
        <w:rPr>
          <w:rFonts w:ascii="Carlito" w:hAnsi="Carlito"/>
        </w:rPr>
      </w:pPr>
      <w:r>
        <w:rPr>
          <w:rFonts w:cs="Calibri" w:ascii="Carlito" w:hAnsi="Carlito" w:cstheme="minorHAnsi"/>
          <w:color w:val="auto"/>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rFonts w:cs="Calibri" w:ascii="Carlito" w:hAnsi="Carlito" w:cstheme="minorHAnsi"/>
          <w:color w:val="auto"/>
          <w:sz w:val="24"/>
          <w:lang w:val="pt-PT"/>
        </w:rPr>
        <w:t>.</w:t>
      </w:r>
    </w:p>
    <w:p>
      <w:pPr>
        <w:pStyle w:val="Ttulo1"/>
        <w:numPr>
          <w:ilvl w:val="1"/>
          <w:numId w:val="2"/>
        </w:numPr>
        <w:ind w:left="792" w:hanging="432"/>
        <w:jc w:val="both"/>
        <w:rPr>
          <w:rFonts w:ascii="Carlito" w:hAnsi="Carlito"/>
        </w:rPr>
      </w:pPr>
      <w:r>
        <w:rPr>
          <w:rFonts w:cs="Calibri" w:ascii="Carlito" w:hAnsi="Carlito" w:cstheme="minorHAnsi"/>
          <w:iCs/>
          <w:color w:val="auto"/>
          <w:sz w:val="24"/>
        </w:rPr>
        <w:t>Constatado o atendimento às exigências de habilitação, o fornecedor será habilitado</w:t>
      </w:r>
      <w:r>
        <w:rPr>
          <w:rFonts w:cs="Calibri" w:ascii="Carlito" w:hAnsi="Carlito" w:cstheme="minorHAnsi"/>
          <w:iCs/>
          <w:sz w:val="24"/>
        </w:rPr>
        <w:t>.</w:t>
      </w:r>
    </w:p>
    <w:p>
      <w:pPr>
        <w:pStyle w:val="Ttulo1"/>
        <w:numPr>
          <w:ilvl w:val="0"/>
          <w:numId w:val="2"/>
        </w:numPr>
        <w:rPr>
          <w:rFonts w:ascii="Carlito" w:hAnsi="Carlito"/>
        </w:rPr>
      </w:pPr>
      <w:r>
        <w:rPr>
          <w:rFonts w:cs="Calibri" w:ascii="Carlito" w:hAnsi="Carlito" w:cstheme="minorHAnsi"/>
          <w:b/>
          <w:bCs/>
          <w:color w:val="auto"/>
          <w:sz w:val="24"/>
          <w:szCs w:val="24"/>
        </w:rPr>
        <w:t>CONTRATAÇÃO</w:t>
      </w:r>
      <w:bookmarkStart w:id="8" w:name="_Toc1049068241"/>
      <w:bookmarkEnd w:id="8"/>
    </w:p>
    <w:p>
      <w:pPr>
        <w:pStyle w:val="Normal"/>
        <w:numPr>
          <w:ilvl w:val="1"/>
          <w:numId w:val="2"/>
        </w:numPr>
        <w:spacing w:lineRule="auto" w:line="276" w:before="120" w:after="120"/>
        <w:ind w:left="857" w:hanging="432"/>
        <w:jc w:val="both"/>
        <w:rPr>
          <w:rFonts w:ascii="Carlito" w:hAnsi="Carlito"/>
        </w:rPr>
      </w:pPr>
      <w:r>
        <w:rPr>
          <w:rFonts w:eastAsia="Arial" w:cs="Calibri" w:ascii="Carlito" w:hAnsi="Carlito" w:cstheme="minorHAnsi"/>
          <w:color w:val="000000"/>
          <w:sz w:val="24"/>
        </w:rPr>
        <w:t>Após a homologação e adjudicação, caso se conclua pela contratação, será firmado Termo de Contrato ou emitido instrumento equivalente.</w:t>
      </w:r>
    </w:p>
    <w:p>
      <w:pPr>
        <w:pStyle w:val="Normal"/>
        <w:widowControl/>
        <w:numPr>
          <w:ilvl w:val="1"/>
          <w:numId w:val="2"/>
        </w:numPr>
        <w:bidi w:val="0"/>
        <w:spacing w:lineRule="auto" w:line="276" w:before="120" w:after="120"/>
        <w:ind w:left="850" w:right="0" w:hanging="397"/>
        <w:jc w:val="both"/>
        <w:rPr>
          <w:rFonts w:ascii="Carlito" w:hAnsi="Carlito"/>
        </w:rPr>
      </w:pPr>
      <w:r>
        <w:rPr>
          <w:rFonts w:eastAsia="Arial" w:cs="Calibri" w:ascii="Carlito" w:hAnsi="Carlito" w:cstheme="minorHAnsi"/>
          <w:color w:val="000000" w:themeColor="text1"/>
          <w:sz w:val="24"/>
          <w:u w:val="single"/>
          <w14:textFill>
            <w14:solidFill>
              <w14:schemeClr w14:val="tx1"/>
            </w14:solidFill>
          </w14:textFill>
        </w:rPr>
        <w:t xml:space="preserve">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pPr>
        <w:pStyle w:val="Normal"/>
        <w:numPr>
          <w:ilvl w:val="2"/>
          <w:numId w:val="2"/>
        </w:numPr>
        <w:spacing w:lineRule="auto" w:line="276" w:before="120" w:after="120"/>
        <w:jc w:val="both"/>
        <w:rPr>
          <w:rFonts w:ascii="Carlito" w:hAnsi="Carlito"/>
        </w:rPr>
      </w:pPr>
      <w:r>
        <w:rPr>
          <w:rFonts w:eastAsia="Arial" w:cs="Calibri" w:ascii="Carlito" w:hAnsi="Carlito" w:cstheme="minorHAnsi"/>
          <w:iCs/>
          <w:color w:val="000000" w:themeColor="text1"/>
          <w:sz w:val="24"/>
          <w14:textFill>
            <w14:solidFill>
              <w14:schemeClr w14:val="tx1"/>
            </w14:solidFill>
          </w14:textFill>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3 (três) dias, a contar da data de seu recebimento. </w:t>
      </w:r>
    </w:p>
    <w:p>
      <w:pPr>
        <w:pStyle w:val="Normal"/>
        <w:numPr>
          <w:ilvl w:val="2"/>
          <w:numId w:val="2"/>
        </w:numPr>
        <w:spacing w:lineRule="auto" w:line="276" w:before="120" w:after="120"/>
        <w:jc w:val="both"/>
        <w:rPr>
          <w:rFonts w:ascii="Carlito" w:hAnsi="Carlito"/>
        </w:rPr>
      </w:pPr>
      <w:r>
        <w:rPr>
          <w:rFonts w:eastAsia="Arial" w:cs="Calibri" w:ascii="Carlito" w:hAnsi="Carlito" w:cstheme="minorHAnsi"/>
          <w:color w:val="000000"/>
          <w:sz w:val="24"/>
        </w:rPr>
        <w:t xml:space="preserve">O prazo previsto para assinatura do contrato ou aceitação da nota de empenho ou instrumento equivalente poderá ser prorrogado </w:t>
      </w:r>
      <w:r>
        <w:rPr>
          <w:rFonts w:cs="Calibri" w:ascii="Carlito" w:hAnsi="Carlito" w:cstheme="minorHAnsi"/>
          <w:bCs/>
          <w:sz w:val="24"/>
        </w:rPr>
        <w:t>1 (uma) vez</w:t>
      </w:r>
      <w:r>
        <w:rPr>
          <w:rFonts w:eastAsia="Arial" w:cs="Calibri" w:ascii="Carlito" w:hAnsi="Carlito" w:cstheme="minorHAnsi"/>
          <w:sz w:val="24"/>
        </w:rPr>
        <w:t xml:space="preserve">, </w:t>
      </w:r>
      <w:r>
        <w:rPr>
          <w:rFonts w:eastAsia="Arial" w:cs="Calibri" w:ascii="Carlito" w:hAnsi="Carlito" w:cstheme="minorHAnsi"/>
          <w:color w:val="000000"/>
          <w:sz w:val="24"/>
        </w:rPr>
        <w:t>por igual período, por solicitação justificada do adjudicatário e aceita pela Administração.</w:t>
      </w:r>
    </w:p>
    <w:p>
      <w:pPr>
        <w:pStyle w:val="Normal"/>
        <w:widowControl/>
        <w:numPr>
          <w:ilvl w:val="1"/>
          <w:numId w:val="2"/>
        </w:numPr>
        <w:bidi w:val="0"/>
        <w:spacing w:lineRule="auto" w:line="276" w:before="120" w:after="120"/>
        <w:ind w:left="850" w:right="0" w:hanging="397"/>
        <w:jc w:val="both"/>
        <w:rPr>
          <w:rFonts w:ascii="Carlito" w:hAnsi="Carlito"/>
        </w:rPr>
      </w:pPr>
      <w:r>
        <w:rPr>
          <w:rFonts w:eastAsia="Arial" w:cs="Calibri" w:ascii="Carlito" w:hAnsi="Carlito" w:cstheme="minorHAnsi"/>
          <w:iCs/>
          <w:color w:val="000000" w:themeColor="text1"/>
          <w:sz w:val="24"/>
          <w14:textFill>
            <w14:solidFill>
              <w14:schemeClr w14:val="tx1"/>
            </w14:solidFill>
          </w14:textFill>
        </w:rPr>
        <w:t>O Aceite da Nota de Empenho ou do instrumento equivalente, emitida à empresa adjudicada, implica no reconhecimento de que:</w:t>
      </w:r>
    </w:p>
    <w:p>
      <w:pPr>
        <w:pStyle w:val="Normal"/>
        <w:numPr>
          <w:ilvl w:val="2"/>
          <w:numId w:val="2"/>
        </w:numPr>
        <w:spacing w:lineRule="auto" w:line="276" w:before="120" w:after="120"/>
        <w:jc w:val="both"/>
        <w:rPr>
          <w:rFonts w:ascii="Carlito" w:hAnsi="Carlito"/>
        </w:rPr>
      </w:pPr>
      <w:r>
        <w:rPr>
          <w:rFonts w:eastAsia="Arial" w:cs="Calibri" w:ascii="Carlito" w:hAnsi="Carlito" w:cstheme="minorHAnsi"/>
          <w:iCs/>
          <w:color w:val="000000" w:themeColor="text1"/>
          <w:sz w:val="24"/>
          <w14:textFill>
            <w14:solidFill>
              <w14:schemeClr w14:val="tx1"/>
            </w14:solidFill>
          </w14:textFill>
        </w:rPr>
        <w:t>referida Nota está substituindo o contrato, aplicando-se à relação de negócios ali estabelecida as disposições da Lei nº 14.133, de 2021;</w:t>
      </w:r>
    </w:p>
    <w:p>
      <w:pPr>
        <w:pStyle w:val="Normal"/>
        <w:numPr>
          <w:ilvl w:val="2"/>
          <w:numId w:val="2"/>
        </w:numPr>
        <w:spacing w:lineRule="auto" w:line="276" w:before="120" w:after="120"/>
        <w:jc w:val="both"/>
        <w:rPr>
          <w:rFonts w:ascii="Carlito" w:hAnsi="Carlito"/>
        </w:rPr>
      </w:pPr>
      <w:r>
        <w:rPr>
          <w:rFonts w:eastAsia="Arial" w:cs="Calibri" w:ascii="Carlito" w:hAnsi="Carlito" w:cstheme="minorHAnsi"/>
          <w:iCs/>
          <w:color w:val="000000" w:themeColor="text1"/>
          <w:sz w:val="24"/>
          <w14:textFill>
            <w14:solidFill>
              <w14:schemeClr w14:val="tx1"/>
            </w14:solidFill>
          </w14:textFill>
        </w:rPr>
        <w:t>a contratada se vincula à sua proposta e às previsões contidas no Aviso de Contratação Direta e seus anexos;</w:t>
      </w:r>
    </w:p>
    <w:p>
      <w:pPr>
        <w:pStyle w:val="Normal"/>
        <w:numPr>
          <w:ilvl w:val="2"/>
          <w:numId w:val="2"/>
        </w:numPr>
        <w:spacing w:lineRule="auto" w:line="276" w:before="120" w:after="120"/>
        <w:jc w:val="both"/>
        <w:rPr>
          <w:rFonts w:ascii="Carlito" w:hAnsi="Carlito"/>
        </w:rPr>
      </w:pPr>
      <w:r>
        <w:rPr>
          <w:rFonts w:eastAsia="Arial" w:cs="Calibri" w:ascii="Carlito" w:hAnsi="Carlito" w:cstheme="minorHAnsi"/>
          <w:iCs/>
          <w:color w:val="000000" w:themeColor="text1"/>
          <w:sz w:val="24"/>
          <w14:textFill>
            <w14:solidFill>
              <w14:schemeClr w14:val="tx1"/>
            </w14:solidFill>
          </w14:textFill>
        </w:rPr>
        <w:t>a contratada reconhece que as hipóteses de rescisão são aquelas previstas nos artigos 137 e 138 da Lei nº 14.133/21 e reconhece os direitos da Administração previstos nos artigos 137 a 139 da mesma Lei.</w:t>
      </w:r>
    </w:p>
    <w:p>
      <w:pPr>
        <w:pStyle w:val="Normal"/>
        <w:widowControl/>
        <w:numPr>
          <w:ilvl w:val="1"/>
          <w:numId w:val="2"/>
        </w:numPr>
        <w:bidi w:val="0"/>
        <w:spacing w:lineRule="auto" w:line="276" w:before="120" w:after="120"/>
        <w:ind w:left="850" w:right="0" w:hanging="397"/>
        <w:jc w:val="both"/>
        <w:rPr>
          <w:rFonts w:ascii="Carlito" w:hAnsi="Carlito"/>
        </w:rPr>
      </w:pPr>
      <w:r>
        <w:rPr>
          <w:rFonts w:eastAsia="Arial" w:cs="Calibri" w:ascii="Carlito" w:hAnsi="Carlito" w:cstheme="minorHAnsi"/>
          <w:color w:val="000000"/>
          <w:sz w:val="24"/>
          <w:u w:val="single"/>
        </w:rPr>
        <w:t>O prazo de vigência da contratação é de 30 (trinta) dias,</w:t>
      </w:r>
      <w:r>
        <w:rPr>
          <w:rFonts w:eastAsia="Arial" w:cs="Calibri" w:ascii="Carlito" w:hAnsi="Carlito" w:cstheme="minorHAnsi"/>
          <w:color w:val="000000"/>
          <w:sz w:val="24"/>
          <w:u w:val="single"/>
          <w:lang w:val="pt-PT"/>
        </w:rPr>
        <w:t xml:space="preserve"> </w:t>
      </w:r>
      <w:r>
        <w:rPr>
          <w:rFonts w:eastAsia="Arial" w:cs="Calibri" w:ascii="Carlito" w:hAnsi="Carlito" w:cstheme="minorHAnsi"/>
          <w:color w:val="000000"/>
          <w:sz w:val="24"/>
          <w:u w:val="single"/>
        </w:rPr>
        <w:t xml:space="preserve">prorrogável conforme previsão nos anexos a este Aviso de Contratação Direta. </w:t>
      </w:r>
    </w:p>
    <w:p>
      <w:pPr>
        <w:pStyle w:val="Normal"/>
        <w:widowControl/>
        <w:numPr>
          <w:ilvl w:val="1"/>
          <w:numId w:val="2"/>
        </w:numPr>
        <w:bidi w:val="0"/>
        <w:spacing w:lineRule="auto" w:line="276" w:before="120" w:after="120"/>
        <w:ind w:left="850" w:right="0" w:hanging="397"/>
        <w:jc w:val="both"/>
        <w:rPr>
          <w:rFonts w:ascii="Carlito" w:hAnsi="Carlito"/>
        </w:rPr>
      </w:pPr>
      <w:r>
        <w:rPr>
          <w:rFonts w:cs="Calibri" w:ascii="Carlito" w:hAnsi="Carlito" w:cstheme="minorHAnsi"/>
          <w:color w:val="000000"/>
          <w:sz w:val="24"/>
        </w:rPr>
        <w:t>Na assinatura do contrato ou do instrumento equivalente será exigida a comprovação das condições de habilitação e contratação consignadas neste aviso, que deverão ser mantidas pelo fornecedor durante a vigência do contrato.</w:t>
      </w:r>
      <w:bookmarkStart w:id="9" w:name="_Toc104906825"/>
    </w:p>
    <w:p>
      <w:pPr>
        <w:pStyle w:val="Normal"/>
        <w:widowControl/>
        <w:numPr>
          <w:ilvl w:val="0"/>
          <w:numId w:val="0"/>
        </w:numPr>
        <w:bidi w:val="0"/>
        <w:spacing w:lineRule="auto" w:line="276" w:before="120" w:after="120"/>
        <w:ind w:left="453" w:right="0" w:hanging="0"/>
        <w:jc w:val="both"/>
        <w:rPr>
          <w:rFonts w:ascii="Carlito" w:hAnsi="Carlito" w:cs="Calibri" w:cstheme="minorHAnsi"/>
          <w:b/>
          <w:b/>
          <w:sz w:val="24"/>
        </w:rPr>
      </w:pPr>
      <w:r>
        <w:rPr>
          <w:rFonts w:cs="Calibri" w:cstheme="minorHAnsi" w:ascii="Carlito" w:hAnsi="Carlito"/>
          <w:b/>
          <w:sz w:val="24"/>
        </w:rPr>
      </w:r>
    </w:p>
    <w:p>
      <w:pPr>
        <w:pStyle w:val="Normal"/>
        <w:widowControl/>
        <w:numPr>
          <w:ilvl w:val="0"/>
          <w:numId w:val="2"/>
        </w:numPr>
        <w:bidi w:val="0"/>
        <w:spacing w:lineRule="auto" w:line="276" w:before="120" w:after="120"/>
        <w:ind w:left="430" w:right="0" w:hanging="397"/>
        <w:jc w:val="both"/>
        <w:rPr>
          <w:rFonts w:ascii="Carlito" w:hAnsi="Carlito"/>
        </w:rPr>
      </w:pPr>
      <w:r>
        <w:rPr>
          <w:rFonts w:cs="Calibri" w:ascii="Carlito" w:hAnsi="Carlito" w:cstheme="minorHAnsi"/>
          <w:b/>
          <w:bCs/>
          <w:color w:val="auto"/>
          <w:sz w:val="24"/>
          <w:szCs w:val="24"/>
          <w:lang w:val="pt-PT"/>
        </w:rPr>
        <w:t xml:space="preserve">INFRAÇÕES E </w:t>
      </w:r>
      <w:r>
        <w:rPr>
          <w:rFonts w:cs="Calibri" w:ascii="Carlito" w:hAnsi="Carlito" w:cstheme="minorHAnsi"/>
          <w:b/>
          <w:bCs/>
          <w:color w:val="auto"/>
          <w:sz w:val="24"/>
          <w:szCs w:val="24"/>
        </w:rPr>
        <w:t>SANÇÕES</w:t>
      </w:r>
      <w:bookmarkEnd w:id="9"/>
      <w:r>
        <w:rPr>
          <w:rFonts w:cs="Calibri" w:ascii="Carlito" w:hAnsi="Carlito" w:cstheme="minorHAnsi"/>
          <w:b/>
          <w:bCs/>
          <w:color w:val="auto"/>
          <w:sz w:val="24"/>
          <w:szCs w:val="24"/>
          <w:lang w:val="pt-PT"/>
        </w:rPr>
        <w:t xml:space="preserve"> ADMINISTRATIVAS</w:t>
      </w:r>
    </w:p>
    <w:p>
      <w:pPr>
        <w:pStyle w:val="Normal"/>
        <w:widowControl/>
        <w:numPr>
          <w:ilvl w:val="1"/>
          <w:numId w:val="2"/>
        </w:numPr>
        <w:bidi w:val="0"/>
        <w:spacing w:lineRule="auto" w:line="276" w:before="120" w:after="120"/>
        <w:ind w:left="850" w:right="0" w:hanging="397"/>
        <w:jc w:val="both"/>
        <w:rPr/>
      </w:pPr>
      <w:r>
        <w:rPr>
          <w:rFonts w:cs="Calibri" w:ascii="Carlito" w:hAnsi="Carlito" w:cstheme="minorHAnsi"/>
          <w:color w:val="auto"/>
          <w:sz w:val="24"/>
        </w:rPr>
        <w:t xml:space="preserve">Comete infração administrativa o fornecedor que praticar quaisquer das hipóteses previstas no </w:t>
      </w:r>
      <w:r>
        <w:fldChar w:fldCharType="begin"/>
      </w:r>
      <w:r>
        <w:rPr>
          <w:rStyle w:val="LinkdaInternet"/>
          <w:sz w:val="24"/>
          <w:rFonts w:cs="Calibri" w:ascii="Carlito" w:hAnsi="Carlito"/>
        </w:rPr>
        <w:instrText> HYPERLINK "http://www.planalto.gov.br/ccivil_03/_ato2019-2022/2021/lei/L14133.htm" \l "art155"</w:instrText>
      </w:r>
      <w:r>
        <w:rPr>
          <w:rStyle w:val="LinkdaInternet"/>
          <w:sz w:val="24"/>
          <w:rFonts w:cs="Calibri" w:ascii="Carlito" w:hAnsi="Carlito"/>
        </w:rPr>
        <w:fldChar w:fldCharType="separate"/>
      </w:r>
      <w:r>
        <w:rPr>
          <w:rStyle w:val="LinkdaInternet"/>
          <w:rFonts w:cs="Calibri" w:ascii="Carlito" w:hAnsi="Carlito" w:cstheme="minorHAnsi"/>
          <w:color w:val="auto"/>
          <w:sz w:val="24"/>
        </w:rPr>
        <w:t>art. 155 da Lei nº 14.133, de 2021</w:t>
      </w:r>
      <w:r>
        <w:rPr>
          <w:rStyle w:val="LinkdaInternet"/>
          <w:sz w:val="24"/>
          <w:rFonts w:cs="Calibri" w:ascii="Carlito" w:hAnsi="Carlito"/>
        </w:rPr>
        <w:fldChar w:fldCharType="end"/>
      </w:r>
      <w:r>
        <w:rPr>
          <w:rFonts w:cs="Calibri" w:ascii="Carlito" w:hAnsi="Carlito" w:cstheme="minorHAnsi"/>
          <w:color w:val="auto"/>
          <w:sz w:val="24"/>
        </w:rPr>
        <w:t>, quais sejam:</w:t>
      </w:r>
      <w:r>
        <w:rPr>
          <w:rFonts w:cs="Calibri" w:ascii="Carlito" w:hAnsi="Carlito" w:cstheme="minorHAnsi"/>
          <w:sz w:val="24"/>
        </w:rPr>
        <w:t xml:space="preserve"> </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dar causa à inexecução parcial do contrato</w:t>
      </w:r>
      <w:r>
        <w:rPr>
          <w:rFonts w:cs="Calibri" w:ascii="Carlito" w:hAnsi="Carlito" w:cstheme="minorHAnsi"/>
          <w:sz w:val="24"/>
        </w:rPr>
        <w:t>;</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dar causa à inexecução parcial do contrato que cause grave dano à Administração, ao funcionamento dos serviços públicos ou ao interesse coletivo;</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dar causa à inexecução total do contrato;</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deixar de entregar a documentação exigida para o certame;</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não manter a proposta, salvo em decorrência de fato superveniente devidamente justificado;</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não celebrar o contrato ou não entregar a documentação exigida para a contratação, quando convocado dentro do prazo de validade de sua proposta;</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ensejar o retardamento da execução ou da entrega do objeto da licitação sem motivo justificado;</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apresentar declaração ou documentação falsa exigida para o certame ou prestar declaração falsa durante a dispensa eletrônica ou a execução do contrato;</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fraudar a dispensa eletrônica ou praticar ato fraudulento na execução do contrato;</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comportar-se de modo inidôneo ou cometer fraude de qualquer natureza;</w:t>
      </w:r>
    </w:p>
    <w:p>
      <w:pPr>
        <w:pStyle w:val="Normal"/>
        <w:widowControl/>
        <w:numPr>
          <w:ilvl w:val="3"/>
          <w:numId w:val="2"/>
        </w:numPr>
        <w:bidi w:val="0"/>
        <w:spacing w:lineRule="auto" w:line="276" w:before="120" w:after="120"/>
        <w:ind w:left="1690" w:right="0" w:hanging="397"/>
        <w:jc w:val="both"/>
        <w:rPr>
          <w:rFonts w:ascii="Carlito" w:hAnsi="Carlito"/>
        </w:rPr>
      </w:pPr>
      <w:r>
        <w:rPr>
          <w:rFonts w:cs="Calibri" w:ascii="Carlito" w:hAnsi="Carlito" w:cstheme="minorHAnsi"/>
          <w:color w:val="auto"/>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widowControl/>
        <w:numPr>
          <w:ilvl w:val="2"/>
          <w:numId w:val="2"/>
        </w:numPr>
        <w:bidi w:val="0"/>
        <w:spacing w:lineRule="auto" w:line="276" w:before="120" w:after="120"/>
        <w:ind w:left="1270" w:right="0" w:hanging="397"/>
        <w:jc w:val="both"/>
        <w:rPr/>
      </w:pPr>
      <w:r>
        <w:rPr>
          <w:rFonts w:cs="Calibri" w:ascii="Carlito" w:hAnsi="Carlito" w:cstheme="minorHAnsi"/>
          <w:color w:val="000000"/>
          <w:sz w:val="24"/>
        </w:rPr>
        <w:t>praticar atos ilícitos com vistas a frustrar os objetivos deste certame.</w:t>
      </w:r>
    </w:p>
    <w:p>
      <w:pPr>
        <w:pStyle w:val="Normal"/>
        <w:widowControl/>
        <w:numPr>
          <w:ilvl w:val="2"/>
          <w:numId w:val="2"/>
        </w:numPr>
        <w:bidi w:val="0"/>
        <w:spacing w:lineRule="auto" w:line="276" w:before="120" w:after="120"/>
        <w:ind w:left="1270" w:right="0" w:hanging="397"/>
        <w:jc w:val="both"/>
        <w:rPr/>
      </w:pPr>
      <w:r>
        <w:rPr>
          <w:rFonts w:cs="Calibri" w:ascii="Carlito" w:hAnsi="Carlito" w:cstheme="minorHAnsi"/>
          <w:color w:val="auto"/>
          <w:sz w:val="24"/>
        </w:rPr>
        <w:t>praticar ato lesivo previsto no </w:t>
      </w:r>
      <w:r>
        <w:fldChar w:fldCharType="begin"/>
      </w:r>
      <w:r>
        <w:rPr>
          <w:rStyle w:val="LinkdaInternet"/>
          <w:sz w:val="24"/>
          <w:rFonts w:cs="Calibri" w:ascii="Carlito" w:hAnsi="Carlito"/>
        </w:rPr>
        <w:instrText> HYPERLINK "http://www.planalto.gov.br/ccivil_03/_ato2019-2022/2021/lei/L14133.htm" \l "art5"</w:instrText>
      </w:r>
      <w:r>
        <w:rPr>
          <w:rStyle w:val="LinkdaInternet"/>
          <w:sz w:val="24"/>
          <w:rFonts w:cs="Calibri" w:ascii="Carlito" w:hAnsi="Carlito"/>
        </w:rPr>
        <w:fldChar w:fldCharType="separate"/>
      </w:r>
      <w:r>
        <w:rPr>
          <w:rStyle w:val="LinkdaInternet"/>
          <w:rFonts w:cs="Calibri" w:ascii="Carlito" w:hAnsi="Carlito" w:cstheme="minorHAnsi"/>
          <w:color w:val="auto"/>
          <w:sz w:val="24"/>
        </w:rPr>
        <w:t>art. 5º da Lei nº 12.846, de 1º de agosto de 2013.</w:t>
      </w:r>
      <w:r>
        <w:rPr>
          <w:rStyle w:val="LinkdaInternet"/>
          <w:sz w:val="24"/>
          <w:rFonts w:cs="Calibri" w:ascii="Carlito" w:hAnsi="Carlito"/>
        </w:rPr>
        <w:fldChar w:fldCharType="end"/>
      </w:r>
    </w:p>
    <w:p>
      <w:pPr>
        <w:pStyle w:val="Normal"/>
        <w:widowControl/>
        <w:numPr>
          <w:ilvl w:val="1"/>
          <w:numId w:val="2"/>
        </w:numPr>
        <w:bidi w:val="0"/>
        <w:spacing w:lineRule="auto" w:line="276" w:before="120" w:after="120"/>
        <w:ind w:left="1270" w:right="0" w:hanging="397"/>
        <w:jc w:val="both"/>
        <w:rPr/>
      </w:pPr>
      <w:r>
        <w:rPr>
          <w:rFonts w:cs="Calibri" w:ascii="Carlito" w:hAnsi="Carlito" w:cstheme="minorHAnsi"/>
          <w:color w:val="auto"/>
          <w:sz w:val="24"/>
          <w:lang w:val="pt-PT"/>
        </w:rPr>
        <w:t xml:space="preserve">O </w:t>
      </w:r>
      <w:r>
        <w:rPr>
          <w:rFonts w:cs="Calibri" w:ascii="Carlito" w:hAnsi="Carlito" w:cstheme="minorHAnsi"/>
          <w:color w:val="auto"/>
          <w:sz w:val="24"/>
        </w:rPr>
        <w:t>fornecedor que cometer qualquer das infrações discriminadas nos subitens anteriores ficará sujeito, sem prejuízo da responsabilidade civil e criminal, às seguintes sanções:</w:t>
      </w:r>
    </w:p>
    <w:p>
      <w:pPr>
        <w:pStyle w:val="Ttulo1"/>
        <w:numPr>
          <w:ilvl w:val="0"/>
          <w:numId w:val="0"/>
        </w:numPr>
        <w:ind w:left="360" w:hanging="0"/>
        <w:jc w:val="both"/>
        <w:rPr/>
      </w:pPr>
      <w:r>
        <w:rPr>
          <w:rFonts w:cs="Carlito" w:ascii="Carlito" w:hAnsi="Carlito"/>
          <w:bCs/>
          <w:color w:val="auto"/>
          <w:sz w:val="24"/>
        </w:rPr>
        <w:t xml:space="preserve">a) </w:t>
      </w:r>
      <w:r>
        <w:rPr>
          <w:rFonts w:cs="Carlito" w:ascii="Carlito" w:hAnsi="Carlito"/>
          <w:bCs/>
          <w:color w:val="auto"/>
          <w:sz w:val="24"/>
        </w:rPr>
        <w:t>Advertência pela falta do subitem 8.1.1 deste Aviso de Contratação Direta, quando não se justificar a imposição de penalidade mais grave;</w:t>
      </w:r>
    </w:p>
    <w:p>
      <w:pPr>
        <w:pStyle w:val="Ttulo1"/>
        <w:numPr>
          <w:ilvl w:val="0"/>
          <w:numId w:val="0"/>
        </w:numPr>
        <w:ind w:left="360" w:hanging="0"/>
        <w:jc w:val="both"/>
        <w:rPr>
          <w:rFonts w:ascii="Carlito" w:hAnsi="Carlito"/>
        </w:rPr>
      </w:pPr>
      <w:r>
        <w:rPr>
          <w:rFonts w:cs="Carlito" w:ascii="Carlito" w:hAnsi="Carlito"/>
          <w:bCs/>
          <w:color w:val="auto"/>
          <w:sz w:val="24"/>
        </w:rPr>
        <w:t xml:space="preserve">b) </w:t>
      </w:r>
      <w:r>
        <w:rPr>
          <w:rFonts w:cs="Carlito" w:ascii="Carlito" w:hAnsi="Carlito"/>
          <w:bCs/>
          <w:color w:val="auto"/>
          <w:sz w:val="24"/>
        </w:rPr>
        <w:t>Multa de 10% (dez por cento) sobre o valor estimado do(s) item(s) prejudicado(s) pela conduta do fornecedor, por qualquer das infrações dos subitens 8.1.1 a 8.1.12;</w:t>
      </w:r>
    </w:p>
    <w:p>
      <w:pPr>
        <w:pStyle w:val="Ttulo1"/>
        <w:numPr>
          <w:ilvl w:val="0"/>
          <w:numId w:val="0"/>
        </w:numPr>
        <w:ind w:left="360" w:hanging="0"/>
        <w:jc w:val="both"/>
        <w:rPr>
          <w:rFonts w:ascii="Carlito" w:hAnsi="Carlito"/>
        </w:rPr>
      </w:pPr>
      <w:r>
        <w:rPr>
          <w:rFonts w:cs="Carlito" w:ascii="Carlito" w:hAnsi="Carlito"/>
          <w:bCs/>
          <w:color w:val="auto"/>
          <w:sz w:val="24"/>
        </w:rPr>
        <w:t xml:space="preserve">c) </w:t>
      </w:r>
      <w:r>
        <w:rPr>
          <w:rFonts w:cs="Carlito" w:ascii="Carlito" w:hAnsi="Carlito"/>
          <w:bCs/>
          <w:color w:val="auto"/>
          <w:sz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pPr>
        <w:pStyle w:val="Ttulo1"/>
        <w:widowControl/>
        <w:numPr>
          <w:ilvl w:val="0"/>
          <w:numId w:val="0"/>
        </w:numPr>
        <w:bidi w:val="0"/>
        <w:spacing w:lineRule="auto" w:line="276" w:before="120" w:after="120"/>
        <w:ind w:left="360" w:hanging="0"/>
        <w:jc w:val="both"/>
        <w:rPr>
          <w:rFonts w:ascii="Carlito" w:hAnsi="Carlito"/>
        </w:rPr>
      </w:pPr>
      <w:r>
        <w:rPr>
          <w:rFonts w:cs="Carlito" w:ascii="Carlito" w:hAnsi="Carlito"/>
          <w:bCs/>
          <w:color w:val="auto"/>
          <w:sz w:val="24"/>
        </w:rPr>
        <w:t xml:space="preserve">d) </w:t>
      </w:r>
      <w:r>
        <w:rPr>
          <w:rFonts w:cs="Carlito" w:ascii="Carlito" w:hAnsi="Carlito"/>
          <w:bCs/>
          <w:color w:val="auto"/>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pPr>
        <w:pStyle w:val="Normal"/>
        <w:widowControl/>
        <w:numPr>
          <w:ilvl w:val="2"/>
          <w:numId w:val="2"/>
        </w:numPr>
        <w:bidi w:val="0"/>
        <w:spacing w:lineRule="auto" w:line="276" w:before="120" w:after="120"/>
        <w:ind w:left="1270" w:right="0" w:hanging="397"/>
        <w:jc w:val="both"/>
        <w:rPr/>
      </w:pPr>
      <w:r>
        <w:rPr>
          <w:rFonts w:cs="Calibri" w:ascii="Carlito" w:hAnsi="Carlito" w:cstheme="minorHAnsi"/>
          <w:color w:val="auto"/>
          <w:sz w:val="24"/>
        </w:rPr>
        <w:t>praticar ato lesivo previsto no </w:t>
      </w:r>
      <w:r>
        <w:fldChar w:fldCharType="begin"/>
      </w:r>
      <w:r>
        <w:rPr>
          <w:rStyle w:val="LinkdaInternet"/>
          <w:sz w:val="24"/>
          <w:rFonts w:cs="Calibri" w:ascii="Carlito" w:hAnsi="Carlito"/>
        </w:rPr>
        <w:instrText> HYPERLINK "http://www.planalto.gov.br/ccivil_03/_ato2019-2022/2021/lei/L14133.htm" \l "art5"</w:instrText>
      </w:r>
      <w:r>
        <w:rPr>
          <w:rStyle w:val="LinkdaInternet"/>
          <w:sz w:val="24"/>
          <w:rFonts w:cs="Calibri" w:ascii="Carlito" w:hAnsi="Carlito"/>
        </w:rPr>
        <w:fldChar w:fldCharType="separate"/>
      </w:r>
      <w:r>
        <w:rPr>
          <w:rStyle w:val="LinkdaInternet"/>
          <w:rFonts w:cs="Calibri" w:ascii="Carlito" w:hAnsi="Carlito" w:cstheme="minorHAnsi"/>
          <w:color w:val="auto"/>
          <w:sz w:val="24"/>
        </w:rPr>
        <w:t>art. 5º da Lei nº 12.846, de 1º de agosto de 2013.</w:t>
      </w:r>
      <w:r>
        <w:rPr>
          <w:rStyle w:val="LinkdaInternet"/>
          <w:sz w:val="24"/>
          <w:rFonts w:cs="Calibri" w:ascii="Carlito" w:hAnsi="Carlito"/>
        </w:rPr>
        <w:fldChar w:fldCharType="end"/>
      </w:r>
    </w:p>
    <w:p>
      <w:pPr>
        <w:pStyle w:val="Normal"/>
        <w:widowControl/>
        <w:numPr>
          <w:ilvl w:val="2"/>
          <w:numId w:val="2"/>
        </w:numPr>
        <w:bidi w:val="0"/>
        <w:spacing w:lineRule="auto" w:line="276" w:before="120" w:after="120"/>
        <w:ind w:left="1270" w:right="0" w:hanging="397"/>
        <w:jc w:val="both"/>
        <w:rPr/>
      </w:pPr>
      <w:r>
        <w:rPr>
          <w:rFonts w:cs="Calibri" w:ascii="Carlito" w:hAnsi="Carlito" w:cstheme="minorHAnsi"/>
          <w:color w:val="auto"/>
          <w:sz w:val="24"/>
        </w:rPr>
        <w:t>praticar ato lesivo previsto no </w:t>
      </w:r>
      <w:r>
        <w:fldChar w:fldCharType="begin"/>
      </w:r>
      <w:r>
        <w:rPr>
          <w:rStyle w:val="LinkdaInternet"/>
          <w:sz w:val="24"/>
          <w:rFonts w:cs="Calibri" w:ascii="Carlito" w:hAnsi="Carlito"/>
        </w:rPr>
        <w:instrText> HYPERLINK "http://www.planalto.gov.br/ccivil_03/_ato2019-2022/2021/lei/L14133.htm" \l "art5"</w:instrText>
      </w:r>
      <w:r>
        <w:rPr>
          <w:rStyle w:val="LinkdaInternet"/>
          <w:sz w:val="24"/>
          <w:rFonts w:cs="Calibri" w:ascii="Carlito" w:hAnsi="Carlito"/>
        </w:rPr>
        <w:fldChar w:fldCharType="separate"/>
      </w:r>
      <w:r>
        <w:rPr>
          <w:rStyle w:val="LinkdaInternet"/>
          <w:rFonts w:cs="Calibri" w:ascii="Carlito" w:hAnsi="Carlito" w:cstheme="minorHAnsi"/>
          <w:color w:val="auto"/>
          <w:sz w:val="24"/>
        </w:rPr>
        <w:t>art. 5º da Lei nº 12.846, de 1º de agosto de 2013.</w:t>
      </w:r>
      <w:r>
        <w:rPr>
          <w:rStyle w:val="LinkdaInternet"/>
          <w:sz w:val="24"/>
          <w:rFonts w:cs="Calibri" w:ascii="Carlito" w:hAnsi="Carlito"/>
        </w:rPr>
        <w:fldChar w:fldCharType="end"/>
      </w:r>
    </w:p>
    <w:p>
      <w:pPr>
        <w:pStyle w:val="Normal"/>
        <w:widowControl/>
        <w:numPr>
          <w:ilvl w:val="1"/>
          <w:numId w:val="2"/>
        </w:numPr>
        <w:bidi w:val="0"/>
        <w:spacing w:lineRule="auto" w:line="276" w:before="120" w:after="120"/>
        <w:ind w:left="1270" w:right="0" w:hanging="397"/>
        <w:jc w:val="both"/>
        <w:rPr/>
      </w:pPr>
      <w:r>
        <w:rPr>
          <w:rFonts w:cs="Calibri" w:ascii="Carlito" w:hAnsi="Carlito" w:cstheme="minorHAnsi"/>
          <w:bCs/>
          <w:color w:val="auto"/>
          <w:sz w:val="24"/>
        </w:rPr>
        <w:t>A aplicação das sanções previstas neste Contrato não exclui, em hipótese alguma, a obrigação de reparação integral do dano causado à Contratante (</w:t>
      </w:r>
      <w:r>
        <w:fldChar w:fldCharType="begin"/>
      </w:r>
      <w:r>
        <w:rPr>
          <w:rStyle w:val="LinkdaInternet"/>
          <w:sz w:val="24"/>
          <w:bCs/>
          <w:rFonts w:cs="Calibri" w:ascii="Carlito" w:hAnsi="Carlito"/>
        </w:rPr>
        <w:instrText> HYPERLINK "http://www.planalto.gov.br/ccivil_03/_ato2019-2022/2021/lei/L14133.htm" \l "art156§9"</w:instrText>
      </w:r>
      <w:r>
        <w:rPr>
          <w:rStyle w:val="LinkdaInternet"/>
          <w:sz w:val="24"/>
          <w:bCs/>
          <w:rFonts w:cs="Calibri" w:ascii="Carlito" w:hAnsi="Carlito"/>
        </w:rPr>
        <w:fldChar w:fldCharType="separate"/>
      </w:r>
      <w:r>
        <w:rPr>
          <w:rStyle w:val="LinkdaInternet"/>
          <w:rFonts w:cs="Calibri" w:ascii="Carlito" w:hAnsi="Carlito" w:cstheme="minorHAnsi"/>
          <w:bCs/>
          <w:color w:val="auto"/>
          <w:sz w:val="24"/>
        </w:rPr>
        <w:t>art. 156, §9º</w:t>
      </w:r>
      <w:r>
        <w:rPr>
          <w:rStyle w:val="LinkdaInternet"/>
          <w:sz w:val="24"/>
          <w:bCs/>
          <w:rFonts w:cs="Calibri" w:ascii="Carlito" w:hAnsi="Carlito"/>
        </w:rPr>
        <w:fldChar w:fldCharType="end"/>
      </w:r>
      <w:r>
        <w:rPr>
          <w:rFonts w:cs="Calibri" w:ascii="Carlito" w:hAnsi="Carlito" w:cstheme="minorHAnsi"/>
          <w:bCs/>
          <w:color w:val="auto"/>
          <w:sz w:val="24"/>
        </w:rPr>
        <w:t>)</w:t>
      </w:r>
      <w:r>
        <w:rPr>
          <w:rFonts w:cs="Calibri" w:ascii="Carlito" w:hAnsi="Carlito" w:cstheme="minorHAnsi"/>
          <w:bCs/>
          <w:color w:val="auto"/>
          <w:sz w:val="24"/>
          <w:lang w:val="pt-PT"/>
        </w:rPr>
        <w:t>.</w:t>
      </w:r>
    </w:p>
    <w:p>
      <w:pPr>
        <w:pStyle w:val="Normal"/>
        <w:widowControl/>
        <w:numPr>
          <w:ilvl w:val="1"/>
          <w:numId w:val="2"/>
        </w:numPr>
        <w:bidi w:val="0"/>
        <w:spacing w:lineRule="auto" w:line="276" w:before="120" w:after="120"/>
        <w:ind w:left="1270" w:right="0" w:hanging="397"/>
        <w:jc w:val="both"/>
        <w:rPr/>
      </w:pPr>
      <w:r>
        <w:rPr>
          <w:rFonts w:cs="Calibri" w:ascii="Carlito" w:hAnsi="Carlito" w:cstheme="minorHAnsi"/>
          <w:bCs/>
          <w:color w:val="auto"/>
          <w:sz w:val="24"/>
        </w:rPr>
        <w:t xml:space="preserve">Todas as sanções previstas neste Aviso poderão ser aplicadas cumulativamente com a multa </w:t>
      </w:r>
      <w:r>
        <w:fldChar w:fldCharType="begin"/>
      </w:r>
      <w:r>
        <w:rPr>
          <w:rStyle w:val="LinkdaInternet"/>
          <w:sz w:val="24"/>
          <w:bCs/>
          <w:rFonts w:cs="Calibri" w:ascii="Carlito" w:hAnsi="Carlito"/>
        </w:rPr>
        <w:instrText> HYPERLINK "http://www.planalto.gov.br/ccivil_03/_ato2019-2022/2021/lei/L14133.htm" \l "art156§7"</w:instrText>
      </w:r>
      <w:r>
        <w:rPr>
          <w:rStyle w:val="LinkdaInternet"/>
          <w:sz w:val="24"/>
          <w:bCs/>
          <w:rFonts w:cs="Calibri" w:ascii="Carlito" w:hAnsi="Carlito"/>
        </w:rPr>
        <w:fldChar w:fldCharType="separate"/>
      </w:r>
      <w:r>
        <w:rPr>
          <w:rStyle w:val="LinkdaInternet"/>
          <w:rFonts w:cs="Calibri" w:ascii="Carlito" w:hAnsi="Carlito" w:cstheme="minorHAnsi"/>
          <w:bCs/>
          <w:color w:val="auto"/>
          <w:sz w:val="24"/>
        </w:rPr>
        <w:t>(art. 156, §7º</w:t>
      </w:r>
      <w:r>
        <w:rPr>
          <w:rStyle w:val="LinkdaInternet"/>
          <w:sz w:val="24"/>
          <w:bCs/>
          <w:rFonts w:cs="Calibri" w:ascii="Carlito" w:hAnsi="Carlito"/>
        </w:rPr>
        <w:fldChar w:fldCharType="end"/>
      </w:r>
      <w:r>
        <w:rPr>
          <w:rFonts w:cs="Calibri" w:ascii="Carlito" w:hAnsi="Carlito" w:cstheme="minorHAnsi"/>
          <w:bCs/>
          <w:color w:val="auto"/>
          <w:sz w:val="24"/>
        </w:rPr>
        <w:t>).</w:t>
      </w:r>
    </w:p>
    <w:p>
      <w:pPr>
        <w:pStyle w:val="Normal"/>
        <w:widowControl/>
        <w:numPr>
          <w:ilvl w:val="1"/>
          <w:numId w:val="2"/>
        </w:numPr>
        <w:bidi w:val="0"/>
        <w:spacing w:lineRule="auto" w:line="276" w:before="120" w:after="120"/>
        <w:ind w:left="1270" w:right="0" w:hanging="397"/>
        <w:jc w:val="both"/>
        <w:rPr/>
      </w:pPr>
      <w:r>
        <w:rPr>
          <w:rFonts w:cs="Calibri" w:ascii="Carlito" w:hAnsi="Carlito" w:cstheme="minorHAnsi"/>
          <w:bCs/>
          <w:color w:val="auto"/>
          <w:sz w:val="24"/>
        </w:rPr>
        <w:t>Antes da aplicação da multa, será facultada a defesa do interessado no prazo de 15 (quinze) dias úteis, contado da data de sua intimação (</w:t>
      </w:r>
      <w:r>
        <w:fldChar w:fldCharType="begin"/>
      </w:r>
      <w:r>
        <w:rPr>
          <w:rStyle w:val="LinkdaInternet"/>
          <w:sz w:val="24"/>
          <w:bCs/>
          <w:rFonts w:cs="Calibri" w:ascii="Carlito" w:hAnsi="Carlito"/>
        </w:rPr>
        <w:instrText> HYPERLINK "http://www.planalto.gov.br/ccivil_03/_ato2019-2022/2021/lei/L14133.htm" \l "art157"</w:instrText>
      </w:r>
      <w:r>
        <w:rPr>
          <w:rStyle w:val="LinkdaInternet"/>
          <w:sz w:val="24"/>
          <w:bCs/>
          <w:rFonts w:cs="Calibri" w:ascii="Carlito" w:hAnsi="Carlito"/>
        </w:rPr>
        <w:fldChar w:fldCharType="separate"/>
      </w:r>
      <w:r>
        <w:rPr>
          <w:rStyle w:val="LinkdaInternet"/>
          <w:rFonts w:cs="Calibri" w:ascii="Carlito" w:hAnsi="Carlito" w:cstheme="minorHAnsi"/>
          <w:bCs/>
          <w:color w:val="auto"/>
          <w:sz w:val="24"/>
        </w:rPr>
        <w:t>art. 157</w:t>
      </w:r>
      <w:r>
        <w:rPr>
          <w:rStyle w:val="LinkdaInternet"/>
          <w:sz w:val="24"/>
          <w:bCs/>
          <w:rFonts w:cs="Calibri" w:ascii="Carlito" w:hAnsi="Carlito"/>
        </w:rPr>
        <w:fldChar w:fldCharType="end"/>
      </w:r>
      <w:r>
        <w:rPr>
          <w:rFonts w:cs="Calibri" w:ascii="Carlito" w:hAnsi="Carlito" w:cstheme="minorHAnsi"/>
          <w:bCs/>
          <w:color w:val="auto"/>
          <w:sz w:val="24"/>
        </w:rPr>
        <w:t>).</w:t>
      </w:r>
    </w:p>
    <w:p>
      <w:pPr>
        <w:pStyle w:val="Normal"/>
        <w:widowControl/>
        <w:numPr>
          <w:ilvl w:val="1"/>
          <w:numId w:val="2"/>
        </w:numPr>
        <w:bidi w:val="0"/>
        <w:spacing w:lineRule="auto" w:line="276" w:before="120" w:after="120"/>
        <w:ind w:left="1270" w:right="0" w:hanging="397"/>
        <w:jc w:val="both"/>
        <w:rPr/>
      </w:pPr>
      <w:r>
        <w:rPr>
          <w:rFonts w:cs="Calibri" w:ascii="Carlito" w:hAnsi="Carlito" w:cstheme="minorHAnsi"/>
          <w:bCs/>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sz w:val="24"/>
          <w:bCs/>
          <w:rFonts w:cs="Calibri" w:ascii="Carlito" w:hAnsi="Carlito"/>
        </w:rPr>
        <w:instrText> HYPERLINK "http://www.planalto.gov.br/ccivil_03/_ato2019-2022/2021/lei/L14133.htm" \l "art156§8"</w:instrText>
      </w:r>
      <w:r>
        <w:rPr>
          <w:rStyle w:val="LinkdaInternet"/>
          <w:sz w:val="24"/>
          <w:bCs/>
          <w:rFonts w:cs="Calibri" w:ascii="Carlito" w:hAnsi="Carlito"/>
        </w:rPr>
        <w:fldChar w:fldCharType="separate"/>
      </w:r>
      <w:r>
        <w:rPr>
          <w:rStyle w:val="LinkdaInternet"/>
          <w:rFonts w:cs="Calibri" w:ascii="Carlito" w:hAnsi="Carlito" w:cstheme="minorHAnsi"/>
          <w:bCs/>
          <w:color w:val="auto"/>
          <w:sz w:val="24"/>
        </w:rPr>
        <w:t>art. 156, §8º</w:t>
      </w:r>
      <w:r>
        <w:rPr>
          <w:rStyle w:val="LinkdaInternet"/>
          <w:sz w:val="24"/>
          <w:bCs/>
          <w:rFonts w:cs="Calibri" w:ascii="Carlito" w:hAnsi="Carlito"/>
        </w:rPr>
        <w:fldChar w:fldCharType="end"/>
      </w:r>
      <w:r>
        <w:rPr>
          <w:rFonts w:cs="Calibri" w:ascii="Carlito" w:hAnsi="Carlito" w:cstheme="minorHAnsi"/>
          <w:bCs/>
          <w:color w:val="auto"/>
          <w:sz w:val="24"/>
        </w:rPr>
        <w:t>).</w:t>
      </w:r>
    </w:p>
    <w:p>
      <w:pPr>
        <w:pStyle w:val="Normal"/>
        <w:widowControl/>
        <w:numPr>
          <w:ilvl w:val="1"/>
          <w:numId w:val="2"/>
        </w:numPr>
        <w:bidi w:val="0"/>
        <w:spacing w:lineRule="auto" w:line="276" w:before="120" w:after="120"/>
        <w:ind w:left="1270" w:right="0" w:hanging="397"/>
        <w:jc w:val="both"/>
        <w:rPr/>
      </w:pPr>
      <w:r>
        <w:rPr>
          <w:rFonts w:cs="Calibri" w:ascii="Carlito" w:hAnsi="Carlito" w:cstheme="minorHAnsi"/>
          <w:bCs/>
          <w:color w:val="auto"/>
          <w:sz w:val="24"/>
        </w:rPr>
        <w:t>Previamente ao encaminhamento à cobrança judicial, a multa poderá ser recolhida administrativamente no prazo máximo de 10 (dez) dias, a contar da data do recebimento da comunicação enviada pela autoridade competente.</w:t>
      </w:r>
    </w:p>
    <w:p>
      <w:pPr>
        <w:pStyle w:val="Normal"/>
        <w:widowControl/>
        <w:numPr>
          <w:ilvl w:val="1"/>
          <w:numId w:val="2"/>
        </w:numPr>
        <w:bidi w:val="0"/>
        <w:spacing w:lineRule="auto" w:line="276" w:before="120" w:after="120"/>
        <w:ind w:left="1270" w:right="0" w:hanging="397"/>
        <w:jc w:val="both"/>
        <w:rPr/>
      </w:pPr>
      <w:r>
        <w:rPr>
          <w:rFonts w:cs="Calibri" w:ascii="Carlito" w:hAnsi="Carlito" w:cstheme="minorHAnsi"/>
          <w:bCs/>
          <w:color w:val="auto"/>
          <w:sz w:val="24"/>
        </w:rPr>
        <w:t xml:space="preserve">A aplicação das sanções realizar-se-á em processo administrativo que assegure o contraditório e a ampla defesa ao Contratado, observando-se o procedimento previsto no </w:t>
      </w:r>
      <w:r>
        <w:rPr>
          <w:rFonts w:cs="Calibri" w:ascii="Carlito" w:hAnsi="Carlito" w:cstheme="minorHAnsi"/>
          <w:b/>
          <w:bCs/>
          <w:color w:val="auto"/>
          <w:sz w:val="24"/>
        </w:rPr>
        <w:t xml:space="preserve">caput </w:t>
      </w:r>
      <w:r>
        <w:rPr>
          <w:rFonts w:cs="Calibri" w:ascii="Carlito" w:hAnsi="Carlito" w:cstheme="minorHAnsi"/>
          <w:bCs/>
          <w:color w:val="auto"/>
          <w:sz w:val="24"/>
        </w:rPr>
        <w:t xml:space="preserve">e parágrafos do </w:t>
      </w:r>
      <w:r>
        <w:fldChar w:fldCharType="begin"/>
      </w:r>
      <w:r>
        <w:rPr>
          <w:rStyle w:val="LinkdaInternet"/>
          <w:sz w:val="24"/>
          <w:bCs/>
          <w:rFonts w:cs="Calibri" w:ascii="Carlito" w:hAnsi="Carlito"/>
        </w:rPr>
        <w:instrText> HYPERLINK "http://www.planalto.gov.br/ccivil_03/_ato2019-2022/2021/lei/L14133.htm" \l "art158"</w:instrText>
      </w:r>
      <w:r>
        <w:rPr>
          <w:rStyle w:val="LinkdaInternet"/>
          <w:sz w:val="24"/>
          <w:bCs/>
          <w:rFonts w:cs="Calibri" w:ascii="Carlito" w:hAnsi="Carlito"/>
        </w:rPr>
        <w:fldChar w:fldCharType="separate"/>
      </w:r>
      <w:r>
        <w:rPr>
          <w:rStyle w:val="LinkdaInternet"/>
          <w:rFonts w:cs="Calibri" w:ascii="Carlito" w:hAnsi="Carlito" w:cstheme="minorHAnsi"/>
          <w:bCs/>
          <w:color w:val="auto"/>
          <w:sz w:val="24"/>
        </w:rPr>
        <w:t>art. 158 da Lei nº 14.133, de 2021</w:t>
      </w:r>
      <w:r>
        <w:rPr>
          <w:rStyle w:val="LinkdaInternet"/>
          <w:sz w:val="24"/>
          <w:bCs/>
          <w:rFonts w:cs="Calibri" w:ascii="Carlito" w:hAnsi="Carlito"/>
        </w:rPr>
        <w:fldChar w:fldCharType="end"/>
      </w:r>
      <w:r>
        <w:rPr>
          <w:rFonts w:cs="Calibri" w:ascii="Carlito" w:hAnsi="Carlito" w:cstheme="minorHAnsi"/>
          <w:bCs/>
          <w:color w:val="auto"/>
          <w:sz w:val="24"/>
        </w:rPr>
        <w:t>, para as penalidades de impedimento de licitar e contratar e de declaração de inidoneidade para licitar ou contratar.</w:t>
      </w:r>
    </w:p>
    <w:p>
      <w:pPr>
        <w:pStyle w:val="Normal"/>
        <w:widowControl/>
        <w:numPr>
          <w:ilvl w:val="1"/>
          <w:numId w:val="2"/>
        </w:numPr>
        <w:bidi w:val="0"/>
        <w:spacing w:lineRule="auto" w:line="276" w:before="120" w:after="120"/>
        <w:ind w:left="1270" w:right="0" w:hanging="397"/>
        <w:jc w:val="both"/>
        <w:rPr/>
      </w:pPr>
      <w:r>
        <w:rPr>
          <w:rFonts w:cs="Calibri" w:ascii="Carlito" w:hAnsi="Carlito" w:cstheme="minorHAnsi"/>
          <w:bCs/>
          <w:color w:val="auto"/>
          <w:sz w:val="24"/>
        </w:rPr>
        <w:t>Na aplicação das sanções serão considerados (</w:t>
      </w:r>
      <w:r>
        <w:fldChar w:fldCharType="begin"/>
      </w:r>
      <w:r>
        <w:rPr>
          <w:rStyle w:val="LinkdaInternet"/>
          <w:sz w:val="24"/>
          <w:bCs/>
          <w:rFonts w:cs="Calibri" w:ascii="Carlito" w:hAnsi="Carlito"/>
        </w:rPr>
        <w:instrText> HYPERLINK "http://www.planalto.gov.br/ccivil_03/_ato2019-2022/2021/lei/L14133.htm" \l "art156§1"</w:instrText>
      </w:r>
      <w:r>
        <w:rPr>
          <w:rStyle w:val="LinkdaInternet"/>
          <w:sz w:val="24"/>
          <w:bCs/>
          <w:rFonts w:cs="Calibri" w:ascii="Carlito" w:hAnsi="Carlito"/>
        </w:rPr>
        <w:fldChar w:fldCharType="separate"/>
      </w:r>
      <w:r>
        <w:rPr>
          <w:rStyle w:val="LinkdaInternet"/>
          <w:rFonts w:cs="Calibri" w:ascii="Carlito" w:hAnsi="Carlito" w:cstheme="minorHAnsi"/>
          <w:bCs/>
          <w:color w:val="auto"/>
          <w:sz w:val="24"/>
        </w:rPr>
        <w:t>art. 156, §1º</w:t>
      </w:r>
      <w:r>
        <w:rPr>
          <w:rStyle w:val="LinkdaInternet"/>
          <w:sz w:val="24"/>
          <w:bCs/>
          <w:rFonts w:cs="Calibri" w:ascii="Carlito" w:hAnsi="Carlito"/>
        </w:rPr>
        <w:fldChar w:fldCharType="end"/>
      </w:r>
      <w:r>
        <w:rPr>
          <w:rFonts w:cs="Calibri" w:ascii="Carlito" w:hAnsi="Carlito" w:cstheme="minorHAnsi"/>
          <w:bCs/>
          <w:color w:val="auto"/>
          <w:sz w:val="24"/>
        </w:rPr>
        <w:t>):</w:t>
      </w:r>
    </w:p>
    <w:p>
      <w:pPr>
        <w:pStyle w:val="Normal"/>
        <w:widowControl/>
        <w:numPr>
          <w:ilvl w:val="2"/>
          <w:numId w:val="2"/>
        </w:numPr>
        <w:bidi w:val="0"/>
        <w:spacing w:lineRule="auto" w:line="276" w:before="120" w:after="120"/>
        <w:ind w:left="1270" w:right="0" w:hanging="397"/>
        <w:jc w:val="both"/>
        <w:rPr/>
      </w:pPr>
      <w:r>
        <w:rPr>
          <w:rFonts w:cs="Calibri" w:ascii="Carlito" w:hAnsi="Carlito" w:cstheme="minorHAnsi"/>
          <w:bCs/>
          <w:color w:val="auto"/>
          <w:sz w:val="24"/>
        </w:rPr>
        <w:t>a natureza e a gravidade da infração cometida;</w:t>
      </w:r>
    </w:p>
    <w:p>
      <w:pPr>
        <w:pStyle w:val="Normal"/>
        <w:widowControl/>
        <w:numPr>
          <w:ilvl w:val="2"/>
          <w:numId w:val="2"/>
        </w:numPr>
        <w:bidi w:val="0"/>
        <w:spacing w:lineRule="auto" w:line="276" w:before="120" w:after="120"/>
        <w:ind w:left="1270" w:right="0" w:hanging="397"/>
        <w:jc w:val="both"/>
        <w:rPr/>
      </w:pPr>
      <w:r>
        <w:rPr>
          <w:rFonts w:cs="Calibri" w:ascii="Carlito" w:hAnsi="Carlito" w:cstheme="minorHAnsi"/>
          <w:bCs/>
          <w:color w:val="auto"/>
          <w:sz w:val="24"/>
        </w:rPr>
        <w:t>as peculiaridades do caso concreto;</w:t>
      </w:r>
    </w:p>
    <w:p>
      <w:pPr>
        <w:pStyle w:val="Normal"/>
        <w:widowControl/>
        <w:numPr>
          <w:ilvl w:val="2"/>
          <w:numId w:val="2"/>
        </w:numPr>
        <w:bidi w:val="0"/>
        <w:spacing w:lineRule="auto" w:line="276" w:before="120" w:after="120"/>
        <w:ind w:left="1270" w:right="0" w:hanging="397"/>
        <w:jc w:val="both"/>
        <w:rPr/>
      </w:pPr>
      <w:r>
        <w:rPr>
          <w:rFonts w:cs="Calibri" w:ascii="Carlito" w:hAnsi="Carlito" w:cstheme="minorHAnsi"/>
          <w:bCs/>
          <w:color w:val="auto"/>
          <w:sz w:val="24"/>
        </w:rPr>
        <w:t>as circunstâncias agravantes ou atenuantes;</w:t>
      </w:r>
    </w:p>
    <w:p>
      <w:pPr>
        <w:pStyle w:val="Normal"/>
        <w:widowControl/>
        <w:numPr>
          <w:ilvl w:val="1"/>
          <w:numId w:val="2"/>
        </w:numPr>
        <w:bidi w:val="0"/>
        <w:spacing w:lineRule="auto" w:line="276" w:before="120" w:after="120"/>
        <w:ind w:left="1270" w:right="0" w:hanging="397"/>
        <w:jc w:val="both"/>
        <w:rPr/>
      </w:pPr>
      <w:r>
        <w:rPr>
          <w:rFonts w:cs="Calibri" w:ascii="Carlito" w:hAnsi="Carlito" w:cstheme="minorHAnsi"/>
          <w:bCs/>
          <w:color w:val="auto"/>
          <w:sz w:val="24"/>
        </w:rPr>
        <w:t>os danos que dela provierem para o Contratante;</w:t>
      </w:r>
    </w:p>
    <w:p>
      <w:pPr>
        <w:pStyle w:val="Normal"/>
        <w:widowControl/>
        <w:numPr>
          <w:ilvl w:val="1"/>
          <w:numId w:val="2"/>
        </w:numPr>
        <w:bidi w:val="0"/>
        <w:spacing w:lineRule="auto" w:line="276" w:before="120" w:after="120"/>
        <w:ind w:left="1270" w:right="0" w:hanging="397"/>
        <w:jc w:val="both"/>
        <w:rPr/>
      </w:pPr>
      <w:r>
        <w:rPr>
          <w:rFonts w:cs="Calibri" w:ascii="Carlito" w:hAnsi="Carlito" w:cstheme="minorHAnsi"/>
          <w:bCs/>
          <w:color w:val="auto"/>
          <w:sz w:val="24"/>
        </w:rPr>
        <w:t>a implantação ou o aperfeiçoamento de programa de integridade, conforme normas e orientações dos órgãos de controle.</w:t>
      </w:r>
    </w:p>
    <w:p>
      <w:pPr>
        <w:pStyle w:val="Normal"/>
        <w:widowControl/>
        <w:numPr>
          <w:ilvl w:val="1"/>
          <w:numId w:val="2"/>
        </w:numPr>
        <w:bidi w:val="0"/>
        <w:spacing w:lineRule="auto" w:line="276" w:before="120" w:after="120"/>
        <w:ind w:left="1270" w:right="0" w:hanging="397"/>
        <w:jc w:val="both"/>
        <w:rPr/>
      </w:pPr>
      <w:r>
        <w:rPr>
          <w:rFonts w:cs="Calibri" w:ascii="Carlito" w:hAnsi="Carlito" w:cstheme="minorHAnsi"/>
          <w:bCs/>
          <w:color w:val="auto"/>
          <w:sz w:val="24"/>
        </w:rPr>
        <w:t xml:space="preserve">Os atos previstos como infrações administrativas na </w:t>
      </w:r>
      <w:hyperlink r:id="rId15">
        <w:r>
          <w:rPr>
            <w:rStyle w:val="LinkdaInternet"/>
            <w:rFonts w:cs="Calibri" w:ascii="Carlito" w:hAnsi="Carlito" w:cstheme="minorHAnsi"/>
            <w:bCs/>
            <w:color w:val="auto"/>
            <w:sz w:val="24"/>
          </w:rPr>
          <w:t>Lei nº 14.133, de 2021</w:t>
        </w:r>
      </w:hyperlink>
      <w:r>
        <w:rPr>
          <w:rFonts w:cs="Calibri" w:ascii="Carlito" w:hAnsi="Carlito" w:cstheme="minorHAnsi"/>
          <w:bCs/>
          <w:color w:val="auto"/>
          <w:sz w:val="24"/>
        </w:rPr>
        <w:t xml:space="preserve">, ou em outras leis de licitações e contratos da Administração Pública que também sejam tipificados como atos lesivos na </w:t>
      </w:r>
      <w:hyperlink r:id="rId16">
        <w:r>
          <w:rPr>
            <w:rStyle w:val="LinkdaInternet"/>
            <w:rFonts w:cs="Calibri" w:ascii="Carlito" w:hAnsi="Carlito" w:cstheme="minorHAnsi"/>
            <w:bCs/>
            <w:color w:val="auto"/>
            <w:sz w:val="24"/>
          </w:rPr>
          <w:t>Lei nº 12.846, de 1º de agosto de 2013</w:t>
        </w:r>
      </w:hyperlink>
      <w:r>
        <w:rPr>
          <w:rFonts w:cs="Calibri" w:ascii="Carlito" w:hAnsi="Carlito" w:cstheme="minorHAnsi"/>
          <w:bCs/>
          <w:color w:val="auto"/>
          <w:sz w:val="24"/>
        </w:rPr>
        <w:t>, serão apurados e julgados conjuntamente, nos mesmos autos, observados o rito procedimental e autoridade competente definidos na referida Lei (</w:t>
      </w:r>
      <w:r>
        <w:fldChar w:fldCharType="begin"/>
      </w:r>
      <w:r>
        <w:rPr>
          <w:rStyle w:val="LinkdaInternet"/>
          <w:sz w:val="24"/>
          <w:bCs/>
          <w:rFonts w:cs="Calibri" w:ascii="Carlito" w:hAnsi="Carlito"/>
        </w:rPr>
        <w:instrText> HYPERLINK "http://www.planalto.gov.br/ccivil_03/_ato2019-2022/2021/lei/L14133.htm" \l "art159"</w:instrText>
      </w:r>
      <w:r>
        <w:rPr>
          <w:rStyle w:val="LinkdaInternet"/>
          <w:sz w:val="24"/>
          <w:bCs/>
          <w:rFonts w:cs="Calibri" w:ascii="Carlito" w:hAnsi="Carlito"/>
        </w:rPr>
        <w:fldChar w:fldCharType="separate"/>
      </w:r>
      <w:r>
        <w:rPr>
          <w:rStyle w:val="LinkdaInternet"/>
          <w:rFonts w:cs="Calibri" w:ascii="Carlito" w:hAnsi="Carlito" w:cstheme="minorHAnsi"/>
          <w:bCs/>
          <w:color w:val="auto"/>
          <w:sz w:val="24"/>
        </w:rPr>
        <w:t>art. 159</w:t>
      </w:r>
      <w:r>
        <w:rPr>
          <w:rStyle w:val="LinkdaInternet"/>
          <w:sz w:val="24"/>
          <w:bCs/>
          <w:rFonts w:cs="Calibri" w:ascii="Carlito" w:hAnsi="Carlito"/>
        </w:rPr>
        <w:fldChar w:fldCharType="end"/>
      </w:r>
      <w:r>
        <w:rPr>
          <w:rFonts w:cs="Calibri" w:ascii="Carlito" w:hAnsi="Carlito" w:cstheme="minorHAnsi"/>
          <w:bCs/>
          <w:color w:val="auto"/>
          <w:sz w:val="24"/>
        </w:rPr>
        <w:t>).</w:t>
      </w:r>
    </w:p>
    <w:p>
      <w:pPr>
        <w:pStyle w:val="Normal"/>
        <w:widowControl/>
        <w:numPr>
          <w:ilvl w:val="1"/>
          <w:numId w:val="2"/>
        </w:numPr>
        <w:bidi w:val="0"/>
        <w:spacing w:lineRule="auto" w:line="276" w:before="120" w:after="120"/>
        <w:ind w:left="1270" w:right="0" w:hanging="397"/>
        <w:jc w:val="both"/>
        <w:rPr/>
      </w:pPr>
      <w:r>
        <w:rPr>
          <w:rFonts w:cs="Calibri" w:ascii="Carlito" w:hAnsi="Carlito" w:cstheme="minorHAnsi"/>
          <w:bCs/>
          <w:color w:val="auto"/>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sz w:val="24"/>
          <w:bCs/>
          <w:rFonts w:cs="Calibri" w:ascii="Carlito" w:hAnsi="Carlito"/>
        </w:rPr>
        <w:instrText> HYPERLINK "http://www.planalto.gov.br/ccivil_03/_ato2019-2022/2021/lei/L14133.htm" \l "art160"</w:instrText>
      </w:r>
      <w:r>
        <w:rPr>
          <w:rStyle w:val="LinkdaInternet"/>
          <w:sz w:val="24"/>
          <w:bCs/>
          <w:rFonts w:cs="Calibri" w:ascii="Carlito" w:hAnsi="Carlito"/>
        </w:rPr>
        <w:fldChar w:fldCharType="separate"/>
      </w:r>
      <w:r>
        <w:rPr>
          <w:rStyle w:val="LinkdaInternet"/>
          <w:rFonts w:cs="Calibri" w:ascii="Carlito" w:hAnsi="Carlito" w:cstheme="minorHAnsi"/>
          <w:bCs/>
          <w:color w:val="auto"/>
          <w:sz w:val="24"/>
        </w:rPr>
        <w:t>art. 160</w:t>
      </w:r>
      <w:r>
        <w:rPr>
          <w:rStyle w:val="LinkdaInternet"/>
          <w:sz w:val="24"/>
          <w:bCs/>
          <w:rFonts w:cs="Calibri" w:ascii="Carlito" w:hAnsi="Carlito"/>
        </w:rPr>
        <w:fldChar w:fldCharType="end"/>
      </w:r>
      <w:r>
        <w:rPr>
          <w:rFonts w:cs="Calibri" w:ascii="Carlito" w:hAnsi="Carlito" w:cstheme="minorHAnsi"/>
          <w:bCs/>
          <w:color w:val="auto"/>
          <w:sz w:val="24"/>
        </w:rPr>
        <w:t>).</w:t>
      </w:r>
    </w:p>
    <w:p>
      <w:pPr>
        <w:pStyle w:val="Normal"/>
        <w:widowControl/>
        <w:numPr>
          <w:ilvl w:val="1"/>
          <w:numId w:val="2"/>
        </w:numPr>
        <w:bidi w:val="0"/>
        <w:spacing w:lineRule="auto" w:line="276" w:before="120" w:after="120"/>
        <w:ind w:left="1270" w:right="0" w:hanging="397"/>
        <w:jc w:val="both"/>
        <w:rPr/>
      </w:pPr>
      <w:r>
        <w:rPr>
          <w:rFonts w:cs="Calibri" w:ascii="Carlito" w:hAnsi="Carlito" w:cstheme="minorHAnsi"/>
          <w:bCs/>
          <w:color w:val="auto"/>
          <w:sz w:val="24"/>
        </w:rPr>
        <w:t xml:space="preserve"> </w:t>
      </w:r>
      <w:r>
        <w:rPr>
          <w:rFonts w:cs="Calibri" w:ascii="Carlito" w:hAnsi="Carlito" w:cstheme="minorHAnsi"/>
          <w:bCs/>
          <w:color w:val="auto"/>
          <w:sz w:val="24"/>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LinkdaInternet"/>
          <w:sz w:val="24"/>
          <w:bCs/>
          <w:rFonts w:cs="Calibri" w:ascii="Carlito" w:hAnsi="Carlito"/>
        </w:rPr>
        <w:instrText> HYPERLINK "http://www.planalto.gov.br/ccivil_03/_ato2019-2022/2021/lei/L14133.htm" \l "art161"</w:instrText>
      </w:r>
      <w:r>
        <w:rPr>
          <w:rStyle w:val="LinkdaInternet"/>
          <w:sz w:val="24"/>
          <w:bCs/>
          <w:rFonts w:cs="Calibri" w:ascii="Carlito" w:hAnsi="Carlito"/>
        </w:rPr>
        <w:fldChar w:fldCharType="separate"/>
      </w:r>
      <w:r>
        <w:rPr>
          <w:rStyle w:val="LinkdaInternet"/>
          <w:rFonts w:cs="Calibri" w:ascii="Carlito" w:hAnsi="Carlito" w:cstheme="minorHAnsi"/>
          <w:bCs/>
          <w:color w:val="auto"/>
          <w:sz w:val="24"/>
        </w:rPr>
        <w:t>Art. 161</w:t>
      </w:r>
      <w:r>
        <w:rPr>
          <w:rStyle w:val="LinkdaInternet"/>
          <w:sz w:val="24"/>
          <w:bCs/>
          <w:rFonts w:cs="Calibri" w:ascii="Carlito" w:hAnsi="Carlito"/>
        </w:rPr>
        <w:fldChar w:fldCharType="end"/>
      </w:r>
      <w:r>
        <w:rPr>
          <w:rFonts w:cs="Calibri" w:ascii="Carlito" w:hAnsi="Carlito" w:cstheme="minorHAnsi"/>
          <w:bCs/>
          <w:color w:val="auto"/>
          <w:sz w:val="24"/>
        </w:rPr>
        <w:t>).</w:t>
      </w:r>
    </w:p>
    <w:p>
      <w:pPr>
        <w:pStyle w:val="Ttulo1"/>
        <w:numPr>
          <w:ilvl w:val="1"/>
          <w:numId w:val="2"/>
        </w:numPr>
        <w:ind w:left="792" w:hanging="432"/>
        <w:rPr/>
      </w:pPr>
      <w:r>
        <w:rPr>
          <w:rFonts w:cs="Calibri" w:ascii="Carlito" w:hAnsi="Carlito" w:cstheme="minorHAnsi"/>
          <w:bCs/>
          <w:color w:val="auto"/>
          <w:sz w:val="24"/>
        </w:rPr>
        <w:t xml:space="preserve">As sanções de impedimento de licitar e contratar e declaração de inidoneidade para licitar ou contratar são passíveis de reabilitação na forma do </w:t>
      </w:r>
      <w:r>
        <w:fldChar w:fldCharType="begin"/>
      </w:r>
      <w:r>
        <w:rPr>
          <w:rStyle w:val="LinkdaInternet"/>
          <w:sz w:val="24"/>
          <w:bCs/>
          <w:rFonts w:cs="Calibri" w:ascii="Carlito" w:hAnsi="Carlito"/>
        </w:rPr>
        <w:instrText> HYPERLINK "http://www.planalto.gov.br/ccivil_03/_ato2019-2022/2021/lei/L14133.htm" \l "art163"</w:instrText>
      </w:r>
      <w:r>
        <w:rPr>
          <w:rStyle w:val="LinkdaInternet"/>
          <w:sz w:val="24"/>
          <w:bCs/>
          <w:rFonts w:cs="Calibri" w:ascii="Carlito" w:hAnsi="Carlito"/>
        </w:rPr>
        <w:fldChar w:fldCharType="separate"/>
      </w:r>
      <w:r>
        <w:rPr>
          <w:rStyle w:val="LinkdaInternet"/>
          <w:rFonts w:cs="Calibri" w:ascii="Carlito" w:hAnsi="Carlito" w:cstheme="minorHAnsi"/>
          <w:bCs/>
          <w:color w:val="auto"/>
          <w:sz w:val="24"/>
        </w:rPr>
        <w:t>art. 163 da Lei nº 14.133, de 2021.</w:t>
      </w:r>
      <w:r>
        <w:rPr>
          <w:rStyle w:val="LinkdaInternet"/>
          <w:sz w:val="24"/>
          <w:bCs/>
          <w:rFonts w:cs="Calibri" w:ascii="Carlito" w:hAnsi="Carlito"/>
        </w:rPr>
        <w:fldChar w:fldCharType="end"/>
      </w:r>
    </w:p>
    <w:p>
      <w:pPr>
        <w:pStyle w:val="Ttulo1"/>
        <w:numPr>
          <w:ilvl w:val="1"/>
          <w:numId w:val="2"/>
        </w:numPr>
        <w:ind w:left="792" w:hanging="432"/>
        <w:rPr>
          <w:rFonts w:ascii="Carlito" w:hAnsi="Carlito"/>
        </w:rPr>
      </w:pPr>
      <w:r>
        <w:rPr>
          <w:rFonts w:cs="Calibri" w:ascii="Carlito" w:hAnsi="Carlito" w:cstheme="minorHAnsi"/>
          <w:color w:val="auto"/>
          <w:sz w:val="24"/>
        </w:rPr>
        <w:t>As sanções por atos praticados no decorrer da contratação estão previstas nos anexos a este Aviso.</w:t>
      </w:r>
    </w:p>
    <w:p>
      <w:pPr>
        <w:pStyle w:val="Normal"/>
        <w:rPr>
          <w:rFonts w:ascii="Carlito" w:hAnsi="Carlito" w:cs="Calibri" w:cstheme="minorHAnsi"/>
          <w:b/>
          <w:b/>
          <w:bCs/>
          <w:color w:val="auto"/>
          <w:sz w:val="24"/>
          <w:szCs w:val="24"/>
        </w:rPr>
      </w:pPr>
      <w:r>
        <w:rPr>
          <w:rFonts w:cs="Calibri" w:cstheme="minorHAnsi" w:ascii="Carlito" w:hAnsi="Carlito"/>
          <w:b/>
          <w:bCs/>
          <w:color w:val="auto"/>
          <w:sz w:val="24"/>
          <w:szCs w:val="24"/>
        </w:rPr>
      </w:r>
    </w:p>
    <w:p>
      <w:pPr>
        <w:pStyle w:val="Ttulo1"/>
        <w:numPr>
          <w:ilvl w:val="0"/>
          <w:numId w:val="2"/>
        </w:numPr>
        <w:rPr>
          <w:rFonts w:ascii="Carlito" w:hAnsi="Carlito"/>
        </w:rPr>
      </w:pPr>
      <w:bookmarkStart w:id="10" w:name="_Toc104906826"/>
      <w:r>
        <w:rPr>
          <w:rFonts w:cs="Calibri" w:ascii="Carlito" w:hAnsi="Carlito" w:cstheme="minorHAnsi"/>
          <w:b/>
          <w:bCs/>
          <w:color w:val="auto"/>
          <w:sz w:val="24"/>
          <w:szCs w:val="24"/>
        </w:rPr>
        <w:t>DAS DISPOSIÇÕES GERAIS</w:t>
      </w:r>
      <w:bookmarkEnd w:id="10"/>
    </w:p>
    <w:p>
      <w:pPr>
        <w:pStyle w:val="Normal"/>
        <w:numPr>
          <w:ilvl w:val="1"/>
          <w:numId w:val="2"/>
        </w:numPr>
        <w:spacing w:lineRule="auto" w:line="276" w:before="120" w:after="120"/>
        <w:ind w:left="425" w:hanging="0"/>
        <w:jc w:val="both"/>
        <w:rPr>
          <w:rFonts w:ascii="Carlito" w:hAnsi="Carlito"/>
        </w:rPr>
      </w:pPr>
      <w:r>
        <w:rPr>
          <w:rFonts w:cs="Calibri" w:ascii="Carlito" w:hAnsi="Carlito" w:cstheme="minorHAnsi"/>
          <w:color w:val="000000"/>
          <w:sz w:val="24"/>
        </w:rPr>
        <w:t>No caso de todos os fornecedores restarem desclassificados ou inabilitados (procedimento fracassado), a Administração poderá:</w:t>
      </w:r>
    </w:p>
    <w:p>
      <w:pPr>
        <w:pStyle w:val="Normal"/>
        <w:numPr>
          <w:ilvl w:val="2"/>
          <w:numId w:val="2"/>
        </w:numPr>
        <w:spacing w:lineRule="auto" w:line="276" w:before="120" w:after="120"/>
        <w:jc w:val="both"/>
        <w:rPr>
          <w:rFonts w:ascii="Carlito" w:hAnsi="Carlito"/>
        </w:rPr>
      </w:pPr>
      <w:r>
        <w:rPr>
          <w:rFonts w:cs="Calibri" w:ascii="Carlito" w:hAnsi="Carlito" w:cstheme="minorHAnsi"/>
          <w:color w:val="000000"/>
          <w:sz w:val="24"/>
        </w:rPr>
        <w:t>republicar o presente aviso com uma nova data;</w:t>
      </w:r>
    </w:p>
    <w:p>
      <w:pPr>
        <w:pStyle w:val="Normal"/>
        <w:numPr>
          <w:ilvl w:val="2"/>
          <w:numId w:val="2"/>
        </w:numPr>
        <w:spacing w:lineRule="auto" w:line="276" w:before="120" w:after="120"/>
        <w:jc w:val="both"/>
        <w:rPr>
          <w:rFonts w:ascii="Carlito" w:hAnsi="Carlito"/>
        </w:rPr>
      </w:pPr>
      <w:r>
        <w:rPr>
          <w:rFonts w:cs="Calibri" w:ascii="Carlito" w:hAnsi="Carlito" w:cstheme="minorHAnsi"/>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2"/>
        </w:numPr>
        <w:spacing w:lineRule="auto" w:line="276" w:before="120" w:after="120"/>
        <w:jc w:val="both"/>
        <w:rPr>
          <w:rFonts w:ascii="Carlito" w:hAnsi="Carlito"/>
        </w:rPr>
      </w:pPr>
      <w:r>
        <w:rPr>
          <w:rFonts w:cs="Calibri" w:ascii="Carlito" w:hAnsi="Carlito" w:cstheme="minorHAnsi"/>
          <w:color w:val="000000"/>
          <w:sz w:val="24"/>
        </w:rPr>
        <w:t>No caso do subitem anterior, a contratação será operacionalizada fora deste procedimento.</w:t>
      </w:r>
    </w:p>
    <w:p>
      <w:pPr>
        <w:pStyle w:val="Normal"/>
        <w:numPr>
          <w:ilvl w:val="2"/>
          <w:numId w:val="2"/>
        </w:numPr>
        <w:spacing w:lineRule="auto" w:line="276" w:before="120" w:after="120"/>
        <w:jc w:val="both"/>
        <w:rPr>
          <w:rFonts w:ascii="Carlito" w:hAnsi="Carlito"/>
        </w:rPr>
      </w:pPr>
      <w:r>
        <w:rPr>
          <w:rFonts w:cs="Calibri" w:ascii="Carlito" w:hAnsi="Carlito" w:cstheme="minorHAnsi"/>
          <w:color w:val="000000"/>
          <w:sz w:val="24"/>
        </w:rPr>
        <w:t>fixar prazo para que possa haver adequação das propostas ou da documentação de habilitação, conforme o caso.</w:t>
      </w:r>
    </w:p>
    <w:p>
      <w:pPr>
        <w:pStyle w:val="Normal"/>
        <w:widowControl/>
        <w:numPr>
          <w:ilvl w:val="1"/>
          <w:numId w:val="2"/>
        </w:numPr>
        <w:bidi w:val="0"/>
        <w:spacing w:lineRule="auto" w:line="276" w:before="120" w:after="120"/>
        <w:ind w:left="850" w:right="0" w:hanging="397"/>
        <w:jc w:val="both"/>
        <w:rPr>
          <w:rFonts w:ascii="Carlito" w:hAnsi="Carlito"/>
        </w:rPr>
      </w:pPr>
      <w:r>
        <w:rPr>
          <w:rFonts w:cs="Calibri" w:ascii="Carlito" w:hAnsi="Carlito" w:cstheme="minorHAnsi"/>
          <w:color w:val="000000"/>
          <w:sz w:val="24"/>
        </w:rPr>
        <w:t>As providências dos subitens 9.2.1 e 9.2.2 acima poderão ser utilizadas se não houver o comparecimento de quaisquer fornecedores interessados (procedimento deserto)</w:t>
      </w:r>
    </w:p>
    <w:p>
      <w:pPr>
        <w:pStyle w:val="Normal"/>
        <w:widowControl/>
        <w:numPr>
          <w:ilvl w:val="1"/>
          <w:numId w:val="2"/>
        </w:numPr>
        <w:bidi w:val="0"/>
        <w:spacing w:lineRule="auto" w:line="276" w:before="120" w:after="120"/>
        <w:ind w:left="850" w:right="0" w:hanging="397"/>
        <w:jc w:val="both"/>
        <w:rPr>
          <w:rFonts w:ascii="Carlito" w:hAnsi="Carlito"/>
        </w:rPr>
      </w:pPr>
      <w:r>
        <w:rPr>
          <w:rFonts w:cs="Calibri" w:ascii="Carlito" w:hAnsi="Carlito" w:cstheme="minorHAnsi"/>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widowControl/>
        <w:numPr>
          <w:ilvl w:val="1"/>
          <w:numId w:val="2"/>
        </w:numPr>
        <w:bidi w:val="0"/>
        <w:spacing w:lineRule="auto" w:line="276" w:before="120" w:after="120"/>
        <w:ind w:left="850" w:right="0" w:hanging="397"/>
        <w:jc w:val="both"/>
        <w:rPr>
          <w:rFonts w:ascii="Carlito" w:hAnsi="Carlito"/>
        </w:rPr>
      </w:pPr>
      <w:r>
        <w:rPr>
          <w:rFonts w:cs="Calibri" w:ascii="Carlito" w:hAnsi="Carlito" w:cstheme="minorHAnsi"/>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widowControl/>
        <w:numPr>
          <w:ilvl w:val="1"/>
          <w:numId w:val="2"/>
        </w:numPr>
        <w:bidi w:val="0"/>
        <w:spacing w:lineRule="auto" w:line="276" w:before="120" w:after="120"/>
        <w:ind w:left="850" w:right="0" w:hanging="397"/>
        <w:jc w:val="both"/>
        <w:rPr>
          <w:rFonts w:ascii="Carlito" w:hAnsi="Carlito"/>
        </w:rPr>
      </w:pPr>
      <w:r>
        <w:rPr>
          <w:rFonts w:cs="Calibri" w:ascii="Carlito" w:hAnsi="Carlito" w:cstheme="minorHAns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widowControl/>
        <w:numPr>
          <w:ilvl w:val="1"/>
          <w:numId w:val="2"/>
        </w:numPr>
        <w:bidi w:val="0"/>
        <w:spacing w:lineRule="auto" w:line="276" w:before="120" w:after="120"/>
        <w:ind w:left="850" w:right="0" w:hanging="397"/>
        <w:jc w:val="both"/>
        <w:rPr>
          <w:rFonts w:ascii="Carlito" w:hAnsi="Carlito"/>
        </w:rPr>
      </w:pPr>
      <w:r>
        <w:rPr>
          <w:rFonts w:cs="Calibri" w:ascii="Carlito" w:hAnsi="Carlito" w:cstheme="minorHAnsi"/>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widowControl/>
        <w:numPr>
          <w:ilvl w:val="1"/>
          <w:numId w:val="2"/>
        </w:numPr>
        <w:bidi w:val="0"/>
        <w:spacing w:lineRule="auto" w:line="276" w:before="120" w:after="120"/>
        <w:ind w:left="850" w:right="0" w:hanging="397"/>
        <w:jc w:val="both"/>
        <w:rPr>
          <w:rFonts w:ascii="Carlito" w:hAnsi="Carlito"/>
        </w:rPr>
      </w:pPr>
      <w:r>
        <w:rPr>
          <w:rFonts w:cs="Calibri" w:ascii="Carlito" w:hAnsi="Carlito" w:cstheme="minorHAnsi"/>
          <w:color w:val="000000" w:themeColor="text1"/>
          <w:sz w:val="24"/>
          <w14:textFill>
            <w14:solidFill>
              <w14:schemeClr w14:val="tx1"/>
            </w14:solidFill>
          </w14:textFill>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widowControl/>
        <w:numPr>
          <w:ilvl w:val="1"/>
          <w:numId w:val="2"/>
        </w:numPr>
        <w:bidi w:val="0"/>
        <w:spacing w:lineRule="auto" w:line="276" w:before="120" w:after="120"/>
        <w:ind w:left="850" w:right="0" w:hanging="397"/>
        <w:jc w:val="both"/>
        <w:rPr>
          <w:rFonts w:ascii="Carlito" w:hAnsi="Carlito"/>
        </w:rPr>
      </w:pPr>
      <w:r>
        <w:rPr>
          <w:rFonts w:cs="Calibri" w:ascii="Carlito" w:hAnsi="Carlito" w:cstheme="minorHAnsi"/>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widowControl/>
        <w:numPr>
          <w:ilvl w:val="1"/>
          <w:numId w:val="2"/>
        </w:numPr>
        <w:bidi w:val="0"/>
        <w:spacing w:lineRule="auto" w:line="276" w:before="120" w:after="120"/>
        <w:ind w:left="850" w:right="0" w:hanging="397"/>
        <w:jc w:val="both"/>
        <w:rPr>
          <w:rFonts w:ascii="Carlito" w:hAnsi="Carlito"/>
        </w:rPr>
      </w:pPr>
      <w:r>
        <w:rPr>
          <w:rFonts w:cs="Calibri" w:ascii="Carlito" w:hAnsi="Carlito" w:cstheme="minorHAnsi"/>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widowControl/>
        <w:numPr>
          <w:ilvl w:val="1"/>
          <w:numId w:val="2"/>
        </w:numPr>
        <w:bidi w:val="0"/>
        <w:spacing w:lineRule="auto" w:line="276" w:before="120" w:after="120"/>
        <w:ind w:left="850" w:right="0" w:hanging="397"/>
        <w:jc w:val="both"/>
        <w:rPr>
          <w:rFonts w:ascii="Carlito" w:hAnsi="Carlito"/>
        </w:rPr>
      </w:pPr>
      <w:r>
        <w:rPr>
          <w:rFonts w:cs="Calibri" w:ascii="Carlito" w:hAnsi="Carlito" w:cstheme="minorHAnsi"/>
          <w:color w:val="000000"/>
          <w:sz w:val="24"/>
        </w:rPr>
        <w:t>Em caso de divergência entre disposições deste Aviso de Contratação Direta e de seus anexos ou demais peças que compõem o processo, prevalecerá as deste Aviso.</w:t>
      </w:r>
    </w:p>
    <w:p>
      <w:pPr>
        <w:pStyle w:val="Normal"/>
        <w:widowControl/>
        <w:numPr>
          <w:ilvl w:val="1"/>
          <w:numId w:val="2"/>
        </w:numPr>
        <w:bidi w:val="0"/>
        <w:spacing w:lineRule="auto" w:line="276" w:before="120" w:after="120"/>
        <w:ind w:left="850" w:right="0" w:hanging="397"/>
        <w:jc w:val="both"/>
        <w:rPr>
          <w:rFonts w:ascii="Carlito" w:hAnsi="Carlito"/>
        </w:rPr>
      </w:pPr>
      <w:r>
        <w:rPr>
          <w:rFonts w:cs="Calibri" w:ascii="Carlito" w:hAnsi="Carlito" w:cstheme="minorHAnsi"/>
          <w:color w:val="000000"/>
          <w:sz w:val="24"/>
        </w:rPr>
        <w:t>Da sessão pública será divulgada Ata no sistema eletrônico.</w:t>
      </w:r>
    </w:p>
    <w:p>
      <w:pPr>
        <w:pStyle w:val="Normal"/>
        <w:widowControl/>
        <w:numPr>
          <w:ilvl w:val="1"/>
          <w:numId w:val="2"/>
        </w:numPr>
        <w:bidi w:val="0"/>
        <w:spacing w:lineRule="auto" w:line="276" w:before="120" w:after="120"/>
        <w:ind w:left="850" w:right="0" w:hanging="397"/>
        <w:jc w:val="both"/>
        <w:rPr>
          <w:rFonts w:ascii="Carlito" w:hAnsi="Carlito"/>
        </w:rPr>
      </w:pPr>
      <w:r>
        <w:rPr>
          <w:rFonts w:cs="Calibri" w:ascii="Carlito" w:hAnsi="Carlito" w:cstheme="minorHAnsi"/>
          <w:color w:val="000000"/>
          <w:sz w:val="24"/>
        </w:rPr>
        <w:t>Integram este Aviso de Contratação Direta, para todos os fins e efeitos, os seguintes anexos:</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ANEXO I – Documentação exigida para Habilitação;</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 xml:space="preserve">ANEXO II - Termo de Referência; </w:t>
      </w:r>
    </w:p>
    <w:p>
      <w:pPr>
        <w:pStyle w:val="Normal"/>
        <w:numPr>
          <w:ilvl w:val="3"/>
          <w:numId w:val="2"/>
        </w:numPr>
        <w:rPr>
          <w:rFonts w:ascii="Carlito" w:hAnsi="Carlito"/>
        </w:rPr>
      </w:pPr>
      <w:r>
        <w:rPr>
          <w:rFonts w:ascii="Carlito" w:hAnsi="Carlito"/>
          <w:sz w:val="24"/>
          <w:szCs w:val="24"/>
        </w:rPr>
        <w:t>Apêndice I – Modelo da placa.</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ANEXO III – Documento de Formalização da Demanda;</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ANEXO IV - Estimativa da Despesa; e</w:t>
      </w:r>
    </w:p>
    <w:p>
      <w:pPr>
        <w:pStyle w:val="Normal"/>
        <w:widowControl/>
        <w:numPr>
          <w:ilvl w:val="2"/>
          <w:numId w:val="2"/>
        </w:numPr>
        <w:bidi w:val="0"/>
        <w:spacing w:lineRule="auto" w:line="276" w:before="120" w:after="120"/>
        <w:ind w:left="1270" w:right="0" w:hanging="397"/>
        <w:jc w:val="both"/>
        <w:rPr>
          <w:rFonts w:ascii="Carlito" w:hAnsi="Carlito"/>
        </w:rPr>
      </w:pPr>
      <w:r>
        <w:rPr>
          <w:rFonts w:cs="Calibri" w:ascii="Carlito" w:hAnsi="Carlito" w:cstheme="minorHAnsi"/>
          <w:color w:val="000000"/>
          <w:sz w:val="24"/>
        </w:rPr>
        <w:t xml:space="preserve">ANEXO V – Justificativa para ausência de Estudo Técnico Preliminar e Análise de Riscos. </w:t>
      </w:r>
    </w:p>
    <w:p>
      <w:pPr>
        <w:pStyle w:val="Normal"/>
        <w:spacing w:lineRule="auto" w:line="276" w:before="0" w:after="120"/>
        <w:ind w:left="360" w:right="-15" w:hanging="0"/>
        <w:jc w:val="center"/>
        <w:rPr>
          <w:rFonts w:ascii="Carlito" w:hAnsi="Carlito" w:cs="Calibri" w:cstheme="minorHAnsi"/>
          <w:color w:val="000000"/>
          <w:sz w:val="24"/>
        </w:rPr>
      </w:pPr>
      <w:r>
        <w:rPr>
          <w:rFonts w:cs="Calibri" w:cstheme="minorHAnsi" w:ascii="Carlito" w:hAnsi="Carlito"/>
          <w:color w:val="000000"/>
          <w:sz w:val="24"/>
        </w:rPr>
      </w:r>
    </w:p>
    <w:p>
      <w:pPr>
        <w:pStyle w:val="Normal"/>
        <w:spacing w:lineRule="auto" w:line="240" w:before="0" w:after="0"/>
        <w:ind w:left="360" w:right="-15" w:hanging="0"/>
        <w:jc w:val="center"/>
        <w:rPr>
          <w:rFonts w:ascii="Carlito" w:hAnsi="Carlito"/>
        </w:rPr>
      </w:pPr>
      <w:r>
        <w:rPr>
          <w:rFonts w:cs="Calibri" w:ascii="Carlito" w:hAnsi="Carlito" w:cstheme="minorHAnsi"/>
          <w:color w:val="000000"/>
          <w:sz w:val="24"/>
        </w:rPr>
        <w:t>Rio de Janeiro, ______, de _________________, de 2023.</w:t>
      </w:r>
    </w:p>
    <w:p>
      <w:pPr>
        <w:pStyle w:val="Normal"/>
        <w:suppressAutoHyphens w:val="true"/>
        <w:spacing w:lineRule="auto" w:line="240" w:before="0" w:after="0"/>
        <w:ind w:left="3958" w:hanging="0"/>
        <w:jc w:val="right"/>
        <w:rPr>
          <w:rFonts w:ascii="Carlito" w:hAnsi="Carlito" w:eastAsia="SimSun"/>
          <w:sz w:val="24"/>
          <w:lang w:eastAsia="ar-SA"/>
        </w:rPr>
      </w:pPr>
      <w:r>
        <w:rPr>
          <w:rFonts w:eastAsia="SimSun" w:ascii="Carlito" w:hAnsi="Carlito"/>
          <w:sz w:val="24"/>
          <w:lang w:eastAsia="ar-SA"/>
        </w:rPr>
      </w:r>
    </w:p>
    <w:p>
      <w:pPr>
        <w:pStyle w:val="Normal"/>
        <w:suppressAutoHyphens w:val="true"/>
        <w:spacing w:lineRule="auto" w:line="240" w:before="0" w:after="0"/>
        <w:ind w:firstLine="3960"/>
        <w:jc w:val="right"/>
        <w:rPr>
          <w:rFonts w:ascii="Carlito" w:hAnsi="Carlito" w:eastAsia="SimSun"/>
          <w:sz w:val="24"/>
          <w:lang w:eastAsia="ar-SA"/>
        </w:rPr>
      </w:pPr>
      <w:r>
        <w:rPr>
          <w:rFonts w:eastAsia="SimSun" w:ascii="Carlito" w:hAnsi="Carlito"/>
          <w:sz w:val="24"/>
          <w:lang w:eastAsia="ar-SA"/>
        </w:rPr>
      </w:r>
    </w:p>
    <w:p>
      <w:pPr>
        <w:pStyle w:val="Normal"/>
        <w:suppressAutoHyphens w:val="true"/>
        <w:spacing w:lineRule="auto" w:line="240" w:before="0" w:after="0"/>
        <w:ind w:firstLine="3960"/>
        <w:jc w:val="right"/>
        <w:rPr>
          <w:rFonts w:ascii="Carlito" w:hAnsi="Carlito" w:eastAsia="SimSun"/>
          <w:sz w:val="24"/>
          <w:lang w:eastAsia="ar-SA"/>
        </w:rPr>
      </w:pPr>
      <w:r>
        <w:rPr>
          <w:rFonts w:eastAsia="SimSun" w:ascii="Carlito" w:hAnsi="Carlito"/>
          <w:sz w:val="24"/>
          <w:lang w:eastAsia="ar-SA"/>
        </w:rPr>
      </w:r>
    </w:p>
    <w:p>
      <w:pPr>
        <w:pStyle w:val="Normal"/>
        <w:suppressAutoHyphens w:val="true"/>
        <w:spacing w:lineRule="auto" w:line="240" w:before="0" w:after="0"/>
        <w:ind w:firstLine="3960"/>
        <w:jc w:val="right"/>
        <w:rPr>
          <w:rFonts w:ascii="Carlito" w:hAnsi="Carlito" w:eastAsia="SimSun"/>
          <w:sz w:val="24"/>
          <w:lang w:eastAsia="ar-SA"/>
        </w:rPr>
      </w:pPr>
      <w:r>
        <w:rPr>
          <w:rFonts w:eastAsia="SimSun" w:ascii="Carlito" w:hAnsi="Carlito"/>
          <w:sz w:val="24"/>
          <w:lang w:eastAsia="ar-SA"/>
        </w:rPr>
      </w:r>
    </w:p>
    <w:p>
      <w:pPr>
        <w:pStyle w:val="Normal"/>
        <w:suppressAutoHyphens w:val="true"/>
        <w:snapToGrid w:val="false"/>
        <w:spacing w:lineRule="auto" w:line="240" w:before="0" w:after="0"/>
        <w:ind w:left="142" w:hanging="0"/>
        <w:jc w:val="center"/>
        <w:rPr>
          <w:rFonts w:ascii="Carlito" w:hAnsi="Carlito"/>
        </w:rPr>
      </w:pPr>
      <w:r>
        <w:rPr>
          <w:rFonts w:ascii="Carlito" w:hAnsi="Carlito"/>
          <w:sz w:val="24"/>
          <w:lang w:eastAsia="ar-SA"/>
        </w:rPr>
        <w:t>SÉRGIO DE OLIVEIRA GUIMARÃES FILHO</w:t>
      </w:r>
    </w:p>
    <w:p>
      <w:pPr>
        <w:pStyle w:val="Normal"/>
        <w:suppressAutoHyphens w:val="true"/>
        <w:spacing w:lineRule="auto" w:line="240" w:before="0" w:after="0"/>
        <w:ind w:left="142" w:hanging="0"/>
        <w:jc w:val="center"/>
        <w:rPr>
          <w:rFonts w:ascii="Carlito" w:hAnsi="Carlito"/>
        </w:rPr>
      </w:pPr>
      <w:r>
        <w:rPr>
          <w:rFonts w:ascii="Carlito" w:hAnsi="Carlito"/>
          <w:sz w:val="24"/>
          <w:lang w:eastAsia="ar-SA"/>
        </w:rPr>
        <w:t>Capitão de Mar e Guerra (RM1-IM)</w:t>
      </w:r>
    </w:p>
    <w:p>
      <w:pPr>
        <w:pStyle w:val="Normal"/>
        <w:suppressAutoHyphens w:val="true"/>
        <w:spacing w:lineRule="auto" w:line="240" w:before="0" w:after="0"/>
        <w:ind w:left="142" w:hanging="0"/>
        <w:jc w:val="center"/>
        <w:rPr>
          <w:rFonts w:ascii="Carlito" w:hAnsi="Carlito"/>
        </w:rPr>
      </w:pPr>
      <w:bookmarkStart w:id="11" w:name="_Hlk48045920"/>
      <w:r>
        <w:rPr>
          <w:rFonts w:ascii="Carlito" w:hAnsi="Carlito"/>
          <w:sz w:val="24"/>
          <w:lang w:eastAsia="ar-SA"/>
        </w:rPr>
        <w:t>Ordenador de Despesa</w:t>
      </w:r>
      <w:bookmarkEnd w:id="11"/>
    </w:p>
    <w:p>
      <w:pPr>
        <w:pStyle w:val="Normal"/>
        <w:spacing w:lineRule="auto" w:line="276"/>
        <w:jc w:val="center"/>
        <w:rPr>
          <w:rFonts w:ascii="Carlito" w:hAnsi="Carlito" w:cs="Calibri" w:cstheme="minorHAnsi"/>
          <w:sz w:val="24"/>
        </w:rPr>
      </w:pPr>
      <w:r>
        <w:rPr>
          <w:rFonts w:cs="Calibri" w:cstheme="minorHAnsi" w:ascii="Carlito" w:hAnsi="Carlito"/>
          <w:sz w:val="24"/>
        </w:rPr>
      </w:r>
    </w:p>
    <w:p>
      <w:pPr>
        <w:pStyle w:val="Normal"/>
        <w:spacing w:lineRule="auto" w:line="259" w:before="0" w:after="160"/>
        <w:rPr>
          <w:rFonts w:ascii="Carlito" w:hAnsi="Carlito" w:cs="Calibri" w:cstheme="minorHAnsi"/>
          <w:sz w:val="24"/>
        </w:rPr>
      </w:pPr>
      <w:r>
        <w:rPr>
          <w:rFonts w:cs="Calibri" w:cstheme="minorHAnsi" w:ascii="Carlito" w:hAnsi="Carlito"/>
          <w:sz w:val="24"/>
        </w:rPr>
      </w:r>
      <w:r>
        <w:br w:type="page"/>
      </w:r>
    </w:p>
    <w:p>
      <w:pPr>
        <w:pStyle w:val="Normal"/>
        <w:rPr>
          <w:rFonts w:ascii="Carlito" w:hAnsi="Carlito" w:cs="Calibri" w:cstheme="minorHAnsi"/>
          <w:sz w:val="24"/>
        </w:rPr>
      </w:pPr>
      <w:r>
        <w:rPr>
          <w:rFonts w:cs="Calibri" w:cstheme="minorHAnsi" w:ascii="Carlito" w:hAnsi="Carlito"/>
          <w:sz w:val="24"/>
        </w:rPr>
      </w:r>
    </w:p>
    <w:p>
      <w:pPr>
        <w:pStyle w:val="Normal"/>
        <w:spacing w:lineRule="auto" w:line="276" w:before="0" w:after="0"/>
        <w:contextualSpacing/>
        <w:jc w:val="center"/>
        <w:rPr>
          <w:rFonts w:ascii="Carlito" w:hAnsi="Carlito"/>
        </w:rPr>
      </w:pPr>
      <w:r>
        <w:rPr>
          <w:rFonts w:cs="Calibri" w:ascii="Carlito" w:hAnsi="Carlito" w:cstheme="minorHAnsi"/>
          <w:b/>
          <w:sz w:val="24"/>
          <w:lang w:eastAsia="ar-SA"/>
        </w:rPr>
        <w:t>ANEXO I – DOCUMENTAÇÃO EXIGIDA PARA HABILITAÇÃO</w:t>
      </w:r>
    </w:p>
    <w:p>
      <w:pPr>
        <w:pStyle w:val="ListParagraph"/>
        <w:numPr>
          <w:ilvl w:val="0"/>
          <w:numId w:val="5"/>
        </w:numPr>
        <w:spacing w:lineRule="auto" w:line="276" w:before="120" w:after="120"/>
        <w:ind w:left="0" w:hanging="0"/>
        <w:contextualSpacing/>
        <w:jc w:val="both"/>
        <w:rPr>
          <w:rFonts w:ascii="Carlito" w:hAnsi="Carlito"/>
        </w:rPr>
      </w:pPr>
      <w:r>
        <w:rPr>
          <w:rFonts w:eastAsia="WenQuanYi Micro Hei" w:cs="Calibri" w:ascii="Carlito" w:hAnsi="Carlito" w:cstheme="minorHAnsi"/>
          <w:color w:val="000000"/>
          <w:sz w:val="24"/>
          <w:lang w:eastAsia="zh-CN" w:bidi="hi-IN"/>
        </w:rPr>
        <w:t>As exigências de habilitação a serem atendidas pelo fornecedor são aquelas discriminadas nos itens a seguir:</w:t>
      </w:r>
    </w:p>
    <w:p>
      <w:pPr>
        <w:pStyle w:val="ListParagraph"/>
        <w:spacing w:lineRule="auto" w:line="276" w:before="120" w:after="120"/>
        <w:ind w:left="1145" w:hanging="0"/>
        <w:contextualSpacing/>
        <w:jc w:val="both"/>
        <w:rPr>
          <w:rFonts w:ascii="Carlito" w:hAnsi="Carlito" w:eastAsia="WenQuanYi Micro Hei" w:cs="Calibri" w:cstheme="minorHAnsi"/>
          <w:color w:val="000000"/>
          <w:sz w:val="24"/>
          <w:lang w:eastAsia="zh-CN" w:bidi="hi-IN"/>
        </w:rPr>
      </w:pPr>
      <w:r>
        <w:rPr>
          <w:rFonts w:eastAsia="WenQuanYi Micro Hei" w:cs="Calibri" w:cstheme="minorHAnsi" w:ascii="Carlito" w:hAnsi="Carlito"/>
          <w:color w:val="000000"/>
          <w:sz w:val="24"/>
          <w:lang w:eastAsia="zh-CN" w:bidi="hi-IN"/>
        </w:rPr>
      </w:r>
    </w:p>
    <w:p>
      <w:pPr>
        <w:pStyle w:val="ListParagraph"/>
        <w:numPr>
          <w:ilvl w:val="1"/>
          <w:numId w:val="6"/>
        </w:numPr>
        <w:spacing w:lineRule="auto" w:line="276" w:before="120" w:after="120"/>
        <w:contextualSpacing/>
        <w:jc w:val="both"/>
        <w:rPr>
          <w:rFonts w:ascii="Carlito" w:hAnsi="Carlito"/>
        </w:rPr>
      </w:pPr>
      <w:r>
        <w:rPr>
          <w:rFonts w:eastAsia="WenQuanYi Micro Hei" w:cs="Calibri" w:ascii="Carlito" w:hAnsi="Carlito" w:cstheme="minorHAnsi"/>
          <w:b/>
          <w:bCs/>
          <w:color w:val="000000"/>
          <w:sz w:val="24"/>
          <w:lang w:eastAsia="zh-CN" w:bidi="hi-IN"/>
        </w:rPr>
        <w:t>Habilitações fiscal, social e trabalhista:</w:t>
      </w:r>
    </w:p>
    <w:p>
      <w:pPr>
        <w:pStyle w:val="ListParagraph"/>
        <w:numPr>
          <w:ilvl w:val="2"/>
          <w:numId w:val="6"/>
        </w:numPr>
        <w:tabs>
          <w:tab w:val="left" w:pos="1440" w:leader="none"/>
        </w:tabs>
        <w:snapToGrid w:val="false"/>
        <w:spacing w:lineRule="auto" w:line="276" w:before="120" w:after="120"/>
        <w:contextualSpacing/>
        <w:jc w:val="both"/>
        <w:rPr>
          <w:rFonts w:ascii="Carlito" w:hAnsi="Carlito"/>
        </w:rPr>
      </w:pPr>
      <w:r>
        <w:rPr>
          <w:rFonts w:cs="Calibri" w:ascii="Carlito" w:hAnsi="Carlito" w:cstheme="minorHAnsi"/>
          <w:sz w:val="24"/>
        </w:rPr>
        <w:t>prova de inscrição no Cadastro de Pessoas Físicas (CPF);</w:t>
      </w:r>
    </w:p>
    <w:p>
      <w:pPr>
        <w:pStyle w:val="ListParagraph"/>
        <w:numPr>
          <w:ilvl w:val="2"/>
          <w:numId w:val="6"/>
        </w:numPr>
        <w:tabs>
          <w:tab w:val="left" w:pos="1440" w:leader="none"/>
        </w:tabs>
        <w:snapToGrid w:val="false"/>
        <w:spacing w:lineRule="auto" w:line="276" w:before="120" w:after="120"/>
        <w:contextualSpacing/>
        <w:jc w:val="both"/>
        <w:rPr>
          <w:rFonts w:ascii="Carlito" w:hAnsi="Carlito"/>
        </w:rPr>
      </w:pPr>
      <w:r>
        <w:rPr>
          <w:rFonts w:cs="Calibri" w:ascii="Carlito" w:hAnsi="Carlito" w:cstheme="minorHAnsi"/>
          <w:sz w:val="24"/>
        </w:rPr>
        <w:t>prova de inscrição no Cadastro Nacional da Pessoa Jurídica (CNPJ);</w:t>
      </w:r>
    </w:p>
    <w:p>
      <w:pPr>
        <w:pStyle w:val="ListParagraph"/>
        <w:numPr>
          <w:ilvl w:val="2"/>
          <w:numId w:val="6"/>
        </w:numPr>
        <w:tabs>
          <w:tab w:val="left" w:pos="1440" w:leader="none"/>
        </w:tabs>
        <w:snapToGrid w:val="false"/>
        <w:spacing w:lineRule="auto" w:line="276" w:before="120" w:after="120"/>
        <w:contextualSpacing/>
        <w:jc w:val="both"/>
        <w:rPr>
          <w:rFonts w:ascii="Carlito" w:hAnsi="Carlito"/>
        </w:rPr>
      </w:pPr>
      <w:r>
        <w:rPr>
          <w:rFonts w:cs="Calibri" w:ascii="Carlito" w:hAnsi="Carlito" w:cstheme="minorHAns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ListParagraph"/>
        <w:numPr>
          <w:ilvl w:val="2"/>
          <w:numId w:val="6"/>
        </w:numPr>
        <w:tabs>
          <w:tab w:val="left" w:pos="1440" w:leader="none"/>
        </w:tabs>
        <w:snapToGrid w:val="false"/>
        <w:spacing w:lineRule="auto" w:line="276" w:before="120" w:after="120"/>
        <w:contextualSpacing/>
        <w:jc w:val="both"/>
        <w:rPr>
          <w:rFonts w:ascii="Carlito" w:hAnsi="Carlito"/>
        </w:rPr>
      </w:pPr>
      <w:r>
        <w:rPr>
          <w:rFonts w:cs="Calibri" w:ascii="Carlito" w:hAnsi="Carlito" w:cstheme="minorHAnsi"/>
          <w:color w:val="000000"/>
          <w:sz w:val="24"/>
        </w:rPr>
        <w:t xml:space="preserve">prova </w:t>
      </w:r>
      <w:r>
        <w:rPr>
          <w:rFonts w:cs="Calibri" w:ascii="Carlito" w:hAnsi="Carlito" w:cstheme="minorHAnsi"/>
          <w:sz w:val="24"/>
        </w:rPr>
        <w:t>de</w:t>
      </w:r>
      <w:r>
        <w:rPr>
          <w:rFonts w:cs="Calibri" w:ascii="Carlito" w:hAnsi="Carlito" w:cstheme="minorHAnsi"/>
          <w:color w:val="000000"/>
          <w:sz w:val="24"/>
        </w:rPr>
        <w:t xml:space="preserve"> regularidade com o Fundo de Garantia do Tempo de Serviço (FGTS);</w:t>
      </w:r>
    </w:p>
    <w:p>
      <w:pPr>
        <w:pStyle w:val="ListParagraph"/>
        <w:numPr>
          <w:ilvl w:val="2"/>
          <w:numId w:val="6"/>
        </w:numPr>
        <w:tabs>
          <w:tab w:val="left" w:pos="1440" w:leader="none"/>
        </w:tabs>
        <w:snapToGrid w:val="false"/>
        <w:spacing w:lineRule="auto" w:line="276" w:before="120" w:after="120"/>
        <w:contextualSpacing/>
        <w:jc w:val="both"/>
        <w:rPr>
          <w:rFonts w:ascii="Carlito" w:hAnsi="Carlito"/>
        </w:rPr>
      </w:pPr>
      <w:r>
        <w:rPr>
          <w:rFonts w:cs="Calibri" w:ascii="Carlito" w:hAnsi="Carlito" w:cstheme="minorHAnsi"/>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ListParagraph"/>
        <w:numPr>
          <w:ilvl w:val="2"/>
          <w:numId w:val="6"/>
        </w:numPr>
        <w:tabs>
          <w:tab w:val="left" w:pos="1440" w:leader="none"/>
        </w:tabs>
        <w:snapToGrid w:val="false"/>
        <w:spacing w:lineRule="auto" w:line="276" w:before="120" w:after="120"/>
        <w:contextualSpacing/>
        <w:jc w:val="both"/>
        <w:rPr>
          <w:rFonts w:ascii="Carlito" w:hAnsi="Carlito"/>
        </w:rPr>
      </w:pPr>
      <w:r>
        <w:rPr>
          <w:rFonts w:cs="Calibri" w:ascii="Carlito" w:hAnsi="Carlito" w:cstheme="minorHAnsi"/>
          <w:b w:val="false"/>
          <w:bCs w:val="false"/>
          <w:sz w:val="24"/>
        </w:rPr>
        <w:t>caso o fornecedor não possua linha de fornecimento registrada junto ao SICAF (Sistema de Cadastramento Unificado de Fornecedores), vinculada ao PDM constante no item 1, deste Aviso de Dispensa Eletrônica, poderá ser exigida a apresentação de atestado de capacidade técnica e/ou nota fiscal emitida nos últimos doze meses, anteriores à publicação deste Aviso, que comprovem que o fornecedor já tenha fornecido bens pertinentes e compatíveis em características, quantidades e prazos com o objeto da dispensa.</w:t>
      </w:r>
    </w:p>
    <w:p>
      <w:pPr>
        <w:pStyle w:val="Normal"/>
        <w:widowControl/>
        <w:numPr>
          <w:ilvl w:val="0"/>
          <w:numId w:val="0"/>
        </w:numPr>
        <w:shd w:val="clear" w:color="auto" w:fill="auto"/>
        <w:tabs>
          <w:tab w:val="left" w:pos="1440" w:leader="none"/>
        </w:tabs>
        <w:snapToGrid w:val="false"/>
        <w:spacing w:lineRule="auto" w:line="276" w:before="120" w:after="120"/>
        <w:ind w:left="927" w:hanging="0"/>
        <w:jc w:val="both"/>
        <w:textAlignment w:val="auto"/>
        <w:rPr>
          <w:rFonts w:ascii="Carlito" w:hAnsi="Carlito"/>
        </w:rPr>
      </w:pPr>
      <w:r>
        <w:rPr>
          <w:rFonts w:ascii="Carlito" w:hAnsi="Carlito"/>
        </w:rPr>
      </w:r>
    </w:p>
    <w:p>
      <w:pPr>
        <w:sectPr>
          <w:type w:val="continuous"/>
          <w:pgSz w:w="11906" w:h="16838"/>
          <w:pgMar w:left="1080" w:right="1080" w:header="708" w:top="1440" w:footer="708" w:bottom="1440" w:gutter="0"/>
          <w:formProt w:val="false"/>
          <w:textDirection w:val="lrTb"/>
          <w:docGrid w:type="default" w:linePitch="360" w:charSpace="0"/>
        </w:sectPr>
      </w:pPr>
    </w:p>
    <w:p>
      <w:pPr>
        <w:pStyle w:val="Normal"/>
        <w:rPr/>
      </w:pPr>
      <w:r>
        <w:rPr/>
      </w:r>
    </w:p>
    <w:p>
      <w:pPr>
        <w:sectPr>
          <w:type w:val="continuous"/>
          <w:pgSz w:w="11906" w:h="16838"/>
          <w:pgMar w:left="1080" w:right="1080" w:header="708" w:top="1440" w:footer="708" w:bottom="1440" w:gutter="0"/>
          <w:formProt w:val="false"/>
          <w:textDirection w:val="lrTb"/>
          <w:docGrid w:type="default" w:linePitch="360" w:charSpace="0"/>
        </w:sectPr>
      </w:pPr>
    </w:p>
    <w:sectPr>
      <w:type w:val="continuous"/>
      <w:pgSz w:w="11906" w:h="16838"/>
      <w:pgMar w:left="1080" w:right="1080" w:header="708"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Calibri Light">
    <w:charset w:val="01"/>
    <w:family w:val="roman"/>
    <w:pitch w:val="variable"/>
  </w:font>
  <w:font w:name="Liberation Serif">
    <w:altName w:val="Times New Roman"/>
    <w:charset w:val="01"/>
    <w:family w:val="swiss"/>
    <w:pitch w:val="variable"/>
  </w:font>
  <w:font w:name="Ecofont_Spranq_eco_Sans">
    <w:charset w:val="01"/>
    <w:family w:val="roman"/>
    <w:pitch w:val="variable"/>
  </w:font>
  <w:font w:name="Segoe UI">
    <w:charset w:val="01"/>
    <w:family w:val="roman"/>
    <w:pitch w:val="variable"/>
  </w:font>
  <w:font w:name="Calibri">
    <w:charset w:val="01"/>
    <w:family w:val="roman"/>
    <w:pitch w:val="variable"/>
  </w:font>
  <w:font w:name="Carlito">
    <w:altName w:val="Calibri"/>
    <w:charset w:val="01"/>
    <w:family w:val="swiss"/>
    <w:pitch w:val="variable"/>
  </w:font>
  <w:font w:name="Carlito">
    <w:altName w:val="Calibri"/>
    <w:charset w:val="01"/>
    <w:family w:val="roman"/>
    <w:pitch w:val="variable"/>
  </w:font>
  <w:font w:name="Liberation Sans">
    <w:altName w:val="Arial"/>
    <w:charset w:val="01"/>
    <w:family w:val="roman"/>
    <w:pitch w:val="variable"/>
  </w:font>
  <w:font w:name="serif">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novembro/2022</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novembro/2022)</w:t>
    </w:r>
  </w:p>
  <w:sdt>
    <w:sdtPr>
      <w:docPartObj>
        <w:docPartGallery w:val="autotext"/>
      </w:docPartObj>
      <w:id w:val="261507333"/>
    </w:sdtPr>
    <w:sdtContent>
      <w:p>
        <w:pPr>
          <w:pStyle w:val="Rodap"/>
          <w:jc w:val="center"/>
          <w:rPr/>
        </w:pPr>
        <w:r>
          <w:rPr/>
          <w:fldChar w:fldCharType="begin"/>
        </w:r>
        <w:r>
          <w:rPr/>
          <w:instrText> PAGE </w:instrText>
        </w:r>
        <w:r>
          <w:rPr/>
          <w:fldChar w:fldCharType="separate"/>
        </w:r>
        <w:r>
          <w:rPr/>
          <w:t>16</w:t>
        </w:r>
        <w:r>
          <w:rPr/>
          <w:fldChar w:fldCharType="end"/>
        </w:r>
      </w:p>
    </w:sdtContent>
  </w:sdt>
  <w:p>
    <w:pPr>
      <w:pStyle w:val="Rodap"/>
      <w:tabs>
        <w:tab w:val="center" w:pos="4252" w:leader="none"/>
        <w:tab w:val="center" w:pos="4873" w:leader="none"/>
        <w:tab w:val="right" w:pos="8504" w:leader="none"/>
      </w:tabs>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novembro/2022</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novembro/2022)</w:t>
    </w:r>
  </w:p>
  <w:p>
    <w:pPr>
      <w:pStyle w:val="Rodap"/>
      <w:jc w:val="center"/>
      <w:rPr/>
    </w:pPr>
    <w:r>
      <w:rPr/>
      <w:t>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rFonts w:cs="Calibri" w:ascii="Calibri" w:hAnsi="Calibri" w:asciiTheme="minorHAnsi" w:cstheme="minorHAnsi" w:hAnsiTheme="minorHAnsi"/>
        <w:sz w:val="24"/>
      </w:rPr>
      <w:t xml:space="preserve">Continuação do Aviso de Dispensa Eletrônica n° 92/2023, da COGESN. </w:t>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pStyle w:val="Ttulo6"/>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ind w:left="360" w:hanging="360"/>
      </w:pPr>
      <w:rPr>
        <w:sz w:val="24"/>
        <w:b/>
        <w:color w:val="auto"/>
      </w:rPr>
    </w:lvl>
    <w:lvl w:ilvl="1">
      <w:start w:val="1"/>
      <w:numFmt w:val="decimal"/>
      <w:lvlText w:val="%1.%2."/>
      <w:lvlJc w:val="left"/>
      <w:pPr>
        <w:ind w:left="792" w:hanging="432"/>
      </w:pPr>
      <w:rPr>
        <w:sz w:val="24"/>
        <w:i w:val="false"/>
        <w:b/>
        <w:iCs/>
        <w:rFonts w:ascii="Carlito" w:hAnsi="Carlito"/>
        <w:color w:val="000000"/>
      </w:rPr>
    </w:lvl>
    <w:lvl w:ilvl="2">
      <w:start w:val="1"/>
      <w:numFmt w:val="decimal"/>
      <w:lvlText w:val="%1.%2.%3."/>
      <w:lvlJc w:val="left"/>
      <w:pPr>
        <w:ind w:left="1224" w:hanging="504"/>
      </w:pPr>
      <w:rPr>
        <w:sz w:val="24"/>
        <w:i w:val="false"/>
        <w:b/>
        <w:iCs/>
        <w:rFonts w:ascii="Carlito" w:hAnsi="Carlito" w:cs="Calibri"/>
        <w:color w:val="auto"/>
      </w:rPr>
    </w:lvl>
    <w:lvl w:ilvl="3">
      <w:start w:val="1"/>
      <w:numFmt w:val="decimal"/>
      <w:lvlText w:val="%1.%2.%3.%4."/>
      <w:lvlJc w:val="left"/>
      <w:pPr>
        <w:ind w:left="1728" w:hanging="648"/>
      </w:pPr>
      <w:rPr>
        <w:sz w:val="24"/>
        <w:b/>
        <w:bCs/>
        <w:rFonts w:ascii="Carlito" w:hAnsi="Carlito"/>
        <w:color w:val="auto"/>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1865" w:hanging="360"/>
      </w:pPr>
      <w:rPr>
        <w:sz w:val="24"/>
        <w:b/>
        <w:bCs/>
      </w:rPr>
    </w:lvl>
    <w:lvl w:ilvl="1">
      <w:start w:val="1"/>
      <w:numFmt w:val="lowerLetter"/>
      <w:lvlText w:val="%2."/>
      <w:lvlJc w:val="left"/>
      <w:pPr>
        <w:ind w:left="2585" w:hanging="360"/>
      </w:pPr>
    </w:lvl>
    <w:lvl w:ilvl="2">
      <w:start w:val="1"/>
      <w:numFmt w:val="lowerRoman"/>
      <w:lvlText w:val="%3."/>
      <w:lvlJc w:val="right"/>
      <w:pPr>
        <w:ind w:left="3305" w:hanging="180"/>
      </w:pPr>
    </w:lvl>
    <w:lvl w:ilvl="3">
      <w:start w:val="1"/>
      <w:numFmt w:val="decimal"/>
      <w:lvlText w:val="%4."/>
      <w:lvlJc w:val="left"/>
      <w:pPr>
        <w:ind w:left="4025" w:hanging="360"/>
      </w:pPr>
    </w:lvl>
    <w:lvl w:ilvl="4">
      <w:start w:val="1"/>
      <w:numFmt w:val="lowerLetter"/>
      <w:lvlText w:val="%5."/>
      <w:lvlJc w:val="left"/>
      <w:pPr>
        <w:ind w:left="4745" w:hanging="360"/>
      </w:pPr>
    </w:lvl>
    <w:lvl w:ilvl="5">
      <w:start w:val="1"/>
      <w:numFmt w:val="lowerRoman"/>
      <w:lvlText w:val="%6."/>
      <w:lvlJc w:val="right"/>
      <w:pPr>
        <w:ind w:left="5465" w:hanging="180"/>
      </w:pPr>
    </w:lvl>
    <w:lvl w:ilvl="6">
      <w:start w:val="1"/>
      <w:numFmt w:val="decimal"/>
      <w:lvlText w:val="%7."/>
      <w:lvlJc w:val="left"/>
      <w:pPr>
        <w:ind w:left="6185" w:hanging="360"/>
      </w:pPr>
    </w:lvl>
    <w:lvl w:ilvl="7">
      <w:start w:val="1"/>
      <w:numFmt w:val="lowerLetter"/>
      <w:lvlText w:val="%8."/>
      <w:lvlJc w:val="left"/>
      <w:pPr>
        <w:ind w:left="6905" w:hanging="360"/>
      </w:pPr>
    </w:lvl>
    <w:lvl w:ilvl="8">
      <w:start w:val="1"/>
      <w:numFmt w:val="lowerRoman"/>
      <w:lvlText w:val="%9."/>
      <w:lvlJc w:val="right"/>
      <w:pPr>
        <w:ind w:left="7625" w:hanging="180"/>
      </w:pPr>
    </w:lvl>
  </w:abstractNum>
  <w:abstractNum w:abstractNumId="6">
    <w:lvl w:ilvl="0">
      <w:start w:val="1"/>
      <w:numFmt w:val="decimal"/>
      <w:lvlText w:val="%1"/>
      <w:lvlJc w:val="left"/>
      <w:pPr>
        <w:ind w:left="360" w:hanging="360"/>
      </w:pPr>
      <w:rPr>
        <w:i w:val="false"/>
        <w:b w:val="false"/>
        <w:iCs w:val="false"/>
        <w:bCs/>
        <w:rFonts w:eastAsia="WenQuanYi Micro Hei"/>
        <w:color w:val="auto"/>
      </w:rPr>
    </w:lvl>
    <w:lvl w:ilvl="1">
      <w:start w:val="1"/>
      <w:numFmt w:val="decimal"/>
      <w:lvlText w:val="%1.%2"/>
      <w:lvlJc w:val="left"/>
      <w:pPr>
        <w:ind w:left="1145" w:hanging="360"/>
      </w:pPr>
      <w:rPr>
        <w:sz w:val="24"/>
        <w:i w:val="false"/>
        <w:b/>
        <w:szCs w:val="24"/>
        <w:iCs w:val="false"/>
        <w:bCs w:val="false"/>
        <w:rFonts w:eastAsia="WenQuanYi Micro Hei" w:cs="Calibri"/>
        <w:color w:val="auto"/>
      </w:rPr>
    </w:lvl>
    <w:lvl w:ilvl="2">
      <w:start w:val="1"/>
      <w:numFmt w:val="decimal"/>
      <w:lvlText w:val="%1.%2.%3"/>
      <w:lvlJc w:val="left"/>
      <w:pPr>
        <w:ind w:left="2290" w:hanging="720"/>
      </w:pPr>
      <w:rPr>
        <w:dstrike w:val="false"/>
        <w:strike w:val="false"/>
        <w:sz w:val="24"/>
        <w:i w:val="false"/>
        <w:u w:val="none"/>
        <w:b w:val="false"/>
        <w:szCs w:val="24"/>
        <w:bCs w:val="false"/>
        <w:rFonts w:eastAsia="WenQuanYi Micro Hei" w:cs="Calibri"/>
        <w:color w:val="000000"/>
      </w:rPr>
    </w:lvl>
    <w:lvl w:ilvl="3">
      <w:start w:val="1"/>
      <w:numFmt w:val="decimal"/>
      <w:lvlText w:val="%1.%2.%3.%4"/>
      <w:lvlJc w:val="left"/>
      <w:pPr>
        <w:tabs>
          <w:tab w:val="num" w:pos="339"/>
        </w:tabs>
        <w:ind w:left="3414" w:hanging="720"/>
      </w:pPr>
      <w:rPr>
        <w:i w:val="false"/>
        <w:b w:val="false"/>
        <w:rFonts w:eastAsia="WenQuanYi Micro Hei"/>
        <w:color w:val="000000"/>
      </w:rPr>
    </w:lvl>
    <w:lvl w:ilvl="4">
      <w:start w:val="1"/>
      <w:numFmt w:val="decimal"/>
      <w:lvlText w:val="%1.%2.%3.%4.%5"/>
      <w:lvlJc w:val="left"/>
      <w:pPr>
        <w:ind w:left="4220" w:hanging="1080"/>
      </w:pPr>
      <w:rPr>
        <w:i w:val="false"/>
        <w:b w:val="false"/>
        <w:rFonts w:eastAsia="WenQuanYi Micro Hei"/>
        <w:color w:val="000000"/>
      </w:rPr>
    </w:lvl>
    <w:lvl w:ilvl="5">
      <w:start w:val="1"/>
      <w:numFmt w:val="decimal"/>
      <w:lvlText w:val="%1.%2.%3.%4.%5.%6"/>
      <w:lvlJc w:val="left"/>
      <w:pPr>
        <w:ind w:left="5005" w:hanging="1080"/>
      </w:pPr>
      <w:rPr>
        <w:i w:val="false"/>
        <w:b/>
        <w:rFonts w:eastAsia="WenQuanYi Micro Hei"/>
        <w:color w:val="000000"/>
      </w:rPr>
    </w:lvl>
    <w:lvl w:ilvl="6">
      <w:start w:val="1"/>
      <w:numFmt w:val="decimal"/>
      <w:lvlText w:val="%1.%2.%3.%4.%5.%6.%7"/>
      <w:lvlJc w:val="left"/>
      <w:pPr>
        <w:ind w:left="6150" w:hanging="1440"/>
      </w:pPr>
      <w:rPr>
        <w:i w:val="false"/>
        <w:b/>
        <w:rFonts w:eastAsia="WenQuanYi Micro Hei"/>
        <w:color w:val="000000"/>
      </w:rPr>
    </w:lvl>
    <w:lvl w:ilvl="7">
      <w:start w:val="1"/>
      <w:numFmt w:val="decimal"/>
      <w:lvlText w:val="%1.%2.%3.%4.%5.%6.%7.%8"/>
      <w:lvlJc w:val="left"/>
      <w:pPr>
        <w:ind w:left="6935" w:hanging="1440"/>
      </w:pPr>
      <w:rPr>
        <w:i w:val="false"/>
        <w:b/>
        <w:rFonts w:eastAsia="WenQuanYi Micro Hei"/>
        <w:color w:val="000000"/>
      </w:rPr>
    </w:lvl>
    <w:lvl w:ilvl="8">
      <w:start w:val="1"/>
      <w:numFmt w:val="decimal"/>
      <w:lvlText w:val="%1.%2.%3.%4.%5.%6.%7.%8.%9"/>
      <w:lvlJc w:val="left"/>
      <w:pPr>
        <w:ind w:left="8080" w:hanging="1800"/>
      </w:pPr>
      <w:rPr>
        <w:i w:val="false"/>
        <w:b/>
        <w:rFonts w:eastAsia="WenQuanYi Micro Hei"/>
        <w:color w:val="000000"/>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doNotExpandShiftReturn/>
  </w:compat>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zh-CN" w:bidi="zh-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zh-CN" w:bidi="hi-IN"/>
      </w:rPr>
    </w:rPrDefault>
    <w:pPrDefault>
      <w:pPr/>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semiHidden="0" w:unhideWhenUsed="0" w:qFormat="1"/>
    <w:lsdException w:name="heading 7" w:uiPriority="9" w:qFormat="1"/>
    <w:lsdException w:name="heading 8" w:uiPriority="9" w:qFormat="1"/>
    <w:lsdException w:name="heading 9" w:uiPriority="9" w:qFormat="1"/>
    <w:lsdException w:name="index 1" w:uiPriority="9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semiHidden="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0" w:semiHidden="0" w:qFormat="1"/>
    <w:lsdException w:name="header" w:uiPriority="99" w:semiHidden="0" w:qFormat="1"/>
    <w:lsdException w:name="footer" w:uiPriority="99" w:semiHidden="0" w:qFormat="1"/>
    <w:lsdException w:name="index heading" w:uiPriority="0" w:semiHidden="0" w:unhideWhenUsed="0" w:qFormat="1"/>
    <w:lsdException w:name="caption" w:uiPriority="0" w:semiHidden="0" w:unhideWhenUsed="0" w:qFormat="1"/>
    <w:lsdException w:name="table of figures" w:uiPriority="99"/>
    <w:lsdException w:name="envelope address" w:uiPriority="99"/>
    <w:lsdException w:name="envelope return" w:uiPriority="99"/>
    <w:lsdException w:name="footnote reference" w:uiPriority="99"/>
    <w:lsdException w:name="annotation reference" w:uiPriority="0" w:qFormat="1"/>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0" w:semiHidden="0" w:unhideWhenUsed="0" w:qFormat="1"/>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qFormat="1"/>
    <w:lsdException w:name="Body Text" w:uiPriority="0" w:semiHidden="0" w:unhideWhenUsed="0" w:qFormat="1"/>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semiHidden="0" w:qFormat="1"/>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0" w:semiHidden="0" w:unhideWhenUsed="0" w:qFormat="1"/>
    <w:lsdException w:name="Table Theme" w:uiPriority="99"/>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Quote" w:uiPriority="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uiPriority w:val="9"/>
    <w:qFormat/>
    <w:pPr>
      <w:keepNext w:val="true"/>
      <w:keepLines/>
      <w:spacing w:before="240" w:after="0"/>
      <w:outlineLvl w:val="0"/>
    </w:pPr>
    <w:rPr>
      <w:rFonts w:ascii="Calibri Light" w:hAnsi="Calibri Light" w:eastAsia="" w:cs="等线 Light" w:asciiTheme="majorHAnsi" w:cstheme="majorBidi" w:eastAsiaTheme="majorEastAsia" w:hAnsiTheme="majorHAnsi"/>
      <w:color w:val="2F5597" w:themeColor="accent1" w:themeShade="bf"/>
      <w:sz w:val="32"/>
      <w:szCs w:val="32"/>
    </w:rPr>
  </w:style>
  <w:style w:type="paragraph" w:styleId="Ttulo6">
    <w:name w:val="Heading 6"/>
    <w:basedOn w:val="Ttulo"/>
    <w:uiPriority w:val="0"/>
    <w:qFormat/>
    <w:pPr>
      <w:numPr>
        <w:ilvl w:val="5"/>
        <w:numId w:val="1"/>
      </w:numPr>
      <w:spacing w:before="60" w:after="60"/>
      <w:outlineLvl w:val="5"/>
    </w:pPr>
    <w:rPr>
      <w:rFonts w:ascii="Liberation Serif" w:hAnsi="Liberation Serif" w:eastAsia="DejaVu Sans" w:cs="DejaVu Sans"/>
      <w:b/>
      <w:bCs/>
      <w:sz w:val="14"/>
      <w:szCs w:val="14"/>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0"/>
    <w:semiHidden/>
    <w:unhideWhenUsed/>
    <w:qFormat/>
    <w:rPr>
      <w:sz w:val="16"/>
      <w:szCs w:val="16"/>
    </w:rPr>
  </w:style>
  <w:style w:type="character" w:styleId="FollowedHyperlink">
    <w:name w:val="FollowedHyperlink"/>
    <w:basedOn w:val="DefaultParagraphFont"/>
    <w:uiPriority w:val="99"/>
    <w:semiHidden/>
    <w:unhideWhenUsed/>
    <w:qFormat/>
    <w:rPr>
      <w:color w:val="954F72"/>
      <w:u w:val="single"/>
    </w:rPr>
  </w:style>
  <w:style w:type="character" w:styleId="LinkdaInternet" w:customStyle="1">
    <w:name w:val="Link da Internet"/>
    <w:uiPriority w:val="99"/>
    <w:qFormat/>
    <w:rPr>
      <w:color w:val="000080"/>
      <w:u w:val="single"/>
    </w:rPr>
  </w:style>
  <w:style w:type="character" w:styleId="CitaoChar" w:customStyle="1">
    <w:name w:val="Citação Char"/>
    <w:basedOn w:val="DefaultParagraphFont"/>
    <w:uiPriority w:val="0"/>
    <w:qFormat/>
    <w:rPr>
      <w:rFonts w:ascii="Arial" w:hAnsi="Arial" w:eastAsia="Calibri" w:cs="Tahoma"/>
      <w:i/>
      <w:iCs/>
      <w:color w:val="000000"/>
      <w:sz w:val="20"/>
      <w:szCs w:val="24"/>
      <w:shd w:fill="FFFFCC" w:val="clear"/>
    </w:rPr>
  </w:style>
  <w:style w:type="character" w:styleId="Nivel01Char" w:customStyle="1">
    <w:name w:val="Nivel 01 Char"/>
    <w:basedOn w:val="Ttulo1Char"/>
    <w:uiPriority w:val="0"/>
    <w:qFormat/>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uiPriority w:val="9"/>
    <w:qFormat/>
    <w:rPr>
      <w:rFonts w:ascii="Calibri Light" w:hAnsi="Calibri Light" w:eastAsia="" w:cs="等线 Light" w:asciiTheme="majorHAnsi" w:cstheme="majorBidi" w:eastAsiaTheme="majorEastAsia" w:hAnsiTheme="majorHAnsi"/>
      <w:color w:val="2F5597" w:themeColor="accent1" w:themeShade="bf"/>
      <w:sz w:val="32"/>
      <w:szCs w:val="32"/>
      <w:lang w:eastAsia="pt-BR"/>
    </w:rPr>
  </w:style>
  <w:style w:type="character" w:styleId="Citao2Char" w:customStyle="1">
    <w:name w:val="citação 2 Char"/>
    <w:basedOn w:val="CitaoChar"/>
    <w:uiPriority w:val="0"/>
    <w:qFormat/>
    <w:rPr>
      <w:rFonts w:ascii="Arial" w:hAnsi="Arial" w:eastAsia="Calibri" w:cs="Tahoma"/>
      <w:color w:val="000000"/>
      <w:sz w:val="20"/>
      <w:szCs w:val="20"/>
      <w:shd w:fill="FFFFCC" w:val="clear"/>
    </w:rPr>
  </w:style>
  <w:style w:type="character" w:styleId="QuoteChar" w:customStyle="1">
    <w:name w:val="Quote Char"/>
    <w:basedOn w:val="DefaultParagraphFont"/>
    <w:uiPriority w:val="0"/>
    <w:qFormat/>
    <w:rPr>
      <w:rFonts w:ascii="Ecofont_Spranq_eco_Sans" w:hAnsi="Ecofont_Spranq_eco_Sans" w:eastAsia="Calibri" w:cs="Tahoma"/>
      <w:i/>
      <w:iCs/>
      <w:color w:val="000000"/>
      <w:shd w:fill="FFFFCC" w:val="clear"/>
    </w:rPr>
  </w:style>
  <w:style w:type="character" w:styleId="TextodecomentrioChar" w:customStyle="1">
    <w:name w:val="Texto de comentário Char"/>
    <w:basedOn w:val="DefaultParagraphFont"/>
    <w:uiPriority w:val="0"/>
    <w:qFormat/>
    <w:rPr>
      <w:rFonts w:ascii="Arial" w:hAnsi="Arial" w:eastAsia="Times New Roman" w:cs="Tahoma"/>
      <w:sz w:val="20"/>
      <w:szCs w:val="20"/>
      <w:lang w:eastAsia="pt-BR"/>
    </w:rPr>
  </w:style>
  <w:style w:type="character" w:styleId="AssuntodocomentrioChar" w:customStyle="1">
    <w:name w:val="Assunto do comentário Char"/>
    <w:basedOn w:val="TextodecomentrioChar"/>
    <w:uiPriority w:val="99"/>
    <w:semiHidden/>
    <w:qFormat/>
    <w:rPr>
      <w:rFonts w:ascii="Arial" w:hAnsi="Arial" w:eastAsia="Times New Roman" w:cs="Tahoma"/>
      <w:b/>
      <w:bCs/>
      <w:sz w:val="20"/>
      <w:szCs w:val="20"/>
      <w:lang w:eastAsia="pt-BR"/>
    </w:rPr>
  </w:style>
  <w:style w:type="character" w:styleId="Nivel4Char" w:customStyle="1">
    <w:name w:val="Nivel 4 Char"/>
    <w:basedOn w:val="DefaultParagraphFont"/>
    <w:uiPriority w:val="0"/>
    <w:qFormat/>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uiPriority w:val="99"/>
    <w:semiHidden/>
    <w:qFormat/>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Pr>
      <w:rFonts w:ascii="Arial" w:hAnsi="Arial" w:eastAsia="Times New Roman" w:cs="Tahoma"/>
      <w:sz w:val="20"/>
      <w:szCs w:val="24"/>
      <w:lang w:eastAsia="pt-BR"/>
    </w:rPr>
  </w:style>
  <w:style w:type="character" w:styleId="RodapChar" w:customStyle="1">
    <w:name w:val="Rodapé Char"/>
    <w:basedOn w:val="DefaultParagraphFont"/>
    <w:uiPriority w:val="99"/>
    <w:qFormat/>
    <w:rPr>
      <w:rFonts w:ascii="Arial" w:hAnsi="Arial" w:eastAsia="Times New Roman" w:cs="Tahoma"/>
      <w:sz w:val="20"/>
      <w:szCs w:val="24"/>
      <w:lang w:eastAsia="pt-BR"/>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TtuloChar" w:customStyle="1">
    <w:name w:val="Título Char"/>
    <w:basedOn w:val="DefaultParagraphFont"/>
    <w:uiPriority w:val="10"/>
    <w:qFormat/>
    <w:rPr>
      <w:rFonts w:ascii="Calibri Light" w:hAnsi="Calibri Light" w:eastAsia="" w:cs="等线 Light" w:asciiTheme="majorHAnsi" w:cstheme="majorBidi" w:eastAsiaTheme="majorEastAsia" w:hAnsiTheme="majorHAnsi"/>
      <w:spacing w:val="-10"/>
      <w:kern w:val="2"/>
      <w:sz w:val="56"/>
      <w:szCs w:val="56"/>
      <w:lang w:eastAsia="pt-BR"/>
    </w:rPr>
  </w:style>
  <w:style w:type="character" w:styleId="UnresolvedMention" w:customStyle="1">
    <w:name w:val="Unresolved Mention"/>
    <w:basedOn w:val="DefaultParagraphFont"/>
    <w:uiPriority w:val="99"/>
    <w:semiHidden/>
    <w:unhideWhenUsed/>
    <w:qFormat/>
    <w:rPr>
      <w:color w:val="605E5C"/>
      <w:shd w:fill="E1DFDD" w:val="clear"/>
    </w:rPr>
  </w:style>
  <w:style w:type="character" w:styleId="Nivel2Char" w:customStyle="1">
    <w:name w:val="Nivel 2 Char"/>
    <w:basedOn w:val="DefaultParagraphFont"/>
    <w:uiPriority w:val="0"/>
    <w:qFormat/>
    <w:locked/>
    <w:rPr>
      <w:rFonts w:ascii="Ecofont_Spranq_eco_Sans" w:hAnsi="Ecofont_Spranq_eco_Sans" w:eastAsia="Arial Unicode MS" w:cs="Times New Roman"/>
      <w:sz w:val="20"/>
      <w:szCs w:val="20"/>
      <w:lang w:eastAsia="pt-BR"/>
    </w:rPr>
  </w:style>
  <w:style w:type="character" w:styleId="Nfaseforte" w:customStyle="1">
    <w:name w:val="Ênfase forte"/>
    <w:uiPriority w:val="0"/>
    <w:qFormat/>
    <w:rPr>
      <w:b/>
      <w:bCs/>
    </w:rPr>
  </w:style>
  <w:style w:type="character" w:styleId="ListLabel1" w:customStyle="1">
    <w:name w:val="ListLabel 1"/>
    <w:uiPriority w:val="0"/>
    <w:qFormat/>
    <w:rPr>
      <w:b/>
      <w:color w:val="auto"/>
      <w:sz w:val="24"/>
    </w:rPr>
  </w:style>
  <w:style w:type="character" w:styleId="ListLabel2" w:customStyle="1">
    <w:name w:val="ListLabel 2"/>
    <w:uiPriority w:val="0"/>
    <w:qFormat/>
    <w:rPr>
      <w:b/>
      <w:iCs/>
      <w:color w:val="000000"/>
      <w:sz w:val="24"/>
    </w:rPr>
  </w:style>
  <w:style w:type="character" w:styleId="ListLabel3" w:customStyle="1">
    <w:name w:val="ListLabel 3"/>
    <w:uiPriority w:val="0"/>
    <w:qFormat/>
    <w:rPr>
      <w:rFonts w:cs="Calibri"/>
      <w:b/>
      <w:iCs/>
      <w:color w:val="auto"/>
      <w:sz w:val="24"/>
    </w:rPr>
  </w:style>
  <w:style w:type="character" w:styleId="ListLabel4" w:customStyle="1">
    <w:name w:val="ListLabel 4"/>
    <w:uiPriority w:val="0"/>
    <w:qFormat/>
    <w:rPr>
      <w:b/>
      <w:bCs/>
      <w:color w:val="auto"/>
      <w:sz w:val="24"/>
    </w:rPr>
  </w:style>
  <w:style w:type="character" w:styleId="ListLabel5" w:customStyle="1">
    <w:name w:val="ListLabel 5"/>
    <w:uiPriority w:val="0"/>
    <w:qFormat/>
    <w:rPr>
      <w:b/>
      <w:bCs/>
    </w:rPr>
  </w:style>
  <w:style w:type="character" w:styleId="ListLabel6" w:customStyle="1">
    <w:name w:val="ListLabel 6"/>
    <w:uiPriority w:val="0"/>
    <w:qFormat/>
    <w:rPr>
      <w:b/>
    </w:rPr>
  </w:style>
  <w:style w:type="character" w:styleId="ListLabel7" w:customStyle="1">
    <w:name w:val="ListLabel 7"/>
    <w:uiPriority w:val="0"/>
    <w:qFormat/>
    <w:rPr>
      <w:iCs/>
    </w:rPr>
  </w:style>
  <w:style w:type="character" w:styleId="ListLabel8" w:customStyle="1">
    <w:name w:val="ListLabel 8"/>
    <w:uiPriority w:val="0"/>
    <w:qFormat/>
    <w:rPr>
      <w:rFonts w:cs="Arial"/>
      <w:iCs/>
      <w:color w:val="auto"/>
    </w:rPr>
  </w:style>
  <w:style w:type="character" w:styleId="ListLabel9" w:customStyle="1">
    <w:name w:val="ListLabel 9"/>
    <w:uiPriority w:val="0"/>
    <w:qFormat/>
    <w:rPr>
      <w:b/>
      <w:bCs/>
      <w:sz w:val="24"/>
    </w:rPr>
  </w:style>
  <w:style w:type="character" w:styleId="ListLabel10" w:customStyle="1">
    <w:name w:val="ListLabel 10"/>
    <w:uiPriority w:val="0"/>
    <w:qFormat/>
    <w:rPr>
      <w:rFonts w:eastAsia="WenQuanYi Micro Hei"/>
      <w:bCs/>
      <w:color w:val="auto"/>
    </w:rPr>
  </w:style>
  <w:style w:type="character" w:styleId="ListLabel11" w:customStyle="1">
    <w:name w:val="ListLabel 11"/>
    <w:uiPriority w:val="0"/>
    <w:qFormat/>
    <w:rPr>
      <w:rFonts w:eastAsia="WenQuanYi Micro Hei" w:cs="Calibri"/>
      <w:b/>
      <w:color w:val="auto"/>
      <w:sz w:val="24"/>
      <w:szCs w:val="24"/>
    </w:rPr>
  </w:style>
  <w:style w:type="character" w:styleId="ListLabel12" w:customStyle="1">
    <w:name w:val="ListLabel 12"/>
    <w:uiPriority w:val="0"/>
    <w:qFormat/>
    <w:rPr>
      <w:rFonts w:eastAsia="WenQuanYi Micro Hei" w:cs="Calibri"/>
      <w:color w:val="000000"/>
      <w:sz w:val="24"/>
      <w:szCs w:val="24"/>
      <w:u w:val="none"/>
    </w:rPr>
  </w:style>
  <w:style w:type="character" w:styleId="ListLabel13" w:customStyle="1">
    <w:name w:val="ListLabel 13"/>
    <w:uiPriority w:val="0"/>
    <w:qFormat/>
    <w:rPr>
      <w:rFonts w:eastAsia="WenQuanYi Micro Hei"/>
      <w:color w:val="000000"/>
    </w:rPr>
  </w:style>
  <w:style w:type="character" w:styleId="ListLabel14" w:customStyle="1">
    <w:name w:val="ListLabel 14"/>
    <w:uiPriority w:val="0"/>
    <w:qFormat/>
    <w:rPr>
      <w:rFonts w:eastAsia="WenQuanYi Micro Hei"/>
      <w:color w:val="000000"/>
    </w:rPr>
  </w:style>
  <w:style w:type="character" w:styleId="ListLabel15" w:customStyle="1">
    <w:name w:val="ListLabel 15"/>
    <w:uiPriority w:val="0"/>
    <w:qFormat/>
    <w:rPr>
      <w:rFonts w:eastAsia="WenQuanYi Micro Hei"/>
      <w:b/>
      <w:color w:val="000000"/>
    </w:rPr>
  </w:style>
  <w:style w:type="character" w:styleId="ListLabel16" w:customStyle="1">
    <w:name w:val="ListLabel 16"/>
    <w:uiPriority w:val="0"/>
    <w:qFormat/>
    <w:rPr>
      <w:rFonts w:eastAsia="WenQuanYi Micro Hei"/>
      <w:b/>
      <w:color w:val="000000"/>
    </w:rPr>
  </w:style>
  <w:style w:type="character" w:styleId="ListLabel17" w:customStyle="1">
    <w:name w:val="ListLabel 17"/>
    <w:uiPriority w:val="0"/>
    <w:qFormat/>
    <w:rPr>
      <w:rFonts w:eastAsia="WenQuanYi Micro Hei"/>
      <w:b/>
      <w:color w:val="000000"/>
    </w:rPr>
  </w:style>
  <w:style w:type="character" w:styleId="ListLabel18" w:customStyle="1">
    <w:name w:val="ListLabel 18"/>
    <w:uiPriority w:val="0"/>
    <w:qFormat/>
    <w:rPr>
      <w:rFonts w:eastAsia="WenQuanYi Micro Hei"/>
      <w:b/>
      <w:color w:val="000000"/>
    </w:rPr>
  </w:style>
  <w:style w:type="character" w:styleId="ListLabel19" w:customStyle="1">
    <w:name w:val="ListLabel 19"/>
    <w:uiPriority w:val="0"/>
    <w:qFormat/>
    <w:rPr>
      <w:rFonts w:ascii="Calibri" w:hAnsi="Calibri" w:cs="Calibri" w:asciiTheme="minorHAnsi" w:cstheme="minorHAnsi" w:hAnsiTheme="minorHAnsi"/>
      <w:bCs/>
      <w:color w:val="auto"/>
      <w:sz w:val="24"/>
    </w:rPr>
  </w:style>
  <w:style w:type="character" w:styleId="ListLabel20" w:customStyle="1">
    <w:name w:val="ListLabel 20"/>
    <w:uiPriority w:val="0"/>
    <w:qFormat/>
    <w:rPr>
      <w:rFonts w:ascii="Calibri" w:hAnsi="Calibri" w:cs="Calibri" w:asciiTheme="minorHAnsi" w:cstheme="minorHAnsi" w:hAnsiTheme="minorHAnsi"/>
      <w:color w:val="auto"/>
      <w:sz w:val="24"/>
    </w:rPr>
  </w:style>
  <w:style w:type="character" w:styleId="ListLabel21" w:customStyle="1">
    <w:name w:val="ListLabel 21"/>
    <w:uiPriority w:val="0"/>
    <w:qFormat/>
    <w:rPr>
      <w:rFonts w:ascii="Calibri" w:hAnsi="Calibri" w:eastAsia="Calibri" w:cs="Calibri" w:asciiTheme="minorHAnsi" w:cstheme="minorHAnsi" w:hAnsiTheme="minorHAnsi"/>
      <w:color w:val="auto"/>
      <w:sz w:val="24"/>
    </w:rPr>
  </w:style>
  <w:style w:type="character" w:styleId="ListLabel22" w:customStyle="1">
    <w:name w:val="ListLabel 22"/>
    <w:uiPriority w:val="0"/>
    <w:qFormat/>
    <w:rPr>
      <w:rFonts w:ascii="Calibri" w:hAnsi="Calibri" w:cs="Calibri" w:asciiTheme="minorHAnsi" w:cstheme="minorHAnsi" w:hAnsiTheme="minorHAnsi"/>
      <w:color w:val="auto"/>
      <w:sz w:val="24"/>
    </w:rPr>
  </w:style>
  <w:style w:type="character" w:styleId="ListLabel23" w:customStyle="1">
    <w:name w:val="ListLabel 23"/>
    <w:uiPriority w:val="0"/>
    <w:qFormat/>
    <w:rPr>
      <w:rFonts w:ascii="Calibri" w:hAnsi="Calibri" w:cs="Calibri" w:asciiTheme="minorHAnsi" w:cstheme="minorHAnsi" w:hAnsiTheme="minorHAnsi"/>
      <w:sz w:val="24"/>
    </w:rPr>
  </w:style>
  <w:style w:type="character" w:styleId="ListLabel24" w:customStyle="1">
    <w:name w:val="ListLabel 24"/>
    <w:uiPriority w:val="0"/>
    <w:qFormat/>
    <w:rPr>
      <w:rFonts w:ascii="Calibri" w:hAnsi="Calibri" w:cs="Calibri" w:asciiTheme="minorHAnsi" w:cstheme="minorHAnsi" w:hAnsiTheme="minorHAnsi"/>
      <w:b/>
      <w:bCs/>
      <w:color w:val="000000" w:themeColor="text1"/>
      <w:sz w:val="24"/>
      <w14:textFill>
        <w14:solidFill>
          <w14:schemeClr w14:val="tx1"/>
        </w14:solidFill>
      </w14:textFill>
    </w:rPr>
  </w:style>
  <w:style w:type="character" w:styleId="ListLabel25">
    <w:name w:val="ListLabel 25"/>
    <w:qFormat/>
    <w:rPr>
      <w:b/>
      <w:color w:val="auto"/>
      <w:sz w:val="24"/>
    </w:rPr>
  </w:style>
  <w:style w:type="character" w:styleId="ListLabel26">
    <w:name w:val="ListLabel 26"/>
    <w:qFormat/>
    <w:rPr>
      <w:rFonts w:ascii="Carlito" w:hAnsi="Carlito"/>
      <w:b/>
      <w:i w:val="false"/>
      <w:iCs/>
      <w:color w:val="000000"/>
      <w:sz w:val="24"/>
    </w:rPr>
  </w:style>
  <w:style w:type="character" w:styleId="ListLabel27">
    <w:name w:val="ListLabel 27"/>
    <w:qFormat/>
    <w:rPr>
      <w:rFonts w:ascii="Carlito" w:hAnsi="Carlito" w:cs="Calibri"/>
      <w:b/>
      <w:i w:val="false"/>
      <w:iCs/>
      <w:color w:val="auto"/>
      <w:sz w:val="24"/>
    </w:rPr>
  </w:style>
  <w:style w:type="character" w:styleId="ListLabel28">
    <w:name w:val="ListLabel 28"/>
    <w:qFormat/>
    <w:rPr>
      <w:rFonts w:ascii="Carlito" w:hAnsi="Carlito"/>
      <w:b/>
      <w:bCs/>
      <w:color w:val="auto"/>
      <w:sz w:val="24"/>
    </w:rPr>
  </w:style>
  <w:style w:type="character" w:styleId="ListLabel29">
    <w:name w:val="ListLabel 29"/>
    <w:qFormat/>
    <w:rPr>
      <w:b/>
      <w:bCs/>
    </w:rPr>
  </w:style>
  <w:style w:type="character" w:styleId="ListLabel30">
    <w:name w:val="ListLabel 30"/>
    <w:qFormat/>
    <w:rPr>
      <w:b/>
    </w:rPr>
  </w:style>
  <w:style w:type="character" w:styleId="ListLabel31">
    <w:name w:val="ListLabel 31"/>
    <w:qFormat/>
    <w:rPr>
      <w:b w:val="false"/>
      <w:i w:val="false"/>
      <w:iCs/>
    </w:rPr>
  </w:style>
  <w:style w:type="character" w:styleId="ListLabel32">
    <w:name w:val="ListLabel 32"/>
    <w:qFormat/>
    <w:rPr>
      <w:rFonts w:cs="Arial"/>
      <w:b w:val="false"/>
      <w:i w:val="false"/>
      <w:iCs/>
      <w:color w:val="auto"/>
    </w:rPr>
  </w:style>
  <w:style w:type="character" w:styleId="ListLabel33">
    <w:name w:val="ListLabel 33"/>
    <w:qFormat/>
    <w:rPr>
      <w:b/>
      <w:bCs/>
      <w:sz w:val="24"/>
    </w:rPr>
  </w:style>
  <w:style w:type="character" w:styleId="ListLabel34">
    <w:name w:val="ListLabel 34"/>
    <w:qFormat/>
    <w:rPr>
      <w:rFonts w:eastAsia="WenQuanYi Micro Hei"/>
      <w:b w:val="false"/>
      <w:bCs/>
      <w:i w:val="false"/>
      <w:iCs w:val="false"/>
      <w:color w:val="auto"/>
    </w:rPr>
  </w:style>
  <w:style w:type="character" w:styleId="ListLabel35">
    <w:name w:val="ListLabel 35"/>
    <w:qFormat/>
    <w:rPr>
      <w:rFonts w:eastAsia="WenQuanYi Micro Hei" w:cs="Calibri"/>
      <w:b/>
      <w:bCs w:val="false"/>
      <w:i w:val="false"/>
      <w:iCs w:val="false"/>
      <w:color w:val="auto"/>
      <w:sz w:val="24"/>
      <w:szCs w:val="24"/>
    </w:rPr>
  </w:style>
  <w:style w:type="character" w:styleId="ListLabel36">
    <w:name w:val="ListLabel 36"/>
    <w:qFormat/>
    <w:rPr>
      <w:rFonts w:eastAsia="WenQuanYi Micro Hei" w:cs="Calibri"/>
      <w:b w:val="false"/>
      <w:bCs w:val="false"/>
      <w:i w:val="false"/>
      <w:strike w:val="false"/>
      <w:dstrike w:val="false"/>
      <w:color w:val="000000"/>
      <w:sz w:val="24"/>
      <w:szCs w:val="24"/>
      <w:u w:val="none"/>
    </w:rPr>
  </w:style>
  <w:style w:type="character" w:styleId="ListLabel37">
    <w:name w:val="ListLabel 37"/>
    <w:qFormat/>
    <w:rPr>
      <w:rFonts w:eastAsia="WenQuanYi Micro Hei"/>
      <w:b w:val="false"/>
      <w:i w:val="false"/>
      <w:color w:val="000000"/>
    </w:rPr>
  </w:style>
  <w:style w:type="character" w:styleId="ListLabel38">
    <w:name w:val="ListLabel 38"/>
    <w:qFormat/>
    <w:rPr>
      <w:rFonts w:eastAsia="WenQuanYi Micro Hei"/>
      <w:b w:val="false"/>
      <w:i w:val="false"/>
      <w:color w:val="000000"/>
    </w:rPr>
  </w:style>
  <w:style w:type="character" w:styleId="ListLabel39">
    <w:name w:val="ListLabel 39"/>
    <w:qFormat/>
    <w:rPr>
      <w:rFonts w:eastAsia="WenQuanYi Micro Hei"/>
      <w:b/>
      <w:i w:val="false"/>
      <w:color w:val="000000"/>
    </w:rPr>
  </w:style>
  <w:style w:type="character" w:styleId="ListLabel40">
    <w:name w:val="ListLabel 40"/>
    <w:qFormat/>
    <w:rPr>
      <w:rFonts w:eastAsia="WenQuanYi Micro Hei"/>
      <w:b/>
      <w:i w:val="false"/>
      <w:color w:val="000000"/>
    </w:rPr>
  </w:style>
  <w:style w:type="character" w:styleId="ListLabel41">
    <w:name w:val="ListLabel 41"/>
    <w:qFormat/>
    <w:rPr>
      <w:rFonts w:eastAsia="WenQuanYi Micro Hei"/>
      <w:b/>
      <w:i w:val="false"/>
      <w:color w:val="000000"/>
    </w:rPr>
  </w:style>
  <w:style w:type="character" w:styleId="ListLabel42">
    <w:name w:val="ListLabel 42"/>
    <w:qFormat/>
    <w:rPr>
      <w:rFonts w:eastAsia="WenQuanYi Micro Hei"/>
      <w:b/>
      <w:i w:val="false"/>
      <w:color w:val="000000"/>
    </w:rPr>
  </w:style>
  <w:style w:type="character" w:styleId="ListLabel43">
    <w:name w:val="ListLabel 43"/>
    <w:qFormat/>
    <w:rPr>
      <w:rFonts w:ascii="Calibri" w:hAnsi="Calibri" w:cs="Calibri" w:asciiTheme="minorHAnsi" w:cstheme="minorHAnsi" w:hAnsiTheme="minorHAnsi"/>
      <w:bCs/>
      <w:color w:val="auto"/>
      <w:sz w:val="24"/>
    </w:rPr>
  </w:style>
  <w:style w:type="character" w:styleId="ListLabel44">
    <w:name w:val="ListLabel 44"/>
    <w:qFormat/>
    <w:rPr>
      <w:rFonts w:ascii="Calibri" w:hAnsi="Calibri" w:cs="Calibri" w:asciiTheme="minorHAnsi" w:cstheme="minorHAnsi" w:hAnsiTheme="minorHAnsi"/>
      <w:color w:val="auto"/>
      <w:sz w:val="24"/>
    </w:rPr>
  </w:style>
  <w:style w:type="character" w:styleId="ListLabel45">
    <w:name w:val="ListLabel 45"/>
    <w:qFormat/>
    <w:rPr>
      <w:rFonts w:ascii="Calibri" w:hAnsi="Calibri" w:eastAsia="Calibri" w:cs="Calibri" w:asciiTheme="minorHAnsi" w:cstheme="minorHAnsi" w:hAnsiTheme="minorHAnsi"/>
      <w:color w:val="auto"/>
      <w:sz w:val="24"/>
    </w:rPr>
  </w:style>
  <w:style w:type="character" w:styleId="ListLabel46">
    <w:name w:val="ListLabel 46"/>
    <w:qFormat/>
    <w:rPr>
      <w:rFonts w:ascii="Calibri" w:hAnsi="Calibri" w:cs="Calibri" w:asciiTheme="minorHAnsi" w:cstheme="minorHAnsi" w:hAnsiTheme="minorHAnsi"/>
      <w:color w:val="auto"/>
      <w:sz w:val="24"/>
    </w:rPr>
  </w:style>
  <w:style w:type="character" w:styleId="ListLabel47">
    <w:name w:val="ListLabel 47"/>
    <w:qFormat/>
    <w:rPr>
      <w:rFonts w:ascii="Calibri" w:hAnsi="Calibri" w:cs="Calibri" w:asciiTheme="minorHAnsi" w:cstheme="minorHAnsi" w:hAnsiTheme="minorHAnsi"/>
      <w:sz w:val="24"/>
    </w:rPr>
  </w:style>
  <w:style w:type="character" w:styleId="ListLabel48">
    <w:name w:val="ListLabel 48"/>
    <w:qFormat/>
    <w:rPr>
      <w:rFonts w:ascii="Calibri" w:hAnsi="Calibri" w:cs="Calibri" w:asciiTheme="minorHAnsi" w:cstheme="minorHAnsi" w:hAnsiTheme="minorHAnsi"/>
      <w:color w:val="000000" w:themeColor="text1"/>
      <w:sz w:val="24"/>
      <w:u w:val="none"/>
      <w:lang w:val="pt-PT"/>
      <w14:textFill>
        <w14:solidFill>
          <w14:schemeClr w14:val="tx1"/>
        </w14:solidFill>
      </w14:textFill>
    </w:rPr>
  </w:style>
  <w:style w:type="character" w:styleId="ListLabel49">
    <w:name w:val="ListLabel 49"/>
    <w:qFormat/>
    <w:rPr>
      <w:rFonts w:ascii="Calibri" w:hAnsi="Calibri" w:cs="Calibri" w:asciiTheme="minorHAnsi" w:cstheme="minorHAnsi" w:hAnsiTheme="minorHAnsi"/>
      <w:sz w:val="24"/>
      <w:lang w:eastAsia="ar-SA"/>
    </w:rPr>
  </w:style>
  <w:style w:type="character" w:styleId="ListLabel50">
    <w:name w:val="ListLabel 50"/>
    <w:qFormat/>
    <w:rPr>
      <w:rFonts w:ascii="Calibri" w:hAnsi="Calibri" w:cs="Calibri" w:asciiTheme="minorHAnsi" w:cstheme="minorHAnsi" w:hAnsiTheme="minorHAnsi"/>
      <w:sz w:val="24"/>
    </w:rPr>
  </w:style>
  <w:style w:type="paragraph" w:styleId="Ttulo" w:customStyle="1">
    <w:name w:val="Título"/>
    <w:basedOn w:val="Normal"/>
    <w:next w:val="Corpodetexto"/>
    <w:uiPriority w:val="0"/>
    <w:qFormat/>
    <w:pPr>
      <w:keepNext w:val="true"/>
      <w:spacing w:before="240" w:after="120"/>
    </w:pPr>
    <w:rPr>
      <w:rFonts w:ascii="Liberation Sans" w:hAnsi="Liberation Sans" w:eastAsia="Noto Sans CJK SC" w:cs="Lohit Devanagari"/>
      <w:sz w:val="28"/>
      <w:szCs w:val="28"/>
    </w:rPr>
  </w:style>
  <w:style w:type="paragraph" w:styleId="Corpodetexto">
    <w:name w:val="Body Text"/>
    <w:basedOn w:val="Normal"/>
    <w:uiPriority w:val="0"/>
    <w:qFormat/>
    <w:pPr>
      <w:spacing w:lineRule="auto" w:line="276" w:before="0" w:after="140"/>
    </w:pPr>
    <w:rPr/>
  </w:style>
  <w:style w:type="paragraph" w:styleId="Lista">
    <w:name w:val="List"/>
    <w:basedOn w:val="Corpodetexto"/>
    <w:uiPriority w:val="0"/>
    <w:qFormat/>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uiPriority w:val="0"/>
    <w:qFormat/>
    <w:pPr>
      <w:suppressLineNumbers/>
    </w:pPr>
    <w:rPr>
      <w:rFonts w:cs="Lohit Devanagari"/>
    </w:rPr>
  </w:style>
  <w:style w:type="paragraph" w:styleId="BalloonText">
    <w:name w:val="Balloon Text"/>
    <w:basedOn w:val="Normal"/>
    <w:uiPriority w:val="99"/>
    <w:semiHidden/>
    <w:unhideWhenUsed/>
    <w:qFormat/>
    <w:pPr/>
    <w:rPr>
      <w:rFonts w:ascii="Segoe UI" w:hAnsi="Segoe UI" w:cs="Segoe UI"/>
      <w:sz w:val="18"/>
      <w:szCs w:val="18"/>
    </w:rPr>
  </w:style>
  <w:style w:type="paragraph" w:styleId="Caption">
    <w:name w:val="caption"/>
    <w:basedOn w:val="Normal"/>
    <w:uiPriority w:val="0"/>
    <w:qFormat/>
    <w:pPr>
      <w:suppressLineNumbers/>
      <w:spacing w:before="120" w:after="120"/>
    </w:pPr>
    <w:rPr>
      <w:rFonts w:cs="Lohit Devanagari"/>
      <w:i/>
      <w:iCs/>
      <w:sz w:val="24"/>
      <w:szCs w:val="24"/>
    </w:rPr>
  </w:style>
  <w:style w:type="paragraph" w:styleId="Annotationtext">
    <w:name w:val="annotation text"/>
    <w:basedOn w:val="Normal"/>
    <w:uiPriority w:val="0"/>
    <w:unhideWhenUsed/>
    <w:qFormat/>
    <w:pPr/>
    <w:rPr>
      <w:szCs w:val="20"/>
    </w:rPr>
  </w:style>
  <w:style w:type="paragraph" w:styleId="Annotationsubject">
    <w:name w:val="annotation subject"/>
    <w:basedOn w:val="Annotationtext"/>
    <w:uiPriority w:val="99"/>
    <w:semiHidden/>
    <w:unhideWhenUsed/>
    <w:qFormat/>
    <w:pPr/>
    <w:rPr>
      <w:b/>
      <w:bCs/>
    </w:rPr>
  </w:style>
  <w:style w:type="paragraph" w:styleId="Rodap">
    <w:name w:val="Footer"/>
    <w:basedOn w:val="Normal"/>
    <w:uiPriority w:val="99"/>
    <w:unhideWhenUsed/>
    <w:qFormat/>
    <w:pPr>
      <w:tabs>
        <w:tab w:val="center" w:pos="4252" w:leader="none"/>
        <w:tab w:val="right" w:pos="8504" w:leader="none"/>
      </w:tabs>
    </w:pPr>
    <w:rPr/>
  </w:style>
  <w:style w:type="paragraph" w:styleId="Cabealho">
    <w:name w:val="Header"/>
    <w:basedOn w:val="Normal"/>
    <w:uiPriority w:val="99"/>
    <w:unhideWhenUsed/>
    <w:qFormat/>
    <w:pPr>
      <w:tabs>
        <w:tab w:val="center" w:pos="4252" w:leader="none"/>
        <w:tab w:val="right" w:pos="8504" w:leader="none"/>
      </w:tabs>
    </w:pPr>
    <w:rPr/>
  </w:style>
  <w:style w:type="paragraph" w:styleId="Index1">
    <w:name w:val="index 1"/>
    <w:basedOn w:val="Normal"/>
    <w:uiPriority w:val="99"/>
    <w:semiHidden/>
    <w:unhideWhenUsed/>
    <w:qFormat/>
    <w:pPr/>
    <w:rPr/>
  </w:style>
  <w:style w:type="paragraph" w:styleId="Indexheading">
    <w:name w:val="index heading"/>
    <w:basedOn w:val="Ttulo"/>
    <w:uiPriority w:val="0"/>
    <w:qFormat/>
    <w:pPr/>
    <w:rPr/>
  </w:style>
  <w:style w:type="paragraph" w:styleId="Ttulododocumento">
    <w:name w:val="Title"/>
    <w:basedOn w:val="Normal"/>
    <w:uiPriority w:val="10"/>
    <w:qFormat/>
    <w:pPr>
      <w:spacing w:before="0" w:after="0"/>
      <w:contextualSpacing/>
    </w:pPr>
    <w:rPr>
      <w:rFonts w:ascii="Calibri Light" w:hAnsi="Calibri Light" w:eastAsia="" w:cs="等线 Light" w:asciiTheme="majorHAnsi" w:cstheme="majorBidi" w:eastAsiaTheme="majorEastAsia" w:hAnsiTheme="majorHAnsi"/>
      <w:spacing w:val="-10"/>
      <w:kern w:val="2"/>
      <w:sz w:val="56"/>
      <w:szCs w:val="56"/>
    </w:rPr>
  </w:style>
  <w:style w:type="paragraph" w:styleId="Sumrio1">
    <w:name w:val="TOC 1"/>
    <w:basedOn w:val="Normal"/>
    <w:uiPriority w:val="39"/>
    <w:unhideWhenUsed/>
    <w:qFormat/>
    <w:pPr>
      <w:spacing w:before="0" w:after="100"/>
    </w:pPr>
    <w:rPr/>
  </w:style>
  <w:style w:type="paragraph" w:styleId="Quote">
    <w:name w:val="Quote"/>
    <w:basedOn w:val="Normal"/>
    <w:uiPriority w:val="0"/>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uiPriority w:val="0"/>
    <w:qFormat/>
    <w:pPr>
      <w:spacing w:lineRule="auto" w:line="276" w:before="480" w:after="120"/>
      <w:ind w:right="-15" w:hanging="0"/>
      <w:jc w:val="both"/>
    </w:pPr>
    <w:rPr>
      <w:rFonts w:ascii="Arial" w:hAnsi="Arial" w:cs="Times New Roman"/>
      <w:b/>
      <w:bCs/>
      <w:color w:val="000000"/>
      <w:sz w:val="20"/>
      <w:szCs w:val="20"/>
    </w:rPr>
  </w:style>
  <w:style w:type="paragraph" w:styleId="Citao1" w:customStyle="1">
    <w:name w:val="Citação1"/>
    <w:basedOn w:val="Normal"/>
    <w:uiPriority w:val="0"/>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Nivel4" w:customStyle="1">
    <w:name w:val="Nivel 4"/>
    <w:basedOn w:val="Nivel3"/>
    <w:uiPriority w:val="0"/>
    <w:qFormat/>
    <w:pPr/>
    <w:rPr>
      <w:color w:val="auto"/>
    </w:rPr>
  </w:style>
  <w:style w:type="paragraph" w:styleId="Nivel3" w:customStyle="1">
    <w:name w:val="Nivel 3"/>
    <w:basedOn w:val="Nivel2"/>
    <w:uiPriority w:val="0"/>
    <w:qFormat/>
    <w:pPr/>
    <w:rPr>
      <w:rFonts w:cs="Arial"/>
      <w:color w:val="000000"/>
    </w:rPr>
  </w:style>
  <w:style w:type="paragraph" w:styleId="Nivel2" w:customStyle="1">
    <w:name w:val="Nivel 2"/>
    <w:uiPriority w:val="0"/>
    <w:qFormat/>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PADRO" w:customStyle="1">
    <w:name w:val="PADRÃO"/>
    <w:uiPriority w:val="0"/>
    <w:qFormat/>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pPr>
      <w:spacing w:before="0" w:after="0"/>
      <w:ind w:left="720" w:hanging="0"/>
      <w:contextualSpacing/>
    </w:pPr>
    <w:rPr/>
  </w:style>
  <w:style w:type="paragraph" w:styleId="Citao2" w:customStyle="1">
    <w:name w:val="citação 2"/>
    <w:basedOn w:val="Quote"/>
    <w:uiPriority w:val="0"/>
    <w:qFormat/>
    <w:pPr>
      <w:shd w:val="clear" w:fill="FFFFCC"/>
    </w:pPr>
    <w:rPr>
      <w:szCs w:val="20"/>
    </w:rPr>
  </w:style>
  <w:style w:type="paragraph" w:styleId="Nivel1" w:customStyle="1">
    <w:name w:val="Nivel1"/>
    <w:basedOn w:val="Ttulo1"/>
    <w:uiPriority w:val="0"/>
    <w:qFormat/>
    <w:pPr>
      <w:spacing w:lineRule="auto" w:line="276" w:before="480" w:after="0"/>
      <w:ind w:left="644" w:hanging="360"/>
      <w:jc w:val="both"/>
    </w:pPr>
    <w:rPr>
      <w:rFonts w:ascii="Arial" w:hAnsi="Arial" w:cs="Times New Roman"/>
      <w:b/>
      <w:color w:val="000000"/>
      <w:sz w:val="20"/>
      <w:szCs w:val="20"/>
    </w:rPr>
  </w:style>
  <w:style w:type="paragraph" w:styleId="Nivel11" w:customStyle="1">
    <w:name w:val="Nivel 1"/>
    <w:basedOn w:val="Nivel2"/>
    <w:uiPriority w:val="0"/>
    <w:qFormat/>
    <w:pPr/>
    <w:rPr>
      <w:rFonts w:cs="Arial"/>
      <w:b/>
    </w:rPr>
  </w:style>
  <w:style w:type="paragraph" w:styleId="Nivel5" w:customStyle="1">
    <w:name w:val="Nivel 5"/>
    <w:basedOn w:val="Nivel4"/>
    <w:uiPriority w:val="0"/>
    <w:qFormat/>
    <w:pPr>
      <w:tabs>
        <w:tab w:val="left" w:pos="360" w:leader="none"/>
      </w:tabs>
    </w:pPr>
    <w:rPr/>
  </w:style>
  <w:style w:type="paragraph" w:styleId="CabealhoeRodap" w:customStyle="1">
    <w:name w:val="Cabeçalho e Rodapé"/>
    <w:basedOn w:val="Normal"/>
    <w:uiPriority w:val="0"/>
    <w:qFormat/>
    <w:pPr/>
    <w:rPr/>
  </w:style>
  <w:style w:type="paragraph" w:styleId="TOCHeading" w:customStyle="1">
    <w:name w:val="TOC Heading"/>
    <w:basedOn w:val="Ttulo1"/>
    <w:uiPriority w:val="39"/>
    <w:unhideWhenUsed/>
    <w:qFormat/>
    <w:pPr>
      <w:spacing w:lineRule="auto" w:line="259"/>
    </w:pPr>
    <w:rPr/>
  </w:style>
  <w:style w:type="paragraph" w:styleId="Contedodatabela" w:customStyle="1">
    <w:name w:val="Conteúdo da tabela"/>
    <w:basedOn w:val="Normal"/>
    <w:uiPriority w:val="0"/>
    <w:qFormat/>
    <w:pPr>
      <w:suppressLineNumbers/>
    </w:pPr>
    <w:rPr/>
  </w:style>
  <w:style w:type="paragraph" w:styleId="Ttulodetabela" w:customStyle="1">
    <w:name w:val="Título de tabela"/>
    <w:basedOn w:val="Contedodatabela"/>
    <w:uiPriority w:val="0"/>
    <w:qFormat/>
    <w:pPr>
      <w:suppressLineNumbers/>
      <w:jc w:val="center"/>
    </w:pPr>
    <w:rPr>
      <w:b/>
      <w:bCs/>
    </w:rPr>
  </w:style>
  <w:style w:type="paragraph" w:styleId="Western" w:customStyle="1">
    <w:name w:val="western"/>
    <w:uiPriority w:val="0"/>
    <w:qFormat/>
    <w:pPr>
      <w:widowControl/>
      <w:bidi w:val="0"/>
      <w:jc w:val="left"/>
    </w:pPr>
    <w:rPr>
      <w:rFonts w:ascii="serif" w:hAnsi="serif" w:cs="serif" w:eastAsia="SimSun"/>
      <w:color w:val="auto"/>
      <w:kern w:val="0"/>
      <w:sz w:val="22"/>
      <w:szCs w:val="22"/>
      <w:lang w:val="en-US" w:eastAsia="zh-CN" w:bidi="ar"/>
    </w:rPr>
  </w:style>
  <w:style w:type="table" w:default="1" w:styleId="7">
    <w:name w:val="Normal Table"/>
    <w:uiPriority w:val="99"/>
    <w:semiHidden/>
    <w:unhideWhenUsed/>
    <w:qFormat/>
    <w:tblPr>
      <w:tblCellMar>
        <w:top w:w="0" w:type="dxa"/>
        <w:left w:w="108" w:type="dxa"/>
        <w:bottom w:w="0" w:type="dxa"/>
        <w:right w:w="108" w:type="dxa"/>
      </w:tblCellMar>
    </w:tblPr>
  </w:style>
  <w:style w:type="table" w:styleId="20">
    <w:name w:val="Table Grid"/>
    <w:basedOn w:val="7"/>
    <w:uiPriority w:val="0"/>
    <w:qFormat/>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gov.br/compras" TargetMode="External"/><Relationship Id="rId4" Type="http://schemas.openxmlformats.org/officeDocument/2006/relationships/hyperlink" Target="http://www.pncp.gov.br/" TargetMode="External"/><Relationship Id="rId5" Type="http://schemas.openxmlformats.org/officeDocument/2006/relationships/hyperlink" Target="https://www.gov.br/compras/pt-br/sistemas/conheca-o-compras/aplicativo-compras" TargetMode="External"/><Relationship Id="rId6" Type="http://schemas.openxmlformats.org/officeDocument/2006/relationships/hyperlink" Target="http://www.planalto.gov.br/ccivil_03/LEIS/L6404consol.htm"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yperlink" Target="mailto:thamiris@marinha.mil.br" TargetMode="External"/><Relationship Id="rId11" Type="http://schemas.openxmlformats.org/officeDocument/2006/relationships/hyperlink" Target="mailto:bruna.fortunato@marinha.mil.br" TargetMode="External"/><Relationship Id="rId12" Type="http://schemas.openxmlformats.org/officeDocument/2006/relationships/hyperlink" Target="https://www3.comprasnet.gov.br/sicaf-web/index.jsf" TargetMode="External"/><Relationship Id="rId13" Type="http://schemas.openxmlformats.org/officeDocument/2006/relationships/hyperlink" Target="https://portaldatransparencia.gov.br/sancoes/consulta?cadastro=1%2C2" TargetMode="External"/><Relationship Id="rId14" Type="http://schemas.openxmlformats.org/officeDocument/2006/relationships/hyperlink" Target="https://portaldatransparencia.gov.br/sancoes/consulta?cadastro=1%2C2"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11-2014/2013/lei/l12846.htm" TargetMode="Externa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Application>LibreOffice/6.0.7.3$Linux_X86_64 LibreOffice_project/00m0$Build-3</Application>
  <Pages>16</Pages>
  <Words>5539</Words>
  <Characters>31551</Characters>
  <CharactersWithSpaces>36700</CharactersWithSpaces>
  <Paragraphs>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2023-01-16T10:03:00Z</dcterms:created>
  <dc:creator>u14141523</dc:creator>
  <dc:description/>
  <dc:language>pt-BR</dc:language>
  <cp:lastModifiedBy/>
  <cp:lastPrinted>2023-08-07T13:47:41Z</cp:lastPrinted>
  <dcterms:modified xsi:type="dcterms:W3CDTF">2023-08-09T14:28:55Z</dcterms:modified>
  <cp:revision>37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DocSecurity">
    <vt:i4>0</vt:i4>
  </property>
  <property fmtid="{D5CDD505-2E9C-101B-9397-08002B2CF9AE}" pid="4" name="HyperlinksChanged">
    <vt:bool>0</vt:bool>
  </property>
  <property fmtid="{D5CDD505-2E9C-101B-9397-08002B2CF9AE}" pid="5" name="KSOProductBuildVer">
    <vt:lpwstr>1033-11.1.0.9615</vt:lpwstr>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