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wmf" ContentType="image/x-wmf"/>
  <Override PartName="/word/media/image4.jpeg" ContentType="image/jpeg"/>
  <Override PartName="/word/media/image5.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 xml:space="preserve">DISPENSA </w:t>
      </w:r>
    </w:p>
    <w:p>
      <w:pPr>
        <w:pStyle w:val="Normal"/>
        <w:rPr>
          <w:rFonts w:cs="Arial"/>
          <w:color w:val="405CA1"/>
          <w:sz w:val="56"/>
          <w:szCs w:val="56"/>
        </w:rPr>
      </w:pPr>
      <w:r>
        <w:rPr>
          <w:rFonts w:cs="Arial"/>
          <w:color w:val="405CA1"/>
          <w:sz w:val="56"/>
          <w:szCs w:val="56"/>
        </w:rPr>
        <w:t>ELETRÔNICA</w:t>
      </w:r>
    </w:p>
    <w:p>
      <w:pPr>
        <w:pStyle w:val="Normal"/>
        <w:rPr/>
      </w:pPr>
      <w:r>
        <w:rPr>
          <w:rFonts w:cs="Arial"/>
          <w:b/>
          <w:bCs/>
          <w:i/>
          <w:iCs/>
          <w:color w:val="5B5B5F"/>
          <w:sz w:val="32"/>
          <w:szCs w:val="32"/>
        </w:rPr>
        <w:t>45</w:t>
      </w:r>
      <w:r>
        <w:rPr>
          <w:rFonts w:cs="Arial"/>
          <w:b/>
          <w:bCs/>
          <w:i/>
          <w:iCs/>
          <w:color w:val="5B5B5F"/>
          <w:sz w:val="32"/>
          <w:szCs w:val="32"/>
        </w:rPr>
        <w:t>/2023</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pPr>
      <w:r>
        <w:rPr>
          <w:rFonts w:cs="Arial"/>
          <w:b/>
          <w:bCs/>
          <w:color w:val="5B5B5F"/>
          <w:sz w:val="28"/>
          <w:szCs w:val="28"/>
        </w:rPr>
        <w:t>HOSPITAL NAVAL DE NATAL (783701)</w:t>
      </w:r>
    </w:p>
    <w:p>
      <w:pPr>
        <w:pStyle w:val="Normal"/>
        <w:rPr>
          <w:rFonts w:cs="Arial"/>
          <w:color w:val="5B5B5F"/>
          <w:sz w:val="32"/>
          <w:szCs w:val="32"/>
        </w:rPr>
      </w:pPr>
      <w:r>
        <w:rPr>
          <w:rFonts w:cs="Arial"/>
          <w:color w:val="5B5B5F"/>
          <w:sz w:val="32"/>
          <w:szCs w:val="32"/>
        </w:rPr>
      </w:r>
    </w:p>
    <w:p>
      <w:pPr>
        <w:pStyle w:val="Normal"/>
        <w:rPr>
          <w:rFonts w:cs="Arial"/>
          <w:b/>
          <w:b/>
          <w:bCs/>
          <w:color w:val="5B5B5F"/>
          <w:szCs w:val="20"/>
        </w:rPr>
      </w:pPr>
      <w:r>
        <w:rPr>
          <w:rFonts w:cs="Arial"/>
          <w:b/>
          <w:bCs/>
          <w:color w:val="405CA1"/>
          <w:sz w:val="32"/>
          <w:szCs w:val="32"/>
        </w:rPr>
        <w:t>OBJETO</w:t>
      </w:r>
    </w:p>
    <w:p>
      <w:pPr>
        <w:pStyle w:val="Normal"/>
        <w:rPr>
          <w:b w:val="false"/>
          <w:b w:val="false"/>
          <w:bCs w:val="false"/>
          <w:color w:val="000000"/>
        </w:rPr>
      </w:pPr>
      <w:r>
        <w:rPr>
          <w:rFonts w:cs="Arial"/>
          <w:b/>
          <w:bCs/>
          <w:color w:val="5B5B5F"/>
          <w:sz w:val="28"/>
          <w:szCs w:val="28"/>
        </w:rPr>
        <w:t>CÂMARA FRIGORÍFICA PARA CONGELADOS E RESFRIADOS</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bookmarkStart w:id="0" w:name="_GoBack"/>
      <w:bookmarkEnd w:id="0"/>
      <w:r>
        <w:rPr>
          <w:rFonts w:cs="Arial"/>
          <w:b/>
          <w:bCs/>
          <w:color w:val="405CA1"/>
          <w:sz w:val="32"/>
          <w:szCs w:val="32"/>
        </w:rPr>
        <w:t>VALOR TOTAL DA CONTRATAÇÃO</w:t>
      </w:r>
    </w:p>
    <w:p>
      <w:pPr>
        <w:pStyle w:val="Normal"/>
        <w:rPr>
          <w:b w:val="false"/>
          <w:b w:val="false"/>
          <w:bCs w:val="false"/>
          <w:color w:val="000000"/>
        </w:rPr>
      </w:pPr>
      <w:r>
        <w:rPr>
          <w:rFonts w:cs="Arial"/>
          <w:b/>
          <w:bCs/>
          <w:color w:val="5B5B5F"/>
          <w:sz w:val="28"/>
          <w:szCs w:val="28"/>
        </w:rPr>
        <w:t>R$ 57.200,00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PERÍODO DE PROPOSTAS </w:t>
      </w:r>
    </w:p>
    <w:p>
      <w:pPr>
        <w:pStyle w:val="Normal"/>
        <w:rPr>
          <w:b/>
          <w:b/>
          <w:bCs/>
          <w:color w:val="666666"/>
          <w:sz w:val="28"/>
          <w:szCs w:val="28"/>
        </w:rPr>
      </w:pPr>
      <w:r>
        <w:rPr>
          <w:rFonts w:eastAsia="Times New Roman" w:cs="Arial"/>
          <w:b/>
          <w:bCs/>
          <w:color w:val="666666"/>
          <w:kern w:val="0"/>
          <w:sz w:val="28"/>
          <w:szCs w:val="28"/>
          <w:lang w:val="pt-BR" w:eastAsia="pt-BR" w:bidi="ar-SA"/>
        </w:rPr>
        <w:t xml:space="preserve">De </w:t>
      </w:r>
      <w:r>
        <w:rPr>
          <w:rFonts w:eastAsia="Times New Roman" w:cs="Arial"/>
          <w:b/>
          <w:bCs/>
          <w:color w:val="666666"/>
          <w:kern w:val="0"/>
          <w:sz w:val="28"/>
          <w:szCs w:val="28"/>
          <w:lang w:val="pt-BR" w:eastAsia="pt-BR" w:bidi="ar-SA"/>
        </w:rPr>
        <w:t>29</w:t>
      </w:r>
      <w:r>
        <w:rPr>
          <w:rFonts w:eastAsia="Times New Roman" w:cs="Arial"/>
          <w:b/>
          <w:bCs/>
          <w:color w:val="666666"/>
          <w:kern w:val="0"/>
          <w:sz w:val="28"/>
          <w:szCs w:val="28"/>
          <w:lang w:val="pt-BR" w:eastAsia="pt-BR" w:bidi="ar-SA"/>
        </w:rPr>
        <w:t>/08/2023 às 8h</w:t>
      </w:r>
      <w:r>
        <w:rPr>
          <w:rFonts w:cs="Arial"/>
          <w:b/>
          <w:bCs/>
          <w:color w:val="666666"/>
          <w:sz w:val="28"/>
          <w:szCs w:val="28"/>
        </w:rPr>
        <w:t xml:space="preserve"> </w:t>
      </w:r>
    </w:p>
    <w:p>
      <w:pPr>
        <w:pStyle w:val="Normal"/>
        <w:rPr>
          <w:b/>
          <w:b/>
          <w:bCs/>
          <w:color w:val="666666"/>
          <w:sz w:val="28"/>
          <w:szCs w:val="28"/>
        </w:rPr>
      </w:pPr>
      <w:r>
        <w:rPr>
          <w:rFonts w:cs="Arial"/>
          <w:b/>
          <w:bCs/>
          <w:color w:val="666666"/>
          <w:sz w:val="28"/>
          <w:szCs w:val="28"/>
        </w:rPr>
        <w:t xml:space="preserve">Até </w:t>
      </w:r>
      <w:r>
        <w:rPr>
          <w:rFonts w:cs="Arial"/>
          <w:b/>
          <w:bCs/>
          <w:color w:val="666666"/>
          <w:sz w:val="28"/>
          <w:szCs w:val="28"/>
        </w:rPr>
        <w:t>01</w:t>
      </w:r>
      <w:r>
        <w:rPr>
          <w:rFonts w:cs="Arial"/>
          <w:b/>
          <w:bCs/>
          <w:color w:val="666666"/>
          <w:sz w:val="28"/>
          <w:szCs w:val="28"/>
        </w:rPr>
        <w:t>/09/2023 às 8h</w:t>
      </w:r>
    </w:p>
    <w:p>
      <w:pPr>
        <w:pStyle w:val="Normal"/>
        <w:rPr>
          <w:rFonts w:cs="Arial"/>
          <w:b/>
          <w:b/>
          <w:bCs/>
          <w:color w:val="666666"/>
          <w:sz w:val="28"/>
          <w:szCs w:val="28"/>
        </w:rPr>
      </w:pPr>
      <w:r>
        <w:rPr>
          <w:rFonts w:cs="Arial"/>
          <w:b/>
          <w:bCs/>
          <w:color w:val="666666"/>
          <w:sz w:val="28"/>
          <w:szCs w:val="28"/>
        </w:rPr>
      </w:r>
    </w:p>
    <w:p>
      <w:pPr>
        <w:pStyle w:val="Normal"/>
        <w:rPr>
          <w:rFonts w:cs="Arial"/>
          <w:b/>
          <w:b/>
          <w:bCs/>
          <w:color w:val="405CA1"/>
          <w:sz w:val="32"/>
          <w:szCs w:val="32"/>
        </w:rPr>
      </w:pPr>
      <w:r>
        <w:rPr>
          <w:rFonts w:cs="Arial"/>
          <w:b/>
          <w:bCs/>
          <w:color w:val="405CA1"/>
          <w:sz w:val="32"/>
          <w:szCs w:val="32"/>
        </w:rPr>
        <w:t>PERÍODO DE LANCES</w:t>
      </w:r>
    </w:p>
    <w:p>
      <w:pPr>
        <w:pStyle w:val="Normal"/>
        <w:rPr>
          <w:b/>
          <w:b/>
          <w:bCs/>
          <w:color w:val="666666"/>
        </w:rPr>
      </w:pPr>
      <w:r>
        <w:rPr>
          <w:rFonts w:eastAsia="Times New Roman" w:cs="Arial"/>
          <w:b/>
          <w:bCs/>
          <w:color w:val="666666"/>
          <w:kern w:val="0"/>
          <w:sz w:val="28"/>
          <w:szCs w:val="28"/>
          <w:lang w:val="pt-BR" w:eastAsia="pt-BR" w:bidi="ar-SA"/>
        </w:rPr>
        <w:t xml:space="preserve">De </w:t>
      </w:r>
      <w:r>
        <w:rPr>
          <w:rFonts w:eastAsia="Times New Roman" w:cs="Arial"/>
          <w:b/>
          <w:bCs/>
          <w:color w:val="666666"/>
          <w:kern w:val="0"/>
          <w:sz w:val="28"/>
          <w:szCs w:val="28"/>
          <w:lang w:val="pt-BR" w:eastAsia="pt-BR" w:bidi="ar-SA"/>
        </w:rPr>
        <w:t>01</w:t>
      </w:r>
      <w:r>
        <w:rPr>
          <w:rFonts w:eastAsia="Times New Roman" w:cs="Arial"/>
          <w:b/>
          <w:bCs/>
          <w:color w:val="666666"/>
          <w:kern w:val="0"/>
          <w:sz w:val="28"/>
          <w:szCs w:val="28"/>
          <w:lang w:val="pt-BR" w:eastAsia="pt-BR" w:bidi="ar-SA"/>
        </w:rPr>
        <w:t>/09/2023 às 8h</w:t>
      </w:r>
    </w:p>
    <w:p>
      <w:pPr>
        <w:pStyle w:val="Normal"/>
        <w:rPr>
          <w:b/>
          <w:b/>
          <w:bCs/>
          <w:color w:val="666666"/>
        </w:rPr>
      </w:pPr>
      <w:r>
        <w:rPr>
          <w:rFonts w:eastAsia="Times New Roman" w:cs="Arial"/>
          <w:b/>
          <w:bCs/>
          <w:color w:val="666666"/>
          <w:kern w:val="0"/>
          <w:sz w:val="28"/>
          <w:szCs w:val="28"/>
          <w:lang w:val="pt-BR" w:eastAsia="pt-BR" w:bidi="ar-SA"/>
        </w:rPr>
        <w:t xml:space="preserve">Até </w:t>
      </w:r>
      <w:r>
        <w:rPr>
          <w:rFonts w:eastAsia="Times New Roman" w:cs="Arial"/>
          <w:b/>
          <w:bCs/>
          <w:color w:val="666666"/>
          <w:kern w:val="0"/>
          <w:sz w:val="28"/>
          <w:szCs w:val="28"/>
          <w:lang w:val="pt-BR" w:eastAsia="pt-BR" w:bidi="ar-SA"/>
        </w:rPr>
        <w:t>01</w:t>
      </w:r>
      <w:r>
        <w:rPr>
          <w:rFonts w:eastAsia="Times New Roman" w:cs="Arial"/>
          <w:b/>
          <w:bCs/>
          <w:color w:val="666666"/>
          <w:kern w:val="0"/>
          <w:sz w:val="28"/>
          <w:szCs w:val="28"/>
          <w:lang w:val="pt-BR" w:eastAsia="pt-BR" w:bidi="ar-SA"/>
        </w:rPr>
        <w:t>/09/2023 às 14h</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b w:val="false"/>
          <w:b w:val="false"/>
          <w:bCs w:val="false"/>
          <w:color w:val="000000"/>
        </w:rPr>
      </w:pPr>
      <w:r>
        <w:rPr>
          <w:rFonts w:cs="Arial"/>
          <w:b/>
          <w:bCs/>
          <w:color w:val="5B5B5F"/>
          <w:sz w:val="28"/>
          <w:szCs w:val="28"/>
        </w:rPr>
        <w:t>N</w:t>
      </w:r>
      <w:r>
        <w:rPr>
          <w:rFonts w:cs="Arial"/>
          <w:b/>
          <w:bCs/>
          <w:color w:val="5B5B5F"/>
          <w:sz w:val="28"/>
          <w:szCs w:val="28"/>
        </w:rPr>
        <w:t>ÃO</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sdt>
      <w:sdtPr>
        <w:docPartObj>
          <w:docPartGallery w:val="Table of Contents"/>
          <w:docPartUnique w:val="true"/>
        </w:docPartObj>
      </w:sdtPr>
      <w:sdtContent>
        <w:p>
          <w:pPr>
            <w:pStyle w:val="TOCHeading"/>
            <w:rPr>
              <w:rFonts w:ascii="Arial" w:hAnsi="Arial" w:cs="Arial"/>
              <w:sz w:val="22"/>
              <w:szCs w:val="22"/>
            </w:rPr>
          </w:pPr>
          <w:r>
            <w:br w:type="page"/>
          </w:r>
          <w:r>
            <w:rPr>
              <w:rFonts w:cs="Arial" w:ascii="Arial" w:hAnsi="Arial"/>
              <w:sz w:val="22"/>
              <w:szCs w:val="22"/>
            </w:rPr>
            <w:t>Sumário</w:t>
          </w:r>
        </w:p>
        <w:p>
          <w:pPr>
            <w:pStyle w:val="Normal"/>
            <w:rPr/>
          </w:pPr>
          <w:r>
            <w:rPr/>
          </w:r>
        </w:p>
        <w:p>
          <w:pPr>
            <w:pStyle w:val="Sumrio1"/>
            <w:tabs>
              <w:tab w:val="clear" w:pos="720"/>
              <w:tab w:val="left" w:pos="440" w:leader="none"/>
              <w:tab w:val="right" w:pos="9736" w:leader="dot"/>
            </w:tabs>
            <w:rPr>
              <w:rFonts w:eastAsia="" w:cs="Arial" w:eastAsiaTheme="minorEastAsia"/>
              <w:sz w:val="22"/>
              <w:szCs w:val="22"/>
            </w:rPr>
          </w:pPr>
          <w:r>
            <w:fldChar w:fldCharType="begin"/>
          </w:r>
          <w:r>
            <w:rPr>
              <w:webHidden/>
              <w:rStyle w:val="Vnculodendice"/>
              <w:sz w:val="22"/>
              <w:b/>
              <w:szCs w:val="22"/>
              <w:vanish w:val="false"/>
              <w:rFonts w:eastAsia="Calibri" w:cs="Arial"/>
            </w:rPr>
            <w:instrText> TOC \z \o "1-3" \u \h</w:instrText>
          </w:r>
          <w:r>
            <w:rPr>
              <w:webHidden/>
              <w:rStyle w:val="Vnculodendice"/>
              <w:sz w:val="22"/>
              <w:b/>
              <w:szCs w:val="22"/>
              <w:vanish w:val="false"/>
              <w:rFonts w:eastAsia="Calibri" w:cs="Arial"/>
            </w:rP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fldChar w:fldCharType="separate"/>
            </w:r>
            <w:r>
              <w:rPr>
                <w:rStyle w:val="Vnculodendice"/>
                <w:rFonts w:cs="Arial"/>
                <w:vanish w:val="false"/>
                <w:sz w:val="22"/>
                <w:szCs w:val="22"/>
              </w:rPr>
              <w:tab/>
              <w:t>3</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webHidden/>
              </w:rPr>
              <w:fldChar w:fldCharType="begin"/>
            </w:r>
            <w:r>
              <w:rPr>
                <w:webHidden/>
              </w:rPr>
              <w:instrText>PAGEREF _Toc104906819 \h</w:instrText>
            </w:r>
            <w:r>
              <w:rPr>
                <w:webHidden/>
              </w:rPr>
              <w:fldChar w:fldCharType="separate"/>
            </w:r>
            <w:r>
              <w:rPr>
                <w:rStyle w:val="Vnculodendice"/>
                <w:rFonts w:cs="Arial"/>
                <w:vanish w:val="false"/>
                <w:sz w:val="22"/>
                <w:szCs w:val="22"/>
              </w:rPr>
              <w:tab/>
              <w:t>4</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webHidden/>
              </w:rPr>
              <w:fldChar w:fldCharType="begin"/>
            </w:r>
            <w:r>
              <w:rPr>
                <w:webHidden/>
              </w:rPr>
              <w:instrText>PAGEREF _Toc104906820 \h</w:instrText>
            </w:r>
            <w:r>
              <w:rPr>
                <w:webHidden/>
              </w:rPr>
              <w:fldChar w:fldCharType="separate"/>
            </w:r>
            <w:r>
              <w:rPr>
                <w:rStyle w:val="Vnculodendice"/>
                <w:rFonts w:cs="Arial"/>
                <w:vanish w:val="false"/>
                <w:sz w:val="22"/>
                <w:szCs w:val="22"/>
              </w:rPr>
              <w:tab/>
              <w:t>5</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webHidden/>
              </w:rPr>
              <w:fldChar w:fldCharType="begin"/>
            </w:r>
            <w:r>
              <w:rPr>
                <w:webHidden/>
              </w:rPr>
              <w:instrText>PAGEREF _Toc104906821 \h</w:instrText>
            </w:r>
            <w:r>
              <w:rPr>
                <w:webHidden/>
              </w:rPr>
              <w:fldChar w:fldCharType="separate"/>
            </w:r>
            <w:r>
              <w:rPr>
                <w:rStyle w:val="Vnculodendice"/>
                <w:rFonts w:cs="Arial"/>
                <w:vanish w:val="false"/>
                <w:sz w:val="22"/>
                <w:szCs w:val="22"/>
              </w:rPr>
              <w:tab/>
              <w:t>7</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webHidden/>
              </w:rPr>
              <w:fldChar w:fldCharType="begin"/>
            </w:r>
            <w:r>
              <w:rPr>
                <w:webHidden/>
              </w:rPr>
              <w:instrText>PAGEREF _Toc104906822 \h</w:instrText>
            </w:r>
            <w:r>
              <w:rPr>
                <w:webHidden/>
              </w:rPr>
              <w:fldChar w:fldCharType="separate"/>
            </w:r>
            <w:r>
              <w:rPr>
                <w:rStyle w:val="Vnculodendice"/>
                <w:rFonts w:cs="Arial"/>
                <w:vanish w:val="false"/>
                <w:sz w:val="22"/>
                <w:szCs w:val="22"/>
              </w:rPr>
              <w:tab/>
              <w:t>8</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webHidden/>
              </w:rPr>
              <w:fldChar w:fldCharType="begin"/>
            </w:r>
            <w:r>
              <w:rPr>
                <w:webHidden/>
              </w:rPr>
              <w:instrText>PAGEREF _Toc104906823 \h</w:instrText>
            </w:r>
            <w:r>
              <w:rPr>
                <w:webHidden/>
              </w:rPr>
              <w:fldChar w:fldCharType="separate"/>
            </w:r>
            <w:r>
              <w:rPr>
                <w:rStyle w:val="Vnculodendice"/>
                <w:rFonts w:cs="Arial"/>
                <w:vanish w:val="false"/>
                <w:sz w:val="22"/>
                <w:szCs w:val="22"/>
              </w:rPr>
              <w:tab/>
              <w:t>10</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webHidden/>
              </w:rPr>
              <w:fldChar w:fldCharType="begin"/>
            </w:r>
            <w:r>
              <w:rPr>
                <w:webHidden/>
              </w:rPr>
              <w:instrText>PAGEREF _Toc104906824 \h</w:instrText>
            </w:r>
            <w:r>
              <w:rPr>
                <w:webHidden/>
              </w:rPr>
              <w:fldChar w:fldCharType="separate"/>
            </w:r>
            <w:r>
              <w:rPr>
                <w:rStyle w:val="Vnculodendice"/>
                <w:rFonts w:cs="Arial"/>
                <w:vanish w:val="false"/>
                <w:sz w:val="22"/>
                <w:szCs w:val="22"/>
              </w:rPr>
              <w:tab/>
              <w:t>12</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fldChar w:fldCharType="separate"/>
            </w:r>
            <w:r>
              <w:rPr>
                <w:rStyle w:val="Vnculodendice"/>
                <w:rFonts w:cs="Arial"/>
                <w:vanish w:val="false"/>
                <w:sz w:val="22"/>
                <w:szCs w:val="22"/>
              </w:rPr>
              <w:tab/>
              <w:t>13</w:t>
            </w:r>
            <w:r>
              <w:rPr>
                <w:webHidden/>
              </w:rPr>
              <w:fldChar w:fldCharType="end"/>
            </w:r>
          </w:hyperlink>
        </w:p>
        <w:p>
          <w:pPr>
            <w:pStyle w:val="Sumrio1"/>
            <w:tabs>
              <w:tab w:val="clear" w:pos="720"/>
              <w:tab w:val="left" w:pos="440" w:leader="none"/>
              <w:tab w:val="right" w:pos="9736" w:leader="dot"/>
            </w:tabs>
            <w:rPr>
              <w:rFonts w:eastAsia="" w:cs="Arial" w:eastAsiaTheme="minorEastAsia"/>
              <w:sz w:val="22"/>
              <w:szCs w:val="22"/>
            </w:rPr>
          </w:pPr>
          <w:hyperlink w:anchor="_Toc104906826">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fldChar w:fldCharType="separate"/>
            </w:r>
            <w:r>
              <w:rPr>
                <w:rStyle w:val="Vnculodendice"/>
                <w:rFonts w:cs="Arial"/>
                <w:vanish w:val="false"/>
                <w:sz w:val="22"/>
                <w:szCs w:val="22"/>
              </w:rPr>
              <w:tab/>
              <w:t>15</w:t>
            </w:r>
            <w:r>
              <w:rPr>
                <w:webHidden/>
              </w:rPr>
              <w:fldChar w:fldCharType="end"/>
            </w:r>
          </w:hyperlink>
        </w:p>
        <w:p>
          <w:pPr>
            <w:pStyle w:val="Normal"/>
            <w:rPr/>
          </w:pPr>
          <w:r>
            <w:rPr/>
          </w:r>
          <w:r>
            <w:rP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Normal"/>
        <w:spacing w:lineRule="auto" w:line="276"/>
        <w:jc w:val="center"/>
        <w:rPr>
          <w:rFonts w:ascii="Calibri" w:hAnsi="Calibri" w:cs="Arial"/>
          <w:b/>
          <w:b/>
          <w:bCs/>
          <w:i w:val="false"/>
          <w:i w:val="false"/>
          <w:iCs w:val="false"/>
          <w:color w:val="000000"/>
          <w:sz w:val="24"/>
          <w:szCs w:val="24"/>
        </w:rPr>
      </w:pPr>
      <w:r>
        <w:rPr/>
        <w:drawing>
          <wp:inline distT="0" distB="0" distL="0" distR="0">
            <wp:extent cx="718820" cy="721360"/>
            <wp:effectExtent l="0" t="0" r="0" b="0"/>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2"/>
                    <a:srcRect l="-12" t="-12" r="-12" b="-12"/>
                    <a:stretch>
                      <a:fillRect/>
                    </a:stretch>
                  </pic:blipFill>
                  <pic:spPr bwMode="auto">
                    <a:xfrm>
                      <a:off x="0" y="0"/>
                      <a:ext cx="718820" cy="721360"/>
                    </a:xfrm>
                    <a:prstGeom prst="rect">
                      <a:avLst/>
                    </a:prstGeom>
                  </pic:spPr>
                </pic:pic>
              </a:graphicData>
            </a:graphic>
          </wp:inline>
        </w:drawing>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t>MARINHA DO BRASIL</w:t>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t>HOSPITAL NAVAL DE NATAL</w:t>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r>
    </w:p>
    <w:p>
      <w:pPr>
        <w:pStyle w:val="Normal"/>
        <w:spacing w:lineRule="auto" w:line="276"/>
        <w:jc w:val="center"/>
        <w:rPr>
          <w:rFonts w:ascii="Arial" w:hAnsi="Arial" w:cs="Arial"/>
          <w:b/>
          <w:b/>
          <w:bCs/>
          <w:i w:val="false"/>
          <w:i w:val="false"/>
          <w:iCs w:val="false"/>
          <w:color w:val="000000"/>
          <w:sz w:val="24"/>
          <w:szCs w:val="24"/>
        </w:rPr>
      </w:pPr>
      <w:r>
        <w:rPr>
          <w:rFonts w:cs="Arial"/>
          <w:b/>
          <w:bCs/>
          <w:i w:val="false"/>
          <w:iCs w:val="false"/>
          <w:color w:val="000000"/>
          <w:sz w:val="24"/>
          <w:szCs w:val="24"/>
        </w:rPr>
        <w:t xml:space="preserve">AVISO DE DISPENSA ELETRÔNICA Nº </w:t>
      </w:r>
      <w:r>
        <w:rPr>
          <w:rFonts w:cs="Arial"/>
          <w:b/>
          <w:bCs/>
          <w:i w:val="false"/>
          <w:iCs w:val="false"/>
          <w:color w:val="000000"/>
          <w:sz w:val="24"/>
          <w:szCs w:val="24"/>
        </w:rPr>
        <w:t>45</w:t>
      </w:r>
      <w:r>
        <w:rPr>
          <w:rFonts w:cs="Arial"/>
          <w:b/>
          <w:bCs/>
          <w:i w:val="false"/>
          <w:iCs w:val="false"/>
          <w:color w:val="000000"/>
          <w:sz w:val="24"/>
          <w:szCs w:val="24"/>
        </w:rPr>
        <w:t>/2</w:t>
      </w:r>
      <w:r>
        <w:rPr>
          <w:rFonts w:cs="Arial"/>
          <w:b/>
          <w:bCs/>
          <w:i w:val="false"/>
          <w:iCs w:val="false"/>
          <w:color w:val="000000"/>
          <w:sz w:val="24"/>
          <w:szCs w:val="24"/>
        </w:rPr>
        <w:t>023</w:t>
      </w:r>
    </w:p>
    <w:p>
      <w:pPr>
        <w:pStyle w:val="Normal"/>
        <w:spacing w:lineRule="auto" w:line="276" w:before="0" w:after="120"/>
        <w:ind w:left="0" w:right="0" w:hanging="0"/>
        <w:jc w:val="center"/>
        <w:rPr/>
      </w:pPr>
      <w:r>
        <w:rPr>
          <w:rFonts w:cs="Arial"/>
          <w:b/>
          <w:bCs/>
          <w:i w:val="false"/>
          <w:iCs w:val="false"/>
          <w:color w:val="000000"/>
          <w:sz w:val="24"/>
          <w:szCs w:val="24"/>
        </w:rPr>
        <w:t xml:space="preserve">(Processo Administrativo n.° </w:t>
      </w:r>
      <w:r>
        <w:rPr>
          <w:rStyle w:val="Nfaseforte"/>
          <w:rFonts w:cs="Arial"/>
          <w:i w:val="false"/>
          <w:iCs w:val="false"/>
          <w:color w:val="000000"/>
          <w:sz w:val="24"/>
          <w:szCs w:val="24"/>
        </w:rPr>
        <w:t>63064.008950/2023-52)</w:t>
      </w:r>
    </w:p>
    <w:p>
      <w:pPr>
        <w:pStyle w:val="Normal"/>
        <w:rPr>
          <w:rFonts w:ascii="Arial" w:hAnsi="Arial" w:cs="Arial"/>
          <w:sz w:val="24"/>
        </w:rPr>
      </w:pPr>
      <w:r>
        <w:rPr>
          <w:rFonts w:cs="Arial"/>
          <w:sz w:val="24"/>
        </w:rPr>
      </w:r>
    </w:p>
    <w:p>
      <w:pPr>
        <w:pStyle w:val="Normal"/>
        <w:snapToGrid w:val="false"/>
        <w:spacing w:lineRule="auto" w:line="276" w:before="0" w:after="120"/>
        <w:ind w:left="0" w:right="0" w:firstLine="540"/>
        <w:jc w:val="both"/>
        <w:rPr>
          <w:rFonts w:ascii="Arial" w:hAnsi="Arial"/>
          <w:sz w:val="24"/>
          <w:szCs w:val="24"/>
        </w:rPr>
      </w:pPr>
      <w:r>
        <w:rPr>
          <w:rFonts w:cs="Arial"/>
          <w:color w:val="000000"/>
          <w:sz w:val="24"/>
          <w:szCs w:val="24"/>
        </w:rPr>
        <w:t xml:space="preserve">Torna-se público que o Hospital Naval de Natal, por meio da Seção de Aquisições, realizará Dispensa Eletrônica, </w:t>
      </w:r>
      <w:r>
        <w:rPr>
          <w:rFonts w:cs="Arial"/>
          <w:bCs/>
          <w:color w:val="000000"/>
          <w:sz w:val="24"/>
          <w:szCs w:val="24"/>
        </w:rPr>
        <w:t>com critério de julgamento</w:t>
      </w:r>
      <w:r>
        <w:rPr>
          <w:rFonts w:cs="Arial"/>
          <w:b/>
          <w:bCs/>
          <w:i w:val="false"/>
          <w:iCs w:val="false"/>
          <w:color w:val="000000"/>
          <w:sz w:val="24"/>
          <w:szCs w:val="24"/>
        </w:rPr>
        <w:t xml:space="preserve"> </w:t>
      </w:r>
      <w:r>
        <w:rPr>
          <w:rFonts w:cs="Arial"/>
          <w:i w:val="false"/>
          <w:iCs w:val="false"/>
          <w:color w:val="000000"/>
          <w:sz w:val="24"/>
          <w:szCs w:val="24"/>
        </w:rPr>
        <w:t>menor preço</w:t>
      </w:r>
      <w:r>
        <w:rPr>
          <w:rFonts w:cs="Arial"/>
          <w:b w:val="false"/>
          <w:bCs w:val="false"/>
          <w:i w:val="false"/>
          <w:iCs w:val="false"/>
          <w:color w:val="000000"/>
          <w:sz w:val="24"/>
          <w:szCs w:val="24"/>
        </w:rPr>
        <w:t xml:space="preserve">, </w:t>
      </w:r>
      <w:r>
        <w:rPr>
          <w:rFonts w:cs="Arial"/>
          <w:b w:val="false"/>
          <w:bCs w:val="false"/>
          <w:color w:val="000000"/>
          <w:sz w:val="24"/>
          <w:szCs w:val="24"/>
        </w:rPr>
        <w:t>na hipótese do art. 75</w:t>
      </w:r>
      <w:r>
        <w:rPr>
          <w:rFonts w:cs="Arial"/>
          <w:b w:val="false"/>
          <w:bCs w:val="false"/>
          <w:i/>
          <w:iCs/>
          <w:color w:val="000000"/>
          <w:sz w:val="24"/>
          <w:szCs w:val="24"/>
        </w:rPr>
        <w:t xml:space="preserve">, </w:t>
      </w:r>
      <w:r>
        <w:rPr>
          <w:rFonts w:cs="Arial"/>
          <w:b w:val="false"/>
          <w:bCs w:val="false"/>
          <w:i w:val="false"/>
          <w:iCs w:val="false"/>
          <w:color w:val="000000"/>
          <w:sz w:val="24"/>
          <w:szCs w:val="24"/>
        </w:rPr>
        <w:t>inciso II</w:t>
      </w:r>
      <w:r>
        <w:rPr>
          <w:rFonts w:cs="Arial"/>
          <w:i w:val="false"/>
          <w:iCs w:val="false"/>
          <w:color w:val="000000"/>
          <w:sz w:val="24"/>
          <w:szCs w:val="24"/>
        </w:rPr>
        <w:t>,</w:t>
      </w:r>
      <w:r>
        <w:rPr>
          <w:rFonts w:cs="Arial"/>
          <w:color w:val="FF0000"/>
          <w:sz w:val="24"/>
          <w:szCs w:val="24"/>
        </w:rPr>
        <w:t xml:space="preserve"> </w:t>
      </w:r>
      <w:r>
        <w:rPr>
          <w:rFonts w:cs="Arial"/>
          <w:bCs/>
          <w:sz w:val="24"/>
          <w:szCs w:val="24"/>
        </w:rPr>
        <w:t>nos termos da Lei nº 14.133, de 1º de abril de 2021, da Instrução Normativa SEGES/ME nº 67/2021 e demais legislação aplicável</w:t>
      </w:r>
      <w:r>
        <w:rPr>
          <w:rFonts w:cs="Arial"/>
          <w:color w:val="000000"/>
          <w:sz w:val="24"/>
          <w:szCs w:val="24"/>
        </w:rPr>
        <w:t>.</w:t>
      </w:r>
    </w:p>
    <w:p>
      <w:pPr>
        <w:pStyle w:val="Normal"/>
        <w:spacing w:lineRule="auto" w:line="276"/>
        <w:jc w:val="both"/>
        <w:rPr>
          <w:rFonts w:ascii="Arial" w:hAnsi="Arial" w:cs="Arial"/>
          <w:color w:val="000000"/>
          <w:sz w:val="24"/>
          <w:szCs w:val="24"/>
        </w:rPr>
      </w:pPr>
      <w:r>
        <w:rPr>
          <w:rFonts w:cs="Arial"/>
          <w:color w:val="000000"/>
          <w:sz w:val="24"/>
          <w:szCs w:val="24"/>
        </w:rPr>
      </w:r>
    </w:p>
    <w:p>
      <w:pPr>
        <w:pStyle w:val="Normal"/>
        <w:spacing w:lineRule="auto" w:line="276"/>
        <w:jc w:val="both"/>
        <w:rPr/>
      </w:pPr>
      <w:r>
        <w:rPr>
          <w:rFonts w:cs="Arial"/>
          <w:color w:val="000000"/>
          <w:sz w:val="24"/>
          <w:szCs w:val="24"/>
        </w:rPr>
        <w:t>Data da sessão: 0</w:t>
      </w:r>
      <w:r>
        <w:rPr>
          <w:rFonts w:cs="Arial"/>
          <w:color w:val="000000"/>
          <w:sz w:val="24"/>
          <w:szCs w:val="24"/>
        </w:rPr>
        <w:t>1</w:t>
      </w:r>
      <w:r>
        <w:rPr>
          <w:rFonts w:cs="Arial"/>
          <w:color w:val="000000"/>
          <w:sz w:val="24"/>
          <w:szCs w:val="24"/>
        </w:rPr>
        <w:t xml:space="preserve"> de setembro de 2023</w:t>
      </w:r>
    </w:p>
    <w:p>
      <w:pPr>
        <w:pStyle w:val="Normal"/>
        <w:rPr>
          <w:rFonts w:ascii="Arial" w:hAnsi="Arial" w:cs="Arial"/>
          <w:color w:val="000000"/>
          <w:sz w:val="24"/>
          <w:szCs w:val="24"/>
        </w:rPr>
      </w:pPr>
      <w:r>
        <w:rPr>
          <w:rFonts w:cs="Arial"/>
          <w:color w:val="000000"/>
          <w:sz w:val="24"/>
          <w:szCs w:val="24"/>
        </w:rPr>
        <w:t>Link: Portal de Compras do Governo Federal – www.compras.gov.br</w:t>
      </w:r>
    </w:p>
    <w:p>
      <w:pPr>
        <w:pStyle w:val="Normal"/>
        <w:snapToGrid w:val="false"/>
        <w:spacing w:lineRule="auto" w:line="276" w:before="0" w:after="120"/>
        <w:ind w:right="-30" w:firstLine="540"/>
        <w:jc w:val="both"/>
        <w:rPr>
          <w:rFonts w:ascii="Arial" w:hAnsi="Arial"/>
          <w:color w:val="000000"/>
          <w:sz w:val="24"/>
          <w:szCs w:val="24"/>
        </w:rPr>
      </w:pPr>
      <w:r>
        <w:rPr>
          <w:rFonts w:cs="Arial"/>
          <w:i/>
          <w:color w:val="000000" w:themeColor="text1"/>
          <w:sz w:val="24"/>
          <w:szCs w:val="24"/>
        </w:rPr>
        <w:t>Horário da Fase de Lances: 8:00 às 14:</w:t>
      </w:r>
      <w:r>
        <w:rPr>
          <w:rFonts w:cs="Arial"/>
          <w:i w:val="false"/>
          <w:iCs w:val="false"/>
          <w:color w:val="000000" w:themeColor="text1"/>
          <w:sz w:val="24"/>
          <w:szCs w:val="24"/>
        </w:rPr>
        <w:t>00</w:t>
      </w:r>
      <w:r>
        <w:rPr>
          <w:rFonts w:cs="Arial"/>
          <w:i/>
          <w:color w:val="000000" w:themeColor="text1"/>
          <w:sz w:val="24"/>
          <w:szCs w:val="24"/>
        </w:rPr>
        <w:t>.</w:t>
      </w:r>
    </w:p>
    <w:p>
      <w:pPr>
        <w:pStyle w:val="Ttulo1"/>
        <w:numPr>
          <w:ilvl w:val="0"/>
          <w:numId w:val="1"/>
        </w:numPr>
        <w:rPr>
          <w:b/>
          <w:b/>
          <w:bCs/>
        </w:rPr>
      </w:pPr>
      <w:bookmarkStart w:id="1" w:name="_Toc104906818"/>
      <w:bookmarkEnd w:id="1"/>
      <w:r>
        <w:rPr>
          <w:rFonts w:cs="Arial" w:ascii="Arial" w:hAnsi="Arial"/>
          <w:b/>
          <w:bCs/>
          <w:color w:val="00000A"/>
          <w:sz w:val="24"/>
          <w:szCs w:val="24"/>
        </w:rPr>
        <w:t>OBJETO DA CONTRATAÇÃO DIRETA</w:t>
      </w:r>
    </w:p>
    <w:p>
      <w:pPr>
        <w:pStyle w:val="PADRO"/>
        <w:keepNext w:val="true"/>
        <w:widowControl/>
        <w:numPr>
          <w:ilvl w:val="1"/>
          <w:numId w:val="1"/>
        </w:numPr>
        <w:shd w:val="clear" w:color="auto" w:fill="auto"/>
        <w:spacing w:before="120" w:after="120"/>
        <w:rPr/>
      </w:pPr>
      <w:r>
        <w:rPr>
          <w:rFonts w:cs="Arial" w:ascii="Arial" w:hAnsi="Arial"/>
          <w:color w:val="000000" w:themeColor="text1"/>
          <w:sz w:val="24"/>
          <w:szCs w:val="24"/>
        </w:rPr>
        <w:t xml:space="preserve">O objeto da presente dispensa é a escolha da proposta mais vantajosa para a </w:t>
      </w:r>
      <w:r>
        <w:rPr>
          <w:rFonts w:cs="Arial" w:ascii="Arial" w:hAnsi="Arial"/>
          <w:color w:val="000000"/>
          <w:sz w:val="24"/>
          <w:szCs w:val="24"/>
        </w:rPr>
        <w:t>aquisição</w:t>
      </w:r>
      <w:r>
        <w:rPr>
          <w:rFonts w:cs="Arial" w:ascii="Arial" w:hAnsi="Arial"/>
          <w:color w:val="CE181E"/>
          <w:sz w:val="24"/>
          <w:szCs w:val="24"/>
        </w:rPr>
        <w:t xml:space="preserve"> </w:t>
      </w:r>
      <w:r>
        <w:rPr>
          <w:rFonts w:cs="Arial" w:ascii="Arial" w:hAnsi="Arial"/>
          <w:color w:val="000000" w:themeColor="text1"/>
          <w:sz w:val="24"/>
          <w:szCs w:val="24"/>
        </w:rPr>
        <w:t>por dispensa de licitação para aquisição</w:t>
      </w:r>
      <w:r>
        <w:rPr>
          <w:rFonts w:cs="Arial" w:ascii="Arial" w:hAnsi="Arial"/>
          <w:color w:val="00000A"/>
          <w:sz w:val="24"/>
          <w:szCs w:val="24"/>
        </w:rPr>
        <w:t xml:space="preserve"> de câmara frigorífica para congelados e resfriados</w:t>
      </w:r>
      <w:r>
        <w:rPr>
          <w:rFonts w:cs="Arial" w:ascii="Arial" w:hAnsi="Arial"/>
          <w:color w:val="000000" w:themeColor="text1"/>
          <w:sz w:val="24"/>
          <w:szCs w:val="24"/>
        </w:rPr>
        <w:t>, conforme condições, quantidades e exigências estabelecidas neste Aviso de Contratação Direta e seus anexos.</w:t>
      </w:r>
    </w:p>
    <w:p>
      <w:pPr>
        <w:pStyle w:val="PADRO"/>
        <w:keepNext w:val="false"/>
        <w:widowControl/>
        <w:numPr>
          <w:ilvl w:val="1"/>
          <w:numId w:val="1"/>
        </w:numPr>
        <w:shd w:val="clear" w:color="auto" w:fill="auto"/>
        <w:spacing w:before="120" w:after="120"/>
        <w:rPr>
          <w:rFonts w:ascii="Arial" w:hAnsi="Arial"/>
        </w:rPr>
      </w:pPr>
      <w:r>
        <w:rPr>
          <w:rFonts w:cs="Arial" w:ascii="Arial" w:hAnsi="Arial"/>
          <w:i w:val="false"/>
          <w:iCs w:val="false"/>
          <w:color w:val="00000A"/>
          <w:sz w:val="24"/>
        </w:rPr>
        <w:t>A contratação será em lote único</w:t>
      </w:r>
      <w:r>
        <w:rPr>
          <w:rFonts w:cs="Arial" w:ascii="Arial" w:hAnsi="Arial"/>
          <w:b/>
          <w:bCs/>
          <w:i w:val="false"/>
          <w:iCs w:val="false"/>
          <w:color w:val="00000A"/>
          <w:sz w:val="24"/>
        </w:rPr>
        <w:t>,</w:t>
      </w:r>
      <w:r>
        <w:rPr>
          <w:rFonts w:cs="Arial" w:ascii="Arial" w:hAnsi="Arial"/>
          <w:i w:val="false"/>
          <w:iCs w:val="false"/>
          <w:color w:val="00000A"/>
          <w:sz w:val="24"/>
        </w:rPr>
        <w:t xml:space="preserve"> conforme tabela constante abaixo.</w:t>
      </w:r>
    </w:p>
    <w:tbl>
      <w:tblPr>
        <w:tblW w:w="9690" w:type="dxa"/>
        <w:jc w:val="left"/>
        <w:tblInd w:w="92" w:type="dxa"/>
        <w:tblCellMar>
          <w:top w:w="0" w:type="dxa"/>
          <w:left w:w="73" w:type="dxa"/>
          <w:bottom w:w="0" w:type="dxa"/>
          <w:right w:w="108" w:type="dxa"/>
        </w:tblCellMar>
      </w:tblPr>
      <w:tblGrid>
        <w:gridCol w:w="967"/>
        <w:gridCol w:w="3346"/>
        <w:gridCol w:w="1296"/>
        <w:gridCol w:w="1201"/>
        <w:gridCol w:w="1289"/>
        <w:gridCol w:w="1590"/>
      </w:tblGrid>
      <w:tr>
        <w:trPr/>
        <w:tc>
          <w:tcPr>
            <w:tcW w:w="96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ITEM</w:t>
            </w:r>
          </w:p>
        </w:tc>
        <w:tc>
          <w:tcPr>
            <w:tcW w:w="3346"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jc w:val="center"/>
              <w:rPr>
                <w:rFonts w:ascii="Arial" w:hAnsi="Arial" w:cs="Arial"/>
                <w:b/>
                <w:b/>
                <w:bCs/>
                <w:color w:val="000000"/>
                <w:sz w:val="24"/>
                <w:szCs w:val="24"/>
              </w:rPr>
            </w:pPr>
            <w:r>
              <w:rPr>
                <w:rFonts w:cs="Arial"/>
                <w:b/>
                <w:bCs/>
                <w:color w:val="000000"/>
                <w:sz w:val="24"/>
                <w:szCs w:val="24"/>
              </w:rPr>
              <w:t>DESCRIÇÃO</w:t>
            </w:r>
          </w:p>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ESPECIFICAÇÃO</w:t>
            </w:r>
          </w:p>
        </w:tc>
        <w:tc>
          <w:tcPr>
            <w:tcW w:w="1296" w:type="dxa"/>
            <w:tcBorders>
              <w:top w:val="single" w:sz="4" w:space="0" w:color="000001"/>
              <w:left w:val="single" w:sz="4" w:space="0" w:color="000001"/>
              <w:bottom w:val="single" w:sz="4" w:space="0" w:color="000001"/>
            </w:tcBorders>
            <w:shd w:fill="auto" w:val="clear"/>
            <w:vAlign w:val="center"/>
          </w:tcPr>
          <w:p>
            <w:pPr>
              <w:pStyle w:val="Normal"/>
              <w:widowControl w:val="false"/>
              <w:suppressAutoHyphens w:val="true"/>
              <w:jc w:val="center"/>
              <w:rPr>
                <w:rFonts w:ascii="Arial" w:hAnsi="Arial"/>
              </w:rPr>
            </w:pPr>
            <w:r>
              <w:rPr>
                <w:rFonts w:cs="Arial"/>
                <w:b/>
                <w:bCs/>
                <w:color w:val="00000A"/>
                <w:sz w:val="24"/>
                <w:szCs w:val="24"/>
              </w:rPr>
              <w:t>CATMAT</w:t>
            </w:r>
          </w:p>
        </w:tc>
        <w:tc>
          <w:tcPr>
            <w:tcW w:w="1201" w:type="dxa"/>
            <w:tcBorders>
              <w:top w:val="single" w:sz="4" w:space="0" w:color="000001"/>
              <w:left w:val="single" w:sz="4" w:space="0" w:color="000001"/>
              <w:bottom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UN. DE MEDIDA</w:t>
            </w:r>
          </w:p>
        </w:tc>
        <w:tc>
          <w:tcPr>
            <w:tcW w:w="1289"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QUANT.</w:t>
            </w:r>
          </w:p>
        </w:tc>
        <w:tc>
          <w:tcPr>
            <w:tcW w:w="1590"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jc w:val="center"/>
              <w:rPr>
                <w:rFonts w:ascii="Arial" w:hAnsi="Arial" w:cs="Arial"/>
                <w:b/>
                <w:b/>
                <w:bCs/>
                <w:color w:val="000000"/>
                <w:sz w:val="24"/>
                <w:szCs w:val="24"/>
              </w:rPr>
            </w:pPr>
            <w:r>
              <w:rPr>
                <w:rFonts w:cs="Arial"/>
                <w:b/>
                <w:bCs/>
                <w:color w:val="000000"/>
                <w:sz w:val="24"/>
                <w:szCs w:val="24"/>
              </w:rPr>
              <w:t>PRAZO DE EXECUÇÃO</w:t>
            </w:r>
          </w:p>
        </w:tc>
      </w:tr>
      <w:tr>
        <w:trPr/>
        <w:tc>
          <w:tcPr>
            <w:tcW w:w="967"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widowControl w:val="false"/>
              <w:suppressAutoHyphens w:val="true"/>
              <w:spacing w:lineRule="auto" w:line="276" w:before="0" w:after="120"/>
              <w:jc w:val="center"/>
              <w:rPr>
                <w:color w:val="00000A"/>
              </w:rPr>
            </w:pPr>
            <w:r>
              <w:rPr>
                <w:rFonts w:cs="Arial"/>
                <w:b w:val="false"/>
                <w:bCs w:val="false"/>
                <w:color w:val="000000"/>
                <w:sz w:val="24"/>
                <w:szCs w:val="24"/>
              </w:rPr>
              <w:t>1</w:t>
            </w:r>
          </w:p>
        </w:tc>
        <w:tc>
          <w:tcPr>
            <w:tcW w:w="3346" w:type="dxa"/>
            <w:tcBorders>
              <w:top w:val="single" w:sz="4" w:space="0" w:color="000001"/>
              <w:left w:val="single" w:sz="4" w:space="0" w:color="000001"/>
              <w:bottom w:val="single" w:sz="4" w:space="0" w:color="000001"/>
              <w:right w:val="single" w:sz="4" w:space="0" w:color="000001"/>
            </w:tcBorders>
            <w:shd w:fill="auto" w:val="clear"/>
            <w:vAlign w:val="center"/>
          </w:tcPr>
          <w:p>
            <w:pPr>
              <w:pStyle w:val="Normal"/>
              <w:jc w:val="left"/>
              <w:rPr/>
            </w:pPr>
            <w:r>
              <w:rPr>
                <w:rStyle w:val="Nfase"/>
                <w:rFonts w:eastAsia="Arial"/>
                <w:i w:val="false"/>
                <w:iCs w:val="false"/>
                <w:color w:val="00000A"/>
                <w:sz w:val="24"/>
                <w:szCs w:val="24"/>
              </w:rPr>
              <w:t>C</w:t>
            </w:r>
            <w:r>
              <w:rPr>
                <w:rStyle w:val="Nfase"/>
                <w:rFonts w:eastAsia="Arial"/>
                <w:b w:val="false"/>
                <w:bCs w:val="false"/>
                <w:i w:val="false"/>
                <w:iCs w:val="false"/>
                <w:color w:val="00000A"/>
                <w:sz w:val="24"/>
                <w:szCs w:val="24"/>
              </w:rPr>
              <w:t>âmara frigorífica para congelados e resfriados conforme  especificações descritas no Termo de Referência (ANEXO II).</w:t>
            </w:r>
          </w:p>
        </w:tc>
        <w:tc>
          <w:tcPr>
            <w:tcW w:w="1296" w:type="dxa"/>
            <w:tcBorders>
              <w:top w:val="single" w:sz="4" w:space="0" w:color="000001"/>
              <w:left w:val="single" w:sz="4" w:space="0" w:color="000001"/>
              <w:bottom w:val="single" w:sz="4" w:space="0" w:color="000001"/>
            </w:tcBorders>
            <w:shd w:fill="auto" w:val="clear"/>
            <w:vAlign w:val="center"/>
          </w:tcPr>
          <w:p>
            <w:pPr>
              <w:pStyle w:val="Contedodatabela"/>
              <w:jc w:val="center"/>
              <w:rPr>
                <w:rFonts w:ascii="Arial" w:hAnsi="Arial"/>
              </w:rPr>
            </w:pPr>
            <w:r>
              <w:rPr>
                <w:color w:val="00000A"/>
                <w:sz w:val="24"/>
                <w:szCs w:val="24"/>
              </w:rPr>
              <w:t>606336</w:t>
            </w:r>
          </w:p>
        </w:tc>
        <w:tc>
          <w:tcPr>
            <w:tcW w:w="1201" w:type="dxa"/>
            <w:tcBorders>
              <w:top w:val="single" w:sz="4" w:space="0" w:color="000001"/>
              <w:left w:val="single" w:sz="4" w:space="0" w:color="000001"/>
              <w:bottom w:val="single" w:sz="4" w:space="0" w:color="000001"/>
            </w:tcBorders>
            <w:shd w:fill="auto" w:val="clear"/>
            <w:vAlign w:val="center"/>
          </w:tcPr>
          <w:p>
            <w:pPr>
              <w:pStyle w:val="Contedodatabela"/>
              <w:jc w:val="center"/>
              <w:rPr>
                <w:color w:val="00000A"/>
              </w:rPr>
            </w:pPr>
            <w:r>
              <w:rPr>
                <w:color w:val="00000A"/>
                <w:sz w:val="24"/>
                <w:szCs w:val="24"/>
              </w:rPr>
              <w:t>UN</w:t>
            </w:r>
          </w:p>
        </w:tc>
        <w:tc>
          <w:tcPr>
            <w:tcW w:w="1289" w:type="dxa"/>
            <w:tcBorders>
              <w:top w:val="single" w:sz="4" w:space="0" w:color="000001"/>
              <w:left w:val="single" w:sz="4" w:space="0" w:color="000001"/>
              <w:bottom w:val="single" w:sz="4" w:space="0" w:color="000001"/>
              <w:right w:val="single" w:sz="4" w:space="0" w:color="000001"/>
            </w:tcBorders>
            <w:shd w:fill="auto" w:val="clear"/>
            <w:vAlign w:val="center"/>
          </w:tcPr>
          <w:p>
            <w:pPr>
              <w:pStyle w:val="Contedodatabela"/>
              <w:jc w:val="center"/>
              <w:rPr>
                <w:color w:val="00000A"/>
              </w:rPr>
            </w:pPr>
            <w:r>
              <w:rPr>
                <w:color w:val="00000A"/>
                <w:sz w:val="24"/>
                <w:szCs w:val="24"/>
              </w:rPr>
              <w:t>1</w:t>
            </w:r>
          </w:p>
        </w:tc>
        <w:tc>
          <w:tcPr>
            <w:tcW w:w="1590" w:type="dxa"/>
            <w:tcBorders>
              <w:top w:val="single" w:sz="4" w:space="0" w:color="000001"/>
              <w:left w:val="single" w:sz="4" w:space="0" w:color="000001"/>
              <w:bottom w:val="single" w:sz="4" w:space="0" w:color="000001"/>
              <w:right w:val="single" w:sz="4" w:space="0" w:color="000001"/>
            </w:tcBorders>
            <w:shd w:fill="auto" w:val="clear"/>
            <w:vAlign w:val="center"/>
          </w:tcPr>
          <w:p>
            <w:pPr>
              <w:pStyle w:val="Contedodatabela"/>
              <w:jc w:val="center"/>
              <w:rPr>
                <w:color w:val="00000A"/>
              </w:rPr>
            </w:pPr>
            <w:r>
              <w:rPr>
                <w:color w:val="00000A"/>
                <w:sz w:val="24"/>
                <w:szCs w:val="24"/>
              </w:rPr>
              <w:t>Imediato</w:t>
            </w:r>
          </w:p>
        </w:tc>
      </w:tr>
    </w:tbl>
    <w:p>
      <w:pPr>
        <w:pStyle w:val="PADRO"/>
        <w:keepNext w:val="false"/>
        <w:widowControl/>
        <w:numPr>
          <w:ilvl w:val="2"/>
          <w:numId w:val="1"/>
        </w:numPr>
        <w:shd w:val="clear" w:color="auto" w:fill="auto"/>
        <w:suppressAutoHyphens w:val="true"/>
        <w:bidi w:val="0"/>
        <w:spacing w:lineRule="auto" w:line="276" w:before="120" w:after="120"/>
        <w:ind w:left="1020" w:right="0" w:hanging="624"/>
        <w:jc w:val="both"/>
        <w:textAlignment w:val="baseline"/>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rFonts w:ascii="Arial" w:hAnsi="Arial"/>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000000"/>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p>
    <w:p>
      <w:pPr>
        <w:pStyle w:val="Ttulo1"/>
        <w:numPr>
          <w:ilvl w:val="0"/>
          <w:numId w:val="1"/>
        </w:numPr>
        <w:rPr>
          <w:b/>
          <w:b/>
          <w:bCs/>
        </w:rPr>
      </w:pPr>
      <w:bookmarkStart w:id="2" w:name="_Toc104906819"/>
      <w:bookmarkEnd w:id="2"/>
      <w:r>
        <w:rPr>
          <w:rFonts w:cs="Arial" w:ascii="Arial" w:hAnsi="Arial"/>
          <w:b/>
          <w:bCs/>
          <w:color w:val="00000A"/>
          <w:sz w:val="24"/>
          <w:szCs w:val="24"/>
        </w:rPr>
        <w:t>PARTICIPAÇÃO NA DISPENSA ELETRÔNICA</w:t>
      </w:r>
    </w:p>
    <w:p>
      <w:pPr>
        <w:pStyle w:val="Normal"/>
        <w:numPr>
          <w:ilvl w:val="1"/>
          <w:numId w:val="1"/>
        </w:numPr>
        <w:snapToGrid w:val="false"/>
        <w:spacing w:lineRule="auto" w:line="276" w:before="120" w:after="120"/>
        <w:jc w:val="both"/>
        <w:rPr>
          <w:rFonts w:ascii="Arial" w:hAnsi="Arial"/>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bCs/>
          <w:sz w:val="24"/>
          <w:szCs w:val="24"/>
        </w:rPr>
        <w:t>www.compras.gov.br.</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3"/>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3"/>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3"/>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3"/>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3"/>
        </w:numPr>
        <w:spacing w:lineRule="auto" w:line="276" w:before="120" w:after="120"/>
        <w:jc w:val="both"/>
        <w:rPr/>
      </w:pPr>
      <w:r>
        <w:rPr>
          <w:rFonts w:cs="Arial"/>
          <w:color w:val="000000"/>
          <w:sz w:val="24"/>
        </w:rPr>
        <w:t xml:space="preserve">empresas controladoras, controladas ou coligadas, nos termos da </w:t>
      </w:r>
      <w:hyperlink r:id="rId3">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3"/>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Arial" w:hAnsi="Arial"/>
        </w:rPr>
      </w:pPr>
      <w:r>
        <w:rPr>
          <w:rFonts w:cs="Arial"/>
          <w:color w:val="000000"/>
          <w:sz w:val="24"/>
        </w:rPr>
        <w:t>organizações da Sociedade Civil de Interesse Público - OSCIP, atuando nessa condição (Acórdão nº 746/2014-TCU-Plenário); e</w:t>
      </w:r>
    </w:p>
    <w:p>
      <w:pPr>
        <w:pStyle w:val="Normal"/>
        <w:numPr>
          <w:ilvl w:val="1"/>
          <w:numId w:val="1"/>
        </w:numPr>
        <w:spacing w:lineRule="auto" w:line="276" w:before="120" w:after="120"/>
        <w:jc w:val="both"/>
        <w:rPr/>
      </w:pPr>
      <w:r>
        <w:rPr>
          <w:rFonts w:cs="Arial"/>
          <w:i/>
          <w:color w:val="000000"/>
          <w:sz w:val="24"/>
        </w:rPr>
        <w:t>Será permitida a participação de cooperativas, desde que apresentem demonstrativo de atuação em regime cooperado, com repartição de receitas e despesas entre os cooperados e atendam ao art. 16 da Lei nº 14.133/21.</w:t>
      </w:r>
    </w:p>
    <w:p>
      <w:pPr>
        <w:pStyle w:val="Normal"/>
        <w:numPr>
          <w:ilvl w:val="2"/>
          <w:numId w:val="1"/>
        </w:numPr>
        <w:spacing w:lineRule="auto" w:line="276" w:before="120" w:after="120"/>
        <w:jc w:val="both"/>
        <w:rPr>
          <w:rFonts w:ascii="Arial" w:hAnsi="Arial"/>
        </w:rPr>
      </w:pPr>
      <w:r>
        <w:rPr>
          <w:rFonts w:cs="Arial"/>
          <w:i/>
          <w:iCs/>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pPr>
        <w:pStyle w:val="Ttulo1"/>
        <w:numPr>
          <w:ilvl w:val="0"/>
          <w:numId w:val="1"/>
        </w:numPr>
        <w:jc w:val="both"/>
        <w:rPr>
          <w:b/>
          <w:b/>
          <w:bCs/>
        </w:rPr>
      </w:pPr>
      <w:bookmarkStart w:id="3" w:name="_Toc104906820"/>
      <w:bookmarkEnd w:id="3"/>
      <w:r>
        <w:rPr>
          <w:rFonts w:cs="Arial" w:ascii="Arial" w:hAnsi="Arial"/>
          <w:b/>
          <w:bCs/>
          <w:color w:val="00000A"/>
          <w:sz w:val="24"/>
          <w:szCs w:val="24"/>
        </w:rPr>
        <w:t>INGRESSO NA DISPENSA ELETRÔNICA E CADASTRAMENTO DA PROPOSTA INICIAL</w:t>
      </w:r>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ascii="Arial" w:hAnsi="Arial"/>
        </w:rPr>
      </w:pPr>
      <w:r>
        <w:rPr>
          <w:rFonts w:cs="Arial"/>
          <w:sz w:val="24"/>
        </w:rPr>
        <w:t xml:space="preserve">A apresentação das propostas implica obrigatoriedade do cumprimento das disposições nelas contidas, em conformidade com o que dispõe o </w:t>
      </w:r>
      <w:r>
        <w:rPr>
          <w:rFonts w:cs="Arial"/>
          <w:i w:val="false"/>
          <w:iCs w:val="false"/>
          <w:color w:val="000000"/>
          <w:sz w:val="24"/>
        </w:rPr>
        <w:t>Termo de Referência / este Aviso de Dispensa</w:t>
      </w:r>
      <w:r>
        <w:rPr>
          <w:rFonts w:cs="Arial"/>
          <w:i w:val="false"/>
          <w:iCs w:val="false"/>
          <w:sz w:val="24"/>
        </w:rPr>
        <w:t>,</w:t>
      </w:r>
      <w:r>
        <w:rPr>
          <w:rFonts w:cs="Arial"/>
          <w:sz w:val="24"/>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jc w:val="both"/>
        <w:rPr>
          <w:rFonts w:cs="Arial"/>
          <w:color w:val="000000"/>
          <w:sz w:val="24"/>
        </w:rPr>
      </w:pPr>
      <w:r>
        <w:rPr>
          <w:rFonts w:cs="Arial"/>
          <w:color w:val="000000"/>
          <w:sz w:val="24"/>
          <w:szCs w:val="24"/>
        </w:rPr>
        <w:t xml:space="preserve">      </w:t>
      </w:r>
      <w:r>
        <w:rPr>
          <w:rFonts w:cs="Arial"/>
          <w:color w:val="000000"/>
          <w:sz w:val="24"/>
          <w:szCs w:val="24"/>
        </w:rPr>
        <w:t>Até a abertura da sessão pública, os fornecedores poderão retirar ou substituir a proposta anteriormente inserida no sistema;</w:t>
      </w:r>
    </w:p>
    <w:p>
      <w:pPr>
        <w:pStyle w:val="Normal"/>
        <w:numPr>
          <w:ilvl w:val="1"/>
          <w:numId w:val="1"/>
        </w:numPr>
        <w:spacing w:lineRule="auto" w:line="276" w:before="120" w:after="120"/>
        <w:ind w:left="425" w:hanging="0"/>
        <w:jc w:val="both"/>
        <w:rPr>
          <w:rFonts w:ascii="Arial" w:hAnsi="Arial"/>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pPr>
        <w:pStyle w:val="ListParagraph"/>
        <w:numPr>
          <w:ilvl w:val="0"/>
          <w:numId w:val="2"/>
        </w:numPr>
        <w:tabs>
          <w:tab w:val="clear" w:pos="720"/>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clear" w:pos="720"/>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clear" w:pos="720"/>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ListParagraph"/>
        <w:numPr>
          <w:ilvl w:val="1"/>
          <w:numId w:val="2"/>
        </w:numPr>
        <w:tabs>
          <w:tab w:val="clear" w:pos="720"/>
          <w:tab w:val="left" w:pos="1440" w:leader="none"/>
        </w:tabs>
        <w:snapToGrid w:val="false"/>
        <w:spacing w:lineRule="auto" w:line="276" w:before="120" w:after="120"/>
        <w:contextualSpacing/>
        <w:jc w:val="both"/>
        <w:rPr>
          <w:rFonts w:ascii="Arial" w:hAnsi="Arial"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Ttulo1"/>
        <w:numPr>
          <w:ilvl w:val="0"/>
          <w:numId w:val="1"/>
        </w:numPr>
        <w:rPr>
          <w:rFonts w:ascii="Arial" w:hAnsi="Arial" w:cs="Arial"/>
          <w:color w:val="00000A"/>
          <w:sz w:val="24"/>
          <w:szCs w:val="24"/>
        </w:rPr>
      </w:pPr>
      <w:bookmarkStart w:id="4" w:name="_Toc104906821"/>
      <w:bookmarkEnd w:id="4"/>
      <w:r>
        <w:rPr>
          <w:rFonts w:cs="Arial" w:ascii="Arial" w:hAnsi="Arial"/>
          <w:b/>
          <w:bCs/>
          <w:color w:val="00000A"/>
          <w:sz w:val="24"/>
          <w:szCs w:val="24"/>
        </w:rPr>
        <w:t>FASE DE LANCES</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A"/>
        </w:rPr>
      </w:pPr>
      <w:r>
        <w:rPr>
          <w:rFonts w:cs="Arial"/>
          <w:i w:val="false"/>
          <w:iCs w:val="false"/>
          <w:color w:val="00000A"/>
          <w:sz w:val="24"/>
        </w:rPr>
        <w:t>O lance deverá ser ofertado pelo valor unitário do lote.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Arial" w:hAnsi="Arial"/>
        </w:rPr>
      </w:pPr>
      <w:r>
        <w:rPr>
          <w:rFonts w:cs="Arial"/>
          <w:sz w:val="24"/>
        </w:rPr>
        <w:t>O intervalo mínimo de diferença de valores ou percentuais entre os lances, que incidirá tanto em relação aos lances intermediários quanto em relação ao que cobrir a melhor oferta é d</w:t>
      </w:r>
      <w:r>
        <w:rPr>
          <w:rFonts w:cs="Arial"/>
          <w:i w:val="false"/>
          <w:iCs w:val="false"/>
          <w:sz w:val="24"/>
        </w:rPr>
        <w:t xml:space="preserve">e </w:t>
      </w:r>
      <w:r>
        <w:rPr>
          <w:rFonts w:cs="Arial"/>
          <w:i w:val="false"/>
          <w:iCs w:val="false"/>
          <w:color w:val="000000"/>
          <w:sz w:val="24"/>
        </w:rPr>
        <w:t>R$ 1,00 (um real).</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1"/>
        </w:numPr>
        <w:rPr>
          <w:rFonts w:ascii="Arial" w:hAnsi="Arial" w:cs="Arial"/>
          <w:color w:val="00000A"/>
          <w:sz w:val="24"/>
          <w:szCs w:val="24"/>
        </w:rPr>
      </w:pPr>
      <w:bookmarkStart w:id="5" w:name="_Toc104906822"/>
      <w:bookmarkEnd w:id="5"/>
      <w:r>
        <w:rPr>
          <w:rFonts w:cs="Arial" w:ascii="Arial" w:hAnsi="Arial"/>
          <w:b/>
          <w:bCs/>
          <w:color w:val="00000A"/>
          <w:sz w:val="24"/>
          <w:szCs w:val="24"/>
        </w:rPr>
        <w:t>JULGAMENTO DAS PROPOSTAS DE PREÇO</w:t>
      </w:r>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Arial" w:hAnsi="Arial"/>
        </w:rPr>
      </w:pPr>
      <w:r>
        <w:rPr>
          <w:rFonts w:cs="Arial"/>
          <w:sz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Arial" w:hAnsi="Arial"/>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90 dias, a contar da data de sua apresentação.</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Arial" w:hAnsi="Arial"/>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pPr>
      <w:r>
        <w:rPr>
          <w:rFonts w:cs="Arial"/>
          <w:color w:val="000000" w:themeColor="text1"/>
          <w:sz w:val="24"/>
          <w:lang w:eastAsia="en-US"/>
        </w:rPr>
        <w:t>Encerrada a análise quanto à aceitação da proposta, se iniciará a fase de habilitação, observado o disposto neste Aviso de Contratação Direta.</w:t>
      </w:r>
    </w:p>
    <w:p>
      <w:pPr>
        <w:pStyle w:val="Ttulo1"/>
        <w:numPr>
          <w:ilvl w:val="0"/>
          <w:numId w:val="1"/>
        </w:numPr>
        <w:rPr>
          <w:rFonts w:ascii="Arial" w:hAnsi="Arial" w:cs="Arial"/>
          <w:color w:val="00000A"/>
          <w:sz w:val="24"/>
          <w:szCs w:val="24"/>
        </w:rPr>
      </w:pPr>
      <w:bookmarkStart w:id="6" w:name="_Toc104906823"/>
      <w:bookmarkEnd w:id="6"/>
      <w:r>
        <w:rPr>
          <w:rFonts w:cs="Arial" w:ascii="Arial" w:hAnsi="Arial"/>
          <w:b/>
          <w:bCs/>
          <w:color w:val="00000A"/>
          <w:sz w:val="24"/>
          <w:szCs w:val="24"/>
        </w:rPr>
        <w:t>HABILITAÇÃO</w:t>
      </w:r>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widowControl/>
        <w:numPr>
          <w:ilvl w:val="1"/>
          <w:numId w:val="1"/>
        </w:numPr>
        <w:suppressAutoHyphens w:val="true"/>
        <w:bidi w:val="0"/>
        <w:spacing w:lineRule="auto" w:line="276" w:before="120" w:after="120"/>
        <w:ind w:left="850" w:right="0" w:hanging="454"/>
        <w:contextualSpacing/>
        <w:jc w:val="both"/>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4">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5">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Pr>
          <w:rFonts w:eastAsia="Times New Roman" w:cs="Arial"/>
          <w:color w:val="000000" w:themeColor="text1"/>
          <w:kern w:val="0"/>
          <w:sz w:val="24"/>
          <w:szCs w:val="24"/>
          <w:lang w:val="pt-BR" w:eastAsia="pt-BR" w:bidi="ar-SA"/>
        </w:rPr>
        <w:t>majoritário.</w:t>
      </w:r>
    </w:p>
    <w:p>
      <w:pPr>
        <w:pStyle w:val="ListParagraph"/>
        <w:numPr>
          <w:ilvl w:val="3"/>
          <w:numId w:val="1"/>
        </w:numPr>
        <w:spacing w:lineRule="auto" w:line="276" w:before="120" w:after="120"/>
        <w:contextualSpacing/>
        <w:jc w:val="both"/>
        <w:rPr>
          <w:rFonts w:ascii="Arial" w:hAnsi="Arial" w:eastAsia="Times New Roman" w:cs="Arial"/>
          <w:color w:val="000000" w:themeColor="text1"/>
          <w:kern w:val="0"/>
          <w:sz w:val="24"/>
          <w:szCs w:val="24"/>
          <w:lang w:val="pt-BR" w:eastAsia="pt-BR" w:bidi="ar-SA"/>
        </w:rPr>
      </w:pPr>
      <w:r>
        <w:rPr>
          <w:rFonts w:eastAsia="Times New Roman" w:cs="Arial"/>
          <w:color w:val="000000" w:themeColor="text1"/>
          <w:kern w:val="0"/>
          <w:sz w:val="24"/>
          <w:szCs w:val="24"/>
          <w:lang w:val="pt-BR" w:eastAsia="pt-BR" w:bidi="ar-SA"/>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ascii="Arial" w:hAnsi="Arial"/>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i/>
          <w:i/>
          <w:color w:val="FF0000"/>
          <w:sz w:val="24"/>
        </w:rPr>
      </w:pPr>
      <w:r>
        <w:rPr>
          <w:rFonts w:cs="Arial"/>
          <w:i w:val="false"/>
          <w:iCs w:val="false"/>
          <w:color w:val="000000"/>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rFonts w:ascii="Arial" w:hAnsi="Arial"/>
        </w:rPr>
      </w:pPr>
      <w:r>
        <w:rPr>
          <w:rFonts w:cs="Arial"/>
          <w:i w:val="false"/>
          <w:iCs w:val="false"/>
          <w:color w:val="000000"/>
          <w:sz w:val="24"/>
        </w:rPr>
        <w:t>Não havendo a comprovação cumulativa dos requisitos de habilitação, a inabilitação recairá sobre o(s) item(ns) de menor(es) valor(es) cuja retirada(s) seja(m) suficiente(s) para a habilitação do fornecedor nos remanescentes</w:t>
      </w:r>
      <w:r>
        <w:rPr>
          <w:rFonts w:cs="Arial"/>
          <w:i/>
          <w:color w:val="FF0000"/>
          <w:sz w:val="24"/>
        </w:rPr>
        <w:t>.</w:t>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Ttulo1"/>
        <w:numPr>
          <w:ilvl w:val="0"/>
          <w:numId w:val="1"/>
        </w:numPr>
        <w:rPr>
          <w:b/>
          <w:b/>
          <w:bCs/>
        </w:rPr>
      </w:pPr>
      <w:bookmarkStart w:id="7" w:name="_Toc104906824"/>
      <w:bookmarkEnd w:id="7"/>
      <w:r>
        <w:rPr>
          <w:rFonts w:cs="Arial" w:ascii="Arial" w:hAnsi="Arial"/>
          <w:b/>
          <w:bCs/>
          <w:color w:val="00000A"/>
          <w:sz w:val="24"/>
          <w:szCs w:val="24"/>
        </w:rPr>
        <w:t>CONTRATAÇÃO</w:t>
      </w:r>
    </w:p>
    <w:p>
      <w:pPr>
        <w:pStyle w:val="Normal"/>
        <w:numPr>
          <w:ilvl w:val="1"/>
          <w:numId w:val="1"/>
        </w:numPr>
        <w:spacing w:lineRule="auto" w:line="276" w:before="120" w:after="120"/>
        <w:ind w:left="857" w:hanging="432"/>
        <w:jc w:val="both"/>
        <w:rPr>
          <w:rFonts w:ascii="Arial" w:hAnsi="Arial"/>
        </w:rPr>
      </w:pPr>
      <w:r>
        <w:rPr>
          <w:rFonts w:eastAsia="Arial" w:cs="Arial"/>
          <w:color w:val="000000"/>
          <w:sz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ascii="Arial" w:hAnsi="Arial"/>
        </w:rPr>
      </w:pPr>
      <w:r>
        <w:rPr>
          <w:rFonts w:eastAsia="Arial" w:cs="Arial"/>
          <w:color w:val="000000"/>
          <w:sz w:val="24"/>
        </w:rPr>
        <w:t xml:space="preserve">O adjudicatário terá o prazo de 5 (cinco) dias úteis, contados a partir da data de sua convocação, para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ascii="Arial" w:hAnsi="Arial"/>
          <w:color w:val="000000"/>
        </w:rPr>
      </w:pPr>
      <w:r>
        <w:rPr>
          <w:rFonts w:eastAsia="Arial" w:cs="Arial"/>
          <w:i/>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(cinco) dias, a contar da data de seu recebimento. </w:t>
      </w:r>
    </w:p>
    <w:p>
      <w:pPr>
        <w:pStyle w:val="Normal"/>
        <w:numPr>
          <w:ilvl w:val="2"/>
          <w:numId w:val="1"/>
        </w:numPr>
        <w:spacing w:lineRule="auto" w:line="276" w:before="120" w:after="120"/>
        <w:jc w:val="both"/>
        <w:rPr>
          <w:color w:val="000000"/>
        </w:rPr>
      </w:pPr>
      <w:r>
        <w:rPr>
          <w:rFonts w:eastAsia="Arial" w:cs="Arial"/>
          <w:color w:val="000000"/>
          <w:sz w:val="24"/>
        </w:rPr>
        <w:t xml:space="preserve">O prazo previsto para assinatura do contrato ou aceitação da nota de empenho ou instrumento equivalente poderá ser prorrogado </w:t>
      </w:r>
      <w:r>
        <w:rPr>
          <w:rFonts w:cs="Arial"/>
          <w:bCs/>
          <w:color w:val="000000"/>
          <w:sz w:val="24"/>
        </w:rPr>
        <w:t>1 (uma) vez</w:t>
      </w:r>
      <w:r>
        <w:rPr>
          <w:rFonts w:eastAsia="Arial" w:cs="Arial"/>
          <w:color w:val="000000"/>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color w:val="000000"/>
        </w:rPr>
      </w:pPr>
      <w:r>
        <w:rPr>
          <w:rFonts w:eastAsia="Arial" w:cs="Arial"/>
          <w:i w:val="false"/>
          <w:iCs w:val="false"/>
          <w:color w:val="000000"/>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000000"/>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 w:val="24"/>
        </w:rPr>
      </w:pPr>
      <w:r>
        <w:rPr>
          <w:rFonts w:eastAsia="Arial" w:cs="Arial"/>
          <w:i w:val="false"/>
          <w:iCs w:val="false"/>
          <w:color w:val="000000"/>
          <w:sz w:val="24"/>
        </w:rPr>
        <w:t>a contratada se vincula à sua proposta e às previsões contidas no Aviso de Contratação Direta e seus anexos;</w:t>
      </w:r>
    </w:p>
    <w:p>
      <w:pPr>
        <w:pStyle w:val="Normal"/>
        <w:numPr>
          <w:ilvl w:val="2"/>
          <w:numId w:val="1"/>
        </w:numPr>
        <w:spacing w:lineRule="auto" w:line="276" w:before="120" w:after="120"/>
        <w:jc w:val="both"/>
        <w:rPr>
          <w:rFonts w:ascii="Arial" w:hAnsi="Arial"/>
          <w:i w:val="false"/>
          <w:i w:val="false"/>
          <w:iCs w:val="false"/>
          <w:color w:val="000000"/>
        </w:rPr>
      </w:pPr>
      <w:r>
        <w:rPr>
          <w:rFonts w:eastAsia="Arial" w:cs="Arial"/>
          <w:i w:val="false"/>
          <w:iCs w:val="false"/>
          <w:color w:val="000000"/>
          <w:sz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jc w:val="both"/>
        <w:rPr>
          <w:color w:val="00000A"/>
        </w:rPr>
      </w:pPr>
      <w:r>
        <w:rPr>
          <w:rFonts w:eastAsia="Arial" w:cs="Arial"/>
          <w:i w:val="false"/>
          <w:iCs w:val="false"/>
          <w:color w:val="00000A"/>
          <w:sz w:val="24"/>
        </w:rPr>
        <w:t>O prazo de vigência da contratação é de 12 (doze) meses prorrogável conforme previsão nos anexos a este Aviso de Contratação Direta.</w:t>
      </w:r>
    </w:p>
    <w:p>
      <w:pPr>
        <w:pStyle w:val="Normal"/>
        <w:numPr>
          <w:ilvl w:val="1"/>
          <w:numId w:val="1"/>
        </w:numPr>
        <w:spacing w:lineRule="auto" w:line="276" w:before="120" w:after="120"/>
        <w:ind w:left="425" w:hanging="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pPr>
        <w:pStyle w:val="Ttulo1"/>
        <w:numPr>
          <w:ilvl w:val="0"/>
          <w:numId w:val="1"/>
        </w:numPr>
        <w:rPr>
          <w:b/>
          <w:b/>
          <w:bCs/>
        </w:rPr>
      </w:pPr>
      <w:bookmarkStart w:id="8" w:name="_Toc104906825"/>
      <w:bookmarkEnd w:id="8"/>
      <w:r>
        <w:rPr>
          <w:rFonts w:cs="Arial" w:ascii="Arial" w:hAnsi="Arial"/>
          <w:b/>
          <w:bCs/>
          <w:color w:val="00000A"/>
          <w:sz w:val="24"/>
          <w:szCs w:val="24"/>
        </w:rPr>
        <w:t>SANÇÕES</w:t>
      </w:r>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pP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pP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pP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pPr>
      <w:r>
        <w:rPr>
          <w:rFonts w:cs="Arial"/>
          <w:color w:val="000000"/>
          <w:sz w:val="24"/>
        </w:rPr>
        <w:t xml:space="preserve">praticar ato lesivo previsto no </w:t>
      </w:r>
      <w:r>
        <w:fldChar w:fldCharType="begin"/>
      </w:r>
      <w:r>
        <w:rPr>
          <w:rStyle w:val="LinkdaInternet"/>
          <w:sz w:val="24"/>
          <w:rFonts w:cs="Arial"/>
          <w:color w:val="000000"/>
        </w:rPr>
        <w:instrText> HYPERLINK "http://www.planalto.gov.br/ccivil_03/_Ato2011-2014/2013/Lei/L12846.htm" \l "art5"</w:instrText>
      </w:r>
      <w:r>
        <w:rPr>
          <w:rStyle w:val="LinkdaInternet"/>
          <w:sz w:val="24"/>
          <w:rFonts w:cs="Arial"/>
          <w:color w:val="000000"/>
        </w:rPr>
        <w:fldChar w:fldCharType="separate"/>
      </w:r>
      <w:r>
        <w:rPr>
          <w:rStyle w:val="LinkdaInternet"/>
          <w:rFonts w:cs="Arial"/>
          <w:color w:val="000000"/>
          <w:sz w:val="24"/>
        </w:rPr>
        <w:t>art. 5º da Lei nº 12.846, de 1º de agosto de 2013.</w:t>
      </w:r>
      <w:r>
        <w:rPr>
          <w:rStyle w:val="LinkdaInternet"/>
          <w:sz w:val="24"/>
          <w:rFonts w:cs="Arial"/>
          <w:color w:val="000000"/>
        </w:rP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4"/>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4"/>
        </w:numPr>
        <w:spacing w:lineRule="auto" w:line="276" w:before="120" w:after="120"/>
        <w:jc w:val="both"/>
        <w:rPr>
          <w:rFonts w:ascii="Arial" w:hAnsi="Arial"/>
        </w:rPr>
      </w:pPr>
      <w:r>
        <w:rPr>
          <w:rFonts w:cs="Arial"/>
          <w:sz w:val="24"/>
        </w:rPr>
        <w:t xml:space="preserve">Multa de </w:t>
      </w:r>
      <w:r>
        <w:rPr>
          <w:rFonts w:cs="Arial"/>
          <w:color w:val="000000"/>
          <w:sz w:val="24"/>
        </w:rPr>
        <w:t>30% (trinta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pPr>
        <w:pStyle w:val="Normal"/>
        <w:numPr>
          <w:ilvl w:val="2"/>
          <w:numId w:val="4"/>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4"/>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9" w:name="art156%2525252525C2%2525252525A78"/>
      <w:bookmarkStart w:id="10" w:name="art156%2525252525C2%2525252525A77"/>
      <w:bookmarkStart w:id="11" w:name="art156%2525252525C2%2525252525A76"/>
      <w:bookmarkEnd w:id="9"/>
      <w:bookmarkEnd w:id="10"/>
      <w:bookmarkEnd w:id="11"/>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2" w:name="art156%2525252525C2%2525252525A79"/>
      <w:bookmarkEnd w:id="12"/>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Ttulo1"/>
        <w:numPr>
          <w:ilvl w:val="0"/>
          <w:numId w:val="1"/>
        </w:numPr>
        <w:rPr>
          <w:b/>
          <w:b/>
          <w:bCs/>
        </w:rPr>
      </w:pPr>
      <w:bookmarkStart w:id="13" w:name="_Toc104906826"/>
      <w:bookmarkEnd w:id="13"/>
      <w:r>
        <w:rPr>
          <w:rFonts w:cs="Arial" w:ascii="Arial" w:hAnsi="Arial"/>
          <w:b/>
          <w:bCs/>
          <w:color w:val="00000A"/>
          <w:sz w:val="24"/>
          <w:szCs w:val="24"/>
        </w:rPr>
        <w:t>DAS DISPOSIÇÕES GERAIS</w:t>
      </w:r>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ascii="Arial" w:hAnsi="Arial" w:eastAsia="Times New Roman" w:cs="Arial"/>
          <w:color w:val="000000"/>
          <w:kern w:val="0"/>
          <w:sz w:val="24"/>
          <w:szCs w:val="24"/>
          <w:lang w:val="pt-BR" w:eastAsia="pt-BR" w:bidi="ar-SA"/>
        </w:rPr>
      </w:pPr>
      <w:r>
        <w:rPr>
          <w:rFonts w:eastAsia="Times New Roman" w:cs="Arial"/>
          <w:color w:val="000000"/>
          <w:kern w:val="0"/>
          <w:sz w:val="24"/>
          <w:szCs w:val="24"/>
          <w:lang w:val="pt-BR" w:eastAsia="pt-BR" w:bidi="ar-SA"/>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 w:val="24"/>
        </w:rPr>
      </w:pPr>
      <w:r>
        <w:rPr>
          <w:rFonts w:cs="Arial"/>
          <w:color w:val="000000"/>
          <w:sz w:val="24"/>
        </w:rPr>
        <w:t>ANEXO I – Documentação exigida para Habilitação;</w:t>
      </w:r>
    </w:p>
    <w:p>
      <w:pPr>
        <w:pStyle w:val="Normal"/>
        <w:numPr>
          <w:ilvl w:val="2"/>
          <w:numId w:val="1"/>
        </w:numPr>
        <w:spacing w:lineRule="auto" w:line="276" w:before="120" w:after="120"/>
        <w:jc w:val="both"/>
        <w:rPr>
          <w:rFonts w:ascii="Arial" w:hAnsi="Arial"/>
          <w:i w:val="false"/>
          <w:i w:val="false"/>
          <w:iCs w:val="false"/>
          <w:color w:val="F58220"/>
        </w:rPr>
      </w:pPr>
      <w:r>
        <w:rPr>
          <w:rFonts w:cs="Arial"/>
          <w:i w:val="false"/>
          <w:iCs w:val="false"/>
          <w:color w:val="000000"/>
          <w:sz w:val="24"/>
        </w:rPr>
        <w:t>ANEXO II - Termo de Referência;</w:t>
      </w:r>
    </w:p>
    <w:p>
      <w:pPr>
        <w:pStyle w:val="Normal"/>
        <w:numPr>
          <w:ilvl w:val="2"/>
          <w:numId w:val="1"/>
        </w:numPr>
        <w:spacing w:lineRule="auto" w:line="276" w:before="120" w:after="120"/>
        <w:jc w:val="both"/>
        <w:rPr/>
      </w:pPr>
      <w:r>
        <w:rPr>
          <w:rFonts w:cs="Arial"/>
          <w:i w:val="false"/>
          <w:iCs w:val="false"/>
          <w:color w:val="000000"/>
          <w:sz w:val="24"/>
        </w:rPr>
        <w:t xml:space="preserve">ANEXO III – </w:t>
      </w:r>
      <w:r>
        <w:rPr>
          <w:rFonts w:cs="Arial"/>
          <w:i w:val="false"/>
          <w:iCs w:val="false"/>
          <w:color w:val="000000"/>
          <w:sz w:val="24"/>
        </w:rPr>
        <w:t>Imagem com dimensões</w:t>
      </w:r>
      <w:r>
        <w:rPr>
          <w:rFonts w:cs="Arial"/>
          <w:i w:val="false"/>
          <w:iCs w:val="false"/>
          <w:color w:val="000000"/>
          <w:sz w:val="24"/>
        </w:rPr>
        <w:t>.</w:t>
      </w:r>
    </w:p>
    <w:p>
      <w:pPr>
        <w:pStyle w:val="Normal"/>
        <w:numPr>
          <w:ilvl w:val="0"/>
          <w:numId w:val="0"/>
        </w:numPr>
        <w:spacing w:lineRule="auto" w:line="276" w:before="120" w:after="120"/>
        <w:ind w:left="1224" w:hanging="0"/>
        <w:jc w:val="both"/>
        <w:rPr>
          <w:rFonts w:cs="Arial"/>
          <w:color w:val="FF0000"/>
          <w:sz w:val="24"/>
        </w:rPr>
      </w:pPr>
      <w:r>
        <w:rPr>
          <w:rFonts w:cs="Arial"/>
          <w:color w:val="FF0000"/>
          <w:sz w:val="24"/>
        </w:rPr>
      </w:r>
    </w:p>
    <w:p>
      <w:pPr>
        <w:pStyle w:val="Normal"/>
        <w:spacing w:lineRule="auto" w:line="276" w:before="0" w:after="120"/>
        <w:ind w:left="360" w:right="-15" w:hanging="0"/>
        <w:jc w:val="center"/>
        <w:rPr>
          <w:rFonts w:ascii="Arial" w:hAnsi="Arial" w:cs="Arial"/>
          <w:color w:val="000000"/>
          <w:sz w:val="24"/>
        </w:rPr>
      </w:pPr>
      <w:r>
        <w:rPr>
          <w:rFonts w:cs="Arial"/>
          <w:color w:val="000000"/>
          <w:sz w:val="24"/>
        </w:rPr>
      </w:r>
    </w:p>
    <w:p>
      <w:pPr>
        <w:pStyle w:val="Normal"/>
        <w:spacing w:lineRule="auto" w:line="276" w:before="0" w:after="120"/>
        <w:ind w:left="360" w:right="0" w:hanging="0"/>
        <w:jc w:val="both"/>
        <w:rPr/>
      </w:pPr>
      <w:r>
        <w:rPr>
          <w:rFonts w:cs="Arial"/>
          <w:color w:val="000000"/>
          <w:sz w:val="24"/>
          <w:szCs w:val="24"/>
        </w:rPr>
        <w:t>Natal, RN, 29 de agosto de 2023.</w:t>
      </w:r>
    </w:p>
    <w:p>
      <w:pPr>
        <w:pStyle w:val="Normal"/>
        <w:spacing w:lineRule="auto" w:line="276" w:before="0" w:after="120"/>
        <w:ind w:left="360" w:right="0" w:hanging="0"/>
        <w:jc w:val="both"/>
        <w:rPr>
          <w:rFonts w:ascii="Arial" w:hAnsi="Arial" w:cs="Arial"/>
          <w:color w:val="000000"/>
          <w:sz w:val="24"/>
          <w:szCs w:val="24"/>
        </w:rPr>
      </w:pPr>
      <w:r>
        <w:rPr>
          <w:rFonts w:cs="Arial"/>
          <w:color w:val="000000"/>
          <w:sz w:val="24"/>
          <w:szCs w:val="24"/>
        </w:rPr>
      </w:r>
    </w:p>
    <w:p>
      <w:pPr>
        <w:pStyle w:val="Normal"/>
        <w:spacing w:lineRule="auto" w:line="276" w:before="0" w:after="120"/>
        <w:ind w:left="360" w:right="0" w:hanging="0"/>
        <w:jc w:val="both"/>
        <w:rPr>
          <w:rFonts w:ascii="Arial" w:hAnsi="Arial" w:cs="Arial"/>
          <w:color w:val="000000"/>
          <w:sz w:val="24"/>
          <w:szCs w:val="24"/>
        </w:rPr>
      </w:pPr>
      <w:r>
        <w:rPr>
          <w:rFonts w:cs="Arial"/>
          <w:color w:val="000000"/>
          <w:sz w:val="24"/>
          <w:szCs w:val="24"/>
        </w:rPr>
      </w:r>
    </w:p>
    <w:p>
      <w:pPr>
        <w:pStyle w:val="Normal"/>
        <w:widowControl/>
        <w:bidi w:val="0"/>
        <w:spacing w:lineRule="auto" w:line="276" w:before="0" w:after="0"/>
        <w:ind w:left="4819" w:right="0" w:hanging="0"/>
        <w:jc w:val="center"/>
        <w:rPr>
          <w:rFonts w:ascii="Calibri" w:hAnsi="Calibri" w:cs="Arial"/>
          <w:b w:val="false"/>
          <w:b w:val="false"/>
          <w:bCs w:val="false"/>
          <w:iCs/>
          <w:color w:val="000000"/>
          <w:sz w:val="24"/>
          <w:szCs w:val="24"/>
        </w:rPr>
      </w:pPr>
      <w:r>
        <w:rPr>
          <w:rFonts w:cs="Arial"/>
          <w:b w:val="false"/>
          <w:bCs w:val="false"/>
          <w:iCs/>
          <w:color w:val="000000"/>
          <w:sz w:val="24"/>
          <w:szCs w:val="24"/>
        </w:rPr>
        <w:t xml:space="preserve">ALEXANDRE </w:t>
      </w:r>
      <w:r>
        <w:rPr>
          <w:rStyle w:val="Nfaseforte"/>
          <w:rFonts w:cs="Arial"/>
          <w:iCs/>
          <w:color w:val="000000"/>
          <w:sz w:val="24"/>
          <w:szCs w:val="24"/>
        </w:rPr>
        <w:t>ALBUQUERQUE</w:t>
      </w:r>
      <w:r>
        <w:rPr>
          <w:rFonts w:cs="Arial"/>
          <w:b w:val="false"/>
          <w:bCs w:val="false"/>
          <w:iCs/>
          <w:color w:val="000000"/>
          <w:sz w:val="24"/>
          <w:szCs w:val="24"/>
        </w:rPr>
        <w:t xml:space="preserve"> ROSA </w:t>
      </w:r>
    </w:p>
    <w:p>
      <w:pPr>
        <w:pStyle w:val="Normal"/>
        <w:widowControl/>
        <w:bidi w:val="0"/>
        <w:spacing w:lineRule="auto" w:line="276" w:before="0" w:after="0"/>
        <w:ind w:left="4819" w:right="0" w:hanging="0"/>
        <w:jc w:val="center"/>
        <w:rPr>
          <w:rFonts w:ascii="Arial" w:hAnsi="Arial" w:cs="Arial"/>
          <w:b w:val="false"/>
          <w:b w:val="false"/>
          <w:bCs w:val="false"/>
          <w:iCs/>
          <w:color w:val="000000"/>
          <w:sz w:val="24"/>
          <w:szCs w:val="24"/>
        </w:rPr>
      </w:pPr>
      <w:r>
        <w:rPr>
          <w:rFonts w:cs="Arial"/>
          <w:b w:val="false"/>
          <w:bCs w:val="false"/>
          <w:iCs/>
          <w:color w:val="000000"/>
          <w:sz w:val="24"/>
          <w:szCs w:val="24"/>
        </w:rPr>
        <w:t>Capitão de Mar e Guerra (Md)</w:t>
      </w:r>
    </w:p>
    <w:p>
      <w:pPr>
        <w:pStyle w:val="Normal"/>
        <w:widowControl/>
        <w:bidi w:val="0"/>
        <w:spacing w:lineRule="auto" w:line="276" w:before="0" w:after="0"/>
        <w:ind w:left="4819" w:right="0" w:hanging="0"/>
        <w:jc w:val="center"/>
        <w:rPr>
          <w:rFonts w:ascii="Arial" w:hAnsi="Arial" w:cs="Arial"/>
          <w:b w:val="false"/>
          <w:b w:val="false"/>
          <w:bCs w:val="false"/>
          <w:iCs/>
          <w:color w:val="000000"/>
          <w:sz w:val="24"/>
          <w:szCs w:val="24"/>
        </w:rPr>
      </w:pPr>
      <w:r>
        <w:rPr>
          <w:rFonts w:cs="Arial"/>
          <w:b w:val="false"/>
          <w:bCs w:val="false"/>
          <w:iCs/>
          <w:color w:val="000000"/>
          <w:sz w:val="24"/>
          <w:szCs w:val="24"/>
        </w:rPr>
        <w:t>Diretor – Ordenador de Despesas</w:t>
      </w:r>
    </w:p>
    <w:p>
      <w:pPr>
        <w:pStyle w:val="Normal"/>
        <w:widowControl/>
        <w:bidi w:val="0"/>
        <w:spacing w:lineRule="auto" w:line="276" w:before="0" w:after="0"/>
        <w:ind w:left="4819" w:right="0" w:hanging="0"/>
        <w:jc w:val="center"/>
        <w:rPr>
          <w:rFonts w:cs="Arial"/>
          <w:b/>
          <w:b/>
          <w:bCs/>
          <w:iCs/>
          <w:color w:val="000000"/>
          <w:sz w:val="24"/>
        </w:rPr>
      </w:pPr>
      <w:r>
        <w:rPr>
          <w:rFonts w:cs="Arial"/>
          <w:b/>
          <w:bCs/>
          <w:iCs/>
          <w:color w:val="000000"/>
          <w:sz w:val="24"/>
        </w:rPr>
      </w:r>
    </w:p>
    <w:p>
      <w:pPr>
        <w:pStyle w:val="Normal"/>
        <w:spacing w:lineRule="auto" w:line="259" w:before="0" w:after="160"/>
        <w:rPr>
          <w:rFonts w:ascii="Arial" w:hAnsi="Arial" w:cs="Arial"/>
          <w:b/>
          <w:b/>
          <w:bCs/>
          <w:iCs/>
          <w:color w:val="000000"/>
          <w:sz w:val="24"/>
        </w:rPr>
      </w:pPr>
      <w:r>
        <w:rPr>
          <w:rFonts w:cs="Arial"/>
          <w:b/>
          <w:bCs/>
          <w:iCs/>
          <w:color w:val="000000"/>
          <w:sz w:val="24"/>
        </w:rPr>
      </w:r>
      <w:r>
        <w:br w:type="page"/>
      </w:r>
    </w:p>
    <w:p>
      <w:pPr>
        <w:pStyle w:val="Normal"/>
        <w:spacing w:lineRule="auto" w:line="276"/>
        <w:jc w:val="center"/>
        <w:rPr>
          <w:rFonts w:ascii="Arial" w:hAnsi="Arial" w:cs="Arial"/>
          <w:sz w:val="24"/>
        </w:rPr>
      </w:pPr>
      <w:r>
        <w:rPr>
          <w:rFonts w:cs="Arial"/>
          <w:sz w:val="24"/>
        </w:rPr>
      </w:r>
    </w:p>
    <w:p>
      <w:pPr>
        <w:pStyle w:val="Ttulododocumento"/>
        <w:jc w:val="center"/>
        <w:rPr>
          <w:rFonts w:ascii="Arial" w:hAnsi="Arial" w:cs="Arial"/>
          <w:sz w:val="32"/>
          <w:szCs w:val="32"/>
        </w:rPr>
      </w:pPr>
      <w:bookmarkStart w:id="14" w:name="__DdeLink__8992_4274111806"/>
      <w:bookmarkEnd w:id="14"/>
      <w:r>
        <w:rPr>
          <w:rFonts w:cs="Arial" w:ascii="Arial" w:hAnsi="Arial"/>
          <w:b/>
          <w:bCs/>
          <w:sz w:val="24"/>
          <w:szCs w:val="24"/>
        </w:rPr>
        <w:t>ANEXO I – DOCUMENTAÇÃO EXIGIDA PARA HABILITAÇÃO</w:t>
      </w:r>
    </w:p>
    <w:p>
      <w:pPr>
        <w:pStyle w:val="Normal"/>
        <w:rPr>
          <w:rFonts w:ascii="Arial" w:hAnsi="Arial" w:cs="Arial"/>
          <w:sz w:val="24"/>
          <w:lang w:eastAsia="en-US"/>
        </w:rPr>
      </w:pPr>
      <w:r>
        <w:rPr>
          <w:rFonts w:cs="Arial"/>
          <w:sz w:val="24"/>
          <w:lang w:eastAsia="en-US"/>
        </w:rPr>
      </w:r>
    </w:p>
    <w:p>
      <w:pPr>
        <w:pStyle w:val="Normal"/>
        <w:rPr>
          <w:rFonts w:ascii="Arial" w:hAnsi="Arial" w:cs="Arial"/>
          <w:sz w:val="24"/>
          <w:lang w:eastAsia="en-US"/>
        </w:rPr>
      </w:pPr>
      <w:r>
        <w:rPr>
          <w:rFonts w:cs="Arial"/>
          <w:sz w:val="24"/>
          <w:lang w:eastAsia="en-US"/>
        </w:rPr>
      </w:r>
    </w:p>
    <w:p>
      <w:pPr>
        <w:pStyle w:val="Normal"/>
        <w:rPr>
          <w:rFonts w:ascii="Arial" w:hAnsi="Arial" w:cs="Arial"/>
          <w:b/>
          <w:b/>
          <w:bCs/>
          <w:sz w:val="24"/>
          <w:lang w:eastAsia="en-US"/>
        </w:rPr>
      </w:pPr>
      <w:r>
        <w:rPr>
          <w:rFonts w:cs="Arial"/>
          <w:b/>
          <w:bCs/>
          <w:sz w:val="24"/>
          <w:lang w:eastAsia="en-US"/>
        </w:rPr>
        <w:t xml:space="preserve">1. Habilitação Jurídica: </w:t>
      </w:r>
    </w:p>
    <w:p>
      <w:pPr>
        <w:pStyle w:val="Normal"/>
        <w:rPr>
          <w:rFonts w:ascii="Arial" w:hAnsi="Arial" w:cs="Arial"/>
          <w:sz w:val="24"/>
          <w:lang w:eastAsia="en-US"/>
        </w:rPr>
      </w:pPr>
      <w:r>
        <w:rPr>
          <w:rFonts w:cs="Arial"/>
          <w:sz w:val="24"/>
          <w:lang w:eastAsia="en-US"/>
        </w:rPr>
        <w:t xml:space="preserve">        </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 xml:space="preserve">1.1. Pessoa física: cédula de identidade (RG) ou documento equivalente que, por força de lei, tenha validade para fins de identificação em todo o território nacional; </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 xml:space="preserve">1.2. Empresário individual: inscrição no Registro Público de Empresas Mercantis, a cargo da Junta Comercial da respectiva sede; </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 xml:space="preserve">1.3. Microempreendedor Individual - MEI: Certificado da Condição de Microempreendedor Individual - CCMEI, cuja aceitação ficará condicionada à verificação da autenticidade no sítio www.portaldoempreendedor.gov.br; </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1.5. Sociedade empresária estrangeira com atuação permanente no País: decreto de autorização para funcionamento no Brasil;</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1.6. Sociedade simples: inscrição do ato constitutivo no Registro Civil de Pessoas Jurídicas do local de sua sede, acompanhada de documento comprobatório de seus administradores;</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1.7.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1.8. 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pPr>
        <w:pStyle w:val="Normal"/>
        <w:spacing w:before="114" w:after="114"/>
        <w:jc w:val="both"/>
        <w:rPr>
          <w:rFonts w:ascii="Arial" w:hAnsi="Arial" w:eastAsia="Times New Roman" w:cs="Arial"/>
          <w:color w:val="00000A"/>
          <w:kern w:val="0"/>
          <w:sz w:val="24"/>
          <w:szCs w:val="24"/>
          <w:lang w:val="pt-BR" w:eastAsia="pt-BR" w:bidi="ar-SA"/>
        </w:rPr>
      </w:pPr>
      <w:r>
        <w:rPr>
          <w:rFonts w:eastAsia="Times New Roman" w:cs="Arial"/>
          <w:color w:val="00000A"/>
          <w:kern w:val="0"/>
          <w:sz w:val="24"/>
          <w:szCs w:val="24"/>
          <w:lang w:val="pt-BR" w:eastAsia="pt-BR" w:bidi="ar-SA"/>
        </w:rPr>
        <w:t>1.9. Os documentos apresentados deverão estar acompanhados de todas as alterações ou da consolidação respectiva.</w:t>
      </w:r>
    </w:p>
    <w:p>
      <w:pPr>
        <w:pStyle w:val="Normal"/>
        <w:rPr>
          <w:rFonts w:ascii="Arial" w:hAnsi="Arial" w:cs="Arial"/>
          <w:sz w:val="24"/>
          <w:lang w:eastAsia="en-US"/>
        </w:rPr>
      </w:pPr>
      <w:r>
        <w:rPr>
          <w:rFonts w:cs="Arial"/>
          <w:sz w:val="24"/>
          <w:lang w:eastAsia="en-US"/>
        </w:rPr>
      </w:r>
    </w:p>
    <w:p>
      <w:pPr>
        <w:pStyle w:val="PADRO"/>
        <w:keepNext w:val="false"/>
        <w:widowControl/>
        <w:numPr>
          <w:ilvl w:val="0"/>
          <w:numId w:val="0"/>
        </w:numPr>
        <w:shd w:val="clear" w:fill="FFFFFF"/>
        <w:spacing w:before="120" w:after="120"/>
        <w:ind w:left="360" w:hanging="0"/>
        <w:rPr>
          <w:rFonts w:ascii="Arial" w:hAnsi="Arial"/>
        </w:rPr>
      </w:pPr>
      <w:r>
        <w:rPr>
          <w:rFonts w:cs="Arial" w:ascii="Arial" w:hAnsi="Arial"/>
          <w:b/>
          <w:bCs/>
          <w:color w:val="000000"/>
          <w:sz w:val="24"/>
        </w:rPr>
        <w:t>2. Habilitação fiscal, social e trabalhista:</w:t>
      </w:r>
    </w:p>
    <w:p>
      <w:pPr>
        <w:pStyle w:val="Normal"/>
        <w:tabs>
          <w:tab w:val="clear" w:pos="720"/>
          <w:tab w:val="left" w:pos="1440" w:leader="none"/>
        </w:tabs>
        <w:snapToGrid w:val="false"/>
        <w:spacing w:lineRule="auto" w:line="276" w:before="120" w:after="120"/>
        <w:jc w:val="both"/>
        <w:rPr>
          <w:rFonts w:ascii="Arial" w:hAnsi="Arial"/>
        </w:rPr>
      </w:pPr>
      <w:r>
        <w:rPr>
          <w:rFonts w:cs="Arial"/>
          <w:sz w:val="24"/>
          <w:lang w:eastAsia="en-US"/>
        </w:rPr>
        <w:t>2.1. prova de inscrição no Cadastro Nacional de Pessoas Jurídicas ou no Cadastro de Pessoas Físicas, conforme o caso;</w:t>
      </w:r>
    </w:p>
    <w:p>
      <w:pPr>
        <w:pStyle w:val="Normal"/>
        <w:tabs>
          <w:tab w:val="clear" w:pos="720"/>
          <w:tab w:val="left" w:pos="1440" w:leader="none"/>
        </w:tabs>
        <w:snapToGrid w:val="false"/>
        <w:spacing w:lineRule="auto" w:line="276" w:before="120" w:after="120"/>
        <w:jc w:val="both"/>
        <w:rPr>
          <w:rFonts w:ascii="Arial" w:hAnsi="Arial"/>
        </w:rPr>
      </w:pPr>
      <w:r>
        <w:rPr>
          <w:rFonts w:cs="Arial"/>
          <w:sz w:val="24"/>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tabs>
          <w:tab w:val="clear" w:pos="720"/>
          <w:tab w:val="left" w:pos="1440" w:leader="none"/>
        </w:tabs>
        <w:snapToGrid w:val="false"/>
        <w:spacing w:lineRule="auto" w:line="276" w:before="120" w:after="120"/>
        <w:jc w:val="both"/>
        <w:rPr>
          <w:rFonts w:ascii="Arial" w:hAnsi="Arial"/>
        </w:rPr>
      </w:pPr>
      <w:r>
        <w:rPr>
          <w:rFonts w:cs="Arial"/>
          <w:color w:val="000000"/>
          <w:sz w:val="24"/>
          <w:lang w:eastAsia="en-US"/>
        </w:rPr>
        <w:t>2.3. prova de regularidade com o Fundo de Garantia do Tempo de Serviço (FGTS);</w:t>
      </w:r>
    </w:p>
    <w:p>
      <w:pPr>
        <w:pStyle w:val="Normal"/>
        <w:tabs>
          <w:tab w:val="clear" w:pos="720"/>
          <w:tab w:val="left" w:pos="1440" w:leader="none"/>
        </w:tabs>
        <w:snapToGrid w:val="false"/>
        <w:spacing w:lineRule="auto" w:line="276" w:before="120" w:after="120"/>
        <w:jc w:val="both"/>
        <w:rPr>
          <w:rFonts w:ascii="Arial" w:hAnsi="Arial"/>
        </w:rPr>
      </w:pPr>
      <w:r>
        <w:rPr>
          <w:rFonts w:cs="Arial"/>
          <w:sz w:val="24"/>
          <w:lang w:eastAsia="en-US"/>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tabs>
          <w:tab w:val="clear" w:pos="720"/>
          <w:tab w:val="left" w:pos="1440" w:leader="none"/>
        </w:tabs>
        <w:snapToGrid w:val="false"/>
        <w:spacing w:lineRule="auto" w:line="276" w:before="120" w:after="120"/>
        <w:jc w:val="both"/>
        <w:rPr>
          <w:rFonts w:ascii="Arial" w:hAnsi="Arial"/>
        </w:rPr>
      </w:pPr>
      <w:r>
        <w:rPr>
          <w:rFonts w:cs="Arial"/>
          <w:bCs/>
          <w:i w:val="false"/>
          <w:iCs w:val="false"/>
          <w:color w:val="000000"/>
          <w:sz w:val="24"/>
        </w:rPr>
        <w:t xml:space="preserve">2.5. prova de </w:t>
      </w:r>
      <w:r>
        <w:rPr>
          <w:rFonts w:cs="Arial"/>
          <w:i w:val="false"/>
          <w:iCs w:val="false"/>
          <w:color w:val="000000"/>
          <w:sz w:val="24"/>
        </w:rPr>
        <w:t>inscrição no cadastro de contribuintes estadual e/ou municipal, relativo ao domicílio ou sede do fornecedor, pertinente ao seu ramo de atividade e compatível com o objeto contratual</w:t>
      </w:r>
      <w:r>
        <w:rPr>
          <w:rFonts w:cs="Arial"/>
          <w:bCs/>
          <w:i w:val="false"/>
          <w:iCs w:val="false"/>
          <w:color w:val="000000"/>
          <w:sz w:val="24"/>
        </w:rPr>
        <w:t xml:space="preserve">; </w:t>
      </w:r>
    </w:p>
    <w:p>
      <w:pPr>
        <w:pStyle w:val="Normal"/>
        <w:tabs>
          <w:tab w:val="clear" w:pos="720"/>
          <w:tab w:val="left" w:pos="1440" w:leader="none"/>
        </w:tabs>
        <w:snapToGrid w:val="false"/>
        <w:spacing w:lineRule="auto" w:line="276" w:before="120" w:after="120"/>
        <w:jc w:val="both"/>
        <w:rPr>
          <w:rFonts w:ascii="Arial" w:hAnsi="Arial"/>
        </w:rPr>
      </w:pPr>
      <w:r>
        <w:rPr>
          <w:rFonts w:cs="Arial"/>
          <w:i w:val="false"/>
          <w:iCs w:val="false"/>
          <w:color w:val="000000"/>
          <w:sz w:val="24"/>
        </w:rPr>
        <w:t xml:space="preserve">2.6. prova de regularidade com a Fazenda Estadual e/ou Municipal do domicílio ou sede do fornecedor, relativa à atividade em cujo exercício contrata ou concorre; </w:t>
      </w:r>
    </w:p>
    <w:p>
      <w:pPr>
        <w:pStyle w:val="Normal"/>
        <w:tabs>
          <w:tab w:val="clear" w:pos="720"/>
          <w:tab w:val="left" w:pos="1440" w:leader="none"/>
        </w:tabs>
        <w:snapToGrid w:val="false"/>
        <w:spacing w:lineRule="auto" w:line="276" w:before="120" w:after="120"/>
        <w:jc w:val="both"/>
        <w:rPr>
          <w:rFonts w:ascii="Arial" w:hAnsi="Arial"/>
        </w:rPr>
      </w:pPr>
      <w:r>
        <w:rPr>
          <w:rFonts w:cs="Arial"/>
          <w:i w:val="false"/>
          <w:iCs w:val="false"/>
          <w:color w:val="000000"/>
          <w:sz w:val="24"/>
        </w:rPr>
        <w:t xml:space="preserve">2.7. caso o fornecedor seja considerado isento dos tributos estaduais </w:t>
      </w:r>
      <w:r>
        <w:rPr>
          <w:rFonts w:cs="Arial"/>
          <w:b/>
          <w:i w:val="false"/>
          <w:iCs w:val="false"/>
          <w:color w:val="000000"/>
          <w:sz w:val="24"/>
          <w:u w:val="single"/>
        </w:rPr>
        <w:t>ou</w:t>
      </w:r>
      <w:r>
        <w:rPr>
          <w:rFonts w:cs="Arial"/>
          <w:i w:val="false"/>
          <w:iCs w:val="false"/>
          <w:color w:val="000000"/>
          <w:sz w:val="24"/>
        </w:rPr>
        <w:t xml:space="preserve"> municipais relacionados ao objeto contratual, deverá comprovar tal condição mediante a apresentação de declaração da Fazenda respectiva do seu domicílio ou sede, ou outra equivalente, na forma da lei.</w:t>
      </w:r>
    </w:p>
    <w:p>
      <w:pPr>
        <w:pStyle w:val="PADRO"/>
        <w:keepNext w:val="false"/>
        <w:widowControl/>
        <w:numPr>
          <w:ilvl w:val="0"/>
          <w:numId w:val="0"/>
        </w:numPr>
        <w:shd w:val="clear" w:fill="FFFFFF"/>
        <w:tabs>
          <w:tab w:val="clear" w:pos="720"/>
          <w:tab w:val="left" w:pos="1440" w:leader="none"/>
        </w:tabs>
        <w:snapToGrid w:val="false"/>
        <w:spacing w:lineRule="auto" w:line="276" w:before="120" w:after="120"/>
        <w:ind w:left="360" w:hanging="0"/>
        <w:jc w:val="both"/>
        <w:rPr>
          <w:rFonts w:ascii="Arial" w:hAnsi="Arial" w:eastAsia="Times New Roman" w:cs="Arial"/>
          <w:b/>
          <w:b/>
          <w:bCs/>
          <w:i w:val="false"/>
          <w:i w:val="false"/>
          <w:iCs w:val="false"/>
          <w:color w:val="000000"/>
          <w:kern w:val="0"/>
          <w:sz w:val="24"/>
          <w:szCs w:val="24"/>
          <w:lang w:val="pt-BR" w:eastAsia="pt-BR" w:bidi="ar-SA"/>
        </w:rPr>
      </w:pPr>
      <w:r>
        <w:rPr>
          <w:rFonts w:eastAsia="Times New Roman" w:cs="Arial" w:ascii="Arial" w:hAnsi="Arial"/>
          <w:b/>
          <w:bCs/>
          <w:i w:val="false"/>
          <w:iCs w:val="false"/>
          <w:color w:val="000000"/>
          <w:kern w:val="0"/>
          <w:sz w:val="24"/>
          <w:szCs w:val="24"/>
          <w:lang w:val="pt-BR" w:eastAsia="pt-BR" w:bidi="ar-SA"/>
        </w:rPr>
        <w:t>3. Qualificação Econômica-Financeira:</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t>3.1 Certidão negativa de falência expedida pelo distribuidor da sede do fornecedor;</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t>3.2 Balanço patrimonial, demonstração de resultado de exercício e demais demonstrações contábeis dos 2 (dois) últimos exercícios sociais;</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t>3.2.1 As empresas criadas no exercício financeiro da dispensa deverão atender a todas as exigências da habilitação e poderão substituir os demonstrativos contábeis pelo balanço de abertura;</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t>3.2.2 Os documentos referidos acima limitar-se-ão ao último exercício no caso de a pessoa jurídica ter sido constituída há menos de 2 (dois) anos;</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t>3.2.3 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t>3.3 Comprovação da boa situação financeira da empresa mediante obtenção de índices de Liquidez Geral (LG), Solvência Geral (SG) e Liquidez Corrente (LC), superiores a 1 (um), obtidos pela aplicação das seguintes fórmulas:</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4681220" cy="1839595"/>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6"/>
                    <a:stretch>
                      <a:fillRect/>
                    </a:stretch>
                  </pic:blipFill>
                  <pic:spPr bwMode="auto">
                    <a:xfrm>
                      <a:off x="0" y="0"/>
                      <a:ext cx="4681220" cy="1839595"/>
                    </a:xfrm>
                    <a:prstGeom prst="rect">
                      <a:avLst/>
                    </a:prstGeom>
                  </pic:spPr>
                </pic:pic>
              </a:graphicData>
            </a:graphic>
          </wp:anchor>
        </w:drawing>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r>
    </w:p>
    <w:p>
      <w:pPr>
        <w:pStyle w:val="PADRO"/>
        <w:keepNext w:val="false"/>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3.3.1 As empresas, que apresentarem resultado inferior ou igual a 1 (um) em qualquer dos índices de Liquidez Geral (LG), Solvência Geral (SG) e Liquidez Corrente (LC), deverão comprovar capital ou patrimônio líquido mínimo de 10% (dez por cento) do valor total estimado da contratação ou do item pertinente.</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b/>
          <w:bCs/>
          <w:i w:val="false"/>
          <w:i w:val="false"/>
          <w:iCs w:val="false"/>
          <w:color w:val="000000"/>
          <w:kern w:val="0"/>
          <w:sz w:val="24"/>
          <w:szCs w:val="24"/>
          <w:lang w:val="pt-BR" w:eastAsia="pt-BR" w:bidi="ar-SA"/>
        </w:rPr>
      </w:pPr>
      <w:r>
        <w:rPr>
          <w:rFonts w:eastAsia="Times New Roman" w:cs="Arial" w:ascii="Arial" w:hAnsi="Arial"/>
          <w:b/>
          <w:bCs/>
          <w:i w:val="false"/>
          <w:iCs w:val="false"/>
          <w:color w:val="000000"/>
          <w:kern w:val="0"/>
          <w:sz w:val="24"/>
          <w:szCs w:val="24"/>
          <w:lang w:val="pt-BR" w:eastAsia="pt-BR" w:bidi="ar-SA"/>
        </w:rPr>
        <w:t>4. Qualificação Técnica</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 Comprovação de aptidão para a prestação dos serviços em características, quantidades e prazos item pertinente, mediante a apresentação de atestado(s) fornecido(s) por pessoas jurídicas de direito público ou privado;</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 Para fins da comprovação de que trata este subitem, os atestados deverão dizer respeito a contratos executados com as seguintes características mínimas:</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4.1.1.1 Deverá haver a comprovação da experiência mínima de um ano na prestação de serviços, sendo aceitos o somatório de atestados de períodos diferentes;</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4.1.1.2 Identificação da empresa contratada (CNPJ);</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4.1.1.3 Identificação da pessoa jurídica ou órgão público a quem o serviço foi prestado, com a assinatura de seu representante legal ou responsável técnico;</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4.1.1.4 Número do contrato da prestação de serviços;</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4.1.1.5 Tabela informando os itens executados, unidades de medida e quantitativos executados;</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4.1.1.6 Os atestados deverão referir-se a serviços prestados no âmbito da sua atividade econômica principal ou secundária especificadas no contrato social vigente;</w:t>
      </w:r>
    </w:p>
    <w:p>
      <w:pPr>
        <w:pStyle w:val="PADRO"/>
        <w:widowControl/>
        <w:shd w:val="clear" w:fill="FFFFFF"/>
        <w:tabs>
          <w:tab w:val="clear" w:pos="720"/>
          <w:tab w:val="left" w:pos="1440" w:leader="none"/>
        </w:tabs>
        <w:snapToGrid w:val="false"/>
        <w:spacing w:lineRule="auto" w:line="276" w:before="120" w:after="120"/>
        <w:ind w:hanging="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ascii="Arial" w:hAnsi="Arial"/>
          <w:b w:val="false"/>
          <w:bCs w:val="false"/>
          <w:i w:val="false"/>
          <w:iCs w:val="false"/>
          <w:color w:val="000000"/>
          <w:kern w:val="0"/>
          <w:sz w:val="24"/>
          <w:szCs w:val="24"/>
          <w:lang w:val="pt-BR" w:eastAsia="pt-BR" w:bidi="ar-SA"/>
        </w:rPr>
        <w:t>4.1.1.7 Poderá ser admitida para fins de comprovação de quantitativo mínimo do serviço, a apresentação de diferentes atestados de serviços executados de forma concomitante, pois essa situação se equivale, para fins de comprovação da capacidade técnico-operacional, a uma única contratação.</w:t>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r>
    </w:p>
    <w:p>
      <w:pPr>
        <w:pStyle w:val="Normal"/>
        <w:tabs>
          <w:tab w:val="clear" w:pos="720"/>
          <w:tab w:val="left" w:pos="1440" w:leader="none"/>
        </w:tabs>
        <w:snapToGrid w:val="false"/>
        <w:spacing w:lineRule="auto" w:line="276" w:before="120" w:after="120"/>
        <w:jc w:val="both"/>
        <w:rPr>
          <w:rFonts w:ascii="Arial" w:hAnsi="Arial" w:eastAsia="Times New Roman" w:cs="Arial"/>
          <w:b w:val="false"/>
          <w:b w:val="false"/>
          <w:bCs w:val="false"/>
          <w:i w:val="false"/>
          <w:i w:val="false"/>
          <w:iCs w:val="false"/>
          <w:color w:val="000000"/>
          <w:kern w:val="0"/>
          <w:sz w:val="24"/>
          <w:szCs w:val="24"/>
          <w:lang w:val="pt-BR" w:eastAsia="pt-BR" w:bidi="ar-SA"/>
        </w:rPr>
      </w:pPr>
      <w:r>
        <w:rPr>
          <w:rFonts w:eastAsia="Times New Roman" w:cs="Arial"/>
          <w:b w:val="false"/>
          <w:bCs w:val="false"/>
          <w:i w:val="false"/>
          <w:iCs w:val="false"/>
          <w:color w:val="000000"/>
          <w:kern w:val="0"/>
          <w:sz w:val="24"/>
          <w:szCs w:val="24"/>
          <w:lang w:val="pt-BR" w:eastAsia="pt-BR" w:bidi="ar-SA"/>
        </w:rPr>
      </w:r>
    </w:p>
    <w:p>
      <w:pPr>
        <w:pStyle w:val="Ttulododocumento"/>
        <w:spacing w:lineRule="auto" w:line="276" w:before="0" w:after="0"/>
        <w:contextualSpacing/>
        <w:jc w:val="center"/>
        <w:rPr>
          <w:rFonts w:ascii="Arial" w:hAnsi="Arial" w:cs="Arial"/>
          <w:b/>
          <w:b/>
          <w:bCs/>
          <w:sz w:val="24"/>
          <w:szCs w:val="24"/>
        </w:rPr>
      </w:pPr>
      <w:r>
        <w:rPr>
          <w:rFonts w:cs="Arial" w:ascii="Arial" w:hAnsi="Arial"/>
          <w:b/>
          <w:bCs/>
          <w:sz w:val="24"/>
          <w:szCs w:val="24"/>
        </w:rPr>
      </w:r>
    </w:p>
    <w:p>
      <w:pPr>
        <w:pStyle w:val="Ttulododocumento"/>
        <w:spacing w:lineRule="auto" w:line="276" w:before="0" w:after="0"/>
        <w:contextualSpacing/>
        <w:jc w:val="center"/>
        <w:rPr>
          <w:rFonts w:ascii="Arial" w:hAnsi="Arial" w:cs="Arial"/>
          <w:b/>
          <w:b/>
          <w:bCs/>
          <w:sz w:val="24"/>
          <w:szCs w:val="24"/>
        </w:rPr>
      </w:pPr>
      <w:r>
        <w:rPr>
          <w:rFonts w:cs="Arial" w:ascii="Arial" w:hAnsi="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Normal"/>
        <w:spacing w:lineRule="auto" w:line="276" w:before="0" w:after="0"/>
        <w:contextualSpacing/>
        <w:jc w:val="center"/>
        <w:rPr>
          <w:rFonts w:ascii="Arial" w:hAnsi="Arial" w:cs="Arial"/>
          <w:b/>
          <w:b/>
          <w:bCs/>
          <w:sz w:val="24"/>
          <w:szCs w:val="24"/>
        </w:rPr>
      </w:pPr>
      <w:r>
        <w:rPr>
          <w:rFonts w:cs="Arial"/>
          <w:b/>
          <w:bCs/>
          <w:sz w:val="24"/>
          <w:szCs w:val="24"/>
        </w:rPr>
      </w:r>
    </w:p>
    <w:p>
      <w:pPr>
        <w:pStyle w:val="Ttulododocumento"/>
        <w:spacing w:lineRule="auto" w:line="276" w:before="0" w:after="0"/>
        <w:contextualSpacing/>
        <w:jc w:val="center"/>
        <w:rPr>
          <w:rFonts w:ascii="Arial" w:hAnsi="Arial" w:cs="Arial"/>
          <w:b/>
          <w:b/>
          <w:bCs/>
          <w:sz w:val="24"/>
          <w:szCs w:val="24"/>
        </w:rPr>
      </w:pPr>
      <w:r>
        <w:rPr>
          <w:rFonts w:cs="Arial" w:ascii="Arial" w:hAnsi="Arial"/>
          <w:b/>
          <w:bCs/>
          <w:sz w:val="24"/>
          <w:szCs w:val="24"/>
        </w:rPr>
      </w:r>
    </w:p>
    <w:p>
      <w:pPr>
        <w:pStyle w:val="Ttulododocumento"/>
        <w:spacing w:lineRule="auto" w:line="276" w:before="0" w:after="0"/>
        <w:contextualSpacing/>
        <w:jc w:val="center"/>
        <w:rPr>
          <w:rFonts w:ascii="Arial" w:hAnsi="Arial" w:cs="Arial"/>
          <w:b/>
          <w:b/>
          <w:bCs/>
          <w:sz w:val="24"/>
          <w:szCs w:val="24"/>
        </w:rPr>
      </w:pPr>
      <w:r>
        <w:rPr>
          <w:rFonts w:cs="Arial" w:ascii="Arial" w:hAnsi="Arial"/>
          <w:b/>
          <w:bCs/>
          <w:sz w:val="24"/>
          <w:szCs w:val="24"/>
        </w:rPr>
      </w:r>
    </w:p>
    <w:p>
      <w:pPr>
        <w:pStyle w:val="Ttulododocumento"/>
        <w:spacing w:lineRule="auto" w:line="276" w:before="0" w:after="0"/>
        <w:contextualSpacing/>
        <w:jc w:val="center"/>
        <w:rPr>
          <w:rFonts w:ascii="Arial" w:hAnsi="Arial" w:cs="Arial"/>
          <w:b/>
          <w:b/>
          <w:bCs/>
          <w:sz w:val="24"/>
          <w:szCs w:val="24"/>
        </w:rPr>
      </w:pPr>
      <w:r>
        <w:rPr>
          <w:rFonts w:cs="Arial" w:ascii="Arial" w:hAnsi="Arial"/>
          <w:b/>
          <w:bCs/>
          <w:sz w:val="24"/>
          <w:szCs w:val="24"/>
        </w:rPr>
      </w:r>
    </w:p>
    <w:p>
      <w:pPr>
        <w:pStyle w:val="Ttulododocumento"/>
        <w:spacing w:lineRule="auto" w:line="276" w:before="0" w:after="0"/>
        <w:contextualSpacing/>
        <w:jc w:val="center"/>
        <w:rPr>
          <w:rFonts w:ascii="Arial" w:hAnsi="Arial"/>
          <w:sz w:val="24"/>
          <w:szCs w:val="24"/>
        </w:rPr>
      </w:pPr>
      <w:r>
        <w:rPr>
          <w:rFonts w:cs="Arial" w:ascii="Arial" w:hAnsi="Arial"/>
          <w:b/>
          <w:bCs/>
          <w:sz w:val="24"/>
          <w:szCs w:val="24"/>
        </w:rPr>
        <w:t>ANEXO II – TERMO DE REFERÊNCIA</w:t>
      </w:r>
    </w:p>
    <w:p>
      <w:pPr>
        <w:pStyle w:val="Normal"/>
        <w:spacing w:lineRule="auto" w:line="276" w:before="0" w:after="0"/>
        <w:jc w:val="center"/>
        <w:rPr>
          <w:rFonts w:ascii="Arial" w:hAnsi="Arial"/>
          <w:sz w:val="24"/>
          <w:szCs w:val="24"/>
        </w:rPr>
      </w:pPr>
      <w:r>
        <w:rPr>
          <w:rFonts w:ascii="Arial" w:hAnsi="Arial"/>
          <w:sz w:val="24"/>
          <w:szCs w:val="24"/>
        </w:rPr>
      </w:r>
    </w:p>
    <w:p>
      <w:pPr>
        <w:pStyle w:val="Normal"/>
        <w:spacing w:lineRule="auto" w:line="276" w:before="0" w:after="0"/>
        <w:jc w:val="center"/>
        <w:rPr>
          <w:rFonts w:ascii="Arial" w:hAnsi="Arial"/>
          <w:sz w:val="24"/>
          <w:szCs w:val="24"/>
        </w:rPr>
      </w:pPr>
      <w:r>
        <w:rPr>
          <w:rFonts w:ascii="Arial" w:hAnsi="Arial"/>
          <w:sz w:val="24"/>
          <w:szCs w:val="24"/>
        </w:rPr>
        <w:drawing>
          <wp:inline distT="0" distB="0" distL="0" distR="0">
            <wp:extent cx="739140" cy="807720"/>
            <wp:effectExtent l="0" t="0" r="0" b="0"/>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7"/>
                    <a:stretch>
                      <a:fillRect/>
                    </a:stretch>
                  </pic:blipFill>
                  <pic:spPr bwMode="auto">
                    <a:xfrm>
                      <a:off x="0" y="0"/>
                      <a:ext cx="739140" cy="807720"/>
                    </a:xfrm>
                    <a:prstGeom prst="rect">
                      <a:avLst/>
                    </a:prstGeom>
                  </pic:spPr>
                </pic:pic>
              </a:graphicData>
            </a:graphic>
          </wp:inline>
        </w:drawing>
      </w:r>
      <w:r>
        <w:rPr>
          <w:rFonts w:cs="Arial" w:ascii="Arial" w:hAnsi="Arial"/>
          <w:color w:val="000000"/>
          <w:sz w:val="24"/>
          <w:szCs w:val="24"/>
        </w:rPr>
        <w:br/>
      </w:r>
      <w:r>
        <w:rPr>
          <w:rFonts w:cs="Arial" w:ascii="Arial" w:hAnsi="Arial"/>
          <w:b/>
          <w:bCs/>
          <w:color w:val="000000"/>
          <w:sz w:val="24"/>
          <w:szCs w:val="24"/>
        </w:rPr>
        <w:t>TERMO DE REFERÊNCIA – LEI 14.133/21</w:t>
      </w:r>
    </w:p>
    <w:p>
      <w:pPr>
        <w:pStyle w:val="Normal"/>
        <w:spacing w:lineRule="auto" w:line="276" w:before="0" w:after="0"/>
        <w:jc w:val="center"/>
        <w:rPr>
          <w:rFonts w:ascii="Arial" w:hAnsi="Arial"/>
          <w:sz w:val="24"/>
          <w:szCs w:val="24"/>
        </w:rPr>
      </w:pPr>
      <w:r>
        <w:rPr>
          <w:rFonts w:cs="Arial" w:ascii="Arial" w:hAnsi="Arial"/>
          <w:b/>
          <w:bCs/>
          <w:iCs/>
          <w:color w:val="000000"/>
          <w:sz w:val="24"/>
          <w:szCs w:val="24"/>
        </w:rPr>
        <w:t>COMPRAS – CONTRATAÇÃO DIRETA</w:t>
      </w:r>
    </w:p>
    <w:p>
      <w:pPr>
        <w:pStyle w:val="Normal"/>
        <w:spacing w:lineRule="auto" w:line="276" w:before="0" w:after="0"/>
        <w:jc w:val="center"/>
        <w:rPr/>
      </w:pPr>
      <w:r>
        <w:rPr>
          <w:rFonts w:cs="Arial" w:ascii="Arial" w:hAnsi="Arial"/>
          <w:b/>
          <w:bCs/>
          <w:iCs/>
          <w:color w:val="000000"/>
          <w:sz w:val="24"/>
          <w:szCs w:val="24"/>
        </w:rPr>
        <w:t xml:space="preserve">Processo Administrativo n. </w:t>
      </w:r>
      <w:r>
        <w:rPr>
          <w:rStyle w:val="Nfaseforte"/>
          <w:rFonts w:cs="Arial" w:ascii="Arial" w:hAnsi="Arial"/>
          <w:iCs/>
          <w:color w:val="000000"/>
          <w:sz w:val="24"/>
          <w:szCs w:val="24"/>
        </w:rPr>
        <w:t>63064.008950/2023-52</w:t>
      </w:r>
      <w:r>
        <w:rPr>
          <w:rFonts w:cs="Arial" w:ascii="Arial" w:hAnsi="Arial"/>
          <w:b/>
          <w:bCs/>
          <w:iCs/>
          <w:color w:val="000000"/>
          <w:sz w:val="24"/>
          <w:szCs w:val="24"/>
        </w:rPr>
        <w:t xml:space="preserve"> </w:t>
      </w:r>
    </w:p>
    <w:p>
      <w:pPr>
        <w:pStyle w:val="Normal"/>
        <w:spacing w:lineRule="auto" w:line="276" w:before="0" w:after="0"/>
        <w:jc w:val="center"/>
        <w:rPr>
          <w:rFonts w:ascii="Arial" w:hAnsi="Arial" w:cs="Arial"/>
          <w:b/>
          <w:b/>
          <w:bCs/>
          <w:i/>
          <w:i/>
          <w:color w:val="FF0000"/>
          <w:sz w:val="24"/>
          <w:szCs w:val="24"/>
        </w:rPr>
      </w:pPr>
      <w:r>
        <w:rPr>
          <w:rFonts w:cs="Arial" w:ascii="Arial" w:hAnsi="Arial"/>
          <w:b/>
          <w:bCs/>
          <w:i/>
          <w:color w:val="FF0000"/>
          <w:sz w:val="24"/>
          <w:szCs w:val="24"/>
        </w:rPr>
      </w:r>
    </w:p>
    <w:p>
      <w:pPr>
        <w:pStyle w:val="Nivel1"/>
        <w:numPr>
          <w:ilvl w:val="0"/>
          <w:numId w:val="0"/>
        </w:numPr>
        <w:spacing w:before="0" w:after="0"/>
        <w:ind w:left="435" w:hanging="0"/>
        <w:rPr>
          <w:rFonts w:ascii="Arial" w:hAnsi="Arial"/>
          <w:bCs/>
          <w:sz w:val="24"/>
          <w:szCs w:val="24"/>
        </w:rPr>
      </w:pPr>
      <w:r>
        <w:rPr>
          <w:rFonts w:ascii="Arial" w:hAnsi="Arial"/>
          <w:bCs/>
          <w:sz w:val="24"/>
          <w:szCs w:val="24"/>
        </w:rPr>
      </w:r>
    </w:p>
    <w:p>
      <w:pPr>
        <w:pStyle w:val="Nivel1"/>
        <w:numPr>
          <w:ilvl w:val="0"/>
          <w:numId w:val="0"/>
        </w:numPr>
        <w:spacing w:before="0" w:after="0"/>
        <w:ind w:left="435" w:hanging="0"/>
        <w:rPr>
          <w:rFonts w:ascii="Arial" w:hAnsi="Arial"/>
          <w:sz w:val="24"/>
          <w:szCs w:val="24"/>
        </w:rPr>
      </w:pPr>
      <w:r>
        <w:rPr>
          <w:rFonts w:ascii="Arial" w:hAnsi="Arial"/>
          <w:bCs/>
          <w:sz w:val="24"/>
          <w:szCs w:val="24"/>
        </w:rPr>
        <w:t>1 DAS CONDIÇÕES GERAIS DA CONTRATAÇÃO (art. 6º, XXIII, “a” e “i”</w:t>
      </w:r>
      <w:r>
        <w:rPr>
          <w:rFonts w:ascii="Arial" w:hAnsi="Arial"/>
          <w:sz w:val="24"/>
          <w:szCs w:val="24"/>
        </w:rPr>
        <w:t xml:space="preserve"> da Lei n. 14.133/2021).</w:t>
      </w:r>
    </w:p>
    <w:p>
      <w:pPr>
        <w:pStyle w:val="ListParagraph"/>
        <w:spacing w:lineRule="auto" w:line="276" w:before="0" w:after="0"/>
        <w:ind w:left="716" w:hanging="0"/>
        <w:contextualSpacing/>
        <w:jc w:val="both"/>
        <w:rPr>
          <w:rFonts w:ascii="Arial" w:hAnsi="Arial" w:cs="Arial"/>
          <w:b/>
          <w:b/>
          <w:iCs/>
          <w:sz w:val="24"/>
          <w:szCs w:val="24"/>
        </w:rPr>
      </w:pPr>
      <w:r>
        <w:rPr>
          <w:rFonts w:cs="Arial" w:ascii="Arial" w:hAnsi="Arial"/>
          <w:b/>
          <w:iCs/>
          <w:sz w:val="24"/>
          <w:szCs w:val="24"/>
        </w:rPr>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Cs/>
          <w:color w:val="00000A"/>
          <w:sz w:val="24"/>
          <w:szCs w:val="24"/>
        </w:rPr>
        <w:t>1.1</w:t>
      </w:r>
      <w:r>
        <w:rPr>
          <w:rFonts w:cs="Arial" w:ascii="Arial" w:hAnsi="Arial"/>
          <w:b w:val="false"/>
          <w:bCs w:val="false"/>
          <w:iCs/>
          <w:color w:val="00000A"/>
          <w:sz w:val="24"/>
          <w:szCs w:val="24"/>
        </w:rPr>
        <w:t xml:space="preserve"> Aquisição de câmaras frigoríficas para congelados e resfriados</w:t>
      </w:r>
      <w:r>
        <w:rPr>
          <w:rFonts w:cs="Arial" w:ascii="Arial" w:hAnsi="Arial"/>
          <w:b/>
          <w:iCs/>
          <w:sz w:val="24"/>
          <w:szCs w:val="24"/>
        </w:rPr>
        <w:t>,</w:t>
      </w:r>
      <w:r>
        <w:rPr>
          <w:rFonts w:cs="Arial" w:ascii="Arial" w:hAnsi="Arial"/>
          <w:iCs/>
          <w:sz w:val="24"/>
          <w:szCs w:val="24"/>
        </w:rPr>
        <w:t xml:space="preserve"> nos termos da tabela abaixo, conforme condições e exigências estabelecidas neste instrumento.</w:t>
      </w:r>
    </w:p>
    <w:p>
      <w:pPr>
        <w:pStyle w:val="ListParagraph"/>
        <w:spacing w:lineRule="auto" w:line="276" w:before="0" w:after="0"/>
        <w:contextualSpacing/>
        <w:jc w:val="both"/>
        <w:rPr>
          <w:rFonts w:ascii="Arial" w:hAnsi="Arial" w:cs="Arial"/>
          <w:iCs/>
          <w:sz w:val="24"/>
          <w:szCs w:val="24"/>
        </w:rPr>
      </w:pPr>
      <w:r>
        <w:rPr>
          <w:rFonts w:cs="Arial" w:ascii="Arial" w:hAnsi="Arial"/>
          <w:iCs/>
          <w:sz w:val="24"/>
          <w:szCs w:val="24"/>
        </w:rPr>
      </w:r>
    </w:p>
    <w:tbl>
      <w:tblPr>
        <w:tblW w:w="9867" w:type="dxa"/>
        <w:jc w:val="left"/>
        <w:tblInd w:w="-147" w:type="dxa"/>
        <w:tblCellMar>
          <w:top w:w="0" w:type="dxa"/>
          <w:left w:w="83" w:type="dxa"/>
          <w:bottom w:w="0" w:type="dxa"/>
          <w:right w:w="108" w:type="dxa"/>
        </w:tblCellMar>
        <w:tblLook w:val="04a0" w:noHBand="0" w:noVBand="1" w:firstColumn="1" w:lastRow="0" w:lastColumn="0" w:firstRow="1"/>
      </w:tblPr>
      <w:tblGrid>
        <w:gridCol w:w="1183"/>
        <w:gridCol w:w="2450"/>
        <w:gridCol w:w="1300"/>
        <w:gridCol w:w="1367"/>
        <w:gridCol w:w="725"/>
        <w:gridCol w:w="1425"/>
        <w:gridCol w:w="1417"/>
      </w:tblGrid>
      <w:tr>
        <w:trPr/>
        <w:tc>
          <w:tcPr>
            <w:tcW w:w="118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bCs/>
                <w:color w:val="000000"/>
                <w:sz w:val="24"/>
                <w:szCs w:val="24"/>
              </w:rPr>
              <w:t>ITEM</w:t>
            </w:r>
          </w:p>
          <w:p>
            <w:pPr>
              <w:pStyle w:val="Normal"/>
              <w:widowControl w:val="false"/>
              <w:suppressAutoHyphens w:val="true"/>
              <w:spacing w:lineRule="auto" w:line="276" w:before="0" w:after="0"/>
              <w:jc w:val="center"/>
              <w:rPr>
                <w:rFonts w:ascii="Arial" w:hAnsi="Arial" w:cs="Arial"/>
                <w:b/>
                <w:b/>
                <w:color w:val="000000"/>
                <w:sz w:val="24"/>
                <w:szCs w:val="24"/>
              </w:rPr>
            </w:pPr>
            <w:r>
              <w:rPr>
                <w:rFonts w:cs="Arial" w:ascii="Arial" w:hAnsi="Arial"/>
                <w:b/>
                <w:color w:val="000000"/>
                <w:sz w:val="24"/>
                <w:szCs w:val="24"/>
              </w:rPr>
            </w:r>
          </w:p>
        </w:tc>
        <w:tc>
          <w:tcPr>
            <w:tcW w:w="245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bCs/>
                <w:color w:val="000000"/>
                <w:sz w:val="24"/>
                <w:szCs w:val="24"/>
              </w:rPr>
              <w:t>ESPECIFICAÇÃO</w:t>
            </w:r>
          </w:p>
        </w:tc>
        <w:tc>
          <w:tcPr>
            <w:tcW w:w="130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bCs/>
                <w:color w:val="000000"/>
                <w:sz w:val="24"/>
                <w:szCs w:val="24"/>
              </w:rPr>
              <w:t>CAT</w:t>
            </w:r>
            <w:r>
              <w:rPr>
                <w:rFonts w:eastAsia="Calibri" w:cs="Arial" w:ascii="Arial" w:hAnsi="Arial"/>
                <w:b/>
                <w:bCs/>
                <w:color w:val="000000"/>
                <w:kern w:val="0"/>
                <w:sz w:val="24"/>
                <w:szCs w:val="24"/>
                <w:lang w:val="pt-BR" w:eastAsia="en-US" w:bidi="ar-SA"/>
              </w:rPr>
              <w:t>MAT</w:t>
            </w:r>
          </w:p>
        </w:tc>
        <w:tc>
          <w:tcPr>
            <w:tcW w:w="13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bCs/>
                <w:color w:val="000000"/>
                <w:sz w:val="24"/>
                <w:szCs w:val="24"/>
              </w:rPr>
              <w:t>UNIDA</w:t>
            </w:r>
            <w:r>
              <w:rPr>
                <w:rFonts w:cs="Arial" w:ascii="Arial" w:hAnsi="Arial"/>
                <w:b/>
                <w:bCs/>
                <w:color w:val="000000"/>
                <w:sz w:val="24"/>
                <w:szCs w:val="24"/>
              </w:rPr>
              <w:t>D</w:t>
            </w:r>
            <w:r>
              <w:rPr>
                <w:rFonts w:cs="Arial" w:ascii="Arial" w:hAnsi="Arial"/>
                <w:b/>
                <w:bCs/>
                <w:color w:val="000000"/>
                <w:sz w:val="24"/>
                <w:szCs w:val="24"/>
              </w:rPr>
              <w:t>E DE MEDIDA</w:t>
            </w:r>
          </w:p>
        </w:tc>
        <w:tc>
          <w:tcPr>
            <w:tcW w:w="72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bCs/>
                <w:sz w:val="24"/>
                <w:szCs w:val="24"/>
              </w:rPr>
              <w:t>QTD</w:t>
            </w:r>
          </w:p>
        </w:tc>
        <w:tc>
          <w:tcPr>
            <w:tcW w:w="142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bCs/>
                <w:sz w:val="24"/>
                <w:szCs w:val="24"/>
              </w:rPr>
              <w:t>VALOR UNITÁRIO</w:t>
            </w:r>
          </w:p>
        </w:tc>
        <w:tc>
          <w:tcPr>
            <w:tcW w:w="141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bCs/>
                <w:sz w:val="24"/>
                <w:szCs w:val="24"/>
              </w:rPr>
              <w:t>VALOR TOTAL</w:t>
            </w:r>
          </w:p>
        </w:tc>
      </w:tr>
      <w:tr>
        <w:trPr/>
        <w:tc>
          <w:tcPr>
            <w:tcW w:w="118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sz w:val="24"/>
                <w:szCs w:val="24"/>
              </w:rPr>
            </w:pPr>
            <w:r>
              <w:rPr>
                <w:rFonts w:cs="Arial" w:ascii="Arial" w:hAnsi="Arial"/>
                <w:b w:val="false"/>
                <w:bCs w:val="false"/>
                <w:color w:val="000000"/>
                <w:sz w:val="24"/>
                <w:szCs w:val="24"/>
              </w:rPr>
              <w:t>1</w:t>
            </w:r>
          </w:p>
        </w:tc>
        <w:tc>
          <w:tcPr>
            <w:tcW w:w="2450" w:type="dxa"/>
            <w:tcBorders>
              <w:top w:val="single" w:sz="4" w:space="0" w:color="000001"/>
              <w:left w:val="single" w:sz="4" w:space="0" w:color="000001"/>
              <w:bottom w:val="single" w:sz="4" w:space="0" w:color="000001"/>
              <w:right w:val="single" w:sz="4" w:space="0" w:color="000001"/>
            </w:tcBorders>
            <w:shd w:fill="auto" w:val="clear"/>
          </w:tcPr>
          <w:p>
            <w:pPr>
              <w:pStyle w:val="Normal"/>
              <w:jc w:val="left"/>
              <w:rPr>
                <w:b/>
                <w:b/>
                <w:bCs/>
              </w:rPr>
            </w:pPr>
            <w:r>
              <w:rPr>
                <w:rFonts w:ascii="Arial" w:hAnsi="Arial"/>
                <w:sz w:val="24"/>
                <w:szCs w:val="24"/>
              </w:rPr>
            </w:r>
          </w:p>
          <w:p>
            <w:pPr>
              <w:pStyle w:val="Normal"/>
              <w:jc w:val="left"/>
              <w:rPr>
                <w:rFonts w:ascii="Arial" w:hAnsi="Arial"/>
                <w:sz w:val="24"/>
                <w:szCs w:val="24"/>
              </w:rPr>
            </w:pPr>
            <w:r>
              <w:rPr>
                <w:rFonts w:ascii="Arial" w:hAnsi="Arial"/>
                <w:b/>
                <w:bCs/>
                <w:sz w:val="24"/>
                <w:szCs w:val="24"/>
              </w:rPr>
              <w:t>CÂMARA PARA CONGELADOS E RESFRIADOS:</w:t>
            </w:r>
          </w:p>
          <w:p>
            <w:pPr>
              <w:pStyle w:val="Normal"/>
              <w:jc w:val="both"/>
              <w:rPr>
                <w:b/>
                <w:b/>
                <w:bCs/>
              </w:rPr>
            </w:pPr>
            <w:r>
              <w:rPr>
                <w:rFonts w:ascii="Arial" w:hAnsi="Arial"/>
                <w:sz w:val="24"/>
                <w:szCs w:val="24"/>
              </w:rPr>
            </w:r>
          </w:p>
          <w:p>
            <w:pPr>
              <w:pStyle w:val="Normal"/>
              <w:jc w:val="both"/>
              <w:rPr>
                <w:b/>
                <w:b/>
                <w:bCs/>
              </w:rPr>
            </w:pPr>
            <w:r>
              <w:rPr>
                <w:rFonts w:ascii="Arial" w:hAnsi="Arial"/>
                <w:sz w:val="24"/>
                <w:szCs w:val="24"/>
              </w:rPr>
            </w:r>
          </w:p>
          <w:p>
            <w:pPr>
              <w:pStyle w:val="Normal"/>
              <w:jc w:val="left"/>
              <w:rPr>
                <w:rFonts w:ascii="Arial" w:hAnsi="Arial"/>
                <w:sz w:val="24"/>
                <w:szCs w:val="24"/>
              </w:rPr>
            </w:pPr>
            <w:r>
              <w:rPr>
                <w:rFonts w:ascii="Arial" w:hAnsi="Arial"/>
                <w:b/>
                <w:bCs/>
                <w:sz w:val="24"/>
                <w:szCs w:val="24"/>
              </w:rPr>
              <w:t>1)</w:t>
            </w:r>
            <w:r>
              <w:rPr>
                <w:rFonts w:ascii="Arial" w:hAnsi="Arial"/>
                <w:b/>
                <w:bCs/>
                <w:i/>
                <w:iCs/>
                <w:sz w:val="24"/>
                <w:szCs w:val="24"/>
              </w:rPr>
              <w:t xml:space="preserve">CÂMARA </w:t>
            </w:r>
            <w:r>
              <w:rPr>
                <w:rFonts w:ascii="Arial" w:hAnsi="Arial"/>
                <w:b/>
                <w:bCs/>
                <w:i/>
                <w:iCs/>
                <w:sz w:val="24"/>
                <w:szCs w:val="24"/>
              </w:rPr>
              <w:t>COMPARTIMENTO</w:t>
            </w:r>
            <w:r>
              <w:rPr>
                <w:rFonts w:ascii="Arial" w:hAnsi="Arial"/>
                <w:b/>
                <w:bCs/>
                <w:i/>
                <w:iCs/>
                <w:sz w:val="24"/>
                <w:szCs w:val="24"/>
              </w:rPr>
              <w:t>DE CONGELADOS</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Condições operacionais:</w:t>
            </w:r>
          </w:p>
          <w:p>
            <w:pPr>
              <w:pStyle w:val="Normal"/>
              <w:jc w:val="both"/>
              <w:rPr>
                <w:rFonts w:ascii="Arial" w:hAnsi="Arial"/>
                <w:sz w:val="24"/>
                <w:szCs w:val="24"/>
              </w:rPr>
            </w:pPr>
            <w:r>
              <w:rPr>
                <w:rFonts w:ascii="Arial" w:hAnsi="Arial"/>
                <w:sz w:val="24"/>
                <w:szCs w:val="24"/>
              </w:rPr>
              <w:t>Tipo de produtos: Carnes e pescados congelados;</w:t>
            </w:r>
          </w:p>
          <w:p>
            <w:pPr>
              <w:pStyle w:val="Normal"/>
              <w:jc w:val="both"/>
              <w:rPr>
                <w:rFonts w:ascii="Arial" w:hAnsi="Arial"/>
                <w:sz w:val="24"/>
                <w:szCs w:val="24"/>
              </w:rPr>
            </w:pPr>
            <w:r>
              <w:rPr>
                <w:rFonts w:ascii="Arial" w:hAnsi="Arial"/>
                <w:sz w:val="24"/>
                <w:szCs w:val="24"/>
              </w:rPr>
              <w:t>Temperatura de conservação dos produtos [°C]: -18 a - 20ºC;</w:t>
            </w:r>
          </w:p>
          <w:p>
            <w:pPr>
              <w:pStyle w:val="Normal"/>
              <w:jc w:val="both"/>
              <w:rPr>
                <w:rFonts w:ascii="Arial" w:hAnsi="Arial"/>
                <w:sz w:val="24"/>
                <w:szCs w:val="24"/>
              </w:rPr>
            </w:pPr>
            <w:r>
              <w:rPr>
                <w:rFonts w:ascii="Arial" w:hAnsi="Arial"/>
                <w:sz w:val="24"/>
                <w:szCs w:val="24"/>
              </w:rPr>
              <w:t>Temperatura de entrada dos produtos [°C]: -10ºC;</w:t>
            </w:r>
          </w:p>
          <w:p>
            <w:pPr>
              <w:pStyle w:val="Normal"/>
              <w:jc w:val="both"/>
              <w:rPr>
                <w:rFonts w:ascii="Arial" w:hAnsi="Arial"/>
                <w:sz w:val="24"/>
                <w:szCs w:val="24"/>
              </w:rPr>
            </w:pPr>
            <w:r>
              <w:rPr>
                <w:rFonts w:ascii="Arial" w:hAnsi="Arial"/>
                <w:sz w:val="24"/>
                <w:szCs w:val="24"/>
              </w:rPr>
              <w:t>Rotatividade do produto [kg/dia]: 150;</w:t>
            </w:r>
          </w:p>
          <w:p>
            <w:pPr>
              <w:pStyle w:val="Normal"/>
              <w:jc w:val="both"/>
              <w:rPr>
                <w:rFonts w:ascii="Arial" w:hAnsi="Arial"/>
                <w:sz w:val="24"/>
                <w:szCs w:val="24"/>
              </w:rPr>
            </w:pPr>
            <w:r>
              <w:rPr>
                <w:rFonts w:ascii="Arial" w:hAnsi="Arial"/>
                <w:sz w:val="24"/>
                <w:szCs w:val="24"/>
              </w:rPr>
              <w:t>Carga máxima de estocagem [kg]: 5.000;</w:t>
            </w:r>
          </w:p>
          <w:p>
            <w:pPr>
              <w:pStyle w:val="Normal"/>
              <w:jc w:val="both"/>
              <w:rPr>
                <w:rFonts w:ascii="Arial" w:hAnsi="Arial"/>
                <w:sz w:val="24"/>
                <w:szCs w:val="24"/>
              </w:rPr>
            </w:pPr>
            <w:r>
              <w:rPr>
                <w:rFonts w:ascii="Arial" w:hAnsi="Arial"/>
                <w:sz w:val="24"/>
                <w:szCs w:val="24"/>
              </w:rPr>
              <w:t>Dimensões da câmara [m]: 3,05 (comprimento) x 3,50 (largura) x 2,60 (altura);</w:t>
            </w:r>
          </w:p>
          <w:p>
            <w:pPr>
              <w:pStyle w:val="Normal"/>
              <w:jc w:val="both"/>
              <w:rPr>
                <w:rFonts w:ascii="Arial" w:hAnsi="Arial"/>
                <w:sz w:val="24"/>
                <w:szCs w:val="24"/>
              </w:rPr>
            </w:pPr>
            <w:r>
              <w:rPr>
                <w:rFonts w:ascii="Arial" w:hAnsi="Arial"/>
                <w:sz w:val="24"/>
                <w:szCs w:val="24"/>
              </w:rPr>
              <w:t>Construída com painéis isotérmicos com isolamento em poliuretano injetado, com ambas as faces em chapa de aço na cor branca (pintura eletrostática), com aditivo retardante de chama na espessura de 150 mm, garantindo o perfeito isolamento térmico nas paredes, teto e piso. Acessórios de fixação e acabamento, tais como adesivo selante para calafetar a junção dos painéis, chapas prépintadas para acabamento das junções de painéis, válvulas equalizadoras de pressão, rebites, perfis “U” e demais acabamentos devem estar presentes no fornecimento; e</w:t>
            </w:r>
          </w:p>
          <w:p>
            <w:pPr>
              <w:pStyle w:val="Normal"/>
              <w:jc w:val="both"/>
              <w:rPr>
                <w:rFonts w:ascii="Arial" w:hAnsi="Arial"/>
                <w:sz w:val="24"/>
                <w:szCs w:val="24"/>
              </w:rPr>
            </w:pPr>
            <w:r>
              <w:rPr>
                <w:rFonts w:ascii="Arial" w:hAnsi="Arial"/>
                <w:sz w:val="24"/>
                <w:szCs w:val="24"/>
              </w:rPr>
              <w:t>Porta: 01x unidade giratória revestida interna e externamente com chapa pré-pintada.</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r>
          </w:p>
          <w:p>
            <w:pPr>
              <w:pStyle w:val="Normal"/>
              <w:jc w:val="left"/>
              <w:rPr>
                <w:rFonts w:ascii="Arial" w:hAnsi="Arial"/>
                <w:sz w:val="24"/>
                <w:szCs w:val="24"/>
              </w:rPr>
            </w:pPr>
            <w:r>
              <w:rPr>
                <w:rFonts w:ascii="Arial" w:hAnsi="Arial"/>
                <w:b/>
                <w:bCs/>
                <w:i/>
                <w:iCs/>
                <w:sz w:val="24"/>
                <w:szCs w:val="24"/>
              </w:rPr>
              <w:t xml:space="preserve">2) CÂMARA </w:t>
            </w:r>
            <w:r>
              <w:rPr>
                <w:rFonts w:ascii="Arial" w:hAnsi="Arial"/>
                <w:b/>
                <w:bCs/>
                <w:i/>
                <w:iCs/>
                <w:sz w:val="24"/>
                <w:szCs w:val="24"/>
              </w:rPr>
              <w:t>COMPARTIMENTO</w:t>
            </w:r>
            <w:r>
              <w:rPr>
                <w:rFonts w:ascii="Arial" w:hAnsi="Arial"/>
                <w:b/>
                <w:bCs/>
                <w:i/>
                <w:iCs/>
                <w:sz w:val="24"/>
                <w:szCs w:val="24"/>
              </w:rPr>
              <w:t xml:space="preserve"> DE REFRIADOS</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Condições operacionais:</w:t>
            </w:r>
          </w:p>
          <w:p>
            <w:pPr>
              <w:pStyle w:val="Normal"/>
              <w:jc w:val="both"/>
              <w:rPr>
                <w:rFonts w:ascii="Arial" w:hAnsi="Arial"/>
                <w:sz w:val="24"/>
                <w:szCs w:val="24"/>
              </w:rPr>
            </w:pPr>
            <w:r>
              <w:rPr>
                <w:rFonts w:ascii="Arial" w:hAnsi="Arial"/>
                <w:sz w:val="24"/>
                <w:szCs w:val="24"/>
              </w:rPr>
              <w:t>Tipo de produtos: Laticínios, frutas e verduras;</w:t>
            </w:r>
          </w:p>
          <w:p>
            <w:pPr>
              <w:pStyle w:val="Normal"/>
              <w:jc w:val="both"/>
              <w:rPr>
                <w:rFonts w:ascii="Arial" w:hAnsi="Arial"/>
                <w:sz w:val="24"/>
                <w:szCs w:val="24"/>
              </w:rPr>
            </w:pPr>
            <w:r>
              <w:rPr>
                <w:rFonts w:ascii="Arial" w:hAnsi="Arial"/>
                <w:sz w:val="24"/>
                <w:szCs w:val="24"/>
              </w:rPr>
              <w:t>Temperatura de conservação dos produtos [°C]: 01 a 04ºC;</w:t>
            </w:r>
          </w:p>
          <w:p>
            <w:pPr>
              <w:pStyle w:val="Normal"/>
              <w:jc w:val="both"/>
              <w:rPr>
                <w:rFonts w:ascii="Arial" w:hAnsi="Arial"/>
                <w:sz w:val="24"/>
                <w:szCs w:val="24"/>
              </w:rPr>
            </w:pPr>
            <w:r>
              <w:rPr>
                <w:rFonts w:ascii="Arial" w:hAnsi="Arial"/>
                <w:sz w:val="24"/>
                <w:szCs w:val="24"/>
              </w:rPr>
              <w:t>Temperatura de entrada dos produtos [°C]: 15ºC;</w:t>
            </w:r>
          </w:p>
          <w:p>
            <w:pPr>
              <w:pStyle w:val="Normal"/>
              <w:jc w:val="both"/>
              <w:rPr>
                <w:rFonts w:ascii="Arial" w:hAnsi="Arial"/>
                <w:sz w:val="24"/>
                <w:szCs w:val="24"/>
              </w:rPr>
            </w:pPr>
            <w:r>
              <w:rPr>
                <w:rFonts w:ascii="Arial" w:hAnsi="Arial"/>
                <w:sz w:val="24"/>
                <w:szCs w:val="24"/>
              </w:rPr>
              <w:t>Rotatividade do produto [kg/dia]: 70;</w:t>
            </w:r>
          </w:p>
          <w:p>
            <w:pPr>
              <w:pStyle w:val="Normal"/>
              <w:jc w:val="both"/>
              <w:rPr>
                <w:rFonts w:ascii="Arial" w:hAnsi="Arial"/>
                <w:sz w:val="24"/>
                <w:szCs w:val="24"/>
              </w:rPr>
            </w:pPr>
            <w:r>
              <w:rPr>
                <w:rFonts w:ascii="Arial" w:hAnsi="Arial"/>
                <w:sz w:val="24"/>
                <w:szCs w:val="24"/>
              </w:rPr>
              <w:t>Carga máxima de estocagem [kg]: 2.000;</w:t>
            </w:r>
          </w:p>
          <w:p>
            <w:pPr>
              <w:pStyle w:val="Normal"/>
              <w:jc w:val="both"/>
              <w:rPr>
                <w:rFonts w:ascii="Arial" w:hAnsi="Arial"/>
                <w:sz w:val="24"/>
                <w:szCs w:val="24"/>
              </w:rPr>
            </w:pPr>
            <w:r>
              <w:rPr>
                <w:rFonts w:ascii="Arial" w:hAnsi="Arial"/>
                <w:sz w:val="24"/>
                <w:szCs w:val="24"/>
              </w:rPr>
              <w:t>Dimensões da câmara [m]: 2,18 (comprimento) x 3,50 (largura) x 2,60 (altura);</w:t>
            </w:r>
          </w:p>
          <w:p>
            <w:pPr>
              <w:pStyle w:val="Normal"/>
              <w:jc w:val="both"/>
              <w:rPr>
                <w:rFonts w:ascii="Arial" w:hAnsi="Arial"/>
                <w:sz w:val="24"/>
                <w:szCs w:val="24"/>
              </w:rPr>
            </w:pPr>
            <w:r>
              <w:rPr>
                <w:rFonts w:ascii="Arial" w:hAnsi="Arial"/>
                <w:sz w:val="24"/>
                <w:szCs w:val="24"/>
              </w:rPr>
              <w:t>Construída com painéis isotérmicos com isolamento em poliuretano injetado, com ambas as faces em chapa de aço na cor branca (pintura eletrostática), com aditivo retardante de chama na espessura de 100 mm, garantindo o perfeito isolamento térmico nas paredes, teto e piso. Acessórios de fixação e acabamento, tais como adesivo selante para calafetar a junção dos painéis, chapas prépintadas para acabamento das junções de painéis, válvulas equalizadoras de pressão, rebites, perfis “U” e demais acabamentos devem estar presentes no fornecimento; e</w:t>
            </w:r>
          </w:p>
          <w:p>
            <w:pPr>
              <w:pStyle w:val="Normal"/>
              <w:jc w:val="both"/>
              <w:rPr>
                <w:rFonts w:ascii="Arial" w:hAnsi="Arial"/>
                <w:sz w:val="24"/>
                <w:szCs w:val="24"/>
              </w:rPr>
            </w:pPr>
            <w:r>
              <w:rPr>
                <w:rFonts w:ascii="Arial" w:hAnsi="Arial"/>
                <w:sz w:val="24"/>
                <w:szCs w:val="24"/>
              </w:rPr>
              <w:t>Porta: 01x unidade giratória revestida interna e externamente com chapa pré-pintada.</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Sistema de Refrigeração das câmaras</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 xml:space="preserve">Equipamentos de refrigeração: </w:t>
            </w:r>
          </w:p>
          <w:p>
            <w:pPr>
              <w:pStyle w:val="Normal"/>
              <w:jc w:val="both"/>
              <w:rPr>
                <w:rFonts w:ascii="Arial" w:hAnsi="Arial"/>
                <w:sz w:val="24"/>
                <w:szCs w:val="24"/>
              </w:rPr>
            </w:pPr>
            <w:r>
              <w:rPr>
                <w:rFonts w:ascii="Arial" w:hAnsi="Arial"/>
                <w:sz w:val="24"/>
                <w:szCs w:val="24"/>
              </w:rPr>
              <w:t xml:space="preserve">2x unidades condensadoras, 2x unidades evaporadoras e painel de comando. </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Sistema Refrigeração: Circulação De Ar Forçado. Interligação do sistema frigorífico através de tubulações de cobre (próprias para baixas temperaturas com os materiais isolantes necessários), denominado linhas de líquidos e sucção isolado com tubo esponjoso tipo armaflex, interligando o evaporador a unidade condensadora, serviço com solda oxi-acêtilenica. Voltagem: 220V. Compressor de alta eficiência com proteção integral do motor através de termistores regulados por dispositivos eletrônicos; Motoventiladores independentes de alto rendimento e baixo nível de ruído; Filtro desumidificador para proteção da instalação frigorífica contra umidade e acidez; Tanque de líquido; O gás refrigerante deve estar em consonância com as normas recomendadas pelos órgãos ambientais fiscalizadores, dando-se preferência aos novos alternativos ecológicos R-404 e R134a. Unidade evaporadora deve possuir motoventiladores de baixo ruído e bandeja para coletar água de condensação, com proteção térmica contra sobrecargas e resistência elétrica para degelo; Deve possuir, no mínimo, 2 (dois) motoventiladores; Vazão de ar de, no mínimo, 1800m³/h; Degelo elétrico; Válvulas de expansão termostática para regular injeção de líquido refrigerante nos evaporadores.</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Demais especificações:</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 xml:space="preserve">As câmaras frigoríficas deverão possuir termômetro eletrônico para leitura visual das temperaturas internas; Iluminação à prova de vapor composta de grade protetora e vidro reforçado, dotada de proteção física para evitar a penetração de resíduos e umidade, com nível de iluminação mínimo de 150lux; Devem estar previstos no projeto filtros secadores descartáveis e recarregáveis, válvulas solenoides, visores indicadores de líquido/umidade/temperatura, separadores de óleo e de líquido, intercambiadores de calor, reservatórios de líquido, tubos flexíveis antivibração, sistema de alívio de partida, válvulas reguladoras de pressão, pressostatos, etc; Quadro de comando elétrico individual, equipado com chave geral ou disjuntor de entrada, termômetro e termostato de temperatura ambiente, com proteção contra faltas de fase, disjuntores, relês temporizados e micro processador para monitamento das temperaturas e degelos; Alarme sonoro de temperatura. </w:t>
            </w:r>
          </w:p>
          <w:p>
            <w:pPr>
              <w:pStyle w:val="Normal"/>
              <w:jc w:val="both"/>
              <w:rPr>
                <w:rFonts w:ascii="Arial" w:hAnsi="Arial"/>
                <w:sz w:val="24"/>
                <w:szCs w:val="24"/>
              </w:rPr>
            </w:pPr>
            <w:r>
              <w:rPr>
                <w:rFonts w:ascii="Arial" w:hAnsi="Arial"/>
                <w:sz w:val="24"/>
                <w:szCs w:val="24"/>
              </w:rPr>
            </w:r>
          </w:p>
          <w:p>
            <w:pPr>
              <w:pStyle w:val="Normal"/>
              <w:jc w:val="both"/>
              <w:rPr>
                <w:rFonts w:ascii="Arial" w:hAnsi="Arial"/>
                <w:sz w:val="24"/>
                <w:szCs w:val="24"/>
              </w:rPr>
            </w:pPr>
            <w:r>
              <w:rPr>
                <w:rFonts w:ascii="Arial" w:hAnsi="Arial"/>
                <w:sz w:val="24"/>
                <w:szCs w:val="24"/>
              </w:rPr>
              <w:t>GARANTIA:</w:t>
            </w:r>
          </w:p>
          <w:p>
            <w:pPr>
              <w:pStyle w:val="Normal"/>
              <w:jc w:val="both"/>
              <w:rPr/>
            </w:pPr>
            <w:r>
              <w:rPr>
                <w:rFonts w:ascii="Arial" w:hAnsi="Arial"/>
                <w:sz w:val="24"/>
                <w:szCs w:val="24"/>
              </w:rPr>
              <w:t>Garantia mínima completa do equipamento: 12 meses</w:t>
            </w:r>
            <w:r>
              <w:rPr>
                <w:rStyle w:val="Nfase"/>
                <w:rFonts w:eastAsia="Arial" w:ascii="Arial" w:hAnsi="Arial"/>
                <w:color w:val="00000A"/>
                <w:sz w:val="24"/>
                <w:szCs w:val="24"/>
              </w:rPr>
              <w:t xml:space="preserve">. Incluso frete e mão de obra para instalação. </w:t>
            </w:r>
          </w:p>
        </w:tc>
        <w:tc>
          <w:tcPr>
            <w:tcW w:w="130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sz w:val="24"/>
                <w:szCs w:val="24"/>
              </w:rPr>
            </w:pPr>
            <w:r>
              <w:rPr>
                <w:rFonts w:eastAsia="Arial" w:ascii="Arial" w:hAnsi="Arial"/>
                <w:color w:val="00000A"/>
                <w:sz w:val="24"/>
                <w:szCs w:val="24"/>
              </w:rPr>
              <w:t>606336</w:t>
            </w:r>
          </w:p>
        </w:tc>
        <w:tc>
          <w:tcPr>
            <w:tcW w:w="13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sz w:val="24"/>
                <w:szCs w:val="24"/>
              </w:rPr>
            </w:pPr>
            <w:r>
              <w:rPr>
                <w:rFonts w:eastAsia="Arial" w:ascii="Arial" w:hAnsi="Arial"/>
                <w:color w:val="00000A"/>
                <w:sz w:val="24"/>
                <w:szCs w:val="24"/>
              </w:rPr>
              <w:t>UN</w:t>
            </w:r>
          </w:p>
        </w:tc>
        <w:tc>
          <w:tcPr>
            <w:tcW w:w="72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sz w:val="24"/>
                <w:szCs w:val="24"/>
              </w:rPr>
            </w:pPr>
            <w:r>
              <w:rPr>
                <w:rFonts w:eastAsia="Arial" w:ascii="Arial" w:hAnsi="Arial"/>
                <w:color w:val="00000A"/>
                <w:sz w:val="24"/>
                <w:szCs w:val="24"/>
              </w:rPr>
              <w:t>1</w:t>
            </w:r>
          </w:p>
        </w:tc>
        <w:tc>
          <w:tcPr>
            <w:tcW w:w="142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tabs>
                <w:tab w:val="clear" w:pos="720"/>
                <w:tab w:val="left" w:pos="7033" w:leader="none"/>
              </w:tabs>
              <w:spacing w:lineRule="auto" w:line="276" w:before="0" w:after="120"/>
              <w:jc w:val="center"/>
              <w:rPr>
                <w:rFonts w:ascii="Arial" w:hAnsi="Arial"/>
                <w:sz w:val="24"/>
                <w:szCs w:val="24"/>
              </w:rPr>
            </w:pPr>
            <w:r>
              <w:rPr>
                <w:rFonts w:eastAsia="Arial" w:ascii="Arial" w:hAnsi="Arial"/>
                <w:color w:val="00000A"/>
                <w:sz w:val="24"/>
                <w:szCs w:val="24"/>
              </w:rPr>
              <w:t>R$ 57.200,00</w:t>
            </w:r>
          </w:p>
        </w:tc>
        <w:tc>
          <w:tcPr>
            <w:tcW w:w="141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tabs>
                <w:tab w:val="clear" w:pos="720"/>
                <w:tab w:val="left" w:pos="7033" w:leader="none"/>
              </w:tabs>
              <w:spacing w:lineRule="auto" w:line="276" w:before="0" w:after="120"/>
              <w:jc w:val="center"/>
              <w:rPr>
                <w:rFonts w:ascii="Arial" w:hAnsi="Arial"/>
                <w:sz w:val="24"/>
                <w:szCs w:val="24"/>
              </w:rPr>
            </w:pPr>
            <w:r>
              <w:rPr>
                <w:rFonts w:eastAsia="Arial" w:ascii="Arial" w:hAnsi="Arial"/>
                <w:color w:val="00000A"/>
                <w:sz w:val="24"/>
                <w:szCs w:val="24"/>
              </w:rPr>
              <w:t>R$ 57.200,00</w:t>
            </w:r>
          </w:p>
        </w:tc>
      </w:tr>
      <w:tr>
        <w:trPr/>
        <w:tc>
          <w:tcPr>
            <w:tcW w:w="1183"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uppressAutoHyphens w:val="true"/>
              <w:spacing w:lineRule="auto" w:line="276" w:before="0" w:after="0"/>
              <w:jc w:val="center"/>
              <w:rPr>
                <w:rFonts w:ascii="Arial" w:hAnsi="Arial"/>
                <w:b w:val="false"/>
                <w:b w:val="false"/>
                <w:bCs w:val="false"/>
                <w:sz w:val="24"/>
                <w:szCs w:val="24"/>
              </w:rPr>
            </w:pPr>
            <w:r>
              <w:rPr>
                <w:rFonts w:ascii="Arial" w:hAnsi="Arial"/>
                <w:b w:val="false"/>
                <w:bCs w:val="false"/>
                <w:sz w:val="24"/>
                <w:szCs w:val="24"/>
              </w:rPr>
            </w:r>
          </w:p>
        </w:tc>
        <w:tc>
          <w:tcPr>
            <w:tcW w:w="2450" w:type="dxa"/>
            <w:tcBorders>
              <w:top w:val="single" w:sz="4" w:space="0" w:color="000001"/>
              <w:left w:val="single" w:sz="4" w:space="0" w:color="000001"/>
              <w:bottom w:val="single" w:sz="4" w:space="0" w:color="000001"/>
              <w:right w:val="single" w:sz="4" w:space="0" w:color="000001"/>
            </w:tcBorders>
            <w:shd w:fill="auto" w:val="clear"/>
          </w:tcPr>
          <w:p>
            <w:pPr>
              <w:pStyle w:val="Normal"/>
              <w:jc w:val="both"/>
              <w:rPr>
                <w:rFonts w:ascii="Arial" w:hAnsi="Arial"/>
                <w:sz w:val="24"/>
                <w:szCs w:val="24"/>
              </w:rPr>
            </w:pPr>
            <w:r>
              <w:rPr>
                <w:rFonts w:ascii="Arial" w:hAnsi="Arial"/>
                <w:sz w:val="24"/>
                <w:szCs w:val="24"/>
              </w:rPr>
            </w:r>
          </w:p>
        </w:tc>
        <w:tc>
          <w:tcPr>
            <w:tcW w:w="1300"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sz w:val="24"/>
                <w:szCs w:val="24"/>
              </w:rPr>
            </w:pPr>
            <w:r>
              <w:rPr>
                <w:rFonts w:ascii="Arial" w:hAnsi="Arial"/>
                <w:sz w:val="24"/>
                <w:szCs w:val="24"/>
              </w:rPr>
            </w:r>
          </w:p>
        </w:tc>
        <w:tc>
          <w:tcPr>
            <w:tcW w:w="136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sz w:val="24"/>
                <w:szCs w:val="24"/>
              </w:rPr>
            </w:pPr>
            <w:r>
              <w:rPr>
                <w:rFonts w:ascii="Arial" w:hAnsi="Arial"/>
                <w:sz w:val="24"/>
                <w:szCs w:val="24"/>
              </w:rPr>
            </w:r>
          </w:p>
        </w:tc>
        <w:tc>
          <w:tcPr>
            <w:tcW w:w="72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spacing w:lineRule="auto" w:line="276" w:before="0" w:after="120"/>
              <w:jc w:val="center"/>
              <w:rPr>
                <w:rFonts w:ascii="Arial" w:hAnsi="Arial"/>
                <w:sz w:val="24"/>
                <w:szCs w:val="24"/>
              </w:rPr>
            </w:pPr>
            <w:r>
              <w:rPr>
                <w:rFonts w:ascii="Arial" w:hAnsi="Arial"/>
                <w:sz w:val="24"/>
                <w:szCs w:val="24"/>
              </w:rPr>
            </w:r>
          </w:p>
        </w:tc>
        <w:tc>
          <w:tcPr>
            <w:tcW w:w="1425"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tabs>
                <w:tab w:val="clear" w:pos="720"/>
                <w:tab w:val="left" w:pos="7033" w:leader="none"/>
              </w:tabs>
              <w:spacing w:lineRule="auto" w:line="276" w:before="0" w:after="120"/>
              <w:jc w:val="center"/>
              <w:rPr>
                <w:rFonts w:ascii="Arial" w:hAnsi="Arial"/>
                <w:sz w:val="24"/>
                <w:szCs w:val="24"/>
              </w:rPr>
            </w:pPr>
            <w:r>
              <w:rPr>
                <w:rFonts w:ascii="Arial" w:hAnsi="Arial"/>
                <w:sz w:val="24"/>
                <w:szCs w:val="24"/>
              </w:rPr>
            </w:r>
          </w:p>
        </w:tc>
        <w:tc>
          <w:tcPr>
            <w:tcW w:w="1417" w:type="dxa"/>
            <w:tcBorders>
              <w:top w:val="single" w:sz="4" w:space="0" w:color="000001"/>
              <w:left w:val="single" w:sz="4" w:space="0" w:color="000001"/>
              <w:bottom w:val="single" w:sz="4" w:space="0" w:color="000001"/>
              <w:right w:val="single" w:sz="4" w:space="0" w:color="000001"/>
            </w:tcBorders>
            <w:shd w:fill="auto" w:val="clear"/>
          </w:tcPr>
          <w:p>
            <w:pPr>
              <w:pStyle w:val="Normal"/>
              <w:widowControl w:val="false"/>
              <w:tabs>
                <w:tab w:val="clear" w:pos="720"/>
                <w:tab w:val="left" w:pos="7033" w:leader="none"/>
              </w:tabs>
              <w:spacing w:lineRule="auto" w:line="276" w:before="0" w:after="120"/>
              <w:jc w:val="center"/>
              <w:rPr>
                <w:rFonts w:ascii="Arial" w:hAnsi="Arial"/>
                <w:sz w:val="24"/>
                <w:szCs w:val="24"/>
              </w:rPr>
            </w:pPr>
            <w:r>
              <w:rPr>
                <w:rFonts w:ascii="Arial" w:hAnsi="Arial"/>
                <w:sz w:val="24"/>
                <w:szCs w:val="24"/>
              </w:rPr>
            </w:r>
          </w:p>
        </w:tc>
      </w:tr>
    </w:tbl>
    <w:p>
      <w:pPr>
        <w:pStyle w:val="Normal"/>
        <w:spacing w:lineRule="auto" w:line="276" w:before="0" w:after="0"/>
        <w:contextualSpacing/>
        <w:jc w:val="both"/>
        <w:rPr>
          <w:rFonts w:ascii="Arial" w:hAnsi="Arial" w:cs="Arial"/>
          <w:iCs/>
          <w:sz w:val="24"/>
          <w:szCs w:val="24"/>
        </w:rPr>
      </w:pPr>
      <w:r>
        <w:rPr>
          <w:rFonts w:cs="Arial" w:ascii="Arial" w:hAnsi="Arial"/>
          <w:iCs/>
          <w:sz w:val="24"/>
          <w:szCs w:val="24"/>
        </w:rPr>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Cs/>
          <w:sz w:val="24"/>
          <w:szCs w:val="24"/>
        </w:rPr>
        <w:t>1.2.</w:t>
      </w:r>
      <w:r>
        <w:rPr>
          <w:rFonts w:cs="Arial" w:ascii="Arial" w:hAnsi="Arial"/>
          <w:iCs/>
          <w:sz w:val="24"/>
          <w:szCs w:val="24"/>
        </w:rPr>
        <w:t xml:space="preserve"> O objeto desta contratação não se enquadra como sendo de bem de luxo, conforme Decreto </w:t>
        <w:tab/>
        <w:t xml:space="preserve">     nº 10.818, de 2021. </w:t>
      </w:r>
    </w:p>
    <w:p>
      <w:pPr>
        <w:pStyle w:val="ListParagraph"/>
        <w:numPr>
          <w:ilvl w:val="0"/>
          <w:numId w:val="0"/>
        </w:numPr>
        <w:spacing w:lineRule="auto" w:line="276" w:before="0" w:after="0"/>
        <w:ind w:left="2421" w:hanging="0"/>
        <w:contextualSpacing/>
        <w:jc w:val="both"/>
        <w:rPr>
          <w:rFonts w:ascii="Arial" w:hAnsi="Arial" w:cs="Arial"/>
          <w:iCs/>
          <w:sz w:val="24"/>
          <w:szCs w:val="24"/>
        </w:rPr>
      </w:pPr>
      <w:r>
        <w:rPr>
          <w:rFonts w:cs="Arial" w:ascii="Arial" w:hAnsi="Arial"/>
          <w:iCs/>
          <w:sz w:val="24"/>
          <w:szCs w:val="24"/>
        </w:rPr>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 w:val="false"/>
          <w:iCs w:val="false"/>
          <w:color w:val="000000"/>
          <w:sz w:val="24"/>
          <w:szCs w:val="24"/>
        </w:rPr>
        <w:t>1.3.</w:t>
      </w:r>
      <w:r>
        <w:rPr>
          <w:rFonts w:cs="Arial" w:ascii="Arial" w:hAnsi="Arial"/>
          <w:bCs/>
          <w:i w:val="false"/>
          <w:iCs w:val="false"/>
          <w:color w:val="000000"/>
          <w:sz w:val="24"/>
          <w:szCs w:val="24"/>
        </w:rPr>
        <w:t xml:space="preserve"> O prazo de vigência da contratação é de 12 (doze) meses contados da entrega da nota de empenho, na forma do artigo 105 da Lei n° 14.133/2021.</w:t>
      </w:r>
    </w:p>
    <w:p>
      <w:pPr>
        <w:pStyle w:val="ListParagraph"/>
        <w:numPr>
          <w:ilvl w:val="0"/>
          <w:numId w:val="0"/>
        </w:numPr>
        <w:spacing w:lineRule="auto" w:line="276" w:before="0" w:after="0"/>
        <w:ind w:left="432" w:hanging="0"/>
        <w:contextualSpacing/>
        <w:jc w:val="both"/>
        <w:rPr>
          <w:rFonts w:ascii="Arial" w:hAnsi="Arial" w:cs="Arial"/>
          <w:bCs/>
          <w:i/>
          <w:i/>
          <w:iCs/>
          <w:color w:val="FF0000"/>
          <w:sz w:val="24"/>
          <w:szCs w:val="24"/>
        </w:rPr>
      </w:pPr>
      <w:r>
        <w:rPr>
          <w:rFonts w:cs="Arial" w:ascii="Arial" w:hAnsi="Arial"/>
          <w:bCs/>
          <w:i/>
          <w:iCs/>
          <w:color w:val="FF0000"/>
          <w:sz w:val="24"/>
          <w:szCs w:val="24"/>
        </w:rPr>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Cs/>
          <w:sz w:val="24"/>
          <w:szCs w:val="24"/>
        </w:rPr>
        <w:t xml:space="preserve">1.4. </w:t>
      </w:r>
      <w:r>
        <w:rPr>
          <w:rFonts w:cs="Arial" w:ascii="Arial" w:hAnsi="Arial"/>
          <w:iCs/>
          <w:sz w:val="24"/>
          <w:szCs w:val="24"/>
        </w:rPr>
        <w:t>O custo estimado total da contratação é de</w:t>
      </w:r>
      <w:r>
        <w:rPr>
          <w:rFonts w:cs="Arial" w:ascii="Arial" w:hAnsi="Arial"/>
          <w:i/>
          <w:color w:val="00000A"/>
          <w:sz w:val="24"/>
          <w:szCs w:val="24"/>
        </w:rPr>
        <w:t xml:space="preserve"> R$ 57.200,00 (cinquenta e sete mil e duzentos reais ), </w:t>
      </w:r>
      <w:r>
        <w:rPr>
          <w:rFonts w:cs="Arial" w:ascii="Arial" w:hAnsi="Arial"/>
          <w:iCs/>
          <w:color w:val="00000A"/>
          <w:sz w:val="24"/>
          <w:szCs w:val="24"/>
        </w:rPr>
        <w:t>conforme custo unitário aposto</w:t>
      </w:r>
      <w:r>
        <w:rPr>
          <w:rFonts w:cs="Arial" w:ascii="Arial" w:hAnsi="Arial"/>
          <w:i/>
          <w:color w:val="00000A"/>
          <w:sz w:val="24"/>
          <w:szCs w:val="24"/>
        </w:rPr>
        <w:t xml:space="preserve"> na tabela acima.</w:t>
      </w:r>
    </w:p>
    <w:p>
      <w:pPr>
        <w:pStyle w:val="Normal"/>
        <w:spacing w:lineRule="auto" w:line="276" w:before="0" w:after="0"/>
        <w:jc w:val="both"/>
        <w:rPr>
          <w:rFonts w:ascii="Arial" w:hAnsi="Arial" w:cs="Arial"/>
          <w:sz w:val="24"/>
          <w:szCs w:val="24"/>
        </w:rPr>
      </w:pPr>
      <w:r>
        <w:rPr>
          <w:rFonts w:cs="Arial" w:ascii="Arial" w:hAnsi="Arial"/>
          <w:sz w:val="24"/>
          <w:szCs w:val="24"/>
        </w:rPr>
      </w:r>
    </w:p>
    <w:p>
      <w:pPr>
        <w:pStyle w:val="Nivel1"/>
        <w:numPr>
          <w:ilvl w:val="0"/>
          <w:numId w:val="2"/>
        </w:numPr>
        <w:spacing w:before="0" w:after="0"/>
        <w:rPr>
          <w:rFonts w:ascii="Arial" w:hAnsi="Arial"/>
          <w:sz w:val="24"/>
          <w:szCs w:val="24"/>
        </w:rPr>
      </w:pPr>
      <w:r>
        <w:rPr>
          <w:rFonts w:ascii="Arial" w:hAnsi="Arial"/>
          <w:bCs/>
          <w:sz w:val="24"/>
          <w:szCs w:val="24"/>
        </w:rPr>
        <w:t xml:space="preserve">FUNDAMENTAÇÃO E DESCRIÇÃO DA NECESSIDADE DA CONTRATAÇÃO (art. 6º, inciso XXIII, alínea ‘b’, da Lei nº 14.133/2021). </w:t>
      </w:r>
    </w:p>
    <w:p>
      <w:pPr>
        <w:pStyle w:val="Nivel1"/>
        <w:numPr>
          <w:ilvl w:val="0"/>
          <w:numId w:val="0"/>
        </w:numPr>
        <w:spacing w:before="0" w:after="0"/>
        <w:ind w:left="0" w:hanging="0"/>
        <w:rPr/>
      </w:pPr>
      <w:r>
        <w:rPr>
          <w:rFonts w:cs="Arial" w:ascii="Arial" w:hAnsi="Arial"/>
          <w:bCs/>
          <w:color w:val="000000"/>
          <w:sz w:val="24"/>
          <w:szCs w:val="24"/>
        </w:rPr>
        <w:t>2.1.</w:t>
      </w:r>
      <w:r>
        <w:rPr>
          <w:rFonts w:cs="Arial" w:ascii="Arial" w:hAnsi="Arial"/>
          <w:b w:val="false"/>
          <w:bCs w:val="false"/>
          <w:color w:val="000000"/>
          <w:sz w:val="24"/>
          <w:szCs w:val="24"/>
        </w:rPr>
        <w:t xml:space="preserve"> </w:t>
      </w:r>
      <w:r>
        <w:rPr>
          <w:rStyle w:val="Fontepargpadro"/>
          <w:rFonts w:eastAsia="Microsoft YaHei" w:cs="Times New Roman" w:ascii="Arial" w:hAnsi="Arial"/>
          <w:b w:val="false"/>
          <w:bCs w:val="false"/>
          <w:i w:val="false"/>
          <w:iCs w:val="false"/>
          <w:color w:val="000000"/>
          <w:spacing w:val="13"/>
          <w:w w:val="105"/>
          <w:kern w:val="0"/>
          <w:sz w:val="24"/>
          <w:szCs w:val="24"/>
          <w:lang w:val="pt-BR" w:eastAsia="ar-SA" w:bidi="ar-SA"/>
        </w:rPr>
        <w:t xml:space="preserve">Aquisição de Câmara frigorífica para armazenamento dos gêneros alimentícios congelados e resfriados, visto que atualmente realizamos o acondicionamento em freezeres e refrigeradores com espaço limitado e que não tem sido suficiente para atender nossa atual demanda. </w:t>
      </w:r>
    </w:p>
    <w:p>
      <w:pPr>
        <w:pStyle w:val="ListParagraph"/>
        <w:numPr>
          <w:ilvl w:val="0"/>
          <w:numId w:val="0"/>
        </w:numPr>
        <w:spacing w:lineRule="auto" w:line="276" w:before="0" w:after="0"/>
        <w:ind w:left="1152" w:hanging="0"/>
        <w:contextualSpacing/>
        <w:jc w:val="both"/>
        <w:rPr>
          <w:rFonts w:ascii="Arial" w:hAnsi="Arial" w:eastAsia="Microsoft YaHei" w:cs="Times New Roman"/>
          <w:b w:val="false"/>
          <w:b w:val="false"/>
          <w:bCs w:val="false"/>
          <w:i w:val="false"/>
          <w:i w:val="false"/>
          <w:iCs w:val="false"/>
          <w:color w:val="000000"/>
          <w:kern w:val="0"/>
          <w:sz w:val="24"/>
          <w:szCs w:val="24"/>
          <w:lang w:val="pt-BR" w:eastAsia="ar-SA" w:bidi="ar-SA"/>
        </w:rPr>
      </w:pPr>
      <w:r>
        <w:rPr>
          <w:rFonts w:eastAsia="Microsoft YaHei" w:cs="Times New Roman" w:ascii="Arial" w:hAnsi="Arial"/>
          <w:b w:val="false"/>
          <w:bCs w:val="false"/>
          <w:i w:val="false"/>
          <w:iCs w:val="false"/>
          <w:color w:val="000000"/>
          <w:kern w:val="0"/>
          <w:sz w:val="24"/>
          <w:szCs w:val="24"/>
          <w:lang w:val="pt-BR" w:eastAsia="ar-SA" w:bidi="ar-SA"/>
        </w:rPr>
      </w:r>
    </w:p>
    <w:p>
      <w:pPr>
        <w:pStyle w:val="Nivel1"/>
        <w:numPr>
          <w:ilvl w:val="0"/>
          <w:numId w:val="2"/>
        </w:numPr>
        <w:spacing w:before="0" w:after="0"/>
        <w:rPr>
          <w:rFonts w:ascii="Arial" w:hAnsi="Arial"/>
          <w:sz w:val="24"/>
          <w:szCs w:val="24"/>
        </w:rPr>
      </w:pPr>
      <w:r>
        <w:rPr>
          <w:rFonts w:ascii="Arial" w:hAnsi="Arial"/>
          <w:bCs/>
          <w:sz w:val="24"/>
          <w:szCs w:val="24"/>
        </w:rPr>
        <w:t>DESCRIÇÃO DA SOLUÇÃO COMO UM TODO CONSIDERADO O CICLO DE VIDA DO OBJETO E ESPECIFICAÇÃO DO PRODUTO (art. 6º, inciso XXIII, alínea ‘c’, e art. 40, §1º, inciso I, da Lei nº 14.133/2021)</w:t>
      </w:r>
    </w:p>
    <w:p>
      <w:pPr>
        <w:pStyle w:val="Nivel1"/>
        <w:numPr>
          <w:ilvl w:val="0"/>
          <w:numId w:val="0"/>
        </w:numPr>
        <w:spacing w:before="0" w:after="0"/>
        <w:ind w:left="0" w:hanging="0"/>
        <w:rPr/>
      </w:pPr>
      <w:r>
        <w:rPr>
          <w:rFonts w:cs="Arial" w:ascii="Arial" w:hAnsi="Arial"/>
          <w:b/>
          <w:bCs/>
          <w:i w:val="false"/>
          <w:iCs w:val="false"/>
          <w:color w:val="000000"/>
          <w:sz w:val="24"/>
          <w:szCs w:val="24"/>
        </w:rPr>
        <w:t>3.1.</w:t>
      </w:r>
      <w:r>
        <w:rPr>
          <w:rFonts w:cs="Arial" w:ascii="Arial" w:hAnsi="Arial"/>
          <w:b w:val="false"/>
          <w:bCs w:val="false"/>
          <w:i w:val="false"/>
          <w:iCs w:val="false"/>
          <w:color w:val="000000"/>
          <w:sz w:val="24"/>
          <w:szCs w:val="24"/>
        </w:rPr>
        <w:t xml:space="preserve"> </w:t>
      </w:r>
      <w:r>
        <w:rPr>
          <w:rStyle w:val="Fontepargpadro"/>
          <w:rFonts w:eastAsia="Microsoft YaHei" w:cs="Times New Roman" w:ascii="Arial" w:hAnsi="Arial"/>
          <w:b w:val="false"/>
          <w:bCs w:val="false"/>
          <w:i w:val="false"/>
          <w:iCs w:val="false"/>
          <w:color w:val="000000"/>
          <w:sz w:val="24"/>
          <w:szCs w:val="24"/>
          <w:lang w:eastAsia="ar-SA"/>
        </w:rPr>
        <w:t xml:space="preserve">A aquisição de câmaras frigoríficas melhorará significativamente a logística de armazenamento dos gêneros alimentícios congelados e resfriados, visto que </w:t>
      </w:r>
      <w:r>
        <w:rPr>
          <w:rStyle w:val="Fontepargpadro"/>
          <w:rFonts w:eastAsia="Microsoft YaHei" w:cs="Times New Roman" w:ascii="Arial" w:hAnsi="Arial"/>
          <w:b w:val="false"/>
          <w:bCs w:val="false"/>
          <w:i w:val="false"/>
          <w:iCs w:val="false"/>
          <w:color w:val="000000"/>
          <w:sz w:val="24"/>
          <w:szCs w:val="24"/>
          <w:lang w:eastAsia="ar-SA" w:bidi="ar-SA"/>
        </w:rPr>
        <w:t xml:space="preserve">atualmente realizamos o acondicionamento em freezeres e refrigeradores com espaço limitado. Dessa forma, toda a cadeia de produção de refeições para servidores e pacientes desta Organização Militar será beneficiada. </w:t>
      </w:r>
    </w:p>
    <w:p>
      <w:pPr>
        <w:pStyle w:val="ListParagraph"/>
        <w:numPr>
          <w:ilvl w:val="0"/>
          <w:numId w:val="0"/>
        </w:numPr>
        <w:spacing w:lineRule="auto" w:line="276" w:before="0" w:after="0"/>
        <w:ind w:left="1152" w:hanging="0"/>
        <w:contextualSpacing/>
        <w:jc w:val="both"/>
        <w:rPr>
          <w:rFonts w:ascii="Arial" w:hAnsi="Arial"/>
          <w:sz w:val="24"/>
          <w:szCs w:val="24"/>
        </w:rPr>
      </w:pPr>
      <w:r>
        <w:rPr>
          <w:rFonts w:ascii="Arial" w:hAnsi="Arial"/>
          <w:sz w:val="24"/>
          <w:szCs w:val="24"/>
        </w:rPr>
      </w:r>
    </w:p>
    <w:p>
      <w:pPr>
        <w:pStyle w:val="Nivel1"/>
        <w:numPr>
          <w:ilvl w:val="0"/>
          <w:numId w:val="2"/>
        </w:numPr>
        <w:spacing w:before="0" w:after="0"/>
        <w:rPr>
          <w:rFonts w:ascii="Arial" w:hAnsi="Arial"/>
          <w:sz w:val="24"/>
          <w:szCs w:val="24"/>
        </w:rPr>
      </w:pPr>
      <w:r>
        <w:rPr>
          <w:rFonts w:ascii="Arial" w:hAnsi="Arial"/>
          <w:bCs/>
          <w:sz w:val="24"/>
          <w:szCs w:val="24"/>
        </w:rPr>
        <w:t>REQUISITOS DA CONTRATAÇÃO (art. 6º, XXIII, alínea ‘d’, da Lei nº 14.133/21</w:t>
      </w:r>
    </w:p>
    <w:p>
      <w:pPr>
        <w:pStyle w:val="Nivel1"/>
        <w:numPr>
          <w:ilvl w:val="0"/>
          <w:numId w:val="0"/>
        </w:numPr>
        <w:spacing w:before="0" w:after="0"/>
        <w:ind w:left="0" w:hanging="0"/>
        <w:rPr>
          <w:rFonts w:ascii="Arial" w:hAnsi="Arial"/>
          <w:sz w:val="24"/>
          <w:szCs w:val="24"/>
        </w:rPr>
      </w:pPr>
      <w:r>
        <w:rPr>
          <w:rFonts w:cs="Arial" w:ascii="Arial" w:hAnsi="Arial"/>
          <w:bCs/>
          <w:sz w:val="24"/>
          <w:szCs w:val="24"/>
        </w:rPr>
        <w:t xml:space="preserve">4.1. </w:t>
      </w:r>
      <w:r>
        <w:rPr>
          <w:rFonts w:cs="Arial" w:ascii="Arial" w:hAnsi="Arial"/>
          <w:b w:val="false"/>
          <w:bCs w:val="false"/>
          <w:sz w:val="24"/>
          <w:szCs w:val="24"/>
        </w:rPr>
        <w:t>A contratação deverá observar os seguintes requisitos:</w:t>
      </w:r>
    </w:p>
    <w:p>
      <w:pPr>
        <w:pStyle w:val="ListParagraph"/>
        <w:numPr>
          <w:ilvl w:val="0"/>
          <w:numId w:val="0"/>
        </w:numPr>
        <w:spacing w:lineRule="auto" w:line="276" w:before="0" w:after="0"/>
        <w:ind w:left="1854" w:hanging="0"/>
        <w:contextualSpacing/>
        <w:jc w:val="both"/>
        <w:rPr>
          <w:rFonts w:ascii="Arial" w:hAnsi="Arial"/>
          <w:sz w:val="24"/>
          <w:szCs w:val="24"/>
        </w:rPr>
      </w:pPr>
      <w:r>
        <w:rPr>
          <w:rFonts w:cs="Arial" w:ascii="Arial" w:hAnsi="Arial"/>
          <w:i/>
          <w:iCs/>
          <w:sz w:val="24"/>
          <w:szCs w:val="24"/>
        </w:rPr>
        <w:t xml:space="preserve">4.1.1. </w:t>
      </w:r>
      <w:r>
        <w:rPr>
          <w:rFonts w:cs="Arial" w:ascii="Arial" w:hAnsi="Arial"/>
          <w:i w:val="false"/>
          <w:iCs w:val="false"/>
          <w:color w:val="000000"/>
          <w:sz w:val="24"/>
          <w:szCs w:val="24"/>
        </w:rPr>
        <w:t>Sustentabilidade:</w:t>
      </w:r>
    </w:p>
    <w:p>
      <w:pPr>
        <w:pStyle w:val="ListParagraph"/>
        <w:numPr>
          <w:ilvl w:val="0"/>
          <w:numId w:val="0"/>
        </w:numPr>
        <w:shd w:val="clear" w:color="auto" w:fill="FFFFFF"/>
        <w:spacing w:lineRule="auto" w:line="276" w:before="0" w:after="0"/>
        <w:ind w:left="2421" w:hanging="0"/>
        <w:contextualSpacing/>
        <w:jc w:val="both"/>
        <w:rPr>
          <w:rFonts w:ascii="Arial" w:hAnsi="Arial"/>
          <w:sz w:val="24"/>
          <w:szCs w:val="24"/>
        </w:rPr>
      </w:pPr>
      <w:r>
        <w:rPr>
          <w:rFonts w:cs="Arial" w:ascii="Arial" w:hAnsi="Arial"/>
          <w:i w:val="false"/>
          <w:iCs w:val="false"/>
          <w:color w:val="000000"/>
          <w:sz w:val="24"/>
          <w:szCs w:val="24"/>
        </w:rPr>
        <w:t>4.1.1.1. Além dos critérios de sustentabilidade eventualmente inseridos na descrição do objeto, devem ser atendidos os seguintes requisitos, que se baseiam no Guia Nacional de Contratações Sustentáveis:</w:t>
      </w:r>
    </w:p>
    <w:p>
      <w:pPr>
        <w:pStyle w:val="ListParagraph"/>
        <w:numPr>
          <w:ilvl w:val="0"/>
          <w:numId w:val="0"/>
        </w:numPr>
        <w:shd w:val="clear" w:color="auto" w:fill="FFFFFF"/>
        <w:spacing w:lineRule="auto" w:line="276" w:before="0" w:after="0"/>
        <w:ind w:left="3348" w:hanging="0"/>
        <w:contextualSpacing/>
        <w:jc w:val="both"/>
        <w:rPr>
          <w:rFonts w:ascii="Arial" w:hAnsi="Arial"/>
          <w:sz w:val="24"/>
          <w:szCs w:val="24"/>
        </w:rPr>
      </w:pPr>
      <w:r>
        <w:rPr>
          <w:rFonts w:cs="Arial" w:ascii="Arial" w:hAnsi="Arial"/>
          <w:i/>
          <w:iCs/>
          <w:color w:val="000000"/>
          <w:sz w:val="24"/>
          <w:szCs w:val="24"/>
        </w:rPr>
        <w:t>4.1.1.1.1. Nos termos do Decreto n° 2.783, de 1998, e Resolução CONAMA n° 267, de 14/11/2000, é vedada a oferta de produto ou equipamento que contenha ou faça uso de qualquer das Substâncias que Destroem a Camada de Ozônio – SDO abrangidas pelo Protocolo de Montreal</w:t>
      </w:r>
      <w:r>
        <w:rPr>
          <w:rFonts w:eastAsia="MyriadPro-Regular" w:cs="Arial" w:ascii="Arial" w:hAnsi="Arial"/>
          <w:bCs/>
          <w:i/>
          <w:iCs/>
          <w:color w:val="000000"/>
          <w:sz w:val="24"/>
          <w:szCs w:val="24"/>
        </w:rPr>
        <w:t>.</w:t>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 w:val="false"/>
          <w:iCs w:val="false"/>
          <w:color w:val="000000"/>
          <w:sz w:val="24"/>
          <w:szCs w:val="24"/>
        </w:rPr>
        <w:t>4.2</w:t>
      </w:r>
      <w:r>
        <w:rPr>
          <w:rFonts w:cs="Arial" w:ascii="Arial" w:hAnsi="Arial"/>
          <w:i w:val="false"/>
          <w:iCs w:val="false"/>
          <w:color w:val="000000"/>
          <w:sz w:val="24"/>
          <w:szCs w:val="24"/>
        </w:rPr>
        <w:t>. Não será admitida a subcontratação do objeto contratual.</w:t>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 w:val="false"/>
          <w:iCs w:val="false"/>
          <w:color w:val="000000"/>
          <w:sz w:val="24"/>
          <w:szCs w:val="24"/>
        </w:rPr>
        <w:t xml:space="preserve">4.3. </w:t>
      </w:r>
      <w:r>
        <w:rPr>
          <w:rFonts w:cs="Arial" w:ascii="Arial" w:hAnsi="Arial"/>
          <w:i w:val="false"/>
          <w:iCs w:val="false"/>
          <w:color w:val="000000"/>
          <w:sz w:val="24"/>
          <w:szCs w:val="24"/>
        </w:rPr>
        <w:t>Não haverá exigência da garantia da contratação dos arts. 96 e seguintes da Lei nº 14.133/21, pelas razões abaixo justificadas:</w:t>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ascii="Arial" w:hAnsi="Arial"/>
          <w:i w:val="false"/>
          <w:iCs w:val="false"/>
          <w:color w:val="000000"/>
          <w:sz w:val="24"/>
          <w:szCs w:val="24"/>
        </w:rPr>
        <w:t>4.3.1. pequeno valor</w:t>
      </w:r>
    </w:p>
    <w:p>
      <w:pPr>
        <w:pStyle w:val="ListParagraph"/>
        <w:numPr>
          <w:ilvl w:val="0"/>
          <w:numId w:val="0"/>
        </w:numPr>
        <w:spacing w:lineRule="auto" w:line="276" w:before="0" w:after="0"/>
        <w:ind w:left="1152" w:hanging="0"/>
        <w:contextualSpacing/>
        <w:jc w:val="both"/>
        <w:rPr>
          <w:rFonts w:ascii="Arial" w:hAnsi="Arial"/>
          <w:sz w:val="24"/>
          <w:szCs w:val="24"/>
        </w:rPr>
      </w:pPr>
      <w:r>
        <w:rPr>
          <w:rFonts w:cs="Arial" w:ascii="Arial" w:hAnsi="Arial"/>
          <w:i w:val="false"/>
          <w:iCs w:val="false"/>
          <w:color w:val="000000"/>
          <w:sz w:val="24"/>
          <w:szCs w:val="24"/>
        </w:rPr>
        <w:t>43.2. pagamento ocorrer apenas após a liquidação da despesa.</w:t>
      </w:r>
    </w:p>
    <w:p>
      <w:pPr>
        <w:pStyle w:val="Normal"/>
        <w:numPr>
          <w:ilvl w:val="0"/>
          <w:numId w:val="0"/>
        </w:numPr>
        <w:ind w:left="360" w:hanging="0"/>
        <w:rPr>
          <w:rFonts w:ascii="Arial" w:hAnsi="Arial"/>
          <w:sz w:val="24"/>
          <w:szCs w:val="24"/>
        </w:rPr>
      </w:pPr>
      <w:r>
        <w:rPr>
          <w:rFonts w:ascii="Arial" w:hAnsi="Arial"/>
          <w:sz w:val="24"/>
          <w:szCs w:val="24"/>
        </w:rPr>
      </w:r>
    </w:p>
    <w:p>
      <w:pPr>
        <w:pStyle w:val="Nivel1"/>
        <w:numPr>
          <w:ilvl w:val="0"/>
          <w:numId w:val="2"/>
        </w:numPr>
        <w:spacing w:before="0" w:after="0"/>
        <w:rPr>
          <w:rFonts w:ascii="Arial" w:hAnsi="Arial"/>
          <w:sz w:val="24"/>
          <w:szCs w:val="24"/>
        </w:rPr>
      </w:pPr>
      <w:r>
        <w:rPr>
          <w:rFonts w:ascii="Arial" w:hAnsi="Arial"/>
          <w:sz w:val="24"/>
          <w:szCs w:val="24"/>
        </w:rPr>
        <w:t>MODELO DE EXECUÇÃO CONTRATUAL (arts. 6º, XXIII, alínea “e” e 40, §1º, inciso II, da Lei nº 14.133/2021).</w:t>
      </w:r>
    </w:p>
    <w:p>
      <w:pPr>
        <w:pStyle w:val="Nivel1"/>
        <w:numPr>
          <w:ilvl w:val="0"/>
          <w:numId w:val="0"/>
        </w:numPr>
        <w:spacing w:before="0" w:after="0"/>
        <w:ind w:left="719" w:hanging="0"/>
        <w:rPr>
          <w:rFonts w:ascii="Arial" w:hAnsi="Arial"/>
          <w:i w:val="false"/>
          <w:i w:val="false"/>
          <w:iCs w:val="false"/>
          <w:color w:val="00000A"/>
          <w:sz w:val="24"/>
          <w:szCs w:val="24"/>
        </w:rPr>
      </w:pPr>
      <w:r>
        <w:rPr>
          <w:rFonts w:ascii="Arial" w:hAnsi="Arial"/>
          <w:i w:val="false"/>
          <w:iCs w:val="false"/>
          <w:color w:val="00000A"/>
          <w:sz w:val="24"/>
          <w:szCs w:val="24"/>
        </w:rPr>
      </w:r>
    </w:p>
    <w:p>
      <w:pPr>
        <w:pStyle w:val="Nivel1"/>
        <w:numPr>
          <w:ilvl w:val="0"/>
          <w:numId w:val="0"/>
        </w:numPr>
        <w:spacing w:before="0" w:after="0"/>
        <w:ind w:left="0" w:hanging="0"/>
        <w:rPr>
          <w:rFonts w:ascii="Arial" w:hAnsi="Arial"/>
          <w:sz w:val="24"/>
          <w:szCs w:val="24"/>
        </w:rPr>
      </w:pPr>
      <w:r>
        <w:rPr>
          <w:rFonts w:ascii="Arial" w:hAnsi="Arial"/>
          <w:i w:val="false"/>
          <w:iCs w:val="false"/>
          <w:color w:val="00000A"/>
          <w:sz w:val="24"/>
          <w:szCs w:val="24"/>
        </w:rPr>
        <w:t xml:space="preserve">5.1.  </w:t>
      </w:r>
      <w:r>
        <w:rPr>
          <w:rFonts w:ascii="Arial" w:hAnsi="Arial"/>
          <w:b w:val="false"/>
          <w:bCs w:val="false"/>
          <w:i w:val="false"/>
          <w:iCs w:val="false"/>
          <w:color w:val="00000A"/>
          <w:sz w:val="24"/>
          <w:szCs w:val="24"/>
        </w:rPr>
        <w:t>O prazo de entrega dos bens é de 45 dias, contados do recebimento da nota de empenho, em remessa única.</w:t>
      </w:r>
      <w:r>
        <w:rPr>
          <w:rFonts w:ascii="Arial" w:hAnsi="Arial"/>
          <w:b w:val="false"/>
          <w:bCs w:val="false"/>
          <w:i w:val="false"/>
          <w:iCs w:val="false"/>
          <w:color w:val="ED1C24"/>
          <w:sz w:val="24"/>
          <w:szCs w:val="24"/>
        </w:rPr>
        <w:t xml:space="preserve"> </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5.2.</w:t>
      </w:r>
      <w:r>
        <w:rPr>
          <w:rFonts w:ascii="Arial" w:hAnsi="Arial"/>
          <w:bCs/>
          <w:i w:val="false"/>
          <w:iCs w:val="false"/>
          <w:color w:val="000000"/>
          <w:sz w:val="24"/>
          <w:szCs w:val="24"/>
        </w:rPr>
        <w:t xml:space="preserve"> Caso não seja possível a entrega na data assinalada, a empresa deverá comunicar as razões  respectivas com pelo menos 5 (cinco) dias de antecedência para que qualquer pleito de prorrogação </w:t>
        <w:tab/>
        <w:t xml:space="preserve">de prazo seja analisado, ressalvadas situações de caso fortuito e </w:t>
      </w:r>
      <w:r>
        <w:rPr>
          <w:rFonts w:ascii="Arial" w:hAnsi="Arial"/>
          <w:i w:val="false"/>
          <w:iCs w:val="false"/>
          <w:color w:val="000000"/>
          <w:sz w:val="24"/>
          <w:szCs w:val="24"/>
        </w:rPr>
        <w:t>força</w:t>
      </w:r>
      <w:r>
        <w:rPr>
          <w:rFonts w:ascii="Arial" w:hAnsi="Arial"/>
          <w:bCs/>
          <w:i w:val="false"/>
          <w:iCs w:val="false"/>
          <w:color w:val="000000"/>
          <w:sz w:val="24"/>
          <w:szCs w:val="24"/>
        </w:rPr>
        <w:t xml:space="preserve"> maior.</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5.3. </w:t>
      </w:r>
      <w:r>
        <w:rPr>
          <w:rFonts w:ascii="Arial" w:hAnsi="Arial"/>
          <w:bCs/>
          <w:i w:val="false"/>
          <w:iCs w:val="false"/>
          <w:color w:val="00000A"/>
          <w:sz w:val="24"/>
          <w:szCs w:val="24"/>
        </w:rPr>
        <w:t xml:space="preserve">O serviço deverá ser entregue no seguinte endereço: Rua Silvio Pelico, S/N, Alecrim, CEP: </w:t>
        <w:tab/>
        <w:t>59040-150, Natal/RN, de segunda a sexta-feira, das 08:00 às 15:00, a Seção de Municiamento.</w:t>
      </w:r>
      <w:r>
        <w:rPr>
          <w:rFonts w:ascii="Arial" w:hAnsi="Arial"/>
          <w:bCs/>
          <w:i/>
          <w:iCs/>
          <w:color w:val="00000A"/>
          <w:sz w:val="24"/>
          <w:szCs w:val="24"/>
        </w:rPr>
        <w:t xml:space="preserve"> </w:t>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5.4.</w:t>
      </w:r>
      <w:r>
        <w:rPr>
          <w:rFonts w:ascii="Arial" w:hAnsi="Arial"/>
          <w:bCs/>
          <w:color w:val="00000A"/>
          <w:sz w:val="24"/>
          <w:szCs w:val="24"/>
        </w:rPr>
        <w:t xml:space="preserve"> Os bens serão recebidos provisoriamente, de forma sumária, no prazo de </w:t>
      </w:r>
      <w:r>
        <w:rPr>
          <w:rFonts w:eastAsia="Calibri" w:cs="Arial" w:ascii="Arial" w:hAnsi="Arial"/>
          <w:bCs/>
          <w:color w:val="00000A"/>
          <w:kern w:val="0"/>
          <w:sz w:val="24"/>
          <w:szCs w:val="24"/>
          <w:lang w:val="pt-BR" w:eastAsia="en-US" w:bidi="ar-SA"/>
        </w:rPr>
        <w:t>30</w:t>
      </w:r>
      <w:r>
        <w:rPr>
          <w:rFonts w:ascii="Arial" w:hAnsi="Arial"/>
          <w:bCs/>
          <w:color w:val="FF0000"/>
          <w:sz w:val="24"/>
          <w:szCs w:val="24"/>
        </w:rPr>
        <w:t xml:space="preserve"> </w:t>
      </w:r>
      <w:r>
        <w:rPr>
          <w:rFonts w:ascii="Arial" w:hAnsi="Arial"/>
          <w:bCs/>
          <w:color w:val="00000A"/>
          <w:sz w:val="24"/>
          <w:szCs w:val="24"/>
        </w:rPr>
        <w:t>dias, pelo(a) responsável pelo acompanhamento e fiscalização do contrato, para efeito de posterior verificação de sua conformidade com as especificações constantes neste Termo de Referência e na proposta.</w:t>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5.6.</w:t>
      </w:r>
      <w:r>
        <w:rPr>
          <w:rFonts w:ascii="Arial" w:hAnsi="Arial"/>
          <w:bCs/>
          <w:color w:val="00000A"/>
          <w:sz w:val="24"/>
          <w:szCs w:val="24"/>
        </w:rPr>
        <w:t xml:space="preserve"> Os bens serão recebidos definitivamente no prazo de 10 (dez) dias, contados do recebimento  provisório, após a verificação da qualidade e quantidade do material e consequente aceitação </w:t>
        <w:tab/>
        <w:t>mediante termo detalhado.</w:t>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ab/>
        <w:t xml:space="preserve">5.6.1. </w:t>
      </w:r>
      <w:r>
        <w:rPr>
          <w:rFonts w:ascii="Arial" w:hAnsi="Arial"/>
          <w:bCs/>
          <w:color w:val="00000A"/>
          <w:sz w:val="24"/>
          <w:szCs w:val="24"/>
        </w:rPr>
        <w:t xml:space="preserve">Na hipótese de a verificação a que se refere o subitem anterior não ser procedida dentro do prazo fixado, reputar-se-á como realizada, consumando-se o recebimento definitivo no dia do </w:t>
        <w:tab/>
        <w:t>esgotamento do prazo.</w:t>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 xml:space="preserve">5.7. </w:t>
      </w:r>
      <w:r>
        <w:rPr>
          <w:rFonts w:ascii="Arial" w:hAnsi="Arial"/>
          <w:bCs/>
          <w:color w:val="00000A"/>
          <w:sz w:val="24"/>
          <w:szCs w:val="24"/>
        </w:rPr>
        <w:t>O recebimento provisório ou definitivo não excluirá a responsabilidade civil pela solidez e pela segurança do serviço nem a responsabilidade ético-profissional pela perfeita execução do contrato.</w:t>
      </w:r>
    </w:p>
    <w:p>
      <w:pPr>
        <w:pStyle w:val="Nivel1"/>
        <w:numPr>
          <w:ilvl w:val="0"/>
          <w:numId w:val="0"/>
        </w:numPr>
        <w:spacing w:before="0" w:after="0"/>
        <w:ind w:left="360" w:hanging="360"/>
        <w:rPr>
          <w:rFonts w:ascii="Arial" w:hAnsi="Arial"/>
          <w:color w:val="FF0000"/>
          <w:sz w:val="24"/>
          <w:szCs w:val="24"/>
        </w:rPr>
      </w:pPr>
      <w:r>
        <w:rPr>
          <w:rFonts w:ascii="Arial" w:hAnsi="Arial"/>
          <w:color w:val="FF0000"/>
          <w:sz w:val="24"/>
          <w:szCs w:val="24"/>
        </w:rPr>
      </w:r>
    </w:p>
    <w:p>
      <w:pPr>
        <w:pStyle w:val="Nivel1"/>
        <w:numPr>
          <w:ilvl w:val="0"/>
          <w:numId w:val="2"/>
        </w:numPr>
        <w:spacing w:before="0" w:after="0"/>
        <w:rPr>
          <w:rFonts w:ascii="Arial" w:hAnsi="Arial"/>
          <w:sz w:val="24"/>
          <w:szCs w:val="24"/>
        </w:rPr>
      </w:pPr>
      <w:r>
        <w:rPr>
          <w:rFonts w:ascii="Arial" w:hAnsi="Arial"/>
          <w:sz w:val="24"/>
          <w:szCs w:val="24"/>
        </w:rPr>
        <w:t>MODELO DE GESTÃO DO CONTRATO (art. 6º, XXIII, alínea “f”, da Lei nº 14.133/21)</w:t>
      </w:r>
    </w:p>
    <w:p>
      <w:pPr>
        <w:pStyle w:val="Nivel2"/>
        <w:spacing w:before="0" w:after="0"/>
        <w:rPr>
          <w:rFonts w:ascii="Arial" w:hAnsi="Arial"/>
          <w:color w:val="00000A"/>
          <w:sz w:val="24"/>
          <w:szCs w:val="24"/>
        </w:rPr>
      </w:pPr>
      <w:r>
        <w:rPr>
          <w:rFonts w:ascii="Arial" w:hAnsi="Arial"/>
          <w:color w:val="00000A"/>
          <w:sz w:val="24"/>
          <w:szCs w:val="24"/>
        </w:rPr>
      </w:r>
    </w:p>
    <w:p>
      <w:pPr>
        <w:pStyle w:val="Nivel2"/>
        <w:spacing w:before="0" w:after="0"/>
        <w:ind w:left="0" w:hanging="0"/>
        <w:rPr>
          <w:rFonts w:ascii="Arial" w:hAnsi="Arial"/>
          <w:sz w:val="24"/>
          <w:szCs w:val="24"/>
        </w:rPr>
      </w:pPr>
      <w:r>
        <w:rPr>
          <w:rFonts w:ascii="Arial" w:hAnsi="Arial"/>
          <w:b/>
          <w:bCs/>
          <w:color w:val="00000A"/>
          <w:sz w:val="24"/>
          <w:szCs w:val="24"/>
        </w:rPr>
        <w:t>6.1.</w:t>
      </w:r>
      <w:r>
        <w:rPr>
          <w:rFonts w:ascii="Arial" w:hAnsi="Arial"/>
          <w:color w:val="00000A"/>
          <w:sz w:val="24"/>
          <w:szCs w:val="24"/>
        </w:rPr>
        <w:t xml:space="preserve"> O contrato deverá ser executado fielmente pelas partes, de acordo com as cláusulas avençadas e as normas da Lei nº 14.133, de 2021, e cada parte responderá pelas consequências de sua inexecução total ou parcial (Lei nº 14.133/2021, art. 115, </w:t>
      </w:r>
      <w:r>
        <w:rPr>
          <w:rFonts w:ascii="Arial" w:hAnsi="Arial"/>
          <w:i/>
          <w:iCs/>
          <w:color w:val="00000A"/>
          <w:sz w:val="24"/>
          <w:szCs w:val="24"/>
        </w:rPr>
        <w:t>caput</w:t>
      </w:r>
      <w:r>
        <w:rPr>
          <w:rFonts w:ascii="Arial" w:hAnsi="Arial"/>
          <w:color w:val="00000A"/>
          <w:sz w:val="24"/>
          <w:szCs w:val="24"/>
        </w:rPr>
        <w:t>).</w:t>
      </w:r>
    </w:p>
    <w:p>
      <w:pPr>
        <w:pStyle w:val="Nivel2"/>
        <w:numPr>
          <w:ilvl w:val="0"/>
          <w:numId w:val="0"/>
        </w:numPr>
        <w:spacing w:before="0" w:after="0"/>
        <w:ind w:left="0" w:hanging="0"/>
        <w:rPr>
          <w:rFonts w:ascii="Arial" w:hAnsi="Arial"/>
          <w:sz w:val="24"/>
          <w:szCs w:val="24"/>
        </w:rPr>
      </w:pPr>
      <w:bookmarkStart w:id="15" w:name="art115§1"/>
      <w:bookmarkStart w:id="16" w:name="art115§5"/>
      <w:bookmarkEnd w:id="15"/>
      <w:bookmarkEnd w:id="16"/>
      <w:r>
        <w:rPr>
          <w:rFonts w:ascii="Arial" w:hAnsi="Arial"/>
          <w:b/>
          <w:bCs/>
          <w:color w:val="00000A"/>
          <w:sz w:val="24"/>
          <w:szCs w:val="24"/>
        </w:rPr>
        <w:t>6.2.</w:t>
      </w:r>
      <w:r>
        <w:rPr>
          <w:rFonts w:ascii="Arial" w:hAnsi="Arial"/>
          <w:color w:val="00000A"/>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pPr>
        <w:pStyle w:val="Nivel2"/>
        <w:numPr>
          <w:ilvl w:val="0"/>
          <w:numId w:val="0"/>
        </w:numPr>
        <w:spacing w:before="0" w:after="0"/>
        <w:ind w:left="0" w:hanging="0"/>
        <w:rPr>
          <w:rFonts w:ascii="Arial" w:hAnsi="Arial"/>
          <w:sz w:val="24"/>
          <w:szCs w:val="24"/>
        </w:rPr>
      </w:pPr>
      <w:bookmarkStart w:id="17" w:name="art116"/>
      <w:bookmarkEnd w:id="17"/>
      <w:r>
        <w:rPr>
          <w:rFonts w:ascii="Arial" w:hAnsi="Arial"/>
          <w:b/>
          <w:bCs/>
          <w:color w:val="00000A"/>
          <w:sz w:val="24"/>
          <w:szCs w:val="24"/>
        </w:rPr>
        <w:t>6.3.</w:t>
      </w:r>
      <w:r>
        <w:rPr>
          <w:rFonts w:ascii="Arial" w:hAnsi="Arial"/>
          <w:color w:val="00000A"/>
          <w:sz w:val="24"/>
          <w:szCs w:val="24"/>
        </w:rPr>
        <w:t xml:space="preserve"> A execução do contrato deverá ser acompanhada e fiscalizada pelo(s) fiscal(is) do contrato, ou pelos respectivos substitutos (Lei nº 14.133/2021, art. 117, </w:t>
      </w:r>
      <w:r>
        <w:rPr>
          <w:rFonts w:ascii="Arial" w:hAnsi="Arial"/>
          <w:i/>
          <w:iCs/>
          <w:color w:val="00000A"/>
          <w:sz w:val="24"/>
          <w:szCs w:val="24"/>
        </w:rPr>
        <w:t>caput</w:t>
      </w:r>
      <w:bookmarkStart w:id="18" w:name="art117§1"/>
      <w:bookmarkEnd w:id="18"/>
      <w:r>
        <w:rPr>
          <w:rFonts w:ascii="Arial" w:hAnsi="Arial"/>
          <w:color w:val="00000A"/>
          <w:sz w:val="24"/>
          <w:szCs w:val="24"/>
        </w:rPr>
        <w:t>).</w:t>
      </w:r>
    </w:p>
    <w:p>
      <w:pPr>
        <w:pStyle w:val="Nivel3"/>
        <w:numPr>
          <w:ilvl w:val="0"/>
          <w:numId w:val="0"/>
        </w:numPr>
        <w:spacing w:before="0" w:after="0"/>
        <w:ind w:left="0" w:hanging="0"/>
        <w:contextualSpacing/>
        <w:rPr>
          <w:rFonts w:ascii="Arial" w:hAnsi="Arial"/>
          <w:sz w:val="24"/>
          <w:szCs w:val="24"/>
        </w:rPr>
      </w:pPr>
      <w:r>
        <w:rPr>
          <w:rFonts w:ascii="Arial" w:hAnsi="Arial"/>
          <w:b/>
          <w:bCs/>
          <w:sz w:val="24"/>
          <w:szCs w:val="24"/>
        </w:rPr>
        <w:tab/>
        <w:t>6.3.1.</w:t>
      </w:r>
      <w:r>
        <w:rPr>
          <w:rFonts w:ascii="Arial" w:hAnsi="Arial"/>
          <w:sz w:val="24"/>
          <w:szCs w:val="24"/>
        </w:rPr>
        <w:t xml:space="preserve"> O fiscal do contrato anotará em registro próprio todas as ocorrências relacionadas à execução do contrato, determinando o que for necessário para a regularização das faltas ou dos defeitos observados (Lei nº 14.133/2021, art. 117, §1º).</w:t>
      </w:r>
    </w:p>
    <w:p>
      <w:pPr>
        <w:pStyle w:val="Nivel3"/>
        <w:numPr>
          <w:ilvl w:val="0"/>
          <w:numId w:val="0"/>
        </w:numPr>
        <w:spacing w:before="0" w:after="0"/>
        <w:ind w:left="0" w:hanging="0"/>
        <w:contextualSpacing/>
        <w:rPr>
          <w:rFonts w:ascii="Arial" w:hAnsi="Arial"/>
          <w:sz w:val="24"/>
          <w:szCs w:val="24"/>
        </w:rPr>
      </w:pPr>
      <w:bookmarkStart w:id="19" w:name="art117§2"/>
      <w:bookmarkEnd w:id="19"/>
      <w:r>
        <w:rPr>
          <w:rFonts w:ascii="Arial" w:hAnsi="Arial"/>
          <w:b/>
          <w:bCs/>
          <w:sz w:val="24"/>
          <w:szCs w:val="24"/>
        </w:rPr>
        <w:tab/>
        <w:t>6.3.2.</w:t>
      </w:r>
      <w:r>
        <w:rPr>
          <w:rFonts w:ascii="Arial" w:hAnsi="Arial"/>
          <w:sz w:val="24"/>
          <w:szCs w:val="24"/>
        </w:rPr>
        <w:t xml:space="preserve"> O fiscal do contrato informará a seus superiores, em tempo hábil para a adoção das medidas convenientes, a situação que demandar decisão ou providência que ultrapasse sua competência (Lei nº 14.133/2021, art. 117, §2º).</w:t>
      </w:r>
    </w:p>
    <w:p>
      <w:pPr>
        <w:pStyle w:val="Nivel2"/>
        <w:numPr>
          <w:ilvl w:val="0"/>
          <w:numId w:val="0"/>
        </w:numPr>
        <w:spacing w:before="0" w:after="0"/>
        <w:ind w:left="0" w:hanging="0"/>
        <w:rPr>
          <w:rFonts w:ascii="Arial" w:hAnsi="Arial"/>
          <w:sz w:val="24"/>
          <w:szCs w:val="24"/>
        </w:rPr>
      </w:pPr>
      <w:r>
        <w:rPr>
          <w:rFonts w:ascii="Arial" w:hAnsi="Arial"/>
          <w:b/>
          <w:bCs/>
          <w:color w:val="00000A"/>
          <w:sz w:val="24"/>
          <w:szCs w:val="24"/>
        </w:rPr>
        <w:t>6.4.</w:t>
      </w:r>
      <w:r>
        <w:rPr>
          <w:rFonts w:ascii="Arial" w:hAnsi="Arial"/>
          <w:color w:val="00000A"/>
          <w:sz w:val="24"/>
          <w:szCs w:val="24"/>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pPr>
        <w:pStyle w:val="Nivel2"/>
        <w:numPr>
          <w:ilvl w:val="0"/>
          <w:numId w:val="0"/>
        </w:numPr>
        <w:spacing w:before="0" w:after="0"/>
        <w:ind w:left="0" w:hanging="0"/>
        <w:rPr>
          <w:rFonts w:ascii="Arial" w:hAnsi="Arial"/>
          <w:sz w:val="24"/>
          <w:szCs w:val="24"/>
        </w:rPr>
      </w:pPr>
      <w:bookmarkStart w:id="20" w:name="art120"/>
      <w:bookmarkEnd w:id="20"/>
      <w:r>
        <w:rPr>
          <w:rFonts w:ascii="Arial" w:hAnsi="Arial"/>
          <w:b/>
          <w:bCs/>
          <w:color w:val="00000A"/>
          <w:sz w:val="24"/>
          <w:szCs w:val="24"/>
        </w:rPr>
        <w:t>6.5.</w:t>
      </w:r>
      <w:r>
        <w:rPr>
          <w:rFonts w:ascii="Arial" w:hAnsi="Arial"/>
          <w:color w:val="00000A"/>
          <w:sz w:val="24"/>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pPr>
        <w:pStyle w:val="Nivel2"/>
        <w:numPr>
          <w:ilvl w:val="0"/>
          <w:numId w:val="0"/>
        </w:numPr>
        <w:spacing w:before="0" w:after="0"/>
        <w:ind w:left="0" w:hanging="0"/>
        <w:rPr>
          <w:rFonts w:ascii="Arial" w:hAnsi="Arial"/>
          <w:sz w:val="24"/>
          <w:szCs w:val="24"/>
        </w:rPr>
      </w:pPr>
      <w:bookmarkStart w:id="21" w:name="art121"/>
      <w:bookmarkEnd w:id="21"/>
      <w:r>
        <w:rPr>
          <w:rFonts w:ascii="Arial" w:hAnsi="Arial"/>
          <w:b/>
          <w:bCs/>
          <w:color w:val="00000A"/>
          <w:sz w:val="24"/>
          <w:szCs w:val="24"/>
        </w:rPr>
        <w:t>6.6.</w:t>
      </w:r>
      <w:r>
        <w:rPr>
          <w:rFonts w:ascii="Arial" w:hAnsi="Arial"/>
          <w:color w:val="00000A"/>
          <w:sz w:val="24"/>
          <w:szCs w:val="24"/>
        </w:rPr>
        <w:t xml:space="preserve"> Somente o contratado será responsável pelos encargos trabalhistas, previdenciários, fiscais e comerciais resultantes da execução do contrato (Lei nº 14.133/2021, art. 121, </w:t>
      </w:r>
      <w:r>
        <w:rPr>
          <w:rFonts w:ascii="Arial" w:hAnsi="Arial"/>
          <w:i/>
          <w:iCs/>
          <w:color w:val="00000A"/>
          <w:sz w:val="24"/>
          <w:szCs w:val="24"/>
        </w:rPr>
        <w:t>caput</w:t>
      </w:r>
      <w:r>
        <w:rPr>
          <w:rFonts w:ascii="Arial" w:hAnsi="Arial"/>
          <w:color w:val="00000A"/>
          <w:sz w:val="24"/>
          <w:szCs w:val="24"/>
        </w:rPr>
        <w:t>).</w:t>
      </w:r>
    </w:p>
    <w:p>
      <w:pPr>
        <w:pStyle w:val="Nivel3"/>
        <w:numPr>
          <w:ilvl w:val="0"/>
          <w:numId w:val="0"/>
        </w:numPr>
        <w:spacing w:before="0" w:after="0"/>
        <w:ind w:left="0" w:hanging="0"/>
        <w:contextualSpacing/>
        <w:rPr>
          <w:rFonts w:ascii="Arial" w:hAnsi="Arial"/>
          <w:sz w:val="24"/>
          <w:szCs w:val="24"/>
        </w:rPr>
      </w:pPr>
      <w:bookmarkStart w:id="22" w:name="art121§1"/>
      <w:bookmarkEnd w:id="22"/>
      <w:r>
        <w:rPr>
          <w:rFonts w:ascii="Arial" w:hAnsi="Arial"/>
          <w:b/>
          <w:bCs/>
          <w:sz w:val="24"/>
          <w:szCs w:val="24"/>
        </w:rPr>
        <w:tab/>
        <w:t>6.6.1.</w:t>
      </w:r>
      <w:r>
        <w:rPr>
          <w:rFonts w:ascii="Arial" w:hAnsi="Arial"/>
          <w:sz w:val="24"/>
          <w:szCs w:val="24"/>
        </w:rPr>
        <w:t xml:space="preserve"> A inadimplência do contratado em relação aos encargos trabalhistas, fiscais e comerciais não transferirá à Administração a responsabilidade pelo seu pagamento e não poderá onerar o objeto do contrato (Lei nº 14.133/2021, art. 121, §1º).</w:t>
      </w:r>
    </w:p>
    <w:p>
      <w:pPr>
        <w:pStyle w:val="Nivel2"/>
        <w:numPr>
          <w:ilvl w:val="0"/>
          <w:numId w:val="0"/>
        </w:numPr>
        <w:spacing w:before="0" w:after="0"/>
        <w:ind w:left="0" w:hanging="0"/>
        <w:rPr>
          <w:rFonts w:ascii="Arial" w:hAnsi="Arial"/>
          <w:sz w:val="24"/>
          <w:szCs w:val="24"/>
        </w:rPr>
      </w:pPr>
      <w:bookmarkStart w:id="23" w:name="art122"/>
      <w:bookmarkStart w:id="24" w:name="art122§1"/>
      <w:bookmarkStart w:id="25" w:name="art122§2"/>
      <w:bookmarkStart w:id="26" w:name="art122§3"/>
      <w:bookmarkStart w:id="27" w:name="art123"/>
      <w:bookmarkEnd w:id="23"/>
      <w:bookmarkEnd w:id="24"/>
      <w:bookmarkEnd w:id="25"/>
      <w:bookmarkEnd w:id="26"/>
      <w:bookmarkEnd w:id="27"/>
      <w:r>
        <w:rPr>
          <w:rFonts w:ascii="Arial" w:hAnsi="Arial"/>
          <w:b/>
          <w:bCs/>
          <w:sz w:val="24"/>
          <w:szCs w:val="24"/>
        </w:rPr>
        <w:t xml:space="preserve">6.7. </w:t>
      </w:r>
      <w:r>
        <w:rPr>
          <w:rFonts w:ascii="Arial" w:hAnsi="Arial"/>
          <w:sz w:val="24"/>
          <w:szCs w:val="24"/>
        </w:rPr>
        <w:t xml:space="preserve">As comunicações entre o órgão ou entidade e a contratada devem ser realizadas por escrito sempre que o ato exigir tal formalidade, admitindo-se, excepcionalmente, o uso de mensagem </w:t>
      </w:r>
      <w:r>
        <w:rPr>
          <w:rFonts w:ascii="Arial" w:hAnsi="Arial"/>
          <w:i w:val="false"/>
          <w:iCs w:val="false"/>
          <w:color w:val="000000"/>
          <w:sz w:val="24"/>
          <w:szCs w:val="24"/>
        </w:rPr>
        <w:t>eletrônica para esse fim (IN 5/2017, art. 44, §2º).</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6.8.</w:t>
      </w:r>
      <w:r>
        <w:rPr>
          <w:rFonts w:ascii="Arial" w:hAnsi="Arial"/>
          <w:i w:val="false"/>
          <w:iCs w:val="false"/>
          <w:color w:val="000000"/>
          <w:sz w:val="24"/>
          <w:szCs w:val="24"/>
        </w:rPr>
        <w:t xml:space="preserve"> O órgão ou entidade poderá convocar representante da empresa para adoção de providências que devam ser cumpridas de imediato (IN 5/2017, art. 44, 31º).</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6.9.</w:t>
      </w:r>
      <w:r>
        <w:rPr>
          <w:rFonts w:ascii="Arial" w:hAnsi="Arial"/>
          <w:i w:val="false"/>
          <w:iCs w:val="false"/>
          <w:color w:val="000000"/>
          <w:sz w:val="24"/>
          <w:szCs w:val="24"/>
        </w:rPr>
        <w:t xml:space="preserve"> Antes do pagamento da nota fiscal ou da fatura, deverá ser consultada a situação da empresa junto ao SICAF.</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6.10.</w:t>
      </w:r>
      <w:r>
        <w:rPr>
          <w:rFonts w:ascii="Arial" w:hAnsi="Arial"/>
          <w:i w:val="false"/>
          <w:iCs w:val="false"/>
          <w:color w:val="000000"/>
          <w:sz w:val="24"/>
          <w:szCs w:val="24"/>
        </w:rPr>
        <w:t xml:space="preserve">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pPr>
        <w:pStyle w:val="Nivel2"/>
        <w:numPr>
          <w:ilvl w:val="0"/>
          <w:numId w:val="0"/>
        </w:numPr>
        <w:spacing w:before="0" w:after="0"/>
        <w:ind w:left="0" w:hanging="0"/>
        <w:rPr>
          <w:rFonts w:ascii="Arial" w:hAnsi="Arial"/>
          <w:i w:val="false"/>
          <w:i w:val="false"/>
          <w:iCs w:val="false"/>
          <w:color w:val="000000"/>
          <w:sz w:val="24"/>
          <w:szCs w:val="24"/>
        </w:rPr>
      </w:pPr>
      <w:r>
        <w:rPr>
          <w:rFonts w:ascii="Arial" w:hAnsi="Arial"/>
          <w:i w:val="false"/>
          <w:iCs w:val="false"/>
          <w:color w:val="000000"/>
          <w:sz w:val="24"/>
          <w:szCs w:val="24"/>
        </w:rPr>
      </w:r>
    </w:p>
    <w:p>
      <w:pPr>
        <w:pStyle w:val="Normal"/>
        <w:rPr>
          <w:rFonts w:ascii="Arial" w:hAnsi="Arial"/>
          <w:sz w:val="24"/>
          <w:szCs w:val="24"/>
        </w:rPr>
      </w:pPr>
      <w:r>
        <w:rPr>
          <w:rFonts w:ascii="Arial" w:hAnsi="Arial"/>
          <w:sz w:val="24"/>
          <w:szCs w:val="24"/>
        </w:rPr>
      </w:r>
    </w:p>
    <w:p>
      <w:pPr>
        <w:pStyle w:val="Nivel1"/>
        <w:numPr>
          <w:ilvl w:val="0"/>
          <w:numId w:val="2"/>
        </w:numPr>
        <w:spacing w:before="0" w:after="0"/>
        <w:rPr>
          <w:rFonts w:ascii="Arial" w:hAnsi="Arial"/>
          <w:sz w:val="24"/>
          <w:szCs w:val="24"/>
        </w:rPr>
      </w:pPr>
      <w:r>
        <w:rPr>
          <w:rFonts w:ascii="Arial" w:hAnsi="Arial"/>
          <w:i w:val="false"/>
          <w:iCs w:val="false"/>
          <w:color w:val="000000"/>
          <w:sz w:val="24"/>
          <w:szCs w:val="24"/>
        </w:rPr>
        <w:t xml:space="preserve">FORMA E CRITÉRIOS DE SELEÇÃO DO FORNECEDOR MEDIANTE O USO DO SISTEMA DE DISPENSA ELETRÔNICA (art. 6º, inciso XXIII, alínea ‘h’, da Lei nº 14.133/2021) </w:t>
      </w:r>
    </w:p>
    <w:p>
      <w:pPr>
        <w:pStyle w:val="Normal"/>
        <w:numPr>
          <w:ilvl w:val="0"/>
          <w:numId w:val="0"/>
        </w:numPr>
        <w:spacing w:before="0" w:after="0"/>
        <w:ind w:left="360" w:hanging="0"/>
        <w:rPr>
          <w:rFonts w:ascii="Arial" w:hAnsi="Arial"/>
          <w:color w:val="000000"/>
          <w:sz w:val="24"/>
          <w:szCs w:val="24"/>
        </w:rPr>
      </w:pPr>
      <w:r>
        <w:rPr>
          <w:rFonts w:ascii="Arial" w:hAnsi="Arial"/>
          <w:color w:val="000000"/>
          <w:sz w:val="24"/>
          <w:szCs w:val="24"/>
        </w:rPr>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7.1.</w:t>
      </w:r>
      <w:r>
        <w:rPr>
          <w:rFonts w:ascii="Arial" w:hAnsi="Arial"/>
          <w:i w:val="false"/>
          <w:iCs w:val="false"/>
          <w:color w:val="000000"/>
          <w:sz w:val="24"/>
          <w:szCs w:val="24"/>
        </w:rPr>
        <w:tab/>
        <w:t>O fornecedor será selecionado por meio da realização de procedimento de dispensa de licitação, na forma eletrônica, com fundamento na hipótese do art. 75, inciso II da Lei n.º 14.133/2021 (indicar um dos incisos do art. 75, da Lei n.º 14.133/2021, conforme o caso concreto), que culminará com a seleção da proposta de menor preço.</w:t>
      </w:r>
    </w:p>
    <w:p>
      <w:pPr>
        <w:pStyle w:val="Nivel2"/>
        <w:numPr>
          <w:ilvl w:val="0"/>
          <w:numId w:val="0"/>
        </w:numPr>
        <w:spacing w:before="0" w:after="0"/>
        <w:ind w:left="0" w:hanging="0"/>
        <w:rPr>
          <w:rFonts w:ascii="Arial" w:hAnsi="Arial"/>
          <w:sz w:val="24"/>
          <w:szCs w:val="24"/>
        </w:rPr>
      </w:pPr>
      <w:r>
        <w:rPr>
          <w:rFonts w:eastAsia="Times New Roman" w:ascii="Arial" w:hAnsi="Arial"/>
          <w:b/>
          <w:bCs/>
          <w:i w:val="false"/>
          <w:iCs w:val="false"/>
          <w:color w:val="000000"/>
          <w:sz w:val="24"/>
          <w:szCs w:val="24"/>
          <w:lang w:eastAsia="pt-BR"/>
        </w:rPr>
        <w:t>7.2.</w:t>
      </w:r>
      <w:r>
        <w:rPr>
          <w:rFonts w:eastAsia="Times New Roman" w:ascii="Arial" w:hAnsi="Arial"/>
          <w:i w:val="false"/>
          <w:iCs w:val="false"/>
          <w:color w:val="000000"/>
          <w:sz w:val="24"/>
          <w:szCs w:val="24"/>
          <w:lang w:eastAsia="pt-BR"/>
        </w:rPr>
        <w:tab/>
        <w:t xml:space="preserve">As exigências de habilitação jurídica, </w:t>
      </w:r>
      <w:r>
        <w:rPr>
          <w:rFonts w:eastAsia="WenQuanYi Micro Hei" w:ascii="Arial" w:hAnsi="Arial"/>
          <w:i w:val="false"/>
          <w:iCs w:val="false"/>
          <w:color w:val="000000"/>
          <w:sz w:val="24"/>
          <w:szCs w:val="24"/>
          <w:lang w:eastAsia="zh-CN" w:bidi="hi-IN"/>
        </w:rPr>
        <w:t xml:space="preserve">fiscal, social e trabalhista </w:t>
      </w:r>
      <w:r>
        <w:rPr>
          <w:rFonts w:eastAsia="Times New Roman" w:ascii="Arial" w:hAnsi="Arial"/>
          <w:i w:val="false"/>
          <w:iCs w:val="false"/>
          <w:color w:val="000000"/>
          <w:sz w:val="24"/>
          <w:szCs w:val="24"/>
          <w:lang w:eastAsia="pt-BR"/>
        </w:rPr>
        <w:t xml:space="preserve">são as usuais para a generalidade dos objetos, conforme disciplinado no Anexo I do Aviso de </w:t>
      </w:r>
      <w:r>
        <w:rPr>
          <w:rFonts w:ascii="Arial" w:hAnsi="Arial"/>
          <w:i w:val="false"/>
          <w:iCs w:val="false"/>
          <w:color w:val="000000"/>
          <w:sz w:val="24"/>
          <w:szCs w:val="24"/>
        </w:rPr>
        <w:t>Contratação</w:t>
      </w:r>
      <w:r>
        <w:rPr>
          <w:rFonts w:eastAsia="Times New Roman" w:ascii="Arial" w:hAnsi="Arial"/>
          <w:i w:val="false"/>
          <w:iCs w:val="false"/>
          <w:color w:val="000000"/>
          <w:sz w:val="24"/>
          <w:szCs w:val="24"/>
          <w:lang w:eastAsia="pt-BR"/>
        </w:rPr>
        <w:t xml:space="preserve"> Direta.</w:t>
      </w:r>
    </w:p>
    <w:p>
      <w:pPr>
        <w:pStyle w:val="Nivel2"/>
        <w:numPr>
          <w:ilvl w:val="0"/>
          <w:numId w:val="0"/>
        </w:numPr>
        <w:spacing w:before="0" w:after="0"/>
        <w:ind w:left="0" w:hanging="0"/>
        <w:rPr>
          <w:rFonts w:ascii="Arial" w:hAnsi="Arial"/>
          <w:sz w:val="24"/>
          <w:szCs w:val="24"/>
        </w:rPr>
      </w:pPr>
      <w:r>
        <w:rPr>
          <w:rFonts w:eastAsia="Times New Roman" w:ascii="Arial" w:hAnsi="Arial"/>
          <w:b/>
          <w:bCs/>
          <w:i w:val="false"/>
          <w:iCs w:val="false"/>
          <w:color w:val="000000"/>
          <w:sz w:val="24"/>
          <w:szCs w:val="24"/>
          <w:lang w:eastAsia="pt-BR"/>
        </w:rPr>
        <w:t>7.3.</w:t>
        <w:tab/>
      </w:r>
      <w:r>
        <w:rPr>
          <w:rFonts w:eastAsia="Times New Roman" w:ascii="Arial" w:hAnsi="Arial"/>
          <w:i w:val="false"/>
          <w:iCs w:val="false"/>
          <w:color w:val="000000"/>
          <w:sz w:val="24"/>
          <w:szCs w:val="24"/>
          <w:lang w:eastAsia="pt-BR"/>
        </w:rPr>
        <w:t>Os critérios de habilitação técnica a serem atendidos pelo fornecedor estão previstos no Anexo I do Aviso de Contratação Direta.</w:t>
      </w:r>
    </w:p>
    <w:p>
      <w:pPr>
        <w:pStyle w:val="Nivel2"/>
        <w:numPr>
          <w:ilvl w:val="0"/>
          <w:numId w:val="0"/>
        </w:numPr>
        <w:spacing w:before="0" w:after="0"/>
        <w:ind w:left="0" w:hanging="0"/>
        <w:rPr>
          <w:rFonts w:ascii="Arial" w:hAnsi="Arial"/>
          <w:sz w:val="24"/>
          <w:szCs w:val="24"/>
        </w:rPr>
      </w:pPr>
      <w:r>
        <w:rPr>
          <w:rFonts w:eastAsia="Times New Roman" w:ascii="Arial" w:hAnsi="Arial"/>
          <w:b/>
          <w:bCs/>
          <w:i w:val="false"/>
          <w:iCs w:val="false"/>
          <w:color w:val="000000"/>
          <w:sz w:val="24"/>
          <w:szCs w:val="24"/>
          <w:lang w:eastAsia="pt-BR"/>
        </w:rPr>
        <w:t xml:space="preserve">7.4. </w:t>
      </w:r>
      <w:r>
        <w:rPr>
          <w:rFonts w:eastAsia="Times New Roman" w:ascii="Arial" w:hAnsi="Arial"/>
          <w:i w:val="false"/>
          <w:iCs w:val="false"/>
          <w:color w:val="000000"/>
          <w:sz w:val="24"/>
          <w:szCs w:val="24"/>
          <w:lang w:eastAsia="pt-BR"/>
        </w:rPr>
        <w:t>Os critérios de habilitação técnica a serem atendidos pelo fornecedor serão:</w:t>
      </w:r>
    </w:p>
    <w:p>
      <w:pPr>
        <w:pStyle w:val="Nivel2"/>
        <w:numPr>
          <w:ilvl w:val="0"/>
          <w:numId w:val="0"/>
        </w:numPr>
        <w:spacing w:before="0" w:after="0"/>
        <w:ind w:left="1002" w:hanging="0"/>
        <w:rPr>
          <w:rFonts w:ascii="Arial" w:hAnsi="Arial"/>
          <w:sz w:val="24"/>
          <w:szCs w:val="24"/>
        </w:rPr>
      </w:pPr>
      <w:r>
        <w:rPr>
          <w:rFonts w:eastAsia="Times New Roman" w:ascii="Arial" w:hAnsi="Arial"/>
          <w:b/>
          <w:bCs/>
          <w:i w:val="false"/>
          <w:iCs w:val="false"/>
          <w:color w:val="000000"/>
          <w:sz w:val="24"/>
          <w:szCs w:val="24"/>
          <w:lang w:eastAsia="pt-BR"/>
        </w:rPr>
        <w:t xml:space="preserve">7.4.1. </w:t>
      </w:r>
      <w:r>
        <w:rPr>
          <w:rFonts w:ascii="Arial" w:hAnsi="Arial"/>
          <w:i w:val="false"/>
          <w:iCs w:val="false"/>
          <w:color w:val="000000"/>
          <w:sz w:val="24"/>
          <w:szCs w:val="24"/>
        </w:rPr>
        <w:t>Os atestados de capacidade técnica poderão ser apresentados em nome da matriz ou da filial do fornecedor.</w:t>
      </w:r>
    </w:p>
    <w:p>
      <w:pPr>
        <w:pStyle w:val="Nivel2"/>
        <w:numPr>
          <w:ilvl w:val="0"/>
          <w:numId w:val="0"/>
        </w:numPr>
        <w:spacing w:before="0" w:after="0"/>
        <w:ind w:left="1002" w:hanging="0"/>
        <w:rPr>
          <w:rFonts w:ascii="Arial" w:hAnsi="Arial"/>
          <w:sz w:val="24"/>
          <w:szCs w:val="24"/>
        </w:rPr>
      </w:pPr>
      <w:r>
        <w:rPr>
          <w:rFonts w:ascii="Arial" w:hAnsi="Arial"/>
          <w:b/>
          <w:bCs/>
          <w:i w:val="false"/>
          <w:iCs w:val="false"/>
          <w:color w:val="000000"/>
          <w:sz w:val="24"/>
          <w:szCs w:val="24"/>
        </w:rPr>
        <w:t xml:space="preserve">7.4.2. </w:t>
      </w:r>
      <w:r>
        <w:rPr>
          <w:rFonts w:ascii="Arial" w:hAnsi="Arial"/>
          <w:i w:val="false"/>
          <w:iCs w:val="false"/>
          <w:color w:val="000000"/>
          <w:sz w:val="24"/>
          <w:szCs w:val="24"/>
        </w:rPr>
        <w:t>Ca</w:t>
      </w:r>
      <w:r>
        <w:rPr>
          <w:rFonts w:ascii="Arial" w:hAnsi="Arial"/>
          <w:bCs/>
          <w:i/>
          <w:iCs w:val="false"/>
          <w:color w:val="000000"/>
          <w:sz w:val="24"/>
          <w:szCs w:val="24"/>
        </w:rPr>
        <w:t>tálogo com as especificações necessárias para comprovação de que o material ofertado atende ao termo de referência.</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7.5. </w:t>
      </w:r>
      <w:r>
        <w:rPr>
          <w:rFonts w:ascii="Arial" w:hAnsi="Arial"/>
          <w:i w:val="false"/>
          <w:iCs w:val="false"/>
          <w:color w:val="000000"/>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ListParagraph"/>
        <w:spacing w:lineRule="auto" w:line="276" w:before="120" w:after="120"/>
        <w:ind w:left="1134" w:hanging="0"/>
        <w:contextualSpacing/>
        <w:jc w:val="both"/>
        <w:rPr>
          <w:rFonts w:ascii="Arial" w:hAnsi="Arial"/>
          <w:sz w:val="24"/>
          <w:szCs w:val="24"/>
        </w:rPr>
      </w:pPr>
      <w:r>
        <w:rPr>
          <w:rFonts w:cs="Arial" w:ascii="Arial" w:hAnsi="Arial"/>
          <w:i w:val="false"/>
          <w:iCs w:val="false"/>
          <w:color w:val="000000"/>
          <w:sz w:val="24"/>
          <w:szCs w:val="24"/>
          <w:lang w:eastAsia="ar-SA"/>
        </w:rPr>
        <w:t xml:space="preserve">a) SICAF;  </w:t>
      </w:r>
    </w:p>
    <w:p>
      <w:pPr>
        <w:pStyle w:val="ListParagraph"/>
        <w:spacing w:lineRule="auto" w:line="276" w:before="120" w:after="120"/>
        <w:ind w:left="1134" w:hanging="0"/>
        <w:contextualSpacing/>
        <w:jc w:val="both"/>
        <w:rPr/>
      </w:pPr>
      <w:r>
        <w:rPr>
          <w:rFonts w:cs="Arial" w:ascii="Arial" w:hAnsi="Arial"/>
          <w:i w:val="false"/>
          <w:iCs w:val="false"/>
          <w:color w:val="000000"/>
          <w:sz w:val="24"/>
          <w:szCs w:val="24"/>
          <w:lang w:eastAsia="ar-SA"/>
        </w:rPr>
        <w:t>b) Cadastro Nacional de Empresas Inidôneas e Suspensas - CEIS, mantido pela Controladoria-Geral da União (</w:t>
      </w:r>
      <w:hyperlink r:id="rId8">
        <w:r>
          <w:rPr>
            <w:rStyle w:val="LinkdaInternet"/>
            <w:rFonts w:cs="Arial" w:ascii="Arial" w:hAnsi="Arial"/>
            <w:i w:val="false"/>
            <w:iCs w:val="false"/>
            <w:color w:val="000000"/>
            <w:sz w:val="24"/>
            <w:szCs w:val="24"/>
            <w:lang w:eastAsia="ar-SA"/>
          </w:rPr>
          <w:t>www.portaldatransparencia.gov.br/ceis</w:t>
        </w:r>
      </w:hyperlink>
      <w:r>
        <w:rPr>
          <w:rFonts w:cs="Arial" w:ascii="Arial" w:hAnsi="Arial"/>
          <w:i w:val="false"/>
          <w:iCs w:val="false"/>
          <w:color w:val="000000"/>
          <w:sz w:val="24"/>
          <w:szCs w:val="24"/>
          <w:lang w:eastAsia="ar-SA"/>
        </w:rPr>
        <w:t xml:space="preserve">);  </w:t>
      </w:r>
    </w:p>
    <w:p>
      <w:pPr>
        <w:pStyle w:val="ListParagraph"/>
        <w:spacing w:lineRule="auto" w:line="276" w:before="120" w:after="120"/>
        <w:ind w:left="1134" w:hanging="0"/>
        <w:contextualSpacing/>
        <w:jc w:val="both"/>
        <w:rPr/>
      </w:pPr>
      <w:r>
        <w:rPr>
          <w:rFonts w:cs="Arial" w:ascii="Arial" w:hAnsi="Arial"/>
          <w:i w:val="false"/>
          <w:iCs w:val="false"/>
          <w:color w:val="000000"/>
          <w:sz w:val="24"/>
          <w:szCs w:val="24"/>
          <w:lang w:eastAsia="ar-SA"/>
        </w:rPr>
        <w:t>c) Cadastro Nacional de Empresas Punidas – CNEP, mantido pela Controladoria-Geral da União (</w:t>
      </w:r>
      <w:hyperlink r:id="rId9">
        <w:r>
          <w:rPr>
            <w:rStyle w:val="LinkdaInternet"/>
            <w:rFonts w:cs="Arial" w:ascii="Arial" w:hAnsi="Arial"/>
            <w:i w:val="false"/>
            <w:iCs w:val="false"/>
            <w:color w:val="000000"/>
            <w:sz w:val="24"/>
            <w:szCs w:val="24"/>
            <w:lang w:eastAsia="ar-SA"/>
          </w:rPr>
          <w:t>https://www.portaltransparencia.gov.br/sancoes/cnep</w:t>
        </w:r>
      </w:hyperlink>
      <w:r>
        <w:rPr>
          <w:rFonts w:cs="Arial" w:ascii="Arial" w:hAnsi="Arial"/>
          <w:i w:val="false"/>
          <w:iCs w:val="false"/>
          <w:color w:val="000000"/>
          <w:sz w:val="24"/>
          <w:szCs w:val="24"/>
          <w:lang w:eastAsia="ar-SA"/>
        </w:rPr>
        <w:t>)</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7.6. </w:t>
      </w:r>
      <w:r>
        <w:rPr>
          <w:rFonts w:ascii="Arial" w:hAnsi="Arial"/>
          <w:i w:val="false"/>
          <w:iCs w:val="false"/>
          <w:color w:val="000000"/>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7.7. </w:t>
      </w:r>
      <w:r>
        <w:rPr>
          <w:rFonts w:ascii="Arial" w:hAnsi="Arial"/>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7.8. </w:t>
      </w:r>
      <w:r>
        <w:rPr>
          <w:rFonts w:ascii="Arial" w:hAnsi="Arial"/>
          <w:i w:val="false"/>
          <w:iCs w:val="false"/>
          <w:color w:val="000000"/>
          <w:sz w:val="24"/>
          <w:szCs w:val="24"/>
        </w:rPr>
        <w:t>A tentativa de burla será verificada por meio dos vínculos societários, linhas de fornecimento similares, dentre outros.</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7.9. </w:t>
      </w:r>
      <w:r>
        <w:rPr>
          <w:rFonts w:ascii="Arial" w:hAnsi="Arial"/>
          <w:i w:val="false"/>
          <w:iCs w:val="false"/>
          <w:color w:val="000000"/>
          <w:sz w:val="24"/>
          <w:szCs w:val="24"/>
        </w:rPr>
        <w:t>O fornecedor será convocado para manifestação previamente a uma eventual negativa de contratação.</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7.10. </w:t>
      </w:r>
      <w:r>
        <w:rPr>
          <w:rFonts w:ascii="Arial" w:hAnsi="Arial"/>
          <w:i w:val="false"/>
          <w:iCs w:val="false"/>
          <w:color w:val="000000"/>
          <w:sz w:val="24"/>
          <w:szCs w:val="24"/>
        </w:rPr>
        <w:t>Caso atendidas as condições para contratação, a habilitação do fornecedor será verificada por meio do SICAF, nos documentos por ele abrangidos.</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7.11. </w:t>
      </w:r>
      <w:r>
        <w:rPr>
          <w:rFonts w:ascii="Arial" w:hAnsi="Arial"/>
          <w:i w:val="false"/>
          <w:iCs w:val="false"/>
          <w:color w:val="000000"/>
          <w:sz w:val="24"/>
          <w:szCs w:val="24"/>
        </w:rPr>
        <w:t>É dever do fornecedor manter atualizada a respectiva documentação constante do SICAF, ou encaminhar, quando solicitado pela Administração, a respectiva documentação atualizada.</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7.12. </w:t>
      </w:r>
      <w:r>
        <w:rPr>
          <w:rFonts w:ascii="Arial" w:hAnsi="Arial"/>
          <w:i w:val="false"/>
          <w:iCs w:val="false"/>
          <w:color w:val="000000"/>
          <w:sz w:val="24"/>
          <w:szCs w:val="24"/>
        </w:rPr>
        <w:t>Não serão aceitos documentos de habilitação com indicação de CNPJ/CPF diferentes, salvo aqueles legalmente permitidos.</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7.13. </w:t>
      </w:r>
      <w:r>
        <w:rPr>
          <w:rFonts w:ascii="Arial" w:hAnsi="Arial"/>
          <w:i w:val="false"/>
          <w:iCs w:val="false"/>
          <w:color w:val="000000"/>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ivel2"/>
        <w:numPr>
          <w:ilvl w:val="0"/>
          <w:numId w:val="0"/>
        </w:numPr>
        <w:spacing w:before="0" w:after="0"/>
        <w:ind w:left="0" w:hanging="0"/>
        <w:rPr>
          <w:rFonts w:ascii="Arial" w:hAnsi="Arial"/>
          <w:sz w:val="24"/>
          <w:szCs w:val="24"/>
        </w:rPr>
      </w:pPr>
      <w:r>
        <w:rPr>
          <w:rFonts w:ascii="Arial" w:hAnsi="Arial"/>
          <w:b/>
          <w:bCs/>
          <w:i w:val="false"/>
          <w:iCs w:val="false"/>
          <w:color w:val="000000"/>
          <w:sz w:val="24"/>
          <w:szCs w:val="24"/>
        </w:rPr>
        <w:t xml:space="preserve">7.14. </w:t>
      </w:r>
      <w:r>
        <w:rPr>
          <w:rFonts w:ascii="Arial" w:hAnsi="Arial"/>
          <w:i w:val="false"/>
          <w:iCs w:val="false"/>
          <w:color w:val="000000"/>
          <w:sz w:val="24"/>
          <w:szCs w:val="24"/>
        </w:rPr>
        <w:t>Serão aceitos registros de CNPJ de fornecedor matriz e filial com diferenças de números de documentos pertinentes ao CND e ao CRF/FGTS, quando for comprovada a centralização do recolhimento dessas contribuições.</w:t>
      </w:r>
    </w:p>
    <w:p>
      <w:pPr>
        <w:pStyle w:val="Nivel2"/>
        <w:spacing w:before="0" w:after="0"/>
        <w:ind w:hanging="0"/>
        <w:rPr>
          <w:rFonts w:ascii="Arial" w:hAnsi="Arial"/>
          <w:i w:val="false"/>
          <w:i w:val="false"/>
          <w:iCs w:val="false"/>
          <w:color w:val="000000"/>
          <w:sz w:val="24"/>
          <w:szCs w:val="24"/>
        </w:rPr>
      </w:pPr>
      <w:r>
        <w:rPr>
          <w:rFonts w:ascii="Arial" w:hAnsi="Arial"/>
          <w:i w:val="false"/>
          <w:iCs w:val="false"/>
          <w:color w:val="000000"/>
          <w:sz w:val="24"/>
          <w:szCs w:val="24"/>
        </w:rPr>
      </w:r>
    </w:p>
    <w:p>
      <w:pPr>
        <w:pStyle w:val="Nivel1"/>
        <w:keepNext w:val="false"/>
        <w:keepLines w:val="false"/>
        <w:widowControl w:val="false"/>
        <w:numPr>
          <w:ilvl w:val="0"/>
          <w:numId w:val="2"/>
        </w:numPr>
        <w:spacing w:before="0" w:after="0"/>
        <w:rPr>
          <w:rFonts w:ascii="Arial" w:hAnsi="Arial"/>
          <w:sz w:val="24"/>
          <w:szCs w:val="24"/>
        </w:rPr>
      </w:pPr>
      <w:r>
        <w:rPr>
          <w:rFonts w:eastAsia="Arial Unicode MS" w:cs="Times New Roman" w:ascii="Arial" w:hAnsi="Arial"/>
          <w:i w:val="false"/>
          <w:iCs w:val="false"/>
          <w:color w:val="000000"/>
          <w:kern w:val="0"/>
          <w:sz w:val="24"/>
          <w:szCs w:val="24"/>
          <w:lang w:val="pt-BR" w:eastAsia="pt-BR" w:bidi="ar-SA"/>
        </w:rPr>
        <w:t>VISTORIA</w:t>
      </w:r>
    </w:p>
    <w:p>
      <w:pPr>
        <w:pStyle w:val="ListParagraph"/>
        <w:widowControl w:val="false"/>
        <w:numPr>
          <w:ilvl w:val="0"/>
          <w:numId w:val="0"/>
        </w:numPr>
        <w:spacing w:lineRule="auto" w:line="276"/>
        <w:ind w:left="0" w:hanging="0"/>
        <w:jc w:val="both"/>
        <w:rPr>
          <w:rFonts w:ascii="Arial" w:hAnsi="Arial"/>
          <w:sz w:val="24"/>
          <w:szCs w:val="24"/>
        </w:rPr>
      </w:pPr>
      <w:r>
        <w:rPr>
          <w:rFonts w:eastAsia="Arial Unicode MS" w:cs="Times New Roman" w:ascii="Arial" w:hAnsi="Arial"/>
          <w:b/>
          <w:bCs/>
          <w:i w:val="false"/>
          <w:iCs w:val="false"/>
          <w:color w:val="000000"/>
          <w:kern w:val="0"/>
          <w:sz w:val="24"/>
          <w:szCs w:val="24"/>
          <w:lang w:val="pt-BR" w:eastAsia="pt-BR" w:bidi="ar-SA"/>
        </w:rPr>
        <w:t>8.1.</w:t>
      </w:r>
      <w:r>
        <w:rPr>
          <w:rFonts w:eastAsia="Arial Unicode MS" w:cs="Times New Roman" w:ascii="Arial" w:hAnsi="Arial"/>
          <w:i w:val="false"/>
          <w:iCs w:val="false"/>
          <w:color w:val="000000"/>
          <w:kern w:val="0"/>
          <w:sz w:val="24"/>
          <w:szCs w:val="24"/>
          <w:lang w:val="pt-BR" w:eastAsia="pt-BR" w:bidi="ar-SA"/>
        </w:rPr>
        <w:t xml:space="preserve">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09 horas às 15 horas, devendo o agendamento ser efetuado previamente pelo telefone (84) 3216-3474 ou pelo email rafaela.santos@marinha.mil.br.</w:t>
      </w:r>
    </w:p>
    <w:p>
      <w:pPr>
        <w:pStyle w:val="ListParagraph"/>
        <w:widowControl w:val="false"/>
        <w:numPr>
          <w:ilvl w:val="0"/>
          <w:numId w:val="0"/>
        </w:numPr>
        <w:spacing w:lineRule="auto" w:line="276"/>
        <w:ind w:left="0" w:hanging="0"/>
        <w:rPr>
          <w:rFonts w:ascii="Arial" w:hAnsi="Arial"/>
          <w:sz w:val="24"/>
          <w:szCs w:val="24"/>
        </w:rPr>
      </w:pPr>
      <w:r>
        <w:rPr>
          <w:rFonts w:eastAsia="Arial Unicode MS" w:cs="Times New Roman" w:ascii="Arial" w:hAnsi="Arial"/>
          <w:b/>
          <w:bCs/>
          <w:i w:val="false"/>
          <w:iCs w:val="false"/>
          <w:color w:val="000000"/>
          <w:kern w:val="0"/>
          <w:sz w:val="24"/>
          <w:szCs w:val="24"/>
          <w:lang w:val="pt-BR" w:eastAsia="pt-BR" w:bidi="ar-SA"/>
        </w:rPr>
        <w:t xml:space="preserve">8.2. </w:t>
      </w:r>
      <w:r>
        <w:rPr>
          <w:rFonts w:eastAsia="Arial Unicode MS" w:cs="Times New Roman" w:ascii="Arial" w:hAnsi="Arial"/>
          <w:i w:val="false"/>
          <w:iCs w:val="false"/>
          <w:color w:val="000000"/>
          <w:kern w:val="0"/>
          <w:sz w:val="24"/>
          <w:szCs w:val="24"/>
          <w:lang w:val="pt-BR" w:eastAsia="pt-BR" w:bidi="ar-SA"/>
        </w:rPr>
        <w:t>Serão disponibilizados data e horário diferentes aos interessados em realizar a vistoria prévia.</w:t>
      </w:r>
    </w:p>
    <w:p>
      <w:pPr>
        <w:pStyle w:val="Nvel2Opcional"/>
        <w:widowControl w:val="false"/>
        <w:numPr>
          <w:ilvl w:val="0"/>
          <w:numId w:val="0"/>
        </w:numPr>
        <w:spacing w:before="0" w:after="0"/>
        <w:ind w:left="0" w:hanging="0"/>
        <w:rPr>
          <w:rFonts w:ascii="Arial" w:hAnsi="Arial"/>
          <w:sz w:val="24"/>
          <w:szCs w:val="24"/>
        </w:rPr>
      </w:pPr>
      <w:r>
        <w:rPr>
          <w:rFonts w:eastAsia="Arial Unicode MS" w:cs="Times New Roman" w:ascii="Arial" w:hAnsi="Arial"/>
          <w:b/>
          <w:bCs/>
          <w:i w:val="false"/>
          <w:iCs w:val="false"/>
          <w:color w:val="000000"/>
          <w:kern w:val="0"/>
          <w:sz w:val="24"/>
          <w:szCs w:val="24"/>
          <w:lang w:val="pt-BR" w:eastAsia="pt-BR" w:bidi="ar-SA"/>
        </w:rPr>
        <w:t xml:space="preserve">8.3. </w:t>
      </w:r>
      <w:r>
        <w:rPr>
          <w:rFonts w:eastAsia="Arial Unicode MS" w:cs="Times New Roman" w:ascii="Arial" w:hAnsi="Arial"/>
          <w:i w:val="false"/>
          <w:iCs w:val="false"/>
          <w:color w:val="000000"/>
          <w:kern w:val="0"/>
          <w:sz w:val="24"/>
          <w:szCs w:val="24"/>
          <w:lang w:val="pt-BR" w:eastAsia="pt-BR" w:bidi="ar-SA"/>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pPr>
        <w:pStyle w:val="Nvel2Opcional"/>
        <w:widowControl w:val="false"/>
        <w:numPr>
          <w:ilvl w:val="0"/>
          <w:numId w:val="0"/>
        </w:numPr>
        <w:spacing w:before="0" w:after="0"/>
        <w:ind w:left="0" w:hanging="0"/>
        <w:rPr>
          <w:rFonts w:ascii="Arial" w:hAnsi="Arial"/>
          <w:sz w:val="24"/>
          <w:szCs w:val="24"/>
        </w:rPr>
      </w:pPr>
      <w:r>
        <w:rPr>
          <w:rFonts w:eastAsia="Arial Unicode MS" w:cs="Times New Roman" w:ascii="Arial" w:hAnsi="Arial"/>
          <w:b/>
          <w:bCs/>
          <w:i w:val="false"/>
          <w:iCs w:val="false"/>
          <w:color w:val="000000"/>
          <w:kern w:val="0"/>
          <w:sz w:val="24"/>
          <w:szCs w:val="24"/>
          <w:lang w:val="pt-BR" w:eastAsia="pt-BR" w:bidi="ar-SA"/>
        </w:rPr>
        <w:t xml:space="preserve">8.4. </w:t>
      </w:r>
      <w:r>
        <w:rPr>
          <w:rFonts w:eastAsia="Arial Unicode MS" w:cs="Times New Roman" w:ascii="Arial" w:hAnsi="Arial"/>
          <w:i w:val="false"/>
          <w:iCs w:val="false"/>
          <w:color w:val="000000"/>
          <w:kern w:val="0"/>
          <w:sz w:val="24"/>
          <w:szCs w:val="24"/>
          <w:lang w:val="pt-BR" w:eastAsia="pt-BR" w:bidi="ar-SA"/>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pPr>
        <w:pStyle w:val="Nivel2"/>
        <w:spacing w:before="0" w:after="0"/>
        <w:ind w:hanging="0"/>
        <w:rPr>
          <w:rFonts w:ascii="Arial" w:hAnsi="Arial" w:cs="Arial"/>
          <w:i w:val="false"/>
          <w:i w:val="false"/>
          <w:iCs w:val="false"/>
          <w:color w:val="000000"/>
          <w:sz w:val="24"/>
          <w:szCs w:val="24"/>
        </w:rPr>
      </w:pPr>
      <w:r>
        <w:rPr>
          <w:rFonts w:cs="Arial" w:ascii="Arial" w:hAnsi="Arial"/>
          <w:i w:val="false"/>
          <w:iCs w:val="false"/>
          <w:color w:val="000000"/>
          <w:sz w:val="24"/>
          <w:szCs w:val="24"/>
        </w:rPr>
      </w:r>
    </w:p>
    <w:p>
      <w:pPr>
        <w:pStyle w:val="Nivel1"/>
        <w:numPr>
          <w:ilvl w:val="0"/>
          <w:numId w:val="2"/>
        </w:numPr>
        <w:spacing w:before="0" w:after="0"/>
        <w:rPr>
          <w:rFonts w:ascii="Arial" w:hAnsi="Arial"/>
          <w:sz w:val="24"/>
          <w:szCs w:val="24"/>
        </w:rPr>
      </w:pPr>
      <w:r>
        <w:rPr>
          <w:rFonts w:ascii="Arial" w:hAnsi="Arial"/>
          <w:sz w:val="24"/>
          <w:szCs w:val="24"/>
        </w:rPr>
        <w:t xml:space="preserve">ADEQUAÇÃO ORÇAMENTÁRIA </w:t>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sz w:val="24"/>
          <w:szCs w:val="24"/>
        </w:rPr>
        <w:t>9.1.</w:t>
      </w:r>
      <w:r>
        <w:rPr>
          <w:rFonts w:cs="Arial" w:ascii="Arial" w:hAnsi="Arial"/>
          <w:sz w:val="24"/>
          <w:szCs w:val="24"/>
        </w:rPr>
        <w:tab/>
        <w:t>As despesas decorrentes da presente contratação correrão à conta de recursos específicos consignados no Orçamento Geral da União.</w:t>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Cs/>
          <w:sz w:val="24"/>
          <w:szCs w:val="24"/>
        </w:rPr>
        <w:t>9.2.</w:t>
      </w:r>
      <w:r>
        <w:rPr>
          <w:rFonts w:cs="Arial" w:ascii="Arial" w:hAnsi="Arial"/>
          <w:iCs/>
          <w:sz w:val="24"/>
          <w:szCs w:val="24"/>
        </w:rPr>
        <w:tab/>
        <w:t>A contratação será atendida pela seguinte dotação:</w:t>
      </w:r>
    </w:p>
    <w:p>
      <w:pPr>
        <w:pStyle w:val="Normal"/>
        <w:spacing w:lineRule="auto" w:line="276" w:before="0" w:after="0"/>
        <w:ind w:left="1133" w:firstLine="283"/>
        <w:jc w:val="both"/>
        <w:rPr>
          <w:rFonts w:ascii="Arial" w:hAnsi="Arial" w:cs="Arial"/>
          <w:iCs/>
          <w:sz w:val="24"/>
          <w:szCs w:val="24"/>
        </w:rPr>
      </w:pPr>
      <w:r>
        <w:rPr>
          <w:rFonts w:cs="Arial" w:ascii="Arial" w:hAnsi="Arial"/>
          <w:iCs/>
          <w:sz w:val="24"/>
          <w:szCs w:val="24"/>
        </w:rPr>
      </w:r>
    </w:p>
    <w:p>
      <w:pPr>
        <w:pStyle w:val="Normal"/>
        <w:spacing w:lineRule="auto" w:line="276" w:before="0" w:after="0"/>
        <w:ind w:left="1133" w:firstLine="283"/>
        <w:jc w:val="both"/>
        <w:rPr>
          <w:rFonts w:ascii="Arial" w:hAnsi="Arial"/>
          <w:sz w:val="24"/>
          <w:szCs w:val="24"/>
        </w:rPr>
      </w:pPr>
      <w:r>
        <w:rPr>
          <w:rFonts w:cs="Arial" w:ascii="Arial" w:hAnsi="Arial"/>
          <w:i w:val="false"/>
          <w:iCs w:val="false"/>
          <w:color w:val="000000"/>
          <w:sz w:val="24"/>
          <w:szCs w:val="24"/>
        </w:rPr>
        <w:t>Gestão/Unidade: 783701;</w:t>
      </w:r>
    </w:p>
    <w:p>
      <w:pPr>
        <w:pStyle w:val="Normal"/>
        <w:spacing w:lineRule="auto" w:line="276" w:before="0" w:after="0"/>
        <w:ind w:left="1133" w:firstLine="283"/>
        <w:jc w:val="both"/>
        <w:rPr>
          <w:rFonts w:ascii="Arial" w:hAnsi="Arial"/>
          <w:sz w:val="24"/>
          <w:szCs w:val="24"/>
        </w:rPr>
      </w:pPr>
      <w:r>
        <w:rPr>
          <w:rFonts w:cs="Arial" w:ascii="Arial" w:hAnsi="Arial"/>
          <w:i w:val="false"/>
          <w:iCs w:val="false"/>
          <w:color w:val="000000"/>
          <w:sz w:val="24"/>
          <w:szCs w:val="24"/>
        </w:rPr>
        <w:t>Fonte de Recursos: 1000000000;</w:t>
      </w:r>
    </w:p>
    <w:p>
      <w:pPr>
        <w:pStyle w:val="Normal"/>
        <w:spacing w:lineRule="auto" w:line="276" w:before="0" w:after="0"/>
        <w:ind w:left="1133" w:firstLine="283"/>
        <w:jc w:val="both"/>
        <w:rPr>
          <w:rFonts w:ascii="Arial" w:hAnsi="Arial"/>
          <w:sz w:val="24"/>
          <w:szCs w:val="24"/>
        </w:rPr>
      </w:pPr>
      <w:r>
        <w:rPr>
          <w:rFonts w:cs="Arial" w:ascii="Arial" w:hAnsi="Arial"/>
          <w:i w:val="false"/>
          <w:iCs w:val="false"/>
          <w:color w:val="000000"/>
          <w:sz w:val="24"/>
          <w:szCs w:val="24"/>
        </w:rPr>
        <w:t>Programa de Trabalho: 224387;</w:t>
      </w:r>
    </w:p>
    <w:p>
      <w:pPr>
        <w:pStyle w:val="Normal"/>
        <w:spacing w:lineRule="auto" w:line="276" w:before="0" w:after="0"/>
        <w:ind w:left="1133" w:firstLine="283"/>
        <w:jc w:val="both"/>
        <w:rPr>
          <w:rFonts w:ascii="Arial" w:hAnsi="Arial"/>
          <w:sz w:val="24"/>
          <w:szCs w:val="24"/>
        </w:rPr>
      </w:pPr>
      <w:r>
        <w:rPr>
          <w:rFonts w:cs="Arial" w:ascii="Arial" w:hAnsi="Arial"/>
          <w:i w:val="false"/>
          <w:iCs w:val="false"/>
          <w:color w:val="000000"/>
          <w:sz w:val="24"/>
          <w:szCs w:val="24"/>
        </w:rPr>
        <w:t>Elemento de Despesa: 449052;</w:t>
      </w:r>
    </w:p>
    <w:p>
      <w:pPr>
        <w:pStyle w:val="Normal"/>
        <w:spacing w:lineRule="auto" w:line="276" w:before="0" w:after="0"/>
        <w:ind w:left="1133" w:firstLine="283"/>
        <w:jc w:val="both"/>
        <w:rPr>
          <w:rFonts w:ascii="Arial" w:hAnsi="Arial"/>
          <w:sz w:val="24"/>
          <w:szCs w:val="24"/>
        </w:rPr>
      </w:pPr>
      <w:r>
        <w:rPr>
          <w:rFonts w:cs="Arial" w:ascii="Arial" w:hAnsi="Arial"/>
          <w:i w:val="false"/>
          <w:iCs w:val="false"/>
          <w:color w:val="000000"/>
          <w:sz w:val="24"/>
          <w:szCs w:val="24"/>
        </w:rPr>
        <w:t>Plano Interno: B406020ZIHX .</w:t>
      </w:r>
    </w:p>
    <w:p>
      <w:pPr>
        <w:pStyle w:val="Normal"/>
        <w:spacing w:lineRule="auto" w:line="276" w:before="0" w:after="0"/>
        <w:jc w:val="both"/>
        <w:rPr>
          <w:rFonts w:ascii="Arial" w:hAnsi="Arial" w:cs="Arial"/>
          <w:bCs/>
          <w:color w:val="000000"/>
          <w:sz w:val="24"/>
          <w:szCs w:val="24"/>
        </w:rPr>
      </w:pPr>
      <w:r>
        <w:rPr>
          <w:rFonts w:cs="Arial" w:ascii="Arial" w:hAnsi="Arial"/>
          <w:bCs/>
          <w:color w:val="000000"/>
          <w:sz w:val="24"/>
          <w:szCs w:val="24"/>
        </w:rPr>
      </w:r>
    </w:p>
    <w:p>
      <w:pPr>
        <w:pStyle w:val="ListParagraph"/>
        <w:numPr>
          <w:ilvl w:val="0"/>
          <w:numId w:val="0"/>
        </w:numPr>
        <w:spacing w:lineRule="auto" w:line="276" w:before="0" w:after="0"/>
        <w:ind w:left="0" w:hanging="0"/>
        <w:contextualSpacing/>
        <w:jc w:val="both"/>
        <w:rPr>
          <w:rFonts w:ascii="Arial" w:hAnsi="Arial"/>
          <w:sz w:val="24"/>
          <w:szCs w:val="24"/>
        </w:rPr>
      </w:pPr>
      <w:r>
        <w:rPr>
          <w:rFonts w:cs="Arial" w:ascii="Arial" w:hAnsi="Arial"/>
          <w:b/>
          <w:bCs/>
          <w:i w:val="false"/>
          <w:iCs w:val="false"/>
          <w:color w:val="000000"/>
          <w:sz w:val="24"/>
          <w:szCs w:val="24"/>
        </w:rPr>
        <w:t>9.3.</w:t>
      </w:r>
      <w:r>
        <w:rPr>
          <w:rFonts w:cs="Arial" w:ascii="Arial" w:hAnsi="Arial"/>
          <w:i w:val="false"/>
          <w:iCs w:val="false"/>
          <w:color w:val="000000"/>
          <w:sz w:val="24"/>
          <w:szCs w:val="24"/>
        </w:rPr>
        <w:tab/>
        <w:t>A dotação relativa aos exercícios financeiros subsequentes será indicada após aprovação da Lei Orçamentária respectiva e liberação dos créditos correspondentes, mediante apostilamento.</w:t>
      </w:r>
    </w:p>
    <w:p>
      <w:pPr>
        <w:pStyle w:val="ListParagraph"/>
        <w:spacing w:lineRule="auto" w:line="276" w:before="0" w:after="0"/>
        <w:contextualSpacing/>
        <w:jc w:val="both"/>
        <w:rPr>
          <w:rFonts w:ascii="Arial" w:hAnsi="Arial" w:cs="Arial"/>
          <w:i w:val="false"/>
          <w:i w:val="false"/>
          <w:iCs w:val="false"/>
          <w:color w:val="000000"/>
          <w:sz w:val="24"/>
          <w:szCs w:val="24"/>
        </w:rPr>
      </w:pPr>
      <w:r>
        <w:rPr>
          <w:rFonts w:cs="Arial" w:ascii="Arial" w:hAnsi="Arial"/>
          <w:i w:val="false"/>
          <w:iCs w:val="false"/>
          <w:color w:val="000000"/>
          <w:sz w:val="24"/>
          <w:szCs w:val="24"/>
        </w:rPr>
      </w:r>
    </w:p>
    <w:p>
      <w:pPr>
        <w:pStyle w:val="ListParagraph"/>
        <w:numPr>
          <w:ilvl w:val="0"/>
          <w:numId w:val="0"/>
        </w:numPr>
        <w:spacing w:lineRule="auto" w:line="276" w:before="0" w:after="0"/>
        <w:ind w:left="1152" w:hanging="0"/>
        <w:contextualSpacing/>
        <w:jc w:val="both"/>
        <w:rPr>
          <w:rFonts w:ascii="Arial" w:hAnsi="Arial" w:cs="Arial"/>
          <w:i/>
          <w:i/>
          <w:iCs/>
          <w:color w:val="000000"/>
          <w:sz w:val="24"/>
          <w:szCs w:val="24"/>
        </w:rPr>
      </w:pPr>
      <w:r>
        <w:rPr>
          <w:rFonts w:cs="Arial" w:ascii="Arial" w:hAnsi="Arial"/>
          <w:i/>
          <w:iCs/>
          <w:color w:val="000000"/>
          <w:sz w:val="24"/>
          <w:szCs w:val="24"/>
        </w:rPr>
      </w:r>
    </w:p>
    <w:p>
      <w:pPr>
        <w:pStyle w:val="Normal"/>
        <w:spacing w:before="0" w:after="360"/>
        <w:ind w:left="360" w:hanging="0"/>
        <w:rPr>
          <w:rFonts w:ascii="Arial" w:hAnsi="Arial"/>
          <w:sz w:val="24"/>
          <w:szCs w:val="24"/>
        </w:rPr>
      </w:pPr>
      <w:r>
        <w:rPr>
          <w:rFonts w:cs="Arial" w:ascii="Arial" w:hAnsi="Arial"/>
          <w:b w:val="false"/>
          <w:bCs w:val="false"/>
          <w:i w:val="false"/>
          <w:iCs w:val="false"/>
          <w:color w:val="00000A"/>
          <w:sz w:val="24"/>
          <w:szCs w:val="24"/>
        </w:rPr>
        <w:t>Natal</w:t>
      </w:r>
      <w:r>
        <w:rPr>
          <w:rFonts w:cs="Arial" w:ascii="Arial" w:hAnsi="Arial"/>
          <w:b w:val="false"/>
          <w:bCs w:val="false"/>
          <w:color w:val="00000A"/>
          <w:sz w:val="24"/>
          <w:szCs w:val="24"/>
        </w:rPr>
        <w:t>, RN, 29 de agosto de 2023.</w:t>
      </w:r>
      <w:r>
        <w:rPr>
          <w:rFonts w:cs="Arial" w:ascii="Arial" w:hAnsi="Arial"/>
          <w:sz w:val="24"/>
          <w:szCs w:val="24"/>
        </w:rPr>
        <w:t xml:space="preserve"> </w:t>
      </w:r>
    </w:p>
    <w:p>
      <w:pPr>
        <w:pStyle w:val="Normal"/>
        <w:spacing w:before="0" w:after="360"/>
        <w:ind w:left="360" w:hanging="0"/>
        <w:rPr>
          <w:rFonts w:cs="Arial"/>
        </w:rPr>
      </w:pPr>
      <w:r>
        <w:rPr>
          <w:rFonts w:ascii="Arial" w:hAnsi="Arial"/>
          <w:sz w:val="24"/>
          <w:szCs w:val="24"/>
        </w:rPr>
      </w:r>
    </w:p>
    <w:p>
      <w:pPr>
        <w:pStyle w:val="Normal"/>
        <w:spacing w:before="0" w:after="360"/>
        <w:ind w:left="360" w:hanging="0"/>
        <w:rPr>
          <w:rFonts w:ascii="Arial" w:hAnsi="Arial"/>
          <w:sz w:val="24"/>
          <w:szCs w:val="24"/>
        </w:rPr>
      </w:pPr>
      <w:r>
        <w:rPr>
          <w:rFonts w:cs="Arial" w:ascii="Arial" w:hAnsi="Arial"/>
          <w:sz w:val="24"/>
          <w:szCs w:val="24"/>
        </w:rPr>
        <w:t>Elaborado por:</w:t>
      </w:r>
    </w:p>
    <w:p>
      <w:pPr>
        <w:pStyle w:val="Normal"/>
        <w:bidi w:val="0"/>
        <w:spacing w:before="0" w:after="0"/>
        <w:ind w:left="360" w:hanging="0"/>
        <w:jc w:val="center"/>
        <w:rPr>
          <w:rFonts w:ascii="Arial" w:hAnsi="Arial"/>
          <w:sz w:val="24"/>
          <w:szCs w:val="24"/>
        </w:rPr>
      </w:pPr>
      <w:r>
        <w:rPr>
          <w:rFonts w:cs="Arial" w:ascii="Arial" w:hAnsi="Arial"/>
          <w:sz w:val="24"/>
          <w:szCs w:val="24"/>
        </w:rPr>
        <w:t>_______________________________________</w:t>
      </w:r>
    </w:p>
    <w:p>
      <w:pPr>
        <w:pStyle w:val="Normal"/>
        <w:spacing w:before="0" w:after="0"/>
        <w:jc w:val="center"/>
        <w:rPr>
          <w:rFonts w:ascii="Arial" w:hAnsi="Arial"/>
          <w:sz w:val="24"/>
          <w:szCs w:val="24"/>
        </w:rPr>
      </w:pPr>
      <w:r>
        <w:rPr>
          <w:rFonts w:ascii="Arial" w:hAnsi="Arial"/>
          <w:b w:val="false"/>
          <w:i w:val="false"/>
          <w:strike w:val="false"/>
          <w:dstrike w:val="false"/>
          <w:outline w:val="false"/>
          <w:shadow w:val="false"/>
          <w:color w:val="000000"/>
          <w:sz w:val="24"/>
          <w:szCs w:val="24"/>
          <w:u w:val="none"/>
          <w:em w:val="none"/>
        </w:rPr>
        <w:t xml:space="preserve">            </w:t>
      </w:r>
      <w:r>
        <w:rPr>
          <w:rFonts w:ascii="Arial" w:hAnsi="Arial"/>
          <w:b/>
          <w:bCs/>
          <w:i w:val="false"/>
          <w:strike w:val="false"/>
          <w:dstrike w:val="false"/>
          <w:outline w:val="false"/>
          <w:shadow w:val="false"/>
          <w:color w:val="000000"/>
          <w:sz w:val="24"/>
          <w:szCs w:val="24"/>
          <w:u w:val="none"/>
          <w:em w:val="none"/>
        </w:rPr>
        <w:t>RAFAELA SANTOS</w:t>
      </w:r>
      <w:r>
        <w:rPr>
          <w:rFonts w:ascii="Arial" w:hAnsi="Arial"/>
          <w:b w:val="false"/>
          <w:i w:val="false"/>
          <w:strike w:val="false"/>
          <w:dstrike w:val="false"/>
          <w:outline w:val="false"/>
          <w:shadow w:val="false"/>
          <w:color w:val="000000"/>
          <w:sz w:val="24"/>
          <w:szCs w:val="24"/>
          <w:u w:val="none"/>
          <w:em w:val="none"/>
        </w:rPr>
        <w:t xml:space="preserve"> SIQUEIRA FERRAZ</w:t>
      </w:r>
    </w:p>
    <w:p>
      <w:pPr>
        <w:pStyle w:val="Normal"/>
        <w:spacing w:before="0" w:after="0"/>
        <w:jc w:val="center"/>
        <w:rPr>
          <w:rFonts w:ascii="Arial" w:hAnsi="Arial"/>
          <w:sz w:val="24"/>
          <w:szCs w:val="24"/>
        </w:rPr>
      </w:pPr>
      <w:r>
        <w:rPr>
          <w:rFonts w:ascii="Arial" w:hAnsi="Arial"/>
          <w:b w:val="false"/>
          <w:i w:val="false"/>
          <w:strike w:val="false"/>
          <w:dstrike w:val="false"/>
          <w:outline w:val="false"/>
          <w:shadow w:val="false"/>
          <w:color w:val="000000"/>
          <w:sz w:val="24"/>
          <w:szCs w:val="24"/>
          <w:u w:val="none"/>
          <w:em w:val="none"/>
        </w:rPr>
        <w:t xml:space="preserve">          </w:t>
      </w:r>
      <w:r>
        <w:rPr>
          <w:rFonts w:ascii="Arial" w:hAnsi="Arial"/>
          <w:b w:val="false"/>
          <w:i w:val="false"/>
          <w:strike w:val="false"/>
          <w:dstrike w:val="false"/>
          <w:outline w:val="false"/>
          <w:shadow w:val="false"/>
          <w:color w:val="000000"/>
          <w:sz w:val="24"/>
          <w:szCs w:val="24"/>
          <w:u w:val="none"/>
          <w:em w:val="none"/>
        </w:rPr>
        <w:t xml:space="preserve">Primeiro-Tenente (RM2-S)  </w:t>
      </w:r>
    </w:p>
    <w:p>
      <w:pPr>
        <w:pStyle w:val="LONormal"/>
        <w:widowControl/>
        <w:suppressAutoHyphens w:val="true"/>
        <w:overflowPunct w:val="false"/>
        <w:bidi w:val="0"/>
        <w:spacing w:lineRule="auto" w:line="240" w:before="0" w:after="0"/>
        <w:ind w:left="794" w:right="0" w:hanging="0"/>
        <w:jc w:val="center"/>
        <w:rPr/>
      </w:pPr>
      <w:r>
        <w:rPr>
          <w:rStyle w:val="Fontepargpadro"/>
          <w:rFonts w:cs="Arial" w:ascii="Arial" w:hAnsi="Arial"/>
          <w:b w:val="false"/>
          <w:bCs w:val="false"/>
          <w:i w:val="false"/>
          <w:strike w:val="false"/>
          <w:dstrike w:val="false"/>
          <w:outline w:val="false"/>
          <w:shadow w:val="false"/>
          <w:color w:val="00000A"/>
          <w:spacing w:val="0"/>
          <w:sz w:val="24"/>
          <w:szCs w:val="24"/>
          <w:u w:val="none"/>
          <w:em w:val="none"/>
        </w:rPr>
        <w:t>Encarregada da Seção de Municiamento</w:t>
      </w:r>
    </w:p>
    <w:p>
      <w:pPr>
        <w:pStyle w:val="Normal"/>
        <w:bidi w:val="0"/>
        <w:spacing w:before="0" w:after="0"/>
        <w:ind w:left="360" w:hanging="0"/>
        <w:jc w:val="center"/>
        <w:rPr>
          <w:rFonts w:cs="Arial"/>
        </w:rPr>
      </w:pPr>
      <w:r>
        <w:rPr>
          <w:rFonts w:ascii="Arial" w:hAnsi="Arial"/>
          <w:sz w:val="24"/>
          <w:szCs w:val="24"/>
        </w:rPr>
      </w:r>
    </w:p>
    <w:p>
      <w:pPr>
        <w:pStyle w:val="Normal"/>
        <w:bidi w:val="0"/>
        <w:spacing w:before="0" w:after="0"/>
        <w:ind w:left="360" w:hanging="0"/>
        <w:jc w:val="center"/>
        <w:rPr>
          <w:rFonts w:cs="Arial"/>
        </w:rPr>
      </w:pPr>
      <w:r>
        <w:rPr>
          <w:rFonts w:ascii="Arial" w:hAnsi="Arial"/>
          <w:sz w:val="24"/>
          <w:szCs w:val="24"/>
        </w:rPr>
      </w:r>
    </w:p>
    <w:p>
      <w:pPr>
        <w:pStyle w:val="Normal"/>
        <w:bidi w:val="0"/>
        <w:spacing w:before="0" w:after="0"/>
        <w:ind w:left="360" w:hanging="0"/>
        <w:jc w:val="center"/>
        <w:rPr>
          <w:rFonts w:cs="Arial"/>
        </w:rPr>
      </w:pPr>
      <w:r>
        <w:rPr>
          <w:rFonts w:ascii="Arial" w:hAnsi="Arial"/>
          <w:sz w:val="24"/>
          <w:szCs w:val="24"/>
        </w:rPr>
      </w:r>
    </w:p>
    <w:p>
      <w:pPr>
        <w:pStyle w:val="Normal"/>
        <w:bidi w:val="0"/>
        <w:spacing w:before="0" w:after="0"/>
        <w:ind w:left="360" w:hanging="0"/>
        <w:jc w:val="center"/>
        <w:rPr>
          <w:rFonts w:ascii="Arial" w:hAnsi="Arial"/>
          <w:sz w:val="24"/>
          <w:szCs w:val="24"/>
        </w:rPr>
      </w:pPr>
      <w:r>
        <w:rPr>
          <w:rFonts w:cs="Arial" w:ascii="Arial" w:hAnsi="Arial"/>
          <w:sz w:val="24"/>
          <w:szCs w:val="24"/>
        </w:rPr>
        <w:t>___________________________________</w:t>
      </w:r>
    </w:p>
    <w:p>
      <w:pPr>
        <w:pStyle w:val="Normal"/>
        <w:bidi w:val="0"/>
        <w:spacing w:before="0" w:after="0"/>
        <w:jc w:val="center"/>
        <w:rPr>
          <w:rFonts w:ascii="Arial" w:hAnsi="Arial"/>
          <w:sz w:val="24"/>
          <w:szCs w:val="24"/>
        </w:rPr>
      </w:pPr>
      <w:r>
        <w:rPr>
          <w:rFonts w:ascii="Arial" w:hAnsi="Arial"/>
          <w:sz w:val="24"/>
          <w:szCs w:val="24"/>
        </w:rPr>
        <w:t xml:space="preserve">Carla </w:t>
      </w:r>
      <w:r>
        <w:rPr>
          <w:rFonts w:ascii="Arial" w:hAnsi="Arial"/>
          <w:b/>
          <w:bCs/>
          <w:sz w:val="24"/>
          <w:szCs w:val="24"/>
        </w:rPr>
        <w:t>LYLIANE</w:t>
      </w:r>
      <w:r>
        <w:rPr>
          <w:rFonts w:cs="Arial" w:ascii="Arial" w:hAnsi="Arial"/>
          <w:sz w:val="24"/>
          <w:szCs w:val="24"/>
        </w:rPr>
        <w:t xml:space="preserve"> S. M. do </w:t>
      </w:r>
      <w:r>
        <w:rPr>
          <w:rFonts w:cs="Arial" w:ascii="Arial" w:hAnsi="Arial"/>
          <w:b/>
          <w:bCs/>
          <w:sz w:val="24"/>
          <w:szCs w:val="24"/>
        </w:rPr>
        <w:t>VALE</w:t>
      </w:r>
    </w:p>
    <w:p>
      <w:pPr>
        <w:pStyle w:val="Normal"/>
        <w:bidi w:val="0"/>
        <w:spacing w:before="0" w:after="0"/>
        <w:jc w:val="center"/>
        <w:rPr>
          <w:rFonts w:ascii="Arial" w:hAnsi="Arial"/>
          <w:sz w:val="24"/>
          <w:szCs w:val="24"/>
        </w:rPr>
      </w:pPr>
      <w:r>
        <w:rPr>
          <w:rFonts w:cs="Arial" w:ascii="Arial" w:hAnsi="Arial"/>
          <w:sz w:val="24"/>
          <w:szCs w:val="24"/>
        </w:rPr>
        <w:t>CB-RM2-RM</w:t>
      </w:r>
    </w:p>
    <w:p>
      <w:pPr>
        <w:pStyle w:val="Normal"/>
        <w:bidi w:val="0"/>
        <w:spacing w:before="0" w:after="0"/>
        <w:ind w:left="360" w:hanging="0"/>
        <w:jc w:val="center"/>
        <w:rPr>
          <w:rFonts w:ascii="Arial" w:hAnsi="Arial"/>
          <w:sz w:val="24"/>
          <w:szCs w:val="24"/>
        </w:rPr>
      </w:pPr>
      <w:r>
        <w:rPr>
          <w:rFonts w:cs="Arial" w:ascii="Arial" w:hAnsi="Arial"/>
          <w:sz w:val="24"/>
          <w:szCs w:val="24"/>
        </w:rPr>
        <w:t>Ajudante da Seção de Aquisições</w:t>
      </w:r>
    </w:p>
    <w:p>
      <w:pPr>
        <w:pStyle w:val="Normal"/>
        <w:bidi w:val="0"/>
        <w:spacing w:before="0" w:after="0"/>
        <w:ind w:left="360" w:hanging="0"/>
        <w:jc w:val="center"/>
        <w:rPr>
          <w:rFonts w:ascii="Arial" w:hAnsi="Arial" w:cs="Arial"/>
          <w:sz w:val="24"/>
          <w:szCs w:val="24"/>
        </w:rPr>
      </w:pPr>
      <w:r>
        <w:rPr>
          <w:rFonts w:cs="Arial" w:ascii="Arial" w:hAnsi="Arial"/>
          <w:sz w:val="24"/>
          <w:szCs w:val="24"/>
        </w:rPr>
      </w:r>
    </w:p>
    <w:p>
      <w:pPr>
        <w:pStyle w:val="Normal"/>
        <w:bidi w:val="0"/>
        <w:spacing w:before="0" w:after="0"/>
        <w:ind w:left="360" w:hanging="0"/>
        <w:jc w:val="center"/>
        <w:rPr>
          <w:rFonts w:ascii="Arial" w:hAnsi="Arial" w:cs="Arial"/>
          <w:sz w:val="24"/>
          <w:szCs w:val="24"/>
        </w:rPr>
      </w:pPr>
      <w:r>
        <w:rPr>
          <w:rFonts w:cs="Arial" w:ascii="Arial" w:hAnsi="Arial"/>
          <w:sz w:val="24"/>
          <w:szCs w:val="24"/>
        </w:rPr>
      </w:r>
    </w:p>
    <w:p>
      <w:pPr>
        <w:pStyle w:val="Normal"/>
        <w:bidi w:val="0"/>
        <w:spacing w:before="0" w:after="0"/>
        <w:ind w:left="360" w:hanging="0"/>
        <w:jc w:val="center"/>
        <w:rPr>
          <w:rFonts w:ascii="Arial" w:hAnsi="Arial" w:cs="Arial"/>
          <w:sz w:val="24"/>
          <w:szCs w:val="24"/>
        </w:rPr>
      </w:pPr>
      <w:r>
        <w:rPr>
          <w:rFonts w:cs="Arial" w:ascii="Arial" w:hAnsi="Arial"/>
          <w:sz w:val="24"/>
          <w:szCs w:val="24"/>
        </w:rPr>
      </w:r>
    </w:p>
    <w:p>
      <w:pPr>
        <w:pStyle w:val="Normal"/>
        <w:spacing w:before="0" w:after="360"/>
        <w:ind w:left="360" w:hanging="0"/>
        <w:rPr>
          <w:rFonts w:ascii="Arial" w:hAnsi="Arial"/>
          <w:sz w:val="24"/>
          <w:szCs w:val="24"/>
        </w:rPr>
      </w:pPr>
      <w:r>
        <w:rPr>
          <w:rFonts w:cs="Arial" w:ascii="Arial" w:hAnsi="Arial"/>
          <w:sz w:val="24"/>
          <w:szCs w:val="24"/>
        </w:rPr>
        <w:t>Aprovado por:</w:t>
      </w:r>
    </w:p>
    <w:p>
      <w:pPr>
        <w:pStyle w:val="Normal"/>
        <w:bidi w:val="0"/>
        <w:spacing w:before="0" w:after="0"/>
        <w:ind w:hanging="0"/>
        <w:jc w:val="center"/>
        <w:rPr>
          <w:rFonts w:ascii="Arial" w:hAnsi="Arial"/>
          <w:sz w:val="24"/>
          <w:szCs w:val="24"/>
        </w:rPr>
      </w:pPr>
      <w:r>
        <w:rPr>
          <w:rFonts w:cs="Arial" w:ascii="Arial" w:hAnsi="Arial"/>
          <w:sz w:val="24"/>
          <w:szCs w:val="24"/>
        </w:rPr>
        <w:t>__________________________________</w:t>
      </w:r>
    </w:p>
    <w:p>
      <w:pPr>
        <w:pStyle w:val="Normal"/>
        <w:bidi w:val="0"/>
        <w:spacing w:before="0" w:after="0"/>
        <w:ind w:left="360" w:hanging="0"/>
        <w:jc w:val="center"/>
        <w:rPr>
          <w:rFonts w:ascii="Arial" w:hAnsi="Arial"/>
          <w:sz w:val="24"/>
          <w:szCs w:val="24"/>
        </w:rPr>
      </w:pPr>
      <w:r>
        <w:rPr>
          <w:rFonts w:cs="Arial" w:ascii="Arial" w:hAnsi="Arial"/>
          <w:color w:val="000000"/>
          <w:sz w:val="24"/>
          <w:szCs w:val="24"/>
        </w:rPr>
        <w:t xml:space="preserve">Alexandre </w:t>
      </w:r>
      <w:r>
        <w:rPr>
          <w:rFonts w:cs="Arial" w:ascii="Arial" w:hAnsi="Arial"/>
          <w:b/>
          <w:bCs/>
          <w:color w:val="000000"/>
          <w:sz w:val="24"/>
          <w:szCs w:val="24"/>
        </w:rPr>
        <w:t>ALBUQUERQUE</w:t>
      </w:r>
      <w:r>
        <w:rPr>
          <w:rFonts w:cs="Arial" w:ascii="Arial" w:hAnsi="Arial"/>
          <w:color w:val="000000"/>
          <w:sz w:val="24"/>
          <w:szCs w:val="24"/>
        </w:rPr>
        <w:t xml:space="preserve"> Rosa</w:t>
      </w:r>
    </w:p>
    <w:p>
      <w:pPr>
        <w:pStyle w:val="Normal"/>
        <w:bidi w:val="0"/>
        <w:spacing w:before="0" w:after="0"/>
        <w:ind w:left="360" w:hanging="0"/>
        <w:jc w:val="center"/>
        <w:rPr>
          <w:rFonts w:ascii="Arial" w:hAnsi="Arial"/>
          <w:sz w:val="24"/>
          <w:szCs w:val="24"/>
        </w:rPr>
      </w:pPr>
      <w:r>
        <w:rPr>
          <w:rFonts w:cs="Arial" w:ascii="Arial" w:hAnsi="Arial"/>
          <w:color w:val="000000"/>
          <w:sz w:val="24"/>
          <w:szCs w:val="24"/>
        </w:rPr>
        <w:t>Capitão de Mar e Guerra (Md)</w:t>
      </w:r>
    </w:p>
    <w:p>
      <w:pPr>
        <w:pStyle w:val="Normal"/>
        <w:bidi w:val="0"/>
        <w:spacing w:before="0" w:after="0"/>
        <w:ind w:left="360" w:hanging="0"/>
        <w:jc w:val="center"/>
        <w:rPr>
          <w:rFonts w:ascii="Arial" w:hAnsi="Arial"/>
          <w:sz w:val="24"/>
          <w:szCs w:val="24"/>
        </w:rPr>
      </w:pPr>
      <w:r>
        <w:rPr>
          <w:rFonts w:cs="Arial" w:ascii="Arial" w:hAnsi="Arial"/>
          <w:i w:val="false"/>
          <w:iCs w:val="false"/>
          <w:color w:val="000000"/>
          <w:sz w:val="24"/>
          <w:szCs w:val="24"/>
        </w:rPr>
        <w:t>Ordenador de Despesa</w:t>
      </w:r>
    </w:p>
    <w:p>
      <w:pPr>
        <w:pStyle w:val="Normal"/>
        <w:bidi w:val="0"/>
        <w:spacing w:before="0" w:after="0"/>
        <w:ind w:left="360" w:hanging="0"/>
        <w:jc w:val="center"/>
        <w:rPr>
          <w:rFonts w:cs="Arial"/>
          <w:b/>
          <w:b/>
          <w:bCs/>
          <w:i w:val="false"/>
          <w:i w:val="false"/>
          <w:iCs w:val="false"/>
          <w:color w:val="000000"/>
          <w:sz w:val="24"/>
          <w:szCs w:val="24"/>
        </w:rPr>
      </w:pPr>
      <w:r>
        <w:rPr/>
      </w:r>
    </w:p>
    <w:p>
      <w:pPr>
        <w:pStyle w:val="Normal"/>
        <w:widowControl/>
        <w:shd w:val="clear" w:fill="FFFFFF"/>
        <w:spacing w:lineRule="auto" w:line="276" w:before="120" w:after="120"/>
        <w:ind w:left="360" w:hanging="0"/>
        <w:jc w:val="center"/>
        <w:rPr>
          <w:rFonts w:ascii="Arial" w:hAnsi="Arial" w:cs="Arial"/>
          <w:i w:val="false"/>
          <w:i w:val="false"/>
          <w:iCs w:val="false"/>
          <w:sz w:val="20"/>
          <w:szCs w:val="20"/>
        </w:rPr>
      </w:pPr>
      <w:r>
        <w:rPr>
          <w:rFonts w:cs="Arial"/>
          <w:i w:val="false"/>
          <w:iCs w:val="false"/>
          <w:sz w:val="20"/>
          <w:szCs w:val="20"/>
        </w:rPr>
      </w:r>
    </w:p>
    <w:p>
      <w:pPr>
        <w:pStyle w:val="Normal"/>
        <w:widowControl/>
        <w:shd w:val="clear" w:fill="FFFFFF"/>
        <w:spacing w:lineRule="auto" w:line="276" w:before="120" w:after="120"/>
        <w:ind w:left="360" w:hanging="0"/>
        <w:jc w:val="center"/>
        <w:rPr/>
      </w:pPr>
      <w:r>
        <w:rPr/>
      </w:r>
    </w:p>
    <w:p>
      <w:pPr>
        <w:pStyle w:val="Normal"/>
        <w:widowControl/>
        <w:shd w:val="clear" w:fill="FFFFFF"/>
        <w:spacing w:lineRule="auto" w:line="276" w:before="120" w:after="120"/>
        <w:ind w:left="360" w:hanging="0"/>
        <w:jc w:val="center"/>
        <w:rPr/>
      </w:pPr>
      <w:r>
        <w:rPr/>
      </w:r>
    </w:p>
    <w:p>
      <w:pPr>
        <w:pStyle w:val="Normal"/>
        <w:widowControl/>
        <w:shd w:val="clear" w:fill="FFFFFF"/>
        <w:spacing w:lineRule="auto" w:line="276" w:before="120" w:after="120"/>
        <w:ind w:left="360" w:hanging="0"/>
        <w:jc w:val="center"/>
        <w:rPr/>
      </w:pPr>
      <w:r>
        <w:rPr/>
      </w:r>
    </w:p>
    <w:p>
      <w:pPr>
        <w:pStyle w:val="Normal"/>
        <w:widowControl/>
        <w:shd w:val="clear" w:fill="FFFFFF"/>
        <w:bidi w:val="0"/>
        <w:spacing w:lineRule="auto" w:line="276" w:before="0" w:after="0"/>
        <w:ind w:hanging="0"/>
        <w:jc w:val="center"/>
        <w:rPr/>
      </w:pPr>
      <w:r>
        <w:rPr>
          <w:rFonts w:cs="Arial"/>
          <w:b/>
          <w:bCs/>
          <w:i w:val="false"/>
          <w:iCs w:val="false"/>
          <w:color w:val="000000"/>
          <w:sz w:val="24"/>
          <w:szCs w:val="24"/>
        </w:rPr>
        <w:t>ANEXO III – IMAGEM DAS DIMENSÕES</w:t>
      </w:r>
    </w:p>
    <w:p>
      <w:pPr>
        <w:pStyle w:val="Normal"/>
        <w:widowControl/>
        <w:shd w:val="clear" w:fill="FFFFFF"/>
        <w:spacing w:lineRule="auto" w:line="276" w:before="120" w:after="120"/>
        <w:ind w:left="360" w:hanging="0"/>
        <w:jc w:val="center"/>
        <w:rPr/>
      </w:pPr>
      <w:r>
        <w:rPr/>
      </w:r>
    </w:p>
    <w:p>
      <w:pPr>
        <w:pStyle w:val="Normal"/>
        <w:widowControl/>
        <w:shd w:val="clear" w:fill="FFFFFF"/>
        <w:spacing w:lineRule="auto" w:line="276" w:before="120" w:after="120"/>
        <w:ind w:left="360" w:hanging="0"/>
        <w:jc w:val="center"/>
        <w:rPr/>
      </w:pPr>
      <w:r>
        <w:rPr/>
      </w:r>
    </w:p>
    <w:p>
      <w:pPr>
        <w:pStyle w:val="Normal"/>
        <w:widowControl/>
        <w:shd w:val="clear" w:fill="FFFFFF"/>
        <w:spacing w:lineRule="auto" w:line="276" w:before="120" w:after="120"/>
        <w:ind w:left="360" w:hanging="0"/>
        <w:jc w:val="center"/>
        <w:rPr/>
      </w:pPr>
      <w:r>
        <w:rPr/>
      </w:r>
    </w:p>
    <w:p>
      <w:pPr>
        <w:pStyle w:val="Normal"/>
        <w:widowControl/>
        <w:shd w:val="clear" w:fill="FFFFFF"/>
        <w:spacing w:lineRule="auto" w:line="276" w:before="120" w:after="120"/>
        <w:ind w:left="360" w:hanging="0"/>
        <w:jc w:val="center"/>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5960110" cy="4859655"/>
            <wp:effectExtent l="0" t="0" r="0" b="0"/>
            <wp:wrapSquare wrapText="largest"/>
            <wp:docPr id="4"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descr=""/>
                    <pic:cNvPicPr>
                      <a:picLocks noChangeAspect="1" noChangeArrowheads="1"/>
                    </pic:cNvPicPr>
                  </pic:nvPicPr>
                  <pic:blipFill>
                    <a:blip r:embed="rId10"/>
                    <a:stretch>
                      <a:fillRect/>
                    </a:stretch>
                  </pic:blipFill>
                  <pic:spPr bwMode="auto">
                    <a:xfrm>
                      <a:off x="0" y="0"/>
                      <a:ext cx="5960110" cy="4859655"/>
                    </a:xfrm>
                    <a:prstGeom prst="rect">
                      <a:avLst/>
                    </a:prstGeom>
                  </pic:spPr>
                </pic:pic>
              </a:graphicData>
            </a:graphic>
          </wp:anchor>
        </w:drawing>
      </w:r>
    </w:p>
    <w:sectPr>
      <w:headerReference w:type="default" r:id="rId11"/>
      <w:headerReference w:type="first" r:id="rId12"/>
      <w:footerReference w:type="default" r:id="rId13"/>
      <w:footerReference w:type="first" r:id="rId14"/>
      <w:type w:val="nextPage"/>
      <w:pgSz w:w="11906" w:h="16838"/>
      <w:pgMar w:left="1080" w:right="1080" w:header="708" w:top="1440" w:footer="0" w:bottom="70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Rawline">
    <w:charset w:val="01"/>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3">
          <wp:simplePos x="0" y="0"/>
          <wp:positionH relativeFrom="column">
            <wp:posOffset>-685800</wp:posOffset>
          </wp:positionH>
          <wp:positionV relativeFrom="paragraph">
            <wp:posOffset>-337185</wp:posOffset>
          </wp:positionV>
          <wp:extent cx="7560310" cy="10692130"/>
          <wp:effectExtent l="0" t="0" r="0" b="0"/>
          <wp:wrapNone/>
          <wp:docPr id="5" name="Figura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rPr>
        <w:sz w:val="24"/>
        <w:b/>
        <w:color w:val="000000"/>
      </w:rPr>
    </w:lvl>
    <w:lvl w:ilvl="1">
      <w:start w:val="1"/>
      <w:numFmt w:val="decimal"/>
      <w:lvlText w:val="%1.%2."/>
      <w:lvlJc w:val="left"/>
      <w:pPr>
        <w:tabs>
          <w:tab w:val="num" w:pos="0"/>
        </w:tabs>
        <w:ind w:left="792" w:hanging="432"/>
      </w:pPr>
      <w:rPr>
        <w:sz w:val="24"/>
        <w:i w:val="false"/>
        <w:b/>
        <w:iCs/>
      </w:rPr>
    </w:lvl>
    <w:lvl w:ilvl="2">
      <w:start w:val="1"/>
      <w:numFmt w:val="decimal"/>
      <w:lvlText w:val="%1.%2.%3."/>
      <w:lvlJc w:val="left"/>
      <w:pPr>
        <w:tabs>
          <w:tab w:val="num" w:pos="0"/>
        </w:tabs>
        <w:ind w:left="1224" w:hanging="504"/>
      </w:pPr>
      <w:rPr>
        <w:sz w:val="24"/>
        <w:i w:val="false"/>
        <w:b/>
        <w:iCs/>
        <w:rFonts w:cs="Arial"/>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20"/>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name w:val="Vínculo de índice"/>
    <w:qFormat/>
    <w:rPr/>
  </w:style>
  <w:style w:type="character" w:styleId="Nfaseforte">
    <w:name w:val="Ênfase forte"/>
    <w:qFormat/>
    <w:rPr>
      <w:b/>
      <w:bCs/>
    </w:rPr>
  </w:style>
  <w:style w:type="character" w:styleId="Nfase">
    <w:name w:val="Ênfase"/>
    <w:qFormat/>
    <w:rPr>
      <w:i/>
      <w:iCs/>
    </w:rPr>
  </w:style>
  <w:style w:type="character" w:styleId="Fontepargpadro">
    <w:name w:val="Fonte parág. padrão"/>
    <w:qFormat/>
    <w:rPr/>
  </w:style>
  <w:style w:type="character" w:styleId="Linkdainternetvisitado">
    <w:name w:val="Link da internet visitado"/>
    <w:basedOn w:val="DefaultParagraphFont"/>
    <w:rPr>
      <w:color w:val="954F72" w:themeColor="followedHyperlink"/>
      <w:u w:val="single"/>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720"/>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20"/>
        <w:tab w:val="center" w:pos="4252" w:leader="none"/>
        <w:tab w:val="right" w:pos="8504" w:leader="none"/>
      </w:tabs>
    </w:pPr>
    <w:rPr/>
  </w:style>
  <w:style w:type="paragraph" w:styleId="Rodap">
    <w:name w:val="Footer"/>
    <w:basedOn w:val="Normal"/>
    <w:link w:val="RodapChar"/>
    <w:uiPriority w:val="99"/>
    <w:unhideWhenUsed/>
    <w:rsid w:val="00805244"/>
    <w:pPr>
      <w:tabs>
        <w:tab w:val="clear" w:pos="720"/>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
    <w:name w:val="LO-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00000A"/>
      <w:kern w:val="0"/>
      <w:sz w:val="22"/>
      <w:szCs w:val="22"/>
      <w:lang w:val="pt-BR" w:eastAsia="en-US" w:bidi="ar-SA"/>
    </w:rPr>
  </w:style>
  <w:style w:type="paragraph" w:styleId="Nvel2Opcional">
    <w:name w:val="Nível 2 Opcional"/>
    <w:basedOn w:val="Normal"/>
    <w:qFormat/>
    <w:pPr>
      <w:spacing w:lineRule="auto" w:line="276" w:before="120" w:after="120"/>
      <w:ind w:left="432" w:hanging="432"/>
      <w:jc w:val="both"/>
    </w:pPr>
    <w:rPr>
      <w:rFonts w:ascii="Arial" w:hAnsi="Arial" w:eastAsia="Times New Roman" w:cs="Arial"/>
      <w:i/>
      <w:color w:val="FF0000"/>
      <w:sz w:val="20"/>
      <w:szCs w:val="20"/>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image" Target="media/image2.png"/><Relationship Id="rId7" Type="http://schemas.openxmlformats.org/officeDocument/2006/relationships/image" Target="media/image3.wmf"/><Relationship Id="rId8" Type="http://schemas.openxmlformats.org/officeDocument/2006/relationships/hyperlink" Target="http://www.portaldatransparencia.gov.br/ceis" TargetMode="External"/><Relationship Id="rId9" Type="http://schemas.openxmlformats.org/officeDocument/2006/relationships/hyperlink" Target="https://www.portaltransparencia.gov.br/sancoes/cnep" TargetMode="External"/><Relationship Id="rId10" Type="http://schemas.openxmlformats.org/officeDocument/2006/relationships/image" Target="media/image4.jpe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Relationship Id="rId20" Type="http://schemas.openxmlformats.org/officeDocument/2006/relationships/customXml" Target="../customXml/item2.xml"/><Relationship Id="rId21" Type="http://schemas.openxmlformats.org/officeDocument/2006/relationships/customXml" Target="../customXml/item3.xml"/><Relationship Id="rId22"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Application>LibreOffice/6.4.7.2$Linux_X86_64 LibreOffice_project/40$Build-2</Application>
  <Pages>29</Pages>
  <Words>8120</Words>
  <Characters>47082</Characters>
  <CharactersWithSpaces>54755</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2023-08-29T11:31:52Z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