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cs="Arial"/>
          <w:color w:val="5B5B5F"/>
          <w:sz w:val="32"/>
          <w:szCs w:val="32"/>
        </w:rPr>
      </w:pPr>
      <w:r>
        <w:rPr>
          <w:rFonts w:cs="Arial"/>
          <w:color w:val="5B5B5F"/>
          <w:sz w:val="32"/>
          <w:szCs w:val="32"/>
        </w:rPr>
      </w:r>
    </w:p>
    <w:p>
      <w:pPr>
        <w:pStyle w:val="Normal"/>
        <w:rPr/>
      </w:pPr>
      <w:r>
        <w:rPr>
          <w:rFonts w:cs="Arial"/>
          <w:color w:val="5B5B5F"/>
          <w:sz w:val="36"/>
          <w:szCs w:val="36"/>
        </w:rPr>
        <w:t>Aviso de</w:t>
      </w:r>
      <w:r>
        <w:rPr>
          <w:rFonts w:cs="Arial"/>
          <w:color w:val="FF0000"/>
          <w:szCs w:val="18"/>
        </w:rPr>
        <w:t xml:space="preserve"> </w:t>
      </w:r>
    </w:p>
    <w:p>
      <w:pPr>
        <w:pStyle w:val="Normal"/>
        <w:rPr/>
      </w:pPr>
      <w:r>
        <w:rPr>
          <w:rFonts w:cs="Arial"/>
          <w:color w:val="405CA1"/>
          <w:sz w:val="56"/>
          <w:szCs w:val="56"/>
        </w:rPr>
        <w:t xml:space="preserve">DISPENSA </w:t>
      </w:r>
    </w:p>
    <w:p>
      <w:pPr>
        <w:pStyle w:val="Normal"/>
        <w:rPr/>
      </w:pPr>
      <w:r>
        <w:rPr>
          <w:rFonts w:cs="Arial"/>
          <w:color w:val="405CA1"/>
          <w:sz w:val="56"/>
          <w:szCs w:val="56"/>
        </w:rPr>
        <w:t>ELETRÔNICA</w:t>
      </w:r>
    </w:p>
    <w:p>
      <w:pPr>
        <w:pStyle w:val="Normal"/>
        <w:rPr/>
      </w:pPr>
      <w:r>
        <w:rPr>
          <w:rFonts w:cs="Arial"/>
          <w:b/>
          <w:bCs/>
          <w:i/>
          <w:iCs/>
          <w:color w:val="5B5B5F"/>
          <w:sz w:val="32"/>
          <w:szCs w:val="32"/>
        </w:rPr>
        <w:t>_____/2023</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pPr>
      <w:r>
        <w:rPr>
          <w:rFonts w:cs="Arial"/>
          <w:b/>
          <w:bCs/>
          <w:color w:val="405CA1"/>
          <w:sz w:val="32"/>
          <w:szCs w:val="32"/>
        </w:rPr>
        <w:t>CONTRATANTE (UASG)</w:t>
      </w:r>
    </w:p>
    <w:p>
      <w:pPr>
        <w:pStyle w:val="Normal"/>
        <w:rPr/>
      </w:pPr>
      <w:r>
        <w:rPr>
          <w:rFonts w:cs="Arial"/>
          <w:b/>
          <w:bCs/>
          <w:color w:val="538135" w:themeColor="accent6" w:themeShade="bf"/>
          <w:sz w:val="28"/>
          <w:szCs w:val="28"/>
        </w:rPr>
        <w:t>COMANDO DO 3ºDISTRITO NAVAL(783000)</w:t>
      </w:r>
    </w:p>
    <w:p>
      <w:pPr>
        <w:pStyle w:val="Normal"/>
        <w:rPr>
          <w:rFonts w:cs="Arial"/>
          <w:color w:val="5B5B5F"/>
          <w:sz w:val="32"/>
          <w:szCs w:val="32"/>
        </w:rPr>
      </w:pPr>
      <w:r>
        <w:rPr>
          <w:rFonts w:cs="Arial"/>
          <w:color w:val="5B5B5F"/>
          <w:sz w:val="32"/>
          <w:szCs w:val="32"/>
        </w:rPr>
      </w:r>
    </w:p>
    <w:p>
      <w:pPr>
        <w:pStyle w:val="Normal"/>
        <w:rPr/>
      </w:pPr>
      <w:r>
        <w:rPr>
          <w:rFonts w:cs="Arial"/>
          <w:b/>
          <w:bCs/>
          <w:color w:val="405CA1"/>
          <w:sz w:val="32"/>
          <w:szCs w:val="32"/>
        </w:rPr>
        <w:t>OBJETO</w:t>
      </w:r>
    </w:p>
    <w:p>
      <w:pPr>
        <w:pStyle w:val="Normal"/>
        <w:rPr/>
      </w:pPr>
      <w:r>
        <w:rPr>
          <w:rFonts w:eastAsia="Times New Roman" w:cs="Arial"/>
          <w:b/>
          <w:bCs/>
          <w:color w:val="000000"/>
          <w:kern w:val="0"/>
          <w:sz w:val="24"/>
          <w:szCs w:val="24"/>
          <w:lang w:val="pt-BR" w:eastAsia="pt-BR" w:bidi="ar-SA"/>
        </w:rPr>
        <w:t>Contratação de serviço de decoração para evento do PAE ( Programa de Atendimento Especial)</w:t>
      </w:r>
    </w:p>
    <w:p>
      <w:pPr>
        <w:pStyle w:val="Normal"/>
        <w:rPr>
          <w:rFonts w:cs="Arial"/>
          <w:color w:val="5B5B5F"/>
          <w:sz w:val="32"/>
          <w:szCs w:val="32"/>
        </w:rPr>
      </w:pPr>
      <w:r>
        <w:rPr>
          <w:rFonts w:cs="Arial"/>
          <w:color w:val="5B5B5F"/>
          <w:sz w:val="32"/>
          <w:szCs w:val="32"/>
        </w:rPr>
      </w:r>
    </w:p>
    <w:p>
      <w:pPr>
        <w:pStyle w:val="Normal"/>
        <w:rPr/>
      </w:pPr>
      <w:r>
        <w:rPr>
          <w:rFonts w:cs="Arial"/>
          <w:b/>
          <w:bCs/>
          <w:color w:val="405CA1"/>
          <w:sz w:val="32"/>
          <w:szCs w:val="32"/>
        </w:rPr>
        <w:t>VALOR TOTAL DA CONTRATAÇÃO</w:t>
      </w:r>
    </w:p>
    <w:p>
      <w:pPr>
        <w:pStyle w:val="Normal"/>
        <w:rPr>
          <w:sz w:val="24"/>
          <w:szCs w:val="24"/>
        </w:rPr>
      </w:pPr>
      <w:r>
        <w:rPr>
          <w:rFonts w:cs="Arial"/>
          <w:b/>
          <w:bCs/>
          <w:color w:val="000000"/>
          <w:sz w:val="24"/>
          <w:szCs w:val="24"/>
        </w:rPr>
        <w:t>R</w:t>
      </w:r>
      <w:r>
        <w:rPr>
          <w:rFonts w:cs="Arial"/>
          <w:b/>
          <w:bCs/>
          <w:color w:val="000000"/>
          <w:sz w:val="24"/>
          <w:szCs w:val="24"/>
          <w:shd w:fill="FFFFFF" w:val="clear"/>
        </w:rPr>
        <w:t>$ 700,00</w:t>
      </w:r>
    </w:p>
    <w:p>
      <w:pPr>
        <w:pStyle w:val="Normal"/>
        <w:rPr>
          <w:rFonts w:cs="Arial"/>
          <w:color w:val="FF0000"/>
          <w:sz w:val="32"/>
          <w:szCs w:val="32"/>
        </w:rPr>
      </w:pPr>
      <w:r>
        <w:rPr>
          <w:rFonts w:cs="Arial"/>
          <w:color w:val="FF0000"/>
          <w:sz w:val="32"/>
          <w:szCs w:val="32"/>
        </w:rPr>
      </w:r>
    </w:p>
    <w:p>
      <w:pPr>
        <w:pStyle w:val="Normal"/>
        <w:rPr/>
      </w:pPr>
      <w:r>
        <w:rPr>
          <w:rFonts w:cs="Arial"/>
          <w:b/>
          <w:bCs/>
          <w:color w:val="405CA1"/>
          <w:sz w:val="32"/>
          <w:szCs w:val="32"/>
        </w:rPr>
        <w:t xml:space="preserve">PERÍODO DE PROPOSTAS </w:t>
      </w:r>
    </w:p>
    <w:p>
      <w:pPr>
        <w:pStyle w:val="Normal"/>
        <w:rPr/>
      </w:pPr>
      <w:r>
        <w:rPr>
          <w:rFonts w:cs="Arial"/>
          <w:color w:val="000000" w:themeColor="text1"/>
          <w:sz w:val="28"/>
          <w:szCs w:val="28"/>
        </w:rPr>
        <w:t>De _____/_______/2023</w:t>
      </w:r>
    </w:p>
    <w:p>
      <w:pPr>
        <w:pStyle w:val="Normal"/>
        <w:rPr/>
      </w:pPr>
      <w:r>
        <w:rPr>
          <w:rFonts w:cs="Arial"/>
          <w:color w:val="000000" w:themeColor="text1"/>
          <w:sz w:val="28"/>
          <w:szCs w:val="28"/>
        </w:rPr>
        <w:t>A  ______/_______/2023</w:t>
      </w:r>
    </w:p>
    <w:p>
      <w:pPr>
        <w:pStyle w:val="Normal"/>
        <w:rPr>
          <w:rFonts w:cs="Arial"/>
          <w:color w:val="5B5B5F"/>
          <w:sz w:val="32"/>
          <w:szCs w:val="32"/>
        </w:rPr>
      </w:pPr>
      <w:r>
        <w:rPr>
          <w:rFonts w:cs="Arial"/>
          <w:color w:val="5B5B5F"/>
          <w:sz w:val="32"/>
          <w:szCs w:val="32"/>
        </w:rPr>
      </w:r>
    </w:p>
    <w:p>
      <w:pPr>
        <w:pStyle w:val="Normal"/>
        <w:rPr/>
      </w:pPr>
      <w:r>
        <w:rPr>
          <w:rFonts w:cs="Arial"/>
          <w:b/>
          <w:bCs/>
          <w:color w:val="405CA1"/>
          <w:sz w:val="32"/>
          <w:szCs w:val="32"/>
        </w:rPr>
        <w:t>PERÍODO DE LANCES</w:t>
      </w:r>
    </w:p>
    <w:p>
      <w:pPr>
        <w:pStyle w:val="Normal"/>
        <w:rPr/>
      </w:pPr>
      <w:r>
        <w:rPr>
          <w:rFonts w:cs="Arial"/>
          <w:color w:val="000000" w:themeColor="text1"/>
          <w:sz w:val="28"/>
          <w:szCs w:val="28"/>
        </w:rPr>
        <w:t>De ______/______/2023</w:t>
      </w:r>
    </w:p>
    <w:p>
      <w:pPr>
        <w:pStyle w:val="Normal"/>
        <w:rPr/>
      </w:pPr>
      <w:r>
        <w:rPr>
          <w:rFonts w:cs="Arial"/>
          <w:color w:val="000000" w:themeColor="text1"/>
          <w:sz w:val="28"/>
          <w:szCs w:val="28"/>
        </w:rPr>
        <w:t>Das 08h ás 14h</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rFonts w:cs="Arial"/>
          <w:b/>
          <w:b/>
          <w:bCs/>
          <w:color w:val="5B5B5F"/>
          <w:sz w:val="28"/>
          <w:szCs w:val="28"/>
        </w:rPr>
      </w:pPr>
      <w:r>
        <w:rPr>
          <w:rFonts w:cs="Arial"/>
          <w:b/>
          <w:bCs/>
          <w:color w:val="F58220"/>
          <w:sz w:val="28"/>
          <w:szCs w:val="28"/>
        </w:rPr>
        <w:t>SIM</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sdt>
      <w:sdtPr>
        <w:docPartObj>
          <w:docPartGallery w:val="Table of Contents"/>
          <w:docPartUnique w:val="true"/>
        </w:docPartObj>
      </w:sdtPr>
      <w:sdtContent>
        <w:p>
          <w:pPr>
            <w:pStyle w:val="Ttulodosumrio"/>
            <w:rPr>
              <w:rFonts w:ascii="Arial" w:hAnsi="Arial" w:cs="Arial"/>
              <w:sz w:val="22"/>
              <w:szCs w:val="22"/>
            </w:rPr>
          </w:pPr>
          <w:r>
            <w:br w:type="page"/>
          </w:r>
          <w:r>
            <w:rPr>
              <w:rFonts w:cs="Arial" w:ascii="Arial" w:hAnsi="Arial"/>
              <w:sz w:val="22"/>
              <w:szCs w:val="22"/>
            </w:rPr>
            <w:t>Sumário</w:t>
          </w:r>
        </w:p>
        <w:p>
          <w:pPr>
            <w:pStyle w:val="Normal"/>
            <w:rPr/>
          </w:pPr>
          <w:r>
            <w:rPr/>
          </w:r>
        </w:p>
        <w:p>
          <w:pPr>
            <w:pStyle w:val="Sumrio1"/>
            <w:tabs>
              <w:tab w:val="clear" w:pos="347"/>
              <w:tab w:val="left" w:pos="440" w:leader="none"/>
              <w:tab w:val="right" w:pos="9736" w:leader="dot"/>
            </w:tabs>
            <w:rPr>
              <w:rFonts w:eastAsia="" w:cs="Arial" w:eastAsiaTheme="minorEastAsia"/>
              <w:sz w:val="22"/>
              <w:szCs w:val="22"/>
            </w:rPr>
          </w:pPr>
          <w:r>
            <w:fldChar w:fldCharType="begin"/>
          </w:r>
          <w:r>
            <w:rPr>
              <w:webHidden/>
              <w:rStyle w:val="Vnculodendice"/>
              <w:sz w:val="22"/>
              <w:b/>
              <w:szCs w:val="22"/>
              <w:vanish w:val="false"/>
              <w:rFonts w:eastAsia="Calibri" w:cs="Arial"/>
            </w:rPr>
            <w:instrText xml:space="preserve">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 xml:space="preserve">PAGEREF _Toc104906818 \h</w:instrText>
            </w:r>
            <w:r>
              <w:rPr>
                <w:webHidden/>
              </w:rPr>
              <w:fldChar w:fldCharType="separate"/>
            </w:r>
            <w:r>
              <w:rPr>
                <w:rStyle w:val="Vnculodendice"/>
                <w:rFonts w:cs="Arial"/>
                <w:sz w:val="22"/>
                <w:szCs w:val="22"/>
              </w:rPr>
              <w:tab/>
              <w:t>3</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 xml:space="preserve">PAGEREF _Toc104906819 \h</w:instrText>
            </w:r>
            <w:r>
              <w:rPr>
                <w:webHidden/>
              </w:rPr>
              <w:fldChar w:fldCharType="separate"/>
            </w:r>
            <w:r>
              <w:rPr>
                <w:rStyle w:val="Vnculodendice"/>
                <w:rFonts w:cs="Arial"/>
                <w:sz w:val="22"/>
                <w:szCs w:val="22"/>
              </w:rPr>
              <w:tab/>
              <w:t>4</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 xml:space="preserve">PAGEREF _Toc104906820 \h</w:instrText>
            </w:r>
            <w:r>
              <w:rPr>
                <w:webHidden/>
              </w:rPr>
              <w:fldChar w:fldCharType="separate"/>
            </w:r>
            <w:r>
              <w:rPr>
                <w:rStyle w:val="Vnculodendice"/>
                <w:rFonts w:cs="Arial"/>
                <w:sz w:val="22"/>
                <w:szCs w:val="22"/>
              </w:rPr>
              <w:tab/>
              <w:t>5</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 xml:space="preserve">PAGEREF _Toc104906821 \h</w:instrText>
            </w:r>
            <w:r>
              <w:rPr>
                <w:webHidden/>
              </w:rPr>
              <w:fldChar w:fldCharType="separate"/>
            </w:r>
            <w:r>
              <w:rPr>
                <w:rStyle w:val="Vnculodendice"/>
                <w:rFonts w:cs="Arial"/>
                <w:sz w:val="22"/>
                <w:szCs w:val="22"/>
              </w:rPr>
              <w:tab/>
              <w:t>7</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 xml:space="preserve">PAGEREF _Toc104906822 \h</w:instrText>
            </w:r>
            <w:r>
              <w:rPr>
                <w:webHidden/>
              </w:rPr>
              <w:fldChar w:fldCharType="separate"/>
            </w:r>
            <w:r>
              <w:rPr>
                <w:rStyle w:val="Vnculodendice"/>
                <w:rFonts w:cs="Arial"/>
                <w:sz w:val="22"/>
                <w:szCs w:val="22"/>
              </w:rPr>
              <w:tab/>
              <w:t>8</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 xml:space="preserve">PAGEREF _Toc104906823 \h</w:instrText>
            </w:r>
            <w:r>
              <w:rPr>
                <w:webHidden/>
              </w:rPr>
              <w:fldChar w:fldCharType="separate"/>
            </w:r>
            <w:r>
              <w:rPr>
                <w:rStyle w:val="Vnculodendice"/>
                <w:rFonts w:cs="Arial"/>
                <w:sz w:val="22"/>
                <w:szCs w:val="22"/>
              </w:rPr>
              <w:tab/>
              <w:t>10</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 xml:space="preserve">PAGEREF _Toc104906824 \h</w:instrText>
            </w:r>
            <w:r>
              <w:rPr>
                <w:webHidden/>
              </w:rPr>
              <w:fldChar w:fldCharType="separate"/>
            </w:r>
            <w:r>
              <w:rPr>
                <w:rStyle w:val="Vnculodendice"/>
                <w:rFonts w:cs="Arial"/>
                <w:sz w:val="22"/>
                <w:szCs w:val="22"/>
              </w:rPr>
              <w:tab/>
              <w:t>12</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 xml:space="preserve">PAGEREF _Toc104906825 \h</w:instrText>
            </w:r>
            <w:r>
              <w:rPr>
                <w:webHidden/>
              </w:rPr>
              <w:fldChar w:fldCharType="separate"/>
            </w:r>
            <w:r>
              <w:rPr>
                <w:rStyle w:val="Vnculodendice"/>
                <w:rFonts w:cs="Arial"/>
                <w:sz w:val="22"/>
                <w:szCs w:val="22"/>
              </w:rPr>
              <w:tab/>
              <w:t>13</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 xml:space="preserve">PAGEREF _Toc104906826 \h</w:instrText>
            </w:r>
            <w:r>
              <w:rPr>
                <w:webHidden/>
              </w:rPr>
              <w:fldChar w:fldCharType="separate"/>
            </w:r>
            <w:r>
              <w:rPr>
                <w:rStyle w:val="Vnculodendice"/>
                <w:rFonts w:cs="Arial"/>
                <w:sz w:val="22"/>
                <w:szCs w:val="22"/>
              </w:rPr>
              <w:tab/>
              <w:t>15</w:t>
            </w:r>
            <w:r>
              <w:rPr>
                <w:webHidden/>
              </w:rPr>
              <w:fldChar w:fldCharType="end"/>
            </w:r>
          </w:hyperlink>
        </w:p>
        <w:p>
          <w:pPr>
            <w:pStyle w:val="Normal"/>
            <w:rPr/>
          </w:pPr>
          <w:r>
            <w:rPr/>
          </w:r>
          <w:r>
            <w:rP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spacing w:lineRule="auto" w:line="276"/>
        <w:jc w:val="center"/>
        <w:rPr>
          <w:rFonts w:ascii="Calibri" w:hAnsi="Calibri" w:cs="Arial"/>
          <w:b/>
          <w:b/>
          <w:bCs/>
          <w:color w:val="000000"/>
          <w:sz w:val="24"/>
        </w:rPr>
      </w:pPr>
      <w:r>
        <w:rPr/>
        <w:drawing>
          <wp:inline distT="0" distB="0" distL="0" distR="0">
            <wp:extent cx="718820" cy="721360"/>
            <wp:effectExtent l="0" t="0" r="0" b="0"/>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rcRect l="-12" t="-12" r="-12" b="-12"/>
                    <a:stretch>
                      <a:fillRect/>
                    </a:stretch>
                  </pic:blipFill>
                  <pic:spPr bwMode="auto">
                    <a:xfrm>
                      <a:off x="0" y="0"/>
                      <a:ext cx="718820" cy="721360"/>
                    </a:xfrm>
                    <a:prstGeom prst="rect">
                      <a:avLst/>
                    </a:prstGeom>
                  </pic:spPr>
                </pic:pic>
              </a:graphicData>
            </a:graphic>
          </wp:inline>
        </w:drawing>
      </w:r>
    </w:p>
    <w:p>
      <w:pPr>
        <w:pStyle w:val="Normal"/>
        <w:spacing w:lineRule="auto" w:line="276"/>
        <w:jc w:val="center"/>
        <w:rPr>
          <w:rFonts w:cs="Arial"/>
          <w:b/>
          <w:b/>
          <w:bCs/>
          <w:color w:val="000000"/>
          <w:sz w:val="24"/>
        </w:rPr>
      </w:pPr>
      <w:r>
        <w:rPr>
          <w:rFonts w:cs="Arial"/>
          <w:b/>
          <w:bCs/>
          <w:color w:val="000000"/>
          <w:sz w:val="24"/>
        </w:rPr>
        <w:t>MARINHA DO BRASIL</w:t>
      </w:r>
    </w:p>
    <w:p>
      <w:pPr>
        <w:pStyle w:val="Normal"/>
        <w:spacing w:lineRule="auto" w:line="276"/>
        <w:jc w:val="center"/>
        <w:rPr>
          <w:rFonts w:cs="Arial"/>
          <w:b/>
          <w:b/>
          <w:bCs/>
          <w:color w:val="000000"/>
          <w:sz w:val="24"/>
        </w:rPr>
      </w:pPr>
      <w:r>
        <w:rPr>
          <w:rFonts w:cs="Arial"/>
          <w:b/>
          <w:bCs/>
          <w:color w:val="000000"/>
          <w:sz w:val="24"/>
        </w:rPr>
        <w:t>COMANDO DO 3º DISTRITO NAVAL</w:t>
      </w:r>
    </w:p>
    <w:p>
      <w:pPr>
        <w:pStyle w:val="Normal"/>
        <w:spacing w:lineRule="auto" w:line="276"/>
        <w:jc w:val="center"/>
        <w:rPr>
          <w:rFonts w:cs="Arial"/>
          <w:b/>
          <w:b/>
          <w:bCs/>
          <w:color w:val="000000"/>
          <w:sz w:val="24"/>
        </w:rPr>
      </w:pPr>
      <w:r>
        <w:rPr>
          <w:rFonts w:cs="Arial"/>
          <w:b/>
          <w:bCs/>
          <w:color w:val="000000"/>
          <w:sz w:val="24"/>
        </w:rPr>
      </w:r>
    </w:p>
    <w:p>
      <w:pPr>
        <w:pStyle w:val="Normal"/>
        <w:spacing w:lineRule="auto" w:line="276"/>
        <w:jc w:val="center"/>
        <w:rPr/>
      </w:pPr>
      <w:r>
        <w:rPr>
          <w:rFonts w:cs="Arial"/>
          <w:b/>
          <w:bCs/>
          <w:color w:val="000000"/>
          <w:sz w:val="24"/>
        </w:rPr>
        <w:t>AVISO DE DISPENSA ELETRÔNICA Nº ___/2023</w:t>
      </w:r>
    </w:p>
    <w:p>
      <w:pPr>
        <w:pStyle w:val="Normal"/>
        <w:spacing w:lineRule="auto" w:line="276" w:before="0" w:after="120"/>
        <w:jc w:val="center"/>
        <w:rPr>
          <w:rFonts w:eastAsia="Arial" w:cs="Arial"/>
          <w:i w:val="false"/>
          <w:i w:val="false"/>
          <w:iCs w:val="false"/>
          <w:color w:val="000000"/>
          <w:sz w:val="24"/>
          <w:szCs w:val="24"/>
        </w:rPr>
      </w:pPr>
      <w:r>
        <w:rPr>
          <w:rFonts w:cs="Arial"/>
          <w:b/>
          <w:bCs/>
          <w:color w:val="000000"/>
          <w:sz w:val="24"/>
        </w:rPr>
        <w:t>Processo Administrativo n.°</w:t>
      </w:r>
      <w:r>
        <w:rPr>
          <w:rStyle w:val="Nfaseforte"/>
          <w:rFonts w:eastAsia="Arial" w:cs="Arial"/>
          <w:i w:val="false"/>
          <w:iCs w:val="false"/>
          <w:color w:val="000000"/>
          <w:sz w:val="24"/>
          <w:szCs w:val="24"/>
        </w:rPr>
        <w:t xml:space="preserve">  62032.005706/2023-42</w:t>
      </w:r>
    </w:p>
    <w:p>
      <w:pPr>
        <w:pStyle w:val="Normal"/>
        <w:rPr>
          <w:rFonts w:cs="Arial"/>
          <w:sz w:val="16"/>
          <w:szCs w:val="16"/>
        </w:rPr>
      </w:pPr>
      <w:r>
        <w:rPr>
          <w:rFonts w:cs="Arial"/>
          <w:sz w:val="16"/>
          <w:szCs w:val="16"/>
        </w:rPr>
      </w:r>
    </w:p>
    <w:p>
      <w:pPr>
        <w:pStyle w:val="Normal"/>
        <w:snapToGrid w:val="false"/>
        <w:spacing w:lineRule="auto" w:line="276" w:before="0" w:after="120"/>
        <w:ind w:firstLine="540"/>
        <w:jc w:val="both"/>
        <w:rPr>
          <w:sz w:val="24"/>
        </w:rPr>
      </w:pPr>
      <w:r>
        <w:rPr>
          <w:rFonts w:cs="Arial"/>
          <w:color w:val="000000"/>
          <w:sz w:val="24"/>
        </w:rPr>
        <w:t xml:space="preserve">Torna-se público que o Comando do 3º Distrito Naval, por meio da Seção de Aquisições, realizará Dispensa Eletrônica, </w:t>
      </w:r>
      <w:r>
        <w:rPr>
          <w:rFonts w:cs="Arial"/>
          <w:bCs/>
          <w:color w:val="000000"/>
          <w:sz w:val="24"/>
        </w:rPr>
        <w:t>com critério de julgamento</w:t>
      </w:r>
      <w:r>
        <w:rPr>
          <w:rFonts w:cs="Arial"/>
          <w:b/>
          <w:bCs/>
          <w:color w:val="000000"/>
          <w:sz w:val="24"/>
        </w:rPr>
        <w:t xml:space="preserve"> </w:t>
      </w:r>
      <w:r>
        <w:rPr>
          <w:rFonts w:cs="Arial"/>
          <w:color w:val="000000"/>
          <w:sz w:val="24"/>
        </w:rPr>
        <w:t>menor preço, na hipótese do art. 75</w:t>
      </w:r>
      <w:r>
        <w:rPr>
          <w:rFonts w:cs="Arial"/>
          <w:i/>
          <w:iCs/>
          <w:color w:val="000000"/>
          <w:sz w:val="24"/>
        </w:rPr>
        <w:t xml:space="preserve">, </w:t>
      </w:r>
      <w:r>
        <w:rPr>
          <w:rFonts w:cs="Arial"/>
          <w:color w:val="000000"/>
          <w:sz w:val="24"/>
        </w:rPr>
        <w:t>inciso II,</w:t>
      </w:r>
      <w:r>
        <w:rPr>
          <w:rFonts w:cs="Arial"/>
          <w:color w:val="FF0000"/>
          <w:sz w:val="24"/>
        </w:rPr>
        <w:t xml:space="preserve"> </w:t>
      </w:r>
      <w:r>
        <w:rPr>
          <w:rFonts w:cs="Arial"/>
          <w:bCs/>
          <w:sz w:val="24"/>
        </w:rPr>
        <w:t>nos termos da Lei nº 14.133, de 1º de abril de 2021, da Instrução Normativa SEGES/ME nº 67/2021 e demais legislação aplicável</w:t>
      </w:r>
      <w:r>
        <w:rPr>
          <w:rFonts w:cs="Arial"/>
          <w:color w:val="000000"/>
          <w:sz w:val="24"/>
        </w:rPr>
        <w:t>.</w:t>
      </w:r>
    </w:p>
    <w:p>
      <w:pPr>
        <w:pStyle w:val="Normal"/>
        <w:spacing w:lineRule="auto" w:line="276"/>
        <w:jc w:val="both"/>
        <w:rPr>
          <w:rFonts w:cs="Arial"/>
          <w:color w:val="000000"/>
          <w:sz w:val="24"/>
        </w:rPr>
      </w:pPr>
      <w:r>
        <w:rPr>
          <w:rFonts w:cs="Arial"/>
          <w:color w:val="000000"/>
          <w:sz w:val="24"/>
        </w:rPr>
      </w:r>
    </w:p>
    <w:p>
      <w:pPr>
        <w:pStyle w:val="Normal"/>
        <w:spacing w:lineRule="auto" w:line="276"/>
        <w:jc w:val="both"/>
        <w:rPr/>
      </w:pPr>
      <w:r>
        <w:rPr>
          <w:rFonts w:cs="Arial"/>
          <w:color w:val="000000"/>
          <w:sz w:val="24"/>
        </w:rPr>
        <w:t>Data da sessão: ____</w:t>
      </w:r>
      <w:r>
        <w:rPr>
          <w:rFonts w:cs="Arial"/>
          <w:color w:val="F58220"/>
          <w:sz w:val="24"/>
        </w:rPr>
        <w:t xml:space="preserve"> </w:t>
      </w:r>
      <w:r>
        <w:rPr>
          <w:rFonts w:cs="Arial"/>
          <w:color w:val="000000"/>
          <w:sz w:val="24"/>
        </w:rPr>
        <w:t>de___________ de 2023.</w:t>
      </w:r>
    </w:p>
    <w:p>
      <w:pPr>
        <w:pStyle w:val="Normal"/>
        <w:rPr>
          <w:rFonts w:cs="Arial"/>
          <w:color w:val="000000"/>
          <w:sz w:val="24"/>
        </w:rPr>
      </w:pPr>
      <w:r>
        <w:rPr>
          <w:rFonts w:cs="Arial"/>
          <w:color w:val="000000"/>
          <w:sz w:val="24"/>
        </w:rPr>
        <w:t>Link: Portal de Compras do Governo Federal – www.compras.gov.br</w:t>
      </w:r>
    </w:p>
    <w:p>
      <w:pPr>
        <w:pStyle w:val="Normal"/>
        <w:snapToGrid w:val="false"/>
        <w:spacing w:lineRule="auto" w:line="276" w:before="0" w:after="120"/>
        <w:ind w:right="-30" w:firstLine="540"/>
        <w:jc w:val="both"/>
        <w:rPr>
          <w:color w:val="000000"/>
          <w:sz w:val="24"/>
        </w:rPr>
      </w:pPr>
      <w:r>
        <w:rPr>
          <w:rFonts w:cs="Arial"/>
          <w:i/>
          <w:color w:val="000000" w:themeColor="text1"/>
          <w:sz w:val="24"/>
        </w:rPr>
        <w:t>Horário da Fase de Lances: 8:00 às 14:</w:t>
      </w:r>
      <w:r>
        <w:rPr>
          <w:rFonts w:cs="Arial"/>
          <w:color w:val="000000" w:themeColor="text1"/>
          <w:sz w:val="24"/>
        </w:rPr>
        <w:t>00</w:t>
      </w:r>
      <w:r>
        <w:rPr>
          <w:rFonts w:cs="Arial"/>
          <w:i/>
          <w:color w:val="000000" w:themeColor="text1"/>
          <w:sz w:val="24"/>
        </w:rPr>
        <w:t>.</w:t>
      </w:r>
    </w:p>
    <w:p>
      <w:pPr>
        <w:pStyle w:val="PADRO"/>
        <w:keepNext w:val="true"/>
        <w:widowControl/>
        <w:shd w:val="clear" w:color="auto" w:fill="auto"/>
        <w:spacing w:before="120" w:after="120"/>
        <w:ind w:left="360" w:hanging="0"/>
        <w:rPr>
          <w:rFonts w:ascii="Arial" w:hAnsi="Arial" w:cs="Arial"/>
          <w:b/>
          <w:b/>
          <w:sz w:val="16"/>
          <w:szCs w:val="16"/>
        </w:rPr>
      </w:pPr>
      <w:r>
        <w:rPr>
          <w:rFonts w:cs="Arial" w:ascii="Arial" w:hAnsi="Arial"/>
          <w:b/>
          <w:sz w:val="16"/>
          <w:szCs w:val="16"/>
        </w:rPr>
      </w:r>
    </w:p>
    <w:p>
      <w:pPr>
        <w:pStyle w:val="Ttulo1"/>
        <w:numPr>
          <w:ilvl w:val="0"/>
          <w:numId w:val="1"/>
        </w:numPr>
        <w:rPr>
          <w:rFonts w:ascii="Arial" w:hAnsi="Arial" w:cs="Arial"/>
          <w:color w:val="00000A"/>
          <w:sz w:val="24"/>
          <w:szCs w:val="24"/>
        </w:rPr>
      </w:pPr>
      <w:bookmarkStart w:id="0" w:name="_Toc104906818"/>
      <w:bookmarkEnd w:id="0"/>
      <w:r>
        <w:rPr>
          <w:rFonts w:cs="Arial" w:ascii="Arial" w:hAnsi="Arial"/>
          <w:color w:val="00000A"/>
          <w:sz w:val="24"/>
          <w:szCs w:val="24"/>
        </w:rPr>
        <w:t>OBJETO DA CONTRATAÇÃO DIRETA</w:t>
      </w:r>
    </w:p>
    <w:p>
      <w:pPr>
        <w:pStyle w:val="PADRO"/>
        <w:keepNext w:val="true"/>
        <w:widowControl/>
        <w:numPr>
          <w:ilvl w:val="1"/>
          <w:numId w:val="1"/>
        </w:numPr>
        <w:shd w:val="clear" w:color="auto" w:fill="auto"/>
        <w:bidi w:val="0"/>
        <w:spacing w:lineRule="auto" w:line="276" w:before="120" w:after="120"/>
        <w:ind w:left="-57" w:right="0" w:hanging="0"/>
        <w:jc w:val="both"/>
        <w:textAlignment w:val="baseline"/>
        <w:rPr>
          <w:color w:val="000000"/>
        </w:rPr>
      </w:pPr>
      <w:r>
        <w:rPr>
          <w:rFonts w:cs="Arial" w:ascii="Arial" w:hAnsi="Arial"/>
          <w:color w:val="000000" w:themeColor="text1"/>
          <w:sz w:val="24"/>
        </w:rPr>
        <w:t>O objeto da presente dispensa é a escolha da proposta mais vantajosa para a contrataç</w:t>
      </w:r>
      <w:r>
        <w:rPr>
          <w:rFonts w:eastAsia="WenQuanYi Micro Hei" w:cs="Arial" w:ascii="Arial" w:hAnsi="Arial"/>
          <w:color w:val="000000" w:themeColor="text1"/>
          <w:kern w:val="0"/>
          <w:sz w:val="24"/>
          <w:szCs w:val="24"/>
          <w:lang w:val="pt-BR" w:eastAsia="zh-CN" w:bidi="hi-IN"/>
        </w:rPr>
        <w:t xml:space="preserve">ão de decoração de eventos </w:t>
      </w:r>
      <w:r>
        <w:rPr>
          <w:rFonts w:cs="Arial" w:ascii="Arial" w:hAnsi="Arial"/>
          <w:color w:val="000000" w:themeColor="text1"/>
          <w:sz w:val="24"/>
        </w:rPr>
        <w:t>por dispensa de licitação, conforme condições, quantidades e exigências estabelecidas neste Aviso de Contratação Direta e seus anexos.</w:t>
      </w:r>
    </w:p>
    <w:p>
      <w:pPr>
        <w:pStyle w:val="PADRO"/>
        <w:keepNext w:val="true"/>
        <w:widowControl/>
        <w:numPr>
          <w:ilvl w:val="1"/>
          <w:numId w:val="1"/>
        </w:numPr>
        <w:shd w:val="clear" w:color="auto" w:fill="auto"/>
        <w:bidi w:val="0"/>
        <w:spacing w:lineRule="auto" w:line="276" w:before="120" w:after="120"/>
        <w:ind w:left="-57" w:right="0" w:hanging="0"/>
        <w:jc w:val="both"/>
        <w:textAlignment w:val="baseline"/>
        <w:rPr>
          <w:color w:val="000000"/>
        </w:rPr>
      </w:pPr>
      <w:r>
        <w:rPr>
          <w:rFonts w:cs="Arial" w:ascii="Arial" w:hAnsi="Arial"/>
          <w:color w:val="000000"/>
          <w:sz w:val="24"/>
        </w:rPr>
        <w:t>A contratação será dividida em itens  conforme tabela constante abaixo:</w:t>
      </w:r>
    </w:p>
    <w:tbl>
      <w:tblPr>
        <w:tblW w:w="9870" w:type="dxa"/>
        <w:jc w:val="left"/>
        <w:tblInd w:w="47" w:type="dxa"/>
        <w:tblLayout w:type="fixed"/>
        <w:tblCellMar>
          <w:top w:w="0" w:type="dxa"/>
          <w:left w:w="43" w:type="dxa"/>
          <w:bottom w:w="0" w:type="dxa"/>
          <w:right w:w="108" w:type="dxa"/>
        </w:tblCellMar>
        <w:tblLook w:val="04a0" w:noHBand="0" w:noVBand="1" w:firstColumn="1" w:lastRow="0" w:lastColumn="0" w:firstRow="1"/>
      </w:tblPr>
      <w:tblGrid>
        <w:gridCol w:w="1584"/>
        <w:gridCol w:w="2131"/>
        <w:gridCol w:w="2220"/>
        <w:gridCol w:w="1125"/>
        <w:gridCol w:w="1100"/>
        <w:gridCol w:w="1709"/>
      </w:tblGrid>
      <w:tr>
        <w:trPr/>
        <w:tc>
          <w:tcPr>
            <w:tcW w:w="158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ITEM</w:t>
            </w:r>
          </w:p>
        </w:tc>
        <w:tc>
          <w:tcPr>
            <w:tcW w:w="213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pPr>
            <w:r>
              <w:rPr>
                <w:rFonts w:cs="Arial"/>
                <w:b/>
                <w:bCs/>
                <w:color w:val="000000"/>
                <w:sz w:val="24"/>
              </w:rPr>
              <w:t>DESCRIÇÃO/</w:t>
            </w:r>
          </w:p>
          <w:p>
            <w:pPr>
              <w:pStyle w:val="Normal"/>
              <w:widowControl w:val="false"/>
              <w:suppressAutoHyphens w:val="true"/>
              <w:jc w:val="center"/>
              <w:rPr/>
            </w:pPr>
            <w:r>
              <w:rPr>
                <w:rFonts w:cs="Arial"/>
                <w:b/>
                <w:bCs/>
                <w:color w:val="000000"/>
                <w:sz w:val="24"/>
              </w:rPr>
              <w:t>ESPECIFICAÇÃO</w:t>
            </w:r>
          </w:p>
        </w:tc>
        <w:tc>
          <w:tcPr>
            <w:tcW w:w="222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color w:val="000000"/>
              </w:rPr>
            </w:pPr>
            <w:r>
              <w:rPr>
                <w:rFonts w:cs="Arial"/>
                <w:b/>
                <w:bCs/>
                <w:color w:val="000000"/>
                <w:sz w:val="24"/>
              </w:rPr>
              <w:t>CATMAT/CATSER</w:t>
            </w:r>
          </w:p>
        </w:tc>
        <w:tc>
          <w:tcPr>
            <w:tcW w:w="112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UN. DE MEDIDA</w:t>
            </w:r>
          </w:p>
        </w:tc>
        <w:tc>
          <w:tcPr>
            <w:tcW w:w="110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QUANT.</w:t>
            </w:r>
          </w:p>
        </w:tc>
        <w:tc>
          <w:tcPr>
            <w:tcW w:w="170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PRAZO DE EXECUÇÃO</w:t>
            </w:r>
          </w:p>
        </w:tc>
      </w:tr>
      <w:tr>
        <w:trPr/>
        <w:tc>
          <w:tcPr>
            <w:tcW w:w="158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rFonts w:ascii="Calibri" w:hAnsi="Calibri" w:eastAsia="Arial"/>
                <w:b w:val="false"/>
                <w:b w:val="false"/>
                <w:i w:val="false"/>
                <w:i w:val="false"/>
                <w:strike w:val="false"/>
                <w:dstrike w:val="false"/>
                <w:outline w:val="false"/>
                <w:shadow w:val="false"/>
                <w:color w:val="000000"/>
                <w:sz w:val="24"/>
                <w:szCs w:val="24"/>
                <w:u w:val="none"/>
                <w:em w:val="none"/>
              </w:rPr>
            </w:pPr>
            <w:r>
              <w:rPr>
                <w:rFonts w:eastAsia="Arial"/>
                <w:color w:val="000000"/>
                <w:sz w:val="24"/>
                <w:szCs w:val="24"/>
              </w:rPr>
              <w:t>1</w:t>
            </w:r>
          </w:p>
        </w:tc>
        <w:tc>
          <w:tcPr>
            <w:tcW w:w="213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6"/>
              <w:jc w:val="left"/>
              <w:rPr>
                <w:sz w:val="21"/>
                <w:szCs w:val="21"/>
              </w:rPr>
            </w:pPr>
            <w:r>
              <w:rPr>
                <w:rFonts w:eastAsia="Arial"/>
                <w:color w:val="000000"/>
                <w:sz w:val="21"/>
                <w:szCs w:val="21"/>
              </w:rPr>
              <w:t>Decoração no tema:</w:t>
            </w:r>
          </w:p>
          <w:p>
            <w:pPr>
              <w:pStyle w:val="Normal"/>
              <w:widowControl w:val="false"/>
              <w:spacing w:before="0" w:after="6"/>
              <w:jc w:val="left"/>
              <w:rPr>
                <w:sz w:val="21"/>
                <w:szCs w:val="21"/>
              </w:rPr>
            </w:pPr>
            <w:r>
              <w:rPr>
                <w:rFonts w:eastAsia="Arial"/>
                <w:color w:val="000000"/>
                <w:sz w:val="21"/>
                <w:szCs w:val="21"/>
              </w:rPr>
              <w:t>CIRCO; Teto: com tecidos coloridos simulando circo;Entrada do evento (cortina de tecido colorido, arco de balões coloridos e placa de bem-vindo) Com montagem e desmontagem.</w:t>
            </w:r>
          </w:p>
        </w:tc>
        <w:tc>
          <w:tcPr>
            <w:tcW w:w="222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0"/>
              <w:ind w:left="0" w:right="0" w:hanging="0"/>
              <w:jc w:val="center"/>
              <w:rPr>
                <w:rFonts w:ascii="Arial" w:hAnsi="Arial" w:eastAsia="Arial"/>
                <w:b w:val="false"/>
                <w:b w:val="false"/>
                <w:bCs w:val="false"/>
                <w:i w:val="false"/>
                <w:i w:val="false"/>
                <w:strike w:val="false"/>
                <w:dstrike w:val="false"/>
                <w:outline w:val="false"/>
                <w:shadow w:val="false"/>
                <w:color w:val="000000"/>
                <w:sz w:val="21"/>
                <w:szCs w:val="21"/>
                <w:u w:val="none"/>
                <w:em w:val="none"/>
              </w:rPr>
            </w:pPr>
            <w:r>
              <w:rPr>
                <w:rFonts w:eastAsia="Arial"/>
                <w:b w:val="false"/>
                <w:bCs w:val="false"/>
                <w:i w:val="false"/>
                <w:strike w:val="false"/>
                <w:dstrike w:val="false"/>
                <w:outline w:val="false"/>
                <w:shadow w:val="false"/>
                <w:color w:val="000000"/>
                <w:sz w:val="22"/>
                <w:szCs w:val="22"/>
                <w:u w:val="none"/>
                <w:em w:val="none"/>
              </w:rPr>
              <w:t>17019</w:t>
            </w:r>
          </w:p>
        </w:tc>
        <w:tc>
          <w:tcPr>
            <w:tcW w:w="112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color w:val="000000"/>
              </w:rPr>
            </w:pPr>
            <w:r>
              <w:rPr>
                <w:rFonts w:eastAsia="Arial"/>
                <w:color w:val="000000"/>
                <w:sz w:val="24"/>
                <w:szCs w:val="24"/>
              </w:rPr>
              <w:t>UN</w:t>
            </w:r>
          </w:p>
        </w:tc>
        <w:tc>
          <w:tcPr>
            <w:tcW w:w="110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pPr>
            <w:r>
              <w:rPr>
                <w:rFonts w:eastAsia="Arial"/>
                <w:color w:val="000000"/>
                <w:sz w:val="24"/>
                <w:szCs w:val="24"/>
              </w:rPr>
              <w:t>01</w:t>
            </w:r>
          </w:p>
        </w:tc>
        <w:tc>
          <w:tcPr>
            <w:tcW w:w="170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color w:val="000000"/>
              </w:rPr>
            </w:pPr>
            <w:r>
              <w:rPr>
                <w:rFonts w:eastAsia="Arial"/>
                <w:color w:val="000000"/>
                <w:sz w:val="24"/>
                <w:szCs w:val="24"/>
              </w:rPr>
              <w:t>Imediato</w:t>
            </w:r>
          </w:p>
        </w:tc>
      </w:tr>
    </w:tbl>
    <w:p>
      <w:pPr>
        <w:pStyle w:val="PADRO"/>
        <w:keepNext w:val="true"/>
        <w:widowControl/>
        <w:numPr>
          <w:ilvl w:val="2"/>
          <w:numId w:val="1"/>
        </w:numPr>
        <w:shd w:val="clear" w:color="auto" w:fill="auto"/>
        <w:bidi w:val="0"/>
        <w:spacing w:lineRule="auto" w:line="276" w:before="120" w:after="120"/>
        <w:ind w:left="397" w:right="0" w:hanging="0"/>
        <w:jc w:val="both"/>
        <w:textAlignment w:val="baseline"/>
        <w:rPr/>
      </w:pPr>
      <w:r>
        <w:rPr>
          <w:rFonts w:cs="Arial" w:ascii="Arial" w:hAnsi="Arial"/>
          <w:sz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before="120" w:after="120"/>
        <w:rPr>
          <w:rFonts w:ascii="Arial" w:hAnsi="Arial"/>
        </w:rPr>
      </w:pPr>
      <w:r>
        <w:rPr>
          <w:rFonts w:cs="Arial" w:ascii="Arial" w:hAnsi="Arial"/>
          <w:sz w:val="24"/>
        </w:rPr>
        <w:t>O critério de julgamento adotado será o</w:t>
      </w:r>
      <w:r>
        <w:rPr>
          <w:rFonts w:cs="Arial" w:ascii="Arial" w:hAnsi="Arial"/>
          <w:i/>
          <w:iCs/>
          <w:sz w:val="24"/>
        </w:rPr>
        <w:t xml:space="preserve"> </w:t>
      </w:r>
      <w:r>
        <w:rPr>
          <w:rFonts w:cs="Arial" w:ascii="Arial" w:hAnsi="Arial"/>
          <w:color w:val="000000"/>
          <w:sz w:val="24"/>
        </w:rPr>
        <w:t>menor preço,</w:t>
      </w:r>
      <w:r>
        <w:rPr>
          <w:rFonts w:cs="Arial" w:ascii="Arial" w:hAnsi="Arial"/>
          <w:color w:val="FF0000"/>
          <w:sz w:val="24"/>
        </w:rPr>
        <w:t xml:space="preserve"> </w:t>
      </w:r>
      <w:r>
        <w:rPr>
          <w:rFonts w:cs="Arial" w:ascii="Arial" w:hAnsi="Arial"/>
          <w:sz w:val="24"/>
        </w:rPr>
        <w:t>observadas as exigências contidas neste Aviso de Contratação Direta e seus Anexos quanto às especificações do objeto.</w:t>
      </w:r>
    </w:p>
    <w:p>
      <w:pPr>
        <w:pStyle w:val="Ttulo1"/>
        <w:numPr>
          <w:ilvl w:val="0"/>
          <w:numId w:val="1"/>
        </w:numPr>
        <w:rPr>
          <w:rFonts w:ascii="Arial" w:hAnsi="Arial"/>
        </w:rPr>
      </w:pPr>
      <w:bookmarkStart w:id="1" w:name="_Toc104906819"/>
      <w:bookmarkEnd w:id="1"/>
      <w:r>
        <w:rPr>
          <w:rFonts w:cs="Arial" w:ascii="Arial" w:hAnsi="Arial"/>
          <w:color w:val="00000A"/>
          <w:sz w:val="24"/>
          <w:szCs w:val="24"/>
        </w:rPr>
        <w:t>PARTICIPAÇÃO NA DISPENSA ELETRÔNICA.</w:t>
      </w:r>
    </w:p>
    <w:p>
      <w:pPr>
        <w:pStyle w:val="Normal"/>
        <w:numPr>
          <w:ilvl w:val="1"/>
          <w:numId w:val="1"/>
        </w:numPr>
        <w:snapToGrid w:val="false"/>
        <w:spacing w:lineRule="auto" w:line="276" w:before="120" w:after="120"/>
        <w:jc w:val="both"/>
        <w:rPr/>
      </w:pPr>
      <w:r>
        <w:rPr>
          <w:rFonts w:cs="Arial"/>
          <w:sz w:val="24"/>
        </w:rPr>
        <w:t xml:space="preserve">A participação na presente dispensa eletrônica se dará mediante </w:t>
      </w:r>
      <w:r>
        <w:rPr>
          <w:rFonts w:cs="Arial"/>
          <w:bCs/>
          <w:sz w:val="24"/>
        </w:rPr>
        <w:t>Sistema de Dispensa Eletrônica</w:t>
      </w:r>
      <w:r>
        <w:rPr>
          <w:rFonts w:cs="Arial"/>
          <w:sz w:val="24"/>
        </w:rPr>
        <w:t xml:space="preserve"> integrante do Sistema de Compras do Governo Federal – Comprasnet 4.0, disponível no </w:t>
      </w:r>
      <w:r>
        <w:rPr>
          <w:rFonts w:cs="Arial"/>
          <w:bCs/>
          <w:sz w:val="24"/>
        </w:rPr>
        <w:t>endereço eletrônico www.compras.gov.br.</w:t>
      </w:r>
    </w:p>
    <w:p>
      <w:pPr>
        <w:pStyle w:val="Normal"/>
        <w:numPr>
          <w:ilvl w:val="2"/>
          <w:numId w:val="1"/>
        </w:numPr>
        <w:snapToGrid w:val="false"/>
        <w:spacing w:lineRule="auto" w:line="276" w:before="120" w:after="120"/>
        <w:jc w:val="both"/>
        <w:rPr>
          <w:rFonts w:cs="Arial"/>
          <w:sz w:val="24"/>
        </w:rPr>
      </w:pPr>
      <w:r>
        <w:rPr>
          <w:rFonts w:cs="Arial"/>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 w:val="24"/>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Não poderão participar desta dispensa os fornecedores: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se enquadrem nas seguintes vedações: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 w:val="24"/>
        </w:rPr>
        <w:t>empresas controladoras, controladas ou coligadas, nos termos da</w:t>
      </w:r>
      <w:hyperlink r:id="rId3">
        <w:r>
          <w:rPr>
            <w:rStyle w:val="LinkdaInternet"/>
            <w:rFonts w:eastAsia="Calibri" w:cs="Arial"/>
            <w:vanish/>
            <w:sz w:val="24"/>
          </w:rPr>
          <w:t>Lei nº 6.404, de 15 de dezembro de 1976</w:t>
        </w:r>
      </w:hyperlink>
      <w:r>
        <w:rPr>
          <w:rFonts w:cs="Arial"/>
          <w:color w:val="000000"/>
          <w:sz w:val="24"/>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pPr>
      <w:r>
        <w:rPr>
          <w:rFonts w:cs="Arial"/>
          <w:color w:val="000000"/>
          <w:sz w:val="24"/>
        </w:rPr>
        <w:t>organizações da Sociedade Civil de Interesse Público - OSCIP, atuando nessa condição (Acórdão nº 746/2014-TCU-Plenário); e</w:t>
      </w:r>
    </w:p>
    <w:p>
      <w:pPr>
        <w:pStyle w:val="Normal"/>
        <w:spacing w:lineRule="auto" w:line="276" w:before="120" w:after="120"/>
        <w:ind w:left="1224" w:hanging="0"/>
        <w:jc w:val="both"/>
        <w:rPr>
          <w:rFonts w:cs="Arial"/>
          <w:color w:val="000000"/>
          <w:sz w:val="16"/>
          <w:szCs w:val="16"/>
        </w:rPr>
      </w:pPr>
      <w:r>
        <w:rPr>
          <w:rFonts w:cs="Arial"/>
          <w:color w:val="000000"/>
          <w:sz w:val="16"/>
          <w:szCs w:val="16"/>
        </w:rPr>
      </w:r>
    </w:p>
    <w:p>
      <w:pPr>
        <w:pStyle w:val="Normal"/>
        <w:numPr>
          <w:ilvl w:val="1"/>
          <w:numId w:val="1"/>
        </w:numPr>
        <w:spacing w:lineRule="auto" w:line="276" w:before="120" w:after="120"/>
        <w:jc w:val="both"/>
        <w:rPr>
          <w:color w:val="000000"/>
        </w:rPr>
      </w:pPr>
      <w:r>
        <w:rPr>
          <w:rFonts w:cs="Arial"/>
          <w: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pPr>
      <w:r>
        <w:rPr>
          <w:rFonts w:cs="Arial"/>
          <w:i/>
          <w:iCs/>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Ttulo1"/>
        <w:numPr>
          <w:ilvl w:val="0"/>
          <w:numId w:val="1"/>
        </w:numPr>
        <w:rPr>
          <w:rFonts w:ascii="Arial" w:hAnsi="Arial" w:cs="Arial"/>
          <w:color w:val="00000A"/>
          <w:sz w:val="24"/>
          <w:szCs w:val="24"/>
        </w:rPr>
      </w:pPr>
      <w:bookmarkStart w:id="2" w:name="_Toc104906820"/>
      <w:bookmarkEnd w:id="2"/>
      <w:r>
        <w:rPr>
          <w:rFonts w:cs="Arial" w:ascii="Arial" w:hAnsi="Arial"/>
          <w:color w:val="00000A"/>
          <w:sz w:val="24"/>
          <w:szCs w:val="24"/>
        </w:rPr>
        <w:t>INGRESSO NA DISPENSA ELETRÔNICA E CADASTRAMENTO DA PROPOSTA INICIAL</w:t>
      </w:r>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 w:val="24"/>
        </w:rPr>
        <w:t xml:space="preserve">A apresentação das propostas implica obrigatoriedade do cumprimento das disposições nelas contidas, em conformidade com o que dispõe </w:t>
      </w:r>
      <w:r>
        <w:rPr>
          <w:rFonts w:cs="Arial"/>
          <w:color w:val="000000"/>
          <w:sz w:val="24"/>
        </w:rPr>
        <w:t>o este Aviso de Dispensa</w:t>
      </w:r>
      <w:r>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jc w:val="both"/>
        <w:rPr>
          <w:rFonts w:cs="Arial"/>
          <w:color w:val="000000"/>
          <w:sz w:val="24"/>
        </w:rPr>
      </w:pPr>
      <w:r>
        <w:rPr>
          <w:rFonts w:cs="Arial"/>
          <w:color w:val="000000"/>
          <w:sz w:val="24"/>
        </w:rPr>
        <w:t xml:space="preserve">      </w:t>
      </w:r>
      <w:r>
        <w:rPr>
          <w:rFonts w:cs="Arial"/>
          <w:color w:val="000000"/>
          <w:sz w:val="24"/>
        </w:rPr>
        <w:t>Até a abertura da sessão pública, os fornecedores poderão retirar ou substituir a proposta anteriormente inserida no sistema;</w:t>
      </w:r>
    </w:p>
    <w:p>
      <w:pPr>
        <w:pStyle w:val="Normal"/>
        <w:numPr>
          <w:ilvl w:val="1"/>
          <w:numId w:val="1"/>
        </w:numPr>
        <w:spacing w:lineRule="auto" w:line="276" w:before="120" w:after="120"/>
        <w:ind w:left="425" w:hanging="0"/>
        <w:jc w:val="both"/>
        <w:rPr/>
      </w:pPr>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r>
        <w:rPr>
          <w:rFonts w:eastAsia="Zurich BT" w:cs="Arial"/>
          <w:color w:val="000000"/>
          <w:sz w:val="24"/>
        </w:rPr>
        <w:t xml:space="preserve"> </w:t>
      </w:r>
    </w:p>
    <w:p>
      <w:pPr>
        <w:pStyle w:val="ListParagraph"/>
        <w:numPr>
          <w:ilvl w:val="0"/>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 xml:space="preserve">que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pPr>
      <w:r>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Ttulo1"/>
        <w:numPr>
          <w:ilvl w:val="0"/>
          <w:numId w:val="1"/>
        </w:numPr>
        <w:rPr>
          <w:rFonts w:ascii="Arial" w:hAnsi="Arial" w:cs="Arial"/>
          <w:color w:val="00000A"/>
          <w:sz w:val="24"/>
          <w:szCs w:val="24"/>
        </w:rPr>
      </w:pPr>
      <w:bookmarkStart w:id="3" w:name="_Toc104906821"/>
      <w:bookmarkEnd w:id="3"/>
      <w:r>
        <w:rPr>
          <w:rFonts w:cs="Arial" w:ascii="Arial" w:hAnsi="Arial"/>
          <w:color w:val="00000A"/>
          <w:sz w:val="24"/>
          <w:szCs w:val="24"/>
        </w:rPr>
        <w:t>FASE DE LANCES</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pPr>
      <w:r>
        <w:rPr>
          <w:rFonts w:cs="Arial"/>
          <w:color w:val="000000"/>
          <w:sz w:val="24"/>
        </w:rPr>
        <w:t>O lance deverá ser ofertado pelo valor unitário do item.</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sz w:val="24"/>
        </w:rPr>
        <w:t xml:space="preserve">O intervalo mínimo de diferença de valores ou percentuais entre os lances, que incidirá tanto em relação aos lances intermediários quanto em relação ao que cobrir a melhor oferta é de </w:t>
      </w:r>
      <w:r>
        <w:rPr>
          <w:rFonts w:cs="Arial"/>
          <w:color w:val="000000"/>
          <w:sz w:val="24"/>
        </w:rPr>
        <w:t>R$ 1,00 (um real).</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4" w:name="_Toc104906822"/>
      <w:bookmarkEnd w:id="4"/>
      <w:r>
        <w:rPr>
          <w:rFonts w:cs="Arial" w:ascii="Arial" w:hAnsi="Arial"/>
          <w:color w:val="00000A"/>
          <w:sz w:val="24"/>
          <w:szCs w:val="24"/>
        </w:rPr>
        <w:t>JULGAMENTO DAS PROPOSTAS DE PREÇO</w:t>
      </w:r>
    </w:p>
    <w:p>
      <w:pPr>
        <w:pStyle w:val="ListParagraph"/>
        <w:numPr>
          <w:ilvl w:val="1"/>
          <w:numId w:val="1"/>
        </w:numPr>
        <w:spacing w:lineRule="auto" w:line="276" w:before="120" w:after="120"/>
        <w:contextualSpacing/>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pPr>
      <w:r>
        <w:rPr>
          <w:rFonts w:cs="Arial"/>
          <w:sz w:val="24"/>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themeColor="text1"/>
          <w:sz w:val="24"/>
        </w:rPr>
        <w:t xml:space="preserve">O prazo de validade </w:t>
      </w:r>
      <w:r>
        <w:rPr>
          <w:rFonts w:cs="Arial"/>
          <w:sz w:val="24"/>
        </w:rPr>
        <w:t>da</w:t>
      </w:r>
      <w:r>
        <w:rPr>
          <w:rFonts w:cs="Arial"/>
          <w:color w:val="000000" w:themeColor="text1"/>
          <w:sz w:val="24"/>
        </w:rPr>
        <w:t xml:space="preserve"> proposta não será inferior a 90 dias, a contar da data de sua apresentação.</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contiver vícios insanáveis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obedecer às especificações técnicas pormenorizadas neste aviso ou em seus anexos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tiverem sua exequibilidade demonstrada, quando exigido pela Administração</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pPr>
      <w:r>
        <w:rPr>
          <w:rFonts w:cs="Arial"/>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4"/>
          <w:lang w:eastAsia="en-US"/>
        </w:rPr>
        <w:t xml:space="preserve">Se houver indícios de inexequibilidade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r>
        <w:rPr>
          <w:rFonts w:cs="Arial"/>
          <w:sz w:val="24"/>
        </w:rPr>
        <w:t>poderá</w:t>
      </w:r>
      <w:r>
        <w:rPr>
          <w:rFonts w:cs="Arial"/>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color w:val="000000" w:themeColor="text1"/>
          <w:sz w:val="24"/>
          <w:lang w:eastAsia="en-US"/>
        </w:rPr>
        <w:t>Encerrada a análise quanto à aceitação da proposta, se iniciará a fase de habilitação, observado o disposto neste Aviso de Contratação Direta. </w:t>
      </w:r>
    </w:p>
    <w:p>
      <w:pPr>
        <w:pStyle w:val="Ttulo1"/>
        <w:numPr>
          <w:ilvl w:val="0"/>
          <w:numId w:val="1"/>
        </w:numPr>
        <w:rPr>
          <w:rFonts w:ascii="Arial" w:hAnsi="Arial" w:cs="Arial"/>
          <w:color w:val="00000A"/>
          <w:sz w:val="24"/>
          <w:szCs w:val="24"/>
        </w:rPr>
      </w:pPr>
      <w:bookmarkStart w:id="5" w:name="_Toc104906823"/>
      <w:bookmarkEnd w:id="5"/>
      <w:r>
        <w:rPr>
          <w:rFonts w:cs="Arial" w:ascii="Arial" w:hAnsi="Arial"/>
          <w:color w:val="00000A"/>
          <w:sz w:val="24"/>
          <w:szCs w:val="24"/>
        </w:rPr>
        <w:t>HABILITAÇÃO</w:t>
      </w:r>
    </w:p>
    <w:p>
      <w:pPr>
        <w:pStyle w:val="ListParagraph"/>
        <w:numPr>
          <w:ilvl w:val="1"/>
          <w:numId w:val="1"/>
        </w:numPr>
        <w:spacing w:lineRule="auto" w:line="276" w:before="120" w:after="120"/>
        <w:contextualSpacing/>
        <w:jc w:val="both"/>
        <w:rPr>
          <w:rFonts w:cs="Arial"/>
          <w:b/>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 xml:space="preserve">ANEXO I – DOCUMENTAÇÃO EXIGIDA PARA HABILITAÇÃO </w:t>
      </w:r>
      <w:r>
        <w:rPr>
          <w:rFonts w:cs="Arial"/>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a) SICAF;  </w:t>
      </w:r>
    </w:p>
    <w:p>
      <w:pPr>
        <w:pStyle w:val="ListParagraph"/>
        <w:spacing w:lineRule="auto" w:line="276" w:before="120" w:after="120"/>
        <w:ind w:left="1134" w:hanging="0"/>
        <w:contextualSpacing/>
        <w:jc w:val="both"/>
        <w:rPr/>
      </w:pPr>
      <w:r>
        <w:rPr>
          <w:rFonts w:cs="Arial"/>
          <w:sz w:val="24"/>
          <w:lang w:eastAsia="ar-SA"/>
        </w:rPr>
        <w:t>b) Cadastro Nacional de Empresas Inidôneas e Suspensas - CEIS, mantido pela Controladoria-Geral da União (</w:t>
      </w:r>
      <w:hyperlink r:id="rId4">
        <w:r>
          <w:rPr>
            <w:rStyle w:val="LinkdaInternet"/>
            <w:rFonts w:eastAsia="Calibri" w:cs="Arial"/>
            <w:vanish/>
            <w:sz w:val="24"/>
            <w:lang w:eastAsia="ar-SA"/>
          </w:rPr>
          <w:t>www.portaldatransparencia.gov.br/ceis</w:t>
        </w:r>
      </w:hyperlink>
      <w:r>
        <w:rPr>
          <w:rFonts w:cs="Arial"/>
          <w:sz w:val="24"/>
          <w:lang w:eastAsia="ar-SA"/>
        </w:rPr>
        <w:t xml:space="preserve">);  </w:t>
      </w:r>
    </w:p>
    <w:p>
      <w:pPr>
        <w:pStyle w:val="ListParagraph"/>
        <w:spacing w:lineRule="auto" w:line="276" w:before="120" w:after="120"/>
        <w:ind w:left="1134" w:hanging="0"/>
        <w:contextualSpacing/>
        <w:jc w:val="both"/>
        <w:rPr/>
      </w:pPr>
      <w:r>
        <w:rPr>
          <w:rFonts w:cs="Arial"/>
          <w:sz w:val="24"/>
          <w:lang w:eastAsia="ar-SA"/>
        </w:rPr>
        <w:t>c) Cadastro Nacional de Condenações Cíveis por Atos de Improbidade Administrativa, mantido pelo Conselho Nacional de Justiça (</w:t>
      </w:r>
      <w:hyperlink r:id="rId5">
        <w:r>
          <w:rPr>
            <w:rStyle w:val="LinkdaInternet"/>
            <w:rFonts w:eastAsia="Calibri" w:cs="Arial"/>
            <w:vanish/>
            <w:sz w:val="24"/>
            <w:lang w:eastAsia="ar-SA"/>
          </w:rPr>
          <w:t>www.cnj.jus.br/improbidade_adm/consultar_requerido.php</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pPr>
      <w:r>
        <w:rPr>
          <w:rFonts w:cs="Arial"/>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pPr>
      <w:r>
        <w:rPr>
          <w:rFonts w:cs="Arial"/>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i/>
          <w:i/>
          <w:color w:val="FF0000"/>
          <w:sz w:val="24"/>
        </w:rPr>
      </w:pPr>
      <w:r>
        <w:rPr>
          <w:rFonts w:cs="Arial"/>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pPr>
      <w:r>
        <w:rPr>
          <w:rFonts w:cs="Arial"/>
          <w:color w:val="000000"/>
          <w:sz w:val="24"/>
        </w:rPr>
        <w:t>Não havendo a comprovação cumulativa dos requisitos de habilitação, a inabilitação recairá sobre o(s) item(ns) de menor(es) valor(es) cuja retirada(s) seja(m) suficiente(s) para a habilitação do fornecedor nos remanescentes</w:t>
      </w:r>
      <w:r>
        <w:rPr>
          <w:rFonts w:cs="Arial"/>
          <w:i/>
          <w:color w:val="FF0000"/>
          <w:sz w:val="24"/>
        </w:rPr>
        <w:t>.</w:t>
      </w:r>
    </w:p>
    <w:p>
      <w:pPr>
        <w:pStyle w:val="ListParagraph"/>
        <w:numPr>
          <w:ilvl w:val="1"/>
          <w:numId w:val="1"/>
        </w:numPr>
        <w:spacing w:lineRule="auto" w:line="276" w:before="120" w:after="120"/>
        <w:ind w:left="792" w:hanging="574"/>
        <w:contextualSpacing/>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pPr>
      <w:r>
        <w:rPr>
          <w:rFonts w:cs="Arial"/>
          <w:iCs/>
          <w:sz w:val="24"/>
          <w:lang w:eastAsia="en-US"/>
        </w:rPr>
        <w:t>Constatado o atendimento às exigências de habilitação, o fornecedor será habilitado</w:t>
      </w:r>
    </w:p>
    <w:p>
      <w:pPr>
        <w:pStyle w:val="Ttulo1"/>
        <w:numPr>
          <w:ilvl w:val="0"/>
          <w:numId w:val="1"/>
        </w:numPr>
        <w:rPr>
          <w:rFonts w:ascii="Arial" w:hAnsi="Arial" w:cs="Arial"/>
          <w:color w:val="00000A"/>
          <w:sz w:val="24"/>
          <w:szCs w:val="24"/>
        </w:rPr>
      </w:pPr>
      <w:bookmarkStart w:id="6" w:name="_Toc104906824"/>
      <w:bookmarkEnd w:id="6"/>
      <w:r>
        <w:rPr>
          <w:rFonts w:cs="Arial" w:ascii="Arial" w:hAnsi="Arial"/>
          <w:color w:val="00000A"/>
          <w:sz w:val="24"/>
          <w:szCs w:val="24"/>
        </w:rPr>
        <w:t>CONTRATAÇÃO</w:t>
      </w:r>
    </w:p>
    <w:p>
      <w:pPr>
        <w:pStyle w:val="Normal"/>
        <w:numPr>
          <w:ilvl w:val="1"/>
          <w:numId w:val="1"/>
        </w:numPr>
        <w:spacing w:lineRule="auto" w:line="276" w:before="120" w:after="120"/>
        <w:ind w:left="857" w:hanging="432"/>
        <w:jc w:val="both"/>
        <w:rPr/>
      </w:pPr>
      <w:r>
        <w:rPr>
          <w:rFonts w:eastAsia="Arial" w:cs="Arial"/>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 w:val="24"/>
        </w:rPr>
        <w:t xml:space="preserve">O adjudicatário terá o prazo de 5 (cinco) dias úteis, contados a partir da data de sua convocação, para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color w:val="000000"/>
        </w:rPr>
      </w:pPr>
      <w:r>
        <w:rPr>
          <w:rFonts w:eastAsia="Arial" w:cs="Arial"/>
          <w: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4"/>
        </w:rPr>
        <w:t xml:space="preserve">O prazo previsto para assinatura do contrato ou aceitação da nota de empenho ou instrumento equivalente poderá ser prorrogado </w:t>
      </w:r>
      <w:r>
        <w:rPr>
          <w:rFonts w:cs="Arial"/>
          <w:bCs/>
          <w:sz w:val="24"/>
        </w:rPr>
        <w:t>1 (uma) vez</w:t>
      </w:r>
      <w:r>
        <w:rPr>
          <w:rFonts w:eastAsia="Arial" w:cs="Arial"/>
          <w:sz w:val="24"/>
        </w:rPr>
        <w:t xml:space="preserve">, </w:t>
      </w:r>
      <w:r>
        <w:rPr>
          <w:rFonts w:eastAsia="Arial" w:cs="Arial"/>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 w:val="24"/>
        </w:rPr>
      </w:pPr>
      <w:r>
        <w:rPr>
          <w:rFonts w:eastAsia="Arial" w:cs="Arial"/>
          <w:color w:val="000000"/>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color w:val="000000"/>
        </w:rPr>
      </w:pPr>
      <w:r>
        <w:rPr>
          <w:rFonts w:eastAsia="Arial" w:cs="Arial"/>
          <w:color w:val="00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jc w:val="both"/>
        <w:rPr/>
      </w:pPr>
      <w:r>
        <w:rPr>
          <w:rFonts w:eastAsia="Arial" w:cs="Arial"/>
          <w:color w:val="F58220"/>
          <w:sz w:val="24"/>
        </w:rPr>
        <w:t xml:space="preserve"> </w:t>
      </w:r>
      <w:r>
        <w:rPr>
          <w:rFonts w:eastAsia="Arial" w:cs="Arial"/>
          <w:color w:val="000000"/>
          <w:sz w:val="24"/>
        </w:rPr>
        <w:t>O prazo de entrega do item será de 15 (quinze) dias, contados do recebimento da nota de empenho.</w:t>
      </w:r>
    </w:p>
    <w:p>
      <w:pPr>
        <w:pStyle w:val="Normal"/>
        <w:numPr>
          <w:ilvl w:val="1"/>
          <w:numId w:val="1"/>
        </w:numPr>
        <w:spacing w:lineRule="auto" w:line="276" w:before="120" w:after="120"/>
        <w:ind w:left="425" w:hanging="0"/>
        <w:jc w:val="both"/>
        <w:rPr>
          <w:rFonts w:eastAsia="Arial" w:cs="Arial"/>
          <w:color w:val="000000"/>
          <w:sz w:val="24"/>
        </w:rPr>
      </w:pPr>
      <w:r>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hanging="0"/>
        <w:jc w:val="both"/>
        <w:rPr>
          <w:rFonts w:eastAsia="Arial" w:cs="Arial"/>
          <w:color w:val="000000"/>
          <w:sz w:val="16"/>
          <w:szCs w:val="16"/>
        </w:rPr>
      </w:pPr>
      <w:r>
        <w:rPr>
          <w:rFonts w:eastAsia="Arial" w:cs="Arial"/>
          <w:color w:val="000000"/>
          <w:sz w:val="16"/>
          <w:szCs w:val="16"/>
        </w:rPr>
      </w:r>
    </w:p>
    <w:p>
      <w:pPr>
        <w:pStyle w:val="Ttulo1"/>
        <w:numPr>
          <w:ilvl w:val="0"/>
          <w:numId w:val="1"/>
        </w:numPr>
        <w:rPr>
          <w:rFonts w:ascii="Arial" w:hAnsi="Arial" w:cs="Arial"/>
          <w:color w:val="00000A"/>
          <w:sz w:val="24"/>
          <w:szCs w:val="24"/>
        </w:rPr>
      </w:pPr>
      <w:bookmarkStart w:id="7" w:name="_Toc104906825"/>
      <w:bookmarkEnd w:id="7"/>
      <w:r>
        <w:rPr>
          <w:rFonts w:cs="Arial" w:ascii="Arial" w:hAnsi="Arial"/>
          <w:color w:val="00000A"/>
          <w:sz w:val="24"/>
          <w:szCs w:val="24"/>
        </w:rPr>
        <w:t>SANÇÕES</w:t>
      </w:r>
    </w:p>
    <w:p>
      <w:pPr>
        <w:pStyle w:val="Normal"/>
        <w:numPr>
          <w:ilvl w:val="1"/>
          <w:numId w:val="1"/>
        </w:numPr>
        <w:spacing w:lineRule="auto" w:line="276" w:before="120" w:after="120"/>
        <w:ind w:left="857" w:hanging="432"/>
        <w:jc w:val="both"/>
        <w:rPr>
          <w:rFonts w:cs="Arial"/>
          <w:b/>
          <w:b/>
          <w:sz w:val="24"/>
        </w:rPr>
      </w:pPr>
      <w:r>
        <w:rPr>
          <w:rFonts w:cs="Arial"/>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w:t>
      </w:r>
      <w:r>
        <w:rPr>
          <w:rFonts w:cs="Arial"/>
          <w:sz w:val="24"/>
        </w:rPr>
        <w:t>;</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4"/>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4"/>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4"/>
        </w:rPr>
        <w:t>fraudar a dispensa eletrônica ou praticar ato fraudulento na execução do contrato;</w:t>
      </w:r>
    </w:p>
    <w:p>
      <w:pPr>
        <w:pStyle w:val="Normal"/>
        <w:numPr>
          <w:ilvl w:val="2"/>
          <w:numId w:val="1"/>
        </w:numPr>
        <w:spacing w:lineRule="auto" w:line="276" w:before="120" w:after="120"/>
        <w:jc w:val="both"/>
        <w:rPr/>
      </w:pPr>
      <w:r>
        <w:rPr>
          <w:rFonts w:cs="Arial"/>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pPr>
      <w:r>
        <w:rPr>
          <w:rFonts w:cs="Arial"/>
          <w:color w:val="000000"/>
          <w:sz w:val="24"/>
        </w:rPr>
        <w:t>praticar atos ilícitos com vistas a frustrar os objetivos deste certame.</w:t>
      </w:r>
    </w:p>
    <w:p>
      <w:pPr>
        <w:pStyle w:val="Normal"/>
        <w:numPr>
          <w:ilvl w:val="2"/>
          <w:numId w:val="1"/>
        </w:numPr>
        <w:spacing w:lineRule="auto" w:line="276" w:before="120" w:after="120"/>
        <w:jc w:val="both"/>
        <w:rPr/>
      </w:pPr>
      <w:r>
        <w:rPr>
          <w:rFonts w:cs="Arial"/>
          <w:color w:val="000000"/>
          <w:sz w:val="24"/>
        </w:rPr>
        <w:t xml:space="preserve">praticar ato lesivo previsto no </w:t>
      </w:r>
      <w:r>
        <w:fldChar w:fldCharType="begin"/>
      </w:r>
      <w:r>
        <w:rPr>
          <w:rStyle w:val="LinkdaInternet"/>
        </w:rPr>
        <w:instrText xml:space="preserve"> HYPERLINK "http://www.planalto.gov.br/ccivil_03/_Ato2011-2014/2013/Lei/L12846.htm"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hanging="0"/>
        <w:jc w:val="both"/>
        <w:rPr>
          <w:rFonts w:cs="Arial"/>
          <w:b/>
          <w:b/>
          <w:sz w:val="24"/>
        </w:rPr>
      </w:pPr>
      <w:r>
        <w:rPr>
          <w:rFonts w:cs="Arial"/>
          <w:sz w:val="24"/>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4"/>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pPr>
      <w:r>
        <w:rPr>
          <w:rFonts w:cs="Arial"/>
          <w:sz w:val="24"/>
        </w:rPr>
        <w:t xml:space="preserve">Multa de </w:t>
      </w:r>
      <w:r>
        <w:rPr>
          <w:rFonts w:cs="Arial"/>
          <w:color w:val="000000"/>
          <w:sz w:val="24"/>
        </w:rPr>
        <w:t>30% (trinta por cento)</w:t>
      </w:r>
      <w:r>
        <w:rPr>
          <w:rFonts w:cs="Arial"/>
          <w:color w:val="FF0000"/>
          <w:sz w:val="24"/>
        </w:rPr>
        <w:t xml:space="preserve"> </w:t>
      </w:r>
      <w:r>
        <w:rPr>
          <w:rFonts w:cs="Arial"/>
          <w:sz w:val="24"/>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sz w:val="24"/>
        </w:rPr>
      </w:pPr>
      <w:r>
        <w:rPr>
          <w:rFonts w:cs="Arial"/>
          <w:color w:val="000000"/>
          <w:sz w:val="24"/>
        </w:rPr>
        <w:t>Impedimento de licitar e contratar</w:t>
      </w:r>
      <w:r>
        <w:rPr>
          <w:rFonts w:cs="Arial"/>
          <w:sz w:val="24"/>
        </w:rPr>
        <w:t xml:space="preserve"> </w:t>
      </w:r>
      <w:r>
        <w:rPr>
          <w:rFonts w:cs="Arial"/>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rPr>
        <w:t>;</w:t>
      </w:r>
    </w:p>
    <w:p>
      <w:pPr>
        <w:pStyle w:val="Normal"/>
        <w:numPr>
          <w:ilvl w:val="2"/>
          <w:numId w:val="5"/>
        </w:numPr>
        <w:spacing w:lineRule="auto" w:line="276" w:before="120" w:after="120"/>
        <w:jc w:val="both"/>
        <w:rPr>
          <w:rFonts w:cs="Arial"/>
          <w:sz w:val="24"/>
        </w:rPr>
      </w:pPr>
      <w:r>
        <w:rPr>
          <w:rFonts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rPr>
        <w:t>;</w:t>
      </w:r>
    </w:p>
    <w:p>
      <w:pPr>
        <w:pStyle w:val="Normal"/>
        <w:numPr>
          <w:ilvl w:val="1"/>
          <w:numId w:val="1"/>
        </w:numPr>
        <w:spacing w:lineRule="auto" w:line="276" w:before="120" w:after="120"/>
        <w:jc w:val="both"/>
        <w:rPr>
          <w:rFonts w:cs="Arial"/>
          <w:bCs/>
          <w:sz w:val="24"/>
        </w:rPr>
      </w:pPr>
      <w:r>
        <w:rPr>
          <w:rFonts w:cs="Arial"/>
          <w:bCs/>
          <w:sz w:val="24"/>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4"/>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4"/>
        </w:rPr>
        <w:t>as peculiaridades do caso concreto;</w:t>
      </w:r>
    </w:p>
    <w:p>
      <w:pPr>
        <w:pStyle w:val="Normal"/>
        <w:numPr>
          <w:ilvl w:val="2"/>
          <w:numId w:val="1"/>
        </w:numPr>
        <w:spacing w:lineRule="auto" w:line="276" w:before="120" w:after="120"/>
        <w:jc w:val="both"/>
        <w:rPr>
          <w:rFonts w:cs="Arial"/>
          <w:bCs/>
          <w:sz w:val="24"/>
        </w:rPr>
      </w:pPr>
      <w:r>
        <w:rPr>
          <w:rFonts w:cs="Arial"/>
          <w:bCs/>
          <w:sz w:val="24"/>
        </w:rPr>
        <w:t>as circunstâncias agravantes ou atenuantes;</w:t>
      </w:r>
    </w:p>
    <w:p>
      <w:pPr>
        <w:pStyle w:val="Normal"/>
        <w:numPr>
          <w:ilvl w:val="2"/>
          <w:numId w:val="1"/>
        </w:numPr>
        <w:spacing w:lineRule="auto" w:line="276" w:before="120" w:after="120"/>
        <w:jc w:val="both"/>
        <w:rPr>
          <w:rFonts w:cs="Arial"/>
          <w:bCs/>
          <w:sz w:val="24"/>
        </w:rPr>
      </w:pPr>
      <w:r>
        <w:rPr>
          <w:rFonts w:cs="Arial"/>
          <w:bCs/>
          <w:sz w:val="24"/>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8" w:name="art156%252525252525252525C2%252525252525"/>
      <w:bookmarkStart w:id="9" w:name="art156%252525252525252525C2%252525252525"/>
      <w:bookmarkStart w:id="10" w:name="art156%252525252525252525C2%252525252525"/>
      <w:bookmarkEnd w:id="8"/>
      <w:bookmarkEnd w:id="9"/>
      <w:bookmarkEnd w:id="10"/>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1" w:name="art156%252525252525252525C2%252525252525"/>
      <w:bookmarkEnd w:id="11"/>
      <w:r>
        <w:rPr>
          <w:rFonts w:cs="Arial"/>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4"/>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sz w:val="24"/>
        </w:rPr>
        <w:t>As sanções por atos praticados no decorrer da contratação estão previstas nos anexos a este Aviso.</w:t>
      </w:r>
    </w:p>
    <w:p>
      <w:pPr>
        <w:pStyle w:val="Normal"/>
        <w:numPr>
          <w:ilvl w:val="0"/>
          <w:numId w:val="0"/>
        </w:numPr>
        <w:spacing w:lineRule="auto" w:line="276" w:before="120" w:after="120"/>
        <w:ind w:left="1217" w:hanging="0"/>
        <w:jc w:val="both"/>
        <w:rPr>
          <w:rFonts w:cs="Arial"/>
        </w:rPr>
      </w:pPr>
      <w:r>
        <w:rPr>
          <w:rFonts w:cs="Arial"/>
        </w:rPr>
      </w:r>
    </w:p>
    <w:p>
      <w:pPr>
        <w:pStyle w:val="Ttulo1"/>
        <w:numPr>
          <w:ilvl w:val="0"/>
          <w:numId w:val="1"/>
        </w:numPr>
        <w:rPr/>
      </w:pPr>
      <w:bookmarkStart w:id="12" w:name="_Toc104906826"/>
      <w:bookmarkEnd w:id="12"/>
      <w:r>
        <w:rPr>
          <w:rFonts w:cs="Arial" w:ascii="Arial" w:hAnsi="Arial"/>
          <w:color w:val="00000A"/>
          <w:sz w:val="24"/>
          <w:szCs w:val="24"/>
        </w:rPr>
        <w:t>DAS DISPOSIÇÕES GERAIS</w:t>
      </w:r>
    </w:p>
    <w:p>
      <w:pPr>
        <w:pStyle w:val="Normal"/>
        <w:numPr>
          <w:ilvl w:val="1"/>
          <w:numId w:val="1"/>
        </w:numPr>
        <w:snapToGrid w:val="false"/>
        <w:spacing w:lineRule="auto" w:line="276" w:before="120" w:after="120"/>
        <w:ind w:left="857" w:hanging="432"/>
        <w:jc w:val="both"/>
        <w:rPr>
          <w:rFonts w:cs="Arial"/>
          <w:sz w:val="24"/>
        </w:rPr>
      </w:pPr>
      <w:r>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4"/>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 w:val="24"/>
        </w:rPr>
      </w:pPr>
      <w:r>
        <w:rPr>
          <w:rFonts w:cs="Arial"/>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4"/>
        </w:rPr>
        <w:t>ANEXO I – Documentação exigida para Habilitação</w:t>
      </w:r>
    </w:p>
    <w:p>
      <w:pPr>
        <w:pStyle w:val="Normal"/>
        <w:numPr>
          <w:ilvl w:val="2"/>
          <w:numId w:val="1"/>
        </w:numPr>
        <w:spacing w:lineRule="auto" w:line="276" w:before="120" w:after="120"/>
        <w:jc w:val="both"/>
        <w:rPr>
          <w:color w:val="000000"/>
        </w:rPr>
      </w:pPr>
      <w:r>
        <w:rPr>
          <w:rFonts w:cs="Arial"/>
          <w:color w:val="000000"/>
          <w:sz w:val="24"/>
        </w:rPr>
        <w:t>ANEXO II - Termo de Referência;</w:t>
      </w:r>
    </w:p>
    <w:p>
      <w:pPr>
        <w:pStyle w:val="Normal"/>
        <w:spacing w:lineRule="auto" w:line="276" w:before="120" w:after="120"/>
        <w:jc w:val="both"/>
        <w:rPr>
          <w:rFonts w:cs="Arial"/>
          <w:color w:val="FF0000"/>
          <w:sz w:val="16"/>
          <w:szCs w:val="16"/>
        </w:rPr>
      </w:pPr>
      <w:r>
        <w:rPr>
          <w:rFonts w:cs="Arial"/>
          <w:color w:val="FF0000"/>
          <w:sz w:val="16"/>
          <w:szCs w:val="16"/>
        </w:rPr>
      </w:r>
    </w:p>
    <w:p>
      <w:pPr>
        <w:pStyle w:val="Normal"/>
        <w:spacing w:lineRule="auto" w:line="276" w:before="120" w:after="120"/>
        <w:jc w:val="both"/>
        <w:rPr>
          <w:rFonts w:cs="Arial"/>
          <w:color w:val="FF0000"/>
          <w:sz w:val="16"/>
          <w:szCs w:val="16"/>
        </w:rPr>
      </w:pPr>
      <w:r>
        <w:rPr>
          <w:rFonts w:cs="Arial"/>
          <w:color w:val="FF0000"/>
          <w:sz w:val="16"/>
          <w:szCs w:val="16"/>
        </w:rPr>
      </w:r>
    </w:p>
    <w:p>
      <w:pPr>
        <w:pStyle w:val="Normal"/>
        <w:spacing w:lineRule="auto" w:line="276" w:before="0" w:after="120"/>
        <w:ind w:left="360" w:right="-15" w:hanging="0"/>
        <w:jc w:val="center"/>
        <w:rPr>
          <w:rFonts w:cs="Arial"/>
          <w:color w:val="000000"/>
          <w:sz w:val="16"/>
          <w:szCs w:val="16"/>
        </w:rPr>
      </w:pPr>
      <w:r>
        <w:rPr>
          <w:rFonts w:cs="Arial"/>
          <w:color w:val="000000"/>
          <w:sz w:val="16"/>
          <w:szCs w:val="16"/>
        </w:rPr>
      </w:r>
    </w:p>
    <w:p>
      <w:pPr>
        <w:pStyle w:val="Normal"/>
        <w:spacing w:lineRule="auto" w:line="276" w:before="0" w:after="120"/>
        <w:ind w:left="360" w:hanging="0"/>
        <w:jc w:val="both"/>
        <w:rPr>
          <w:rFonts w:cs="Arial"/>
          <w:color w:val="000000"/>
          <w:sz w:val="24"/>
        </w:rPr>
      </w:pPr>
      <w:r>
        <w:rPr>
          <w:rFonts w:cs="Arial"/>
          <w:color w:val="000000"/>
          <w:sz w:val="24"/>
        </w:rPr>
      </w:r>
    </w:p>
    <w:p>
      <w:pPr>
        <w:pStyle w:val="Normal"/>
        <w:spacing w:lineRule="auto" w:line="276" w:before="0" w:after="120"/>
        <w:ind w:left="360" w:hanging="0"/>
        <w:jc w:val="both"/>
        <w:rPr/>
      </w:pPr>
      <w:r>
        <w:rPr>
          <w:rFonts w:cs="Arial"/>
          <w:color w:val="000000"/>
          <w:sz w:val="24"/>
        </w:rPr>
        <w:t xml:space="preserve">Natal,     de </w:t>
      </w:r>
      <w:r>
        <w:rPr>
          <w:rFonts w:cs="Arial"/>
          <w:color w:val="000000"/>
          <w:sz w:val="24"/>
        </w:rPr>
        <w:t>Setembro</w:t>
      </w:r>
      <w:r>
        <w:rPr>
          <w:rFonts w:cs="Arial"/>
          <w:color w:val="000000"/>
          <w:sz w:val="24"/>
        </w:rPr>
        <w:t xml:space="preserve"> de 2023.</w:t>
      </w:r>
    </w:p>
    <w:p>
      <w:pPr>
        <w:pStyle w:val="Normal"/>
        <w:spacing w:lineRule="auto" w:line="276" w:before="0" w:after="120"/>
        <w:ind w:left="360" w:hanging="0"/>
        <w:jc w:val="both"/>
        <w:rPr>
          <w:rFonts w:cs="Arial"/>
          <w:color w:val="000000"/>
          <w:sz w:val="16"/>
          <w:szCs w:val="16"/>
        </w:rPr>
      </w:pPr>
      <w:r>
        <w:rPr>
          <w:rFonts w:cs="Arial"/>
          <w:color w:val="000000"/>
          <w:sz w:val="16"/>
          <w:szCs w:val="16"/>
        </w:rPr>
      </w:r>
    </w:p>
    <w:p>
      <w:pPr>
        <w:pStyle w:val="Normal"/>
        <w:spacing w:lineRule="auto" w:line="276"/>
        <w:ind w:left="4819" w:hanging="0"/>
        <w:jc w:val="center"/>
        <w:rPr>
          <w:rFonts w:ascii="Arial" w:hAnsi="Arial" w:cs="Arial"/>
          <w:iCs/>
          <w:color w:val="00000A"/>
          <w:sz w:val="20"/>
          <w:szCs w:val="20"/>
          <w:highlight w:val="yellow"/>
        </w:rPr>
      </w:pPr>
      <w:r>
        <w:rPr>
          <w:rFonts w:cs="Arial"/>
          <w:iCs/>
          <w:color w:val="00000A"/>
          <w:sz w:val="20"/>
          <w:szCs w:val="20"/>
          <w:highlight w:val="yellow"/>
        </w:rPr>
      </w:r>
    </w:p>
    <w:p>
      <w:pPr>
        <w:pStyle w:val="Normal"/>
        <w:spacing w:lineRule="auto" w:line="276"/>
        <w:ind w:hanging="0"/>
        <w:jc w:val="center"/>
        <w:rPr>
          <w:rFonts w:ascii="Arial" w:hAnsi="Arial"/>
          <w:sz w:val="20"/>
          <w:szCs w:val="20"/>
        </w:rPr>
      </w:pPr>
      <w:r>
        <w:rPr>
          <w:rFonts w:cs="Arial"/>
          <w:iCs/>
          <w:color w:val="00000A"/>
          <w:sz w:val="20"/>
          <w:szCs w:val="20"/>
        </w:rPr>
        <w:t xml:space="preserve">JOSÉ ROBERTO MOURA DE SOUZA </w:t>
      </w:r>
    </w:p>
    <w:p>
      <w:pPr>
        <w:pStyle w:val="Normal"/>
        <w:spacing w:lineRule="auto" w:line="276"/>
        <w:ind w:hanging="0"/>
        <w:jc w:val="center"/>
        <w:rPr>
          <w:rFonts w:ascii="Arial" w:hAnsi="Arial"/>
          <w:sz w:val="20"/>
          <w:szCs w:val="20"/>
        </w:rPr>
      </w:pPr>
      <w:r>
        <w:rPr>
          <w:rFonts w:cs="Arial"/>
          <w:iCs/>
          <w:color w:val="00000A"/>
          <w:sz w:val="20"/>
          <w:szCs w:val="20"/>
        </w:rPr>
        <w:t>Capitão de Mar e Guerra</w:t>
      </w:r>
    </w:p>
    <w:p>
      <w:pPr>
        <w:pStyle w:val="Normal"/>
        <w:spacing w:lineRule="auto" w:line="276"/>
        <w:ind w:hanging="0"/>
        <w:jc w:val="center"/>
        <w:rPr>
          <w:rFonts w:ascii="Arial" w:hAnsi="Arial"/>
          <w:sz w:val="20"/>
          <w:szCs w:val="20"/>
        </w:rPr>
      </w:pPr>
      <w:r>
        <w:rPr>
          <w:rFonts w:cs="Arial"/>
          <w:iCs/>
          <w:color w:val="00000A"/>
          <w:sz w:val="20"/>
          <w:szCs w:val="20"/>
        </w:rPr>
        <w:t>CPF: 472.130.433-15</w:t>
      </w:r>
    </w:p>
    <w:p>
      <w:pPr>
        <w:pStyle w:val="Normal"/>
        <w:spacing w:lineRule="auto" w:line="276"/>
        <w:ind w:hanging="0"/>
        <w:jc w:val="center"/>
        <w:rPr>
          <w:rFonts w:ascii="Arial" w:hAnsi="Arial"/>
          <w:sz w:val="20"/>
          <w:szCs w:val="20"/>
        </w:rPr>
      </w:pPr>
      <w:r>
        <w:rPr>
          <w:rFonts w:cs="Arial"/>
          <w:iCs/>
          <w:color w:val="00000A"/>
          <w:sz w:val="20"/>
          <w:szCs w:val="20"/>
        </w:rPr>
        <w:t>Ordenador de Despesa</w:t>
      </w:r>
    </w:p>
    <w:p>
      <w:pPr>
        <w:pStyle w:val="Normal"/>
        <w:spacing w:lineRule="auto" w:line="276"/>
        <w:ind w:left="4819" w:hanging="0"/>
        <w:jc w:val="center"/>
        <w:rPr>
          <w:rFonts w:cs="Arial"/>
          <w:b/>
          <w:b/>
          <w:bCs/>
          <w:iCs/>
          <w:color w:val="00000A"/>
          <w:sz w:val="24"/>
          <w:shd w:fill="FFFF00" w:val="clear"/>
        </w:rPr>
      </w:pPr>
      <w:r>
        <w:rPr>
          <w:rFonts w:cs="Arial"/>
          <w:b/>
          <w:bCs/>
          <w:iCs/>
          <w:color w:val="00000A"/>
          <w:sz w:val="24"/>
          <w:shd w:fill="FFFF00" w:val="clear"/>
        </w:rPr>
      </w:r>
      <w:bookmarkStart w:id="13" w:name="_GoBack"/>
      <w:bookmarkStart w:id="14" w:name="_GoBack"/>
      <w:bookmarkEnd w:id="14"/>
    </w:p>
    <w:p>
      <w:pPr>
        <w:pStyle w:val="Normal"/>
        <w:spacing w:lineRule="auto" w:line="259" w:before="0" w:after="160"/>
        <w:rPr>
          <w:rFonts w:cs="Arial"/>
          <w:sz w:val="24"/>
        </w:rPr>
      </w:pPr>
      <w:r>
        <w:rPr>
          <w:rFonts w:cs="Arial"/>
          <w:sz w:val="24"/>
        </w:rPr>
      </w:r>
    </w:p>
    <w:p>
      <w:pPr>
        <w:pStyle w:val="Ttulododocumento"/>
        <w:jc w:val="center"/>
        <w:rPr>
          <w:rFonts w:ascii="Arial" w:hAnsi="Arial"/>
        </w:rPr>
      </w:pPr>
      <w:r>
        <w:rPr>
          <w:rFonts w:cs="Arial" w:ascii="Arial" w:hAnsi="Arial"/>
          <w:sz w:val="24"/>
          <w:szCs w:val="24"/>
        </w:rPr>
        <w:t>ANEXO I – DOCUMENTAÇÃO EXIGIDA PARA HABILITAÇÃO</w:t>
      </w:r>
    </w:p>
    <w:p>
      <w:pPr>
        <w:pStyle w:val="Normal"/>
        <w:rPr>
          <w:rFonts w:cs="Arial"/>
          <w:sz w:val="24"/>
          <w:lang w:eastAsia="en-US"/>
        </w:rPr>
      </w:pPr>
      <w:r>
        <w:rPr>
          <w:rFonts w:cs="Arial"/>
          <w:sz w:val="24"/>
          <w:lang w:eastAsia="en-US"/>
        </w:rPr>
      </w:r>
    </w:p>
    <w:p>
      <w:pPr>
        <w:pStyle w:val="Normal"/>
        <w:rPr>
          <w:rFonts w:cs="Arial"/>
          <w:sz w:val="24"/>
          <w:lang w:eastAsia="en-US"/>
        </w:rPr>
      </w:pPr>
      <w:r>
        <w:rPr>
          <w:rFonts w:cs="Arial"/>
          <w:sz w:val="24"/>
          <w:lang w:eastAsia="en-US"/>
        </w:rPr>
      </w:r>
    </w:p>
    <w:p>
      <w:pPr>
        <w:pStyle w:val="PADRO"/>
        <w:keepNext w:val="true"/>
        <w:widowControl/>
        <w:numPr>
          <w:ilvl w:val="0"/>
          <w:numId w:val="3"/>
        </w:numPr>
        <w:shd w:val="clear" w:fill="FFFFFF"/>
        <w:spacing w:before="120" w:after="120"/>
        <w:rPr>
          <w:rFonts w:ascii="Arial" w:hAnsi="Arial" w:cs="Arial"/>
          <w:sz w:val="24"/>
        </w:rPr>
      </w:pPr>
      <w:r>
        <w:rPr>
          <w:rFonts w:cs="Arial" w:ascii="Arial" w:hAnsi="Arial"/>
          <w:b/>
          <w:bCs/>
          <w:color w:val="000000"/>
          <w:sz w:val="24"/>
        </w:rPr>
        <w:t xml:space="preserve"> </w:t>
      </w:r>
      <w:r>
        <w:rPr>
          <w:rFonts w:cs="Arial" w:ascii="Arial" w:hAnsi="Arial"/>
          <w:b/>
          <w:bCs/>
          <w:color w:val="000000"/>
          <w:sz w:val="24"/>
        </w:rPr>
        <w:t>Regularidade fiscal, social e trabalhista:</w:t>
      </w:r>
    </w:p>
    <w:p>
      <w:pPr>
        <w:pStyle w:val="Normal"/>
        <w:numPr>
          <w:ilvl w:val="1"/>
          <w:numId w:val="3"/>
        </w:numPr>
        <w:tabs>
          <w:tab w:val="clear" w:pos="347"/>
          <w:tab w:val="left" w:pos="1440" w:leader="none"/>
        </w:tabs>
        <w:snapToGrid w:val="false"/>
        <w:spacing w:lineRule="auto" w:line="276" w:before="120" w:after="120"/>
        <w:jc w:val="both"/>
        <w:rPr>
          <w:rFonts w:cs="Arial"/>
          <w:sz w:val="24"/>
        </w:rPr>
      </w:pPr>
      <w:r>
        <w:rPr>
          <w:rFonts w:cs="Arial"/>
          <w:sz w:val="24"/>
          <w:lang w:eastAsia="en-US"/>
        </w:rPr>
        <w:t>prova de inscrição no Cadastro Nacional de Pessoas Jurídicas ou no Cadastro de Pessoas Físicas, conforme o caso;</w:t>
      </w:r>
    </w:p>
    <w:p>
      <w:pPr>
        <w:pStyle w:val="Normal"/>
        <w:numPr>
          <w:ilvl w:val="1"/>
          <w:numId w:val="3"/>
        </w:numPr>
        <w:tabs>
          <w:tab w:val="clear" w:pos="347"/>
          <w:tab w:val="left" w:pos="1440" w:leader="none"/>
        </w:tabs>
        <w:snapToGrid w:val="false"/>
        <w:spacing w:lineRule="auto" w:line="276" w:before="120" w:after="120"/>
        <w:jc w:val="both"/>
        <w:rPr>
          <w:rFonts w:cs="Arial"/>
          <w:sz w:val="24"/>
        </w:rPr>
      </w:pPr>
      <w:r>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347"/>
          <w:tab w:val="left" w:pos="1440" w:leader="none"/>
        </w:tabs>
        <w:snapToGrid w:val="false"/>
        <w:spacing w:lineRule="auto" w:line="276" w:before="120" w:after="120"/>
        <w:jc w:val="both"/>
        <w:rPr>
          <w:rFonts w:cs="Arial"/>
          <w:color w:val="000000"/>
          <w:sz w:val="24"/>
        </w:rPr>
      </w:pPr>
      <w:r>
        <w:rPr>
          <w:rFonts w:cs="Arial"/>
          <w:color w:val="000000"/>
          <w:sz w:val="24"/>
          <w:lang w:eastAsia="en-US"/>
        </w:rPr>
        <w:t>prova de regularidade com o Fundo de Garantia do Tempo de Serviço (FGTS);</w:t>
      </w:r>
    </w:p>
    <w:p>
      <w:pPr>
        <w:pStyle w:val="Normal"/>
        <w:numPr>
          <w:ilvl w:val="1"/>
          <w:numId w:val="3"/>
        </w:numPr>
        <w:tabs>
          <w:tab w:val="clear" w:pos="347"/>
          <w:tab w:val="left" w:pos="1440" w:leader="none"/>
        </w:tabs>
        <w:snapToGrid w:val="false"/>
        <w:spacing w:lineRule="auto" w:line="276" w:before="120" w:after="120"/>
        <w:jc w:val="both"/>
        <w:rPr>
          <w:rFonts w:cs="Arial"/>
          <w:sz w:val="24"/>
        </w:rPr>
      </w:pPr>
      <w:r>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347"/>
          <w:tab w:val="left" w:pos="1440" w:leader="none"/>
        </w:tabs>
        <w:snapToGrid w:val="false"/>
        <w:spacing w:lineRule="auto" w:line="276" w:before="120" w:after="120"/>
        <w:jc w:val="both"/>
        <w:rPr>
          <w:rFonts w:cs="Arial"/>
          <w:bCs/>
          <w:sz w:val="24"/>
        </w:rPr>
      </w:pPr>
      <w:r>
        <w:rPr>
          <w:rFonts w:cs="Arial"/>
          <w:bCs/>
          <w:color w:val="000000"/>
          <w:sz w:val="24"/>
        </w:rPr>
        <w:t xml:space="preserve">prova de </w:t>
      </w:r>
      <w:r>
        <w:rPr>
          <w:rFonts w:cs="Arial"/>
          <w:color w:val="000000"/>
          <w:sz w:val="24"/>
        </w:rPr>
        <w:t>inscrição no cadastro de contribuintes estadual e/ou municipal, relativo ao domicílio ou sede do fornecedor, pertinente ao seu ramo de atividade e compatível com o objeto contratual</w:t>
      </w:r>
      <w:r>
        <w:rPr>
          <w:rFonts w:cs="Arial"/>
          <w:bCs/>
          <w:color w:val="000000"/>
          <w:sz w:val="24"/>
        </w:rPr>
        <w:t xml:space="preserve">; </w:t>
      </w:r>
    </w:p>
    <w:p>
      <w:pPr>
        <w:pStyle w:val="Normal"/>
        <w:numPr>
          <w:ilvl w:val="1"/>
          <w:numId w:val="3"/>
        </w:numPr>
        <w:tabs>
          <w:tab w:val="clear" w:pos="347"/>
          <w:tab w:val="left" w:pos="1440" w:leader="none"/>
        </w:tabs>
        <w:snapToGrid w:val="false"/>
        <w:spacing w:lineRule="auto" w:line="276" w:before="120" w:after="120"/>
        <w:jc w:val="both"/>
        <w:rPr>
          <w:color w:val="000000"/>
        </w:rPr>
      </w:pPr>
      <w:r>
        <w:rPr>
          <w:rFonts w:cs="Arial"/>
          <w:color w:val="000000"/>
          <w:sz w:val="24"/>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347"/>
          <w:tab w:val="left" w:pos="1440" w:leader="none"/>
        </w:tabs>
        <w:snapToGrid w:val="false"/>
        <w:spacing w:lineRule="auto" w:line="276" w:before="120" w:after="120"/>
        <w:jc w:val="both"/>
        <w:rPr>
          <w:rFonts w:cs="Arial"/>
          <w:b/>
          <w:b/>
          <w:sz w:val="24"/>
        </w:rPr>
      </w:pPr>
      <w:r>
        <w:rPr>
          <w:rFonts w:cs="Arial"/>
          <w:color w:val="000000"/>
          <w:sz w:val="24"/>
        </w:rPr>
        <w:t xml:space="preserve">caso o fornecedor seja considerado isento dos tributos estaduais </w:t>
      </w:r>
      <w:r>
        <w:rPr>
          <w:rFonts w:cs="Arial"/>
          <w:b/>
          <w:color w:val="000000"/>
          <w:sz w:val="24"/>
          <w:u w:val="single"/>
        </w:rPr>
        <w:t>ou</w:t>
      </w:r>
      <w:r>
        <w:rPr>
          <w:rFonts w:cs="Arial"/>
          <w:color w:val="000000"/>
          <w:sz w:val="24"/>
        </w:rPr>
        <w:t xml:space="preserve"> municipais relacionados ao objeto contratual, deverá comprovar tal condição mediante a apresentação de declaração da Fazenda respectiva do seu domicílio ou sede, ou outra equivalente, na forma da lei; </w:t>
      </w:r>
    </w:p>
    <w:p>
      <w:pPr>
        <w:pStyle w:val="PADRO"/>
        <w:keepNext w:val="true"/>
        <w:widowControl/>
        <w:shd w:val="clear" w:fill="FFFFFF"/>
        <w:spacing w:before="120" w:after="120"/>
        <w:ind w:left="360" w:hanging="0"/>
        <w:rPr/>
      </w:pPr>
      <w:r>
        <w:rPr/>
      </w:r>
    </w:p>
    <w:sectPr>
      <w:headerReference w:type="default" r:id="rId6"/>
      <w:headerReference w:type="first" r:id="rId7"/>
      <w:footerReference w:type="default" r:id="rId8"/>
      <w:footerReference w:type="first" r:id="rId9"/>
      <w:type w:val="nextPage"/>
      <w:pgSz w:w="11906" w:h="16838"/>
      <w:pgMar w:left="1080" w:right="1080" w:gutter="0" w:header="708" w:top="1440" w:footer="708" w:bottom="1440"/>
      <w:pgNumType w:fmt="decimal"/>
      <w:formProt w:val="false"/>
      <w:titlePg/>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347"/>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347"/>
        <w:tab w:val="center" w:pos="4550" w:leader="none"/>
        <w:tab w:val="left" w:pos="5818" w:leader="none"/>
      </w:tabs>
      <w:ind w:right="260" w:hanging="0"/>
      <w:jc w:val="right"/>
      <w:rPr/>
    </w:pPr>
    <w:r>
      <w:rPr>
        <w:color w:val="8496B0" w:themeColor="text2" w:themeTint="99"/>
        <w:spacing w:val="60"/>
        <w:sz w:val="22"/>
        <w:szCs w:val="22"/>
      </w:rPr>
      <w:t>Página</w:t>
    </w:r>
    <w:r>
      <w:rPr>
        <w:color w:val="8496B0" w:themeColor="text2" w:themeTint="99"/>
        <w:sz w:val="22"/>
        <w:szCs w:val="22"/>
      </w:rPr>
      <w:t xml:space="preserve"> </w:t>
    </w:r>
    <w:r>
      <w:rPr/>
      <w:fldChar w:fldCharType="begin"/>
    </w:r>
    <w:r>
      <w:rPr/>
      <w:instrText xml:space="preserve"> PAGE </w:instrText>
    </w:r>
    <w:r>
      <w:rPr/>
      <w:fldChar w:fldCharType="separate"/>
    </w:r>
    <w:r>
      <w:rPr/>
      <w:t>17</w:t>
    </w:r>
    <w:r>
      <w:rPr/>
      <w:fldChar w:fldCharType="end"/>
    </w:r>
    <w:r>
      <w:rPr>
        <w:color w:val="323E4F" w:themeColor="text2" w:themeShade="bf"/>
        <w:sz w:val="22"/>
        <w:szCs w:val="22"/>
      </w:rPr>
      <w:t xml:space="preserve"> | </w:t>
    </w:r>
    <w:r>
      <w:rPr/>
      <w:fldChar w:fldCharType="begin"/>
    </w:r>
    <w:r>
      <w:rPr/>
      <w:instrText xml:space="preserve"> NUMPAGES </w:instrText>
    </w:r>
    <w:r>
      <w:rPr/>
      <w:fldChar w:fldCharType="separate"/>
    </w:r>
    <w:r>
      <w:rPr/>
      <w:t>17</w:t>
    </w:r>
    <w:r>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pPr>
    <w:r>
      <w:rPr/>
      <w:fldChar w:fldCharType="begin"/>
    </w:r>
    <w:r>
      <w:rPr/>
      <w:instrText xml:space="preserve"> FILENAME </w:instrText>
    </w:r>
    <w:r>
      <w:rPr/>
      <w:fldChar w:fldCharType="separate"/>
    </w:r>
    <w:r>
      <w:rPr/>
      <w:t>An-C-CP-100-25-com3dn.docx</w:t>
    </w:r>
    <w:r>
      <w:rPr/>
      <w:fldChar w:fldCharType="end"/>
    </w:r>
  </w:p>
  <w:p>
    <w:pPr>
      <w:pStyle w:val="Cabealho"/>
      <w:rPr>
        <w:sz w:val="16"/>
        <w:szCs w:val="16"/>
      </w:rPr>
    </w:pPr>
    <w:r>
      <w:rPr>
        <w:sz w:val="16"/>
        <w:szCs w:val="16"/>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-1685925</wp:posOffset>
          </wp:positionH>
          <wp:positionV relativeFrom="paragraph">
            <wp:posOffset>-449580</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Arial" w:hAnsi="Arial"/>
      </w:rPr>
    </w:lvl>
    <w:lvl w:ilvl="1">
      <w:start w:val="1"/>
      <w:numFmt w:val="decimal"/>
      <w:lvlText w:val="%1.%2."/>
      <w:lvlJc w:val="left"/>
      <w:pPr>
        <w:tabs>
          <w:tab w:val="num" w:pos="0"/>
        </w:tabs>
        <w:ind w:left="792" w:hanging="432"/>
      </w:pPr>
      <w:rPr>
        <w:sz w:val="24"/>
        <w:i w:val="false"/>
        <w:b/>
        <w:iCs/>
        <w:rFonts w:ascii="Arial" w:hAnsi="Arial"/>
        <w:color w:val="000000"/>
      </w:rPr>
    </w:lvl>
    <w:lvl w:ilvl="2">
      <w:start w:val="1"/>
      <w:numFmt w:val="decimal"/>
      <w:lvlText w:val="%1.%2.%3."/>
      <w:lvlJc w:val="left"/>
      <w:pPr>
        <w:tabs>
          <w:tab w:val="num" w:pos="0"/>
        </w:tabs>
        <w:ind w:left="1224" w:hanging="504"/>
      </w:pPr>
      <w:rPr>
        <w:sz w:val="24"/>
        <w:i w:val="false"/>
        <w:b/>
        <w:iCs/>
        <w:rFonts w:cs="Arial"/>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Pr>
    </w:lvl>
    <w:lvl w:ilvl="2">
      <w:start w:val="1"/>
      <w:numFmt w:val="decimal"/>
      <w:lvlText w:val="%1.%2.%3"/>
      <w:lvlJc w:val="left"/>
      <w:pPr>
        <w:tabs>
          <w:tab w:val="num" w:pos="0"/>
        </w:tabs>
        <w:ind w:left="1854" w:hanging="720"/>
      </w:pPr>
      <w:rPr>
        <w:sz w:val="24"/>
        <w:b/>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sz w:val="24"/>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34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MenoPendente1" w:customStyle="1">
    <w:name w:val="Menção Pendente1"/>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link w:val="Ttulo"/>
    <w:uiPriority w:val="10"/>
    <w:qFormat/>
    <w:rsid w:val="000453ab"/>
    <w:rPr>
      <w:rFonts w:ascii="Calibri Light" w:hAnsi="Calibri Light" w:eastAsia="" w:cs="" w:asciiTheme="majorHAnsi" w:cstheme="majorBidi" w:eastAsiaTheme="majorEastAsia" w:hAnsiTheme="majorHAnsi"/>
      <w:spacing w:val="-10"/>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Caption">
    <w:name w:val="caption"/>
    <w:basedOn w:val="Normal"/>
    <w:qFormat/>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347"/>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347"/>
        <w:tab w:val="center" w:pos="4252" w:leader="none"/>
        <w:tab w:val="right" w:pos="8504" w:leader="none"/>
      </w:tabs>
    </w:pPr>
    <w:rPr/>
  </w:style>
  <w:style w:type="paragraph" w:styleId="Rodap">
    <w:name w:val="Footer"/>
    <w:basedOn w:val="Normal"/>
    <w:link w:val="RodapChar"/>
    <w:uiPriority w:val="99"/>
    <w:unhideWhenUsed/>
    <w:rsid w:val="00805244"/>
    <w:pPr>
      <w:tabs>
        <w:tab w:val="clear" w:pos="347"/>
        <w:tab w:val="center" w:pos="4252" w:leader="none"/>
        <w:tab w:val="right" w:pos="8504" w:leader="none"/>
      </w:tabs>
    </w:pPr>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Contedodatabela" w:customStyle="1">
    <w:name w:val="Conteúdo da tabela"/>
    <w:basedOn w:val="Normal"/>
    <w:qFormat/>
    <w:pPr>
      <w:suppressLineNumbers/>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3B9EE9D7-3461-4B6B-A890-9F0DF8B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Application>LibreOffice/7.3.7.2$Linux_X86_64 LibreOffice_project/30$Build-2</Application>
  <AppVersion>15.0000</AppVersion>
  <Pages>17</Pages>
  <Words>4930</Words>
  <Characters>28240</Characters>
  <CharactersWithSpaces>32809</CharactersWithSpaces>
  <Paragraphs>241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2023-02-14T09:32:00Z</dcterms:created>
  <dc:creator>sahrah luciana</dc:creator>
  <dc:description/>
  <dc:language>pt-BR</dc:language>
  <cp:lastModifiedBy/>
  <dcterms:modified xsi:type="dcterms:W3CDTF">2023-09-06T08:41:47Z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