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p>
    <w:p>
      <w:pPr>
        <w:pStyle w:val="Normal"/>
        <w:rPr>
          <w:rFonts w:cs="Arial"/>
          <w:bCs/>
          <w:color w:val="5B5B5F"/>
          <w:sz w:val="28"/>
          <w:szCs w:val="28"/>
        </w:rPr>
      </w:pPr>
      <w:r>
        <w:rPr>
          <w:rFonts w:cs="Arial"/>
          <w:bCs/>
          <w:color w:val="5B5B5F"/>
          <w:sz w:val="28"/>
          <w:szCs w:val="28"/>
        </w:rPr>
        <w:t>049/2024</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OBJETO</w:t>
      </w:r>
    </w:p>
    <w:p>
      <w:pPr>
        <w:pStyle w:val="Normal"/>
        <w:jc w:val="both"/>
        <w:rPr>
          <w:rFonts w:cs="Arial"/>
          <w:color w:val="595959"/>
          <w:sz w:val="28"/>
          <w:szCs w:val="28"/>
          <w:highlight w:val="white"/>
        </w:rPr>
      </w:pPr>
      <w:r>
        <w:rPr>
          <w:rFonts w:cs="Arial"/>
          <w:color w:val="595959"/>
          <w:sz w:val="28"/>
          <w:szCs w:val="28"/>
          <w:shd w:fill="FFFFFF" w:val="clear"/>
        </w:rPr>
        <w:t>CONTRATAÇ</w:t>
      </w:r>
      <w:r>
        <w:rPr>
          <w:rFonts w:eastAsia="Times New Roman" w:cs="Arial"/>
          <w:color w:val="595959"/>
          <w:kern w:val="0"/>
          <w:sz w:val="28"/>
          <w:szCs w:val="28"/>
          <w:shd w:fill="FFFFFF" w:val="clear"/>
          <w:lang w:val="pt-BR" w:eastAsia="pt-BR" w:bidi="ar-SA"/>
        </w:rPr>
        <w:t xml:space="preserve">ÃO </w:t>
      </w:r>
      <w:r>
        <w:rPr>
          <w:rFonts w:cs="Arial"/>
          <w:color w:val="595959"/>
          <w:sz w:val="28"/>
          <w:szCs w:val="28"/>
          <w:shd w:fill="FFFFFF" w:val="clear"/>
        </w:rPr>
        <w:t xml:space="preserve"> DE SERVIÇO ESPECIALIZADO  PARA EVENTO INSTITUCIONAL</w:t>
      </w:r>
    </w:p>
    <w:p>
      <w:pPr>
        <w:pStyle w:val="Normal"/>
        <w:rPr>
          <w:rFonts w:cs="Arial"/>
          <w:color w:val="5B5B5F"/>
          <w:sz w:val="28"/>
          <w:szCs w:val="28"/>
        </w:rPr>
      </w:pPr>
      <w:r>
        <w:rPr>
          <w:rFonts w:cs="Arial"/>
          <w:color w:val="5B5B5F"/>
          <w:sz w:val="28"/>
          <w:szCs w:val="28"/>
        </w:rPr>
      </w:r>
    </w:p>
    <w:p>
      <w:pPr>
        <w:pStyle w:val="Normal"/>
        <w:rPr>
          <w:rFonts w:cs="Arial"/>
          <w:b/>
          <w:b/>
          <w:bCs/>
          <w:color w:val="405CA1"/>
          <w:sz w:val="32"/>
          <w:szCs w:val="32"/>
        </w:rPr>
      </w:pPr>
      <w:r>
        <w:rPr>
          <w:rFonts w:cs="Arial"/>
          <w:b/>
          <w:bCs/>
          <w:color w:val="405CA1"/>
          <w:sz w:val="32"/>
          <w:szCs w:val="32"/>
        </w:rPr>
        <w:t>VALOR TOTAL DA CONTRATAÇÃO</w:t>
      </w:r>
    </w:p>
    <w:p>
      <w:pPr>
        <w:pStyle w:val="Normal"/>
        <w:widowControl/>
        <w:tabs>
          <w:tab w:val="clear" w:pos="708"/>
          <w:tab w:val="left" w:pos="855" w:leader="none"/>
        </w:tabs>
        <w:suppressAutoHyphens w:val="false"/>
        <w:bidi w:val="0"/>
        <w:spacing w:lineRule="auto" w:line="276" w:before="120" w:after="120"/>
        <w:ind w:left="0" w:right="0" w:hanging="0"/>
        <w:jc w:val="both"/>
        <w:textAlignment w:val="baseline"/>
        <w:rPr/>
      </w:pPr>
      <w:r>
        <w:rPr>
          <w:rStyle w:val="Fontepargpadro"/>
          <w:rFonts w:eastAsia="Arial" w:cs="Arial"/>
          <w:b w:val="false"/>
          <w:bCs w:val="false"/>
          <w:i w:val="false"/>
          <w:iCs w:val="false"/>
          <w:strike w:val="false"/>
          <w:dstrike w:val="false"/>
          <w:outline w:val="false"/>
          <w:shadow w:val="false"/>
          <w:vanish w:val="false"/>
          <w:color w:val="000000"/>
          <w:kern w:val="0"/>
          <w:sz w:val="28"/>
          <w:szCs w:val="28"/>
          <w:u w:val="none"/>
          <w:shd w:fill="auto" w:val="clear"/>
          <w:em w:val="none"/>
          <w:lang w:val="pt-BR" w:eastAsia="zh-CN" w:bidi="ar-SA"/>
        </w:rPr>
        <w:t>R$ 19.975,00</w:t>
      </w:r>
      <w:r>
        <w:rPr>
          <w:rStyle w:val="Fontepargpadro"/>
          <w:rFonts w:cs="Arial"/>
          <w:b w:val="false"/>
          <w:bCs w:val="false"/>
          <w:i w:val="false"/>
          <w:iCs w:val="false"/>
          <w:strike w:val="false"/>
          <w:dstrike w:val="false"/>
          <w:outline w:val="false"/>
          <w:shadow w:val="false"/>
          <w:vanish w:val="false"/>
          <w:color w:val="000000"/>
          <w:sz w:val="28"/>
          <w:szCs w:val="28"/>
          <w:u w:val="none"/>
          <w:shd w:fill="auto" w:val="clear"/>
          <w:em w:val="none"/>
        </w:rPr>
        <w:t xml:space="preserve"> </w:t>
      </w:r>
    </w:p>
    <w:p>
      <w:pPr>
        <w:pStyle w:val="Normal"/>
        <w:rPr>
          <w:rFonts w:cs="Arial"/>
          <w:b/>
          <w:b/>
          <w:bCs/>
          <w:color w:val="405CA1"/>
          <w:sz w:val="32"/>
          <w:szCs w:val="32"/>
        </w:rPr>
      </w:pPr>
      <w:r>
        <w:rPr>
          <w:rFonts w:cs="Arial"/>
          <w:b/>
          <w:bCs/>
          <w:color w:val="405CA1"/>
          <w:sz w:val="32"/>
          <w:szCs w:val="32"/>
        </w:rPr>
        <w:t xml:space="preserve">DATA DA SESSÃO </w:t>
      </w:r>
    </w:p>
    <w:p>
      <w:pPr>
        <w:pStyle w:val="Normal"/>
        <w:rPr>
          <w:b/>
          <w:b/>
          <w:bCs/>
        </w:rPr>
      </w:pPr>
      <w:r>
        <w:rPr>
          <w:rFonts w:cs="Arial"/>
          <w:b/>
          <w:bCs/>
          <w:color w:val="5B5B5F"/>
          <w:sz w:val="28"/>
          <w:szCs w:val="28"/>
        </w:rPr>
        <w:t xml:space="preserve">De </w:t>
      </w:r>
      <w:r>
        <w:rPr>
          <w:rFonts w:cs="Arial"/>
          <w:b/>
          <w:bCs/>
          <w:color w:val="5B5B5F"/>
          <w:sz w:val="28"/>
          <w:szCs w:val="28"/>
        </w:rPr>
        <w:t>11</w:t>
      </w:r>
      <w:r>
        <w:rPr>
          <w:rFonts w:cs="Arial"/>
          <w:b/>
          <w:bCs/>
          <w:color w:val="5B5B5F"/>
          <w:sz w:val="28"/>
          <w:szCs w:val="28"/>
        </w:rPr>
        <w:t>/11/2024</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16h</w:t>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CRITÉRIO DE JULGAMENTO:</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menor preço por item</w:t>
      </w:r>
    </w:p>
    <w:p>
      <w:pPr>
        <w:pStyle w:val="Normal"/>
        <w:suppressAutoHyphens w:val="false"/>
        <w:spacing w:lineRule="auto" w:line="259" w:before="0" w:after="160"/>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tulodosumrio"/>
            <w:ind w:left="0" w:right="0" w:firstLine="567"/>
            <w:rPr/>
          </w:pPr>
          <w:r>
            <w:rPr/>
            <w:t>Sumário</w:t>
          </w:r>
        </w:p>
        <w:p>
          <w:pPr>
            <w:pStyle w:val="Sumrio1"/>
            <w:rPr/>
          </w:pPr>
          <w:r>
            <w:fldChar w:fldCharType="begin"/>
          </w:r>
          <w:r>
            <w:rPr>
              <w:rStyle w:val="Vnculodendice"/>
              <w:vanish w:val="false"/>
              <w:rFonts w:eastAsia="Arial Unicode MS"/>
              <w:color w:val="auto"/>
              <w:lang w:bidi="hi-IN"/>
            </w:rPr>
            <w:instrText xml:space="preserve"> TOC \o "1-3" \h</w:instrText>
          </w:r>
          <w:r>
            <w:rPr>
              <w:rStyle w:val="Vnculodendice"/>
              <w:vanish w:val="false"/>
              <w:rFonts w:eastAsia="Arial Unicode MS"/>
              <w:color w:val="auto"/>
              <w:lang w:bidi="hi-IN"/>
            </w:rPr>
            <w:fldChar w:fldCharType="separate"/>
          </w:r>
          <w:hyperlink w:anchor="_Toc142925860">
            <w:r>
              <w:rPr>
                <w:rStyle w:val="Vnculodendice"/>
                <w:rFonts w:eastAsia="Arial Unicode MS"/>
                <w:vanish w:val="false"/>
                <w:color w:val="auto"/>
                <w:lang w:bidi="hi-IN"/>
              </w:rPr>
              <w:t>1.</w:t>
            </w:r>
          </w:hyperlink>
          <w:hyperlink w:anchor="_Toc142925860">
            <w:r>
              <w:rPr>
                <w:webHidden/>
              </w:rPr>
              <w:fldChar w:fldCharType="begin"/>
            </w:r>
            <w:r>
              <w:rPr>
                <w:webHidden/>
              </w:rPr>
              <w:instrText xml:space="preserve">PAGEREF _Toc142925860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0">
            <w:r>
              <w:rPr>
                <w:webHidden/>
              </w:rPr>
              <w:fldChar w:fldCharType="begin"/>
            </w:r>
            <w:r>
              <w:rPr>
                <w:webHidden/>
              </w:rPr>
              <w:instrText xml:space="preserve">PAGEREF _Toc142925860 \h</w:instrText>
            </w:r>
            <w:r>
              <w:rPr>
                <w:webHidden/>
              </w:rPr>
              <w:fldChar w:fldCharType="separate"/>
            </w:r>
            <w:r>
              <w:rPr>
                <w:rStyle w:val="Vnculodendice"/>
                <w:rFonts w:eastAsia="Arial Unicode MS"/>
                <w:color w:val="auto"/>
                <w:lang w:bidi="hi-IN"/>
              </w:rPr>
              <w:t>OBJETO DA CONTRATAÇÃO DIRETA</w:t>
            </w:r>
            <w:r>
              <w:rPr>
                <w:webHidden/>
              </w:rPr>
              <w:fldChar w:fldCharType="end"/>
            </w:r>
          </w:hyperlink>
          <w:hyperlink w:anchor="_Toc142925860">
            <w:r>
              <w:rPr>
                <w:webHidden/>
              </w:rPr>
              <w:fldChar w:fldCharType="begin"/>
            </w:r>
            <w:r>
              <w:rPr>
                <w:webHidden/>
              </w:rPr>
              <w:instrText xml:space="preserve">PAGEREF _Toc142925860 \h</w:instrText>
            </w:r>
            <w:r>
              <w:rPr>
                <w:webHidden/>
              </w:rPr>
              <w:fldChar w:fldCharType="separate"/>
            </w:r>
            <w:r>
              <w:rPr>
                <w:rStyle w:val="Vnculodendice"/>
                <w:vanish w:val="false"/>
              </w:rPr>
              <w:tab/>
              <w:t>4</w:t>
            </w:r>
            <w:r>
              <w:rPr>
                <w:webHidden/>
              </w:rPr>
              <w:fldChar w:fldCharType="end"/>
            </w:r>
          </w:hyperlink>
        </w:p>
        <w:p>
          <w:pPr>
            <w:pStyle w:val="Sumrio1"/>
            <w:rPr/>
          </w:pPr>
          <w:hyperlink w:anchor="_Toc142925861">
            <w:r>
              <w:rPr>
                <w:rStyle w:val="Vnculodendice"/>
                <w:rFonts w:eastAsia="Arial Unicode MS"/>
                <w:vanish w:val="false"/>
                <w:color w:val="auto"/>
                <w:lang w:bidi="hi-IN"/>
              </w:rPr>
              <w:t>2.</w:t>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rFonts w:eastAsia="Arial Unicode MS"/>
                <w:color w:val="000000"/>
                <w:shd w:fill="00FFFF" w:val="clear"/>
                <w:lang w:bidi="hi-IN"/>
              </w:rPr>
              <w:t>REGISTRO DE PREÇOS</w:t>
            </w:r>
            <w:r>
              <w:rPr>
                <w:webHidden/>
              </w:rPr>
              <w:fldChar w:fldCharType="end"/>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rFonts w:eastAsia="Arial Unicode MS"/>
                <w:color w:val="auto"/>
                <w:lang w:bidi="hi-IN"/>
              </w:rPr>
              <w:t xml:space="preserve"> </w:t>
            </w:r>
            <w:r>
              <w:rPr>
                <w:webHidden/>
              </w:rPr>
              <w:fldChar w:fldCharType="end"/>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vanish w:val="false"/>
              </w:rPr>
              <w:tab/>
              <w:t>5</w:t>
            </w:r>
            <w:r>
              <w:rPr>
                <w:webHidden/>
              </w:rPr>
              <w:fldChar w:fldCharType="end"/>
            </w:r>
          </w:hyperlink>
        </w:p>
        <w:p>
          <w:pPr>
            <w:pStyle w:val="Sumrio1"/>
            <w:rPr/>
          </w:pPr>
          <w:hyperlink w:anchor="_Toc142925862">
            <w:r>
              <w:rPr>
                <w:rStyle w:val="Vnculodendice"/>
                <w:rFonts w:eastAsia="Arial Unicode MS"/>
                <w:vanish w:val="false"/>
                <w:color w:val="auto"/>
                <w:lang w:bidi="hi-IN"/>
              </w:rPr>
              <w:t>3.</w:t>
            </w:r>
          </w:hyperlink>
          <w:hyperlink w:anchor="_Toc142925862">
            <w:r>
              <w:rPr>
                <w:webHidden/>
              </w:rPr>
              <w:fldChar w:fldCharType="begin"/>
            </w:r>
            <w:r>
              <w:rPr>
                <w:webHidden/>
              </w:rPr>
              <w:instrText xml:space="preserve">PAGEREF _Toc142925862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2">
            <w:r>
              <w:rPr>
                <w:webHidden/>
              </w:rPr>
              <w:fldChar w:fldCharType="begin"/>
            </w:r>
            <w:r>
              <w:rPr>
                <w:webHidden/>
              </w:rPr>
              <w:instrText xml:space="preserve">PAGEREF _Toc142925862 \h</w:instrText>
            </w:r>
            <w:r>
              <w:rPr>
                <w:webHidden/>
              </w:rPr>
              <w:fldChar w:fldCharType="separate"/>
            </w:r>
            <w:r>
              <w:rPr>
                <w:rStyle w:val="Vnculodendice"/>
                <w:rFonts w:eastAsia="Arial Unicode MS"/>
                <w:color w:val="auto"/>
                <w:lang w:bidi="hi-IN"/>
              </w:rPr>
              <w:t>PARTICIPAÇÃO NA DISPENSA ELETRÔNICA.</w:t>
            </w:r>
            <w:r>
              <w:rPr>
                <w:webHidden/>
              </w:rPr>
              <w:fldChar w:fldCharType="end"/>
            </w:r>
          </w:hyperlink>
          <w:hyperlink w:anchor="_Toc142925862">
            <w:r>
              <w:rPr>
                <w:webHidden/>
              </w:rPr>
              <w:fldChar w:fldCharType="begin"/>
            </w:r>
            <w:r>
              <w:rPr>
                <w:webHidden/>
              </w:rPr>
              <w:instrText xml:space="preserve">PAGEREF _Toc142925862 \h</w:instrText>
            </w:r>
            <w:r>
              <w:rPr>
                <w:webHidden/>
              </w:rPr>
              <w:fldChar w:fldCharType="separate"/>
            </w:r>
            <w:r>
              <w:rPr>
                <w:rStyle w:val="Vnculodendice"/>
                <w:vanish w:val="false"/>
              </w:rPr>
              <w:tab/>
              <w:t>5</w:t>
            </w:r>
            <w:r>
              <w:rPr>
                <w:webHidden/>
              </w:rPr>
              <w:fldChar w:fldCharType="end"/>
            </w:r>
          </w:hyperlink>
        </w:p>
        <w:p>
          <w:pPr>
            <w:pStyle w:val="Sumrio1"/>
            <w:rPr/>
          </w:pPr>
          <w:hyperlink w:anchor="_Toc142925863">
            <w:r>
              <w:rPr>
                <w:rStyle w:val="Vnculodendice"/>
                <w:rFonts w:eastAsia="Arial Unicode MS"/>
                <w:vanish w:val="false"/>
                <w:color w:val="auto"/>
                <w:lang w:bidi="hi-IN"/>
              </w:rPr>
              <w:t>4.</w:t>
            </w:r>
          </w:hyperlink>
          <w:hyperlink w:anchor="_Toc142925863">
            <w:r>
              <w:rPr>
                <w:webHidden/>
              </w:rPr>
              <w:fldChar w:fldCharType="begin"/>
            </w:r>
            <w:r>
              <w:rPr>
                <w:webHidden/>
              </w:rPr>
              <w:instrText xml:space="preserve">PAGEREF _Toc142925863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3">
            <w:r>
              <w:rPr>
                <w:webHidden/>
              </w:rPr>
              <w:fldChar w:fldCharType="begin"/>
            </w:r>
            <w:r>
              <w:rPr>
                <w:webHidden/>
              </w:rPr>
              <w:instrText xml:space="preserve">PAGEREF _Toc142925863 \h</w:instrText>
            </w:r>
            <w:r>
              <w:rPr>
                <w:webHidden/>
              </w:rPr>
              <w:fldChar w:fldCharType="separate"/>
            </w:r>
            <w:r>
              <w:rPr>
                <w:rStyle w:val="Vnculodendice"/>
                <w:rFonts w:eastAsia="Arial Unicode MS"/>
                <w:color w:val="auto"/>
                <w:lang w:bidi="hi-IN"/>
              </w:rPr>
              <w:t>INGRESSO NA DISPENSA ELETRÔNICA E CADASTRAMENTO DA PROPOSTA INICIAL</w:t>
            </w:r>
            <w:r>
              <w:rPr>
                <w:webHidden/>
              </w:rPr>
              <w:fldChar w:fldCharType="end"/>
            </w:r>
          </w:hyperlink>
          <w:hyperlink w:anchor="_Toc142925863">
            <w:r>
              <w:rPr>
                <w:webHidden/>
              </w:rPr>
              <w:fldChar w:fldCharType="begin"/>
            </w:r>
            <w:r>
              <w:rPr>
                <w:webHidden/>
              </w:rPr>
              <w:instrText xml:space="preserve">PAGEREF _Toc142925863 \h</w:instrText>
            </w:r>
            <w:r>
              <w:rPr>
                <w:webHidden/>
              </w:rPr>
              <w:fldChar w:fldCharType="separate"/>
            </w:r>
            <w:r>
              <w:rPr>
                <w:rStyle w:val="Vnculodendice"/>
                <w:vanish w:val="false"/>
              </w:rPr>
              <w:tab/>
              <w:t>6</w:t>
            </w:r>
            <w:r>
              <w:rPr>
                <w:webHidden/>
              </w:rPr>
              <w:fldChar w:fldCharType="end"/>
            </w:r>
          </w:hyperlink>
        </w:p>
        <w:p>
          <w:pPr>
            <w:pStyle w:val="Sumrio1"/>
            <w:rPr/>
          </w:pPr>
          <w:hyperlink w:anchor="_Toc142925864">
            <w:r>
              <w:rPr>
                <w:rStyle w:val="Vnculodendice"/>
                <w:rFonts w:eastAsia="Arial Unicode MS"/>
                <w:vanish w:val="false"/>
                <w:color w:val="auto"/>
                <w:lang w:bidi="hi-IN"/>
              </w:rPr>
              <w:t>5.</w:t>
            </w:r>
          </w:hyperlink>
          <w:hyperlink w:anchor="_Toc142925864">
            <w:r>
              <w:rPr>
                <w:webHidden/>
              </w:rPr>
              <w:fldChar w:fldCharType="begin"/>
            </w:r>
            <w:r>
              <w:rPr>
                <w:webHidden/>
              </w:rPr>
              <w:instrText xml:space="preserve">PAGEREF _Toc142925864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4">
            <w:r>
              <w:rPr>
                <w:webHidden/>
              </w:rPr>
              <w:fldChar w:fldCharType="begin"/>
            </w:r>
            <w:r>
              <w:rPr>
                <w:webHidden/>
              </w:rPr>
              <w:instrText xml:space="preserve">PAGEREF _Toc142925864 \h</w:instrText>
            </w:r>
            <w:r>
              <w:rPr>
                <w:webHidden/>
              </w:rPr>
              <w:fldChar w:fldCharType="separate"/>
            </w:r>
            <w:r>
              <w:rPr>
                <w:rStyle w:val="Vnculodendice"/>
                <w:rFonts w:eastAsia="Arial Unicode MS"/>
                <w:color w:val="auto"/>
                <w:lang w:bidi="hi-IN"/>
              </w:rPr>
              <w:t>FASE DE LANCES</w:t>
            </w:r>
            <w:r>
              <w:rPr>
                <w:webHidden/>
              </w:rPr>
              <w:fldChar w:fldCharType="end"/>
            </w:r>
          </w:hyperlink>
          <w:hyperlink w:anchor="_Toc142925864">
            <w:r>
              <w:rPr>
                <w:webHidden/>
              </w:rPr>
              <w:fldChar w:fldCharType="begin"/>
            </w:r>
            <w:r>
              <w:rPr>
                <w:webHidden/>
              </w:rPr>
              <w:instrText xml:space="preserve">PAGEREF _Toc142925864 \h</w:instrText>
            </w:r>
            <w:r>
              <w:rPr>
                <w:webHidden/>
              </w:rPr>
              <w:fldChar w:fldCharType="separate"/>
            </w:r>
            <w:r>
              <w:rPr>
                <w:rStyle w:val="Vnculodendice"/>
                <w:vanish w:val="false"/>
              </w:rPr>
              <w:tab/>
              <w:t>8</w:t>
            </w:r>
            <w:r>
              <w:rPr>
                <w:webHidden/>
              </w:rPr>
              <w:fldChar w:fldCharType="end"/>
            </w:r>
          </w:hyperlink>
        </w:p>
        <w:p>
          <w:pPr>
            <w:pStyle w:val="Sumrio1"/>
            <w:rPr/>
          </w:pPr>
          <w:hyperlink w:anchor="_Toc142925865">
            <w:r>
              <w:rPr>
                <w:rStyle w:val="Vnculodendice"/>
                <w:rFonts w:eastAsia="Arial Unicode MS"/>
                <w:vanish w:val="false"/>
                <w:color w:val="auto"/>
                <w:lang w:bidi="hi-IN"/>
              </w:rPr>
              <w:t>6.</w:t>
            </w:r>
          </w:hyperlink>
          <w:hyperlink w:anchor="_Toc142925865">
            <w:r>
              <w:rPr>
                <w:webHidden/>
              </w:rPr>
              <w:fldChar w:fldCharType="begin"/>
            </w:r>
            <w:r>
              <w:rPr>
                <w:webHidden/>
              </w:rPr>
              <w:instrText xml:space="preserve">PAGEREF _Toc142925865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5">
            <w:r>
              <w:rPr>
                <w:webHidden/>
              </w:rPr>
              <w:fldChar w:fldCharType="begin"/>
            </w:r>
            <w:r>
              <w:rPr>
                <w:webHidden/>
              </w:rPr>
              <w:instrText xml:space="preserve">PAGEREF _Toc142925865 \h</w:instrText>
            </w:r>
            <w:r>
              <w:rPr>
                <w:webHidden/>
              </w:rPr>
              <w:fldChar w:fldCharType="separate"/>
            </w:r>
            <w:r>
              <w:rPr>
                <w:rStyle w:val="Vnculodendice"/>
              </w:rPr>
              <w:t xml:space="preserve">JULGAMENTO E ACEITAÇÃO DAS PROPOSTAS </w:t>
            </w:r>
            <w:r>
              <w:rPr>
                <w:webHidden/>
              </w:rPr>
              <w:fldChar w:fldCharType="end"/>
            </w:r>
          </w:hyperlink>
          <w:hyperlink w:anchor="_Toc142925865">
            <w:r>
              <w:rPr>
                <w:webHidden/>
              </w:rPr>
              <w:fldChar w:fldCharType="begin"/>
            </w:r>
            <w:r>
              <w:rPr>
                <w:webHidden/>
              </w:rPr>
              <w:instrText xml:space="preserve">PAGEREF _Toc142925865 \h</w:instrText>
            </w:r>
            <w:r>
              <w:rPr>
                <w:webHidden/>
              </w:rPr>
              <w:fldChar w:fldCharType="separate"/>
            </w:r>
            <w:r>
              <w:rPr>
                <w:rStyle w:val="Vnculodendice"/>
                <w:vanish w:val="false"/>
              </w:rPr>
              <w:tab/>
              <w:t>9</w:t>
            </w:r>
            <w:r>
              <w:rPr>
                <w:webHidden/>
              </w:rPr>
              <w:fldChar w:fldCharType="end"/>
            </w:r>
          </w:hyperlink>
        </w:p>
        <w:p>
          <w:pPr>
            <w:pStyle w:val="Sumrio1"/>
            <w:rPr/>
          </w:pPr>
          <w:hyperlink w:anchor="_Toc142925866">
            <w:r>
              <w:rPr>
                <w:rStyle w:val="Vnculodendice"/>
                <w:rFonts w:eastAsia="Arial Unicode MS"/>
                <w:vanish w:val="false"/>
                <w:color w:val="auto"/>
                <w:lang w:bidi="hi-IN"/>
              </w:rPr>
              <w:t>7.</w:t>
            </w:r>
          </w:hyperlink>
          <w:hyperlink w:anchor="_Toc142925866">
            <w:r>
              <w:rPr>
                <w:webHidden/>
              </w:rPr>
              <w:fldChar w:fldCharType="begin"/>
            </w:r>
            <w:r>
              <w:rPr>
                <w:webHidden/>
              </w:rPr>
              <w:instrText xml:space="preserve">PAGEREF _Toc142925866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6">
            <w:r>
              <w:rPr>
                <w:webHidden/>
              </w:rPr>
              <w:fldChar w:fldCharType="begin"/>
            </w:r>
            <w:r>
              <w:rPr>
                <w:webHidden/>
              </w:rPr>
              <w:instrText xml:space="preserve">PAGEREF _Toc142925866 \h</w:instrText>
            </w:r>
            <w:r>
              <w:rPr>
                <w:webHidden/>
              </w:rPr>
              <w:fldChar w:fldCharType="separate"/>
            </w:r>
            <w:r>
              <w:rPr>
                <w:rStyle w:val="Vnculodendice"/>
                <w:rFonts w:eastAsia="Arial Unicode MS"/>
                <w:color w:val="auto"/>
                <w:lang w:bidi="hi-IN"/>
              </w:rPr>
              <w:t>HABILITAÇÃO</w:t>
            </w:r>
            <w:r>
              <w:rPr>
                <w:webHidden/>
              </w:rPr>
              <w:fldChar w:fldCharType="end"/>
            </w:r>
          </w:hyperlink>
          <w:hyperlink w:anchor="_Toc142925866">
            <w:r>
              <w:rPr>
                <w:webHidden/>
              </w:rPr>
              <w:fldChar w:fldCharType="begin"/>
            </w:r>
            <w:r>
              <w:rPr>
                <w:webHidden/>
              </w:rPr>
              <w:instrText xml:space="preserve">PAGEREF _Toc142925866 \h</w:instrText>
            </w:r>
            <w:r>
              <w:rPr>
                <w:webHidden/>
              </w:rPr>
              <w:fldChar w:fldCharType="separate"/>
            </w:r>
            <w:r>
              <w:rPr>
                <w:rStyle w:val="Vnculodendice"/>
                <w:vanish w:val="false"/>
              </w:rPr>
              <w:tab/>
              <w:t>10</w:t>
            </w:r>
            <w:r>
              <w:rPr>
                <w:webHidden/>
              </w:rPr>
              <w:fldChar w:fldCharType="end"/>
            </w:r>
          </w:hyperlink>
        </w:p>
        <w:p>
          <w:pPr>
            <w:pStyle w:val="Sumrio1"/>
            <w:rPr/>
          </w:pPr>
          <w:hyperlink w:anchor="_Toc142925867">
            <w:r>
              <w:rPr>
                <w:rStyle w:val="Vnculodendice"/>
                <w:rFonts w:eastAsia="Arial Unicode MS"/>
                <w:i/>
                <w:iCs/>
                <w:vanish w:val="false"/>
                <w:color w:val="000000"/>
                <w:shd w:fill="00FFFF" w:val="clear"/>
                <w:lang w:bidi="hi-IN"/>
              </w:rPr>
              <w:t>8.</w:t>
            </w:r>
          </w:hyperlink>
          <w:hyperlink w:anchor="_Toc142925867">
            <w:r>
              <w:rPr>
                <w:webHidden/>
              </w:rPr>
              <w:fldChar w:fldCharType="begin"/>
            </w:r>
            <w:r>
              <w:rPr>
                <w:webHidden/>
              </w:rPr>
              <w:instrText xml:space="preserve">PAGEREF _Toc142925867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7">
            <w:r>
              <w:rPr>
                <w:webHidden/>
              </w:rPr>
              <w:fldChar w:fldCharType="begin"/>
            </w:r>
            <w:r>
              <w:rPr>
                <w:webHidden/>
              </w:rPr>
              <w:instrText xml:space="preserve">PAGEREF _Toc142925867 \h</w:instrText>
            </w:r>
            <w:r>
              <w:rPr>
                <w:webHidden/>
              </w:rPr>
              <w:fldChar w:fldCharType="separate"/>
            </w:r>
            <w:r>
              <w:rPr>
                <w:rStyle w:val="Vnculodendice"/>
                <w:rFonts w:eastAsia="Arial Unicode MS"/>
                <w:color w:val="000000"/>
                <w:shd w:fill="00FFFF" w:val="clear"/>
                <w:lang w:bidi="hi-IN"/>
              </w:rPr>
              <w:t>ATA DE REGISTRO DE PREÇOS</w:t>
            </w:r>
            <w:r>
              <w:rPr>
                <w:webHidden/>
              </w:rPr>
              <w:fldChar w:fldCharType="end"/>
            </w:r>
          </w:hyperlink>
          <w:hyperlink w:anchor="_Toc142925867">
            <w:r>
              <w:rPr>
                <w:webHidden/>
              </w:rPr>
              <w:fldChar w:fldCharType="begin"/>
            </w:r>
            <w:r>
              <w:rPr>
                <w:webHidden/>
              </w:rPr>
              <w:instrText xml:space="preserve">PAGEREF _Toc142925867 \h</w:instrText>
            </w:r>
            <w:r>
              <w:rPr>
                <w:webHidden/>
              </w:rPr>
              <w:fldChar w:fldCharType="separate"/>
            </w:r>
            <w:r>
              <w:rPr>
                <w:rStyle w:val="Vnculodendice"/>
                <w:vanish w:val="false"/>
              </w:rPr>
              <w:tab/>
              <w:t>12</w:t>
            </w:r>
            <w:r>
              <w:rPr>
                <w:webHidden/>
              </w:rPr>
              <w:fldChar w:fldCharType="end"/>
            </w:r>
          </w:hyperlink>
        </w:p>
        <w:p>
          <w:pPr>
            <w:pStyle w:val="Sumrio1"/>
            <w:rPr/>
          </w:pPr>
          <w:hyperlink w:anchor="_Toc142925868">
            <w:r>
              <w:rPr>
                <w:rStyle w:val="Vnculodendice"/>
                <w:rFonts w:eastAsia="Arial Unicode MS"/>
                <w:b/>
                <w:vanish w:val="false"/>
                <w:color w:val="000000"/>
                <w:shd w:fill="00FFFF" w:val="clear"/>
                <w:lang w:bidi="hi-IN"/>
              </w:rPr>
              <w:t>9.</w:t>
            </w:r>
          </w:hyperlink>
          <w:hyperlink w:anchor="_Toc142925868">
            <w:r>
              <w:rPr>
                <w:webHidden/>
              </w:rPr>
              <w:fldChar w:fldCharType="begin"/>
            </w:r>
            <w:r>
              <w:rPr>
                <w:webHidden/>
              </w:rPr>
              <w:instrText xml:space="preserve">PAGEREF _Toc142925868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8">
            <w:r>
              <w:rPr>
                <w:webHidden/>
              </w:rPr>
              <w:fldChar w:fldCharType="begin"/>
            </w:r>
            <w:r>
              <w:rPr>
                <w:webHidden/>
              </w:rPr>
              <w:instrText xml:space="preserve">PAGEREF _Toc142925868 \h</w:instrText>
            </w:r>
            <w:r>
              <w:rPr>
                <w:webHidden/>
              </w:rPr>
              <w:fldChar w:fldCharType="separate"/>
            </w:r>
            <w:r>
              <w:rPr>
                <w:rStyle w:val="Vnculodendice"/>
                <w:rFonts w:eastAsia="Arial Unicode MS"/>
                <w:color w:val="000000"/>
                <w:shd w:fill="00FFFF" w:val="clear"/>
                <w:lang w:bidi="hi-IN"/>
              </w:rPr>
              <w:t>FORMAÇÃO DO CADASTRO DE RESERVA</w:t>
            </w:r>
            <w:r>
              <w:rPr>
                <w:webHidden/>
              </w:rPr>
              <w:fldChar w:fldCharType="end"/>
            </w:r>
          </w:hyperlink>
          <w:hyperlink w:anchor="_Toc142925868">
            <w:r>
              <w:rPr>
                <w:webHidden/>
              </w:rPr>
              <w:fldChar w:fldCharType="begin"/>
            </w:r>
            <w:r>
              <w:rPr>
                <w:webHidden/>
              </w:rPr>
              <w:instrText xml:space="preserve">PAGEREF _Toc142925868 \h</w:instrText>
            </w:r>
            <w:r>
              <w:rPr>
                <w:webHidden/>
              </w:rPr>
              <w:fldChar w:fldCharType="separate"/>
            </w:r>
            <w:r>
              <w:rPr>
                <w:rStyle w:val="Vnculodendice"/>
                <w:vanish w:val="false"/>
              </w:rPr>
              <w:tab/>
              <w:t>13</w:t>
            </w:r>
            <w:r>
              <w:rPr>
                <w:webHidden/>
              </w:rPr>
              <w:fldChar w:fldCharType="end"/>
            </w:r>
          </w:hyperlink>
        </w:p>
        <w:p>
          <w:pPr>
            <w:pStyle w:val="Sumrio1"/>
            <w:rPr/>
          </w:pPr>
          <w:hyperlink w:anchor="_Toc142925869">
            <w:r>
              <w:rPr>
                <w:rStyle w:val="Vnculodendice"/>
                <w:rFonts w:eastAsia="Arial Unicode MS"/>
                <w:vanish w:val="false"/>
                <w:color w:val="auto"/>
                <w:lang w:bidi="hi-IN"/>
              </w:rPr>
              <w:t>10.</w:t>
            </w:r>
          </w:hyperlink>
          <w:hyperlink w:anchor="_Toc142925869">
            <w:r>
              <w:rPr>
                <w:webHidden/>
              </w:rPr>
              <w:fldChar w:fldCharType="begin"/>
            </w:r>
            <w:r>
              <w:rPr>
                <w:webHidden/>
              </w:rPr>
              <w:instrText xml:space="preserve">PAGEREF _Toc142925869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69">
            <w:r>
              <w:rPr>
                <w:webHidden/>
              </w:rPr>
              <w:fldChar w:fldCharType="begin"/>
            </w:r>
            <w:r>
              <w:rPr>
                <w:webHidden/>
              </w:rPr>
              <w:instrText xml:space="preserve">PAGEREF _Toc142925869 \h</w:instrText>
            </w:r>
            <w:r>
              <w:rPr>
                <w:webHidden/>
              </w:rPr>
              <w:fldChar w:fldCharType="separate"/>
            </w:r>
            <w:r>
              <w:rPr>
                <w:rStyle w:val="Vnculodendice"/>
                <w:rFonts w:eastAsia="Arial Unicode MS"/>
                <w:color w:val="auto"/>
                <w:lang w:bidi="hi-IN"/>
              </w:rPr>
              <w:t>CONTRATAÇÃO</w:t>
            </w:r>
            <w:r>
              <w:rPr>
                <w:webHidden/>
              </w:rPr>
              <w:fldChar w:fldCharType="end"/>
            </w:r>
          </w:hyperlink>
          <w:hyperlink w:anchor="_Toc142925869">
            <w:r>
              <w:rPr>
                <w:webHidden/>
              </w:rPr>
              <w:fldChar w:fldCharType="begin"/>
            </w:r>
            <w:r>
              <w:rPr>
                <w:webHidden/>
              </w:rPr>
              <w:instrText xml:space="preserve">PAGEREF _Toc142925869 \h</w:instrText>
            </w:r>
            <w:r>
              <w:rPr>
                <w:webHidden/>
              </w:rPr>
              <w:fldChar w:fldCharType="separate"/>
            </w:r>
            <w:r>
              <w:rPr>
                <w:rStyle w:val="Vnculodendice"/>
                <w:vanish w:val="false"/>
              </w:rPr>
              <w:tab/>
              <w:t>13</w:t>
            </w:r>
            <w:r>
              <w:rPr>
                <w:webHidden/>
              </w:rPr>
              <w:fldChar w:fldCharType="end"/>
            </w:r>
          </w:hyperlink>
        </w:p>
        <w:p>
          <w:pPr>
            <w:pStyle w:val="Sumrio1"/>
            <w:rPr/>
          </w:pPr>
          <w:hyperlink w:anchor="_Toc142925870">
            <w:r>
              <w:rPr>
                <w:rStyle w:val="Vnculodendice"/>
                <w:rFonts w:eastAsia="Arial Unicode MS"/>
                <w:vanish w:val="false"/>
                <w:color w:val="auto"/>
                <w:lang w:bidi="hi-IN"/>
              </w:rPr>
              <w:t>11.</w:t>
            </w:r>
          </w:hyperlink>
          <w:hyperlink w:anchor="_Toc142925870">
            <w:r>
              <w:rPr>
                <w:webHidden/>
              </w:rPr>
              <w:fldChar w:fldCharType="begin"/>
            </w:r>
            <w:r>
              <w:rPr>
                <w:webHidden/>
              </w:rPr>
              <w:instrText xml:space="preserve">PAGEREF _Toc142925870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70">
            <w:r>
              <w:rPr>
                <w:webHidden/>
              </w:rPr>
              <w:fldChar w:fldCharType="begin"/>
            </w:r>
            <w:r>
              <w:rPr>
                <w:webHidden/>
              </w:rPr>
              <w:instrText xml:space="preserve">PAGEREF _Toc142925870 \h</w:instrText>
            </w:r>
            <w:r>
              <w:rPr>
                <w:webHidden/>
              </w:rPr>
              <w:fldChar w:fldCharType="separate"/>
            </w:r>
            <w:r>
              <w:rPr>
                <w:rStyle w:val="Vnculodendice"/>
                <w:rFonts w:eastAsia="Arial Unicode MS"/>
                <w:color w:val="auto"/>
                <w:lang w:bidi="hi-IN"/>
              </w:rPr>
              <w:t>INFRAÇÕES E SANÇÕES ADMINISTRATIVAS</w:t>
            </w:r>
            <w:r>
              <w:rPr>
                <w:webHidden/>
              </w:rPr>
              <w:fldChar w:fldCharType="end"/>
            </w:r>
          </w:hyperlink>
          <w:hyperlink w:anchor="_Toc142925870">
            <w:r>
              <w:rPr>
                <w:webHidden/>
              </w:rPr>
              <w:fldChar w:fldCharType="begin"/>
            </w:r>
            <w:r>
              <w:rPr>
                <w:webHidden/>
              </w:rPr>
              <w:instrText xml:space="preserve">PAGEREF _Toc142925870 \h</w:instrText>
            </w:r>
            <w:r>
              <w:rPr>
                <w:webHidden/>
              </w:rPr>
              <w:fldChar w:fldCharType="separate"/>
            </w:r>
            <w:r>
              <w:rPr>
                <w:rStyle w:val="Vnculodendice"/>
                <w:vanish w:val="false"/>
              </w:rPr>
              <w:tab/>
              <w:t>14</w:t>
            </w:r>
            <w:r>
              <w:rPr>
                <w:webHidden/>
              </w:rPr>
              <w:fldChar w:fldCharType="end"/>
            </w:r>
          </w:hyperlink>
        </w:p>
        <w:p>
          <w:pPr>
            <w:pStyle w:val="Sumrio1"/>
            <w:rPr/>
          </w:pPr>
          <w:hyperlink w:anchor="_Toc142925871">
            <w:r>
              <w:rPr>
                <w:rStyle w:val="Vnculodendice"/>
                <w:rFonts w:eastAsia="Arial Unicode MS"/>
                <w:vanish w:val="false"/>
                <w:color w:val="auto"/>
                <w:lang w:bidi="hi-IN"/>
              </w:rPr>
              <w:t>12.</w:t>
            </w:r>
          </w:hyperlink>
          <w:hyperlink w:anchor="_Toc142925871">
            <w:r>
              <w:rPr>
                <w:webHidden/>
              </w:rPr>
              <w:fldChar w:fldCharType="begin"/>
            </w:r>
            <w:r>
              <w:rPr>
                <w:webHidden/>
              </w:rPr>
              <w:instrText xml:space="preserve">PAGEREF _Toc142925871 \h</w:instrText>
            </w:r>
            <w:r>
              <w:rPr>
                <w:webHidden/>
              </w:rPr>
              <w:fldChar w:fldCharType="separate"/>
            </w:r>
            <w:r>
              <w:rPr>
                <w:rStyle w:val="Vnculodendice"/>
                <w:rFonts w:cs="Arial" w:ascii="Calibri" w:hAnsi="Calibri"/>
                <w:sz w:val="22"/>
                <w:szCs w:val="22"/>
              </w:rPr>
              <w:tab/>
            </w:r>
            <w:r>
              <w:rPr>
                <w:webHidden/>
              </w:rPr>
              <w:fldChar w:fldCharType="end"/>
            </w:r>
          </w:hyperlink>
          <w:hyperlink w:anchor="_Toc142925871">
            <w:r>
              <w:rPr>
                <w:webHidden/>
              </w:rPr>
              <w:fldChar w:fldCharType="begin"/>
            </w:r>
            <w:r>
              <w:rPr>
                <w:webHidden/>
              </w:rPr>
              <w:instrText xml:space="preserve">PAGEREF _Toc142925871 \h</w:instrText>
            </w:r>
            <w:r>
              <w:rPr>
                <w:webHidden/>
              </w:rPr>
              <w:fldChar w:fldCharType="separate"/>
            </w:r>
            <w:r>
              <w:rPr>
                <w:rStyle w:val="Vnculodendice"/>
                <w:rFonts w:eastAsia="Arial Unicode MS"/>
                <w:color w:val="auto"/>
                <w:lang w:bidi="hi-IN"/>
              </w:rPr>
              <w:t>DAS DISPOSIÇÕES GERAIS</w:t>
            </w:r>
            <w:r>
              <w:rPr>
                <w:webHidden/>
              </w:rPr>
              <w:fldChar w:fldCharType="end"/>
            </w:r>
          </w:hyperlink>
          <w:hyperlink w:anchor="_Toc142925871">
            <w:r>
              <w:rPr>
                <w:webHidden/>
              </w:rPr>
              <w:fldChar w:fldCharType="begin"/>
            </w:r>
            <w:r>
              <w:rPr>
                <w:webHidden/>
              </w:rPr>
              <w:instrText xml:space="preserve">PAGEREF _Toc142925871 \h</w:instrText>
            </w:r>
            <w:r>
              <w:rPr>
                <w:webHidden/>
              </w:rPr>
              <w:fldChar w:fldCharType="separate"/>
            </w:r>
            <w:r>
              <w:rPr>
                <w:rStyle w:val="Vnculodendice"/>
                <w:vanish w:val="false"/>
              </w:rPr>
              <w:tab/>
              <w:t>16</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drawing>
          <wp:anchor behindDoc="0" distT="0" distB="0" distL="0" distR="0" simplePos="0" locked="0" layoutInCell="0" allowOverlap="1" relativeHeight="3">
            <wp:simplePos x="0" y="0"/>
            <wp:positionH relativeFrom="column">
              <wp:posOffset>2353310</wp:posOffset>
            </wp:positionH>
            <wp:positionV relativeFrom="paragraph">
              <wp:posOffset>117475</wp:posOffset>
            </wp:positionV>
            <wp:extent cx="728980" cy="738505"/>
            <wp:effectExtent l="0" t="0" r="0" b="0"/>
            <wp:wrapTopAndBottom/>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2"/>
                    <a:stretch>
                      <a:fillRect/>
                    </a:stretch>
                  </pic:blipFill>
                  <pic:spPr bwMode="auto">
                    <a:xfrm>
                      <a:off x="0" y="0"/>
                      <a:ext cx="728980" cy="738505"/>
                    </a:xfrm>
                    <a:prstGeom prst="rect">
                      <a:avLst/>
                    </a:prstGeom>
                  </pic:spPr>
                </pic:pic>
              </a:graphicData>
            </a:graphic>
          </wp:anchor>
        </w:drawing>
      </w:r>
    </w:p>
    <w:p>
      <w:pPr>
        <w:pStyle w:val="Normal"/>
        <w:spacing w:lineRule="auto" w:line="240"/>
        <w:jc w:val="center"/>
        <w:rPr>
          <w:rFonts w:ascii="Times New Roman" w:hAnsi="Times New Roman" w:cs="Times New Roman"/>
          <w:b/>
          <w:b/>
          <w:sz w:val="24"/>
          <w:szCs w:val="24"/>
          <w:lang w:eastAsia="ar-SA"/>
        </w:rPr>
      </w:pPr>
      <w:r>
        <w:rPr>
          <w:rFonts w:cs="Times New Roman" w:ascii="Times New Roman" w:hAnsi="Times New Roman"/>
          <w:b/>
          <w:sz w:val="24"/>
          <w:szCs w:val="24"/>
          <w:lang w:eastAsia="ar-SA"/>
        </w:rPr>
        <w:t>MARINHA DO BRASIL</w:t>
      </w:r>
    </w:p>
    <w:p>
      <w:pPr>
        <w:pStyle w:val="Normal"/>
        <w:spacing w:lineRule="auto" w:line="240"/>
        <w:jc w:val="center"/>
        <w:rPr>
          <w:rFonts w:ascii="Times New Roman" w:hAnsi="Times New Roman" w:eastAsia="Times New Roman" w:cs="Times New Roman"/>
          <w:b/>
          <w:b/>
          <w:bCs/>
          <w:i/>
          <w:i/>
          <w:iCs/>
          <w:color w:val="000000"/>
          <w:kern w:val="0"/>
          <w:sz w:val="24"/>
          <w:szCs w:val="24"/>
          <w:lang w:val="pt-BR" w:eastAsia="ar-SA" w:bidi="ar-SA"/>
        </w:rPr>
      </w:pPr>
      <w:r>
        <w:rPr>
          <w:rFonts w:eastAsia="Times New Roman" w:cs="Times New Roman" w:ascii="Times New Roman" w:hAnsi="Times New Roman"/>
          <w:b/>
          <w:bCs/>
          <w:i/>
          <w:iCs/>
          <w:color w:val="000000"/>
          <w:kern w:val="0"/>
          <w:sz w:val="24"/>
          <w:szCs w:val="24"/>
          <w:lang w:val="pt-BR" w:eastAsia="ar-SA" w:bidi="ar-SA"/>
        </w:rPr>
        <w:t>POLICLÍNICA  NAVAL NOSSA SENHORA DA GLÓRIA</w:t>
      </w:r>
    </w:p>
    <w:p>
      <w:pPr>
        <w:pStyle w:val="Normal"/>
        <w:jc w:val="center"/>
        <w:rPr/>
      </w:pPr>
      <w:r>
        <w:rPr>
          <w:rFonts w:cs="Arial"/>
          <w:b/>
          <w:bCs/>
          <w:color w:val="000000"/>
          <w:szCs w:val="20"/>
        </w:rPr>
        <w:t xml:space="preserve">AVISO DE CONTRATAÇÃO DIRETA   Nº </w:t>
      </w:r>
      <w:r>
        <w:rPr>
          <w:rFonts w:cs="Arial"/>
          <w:b/>
          <w:bCs/>
          <w:color w:val="5B5B5F"/>
          <w:sz w:val="28"/>
          <w:szCs w:val="28"/>
        </w:rPr>
        <w:t xml:space="preserve"> 0049/2024</w:t>
      </w:r>
    </w:p>
    <w:p>
      <w:pPr>
        <w:pStyle w:val="Normal"/>
        <w:spacing w:lineRule="auto" w:line="276"/>
        <w:jc w:val="center"/>
        <w:rPr>
          <w:rFonts w:cs="Arial"/>
          <w:b/>
          <w:b/>
          <w:bCs/>
          <w:color w:val="000000"/>
          <w:szCs w:val="20"/>
        </w:rPr>
      </w:pPr>
      <w:r>
        <w:rPr>
          <w:rFonts w:cs="Arial"/>
          <w:b/>
          <w:bCs/>
          <w:color w:val="000000"/>
          <w:szCs w:val="20"/>
        </w:rPr>
      </w:r>
    </w:p>
    <w:p>
      <w:pPr>
        <w:pStyle w:val="Normal"/>
        <w:spacing w:lineRule="auto" w:line="276" w:before="0" w:after="120"/>
        <w:ind w:left="0" w:right="-15" w:hanging="0"/>
        <w:jc w:val="center"/>
        <w:rPr>
          <w:color w:val="000000"/>
        </w:rPr>
      </w:pPr>
      <w:r>
        <w:rPr>
          <w:rFonts w:cs="Arial"/>
          <w:b/>
          <w:bCs/>
          <w:color w:val="000000"/>
          <w:szCs w:val="20"/>
        </w:rPr>
        <w:t xml:space="preserve">(Processo Administrativo n.° </w:t>
      </w:r>
      <w:r>
        <w:rPr>
          <w:rStyle w:val="Nfaseforte"/>
          <w:rFonts w:cs="Arial"/>
          <w:color w:val="000000"/>
          <w:szCs w:val="20"/>
          <w:shd w:fill="auto" w:val="clear"/>
        </w:rPr>
        <w:t xml:space="preserve">63065.003339/2024-17 </w:t>
      </w:r>
      <w:r>
        <w:rPr>
          <w:rFonts w:cs="Arial"/>
          <w:b/>
          <w:bCs/>
          <w:color w:val="000000"/>
          <w:szCs w:val="20"/>
          <w:shd w:fill="auto" w:val="clear"/>
        </w:rPr>
        <w:t>)</w:t>
      </w:r>
    </w:p>
    <w:p>
      <w:pPr>
        <w:pStyle w:val="Normal"/>
        <w:rPr>
          <w:rFonts w:cs="Arial"/>
        </w:rPr>
      </w:pPr>
      <w:r>
        <w:rPr>
          <w:rFonts w:cs="Arial"/>
        </w:rPr>
      </w:r>
    </w:p>
    <w:p>
      <w:pPr>
        <w:pStyle w:val="Normal"/>
        <w:snapToGrid w:val="false"/>
        <w:spacing w:lineRule="auto" w:line="276" w:before="0" w:after="120"/>
        <w:ind w:left="0" w:right="-30" w:firstLine="540"/>
        <w:jc w:val="both"/>
        <w:rPr/>
      </w:pPr>
      <w:r>
        <w:rPr>
          <w:rFonts w:cs="Arial"/>
          <w:color w:val="111111"/>
          <w:szCs w:val="20"/>
          <w:shd w:fill="FFFFFF" w:val="clear"/>
        </w:rPr>
        <w:t xml:space="preserve">Torna-se público que a Policlínica Naval Nossa Senhora da Glória, por meio da Seção de Obtenção, realizará Dispensa Eletrônica, </w:t>
      </w:r>
      <w:r>
        <w:rPr>
          <w:color w:val="111111"/>
          <w:shd w:fill="FFFFFF" w:val="clear"/>
        </w:rPr>
        <w:t>para registro de preços</w:t>
      </w:r>
      <w:r>
        <w:rPr>
          <w:rFonts w:cs="Arial"/>
          <w:bCs/>
          <w:color w:val="111111"/>
          <w:szCs w:val="20"/>
          <w:shd w:fill="FFFFFF" w:val="clear"/>
        </w:rPr>
        <w:t>, com critério de julgamento</w:t>
      </w:r>
      <w:r>
        <w:rPr>
          <w:rFonts w:cs="Arial"/>
          <w:b/>
          <w:bCs/>
          <w:color w:val="111111"/>
          <w:szCs w:val="20"/>
          <w:shd w:fill="FFFFFF" w:val="clear"/>
        </w:rPr>
        <w:t xml:space="preserve"> </w:t>
      </w:r>
      <w:r>
        <w:rPr>
          <w:rFonts w:cs="Arial"/>
          <w:i/>
          <w:color w:val="111111"/>
          <w:szCs w:val="20"/>
          <w:shd w:fill="FFFFFF" w:val="clear"/>
        </w:rPr>
        <w:t>menor preço</w:t>
      </w:r>
      <w:r>
        <w:rPr>
          <w:rFonts w:cs="Arial"/>
          <w:b/>
          <w:bCs/>
          <w:i/>
          <w:color w:val="111111"/>
          <w:szCs w:val="20"/>
          <w:shd w:fill="FFFFFF" w:val="clear"/>
        </w:rPr>
        <w:t xml:space="preserve">, </w:t>
      </w:r>
      <w:r>
        <w:rPr>
          <w:rFonts w:cs="Arial"/>
          <w:color w:val="111111"/>
          <w:szCs w:val="20"/>
          <w:shd w:fill="FFFFFF" w:val="clear"/>
        </w:rPr>
        <w:t xml:space="preserve">na hipótese do </w:t>
      </w:r>
      <w:r>
        <w:fldChar w:fldCharType="begin"/>
      </w:r>
      <w:r>
        <w:rPr>
          <w:rStyle w:val="LinkdaInternet"/>
          <w:szCs w:val="20"/>
          <w:highlight w:val="white"/>
          <w:rFonts w:cs="Arial"/>
          <w:color w:val="111111"/>
        </w:rPr>
        <w:instrText xml:space="preserve"> HYPERLINK "http://www.planalto.gov.br/ccivil_03/_ato2019-2022/2021/lei/L14133.htm" \l "art75"</w:instrText>
      </w:r>
      <w:r>
        <w:rPr>
          <w:rStyle w:val="LinkdaInternet"/>
          <w:szCs w:val="20"/>
          <w:highlight w:val="white"/>
          <w:rFonts w:cs="Arial"/>
          <w:color w:val="111111"/>
        </w:rPr>
        <w:fldChar w:fldCharType="separate"/>
      </w:r>
      <w:r>
        <w:rPr>
          <w:rStyle w:val="LinkdaInternet"/>
          <w:rFonts w:cs="Arial"/>
          <w:color w:val="111111"/>
          <w:szCs w:val="20"/>
          <w:highlight w:val="white"/>
        </w:rPr>
        <w:t>art. 75</w:t>
      </w:r>
      <w:r>
        <w:rPr>
          <w:rStyle w:val="LinkdaInternet"/>
          <w:szCs w:val="20"/>
          <w:highlight w:val="white"/>
          <w:rFonts w:cs="Arial"/>
          <w:color w:val="111111"/>
        </w:rPr>
        <w:fldChar w:fldCharType="end"/>
      </w:r>
      <w:r>
        <w:rPr>
          <w:rFonts w:cs="Arial"/>
          <w:i/>
          <w:iCs/>
          <w:color w:val="111111"/>
          <w:szCs w:val="20"/>
          <w:shd w:fill="FFFFFF" w:val="clear"/>
        </w:rPr>
        <w:t>, inciso II</w:t>
      </w:r>
      <w:r>
        <w:rPr>
          <w:rFonts w:cs="Arial"/>
          <w:color w:val="111111"/>
          <w:szCs w:val="20"/>
          <w:shd w:fill="FFFFFF" w:val="clear"/>
        </w:rPr>
        <w:t xml:space="preserve"> </w:t>
      </w:r>
      <w:r>
        <w:rPr>
          <w:rFonts w:cs="Arial"/>
          <w:bCs/>
          <w:color w:val="111111"/>
          <w:szCs w:val="20"/>
          <w:shd w:fill="FFFFFF" w:val="clear"/>
        </w:rPr>
        <w:t xml:space="preserve">nos termos da </w:t>
      </w:r>
      <w:hyperlink r:id="rId3">
        <w:r>
          <w:rPr>
            <w:rStyle w:val="LinkdaInternet"/>
            <w:rFonts w:cs="Arial"/>
            <w:bCs/>
            <w:color w:val="111111"/>
            <w:szCs w:val="20"/>
            <w:highlight w:val="white"/>
          </w:rPr>
          <w:t>Lei n.º 14.133, de 1º de abril de 2021</w:t>
        </w:r>
      </w:hyperlink>
      <w:r>
        <w:rPr>
          <w:rFonts w:cs="Arial"/>
          <w:bCs/>
          <w:color w:val="111111"/>
          <w:szCs w:val="20"/>
          <w:shd w:fill="FFFFFF" w:val="clear"/>
        </w:rPr>
        <w:t xml:space="preserve">, da </w:t>
      </w:r>
      <w:hyperlink r:id="rId4">
        <w:r>
          <w:rPr>
            <w:rStyle w:val="LinkdaInternet"/>
            <w:rFonts w:cs="Arial"/>
            <w:bCs/>
            <w:color w:val="111111"/>
            <w:szCs w:val="20"/>
            <w:highlight w:val="white"/>
          </w:rPr>
          <w:t>Instrução Normativa Seges/ME nº 67, de 2021</w:t>
        </w:r>
      </w:hyperlink>
      <w:r>
        <w:rPr>
          <w:rFonts w:cs="Arial"/>
          <w:bCs/>
          <w:color w:val="111111"/>
          <w:szCs w:val="20"/>
          <w:shd w:fill="FFFFFF" w:val="clear"/>
        </w:rPr>
        <w:t xml:space="preserve">, do </w:t>
      </w:r>
      <w:r>
        <w:rPr>
          <w:color w:val="111111"/>
          <w:shd w:fill="FFFFFF" w:val="clear"/>
        </w:rPr>
        <w:t xml:space="preserve">Decreto nº 11.462, de 31 de março de 2023, </w:t>
      </w:r>
      <w:r>
        <w:rPr>
          <w:rFonts w:cs="Arial"/>
          <w:bCs/>
          <w:color w:val="111111"/>
          <w:szCs w:val="20"/>
          <w:shd w:fill="FFFFFF" w:val="clear"/>
        </w:rPr>
        <w:t>e demais normas aplicáveis</w:t>
      </w:r>
      <w:r>
        <w:rPr>
          <w:rFonts w:cs="Arial"/>
          <w:color w:val="111111"/>
          <w:szCs w:val="20"/>
          <w:shd w:fill="FFFFFF" w:val="clear"/>
        </w:rPr>
        <w:t>.</w:t>
      </w:r>
    </w:p>
    <w:p>
      <w:pPr>
        <w:pStyle w:val="Normal"/>
        <w:spacing w:lineRule="auto" w:line="276"/>
        <w:jc w:val="both"/>
        <w:rPr>
          <w:rFonts w:cs="Arial"/>
          <w:color w:val="111111"/>
          <w:szCs w:val="20"/>
          <w:highlight w:val="white"/>
        </w:rPr>
      </w:pPr>
      <w:r>
        <w:rPr>
          <w:rFonts w:cs="Arial"/>
          <w:color w:val="111111"/>
          <w:szCs w:val="20"/>
          <w:highlight w:val="white"/>
        </w:rPr>
      </w:r>
    </w:p>
    <w:p>
      <w:pPr>
        <w:pStyle w:val="Normal"/>
        <w:spacing w:lineRule="auto" w:line="276"/>
        <w:jc w:val="both"/>
        <w:rPr>
          <w:rFonts w:cs="Arial"/>
          <w:b/>
          <w:b/>
          <w:bCs/>
          <w:color w:val="000000"/>
          <w:szCs w:val="20"/>
        </w:rPr>
      </w:pPr>
      <w:r>
        <w:rPr>
          <w:rFonts w:cs="Arial"/>
          <w:b/>
          <w:bCs/>
          <w:color w:val="000000"/>
          <w:szCs w:val="20"/>
        </w:rPr>
        <w:t xml:space="preserve">Data da sessão: </w:t>
      </w:r>
      <w:r>
        <w:rPr>
          <w:rFonts w:cs="Arial"/>
          <w:b/>
          <w:bCs/>
          <w:color w:val="000000"/>
          <w:szCs w:val="20"/>
        </w:rPr>
        <w:t>11</w:t>
      </w:r>
      <w:r>
        <w:rPr>
          <w:rFonts w:cs="Arial"/>
          <w:b/>
          <w:bCs/>
          <w:color w:val="000000"/>
          <w:szCs w:val="20"/>
        </w:rPr>
        <w:t>/11/2024</w:t>
      </w:r>
    </w:p>
    <w:p>
      <w:pPr>
        <w:pStyle w:val="Normal"/>
        <w:rPr/>
      </w:pPr>
      <w:r>
        <w:rPr>
          <w:rFonts w:cs="Arial"/>
          <w:b/>
          <w:bCs/>
          <w:color w:val="000000"/>
          <w:szCs w:val="20"/>
        </w:rPr>
        <w:t>Horário da Fase de Lan</w:t>
      </w:r>
      <w:r>
        <w:rPr>
          <w:rFonts w:cs="Arial"/>
          <w:b/>
          <w:bCs/>
          <w:color w:val="111111"/>
          <w:szCs w:val="20"/>
        </w:rPr>
        <w:t>ces:</w:t>
      </w:r>
      <w:r>
        <w:rPr>
          <w:rFonts w:cs="Arial"/>
          <w:color w:val="111111"/>
          <w:szCs w:val="20"/>
        </w:rPr>
        <w:t xml:space="preserve"> 08</w:t>
      </w:r>
      <w:r>
        <w:rPr>
          <w:rFonts w:cs="Arial"/>
          <w:i/>
          <w:iCs/>
          <w:color w:val="111111"/>
          <w:szCs w:val="20"/>
        </w:rPr>
        <w:t>:00</w:t>
      </w:r>
      <w:r>
        <w:rPr>
          <w:rFonts w:cs="Arial"/>
          <w:color w:val="111111"/>
          <w:szCs w:val="20"/>
        </w:rPr>
        <w:t xml:space="preserve"> às 16:00</w:t>
      </w:r>
    </w:p>
    <w:p>
      <w:pPr>
        <w:pStyle w:val="Normal"/>
        <w:rPr/>
      </w:pPr>
      <w:r>
        <w:rPr>
          <w:rFonts w:cs="Arial"/>
          <w:b/>
          <w:bCs/>
          <w:color w:val="111111"/>
          <w:szCs w:val="20"/>
        </w:rPr>
        <w:t>Link</w:t>
      </w:r>
      <w:r>
        <w:rPr>
          <w:rFonts w:cs="Arial"/>
          <w:color w:val="111111"/>
          <w:szCs w:val="20"/>
        </w:rPr>
        <w:t xml:space="preserve">: </w:t>
      </w:r>
      <w:r>
        <w:rPr>
          <w:rFonts w:cs="Arial"/>
          <w:color w:val="000000"/>
          <w:szCs w:val="20"/>
        </w:rPr>
        <w:t xml:space="preserve"> </w:t>
      </w:r>
      <w:r>
        <w:rPr>
          <w:rStyle w:val="Fontepargpadro"/>
          <w:rFonts w:cs="Calibri" w:ascii="Calibri" w:hAnsi="Calibri"/>
          <w:bCs/>
          <w:i/>
          <w:iCs/>
          <w:color w:val="000000"/>
          <w:w w:val="110"/>
          <w:sz w:val="24"/>
          <w:szCs w:val="24"/>
        </w:rPr>
        <w:t>www.comprasgovernamentais.gov.br</w:t>
      </w:r>
    </w:p>
    <w:p>
      <w:pPr>
        <w:pStyle w:val="Normal"/>
        <w:spacing w:lineRule="auto" w:line="276"/>
        <w:ind w:left="0" w:right="-15" w:hanging="0"/>
        <w:jc w:val="both"/>
        <w:rPr/>
      </w:pPr>
      <w:r>
        <w:rPr>
          <w:rFonts w:cs="Arial"/>
          <w:b/>
          <w:bCs/>
          <w:i/>
          <w:iCs/>
          <w:color w:val="111111"/>
          <w:szCs w:val="20"/>
        </w:rPr>
        <w:t>Critério de Julgamento:</w:t>
      </w:r>
      <w:r>
        <w:rPr>
          <w:rFonts w:cs="Arial"/>
          <w:color w:val="111111"/>
          <w:szCs w:val="20"/>
        </w:rPr>
        <w:t xml:space="preserve"> </w:t>
      </w:r>
      <w:r>
        <w:rPr>
          <w:rFonts w:cs="Arial"/>
          <w:i/>
          <w:iCs/>
          <w:color w:val="111111"/>
          <w:szCs w:val="20"/>
        </w:rPr>
        <w:t xml:space="preserve">menor preço </w:t>
      </w:r>
    </w:p>
    <w:p>
      <w:pPr>
        <w:pStyle w:val="Normal"/>
        <w:spacing w:lineRule="auto" w:line="276"/>
        <w:ind w:left="0" w:right="-15" w:hanging="0"/>
        <w:jc w:val="both"/>
        <w:rPr>
          <w:rFonts w:cs="Arial"/>
          <w:i/>
          <w:i/>
          <w:iCs/>
          <w:color w:val="111111"/>
        </w:rPr>
      </w:pPr>
      <w:r>
        <w:rPr>
          <w:rFonts w:cs="Arial"/>
          <w:i/>
          <w:iCs/>
          <w:color w:val="111111"/>
        </w:rPr>
        <w:t xml:space="preserve"> </w:t>
      </w:r>
    </w:p>
    <w:p>
      <w:pPr>
        <w:pStyle w:val="Ttulo1"/>
        <w:numPr>
          <w:ilvl w:val="0"/>
          <w:numId w:val="2"/>
        </w:numPr>
        <w:ind w:left="360" w:right="0" w:hanging="360"/>
        <w:rPr/>
      </w:pPr>
      <w:bookmarkStart w:id="0" w:name="_Toc142925860"/>
      <w:r>
        <w:rPr/>
        <w:t>OBJETO DA CONTRATAÇÃO DIRETA</w:t>
      </w:r>
      <w:bookmarkEnd w:id="0"/>
    </w:p>
    <w:p>
      <w:pPr>
        <w:pStyle w:val="Nivel2"/>
        <w:widowControl/>
        <w:numPr>
          <w:ilvl w:val="1"/>
          <w:numId w:val="2"/>
        </w:numPr>
        <w:suppressAutoHyphens w:val="true"/>
        <w:bidi w:val="0"/>
        <w:spacing w:lineRule="auto" w:line="276" w:before="177" w:after="177"/>
        <w:ind w:left="964" w:right="0" w:hanging="454"/>
        <w:jc w:val="both"/>
        <w:textAlignment w:val="baseline"/>
        <w:rPr>
          <w:rFonts w:ascii="Arial" w:hAnsi="Arial" w:cs="Arial"/>
          <w:color w:val="auto"/>
          <w:sz w:val="20"/>
          <w:szCs w:val="20"/>
        </w:rPr>
      </w:pPr>
      <w:r>
        <w:rPr>
          <w:rFonts w:cs="Arial" w:ascii="Arial" w:hAnsi="Arial"/>
          <w:color w:val="auto"/>
          <w:sz w:val="20"/>
          <w:szCs w:val="20"/>
        </w:rPr>
        <w:t>Contratação de fornecedor especializado na prestação de serviço em eventos protocolares de caráter institucional, com o respectivo fornecimento de materiais e todo o serviço de apoio, incluindo profissionais e demais itens para suprir às necessidades deste Serviço, visando atender à Policlínica Naval Nossa Senhora da Glória, conforme condições, quantidades e exigências estabelecidas no termo de referência, em atenção aos contidos nas Portaria MB/MD n° 35, de 17 de janeiro de 2022 e Portaria DGPM n° 18, de 27 de abril de 2023, que estabelecem os eventos protocolares e solenidades passíveis de aplicação de recursos públicos conforme regulamentado pela Portaria n° 4.036/GM-MD, de 2 de dezembro de 2020.</w:t>
      </w:r>
    </w:p>
    <w:p>
      <w:pPr>
        <w:pStyle w:val="Nivel2"/>
        <w:keepNext w:val="false"/>
        <w:widowControl/>
        <w:numPr>
          <w:ilvl w:val="1"/>
          <w:numId w:val="2"/>
        </w:numPr>
        <w:shd w:val="clear" w:fill="auto"/>
        <w:suppressAutoHyphens w:val="true"/>
        <w:bidi w:val="0"/>
        <w:spacing w:lineRule="auto" w:line="276" w:before="177" w:after="177"/>
        <w:ind w:left="964" w:right="0" w:hanging="454"/>
        <w:jc w:val="both"/>
        <w:textAlignment w:val="baseline"/>
        <w:rPr/>
      </w:pPr>
      <w:r>
        <w:rPr>
          <w:rFonts w:cs="Arial" w:ascii="Arial" w:hAnsi="Arial"/>
          <w:color w:val="000000"/>
          <w:sz w:val="20"/>
          <w:szCs w:val="20"/>
        </w:rPr>
        <w:t>O objeto da presente dispensa é a escolha da proposta mais vantajosa para a contratação por dispensa de licitação de serviço de buffet nos termos da tabela abaixo, conforme condições e exigências estabelecidas neste instrumento.</w:t>
      </w:r>
    </w:p>
    <w:tbl>
      <w:tblPr>
        <w:tblW w:w="9679" w:type="dxa"/>
        <w:jc w:val="left"/>
        <w:tblInd w:w="-5" w:type="dxa"/>
        <w:tblLayout w:type="fixed"/>
        <w:tblCellMar>
          <w:top w:w="0" w:type="dxa"/>
          <w:left w:w="10" w:type="dxa"/>
          <w:bottom w:w="0" w:type="dxa"/>
          <w:right w:w="10" w:type="dxa"/>
        </w:tblCellMar>
      </w:tblPr>
      <w:tblGrid>
        <w:gridCol w:w="709"/>
        <w:gridCol w:w="2263"/>
        <w:gridCol w:w="991"/>
        <w:gridCol w:w="1418"/>
        <w:gridCol w:w="1423"/>
        <w:gridCol w:w="1276"/>
        <w:gridCol w:w="1598"/>
      </w:tblGrid>
      <w:tr>
        <w:trPr/>
        <w:tc>
          <w:tcPr>
            <w:tcW w:w="709"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ITEM</w:t>
            </w:r>
          </w:p>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r>
          </w:p>
        </w:tc>
        <w:tc>
          <w:tcPr>
            <w:tcW w:w="2263"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ESPECIFICAÇÃO</w:t>
            </w:r>
          </w:p>
        </w:tc>
        <w:tc>
          <w:tcPr>
            <w:tcW w:w="991"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CATSERV</w:t>
            </w:r>
          </w:p>
        </w:tc>
        <w:tc>
          <w:tcPr>
            <w:tcW w:w="1418"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UNIDADE DE MEDIDA</w:t>
            </w:r>
          </w:p>
        </w:tc>
        <w:tc>
          <w:tcPr>
            <w:tcW w:w="1423"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QUANTIDADE</w:t>
            </w:r>
          </w:p>
        </w:tc>
        <w:tc>
          <w:tcPr>
            <w:tcW w:w="1276"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VALOR  POR PESSOA</w:t>
            </w:r>
          </w:p>
        </w:tc>
        <w:tc>
          <w:tcPr>
            <w:tcW w:w="1598" w:type="dxa"/>
            <w:tcBorders>
              <w:top w:val="single" w:sz="4" w:space="0" w:color="000000"/>
              <w:left w:val="single" w:sz="4" w:space="0" w:color="000000"/>
              <w:bottom w:val="single" w:sz="4" w:space="0" w:color="000000"/>
              <w:right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VALOR TOTAL</w:t>
            </w:r>
          </w:p>
        </w:tc>
      </w:tr>
      <w:tr>
        <w:trPr/>
        <w:tc>
          <w:tcPr>
            <w:tcW w:w="709"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bCs/>
                <w:color w:val="000000"/>
                <w:sz w:val="16"/>
                <w:szCs w:val="16"/>
              </w:rPr>
            </w:pPr>
            <w:r>
              <w:rPr>
                <w:rFonts w:cs="Arial" w:ascii="Arial" w:hAnsi="Arial"/>
                <w:b/>
                <w:bCs/>
                <w:color w:val="000000"/>
                <w:sz w:val="16"/>
                <w:szCs w:val="16"/>
              </w:rPr>
              <w:t>1</w:t>
            </w:r>
          </w:p>
        </w:tc>
        <w:tc>
          <w:tcPr>
            <w:tcW w:w="2263" w:type="dxa"/>
            <w:tcBorders>
              <w:top w:val="single" w:sz="4" w:space="0" w:color="000000"/>
              <w:left w:val="single" w:sz="4" w:space="0" w:color="000000"/>
              <w:bottom w:val="single" w:sz="4" w:space="0" w:color="000000"/>
            </w:tcBorders>
          </w:tcPr>
          <w:p>
            <w:pPr>
              <w:pStyle w:val="Standard"/>
              <w:widowControl w:val="false"/>
              <w:tabs>
                <w:tab w:val="clear" w:pos="708"/>
                <w:tab w:val="left" w:pos="855" w:leader="none"/>
              </w:tabs>
              <w:spacing w:before="119" w:after="119"/>
              <w:jc w:val="both"/>
              <w:rPr/>
            </w:pPr>
            <w:r>
              <w:rPr>
                <w:rStyle w:val="Fontepargpadro1"/>
                <w:rFonts w:eastAsia="NSimSun" w:cs="Arial" w:ascii="Arial" w:hAnsi="Arial"/>
                <w:color w:val="000000"/>
                <w:sz w:val="16"/>
                <w:szCs w:val="16"/>
              </w:rPr>
              <w:t>Servi</w:t>
            </w:r>
            <w:r>
              <w:rPr>
                <w:rFonts w:cs="Arial" w:ascii="Arial" w:hAnsi="Arial"/>
                <w:color w:val="000000"/>
                <w:sz w:val="16"/>
                <w:szCs w:val="16"/>
              </w:rPr>
              <w:t xml:space="preserve">ço de Buffet para 200 pessoas. O buffet deverá ser realizado na </w:t>
            </w:r>
            <w:r>
              <w:rPr>
                <w:rFonts w:cs="Arial" w:ascii="Arial" w:hAnsi="Arial"/>
                <w:b/>
                <w:bCs/>
                <w:kern w:val="0"/>
                <w:sz w:val="16"/>
                <w:szCs w:val="16"/>
              </w:rPr>
              <w:t>Avenida Brasil</w:t>
            </w:r>
            <w:bookmarkStart w:id="1" w:name="formResultado%2525252525252525253Aj_idt7"/>
            <w:bookmarkEnd w:id="1"/>
            <w:r>
              <w:rPr>
                <w:rFonts w:cs="Arial" w:ascii="Arial" w:hAnsi="Arial"/>
                <w:b/>
                <w:bCs/>
                <w:kern w:val="0"/>
                <w:sz w:val="16"/>
                <w:szCs w:val="16"/>
                <w:shd w:fill="auto" w:val="clear"/>
              </w:rPr>
              <w:t xml:space="preserve"> n°</w:t>
            </w:r>
            <w:r>
              <w:rPr>
                <w:rFonts w:cs="Arial" w:ascii="Arial" w:hAnsi="Arial"/>
                <w:b/>
                <w:bCs/>
                <w:kern w:val="0"/>
                <w:sz w:val="16"/>
                <w:szCs w:val="16"/>
              </w:rPr>
              <w:t xml:space="preserve"> 10.592 – Penha, </w:t>
            </w:r>
            <w:r>
              <w:rPr>
                <w:rFonts w:cs="Arial" w:ascii="Arial" w:hAnsi="Arial"/>
                <w:sz w:val="16"/>
                <w:szCs w:val="16"/>
              </w:rPr>
              <w:t xml:space="preserve">CEP </w:t>
            </w:r>
            <w:bookmarkStart w:id="2" w:name="formResultado%2525252525252525253Aj_idt7"/>
            <w:bookmarkEnd w:id="2"/>
            <w:r>
              <w:rPr>
                <w:rFonts w:cs="Arial" w:ascii="Arial" w:hAnsi="Arial"/>
                <w:sz w:val="16"/>
                <w:szCs w:val="16"/>
              </w:rPr>
              <w:t xml:space="preserve">21012-350 - Rio de Janeiro/RJ, </w:t>
            </w:r>
            <w:r>
              <w:rPr>
                <w:rFonts w:cs="Arial" w:ascii="Arial" w:hAnsi="Arial"/>
                <w:b/>
                <w:kern w:val="0"/>
                <w:sz w:val="16"/>
                <w:szCs w:val="16"/>
              </w:rPr>
              <w:t>no dia 12 de dezembro de 2024</w:t>
            </w:r>
            <w:r>
              <w:rPr>
                <w:rFonts w:cs="Arial" w:ascii="Arial" w:hAnsi="Arial"/>
                <w:b/>
                <w:color w:val="000000"/>
                <w:sz w:val="16"/>
                <w:szCs w:val="16"/>
              </w:rPr>
              <w:t>,</w:t>
            </w:r>
            <w:r>
              <w:rPr>
                <w:rFonts w:cs="Arial" w:ascii="Arial" w:hAnsi="Arial"/>
                <w:color w:val="000000"/>
                <w:sz w:val="16"/>
                <w:szCs w:val="16"/>
              </w:rPr>
              <w:t xml:space="preserve"> tendo a duração de 5h. O pessoal necessário para a montagem, produção e serviço será de responsabilidade do contratado.</w:t>
            </w:r>
          </w:p>
          <w:p>
            <w:pPr>
              <w:pStyle w:val="Standard"/>
              <w:widowControl w:val="false"/>
              <w:jc w:val="both"/>
              <w:rPr/>
            </w:pPr>
            <w:r>
              <w:rPr>
                <w:rFonts w:cs="Arial" w:ascii="Arial" w:hAnsi="Arial"/>
                <w:color w:val="000000"/>
                <w:sz w:val="16"/>
                <w:szCs w:val="16"/>
              </w:rPr>
              <w:t xml:space="preserve">A contratada fornecerá buffet completo, conforme </w:t>
            </w:r>
            <w:r>
              <w:rPr>
                <w:rFonts w:eastAsia="SimSun;宋体" w:cs="Arial" w:ascii="Arial" w:hAnsi="Arial"/>
                <w:color w:val="000000"/>
                <w:kern w:val="2"/>
                <w:sz w:val="16"/>
                <w:szCs w:val="16"/>
                <w:lang w:val="pt-BR" w:eastAsia="zh-CN" w:bidi="hi-IN"/>
              </w:rPr>
              <w:t xml:space="preserve">detalhado no </w:t>
            </w:r>
            <w:r>
              <w:rPr>
                <w:rFonts w:cs="Arial" w:ascii="Arial" w:hAnsi="Arial"/>
                <w:color w:val="000000"/>
                <w:sz w:val="16"/>
                <w:szCs w:val="16"/>
              </w:rPr>
              <w:t>Termo de Referência.</w:t>
            </w:r>
          </w:p>
        </w:tc>
        <w:tc>
          <w:tcPr>
            <w:tcW w:w="991" w:type="dxa"/>
            <w:tcBorders>
              <w:top w:val="single" w:sz="4" w:space="0" w:color="000000"/>
              <w:left w:val="single" w:sz="4" w:space="0" w:color="000000"/>
              <w:bottom w:val="single" w:sz="4" w:space="0" w:color="000000"/>
            </w:tcBorders>
            <w:vAlign w:val="center"/>
          </w:tcPr>
          <w:p>
            <w:pPr>
              <w:pStyle w:val="Standard"/>
              <w:widowControl w:val="false"/>
              <w:jc w:val="center"/>
              <w:rPr>
                <w:rFonts w:ascii="Arial" w:hAnsi="Arial" w:cs="Arial"/>
                <w:color w:val="000000"/>
                <w:sz w:val="16"/>
                <w:szCs w:val="16"/>
              </w:rPr>
            </w:pPr>
            <w:r>
              <w:rPr>
                <w:rFonts w:cs="Arial" w:ascii="Arial" w:hAnsi="Arial"/>
                <w:color w:val="000000"/>
                <w:sz w:val="16"/>
                <w:szCs w:val="16"/>
              </w:rPr>
              <w:t>12807</w:t>
            </w:r>
          </w:p>
        </w:tc>
        <w:tc>
          <w:tcPr>
            <w:tcW w:w="1418" w:type="dxa"/>
            <w:tcBorders>
              <w:top w:val="single" w:sz="4" w:space="0" w:color="000000"/>
              <w:left w:val="single" w:sz="4" w:space="0" w:color="000000"/>
              <w:bottom w:val="single" w:sz="4" w:space="0" w:color="000000"/>
            </w:tcBorders>
            <w:vAlign w:val="center"/>
          </w:tcPr>
          <w:p>
            <w:pPr>
              <w:pStyle w:val="Standard"/>
              <w:widowControl w:val="false"/>
              <w:bidi w:val="0"/>
              <w:spacing w:lineRule="auto" w:line="276"/>
              <w:jc w:val="center"/>
              <w:rPr>
                <w:rFonts w:ascii="Arial" w:hAnsi="Arial" w:cs="Arial"/>
                <w:sz w:val="16"/>
                <w:szCs w:val="16"/>
              </w:rPr>
            </w:pPr>
            <w:r>
              <w:rPr>
                <w:rFonts w:cs="Arial" w:ascii="Arial" w:hAnsi="Arial"/>
                <w:sz w:val="16"/>
                <w:szCs w:val="16"/>
              </w:rPr>
              <w:t>UN</w:t>
            </w:r>
          </w:p>
        </w:tc>
        <w:tc>
          <w:tcPr>
            <w:tcW w:w="142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color w:val="000000"/>
                <w:sz w:val="16"/>
                <w:szCs w:val="16"/>
              </w:rPr>
            </w:pPr>
            <w:r>
              <w:rPr>
                <w:rFonts w:cs="Arial" w:ascii="Arial" w:hAnsi="Arial"/>
                <w:color w:val="000000"/>
                <w:sz w:val="16"/>
                <w:szCs w:val="16"/>
              </w:rPr>
              <w:t>200</w:t>
            </w:r>
          </w:p>
        </w:tc>
        <w:tc>
          <w:tcPr>
            <w:tcW w:w="1276" w:type="dxa"/>
            <w:tcBorders>
              <w:top w:val="single" w:sz="4" w:space="0" w:color="000000"/>
              <w:left w:val="single" w:sz="4" w:space="0" w:color="000000"/>
              <w:bottom w:val="single" w:sz="4" w:space="0" w:color="000000"/>
            </w:tcBorders>
            <w:vAlign w:val="center"/>
          </w:tcPr>
          <w:p>
            <w:pPr>
              <w:pStyle w:val="Contedodatabela"/>
              <w:widowControl w:val="false"/>
              <w:bidi w:val="0"/>
              <w:jc w:val="center"/>
              <w:rPr>
                <w:rFonts w:ascii="Arial" w:hAnsi="Arial" w:cs="Arial"/>
                <w:color w:val="000000"/>
                <w:sz w:val="16"/>
                <w:szCs w:val="16"/>
              </w:rPr>
            </w:pPr>
            <w:r>
              <w:rPr>
                <w:rFonts w:cs="Arial" w:ascii="Arial" w:hAnsi="Arial"/>
                <w:color w:val="000000"/>
                <w:sz w:val="16"/>
                <w:szCs w:val="16"/>
              </w:rPr>
              <w:t>R$ 99,88</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Textbody"/>
              <w:widowControl w:val="false"/>
              <w:suppressAutoHyphens w:val="true"/>
              <w:bidi w:val="0"/>
              <w:spacing w:lineRule="atLeast" w:line="283" w:before="0" w:after="140"/>
              <w:ind w:left="0" w:right="0" w:hanging="0"/>
              <w:jc w:val="center"/>
              <w:textAlignment w:val="baseline"/>
              <w:rPr>
                <w:rFonts w:ascii="Arial" w:hAnsi="Arial" w:cs="Arial"/>
                <w:color w:val="000000"/>
                <w:sz w:val="16"/>
                <w:szCs w:val="16"/>
              </w:rPr>
            </w:pPr>
            <w:r>
              <w:rPr>
                <w:rFonts w:cs="Arial" w:ascii="Arial" w:hAnsi="Arial"/>
                <w:color w:val="000000"/>
                <w:sz w:val="16"/>
                <w:szCs w:val="16"/>
              </w:rPr>
              <w:t>R$ 19.975,00</w:t>
            </w:r>
          </w:p>
        </w:tc>
      </w:tr>
    </w:tbl>
    <w:p>
      <w:pPr>
        <w:pStyle w:val="Ttulo1"/>
        <w:numPr>
          <w:ilvl w:val="0"/>
          <w:numId w:val="2"/>
        </w:numPr>
        <w:ind w:left="360" w:right="0" w:hanging="360"/>
        <w:rPr>
          <w:highlight w:val="white"/>
        </w:rPr>
      </w:pPr>
      <w:r>
        <w:br w:type="page"/>
      </w:r>
      <w:r>
        <w:rPr>
          <w:shd w:fill="FFFFFF" w:val="clear"/>
        </w:rPr>
        <w:t xml:space="preserve">REGISTRO DE PREÇOS </w:t>
      </w:r>
    </w:p>
    <w:p>
      <w:pPr>
        <w:pStyle w:val="Normal"/>
        <w:numPr>
          <w:ilvl w:val="1"/>
          <w:numId w:val="2"/>
        </w:numPr>
        <w:spacing w:lineRule="auto" w:line="276" w:before="120" w:after="120"/>
        <w:ind w:left="425" w:right="0" w:hanging="0"/>
        <w:jc w:val="both"/>
        <w:rPr>
          <w:rFonts w:cs="Arial"/>
          <w:szCs w:val="20"/>
          <w:highlight w:val="white"/>
        </w:rPr>
      </w:pPr>
      <w:r>
        <w:rPr>
          <w:rFonts w:cs="Arial"/>
          <w:szCs w:val="20"/>
          <w:shd w:fill="FFFFFF" w:val="clear"/>
        </w:rPr>
        <w:t>As regras referentes aos órgãos gerenciador e participantes, bem como a eventuais adesões são as que constam da minuta de Ata de Registro de Preços.</w:t>
      </w:r>
    </w:p>
    <w:p>
      <w:pPr>
        <w:pStyle w:val="Ttulo1"/>
        <w:numPr>
          <w:ilvl w:val="0"/>
          <w:numId w:val="2"/>
        </w:numPr>
        <w:ind w:left="360" w:right="0" w:hanging="360"/>
        <w:rPr>
          <w:highlight w:val="white"/>
        </w:rPr>
      </w:pPr>
      <w:bookmarkStart w:id="3" w:name="_Toc142925862"/>
      <w:r>
        <w:rPr>
          <w:shd w:fill="FFFFFF" w:val="clear"/>
        </w:rPr>
        <w:t>PARTICIPAÇÃO NA DISPENSA ELETRÔNICA.</w:t>
      </w:r>
      <w:bookmarkEnd w:id="3"/>
    </w:p>
    <w:p>
      <w:pPr>
        <w:pStyle w:val="Normal"/>
        <w:numPr>
          <w:ilvl w:val="1"/>
          <w:numId w:val="2"/>
        </w:numPr>
        <w:spacing w:lineRule="auto" w:line="276" w:before="120" w:after="120"/>
        <w:ind w:left="425" w:right="0" w:hanging="0"/>
        <w:jc w:val="both"/>
        <w:rPr/>
      </w:pPr>
      <w:r>
        <w:rPr>
          <w:rFonts w:cs="Arial"/>
          <w:szCs w:val="20"/>
        </w:rPr>
        <w:t xml:space="preserve">A </w:t>
      </w:r>
      <w:r>
        <w:rPr>
          <w:rFonts w:cs="Arial"/>
          <w:color w:val="000000"/>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2"/>
        </w:numPr>
        <w:spacing w:lineRule="auto" w:line="276" w:before="120" w:after="120"/>
        <w:jc w:val="both"/>
        <w:rPr/>
      </w:pPr>
      <w:r>
        <w:rPr>
          <w:rFonts w:cs="Arial"/>
          <w:szCs w:val="20"/>
        </w:rPr>
        <w:t xml:space="preserve">O procedimento será divulgado no Compras.gov.br e no </w:t>
      </w:r>
      <w:hyperlink r:id="rId6">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2"/>
        </w:numPr>
        <w:spacing w:lineRule="auto" w:line="276" w:before="120" w:after="120"/>
        <w:jc w:val="both"/>
        <w:rPr/>
      </w:pPr>
      <w:r>
        <w:rPr>
          <w:rFonts w:cs="Arial"/>
          <w:szCs w:val="20"/>
        </w:rPr>
        <w:t xml:space="preserve">O Compras.gov.br poderá ser acessado pela web ou pelo </w:t>
      </w:r>
      <w:hyperlink r:id="rId7">
        <w:r>
          <w:rPr>
            <w:rStyle w:val="LinkdaInternet"/>
            <w:rFonts w:cs="Arial"/>
            <w:szCs w:val="20"/>
          </w:rPr>
          <w:t>aplicativo Compras.gov.br.</w:t>
        </w:r>
      </w:hyperlink>
    </w:p>
    <w:p>
      <w:pPr>
        <w:pStyle w:val="Normal"/>
        <w:numPr>
          <w:ilvl w:val="2"/>
          <w:numId w:val="2"/>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2"/>
        </w:numPr>
        <w:spacing w:lineRule="auto" w:line="276" w:before="120" w:after="120"/>
        <w:jc w:val="both"/>
        <w:rPr>
          <w:rFonts w:cs="Arial"/>
          <w:i/>
          <w:i/>
          <w:iCs/>
          <w:color w:val="111111"/>
          <w:szCs w:val="20"/>
        </w:rPr>
      </w:pPr>
      <w:r>
        <w:rPr>
          <w:rFonts w:cs="Arial"/>
          <w:i/>
          <w:iCs/>
          <w:color w:val="111111"/>
          <w:szCs w:val="20"/>
        </w:rPr>
        <w:t>Para todos os itens a participação é exclusiva a microempresas e empresas de pequeno porte, nos termos do art. 49, inciso IV, c/c o art. 48, inciso I, da Lei Complementar nº 123, de 14 de dezembro de 2006.</w:t>
      </w:r>
    </w:p>
    <w:p>
      <w:pPr>
        <w:pStyle w:val="Normal"/>
        <w:numPr>
          <w:ilvl w:val="2"/>
          <w:numId w:val="2"/>
        </w:numPr>
        <w:snapToGrid w:val="false"/>
        <w:spacing w:lineRule="auto" w:line="276" w:before="120" w:after="120"/>
        <w:jc w:val="both"/>
        <w:rPr>
          <w:rFonts w:cs="Arial"/>
          <w:i/>
          <w:i/>
          <w:iCs/>
          <w:color w:val="111111"/>
          <w:szCs w:val="20"/>
        </w:rPr>
      </w:pPr>
      <w:r>
        <w:rPr>
          <w:rFonts w:cs="Arial"/>
          <w:i/>
          <w:iCs/>
          <w:color w:val="11111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2"/>
        </w:numPr>
        <w:snapToGrid w:val="false"/>
        <w:spacing w:lineRule="auto" w:line="276" w:before="120" w:after="120"/>
        <w:jc w:val="both"/>
        <w:rPr>
          <w:rFonts w:cs="Arial"/>
          <w:i/>
          <w:i/>
          <w:iCs/>
          <w:color w:val="111111"/>
          <w:szCs w:val="20"/>
        </w:rPr>
      </w:pPr>
      <w:r>
        <w:rPr>
          <w:rFonts w:cs="Arial"/>
          <w:i/>
          <w:iCs/>
          <w:color w:val="11111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spacing w:lineRule="auto" w:line="276" w:before="120" w:after="120"/>
        <w:jc w:val="both"/>
        <w:rPr>
          <w:rFonts w:cs="Arial"/>
          <w:color w:val="000000"/>
          <w:szCs w:val="20"/>
        </w:rPr>
      </w:pPr>
      <w:r>
        <w:rPr>
          <w:rFonts w:cs="Arial"/>
          <w:color w:val="000000"/>
          <w:szCs w:val="20"/>
        </w:rPr>
      </w:r>
    </w:p>
    <w:p>
      <w:pPr>
        <w:pStyle w:val="Normal"/>
        <w:numPr>
          <w:ilvl w:val="1"/>
          <w:numId w:val="2"/>
        </w:numPr>
        <w:spacing w:lineRule="auto" w:line="276" w:before="120" w:after="120"/>
        <w:ind w:left="425" w:right="0" w:hanging="0"/>
        <w:jc w:val="both"/>
        <w:rPr>
          <w:rFonts w:cs="Arial"/>
          <w:color w:val="000000"/>
          <w:szCs w:val="20"/>
        </w:rPr>
      </w:pPr>
      <w:bookmarkStart w:id="4" w:name="_Ref144286315"/>
      <w:r>
        <w:rPr>
          <w:rFonts w:cs="Arial"/>
          <w:color w:val="000000"/>
          <w:szCs w:val="20"/>
        </w:rPr>
        <w:t>Não poderão participar desta dispensa de licitação os fornecedores:</w:t>
      </w:r>
      <w:bookmarkEnd w:id="4"/>
    </w:p>
    <w:p>
      <w:pPr>
        <w:pStyle w:val="Normal"/>
        <w:numPr>
          <w:ilvl w:val="2"/>
          <w:numId w:val="2"/>
        </w:numPr>
        <w:spacing w:lineRule="auto" w:line="276" w:before="120" w:after="120"/>
        <w:jc w:val="both"/>
        <w:rPr>
          <w:rFonts w:cs="Arial"/>
          <w:color w:val="000000"/>
          <w:szCs w:val="20"/>
        </w:rPr>
      </w:pPr>
      <w:r>
        <w:rPr>
          <w:rFonts w:cs="Arial"/>
          <w:color w:val="000000"/>
          <w:szCs w:val="20"/>
        </w:rPr>
        <w:t>que não atendam às condições deste Aviso de Contratação Direta e seu(s) anexo(s);</w:t>
      </w:r>
    </w:p>
    <w:p>
      <w:pPr>
        <w:pStyle w:val="Normal"/>
        <w:numPr>
          <w:ilvl w:val="2"/>
          <w:numId w:val="2"/>
        </w:numPr>
        <w:spacing w:lineRule="auto" w:line="276" w:before="120" w:after="120"/>
        <w:jc w:val="both"/>
        <w:rPr>
          <w:rFonts w:cs="Arial"/>
          <w:color w:val="000000"/>
          <w:szCs w:val="20"/>
        </w:rPr>
      </w:pPr>
      <w:r>
        <w:rPr>
          <w:rFonts w:cs="Arial"/>
          <w:color w:val="000000"/>
          <w:szCs w:val="20"/>
        </w:rPr>
        <w:t>estrangeiros que não tenham representação legal no Brasil com poderes expressos para receber citação e responder administrativa ou judicialmente;</w:t>
      </w:r>
    </w:p>
    <w:p>
      <w:pPr>
        <w:pStyle w:val="Normal"/>
        <w:numPr>
          <w:ilvl w:val="2"/>
          <w:numId w:val="2"/>
        </w:numPr>
        <w:spacing w:lineRule="auto" w:line="276" w:before="120" w:after="120"/>
        <w:jc w:val="both"/>
        <w:rPr>
          <w:rFonts w:cs="Arial"/>
          <w:color w:val="000000"/>
          <w:szCs w:val="20"/>
        </w:rPr>
      </w:pPr>
      <w:r>
        <w:rPr>
          <w:rFonts w:cs="Arial"/>
          <w:color w:val="000000"/>
          <w:szCs w:val="20"/>
        </w:rPr>
        <w:t>que se enquadrem nas seguintes vedações:</w:t>
      </w:r>
    </w:p>
    <w:p>
      <w:pPr>
        <w:pStyle w:val="Normal"/>
        <w:numPr>
          <w:ilvl w:val="3"/>
          <w:numId w:val="4"/>
        </w:numPr>
        <w:spacing w:lineRule="auto" w:line="276" w:before="120" w:after="120"/>
        <w:jc w:val="both"/>
        <w:rPr>
          <w:rFonts w:cs="Arial"/>
          <w:color w:val="000000"/>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empresas controladoras, controladas ou coligadas, nos termos da </w:t>
      </w:r>
      <w:hyperlink r:id="rId8">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2"/>
        </w:numPr>
        <w:spacing w:lineRule="auto" w:line="276" w:before="120" w:after="120"/>
        <w:jc w:val="both"/>
        <w:rPr>
          <w:rFonts w:cs="Arial"/>
          <w:color w:val="000000"/>
          <w:szCs w:val="20"/>
        </w:rPr>
      </w:pPr>
      <w:r>
        <w:rPr>
          <w:rFonts w:cs="Arial"/>
          <w:color w:val="000000"/>
          <w:szCs w:val="20"/>
        </w:rPr>
        <w:t>Equiparam-se aos autores do projeto as empresas integrantes do mesmo grupo econômico;</w:t>
      </w:r>
    </w:p>
    <w:p>
      <w:pPr>
        <w:pStyle w:val="Normal"/>
        <w:numPr>
          <w:ilvl w:val="3"/>
          <w:numId w:val="2"/>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2"/>
        </w:numPr>
        <w:spacing w:lineRule="auto" w:line="276" w:before="120" w:after="120"/>
        <w:jc w:val="both"/>
        <w:rPr>
          <w:rFonts w:cs="Arial"/>
          <w:color w:val="000000"/>
          <w:szCs w:val="20"/>
        </w:rPr>
      </w:pPr>
      <w:r>
        <w:rPr>
          <w:rFonts w:cs="Arial"/>
          <w:color w:val="000000"/>
          <w:szCs w:val="20"/>
        </w:rPr>
        <w:t>organizações da Sociedade Civil de Interesse Público - OSCIP, atuando nessa condição (Acórdão nº 746/2014-TCU-Plenário); e</w:t>
      </w:r>
    </w:p>
    <w:p>
      <w:pPr>
        <w:pStyle w:val="Normal"/>
        <w:numPr>
          <w:ilvl w:val="1"/>
          <w:numId w:val="2"/>
        </w:numPr>
        <w:spacing w:lineRule="auto" w:line="276" w:before="120" w:after="120"/>
        <w:ind w:left="425" w:right="0" w:hanging="0"/>
        <w:jc w:val="both"/>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xml:space="preserve">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right="0" w:hanging="0"/>
        <w:jc w:val="both"/>
        <w:rPr>
          <w:rFonts w:cs="Arial"/>
          <w:bCs/>
        </w:rPr>
      </w:pPr>
      <w:r>
        <w:rPr>
          <w:rFonts w:cs="Arial"/>
          <w:bCs/>
        </w:rPr>
      </w:r>
    </w:p>
    <w:p>
      <w:pPr>
        <w:pStyle w:val="Ttulo1"/>
        <w:numPr>
          <w:ilvl w:val="0"/>
          <w:numId w:val="2"/>
        </w:numPr>
        <w:ind w:left="360" w:right="0" w:hanging="360"/>
        <w:rPr/>
      </w:pPr>
      <w:bookmarkStart w:id="5" w:name="_Toc142925863"/>
      <w:r>
        <w:rPr/>
        <w:t>INGRESSO NA DISPENSA ELETRÔNICA E CADASTRAMENTO DA PROPOSTA INICIAL</w:t>
      </w:r>
      <w:bookmarkEnd w:id="5"/>
    </w:p>
    <w:p>
      <w:pPr>
        <w:pStyle w:val="Normal"/>
        <w:numPr>
          <w:ilvl w:val="1"/>
          <w:numId w:val="2"/>
        </w:numPr>
        <w:snapToGrid w:val="false"/>
        <w:spacing w:lineRule="auto" w:line="276" w:before="120" w:after="120"/>
        <w:ind w:left="425" w:right="0" w:hanging="0"/>
        <w:jc w:val="both"/>
        <w:rPr>
          <w:rFonts w:cs="Arial"/>
          <w:color w:val="000000"/>
          <w:szCs w:val="20"/>
        </w:rPr>
      </w:pPr>
      <w:r>
        <w:rPr>
          <w:rFonts w:cs="Arial"/>
          <w:color w:val="000000"/>
          <w:szCs w:val="20"/>
        </w:rPr>
        <w:t>O ingresso do fornecedor na disputa da dispensa eletrônica ocorrerá com o cadastramento de sua proposta inicial, na forma deste item.</w:t>
      </w:r>
    </w:p>
    <w:p>
      <w:pPr>
        <w:pStyle w:val="Normal"/>
        <w:numPr>
          <w:ilvl w:val="1"/>
          <w:numId w:val="2"/>
        </w:numPr>
        <w:snapToGrid w:val="false"/>
        <w:spacing w:lineRule="auto" w:line="276" w:before="120" w:after="120"/>
        <w:ind w:left="425" w:right="0" w:hanging="0"/>
        <w:jc w:val="both"/>
        <w:rPr>
          <w:rFonts w:cs="Arial"/>
          <w:color w:val="000000"/>
          <w:szCs w:val="20"/>
        </w:rPr>
      </w:pPr>
      <w:r>
        <w:rPr>
          <w:rFonts w:cs="Arial"/>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ListParagraph"/>
        <w:widowControl/>
        <w:numPr>
          <w:ilvl w:val="2"/>
          <w:numId w:val="2"/>
        </w:numPr>
        <w:suppressAutoHyphens w:val="true"/>
        <w:bidi w:val="0"/>
        <w:spacing w:lineRule="auto" w:line="240" w:before="0" w:after="0"/>
        <w:ind w:left="1191" w:right="0" w:hanging="510"/>
        <w:contextualSpacing/>
        <w:jc w:val="left"/>
        <w:rPr>
          <w:rFonts w:cs="Arial"/>
          <w:i/>
          <w:i/>
          <w:iCs/>
          <w:color w:val="111111"/>
          <w:highlight w:val="white"/>
        </w:rPr>
      </w:pPr>
      <w:r>
        <w:rPr>
          <w:rFonts w:cs="Arial"/>
          <w:i/>
          <w:iCs/>
          <w:color w:val="111111"/>
          <w:shd w:fill="FFFFFF" w:val="clear"/>
        </w:rPr>
        <w:t>O fornecedor [NÃO] poderá oferecer proposta em quantitativo inferior ao máximo previsto para contratação.</w:t>
      </w:r>
    </w:p>
    <w:p>
      <w:pPr>
        <w:pStyle w:val="ListParagraph"/>
        <w:numPr>
          <w:ilvl w:val="2"/>
          <w:numId w:val="2"/>
        </w:numPr>
        <w:ind w:left="1224" w:right="0" w:hanging="504"/>
        <w:rPr>
          <w:rFonts w:cs="Arial"/>
          <w:i/>
          <w:i/>
          <w:iCs/>
          <w:color w:val="111111"/>
          <w:highlight w:val="white"/>
        </w:rPr>
      </w:pPr>
      <w:r>
        <w:rPr>
          <w:rFonts w:cs="Arial"/>
          <w:i/>
          <w:iCs/>
          <w:color w:val="111111"/>
          <w:shd w:fill="FFFFFF" w:val="clear"/>
        </w:rPr>
        <w:t xml:space="preserve">[Não será admitida a previsão de preços diferentes em razão de local de entrega ou de acondicionamento, tamanho de lote ou qualquer outro motivo] </w:t>
      </w:r>
    </w:p>
    <w:p>
      <w:pPr>
        <w:pStyle w:val="Normal"/>
        <w:numPr>
          <w:ilvl w:val="1"/>
          <w:numId w:val="2"/>
        </w:numPr>
        <w:spacing w:lineRule="auto" w:line="276" w:before="120" w:after="120"/>
        <w:ind w:left="425" w:right="0" w:hanging="0"/>
        <w:jc w:val="both"/>
        <w:rPr/>
      </w:pPr>
      <w:r>
        <w:rPr>
          <w:rFonts w:cs="Arial"/>
          <w:szCs w:val="20"/>
        </w:rPr>
        <w:t xml:space="preserve">Todas as especificações do </w:t>
      </w:r>
      <w:r>
        <w:rPr>
          <w:rFonts w:cs="Arial"/>
          <w:color w:val="000000"/>
          <w:szCs w:val="20"/>
        </w:rPr>
        <w:t>objeto</w:t>
      </w:r>
      <w:r>
        <w:rPr>
          <w:rFonts w:cs="Arial"/>
          <w:szCs w:val="20"/>
        </w:rPr>
        <w:t xml:space="preserve"> contidas na proposta, em especial o preço ou o desconto ofertados, vinculam a Contratada.</w:t>
      </w:r>
    </w:p>
    <w:p>
      <w:pPr>
        <w:pStyle w:val="Normal"/>
        <w:numPr>
          <w:ilvl w:val="1"/>
          <w:numId w:val="2"/>
        </w:numPr>
        <w:spacing w:lineRule="auto" w:line="276" w:before="120" w:after="120"/>
        <w:ind w:left="425" w:right="0"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2"/>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2"/>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2"/>
        </w:numPr>
        <w:spacing w:lineRule="auto" w:line="276" w:before="120" w:after="120"/>
        <w:ind w:left="425" w:right="0"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2"/>
        </w:numPr>
        <w:spacing w:lineRule="auto" w:line="276" w:before="120" w:after="120"/>
        <w:ind w:left="425" w:right="0"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2"/>
        </w:numPr>
        <w:spacing w:lineRule="auto" w:line="276" w:before="120" w:after="120"/>
        <w:ind w:left="425" w:right="0" w:hanging="0"/>
        <w:jc w:val="both"/>
        <w:rPr/>
      </w:pPr>
      <w:r>
        <w:rPr>
          <w:rFonts w:cs="Arial"/>
          <w:szCs w:val="20"/>
        </w:rPr>
        <w:t xml:space="preserve">A apresentação das propostas implica obrigatoriedade do cumprimento das disposições nelas contidas, em conformidade com o que dispõe o </w:t>
      </w:r>
      <w:r>
        <w:rPr>
          <w:rFonts w:cs="Arial"/>
          <w:iCs/>
          <w:szCs w:val="20"/>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2"/>
        </w:numPr>
        <w:spacing w:lineRule="auto" w:line="276" w:before="120" w:after="120"/>
        <w:ind w:left="425" w:right="0" w:hanging="0"/>
        <w:jc w:val="both"/>
        <w:rPr/>
      </w:pPr>
      <w:r>
        <w:rPr>
          <w:rFonts w:cs="Arial"/>
          <w:color w:val="000000"/>
          <w:szCs w:val="20"/>
        </w:rPr>
        <w:t xml:space="preserve">O </w:t>
      </w:r>
      <w:r>
        <w:rPr>
          <w:rFonts w:cs="Arial"/>
          <w:szCs w:val="20"/>
        </w:rPr>
        <w:t>prazo</w:t>
      </w:r>
      <w:r>
        <w:rPr>
          <w:rFonts w:cs="Arial"/>
          <w:color w:val="000000"/>
          <w:szCs w:val="20"/>
        </w:rPr>
        <w:t xml:space="preserve"> de validade </w:t>
      </w:r>
      <w:r>
        <w:rPr>
          <w:rFonts w:cs="Arial"/>
          <w:szCs w:val="20"/>
        </w:rPr>
        <w:t>da</w:t>
      </w:r>
      <w:r>
        <w:rPr>
          <w:rFonts w:cs="Arial"/>
          <w:color w:val="000000"/>
          <w:szCs w:val="20"/>
        </w:rPr>
        <w:t xml:space="preserve"> proposta não será inferior a</w:t>
      </w:r>
      <w:r>
        <w:rPr>
          <w:rFonts w:cs="Arial"/>
          <w:color w:val="111111"/>
          <w:szCs w:val="20"/>
        </w:rPr>
        <w:t xml:space="preserve"> 30</w:t>
      </w:r>
      <w:r>
        <w:rPr>
          <w:rFonts w:cs="Arial"/>
          <w:color w:val="000000"/>
          <w:szCs w:val="20"/>
        </w:rPr>
        <w:t xml:space="preserve"> dias</w:t>
      </w:r>
      <w:r>
        <w:rPr>
          <w:rFonts w:cs="Arial"/>
          <w:b/>
          <w:bCs/>
          <w:color w:val="000000"/>
          <w:szCs w:val="20"/>
        </w:rPr>
        <w:t>,</w:t>
      </w:r>
      <w:r>
        <w:rPr>
          <w:rFonts w:cs="Arial"/>
          <w:color w:val="000000"/>
          <w:szCs w:val="20"/>
        </w:rPr>
        <w:t xml:space="preserve"> a contar da data de sua apresentação.</w:t>
      </w:r>
    </w:p>
    <w:p>
      <w:pPr>
        <w:pStyle w:val="Normal"/>
        <w:numPr>
          <w:ilvl w:val="1"/>
          <w:numId w:val="2"/>
        </w:numPr>
        <w:spacing w:lineRule="auto" w:line="276" w:before="120" w:after="120"/>
        <w:ind w:left="425" w:right="0" w:hanging="0"/>
        <w:jc w:val="both"/>
        <w:rPr/>
      </w:pPr>
      <w:r>
        <w:rPr>
          <w:rFonts w:cs="Arial"/>
          <w:color w:val="000000"/>
          <w:szCs w:val="20"/>
        </w:rPr>
        <w:t>No cadastramento da proposta inicial, o fornecedor deverá, também, assinalar Termo de Aceitação, em campo próprio do sistema eletrônico, relativo às seguintes declarações:</w:t>
      </w:r>
      <w:r>
        <w:rPr>
          <w:rFonts w:eastAsia="Zurich BT" w:cs="Arial"/>
          <w:color w:val="000000"/>
          <w:szCs w:val="20"/>
        </w:rPr>
        <w:t xml:space="preserve"> </w:t>
      </w:r>
    </w:p>
    <w:p>
      <w:pPr>
        <w:pStyle w:val="ListParagraph"/>
        <w:numPr>
          <w:ilvl w:val="0"/>
          <w:numId w:val="3"/>
        </w:numPr>
        <w:tabs>
          <w:tab w:val="clear" w:pos="708"/>
          <w:tab w:val="left" w:pos="1440" w:leader="none"/>
        </w:tabs>
        <w:snapToGrid w:val="false"/>
        <w:spacing w:lineRule="auto" w:line="276" w:before="120" w:after="120"/>
        <w:ind w:left="435" w:right="0" w:hanging="435"/>
        <w:contextualSpacing/>
        <w:jc w:val="both"/>
        <w:rPr>
          <w:rFonts w:cs="Arial"/>
          <w:bCs/>
          <w:vanish/>
          <w:color w:val="000000"/>
          <w:szCs w:val="20"/>
        </w:rPr>
      </w:pPr>
      <w:r>
        <w:rPr>
          <w:rFonts w:cs="Arial"/>
          <w:bCs/>
          <w:vanish/>
          <w:color w:val="000000"/>
          <w:szCs w:val="20"/>
        </w:rPr>
      </w:r>
    </w:p>
    <w:p>
      <w:pPr>
        <w:pStyle w:val="ListParagraph"/>
        <w:numPr>
          <w:ilvl w:val="1"/>
          <w:numId w:val="3"/>
        </w:numPr>
        <w:tabs>
          <w:tab w:val="clear" w:pos="708"/>
          <w:tab w:val="left" w:pos="1440" w:leader="none"/>
        </w:tabs>
        <w:snapToGrid w:val="false"/>
        <w:spacing w:lineRule="auto" w:line="276" w:before="120" w:after="120"/>
        <w:ind w:left="1002" w:right="0" w:hanging="435"/>
        <w:contextualSpacing/>
        <w:jc w:val="both"/>
        <w:rPr>
          <w:rFonts w:cs="Arial"/>
          <w:bCs/>
          <w:vanish/>
          <w:color w:val="000000"/>
          <w:szCs w:val="20"/>
        </w:rPr>
      </w:pPr>
      <w:r>
        <w:rPr>
          <w:rFonts w:cs="Arial"/>
          <w:bCs/>
          <w:vanish/>
          <w:color w:val="000000"/>
          <w:szCs w:val="20"/>
        </w:rPr>
      </w:r>
    </w:p>
    <w:p>
      <w:pPr>
        <w:pStyle w:val="ListParagraph"/>
        <w:numPr>
          <w:ilvl w:val="1"/>
          <w:numId w:val="3"/>
        </w:numPr>
        <w:tabs>
          <w:tab w:val="clear" w:pos="708"/>
          <w:tab w:val="left" w:pos="1440" w:leader="none"/>
        </w:tabs>
        <w:snapToGrid w:val="false"/>
        <w:spacing w:lineRule="auto" w:line="276" w:before="120" w:after="120"/>
        <w:ind w:left="1002" w:right="0" w:hanging="435"/>
        <w:contextualSpacing/>
        <w:jc w:val="both"/>
        <w:rPr>
          <w:rFonts w:cs="Arial"/>
          <w:bCs/>
          <w:vanish/>
          <w:color w:val="000000"/>
          <w:szCs w:val="20"/>
        </w:rPr>
      </w:pPr>
      <w:r>
        <w:rPr>
          <w:rFonts w:cs="Arial"/>
          <w:bCs/>
          <w:vanish/>
          <w:color w:val="000000"/>
          <w:szCs w:val="20"/>
        </w:rPr>
      </w:r>
    </w:p>
    <w:p>
      <w:pPr>
        <w:pStyle w:val="ListParagraph"/>
        <w:numPr>
          <w:ilvl w:val="1"/>
          <w:numId w:val="3"/>
        </w:numPr>
        <w:tabs>
          <w:tab w:val="clear" w:pos="708"/>
          <w:tab w:val="left" w:pos="1440" w:leader="none"/>
        </w:tabs>
        <w:snapToGrid w:val="false"/>
        <w:spacing w:lineRule="auto" w:line="276" w:before="120" w:after="120"/>
        <w:ind w:left="1002" w:right="0" w:hanging="435"/>
        <w:contextualSpacing/>
        <w:jc w:val="both"/>
        <w:rPr>
          <w:rFonts w:cs="Arial"/>
          <w:bCs/>
          <w:vanish/>
          <w:color w:val="000000"/>
          <w:szCs w:val="20"/>
        </w:rPr>
      </w:pPr>
      <w:r>
        <w:rPr>
          <w:rFonts w:cs="Arial"/>
          <w:bCs/>
          <w:vanish/>
          <w:color w:val="000000"/>
          <w:szCs w:val="20"/>
        </w:rPr>
      </w:r>
    </w:p>
    <w:p>
      <w:pPr>
        <w:pStyle w:val="Normal"/>
        <w:numPr>
          <w:ilvl w:val="2"/>
          <w:numId w:val="2"/>
        </w:numPr>
        <w:spacing w:lineRule="auto" w:line="276" w:before="120" w:after="120"/>
        <w:jc w:val="both"/>
        <w:rPr>
          <w:rFonts w:cs="Arial"/>
          <w:color w:val="000000"/>
          <w:szCs w:val="20"/>
        </w:rPr>
      </w:pPr>
      <w:r>
        <w:rPr>
          <w:rFonts w:cs="Arial"/>
          <w:color w:val="000000"/>
          <w:szCs w:val="20"/>
        </w:rPr>
        <w:t>que inexistem fatos impeditivos para sua habilitação no certame, ciente da obrigatoriedade de declarar ocorrências posteriores;</w:t>
      </w:r>
    </w:p>
    <w:p>
      <w:pPr>
        <w:pStyle w:val="Normal"/>
        <w:numPr>
          <w:ilvl w:val="2"/>
          <w:numId w:val="2"/>
        </w:numPr>
        <w:spacing w:lineRule="auto" w:line="276" w:before="120" w:after="120"/>
        <w:jc w:val="both"/>
        <w:rPr>
          <w:rFonts w:cs="Arial"/>
          <w:color w:val="000000"/>
          <w:szCs w:val="20"/>
        </w:rPr>
      </w:pPr>
      <w:r>
        <w:rPr>
          <w:rFonts w:cs="Arial"/>
          <w:color w:val="000000"/>
          <w:szCs w:val="20"/>
        </w:rPr>
        <w:t>que está ciente e concorda com as condições contidas no Aviso de Contratação Direta e seus anexos;</w:t>
      </w:r>
    </w:p>
    <w:p>
      <w:pPr>
        <w:pStyle w:val="Normal"/>
        <w:numPr>
          <w:ilvl w:val="2"/>
          <w:numId w:val="2"/>
        </w:numPr>
        <w:spacing w:lineRule="auto" w:line="276" w:before="120" w:after="120"/>
        <w:jc w:val="both"/>
        <w:rPr>
          <w:rFonts w:cs="Arial"/>
          <w:color w:val="000000"/>
          <w:szCs w:val="20"/>
        </w:rPr>
      </w:pPr>
      <w:r>
        <w:rPr>
          <w:rFonts w:cs="Arial"/>
          <w:color w:val="000000"/>
          <w:szCs w:val="20"/>
        </w:rPr>
        <w:t>que se responsabiliza pelas transações que forem efetuadas no sistema, assumindo-as como firmes e verdadeiras;</w:t>
      </w:r>
    </w:p>
    <w:p>
      <w:pPr>
        <w:pStyle w:val="Normal"/>
        <w:numPr>
          <w:ilvl w:val="2"/>
          <w:numId w:val="2"/>
        </w:numPr>
        <w:spacing w:lineRule="auto" w:line="276" w:before="120" w:after="120"/>
        <w:jc w:val="both"/>
        <w:rPr/>
      </w:pPr>
      <w:r>
        <w:rPr>
          <w:rFonts w:cs="Arial"/>
          <w:color w:val="000000"/>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xml:space="preserve">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szCs w:val="20"/>
        </w:rPr>
        <w:t>.</w:t>
      </w:r>
    </w:p>
    <w:p>
      <w:pPr>
        <w:pStyle w:val="Normal"/>
        <w:numPr>
          <w:ilvl w:val="2"/>
          <w:numId w:val="2"/>
        </w:numPr>
        <w:spacing w:lineRule="auto" w:line="276" w:before="120" w:after="120"/>
        <w:jc w:val="both"/>
        <w:rPr/>
      </w:pPr>
      <w:r>
        <w:rPr>
          <w:rFonts w:cs="Arial"/>
          <w:color w:val="000000"/>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xml:space="preserve">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szCs w:val="20"/>
        </w:rPr>
        <w:t>;</w:t>
      </w:r>
    </w:p>
    <w:p>
      <w:pPr>
        <w:pStyle w:val="Normal"/>
        <w:numPr>
          <w:ilvl w:val="1"/>
          <w:numId w:val="2"/>
        </w:numPr>
        <w:spacing w:lineRule="auto" w:line="276" w:before="120" w:after="120"/>
        <w:jc w:val="both"/>
        <w:rPr/>
      </w:pPr>
      <w:r>
        <w:rPr>
          <w:rFonts w:cs="Arial"/>
          <w:color w:val="000000"/>
          <w:szCs w:val="20"/>
        </w:rPr>
        <w:t xml:space="preserve">O fornecedor organizado em cooperativa deverá declarar, ainda, em campo próprio do sistema eletrônico, que cumpre os requisitos estabelecidos no </w:t>
      </w:r>
      <w:r>
        <w:fldChar w:fldCharType="begin"/>
      </w:r>
      <w:r>
        <w:rPr>
          <w:rStyle w:val="LinkdaInternet"/>
          <w:szCs w:val="20"/>
          <w:rFonts w:cs="Arial"/>
        </w:rPr>
        <w:instrText xml:space="preserve">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2"/>
        </w:numPr>
        <w:spacing w:lineRule="auto" w:line="276" w:before="120" w:after="120"/>
        <w:jc w:val="both"/>
        <w:rPr/>
      </w:pPr>
      <w:r>
        <w:rPr>
          <w:rFonts w:cs="Arial"/>
          <w:color w:val="000000"/>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xml:space="preserve">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szCs w:val="20"/>
        </w:rPr>
        <w:t xml:space="preserve">, estando apto a usufruir do tratamento favorecido estabelecido em seus arts. 42 a 49, observado o disposto nos </w:t>
      </w:r>
      <w:r>
        <w:fldChar w:fldCharType="begin"/>
      </w:r>
      <w:r>
        <w:rPr>
          <w:rStyle w:val="LinkdaInternet"/>
          <w:szCs w:val="20"/>
          <w:rFonts w:cs="Arial"/>
        </w:rPr>
        <w:instrText xml:space="preserve">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p>
    <w:p>
      <w:pPr>
        <w:pStyle w:val="Ttulo1"/>
        <w:numPr>
          <w:ilvl w:val="0"/>
          <w:numId w:val="2"/>
        </w:numPr>
        <w:ind w:left="360" w:right="0" w:hanging="360"/>
        <w:rPr/>
      </w:pPr>
      <w:bookmarkStart w:id="6" w:name="_Toc142925864"/>
      <w:r>
        <w:rPr/>
        <w:t>FASE DE LANCES</w:t>
      </w:r>
      <w:bookmarkEnd w:id="6"/>
    </w:p>
    <w:p>
      <w:pPr>
        <w:pStyle w:val="ListParagraph"/>
        <w:numPr>
          <w:ilvl w:val="1"/>
          <w:numId w:val="2"/>
        </w:numPr>
        <w:spacing w:lineRule="auto" w:line="276" w:before="120" w:after="120"/>
        <w:ind w:left="716" w:right="0" w:hanging="432"/>
        <w:contextualSpacing/>
        <w:jc w:val="both"/>
        <w:rPr/>
      </w:pPr>
      <w:r>
        <w:rPr>
          <w:rFonts w:cs="Arial"/>
          <w:color w:val="000000"/>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szCs w:val="20"/>
          <w:lang w:eastAsia="en-US"/>
        </w:rPr>
        <w:t>sendo encerrado no horário de finalização de lances também já previsto neste aviso.</w:t>
      </w:r>
    </w:p>
    <w:p>
      <w:pPr>
        <w:pStyle w:val="ListParagraph"/>
        <w:numPr>
          <w:ilvl w:val="1"/>
          <w:numId w:val="2"/>
        </w:numPr>
        <w:spacing w:lineRule="auto" w:line="276" w:before="120" w:after="120"/>
        <w:ind w:left="716" w:right="0" w:hanging="432"/>
        <w:contextualSpacing/>
        <w:jc w:val="both"/>
        <w:rPr>
          <w:rFonts w:cs="Arial"/>
          <w:color w:val="000000"/>
          <w:szCs w:val="20"/>
        </w:rPr>
      </w:pPr>
      <w:r>
        <w:rPr>
          <w:rFonts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spacing w:lineRule="auto" w:line="276" w:before="120" w:after="120"/>
        <w:ind w:left="1224" w:right="0" w:hanging="504"/>
        <w:contextualSpacing/>
        <w:jc w:val="both"/>
        <w:rPr/>
      </w:pPr>
      <w:r>
        <w:rPr>
          <w:rFonts w:cs="Arial"/>
          <w:szCs w:val="20"/>
        </w:rPr>
        <w:t xml:space="preserve">O lance </w:t>
      </w:r>
      <w:r>
        <w:rPr>
          <w:rFonts w:cs="Arial"/>
          <w:color w:val="000000"/>
          <w:szCs w:val="20"/>
          <w:lang w:eastAsia="en-US"/>
        </w:rPr>
        <w:t>deverá</w:t>
      </w:r>
      <w:r>
        <w:rPr>
          <w:rFonts w:cs="Arial"/>
          <w:szCs w:val="20"/>
        </w:rPr>
        <w:t xml:space="preserve"> ser ofertado pelo </w:t>
      </w:r>
      <w:r>
        <w:rPr>
          <w:rFonts w:cs="Arial"/>
          <w:i/>
          <w:iCs/>
          <w:color w:val="111111"/>
          <w:szCs w:val="20"/>
        </w:rPr>
        <w:t xml:space="preserve">valor unitário </w:t>
      </w:r>
      <w:r>
        <w:rPr>
          <w:rFonts w:cs="Arial"/>
          <w:szCs w:val="20"/>
        </w:rPr>
        <w:t xml:space="preserve"> do item.</w:t>
      </w:r>
    </w:p>
    <w:p>
      <w:pPr>
        <w:pStyle w:val="Quote"/>
        <w:numPr>
          <w:ilvl w:val="1"/>
          <w:numId w:val="2"/>
        </w:numPr>
        <w:pBdr>
          <w:top w:val="nil"/>
          <w:left w:val="nil"/>
          <w:bottom w:val="nil"/>
          <w:right w:val="nil"/>
        </w:pBdr>
        <w:shd w:val="clear" w:fill="FFFFFF"/>
        <w:spacing w:lineRule="auto" w:line="276" w:before="120" w:after="120"/>
        <w:contextualSpacing/>
        <w:rPr>
          <w:rFonts w:cs="Arial"/>
          <w:i w:val="false"/>
          <w:i w:val="false"/>
          <w:iCs w:val="false"/>
          <w:color w:val="000000"/>
          <w:szCs w:val="20"/>
        </w:rPr>
      </w:pPr>
      <w:r>
        <w:rPr>
          <w:rFonts w:cs="Arial"/>
          <w:i w:val="false"/>
          <w:iCs w:val="false"/>
          <w:color w:val="000000"/>
          <w:szCs w:val="20"/>
        </w:rPr>
        <w:t>O fornecedor somente poderá oferecer valor inferior ou percentual de desconto superior ao último lance por ele ofertado e registrado pelo sistema.</w:t>
      </w:r>
    </w:p>
    <w:p>
      <w:pPr>
        <w:pStyle w:val="ListParagraph"/>
        <w:numPr>
          <w:ilvl w:val="2"/>
          <w:numId w:val="2"/>
        </w:numPr>
        <w:spacing w:lineRule="auto" w:line="276" w:before="120" w:after="120"/>
        <w:ind w:left="1224" w:right="0" w:hanging="504"/>
        <w:contextualSpacing/>
        <w:jc w:val="both"/>
        <w:rPr>
          <w:rFonts w:cs="Arial"/>
          <w:color w:val="000000"/>
          <w:szCs w:val="20"/>
          <w:lang w:eastAsia="en-US"/>
        </w:rPr>
      </w:pPr>
      <w:r>
        <w:rPr>
          <w:rFonts w:cs="Arial"/>
          <w:color w:val="000000"/>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spacing w:lineRule="auto" w:line="276" w:before="120" w:after="120"/>
        <w:ind w:left="1224" w:right="0" w:hanging="504"/>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111111"/>
          <w:szCs w:val="20"/>
        </w:rPr>
        <w:t>R$ 1,00</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Havendo lances iguais ao menor já ofertado, prevalecerá aquele que for recebido e registrado primeiro no sistema.</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Caso o fornecedor não apresente lances, concorrerá com o valor de sua proposta.</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Durante o procedimento, os fornecedores serão informados, em tempo real, do valor do menor lance ou do maior desconto registrado, vedada a identificação do fornecedor.</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spacing w:lineRule="auto" w:line="276" w:before="120" w:after="120"/>
        <w:ind w:left="1224" w:right="0" w:hanging="504"/>
        <w:contextualSpacing/>
        <w:jc w:val="both"/>
        <w:rPr>
          <w:rFonts w:cs="Arial"/>
          <w:color w:val="000000"/>
          <w:szCs w:val="20"/>
          <w:lang w:eastAsia="en-US"/>
        </w:rPr>
      </w:pPr>
      <w:r>
        <w:rPr>
          <w:rFonts w:cs="Arial"/>
          <w:color w:val="000000"/>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2"/>
        </w:numPr>
        <w:ind w:left="360" w:right="0" w:hanging="360"/>
        <w:rPr/>
      </w:pPr>
      <w:bookmarkStart w:id="7" w:name="_Toc142925865"/>
      <w:r>
        <w:rPr/>
        <w:t xml:space="preserve">JULGAMENTO E ACEITAÇÃO DAS PROPOSTAS </w:t>
      </w:r>
      <w:bookmarkEnd w:id="7"/>
    </w:p>
    <w:p>
      <w:pPr>
        <w:pStyle w:val="ListParagraph"/>
        <w:numPr>
          <w:ilvl w:val="1"/>
          <w:numId w:val="2"/>
        </w:numPr>
        <w:spacing w:lineRule="auto" w:line="276" w:before="120" w:after="120"/>
        <w:ind w:left="716" w:right="0" w:hanging="432"/>
        <w:contextualSpacing/>
        <w:jc w:val="both"/>
        <w:rPr/>
      </w:pPr>
      <w:r>
        <w:rPr>
          <w:rFonts w:cs="Arial"/>
        </w:rPr>
        <w:t xml:space="preserve">Encerrada a fase de lances, </w:t>
      </w:r>
      <w:r>
        <w:rPr/>
        <w:t>quando a</w:t>
      </w:r>
      <w:r>
        <w:rPr>
          <w:rFonts w:cs="Arial"/>
        </w:rPr>
        <w:t xml:space="preserve"> proposta do primeiro colocado permanecer acima do preço máximo ou abaixo do desconto definido para a contratação, o pregoeiro poderá negociar condições mais vantajosas. </w:t>
      </w:r>
    </w:p>
    <w:p>
      <w:pPr>
        <w:pStyle w:val="ListParagraph"/>
        <w:numPr>
          <w:ilvl w:val="2"/>
          <w:numId w:val="2"/>
        </w:numPr>
        <w:spacing w:lineRule="auto" w:line="276" w:before="120" w:after="120"/>
        <w:ind w:left="1224" w:right="0" w:hanging="504"/>
        <w:contextualSpacing/>
        <w:jc w:val="both"/>
        <w:rPr>
          <w:rFonts w:cs="Arial"/>
          <w:color w:val="000000"/>
          <w:szCs w:val="20"/>
        </w:rPr>
      </w:pPr>
      <w:r>
        <w:rPr>
          <w:rFonts w:cs="Arial"/>
          <w:color w:val="000000"/>
          <w:szCs w:val="20"/>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2"/>
        </w:numPr>
        <w:spacing w:lineRule="auto" w:line="276" w:before="120" w:after="120"/>
        <w:ind w:left="1224" w:right="0" w:hanging="504"/>
        <w:contextualSpacing/>
        <w:jc w:val="both"/>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2"/>
        </w:numPr>
        <w:spacing w:lineRule="auto" w:line="276" w:before="120" w:after="120"/>
        <w:ind w:left="716" w:right="0" w:hanging="432"/>
        <w:contextualSpacing/>
        <w:jc w:val="both"/>
        <w:rPr/>
      </w:pPr>
      <w:r>
        <w:rPr>
          <w:rFonts w:cs="Arial"/>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2"/>
        </w:numPr>
        <w:spacing w:lineRule="auto" w:line="276" w:before="120" w:after="120"/>
        <w:ind w:left="716" w:right="0" w:hanging="432"/>
        <w:contextualSpacing/>
        <w:jc w:val="both"/>
        <w:rPr/>
      </w:pPr>
      <w:r>
        <w:rPr>
          <w:rFonts w:cs="Arial"/>
        </w:rPr>
        <w:t>Constatada a compatibilidade entre o valor da proposta e o estipulado para a contratação, será solicitado ao fornecedor o envio d</w:t>
      </w:r>
      <w:r>
        <w:rPr/>
        <w:t xml:space="preserve">a proposta adequada ao último lance ofertado ou </w:t>
      </w:r>
      <w:r>
        <w:rPr>
          <w:rFonts w:cs="Arial"/>
        </w:rPr>
        <w:t xml:space="preserve">ao valor negociado, se for o caso, acompanhada dos documentos complementares, quando necessários. </w:t>
      </w:r>
    </w:p>
    <w:p>
      <w:pPr>
        <w:pStyle w:val="ListParagraph"/>
        <w:numPr>
          <w:ilvl w:val="1"/>
          <w:numId w:val="2"/>
        </w:numPr>
        <w:spacing w:lineRule="auto" w:line="276" w:before="120" w:after="120"/>
        <w:ind w:left="716" w:right="0" w:hanging="432"/>
        <w:contextualSpacing/>
        <w:jc w:val="both"/>
        <w:rPr/>
      </w:pPr>
      <w:r>
        <w:rPr>
          <w:rFonts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rPr>
        <w:fldChar w:fldCharType="begin"/>
      </w:r>
      <w:r>
        <w:rPr>
          <w:rFonts w:cs="Arial"/>
        </w:rPr>
        <w:instrText xml:space="preserve"> REF _Ref144286315 \r \h </w:instrText>
      </w:r>
      <w:r>
        <w:rPr>
          <w:rFonts w:cs="Arial"/>
        </w:rPr>
        <w:fldChar w:fldCharType="separate"/>
      </w:r>
      <w:r>
        <w:rPr>
          <w:rFonts w:cs="Arial"/>
        </w:rPr>
        <w:t>3.3</w:t>
      </w:r>
      <w:r>
        <w:rPr>
          <w:rFonts w:cs="Arial"/>
        </w:rPr>
        <w:fldChar w:fldCharType="end"/>
      </w:r>
      <w:r>
        <w:rPr>
          <w:rFonts w:cs="Arial"/>
        </w:rPr>
        <w:t xml:space="preserve"> e seguintes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pPr>
        <w:pStyle w:val="ListParagraph"/>
        <w:numPr>
          <w:ilvl w:val="2"/>
          <w:numId w:val="2"/>
        </w:numPr>
        <w:spacing w:lineRule="auto" w:line="276" w:before="120" w:after="120"/>
        <w:ind w:left="1224" w:right="0" w:hanging="504"/>
        <w:contextualSpacing/>
        <w:jc w:val="both"/>
        <w:rPr>
          <w:rFonts w:cs="Arial"/>
          <w:color w:val="000000"/>
          <w:szCs w:val="20"/>
        </w:rPr>
      </w:pPr>
      <w:r>
        <w:rPr>
          <w:rFonts w:cs="Arial"/>
          <w:color w:val="000000"/>
          <w:szCs w:val="20"/>
        </w:rPr>
        <w:t xml:space="preserve">SICAF;  </w:t>
      </w:r>
    </w:p>
    <w:p>
      <w:pPr>
        <w:pStyle w:val="ListParagraph"/>
        <w:numPr>
          <w:ilvl w:val="2"/>
          <w:numId w:val="2"/>
        </w:numPr>
        <w:spacing w:lineRule="auto" w:line="276" w:before="120" w:after="120"/>
        <w:ind w:left="1224" w:right="0" w:hanging="504"/>
        <w:contextualSpacing/>
        <w:jc w:val="both"/>
        <w:rPr>
          <w:rFonts w:cs="Arial"/>
          <w:color w:val="000000"/>
          <w:szCs w:val="20"/>
        </w:rPr>
      </w:pPr>
      <w:r>
        <w:rPr>
          <w:rFonts w:cs="Arial"/>
          <w:color w:val="000000"/>
          <w:szCs w:val="20"/>
        </w:rPr>
        <w:t xml:space="preserve">Cadastro Nacional de Empresas Inidôneas e Suspensas - CEIS, mantido pela Controladoria-Geral da União (https://www.portaltransparencia.gov.br/sancoes/ceis); e </w:t>
      </w:r>
    </w:p>
    <w:p>
      <w:pPr>
        <w:pStyle w:val="ListParagraph"/>
        <w:numPr>
          <w:ilvl w:val="2"/>
          <w:numId w:val="2"/>
        </w:numPr>
        <w:spacing w:lineRule="auto" w:line="276" w:before="120" w:after="120"/>
        <w:ind w:left="1224" w:right="0" w:hanging="504"/>
        <w:contextualSpacing/>
        <w:jc w:val="both"/>
        <w:rPr/>
      </w:pPr>
      <w:r>
        <w:rPr>
          <w:rFonts w:cs="Arial"/>
          <w:color w:val="000000"/>
          <w:szCs w:val="20"/>
        </w:rPr>
        <w:t>Cadastro Nacional de Empresas Punidas – CNEP, mantido pela Controladoria-Geral da União (https://www.portaltransparencia</w:t>
      </w:r>
      <w:r>
        <w:rPr>
          <w:rFonts w:cs="Arial"/>
        </w:rPr>
        <w:t xml:space="preserve">.gov.br/sancoes/cnep). </w:t>
      </w:r>
    </w:p>
    <w:p>
      <w:pPr>
        <w:pStyle w:val="ListParagraph"/>
        <w:numPr>
          <w:ilvl w:val="1"/>
          <w:numId w:val="2"/>
        </w:numPr>
        <w:spacing w:lineRule="auto" w:line="276" w:before="120" w:after="120"/>
        <w:ind w:left="716" w:right="0" w:hanging="432"/>
        <w:contextualSpacing/>
        <w:jc w:val="both"/>
        <w:rPr>
          <w:rFonts w:cs="Arial"/>
        </w:rPr>
      </w:pPr>
      <w:r>
        <w:rPr>
          <w:rFonts w:cs="Arial"/>
        </w:rPr>
        <w:t>A consulta aos cadastros será realizada em nome da empresa fornecedora e também de seu sócio majoritário, por força da vedação de que trata o artigo 12 da Lei n° 8.429, de 1992.</w:t>
      </w:r>
    </w:p>
    <w:p>
      <w:pPr>
        <w:pStyle w:val="ListParagraph"/>
        <w:numPr>
          <w:ilvl w:val="1"/>
          <w:numId w:val="2"/>
        </w:numPr>
        <w:spacing w:lineRule="auto" w:line="276" w:before="120" w:after="120"/>
        <w:ind w:left="716" w:right="0" w:hanging="432"/>
        <w:contextualSpacing/>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pPr>
        <w:pStyle w:val="ListParagraph"/>
        <w:numPr>
          <w:ilvl w:val="2"/>
          <w:numId w:val="2"/>
        </w:numPr>
        <w:spacing w:lineRule="auto" w:line="276" w:before="120" w:after="120"/>
        <w:ind w:left="1224" w:right="0" w:hanging="504"/>
        <w:contextualSpacing/>
        <w:jc w:val="both"/>
        <w:rPr/>
      </w:pPr>
      <w:r>
        <w:rPr>
          <w:rFonts w:cs="Arial"/>
        </w:rPr>
        <w:t xml:space="preserve">A tentativa de burla será verificada por meio dos vínculos societários, linhas de fornecimento </w:t>
      </w:r>
      <w:r>
        <w:rPr>
          <w:rFonts w:cs="Arial"/>
          <w:color w:val="000000"/>
          <w:szCs w:val="20"/>
        </w:rPr>
        <w:t>similares</w:t>
      </w:r>
      <w:r>
        <w:rPr>
          <w:rFonts w:cs="Arial"/>
        </w:rPr>
        <w:t>, dentre outros. (IN nº 3/2018, art. 29, §1º).</w:t>
      </w:r>
    </w:p>
    <w:p>
      <w:pPr>
        <w:pStyle w:val="ListParagraph"/>
        <w:numPr>
          <w:ilvl w:val="2"/>
          <w:numId w:val="2"/>
        </w:numPr>
        <w:spacing w:lineRule="auto" w:line="276" w:before="120" w:after="120"/>
        <w:ind w:left="1224" w:right="0" w:hanging="504"/>
        <w:contextualSpacing/>
        <w:jc w:val="both"/>
        <w:rPr/>
      </w:pPr>
      <w:r>
        <w:rPr>
          <w:rFonts w:cs="Arial"/>
        </w:rPr>
        <w:t xml:space="preserve">O </w:t>
      </w:r>
      <w:r>
        <w:rPr>
          <w:rFonts w:cs="Arial"/>
          <w:color w:val="000000"/>
          <w:szCs w:val="20"/>
        </w:rPr>
        <w:t>fornecedor</w:t>
      </w:r>
      <w:r>
        <w:rPr>
          <w:rFonts w:cs="Arial"/>
        </w:rPr>
        <w:t xml:space="preserve"> </w:t>
      </w:r>
      <w:r>
        <w:rPr>
          <w:rFonts w:cs="Arial"/>
          <w:color w:val="000000"/>
          <w:szCs w:val="20"/>
        </w:rPr>
        <w:t>será</w:t>
      </w:r>
      <w:r>
        <w:rPr>
          <w:rFonts w:cs="Arial"/>
        </w:rPr>
        <w:t xml:space="preserve"> convocado para manifestação previamente a uma eventual desclassificação. (IN nº 3/2018, art. 29, §2º).</w:t>
      </w:r>
    </w:p>
    <w:p>
      <w:pPr>
        <w:pStyle w:val="ListParagraph"/>
        <w:numPr>
          <w:ilvl w:val="2"/>
          <w:numId w:val="2"/>
        </w:numPr>
        <w:spacing w:lineRule="auto" w:line="276" w:before="120" w:after="120"/>
        <w:ind w:left="1224" w:right="0" w:hanging="504"/>
        <w:contextualSpacing/>
        <w:jc w:val="both"/>
        <w:rPr/>
      </w:pPr>
      <w:r>
        <w:rPr>
          <w:rFonts w:cs="Arial"/>
        </w:rPr>
        <w:t xml:space="preserve">Constatada a existência de sanção, o </w:t>
      </w:r>
      <w:r>
        <w:rPr>
          <w:rFonts w:cs="Arial"/>
          <w:color w:val="000000"/>
          <w:szCs w:val="20"/>
        </w:rPr>
        <w:t>fornecedor</w:t>
      </w:r>
      <w:r>
        <w:rPr>
          <w:rFonts w:cs="Arial"/>
        </w:rPr>
        <w:t xml:space="preserve"> será reputado inabilitado, por falta de condição de participação.</w:t>
      </w:r>
    </w:p>
    <w:p>
      <w:pPr>
        <w:pStyle w:val="ListParagraph"/>
        <w:numPr>
          <w:ilvl w:val="1"/>
          <w:numId w:val="2"/>
        </w:numPr>
        <w:spacing w:lineRule="auto" w:line="276" w:before="120" w:after="120"/>
        <w:ind w:left="716" w:right="0" w:hanging="432"/>
        <w:contextualSpacing/>
        <w:jc w:val="both"/>
        <w:rPr>
          <w:rFonts w:cs="Arial"/>
        </w:rPr>
      </w:pPr>
      <w:r>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 xml:space="preserve">Será desclassificada a proposta vencedora que: </w:t>
      </w:r>
    </w:p>
    <w:p>
      <w:pPr>
        <w:pStyle w:val="ListParagraph"/>
        <w:numPr>
          <w:ilvl w:val="2"/>
          <w:numId w:val="2"/>
        </w:numPr>
        <w:spacing w:lineRule="auto" w:line="276" w:before="120" w:after="120"/>
        <w:ind w:left="1224" w:right="0" w:hanging="504"/>
        <w:contextualSpacing/>
        <w:jc w:val="both"/>
        <w:rPr/>
      </w:pPr>
      <w:r>
        <w:rPr>
          <w:rFonts w:cs="Arial"/>
          <w:color w:val="000000"/>
          <w:szCs w:val="20"/>
        </w:rPr>
        <w:t>contiver vícios insanáveis</w:t>
      </w:r>
      <w:r>
        <w:rPr>
          <w:rFonts w:cs="Arial"/>
          <w:iCs/>
          <w:color w:val="000000"/>
          <w:szCs w:val="20"/>
        </w:rPr>
        <w:t>;</w:t>
      </w:r>
    </w:p>
    <w:p>
      <w:pPr>
        <w:pStyle w:val="ListParagraph"/>
        <w:numPr>
          <w:ilvl w:val="2"/>
          <w:numId w:val="2"/>
        </w:numPr>
        <w:spacing w:lineRule="auto" w:line="276" w:before="120" w:after="120"/>
        <w:ind w:left="1224" w:right="0" w:hanging="504"/>
        <w:contextualSpacing/>
        <w:jc w:val="both"/>
        <w:rPr/>
      </w:pPr>
      <w:r>
        <w:rPr>
          <w:rFonts w:cs="Arial"/>
          <w:color w:val="000000"/>
          <w:szCs w:val="20"/>
        </w:rPr>
        <w:t>não obedecer às especificações técnicas pormenorizadas neste aviso ou em seus anexos</w:t>
      </w:r>
      <w:r>
        <w:rPr>
          <w:rFonts w:cs="Arial"/>
          <w:iCs/>
          <w:color w:val="000000"/>
          <w:szCs w:val="20"/>
        </w:rPr>
        <w:t>;</w:t>
      </w:r>
    </w:p>
    <w:p>
      <w:pPr>
        <w:pStyle w:val="ListParagraph"/>
        <w:numPr>
          <w:ilvl w:val="2"/>
          <w:numId w:val="2"/>
        </w:numPr>
        <w:spacing w:lineRule="auto" w:line="276" w:before="120" w:after="120"/>
        <w:ind w:left="1224" w:right="0" w:hanging="504"/>
        <w:contextualSpacing/>
        <w:jc w:val="both"/>
        <w:rPr/>
      </w:pPr>
      <w:r>
        <w:rPr>
          <w:rFonts w:cs="Arial"/>
          <w:szCs w:val="20"/>
        </w:rPr>
        <w:t>apresentar preços inexequíveis</w:t>
      </w:r>
      <w:r>
        <w:rPr>
          <w:rFonts w:cs="Arial"/>
          <w:color w:val="FF0000"/>
          <w:szCs w:val="20"/>
        </w:rPr>
        <w:t xml:space="preserve"> </w:t>
      </w:r>
      <w:r>
        <w:rPr>
          <w:rFonts w:cs="Arial"/>
          <w:color w:val="111111"/>
          <w:szCs w:val="20"/>
        </w:rPr>
        <w:t>ou que permanecerem acima do preço máximo definido para a contratação;</w:t>
      </w:r>
    </w:p>
    <w:p>
      <w:pPr>
        <w:pStyle w:val="ListParagraph"/>
        <w:numPr>
          <w:ilvl w:val="2"/>
          <w:numId w:val="2"/>
        </w:numPr>
        <w:spacing w:lineRule="auto" w:line="276" w:before="120" w:after="120"/>
        <w:ind w:left="1224" w:right="0" w:hanging="504"/>
        <w:contextualSpacing/>
        <w:jc w:val="both"/>
        <w:rPr/>
      </w:pPr>
      <w:r>
        <w:rPr>
          <w:rFonts w:cs="Arial"/>
          <w:color w:val="000000"/>
          <w:szCs w:val="20"/>
        </w:rPr>
        <w:t>não tiver sua exequibilidade demonstrada, quando exigido pela Administração</w:t>
      </w:r>
      <w:r>
        <w:rPr>
          <w:rFonts w:cs="Arial"/>
          <w:iCs/>
          <w:color w:val="000000"/>
          <w:szCs w:val="20"/>
        </w:rPr>
        <w:t>;</w:t>
      </w:r>
    </w:p>
    <w:p>
      <w:pPr>
        <w:pStyle w:val="ListParagraph"/>
        <w:numPr>
          <w:ilvl w:val="2"/>
          <w:numId w:val="2"/>
        </w:numPr>
        <w:spacing w:lineRule="auto" w:line="276" w:before="120" w:after="120"/>
        <w:ind w:left="1224" w:right="0" w:hanging="504"/>
        <w:contextualSpacing/>
        <w:jc w:val="both"/>
        <w:rPr>
          <w:rFonts w:cs="Arial"/>
          <w:color w:val="000000"/>
          <w:szCs w:val="20"/>
        </w:rPr>
      </w:pPr>
      <w:r>
        <w:rPr>
          <w:rFonts w:cs="Arial"/>
          <w:color w:val="000000"/>
          <w:szCs w:val="20"/>
        </w:rPr>
        <w:t>apresentar desconformidade com quaisquer outras exigências deste aviso ou seus anexos, desde que insanável.</w:t>
      </w:r>
    </w:p>
    <w:p>
      <w:pPr>
        <w:pStyle w:val="ListParagraph"/>
        <w:numPr>
          <w:ilvl w:val="1"/>
          <w:numId w:val="2"/>
        </w:numPr>
        <w:spacing w:lineRule="auto" w:line="276" w:before="120" w:after="120"/>
        <w:ind w:left="716" w:right="0" w:hanging="432"/>
        <w:contextualSpacing/>
        <w:jc w:val="both"/>
        <w:rPr/>
      </w:pPr>
      <w:r>
        <w:rPr>
          <w:rFonts w:cs="Arial"/>
          <w:color w:val="000000"/>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spacing w:lineRule="auto" w:line="276" w:before="120" w:after="120"/>
        <w:ind w:left="1224" w:right="0" w:hanging="504"/>
        <w:contextualSpacing/>
        <w:jc w:val="both"/>
        <w:rPr>
          <w:rFonts w:cs="Arial"/>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spacing w:lineRule="auto" w:line="276" w:before="120" w:after="120"/>
        <w:ind w:left="1224" w:right="0" w:hanging="504"/>
        <w:contextualSpacing/>
        <w:jc w:val="both"/>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spacing w:lineRule="auto" w:line="276" w:before="120" w:after="120"/>
        <w:ind w:left="716" w:right="-15" w:hanging="432"/>
        <w:contextualSpacing/>
        <w:jc w:val="both"/>
        <w:rPr/>
      </w:pPr>
      <w:r>
        <w:rPr>
          <w:rFonts w:cs="Arial"/>
          <w:color w:val="000000"/>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szCs w:val="20"/>
          <w:lang w:eastAsia="en-US"/>
        </w:rPr>
        <w:t xml:space="preserve">, poderão ser efetuadas diligências, para que o fornecedor comprove a exequibilidade da proposta.  </w:t>
      </w:r>
    </w:p>
    <w:p>
      <w:pPr>
        <w:pStyle w:val="ListParagraph"/>
        <w:numPr>
          <w:ilvl w:val="1"/>
          <w:numId w:val="2"/>
        </w:numPr>
        <w:spacing w:lineRule="auto" w:line="276" w:before="120" w:after="120"/>
        <w:ind w:left="716" w:right="0" w:hanging="432"/>
        <w:contextualSpacing/>
        <w:jc w:val="both"/>
        <w:rPr/>
      </w:pPr>
      <w:r>
        <w:rPr>
          <w:rFonts w:cs="Arial"/>
          <w:color w:val="000000"/>
          <w:szCs w:val="20"/>
          <w:lang w:eastAsia="en-US"/>
        </w:rPr>
        <w:t xml:space="preserve">Erros no preenchimento da planilha não constituem motivo para a desclassificação da proposta. A planilha </w:t>
      </w:r>
      <w:r>
        <w:rPr>
          <w:rFonts w:cs="Arial"/>
          <w:szCs w:val="20"/>
        </w:rPr>
        <w:t>poderá</w:t>
      </w:r>
      <w:r>
        <w:rPr>
          <w:rFonts w:cs="Arial"/>
          <w:color w:val="000000"/>
          <w:szCs w:val="20"/>
          <w:lang w:eastAsia="en-US"/>
        </w:rPr>
        <w:t xml:space="preserve"> ser ajustada pelo fornecedor, no prazo indicado pelo sistema, desde que não haja majoração do preço.</w:t>
      </w:r>
    </w:p>
    <w:p>
      <w:pPr>
        <w:pStyle w:val="ListParagraph"/>
        <w:numPr>
          <w:ilvl w:val="2"/>
          <w:numId w:val="2"/>
        </w:numPr>
        <w:spacing w:lineRule="auto" w:line="276" w:before="120" w:after="120"/>
        <w:ind w:left="1224" w:right="0" w:hanging="504"/>
        <w:contextualSpacing/>
        <w:jc w:val="both"/>
        <w:rPr>
          <w:rFonts w:cs="Arial"/>
          <w:color w:val="000000"/>
          <w:szCs w:val="20"/>
          <w:lang w:eastAsia="en-US"/>
        </w:rPr>
      </w:pPr>
      <w:r>
        <w:rPr>
          <w:rFonts w:cs="Arial"/>
          <w:color w:val="000000"/>
          <w:szCs w:val="20"/>
          <w:lang w:eastAsia="en-US"/>
        </w:rPr>
        <w:t>O ajuste de que trata este dispositivo se limita a sanar erros ou falhas que não alterem a substância das propostas;</w:t>
      </w:r>
    </w:p>
    <w:p>
      <w:pPr>
        <w:pStyle w:val="ListParagraph"/>
        <w:numPr>
          <w:ilvl w:val="2"/>
          <w:numId w:val="2"/>
        </w:numPr>
        <w:spacing w:lineRule="auto" w:line="276" w:before="120" w:after="120"/>
        <w:ind w:left="1224" w:right="0" w:hanging="504"/>
        <w:contextualSpacing/>
        <w:jc w:val="both"/>
        <w:rPr>
          <w:rFonts w:cs="Arial"/>
          <w:color w:val="000000"/>
          <w:szCs w:val="20"/>
          <w:lang w:eastAsia="en-US"/>
        </w:rPr>
      </w:pPr>
      <w:r>
        <w:rPr>
          <w:rFonts w:cs="Arial"/>
          <w:color w:val="000000"/>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Se a proposta ou lance vencedor for desclassificado, será examinada a proposta ou lance subsequente, e, assim sucessivamente, na ordem de classificação.</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Havendo necessidade, a sessão será suspensa, informando-se no “chat” a nova data e horário para a sua continuidade.</w:t>
      </w:r>
    </w:p>
    <w:p>
      <w:pPr>
        <w:pStyle w:val="ListParagraph"/>
        <w:numPr>
          <w:ilvl w:val="1"/>
          <w:numId w:val="2"/>
        </w:numPr>
        <w:spacing w:lineRule="auto" w:line="276" w:before="120" w:after="120"/>
        <w:ind w:left="716" w:right="0" w:hanging="432"/>
        <w:contextualSpacing/>
        <w:jc w:val="both"/>
        <w:rPr>
          <w:rFonts w:cs="Arial"/>
          <w:color w:val="000000"/>
          <w:szCs w:val="20"/>
          <w:lang w:eastAsia="en-US"/>
        </w:rPr>
      </w:pPr>
      <w:r>
        <w:rPr>
          <w:rFonts w:cs="Arial"/>
          <w:color w:val="000000"/>
          <w:szCs w:val="20"/>
          <w:lang w:eastAsia="en-US"/>
        </w:rPr>
        <w:t>Encerrada a análise quanto à aceitação da proposta, será iniciada a fase de habilitação, observado o disposto neste Aviso de Contratação Direta. </w:t>
      </w:r>
    </w:p>
    <w:p>
      <w:pPr>
        <w:pStyle w:val="Ttulo1"/>
        <w:numPr>
          <w:ilvl w:val="0"/>
          <w:numId w:val="2"/>
        </w:numPr>
        <w:ind w:left="360" w:right="0" w:hanging="360"/>
        <w:rPr/>
      </w:pPr>
      <w:bookmarkStart w:id="8" w:name="_Toc142925866"/>
      <w:r>
        <w:rPr/>
        <w:t>HABILITAÇÃO</w:t>
      </w:r>
      <w:bookmarkEnd w:id="8"/>
    </w:p>
    <w:p>
      <w:pPr>
        <w:pStyle w:val="Normal"/>
        <w:numPr>
          <w:ilvl w:val="1"/>
          <w:numId w:val="2"/>
        </w:numPr>
        <w:spacing w:lineRule="auto" w:line="276" w:before="120" w:after="120"/>
        <w:contextualSpacing/>
        <w:jc w:val="both"/>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w:t>
      </w:r>
      <w:r>
        <w:rPr>
          <w:rFonts w:cs="Arial"/>
          <w:b/>
          <w:szCs w:val="20"/>
          <w:lang w:eastAsia="ar-SA"/>
        </w:rPr>
        <w:t>nos termos dos arts. 62 a 70 da Lei nº 14.133, de 2021,</w:t>
      </w:r>
      <w:r>
        <w:rPr>
          <w:rFonts w:cs="Arial"/>
          <w:szCs w:val="20"/>
          <w:lang w:eastAsia="ar-SA"/>
        </w:rPr>
        <w:t xml:space="preserve"> constam do Termo de Referência e serão solicitados do fornecedor mais bem classificado na fase de lances.</w:t>
      </w:r>
    </w:p>
    <w:p>
      <w:pPr>
        <w:pStyle w:val="Normal"/>
        <w:numPr>
          <w:ilvl w:val="1"/>
          <w:numId w:val="2"/>
        </w:numPr>
        <w:spacing w:lineRule="auto" w:line="276" w:before="120" w:after="120"/>
        <w:contextualSpacing/>
        <w:jc w:val="both"/>
        <w:rPr/>
      </w:pPr>
      <w:r>
        <w:rPr>
          <w:rFonts w:cs="Arial"/>
          <w:szCs w:val="20"/>
        </w:rPr>
        <w:t>A habilitação dos fornecedores será verificada por meio do SICAF, nos documentos por ele abrangidos</w:t>
      </w:r>
      <w:r>
        <w:rPr>
          <w:rFonts w:cs="Arial"/>
          <w:color w:val="000000"/>
          <w:szCs w:val="20"/>
        </w:rPr>
        <w:t>.</w:t>
      </w:r>
    </w:p>
    <w:p>
      <w:pPr>
        <w:pStyle w:val="Normal"/>
        <w:numPr>
          <w:ilvl w:val="2"/>
          <w:numId w:val="2"/>
        </w:numPr>
        <w:spacing w:lineRule="auto" w:line="276" w:before="120" w:after="120"/>
        <w:contextualSpacing/>
        <w:jc w:val="both"/>
        <w:rPr>
          <w:rFonts w:cs="Arial"/>
          <w:color w:val="000000"/>
          <w:szCs w:val="20"/>
        </w:rPr>
      </w:pPr>
      <w:r>
        <w:rPr>
          <w:rFonts w:cs="Arial"/>
          <w:color w:val="000000"/>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2"/>
        </w:numPr>
        <w:spacing w:lineRule="auto" w:line="276" w:before="120" w:after="120"/>
        <w:contextualSpacing/>
        <w:jc w:val="both"/>
        <w:rPr>
          <w:rFonts w:cs="Arial"/>
          <w:color w:val="000000"/>
          <w:szCs w:val="20"/>
        </w:rPr>
      </w:pPr>
      <w:r>
        <w:rPr>
          <w:rFonts w:cs="Arial"/>
          <w:color w:val="000000"/>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2"/>
        </w:numPr>
        <w:spacing w:lineRule="auto" w:line="276" w:before="120" w:after="120"/>
        <w:contextualSpacing/>
        <w:jc w:val="both"/>
        <w:rPr/>
      </w:pPr>
      <w:r>
        <w:rPr>
          <w:rFonts w:cs="Arial"/>
          <w:color w:val="00000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szCs w:val="20"/>
        </w:rPr>
        <w:t xml:space="preserve"> sob pena de inabilitação. (</w:t>
      </w:r>
      <w:r>
        <w:fldChar w:fldCharType="begin"/>
      </w:r>
      <w:r>
        <w:rPr>
          <w:rStyle w:val="LinkdaInternet"/>
          <w:szCs w:val="20"/>
          <w:rFonts w:cs="Arial"/>
        </w:rPr>
        <w:instrText xml:space="preserve">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szCs w:val="20"/>
        </w:rPr>
        <w:t>).</w:t>
      </w:r>
    </w:p>
    <w:p>
      <w:pPr>
        <w:pStyle w:val="Normal"/>
        <w:numPr>
          <w:ilvl w:val="1"/>
          <w:numId w:val="2"/>
        </w:numPr>
        <w:spacing w:lineRule="auto" w:line="276" w:before="120" w:after="120"/>
        <w:contextualSpacing/>
        <w:jc w:val="both"/>
        <w:rPr>
          <w:rFonts w:cs="Arial"/>
          <w:color w:val="000000"/>
          <w:szCs w:val="20"/>
        </w:rPr>
      </w:pPr>
      <w:r>
        <w:rPr>
          <w:rFonts w:cs="Arial"/>
          <w:color w:val="000000"/>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2"/>
        </w:numPr>
        <w:spacing w:lineRule="auto" w:line="276" w:before="120" w:after="120"/>
        <w:contextualSpacing/>
        <w:jc w:val="both"/>
        <w:rPr>
          <w:rFonts w:cs="Arial"/>
          <w:color w:val="000000"/>
          <w:szCs w:val="20"/>
        </w:rPr>
      </w:pPr>
      <w:r>
        <w:rPr>
          <w:rFonts w:cs="Arial"/>
          <w:color w:val="000000"/>
          <w:szCs w:val="20"/>
        </w:rPr>
        <w:t>Não serão aceitos documentos de habilitação com indicação de CNPJ/CPF diferentes, salvo aqueles legalmente permitidos.</w:t>
      </w:r>
    </w:p>
    <w:p>
      <w:pPr>
        <w:pStyle w:val="Normal"/>
        <w:numPr>
          <w:ilvl w:val="1"/>
          <w:numId w:val="2"/>
        </w:numPr>
        <w:spacing w:lineRule="auto" w:line="276" w:before="120" w:after="120"/>
        <w:contextualSpacing/>
        <w:jc w:val="both"/>
        <w:rPr>
          <w:rFonts w:cs="Arial"/>
          <w:color w:val="000000"/>
          <w:szCs w:val="20"/>
        </w:rPr>
      </w:pPr>
      <w:r>
        <w:rPr>
          <w:rFonts w:cs="Arial"/>
          <w:color w:val="00000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2"/>
        </w:numPr>
        <w:spacing w:lineRule="auto" w:line="276" w:before="120" w:after="120"/>
        <w:contextualSpacing/>
        <w:jc w:val="both"/>
        <w:rPr/>
      </w:pPr>
      <w:r>
        <w:rPr>
          <w:rFonts w:cs="Arial"/>
          <w:color w:val="000000"/>
          <w:szCs w:val="20"/>
        </w:rPr>
        <w:t xml:space="preserve">Serão aceitos registros de CNPJ de fornecedor matriz e filial com diferenças de números de documentos pertinentes ao CND e ao CRF/FGTS, quando for comprovada </w:t>
      </w:r>
      <w:r>
        <w:rPr>
          <w:rFonts w:cs="Arial"/>
          <w:color w:val="111111"/>
          <w:szCs w:val="20"/>
        </w:rPr>
        <w:t>a centralização do recolhimento dessas contribuições.</w:t>
      </w:r>
    </w:p>
    <w:p>
      <w:pPr>
        <w:pStyle w:val="Normal"/>
        <w:numPr>
          <w:ilvl w:val="1"/>
          <w:numId w:val="2"/>
        </w:numPr>
        <w:spacing w:lineRule="auto" w:line="276" w:before="120" w:after="120"/>
        <w:contextualSpacing/>
        <w:jc w:val="both"/>
        <w:rPr>
          <w:rFonts w:cs="Arial"/>
          <w:i/>
          <w:i/>
          <w:color w:val="111111"/>
          <w:szCs w:val="20"/>
        </w:rPr>
      </w:pPr>
      <w:r>
        <w:rPr>
          <w:rFonts w:cs="Arial"/>
          <w:i/>
          <w:color w:val="11111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numPr>
          <w:ilvl w:val="2"/>
          <w:numId w:val="2"/>
        </w:numPr>
        <w:spacing w:lineRule="auto" w:line="276" w:before="120" w:after="120"/>
        <w:contextualSpacing/>
        <w:jc w:val="both"/>
        <w:rPr>
          <w:rFonts w:cs="Arial"/>
          <w:i/>
          <w:i/>
          <w:color w:val="111111"/>
          <w:szCs w:val="20"/>
        </w:rPr>
      </w:pPr>
      <w:r>
        <w:rPr>
          <w:rFonts w:cs="Arial"/>
          <w:i/>
          <w:color w:val="111111"/>
          <w:szCs w:val="20"/>
        </w:rPr>
        <w:t>Não havendo a comprovação cumulativa dos requisitos de habilitação, a inabilitação recairá sobre o(s) item(ns) de menor(es) valor(es) cuja retirada(s) seja(m) suficiente(s) para a habilitação do fornecedor nos remanescentes.</w:t>
      </w:r>
    </w:p>
    <w:p>
      <w:pPr>
        <w:pStyle w:val="Normal"/>
        <w:spacing w:lineRule="auto" w:line="276" w:before="120" w:after="120"/>
        <w:ind w:left="1224" w:right="0" w:hanging="0"/>
        <w:contextualSpacing/>
        <w:jc w:val="both"/>
        <w:rPr>
          <w:rFonts w:cs="Arial"/>
          <w:i/>
          <w:i/>
          <w:color w:val="FF0000"/>
          <w:szCs w:val="20"/>
        </w:rPr>
      </w:pPr>
      <w:r>
        <w:rPr>
          <w:rFonts w:cs="Arial"/>
          <w:i/>
          <w:color w:val="FF0000"/>
          <w:szCs w:val="20"/>
        </w:rPr>
      </w:r>
    </w:p>
    <w:p>
      <w:pPr>
        <w:pStyle w:val="Normal"/>
        <w:numPr>
          <w:ilvl w:val="1"/>
          <w:numId w:val="2"/>
        </w:numPr>
        <w:spacing w:lineRule="auto" w:line="276" w:before="120" w:after="120"/>
        <w:contextualSpacing/>
        <w:jc w:val="both"/>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2"/>
        </w:numPr>
        <w:spacing w:lineRule="auto" w:line="276" w:before="120" w:after="120"/>
        <w:contextualSpacing/>
        <w:jc w:val="both"/>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2"/>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2"/>
        </w:numPr>
        <w:spacing w:lineRule="auto" w:line="276" w:before="120" w:after="120"/>
        <w:contextualSpacing/>
        <w:jc w:val="both"/>
        <w:rPr>
          <w:rFonts w:cs="Arial"/>
          <w:iCs/>
        </w:rPr>
      </w:pPr>
      <w:r>
        <w:rPr>
          <w:rFonts w:cs="Arial"/>
          <w:iCs/>
        </w:rPr>
        <w:t>Constatado o atendimento às exigências de habilitação, o fornecedor será habilitado.</w:t>
      </w:r>
    </w:p>
    <w:p>
      <w:pPr>
        <w:pStyle w:val="Nivel01"/>
        <w:numPr>
          <w:ilvl w:val="0"/>
          <w:numId w:val="2"/>
        </w:numPr>
        <w:ind w:left="360" w:right="-15" w:hanging="360"/>
        <w:rPr/>
      </w:pPr>
      <w:bookmarkStart w:id="9" w:name="_Toc142925868"/>
      <w:r>
        <w:rPr>
          <w:b/>
          <w:bCs w:val="false"/>
          <w:i/>
          <w:iCs/>
          <w:shd w:fill="FFFFFF" w:val="clear"/>
        </w:rPr>
        <w:t>FORMAÇÃO DO CADASTRO DE RESERVA</w:t>
      </w:r>
      <w:bookmarkEnd w:id="9"/>
      <w:r>
        <w:rPr>
          <w:b/>
          <w:bCs w:val="false"/>
          <w:i/>
          <w:iCs/>
          <w:shd w:fill="FFFFFF" w:val="clear"/>
        </w:rPr>
        <w:t xml:space="preserve"> </w:t>
      </w:r>
    </w:p>
    <w:p>
      <w:pPr>
        <w:pStyle w:val="Normal"/>
        <w:numPr>
          <w:ilvl w:val="1"/>
          <w:numId w:val="2"/>
        </w:numPr>
        <w:spacing w:lineRule="auto" w:line="276" w:before="120" w:after="120"/>
        <w:ind w:left="425" w:right="0" w:hanging="0"/>
        <w:jc w:val="both"/>
        <w:rPr>
          <w:i/>
          <w:i/>
          <w:iCs/>
          <w:highlight w:val="white"/>
        </w:rPr>
      </w:pPr>
      <w:r>
        <w:rPr>
          <w:i/>
          <w:iCs/>
          <w:shd w:fill="FFFFFF" w:val="clear"/>
        </w:rPr>
        <w:t>Após a homologação do procedimento, será incluído na ata, na forma de anexo, o registro:</w:t>
      </w:r>
    </w:p>
    <w:p>
      <w:pPr>
        <w:pStyle w:val="ListParagraph"/>
        <w:numPr>
          <w:ilvl w:val="2"/>
          <w:numId w:val="6"/>
        </w:numPr>
        <w:spacing w:lineRule="auto" w:line="276" w:before="120" w:after="120"/>
        <w:ind w:left="1144" w:right="0" w:hanging="720"/>
        <w:contextualSpacing/>
        <w:jc w:val="both"/>
        <w:rPr/>
      </w:pPr>
      <w:r>
        <w:rPr>
          <w:i/>
          <w:iCs/>
          <w:shd w:fill="FFFFFF" w:val="clear"/>
        </w:rPr>
        <w:t xml:space="preserve">dos fornecedores </w:t>
      </w:r>
      <w:bookmarkStart w:id="10" w:name="_Hlk132991372"/>
      <w:r>
        <w:rPr>
          <w:i/>
          <w:iCs/>
          <w:shd w:fill="FFFFFF" w:val="clear"/>
        </w:rPr>
        <w:t xml:space="preserve">que </w:t>
      </w:r>
      <w:bookmarkStart w:id="11" w:name="_Hlk132989696"/>
      <w:r>
        <w:rPr>
          <w:i/>
          <w:iCs/>
          <w:shd w:fill="FFFFFF" w:val="clear"/>
        </w:rPr>
        <w:t>aceitarem cotar o objeto com preço igual ao do adjudicatári</w:t>
      </w:r>
      <w:bookmarkEnd w:id="10"/>
      <w:r>
        <w:rPr>
          <w:i/>
          <w:iCs/>
          <w:shd w:fill="FFFFFF" w:val="clear"/>
        </w:rPr>
        <w:t>o</w:t>
      </w:r>
      <w:bookmarkEnd w:id="11"/>
      <w:r>
        <w:rPr>
          <w:i/>
          <w:iCs/>
          <w:shd w:fill="FFFFFF" w:val="clear"/>
        </w:rPr>
        <w:t xml:space="preserve">, observada a classificação no procedimento; e </w:t>
      </w:r>
    </w:p>
    <w:p>
      <w:pPr>
        <w:pStyle w:val="ListParagraph"/>
        <w:numPr>
          <w:ilvl w:val="2"/>
          <w:numId w:val="6"/>
        </w:numPr>
        <w:spacing w:lineRule="auto" w:line="276" w:before="120" w:after="120"/>
        <w:ind w:left="1144" w:right="0" w:hanging="720"/>
        <w:contextualSpacing/>
        <w:jc w:val="both"/>
        <w:rPr>
          <w:i/>
          <w:i/>
          <w:iCs/>
          <w:highlight w:val="white"/>
        </w:rPr>
      </w:pPr>
      <w:r>
        <w:rPr>
          <w:i/>
          <w:iCs/>
          <w:shd w:fill="FFFFFF" w:val="clear"/>
        </w:rPr>
        <w:t>dos fornecedores que mantiverem sua proposta original.</w:t>
      </w:r>
    </w:p>
    <w:p>
      <w:pPr>
        <w:pStyle w:val="Normal"/>
        <w:numPr>
          <w:ilvl w:val="1"/>
          <w:numId w:val="2"/>
        </w:numPr>
        <w:spacing w:lineRule="auto" w:line="276" w:before="120" w:after="120"/>
        <w:ind w:left="425" w:right="0" w:hanging="0"/>
        <w:jc w:val="both"/>
        <w:rPr>
          <w:i/>
          <w:i/>
          <w:iCs/>
          <w:highlight w:val="white"/>
        </w:rPr>
      </w:pPr>
      <w:r>
        <w:rPr>
          <w:i/>
          <w:iCs/>
          <w:shd w:fill="FFFFFF" w:val="clear"/>
        </w:rPr>
        <w:t xml:space="preserve">          </w:t>
      </w:r>
      <w:r>
        <w:rPr>
          <w:i/>
          <w:iCs/>
          <w:shd w:fill="FFFFFF" w:val="clear"/>
        </w:rPr>
        <w:t>Será respeitada, nas contratações, a ordem de classificação dos fornecedores registrados na ata.</w:t>
      </w:r>
    </w:p>
    <w:p>
      <w:pPr>
        <w:pStyle w:val="Normal"/>
        <w:numPr>
          <w:ilvl w:val="1"/>
          <w:numId w:val="2"/>
        </w:numPr>
        <w:spacing w:lineRule="auto" w:line="276" w:before="120" w:after="120"/>
        <w:ind w:left="425" w:right="0" w:hanging="0"/>
        <w:jc w:val="both"/>
        <w:rPr>
          <w:i/>
          <w:i/>
          <w:iCs/>
          <w:highlight w:val="white"/>
        </w:rPr>
      </w:pPr>
      <w:r>
        <w:rPr>
          <w:i/>
          <w:iCs/>
          <w:shd w:fill="FFFFFF" w:val="clear"/>
        </w:rPr>
        <w:t>A apresentação de novas propostas na forma deste item não prejudicará o resultado do procedimento em relação ao fornecedor mais bem classificado.</w:t>
      </w:r>
    </w:p>
    <w:p>
      <w:pPr>
        <w:pStyle w:val="Normal"/>
        <w:numPr>
          <w:ilvl w:val="1"/>
          <w:numId w:val="2"/>
        </w:numPr>
        <w:spacing w:lineRule="auto" w:line="276" w:before="120" w:after="120"/>
        <w:ind w:left="425" w:right="0" w:hanging="0"/>
        <w:jc w:val="both"/>
        <w:rPr>
          <w:i/>
          <w:i/>
          <w:iCs/>
          <w:highlight w:val="white"/>
        </w:rPr>
      </w:pPr>
      <w:r>
        <w:rPr>
          <w:i/>
          <w:iCs/>
          <w:shd w:fill="FFFFFF" w:val="clear"/>
        </w:rPr>
        <w:t>Para fins da ordem de classificação, os fornecedores que aceitarem cotar o objeto com preço igual ao do adjudicatário antecederão aqueles que mantiverem sua proposta original.</w:t>
      </w:r>
    </w:p>
    <w:p>
      <w:pPr>
        <w:pStyle w:val="Normal"/>
        <w:numPr>
          <w:ilvl w:val="1"/>
          <w:numId w:val="2"/>
        </w:numPr>
        <w:spacing w:lineRule="auto" w:line="276" w:before="120" w:after="120"/>
        <w:ind w:left="425" w:right="0" w:hanging="0"/>
        <w:jc w:val="both"/>
        <w:rPr>
          <w:i/>
          <w:i/>
          <w:iCs/>
          <w:highlight w:val="white"/>
        </w:rPr>
      </w:pPr>
      <w:r>
        <w:rPr>
          <w:i/>
          <w:iCs/>
          <w:shd w:fill="FFFFFF" w:val="clear"/>
        </w:rPr>
        <w:t xml:space="preserve"> </w:t>
      </w:r>
      <w:r>
        <w:rPr>
          <w:i/>
          <w:iCs/>
          <w:shd w:fill="FFFFFF" w:val="clear"/>
        </w:rPr>
        <w:t>A habilitação dos fornecedores que comporão o cadastro de reserva será efetuada quando houver necessidade de contratação dos fornecedores remanescentes, nas seguintes hipóteses:</w:t>
      </w:r>
    </w:p>
    <w:p>
      <w:pPr>
        <w:pStyle w:val="ListParagraph"/>
        <w:numPr>
          <w:ilvl w:val="2"/>
          <w:numId w:val="7"/>
        </w:numPr>
        <w:spacing w:lineRule="auto" w:line="276" w:before="120" w:after="120"/>
        <w:ind w:left="1144" w:right="0" w:hanging="720"/>
        <w:contextualSpacing/>
        <w:jc w:val="both"/>
        <w:rPr>
          <w:i/>
          <w:i/>
          <w:iCs/>
          <w:highlight w:val="white"/>
        </w:rPr>
      </w:pPr>
      <w:r>
        <w:rPr>
          <w:i/>
          <w:iCs/>
          <w:shd w:fill="FFFFFF" w:val="clear"/>
        </w:rPr>
        <w:t>quando o adjudicatário não assinar a ata de registro de preços no prazo e nas condições estabelecidos no aviso de dispensa; ou</w:t>
      </w:r>
    </w:p>
    <w:p>
      <w:pPr>
        <w:pStyle w:val="ListParagraph"/>
        <w:numPr>
          <w:ilvl w:val="2"/>
          <w:numId w:val="7"/>
        </w:numPr>
        <w:spacing w:lineRule="auto" w:line="276" w:before="120" w:after="120"/>
        <w:ind w:left="1144" w:right="0" w:hanging="720"/>
        <w:contextualSpacing/>
        <w:jc w:val="both"/>
        <w:rPr>
          <w:i/>
          <w:i/>
          <w:iCs/>
          <w:highlight w:val="white"/>
        </w:rPr>
      </w:pPr>
      <w:r>
        <w:rPr>
          <w:i/>
          <w:iCs/>
          <w:shd w:fill="FFFFFF" w:val="clear"/>
        </w:rPr>
        <w:t>quando houver o cancelamento do registro do fornecedor ou do registro de preços, nas hipóteses previstas nos art. 28 e art. 29 do Decreto nº 11.462/23.</w:t>
      </w:r>
    </w:p>
    <w:p>
      <w:pPr>
        <w:pStyle w:val="Normal"/>
        <w:numPr>
          <w:ilvl w:val="1"/>
          <w:numId w:val="2"/>
        </w:numPr>
        <w:spacing w:lineRule="auto" w:line="276" w:before="120" w:after="120"/>
        <w:ind w:left="425" w:right="0" w:hanging="0"/>
        <w:jc w:val="both"/>
        <w:rPr>
          <w:i/>
          <w:i/>
          <w:iCs/>
          <w:highlight w:val="white"/>
        </w:rPr>
      </w:pPr>
      <w:r>
        <w:rPr>
          <w:i/>
          <w:iCs/>
          <w:shd w:fill="FFFFFF"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ormal"/>
        <w:numPr>
          <w:ilvl w:val="1"/>
          <w:numId w:val="2"/>
        </w:numPr>
        <w:spacing w:lineRule="auto" w:line="276" w:before="120" w:after="120"/>
        <w:ind w:left="425" w:right="0" w:hanging="0"/>
        <w:jc w:val="both"/>
        <w:rPr>
          <w:i/>
          <w:i/>
          <w:iCs/>
          <w:highlight w:val="white"/>
        </w:rPr>
      </w:pPr>
      <w:r>
        <w:rPr>
          <w:i/>
          <w:iCs/>
          <w:shd w:fill="FFFFFF" w:val="clear"/>
        </w:rPr>
        <w:t xml:space="preserve"> </w:t>
      </w:r>
      <w:r>
        <w:rPr>
          <w:i/>
          <w:iCs/>
          <w:shd w:fill="FFFFFF" w:val="clear"/>
        </w:rPr>
        <w:t>convocar os fornecedores que mantiveram sua proposta original para negociação, na ordem de classificação, com vistas à obtenção de preço melhor, mesmo que acima do preço do adjudicatário; ou</w:t>
      </w:r>
    </w:p>
    <w:p>
      <w:pPr>
        <w:pStyle w:val="Normal"/>
        <w:numPr>
          <w:ilvl w:val="1"/>
          <w:numId w:val="2"/>
        </w:numPr>
        <w:spacing w:lineRule="auto" w:line="276" w:before="120" w:after="120"/>
        <w:ind w:left="425" w:right="0" w:hanging="0"/>
        <w:jc w:val="both"/>
        <w:rPr>
          <w:i/>
          <w:i/>
          <w:iCs/>
          <w:highlight w:val="white"/>
        </w:rPr>
      </w:pPr>
      <w:r>
        <w:rPr>
          <w:i/>
          <w:iCs/>
          <w:shd w:fill="FFFFFF" w:val="clear"/>
        </w:rPr>
        <w:t xml:space="preserve"> </w:t>
      </w:r>
      <w:r>
        <w:rPr>
          <w:i/>
          <w:iCs/>
          <w:shd w:fill="FFFFFF" w:val="clear"/>
        </w:rPr>
        <w:t>adjudicar e firmar o contrato nas condições ofertadas pelos fornecedores remanescentes, observada a ordem de classificação, quando frustrada a negociação de melhor condição.</w:t>
      </w:r>
    </w:p>
    <w:p>
      <w:pPr>
        <w:pStyle w:val="Ttulo1"/>
        <w:numPr>
          <w:ilvl w:val="0"/>
          <w:numId w:val="2"/>
        </w:numPr>
        <w:ind w:left="360" w:right="0" w:hanging="360"/>
        <w:rPr/>
      </w:pPr>
      <w:bookmarkStart w:id="12" w:name="_Toc142925869"/>
      <w:r>
        <w:rPr/>
        <w:t>CONTRATAÇÃO</w:t>
      </w:r>
      <w:bookmarkEnd w:id="12"/>
    </w:p>
    <w:p>
      <w:pPr>
        <w:pStyle w:val="Normal"/>
        <w:numPr>
          <w:ilvl w:val="1"/>
          <w:numId w:val="2"/>
        </w:numPr>
        <w:spacing w:lineRule="auto" w:line="276" w:before="120" w:after="120"/>
        <w:ind w:left="425" w:right="0"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2"/>
        </w:numPr>
        <w:spacing w:lineRule="auto" w:line="276" w:before="120" w:after="120"/>
        <w:ind w:left="425" w:right="0" w:hanging="0"/>
        <w:jc w:val="both"/>
        <w:rPr/>
      </w:pPr>
      <w:r>
        <w:rPr>
          <w:rFonts w:eastAsia="Arial" w:cs="Arial"/>
          <w:color w:val="000000"/>
          <w:szCs w:val="20"/>
        </w:rPr>
        <w:t>O adjudicatário terá o prazo de 10</w:t>
      </w:r>
      <w:r>
        <w:rPr>
          <w:rFonts w:eastAsia="Arial" w:cs="Arial"/>
          <w:i/>
          <w:color w:val="FF0000"/>
          <w:szCs w:val="20"/>
        </w:rPr>
        <w:t xml:space="preserve"> </w:t>
      </w:r>
      <w:r>
        <w:rPr>
          <w:rFonts w:eastAsia="Arial" w:cs="Arial"/>
          <w:i/>
          <w:color w:val="111111"/>
          <w:szCs w:val="20"/>
        </w:rPr>
        <w:t>dias úteis,</w:t>
      </w:r>
      <w:r>
        <w:rPr>
          <w:rFonts w:eastAsia="Arial" w:cs="Arial"/>
          <w:color w:val="111111"/>
          <w:szCs w:val="20"/>
        </w:rPr>
        <w:t xml:space="preserve"> contados a partir da data de sua convocação, para </w:t>
      </w:r>
      <w:r>
        <w:rPr>
          <w:rFonts w:eastAsia="Arial" w:cs="Arial"/>
          <w:i/>
          <w:color w:val="111111"/>
          <w:szCs w:val="20"/>
        </w:rPr>
        <w:t xml:space="preserve">aceitar instrumento equivalente, conforme o caso (Nota de Empenho/Carta Contrato/Autorização), </w:t>
      </w:r>
      <w:r>
        <w:rPr>
          <w:rFonts w:eastAsia="Arial" w:cs="Arial"/>
          <w:color w:val="111111"/>
          <w:szCs w:val="20"/>
        </w:rPr>
        <w:t>sob pena de decair</w:t>
      </w:r>
      <w:r>
        <w:rPr>
          <w:rFonts w:eastAsia="Arial" w:cs="Arial"/>
          <w:color w:val="000000"/>
          <w:szCs w:val="20"/>
        </w:rPr>
        <w:t xml:space="preserve"> o direito à contratação, sem prejuízo das sanções previstas neste Aviso de Contratação Direta. </w:t>
      </w:r>
    </w:p>
    <w:p>
      <w:pPr>
        <w:pStyle w:val="Normal"/>
        <w:numPr>
          <w:ilvl w:val="2"/>
          <w:numId w:val="2"/>
        </w:numPr>
        <w:spacing w:lineRule="auto" w:line="276" w:before="120" w:after="120"/>
        <w:jc w:val="both"/>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10 dias, a contar da data de seu recebimento</w:t>
      </w:r>
      <w:r>
        <w:rPr>
          <w:rFonts w:eastAsia="Arial"/>
          <w:color w:val="000000"/>
        </w:rPr>
        <w:t xml:space="preserve"> ou da disponibilização do acesso ao sistema de processo eletrônico.</w:t>
      </w:r>
    </w:p>
    <w:p>
      <w:pPr>
        <w:pStyle w:val="Normal"/>
        <w:numPr>
          <w:ilvl w:val="2"/>
          <w:numId w:val="2"/>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pPr>
        <w:pStyle w:val="Normal"/>
        <w:numPr>
          <w:ilvl w:val="1"/>
          <w:numId w:val="2"/>
        </w:numPr>
        <w:spacing w:lineRule="auto" w:line="276" w:before="120" w:after="120"/>
        <w:ind w:left="425" w:right="0" w:hanging="0"/>
        <w:jc w:val="both"/>
        <w:rPr>
          <w:rFonts w:eastAsia="Arial" w:cs="Arial"/>
          <w:i/>
          <w:i/>
          <w:color w:val="111111"/>
          <w:szCs w:val="20"/>
          <w:highlight w:val="white"/>
        </w:rPr>
      </w:pPr>
      <w:r>
        <w:rPr>
          <w:rFonts w:eastAsia="Arial" w:cs="Arial"/>
          <w:i/>
          <w:color w:val="111111"/>
          <w:szCs w:val="20"/>
          <w:shd w:fill="FFFFFF" w:val="clear"/>
        </w:rPr>
        <w:t>O Aceite da Nota de Empenho ou do instrumento equivalente, emitida ao fornecedor adjudicado, implica o reconhecimento de que:</w:t>
      </w:r>
    </w:p>
    <w:p>
      <w:pPr>
        <w:pStyle w:val="Normal"/>
        <w:numPr>
          <w:ilvl w:val="2"/>
          <w:numId w:val="2"/>
        </w:numPr>
        <w:spacing w:lineRule="auto" w:line="276" w:before="120" w:after="120"/>
        <w:jc w:val="both"/>
        <w:rPr/>
      </w:pPr>
      <w:r>
        <w:rPr>
          <w:rFonts w:eastAsia="Arial" w:cs="Arial"/>
          <w:i/>
          <w:color w:val="111111"/>
          <w:szCs w:val="20"/>
          <w:shd w:fill="FFFFFF" w:val="clear"/>
        </w:rPr>
        <w:t xml:space="preserve">referida Nota está substituindo o contrato, aplicando-se à relação de negócios ali estabelecida as disposições da </w:t>
      </w:r>
      <w:hyperlink r:id="rId9">
        <w:r>
          <w:rPr>
            <w:rStyle w:val="LinkdaInternet"/>
            <w:rFonts w:eastAsia="Arial" w:cs="Arial"/>
            <w:i/>
            <w:color w:val="111111"/>
            <w:szCs w:val="20"/>
            <w:highlight w:val="white"/>
          </w:rPr>
          <w:t>Lei nº 14.133, de 2021</w:t>
        </w:r>
      </w:hyperlink>
      <w:r>
        <w:rPr>
          <w:rFonts w:eastAsia="Arial" w:cs="Arial"/>
          <w:i/>
          <w:color w:val="111111"/>
          <w:szCs w:val="20"/>
          <w:shd w:fill="FFFFFF" w:val="clear"/>
        </w:rPr>
        <w:t>;</w:t>
      </w:r>
    </w:p>
    <w:p>
      <w:pPr>
        <w:pStyle w:val="Normal"/>
        <w:numPr>
          <w:ilvl w:val="2"/>
          <w:numId w:val="2"/>
        </w:numPr>
        <w:spacing w:lineRule="auto" w:line="276" w:before="120" w:after="120"/>
        <w:jc w:val="both"/>
        <w:rPr>
          <w:rFonts w:eastAsia="Arial" w:cs="Arial"/>
          <w:i/>
          <w:i/>
          <w:color w:val="111111"/>
          <w:szCs w:val="20"/>
          <w:highlight w:val="white"/>
        </w:rPr>
      </w:pPr>
      <w:r>
        <w:rPr>
          <w:rFonts w:eastAsia="Arial" w:cs="Arial"/>
          <w:i/>
          <w:color w:val="111111"/>
          <w:szCs w:val="20"/>
          <w:shd w:fill="FFFFFF" w:val="clear"/>
        </w:rPr>
        <w:t>a contratada se vincula à sua proposta e às previsões contidas no Aviso de Contratação Direta e seus anexos;</w:t>
      </w:r>
    </w:p>
    <w:p>
      <w:pPr>
        <w:pStyle w:val="Normal"/>
        <w:numPr>
          <w:ilvl w:val="2"/>
          <w:numId w:val="2"/>
        </w:numPr>
        <w:spacing w:lineRule="auto" w:line="276" w:before="120" w:after="120"/>
        <w:jc w:val="both"/>
        <w:rPr/>
      </w:pPr>
      <w:r>
        <w:rPr>
          <w:rFonts w:eastAsia="Arial" w:cs="Arial"/>
          <w:i/>
          <w:color w:val="111111"/>
          <w:szCs w:val="20"/>
          <w:shd w:fill="FFFFFF" w:val="clear"/>
        </w:rPr>
        <w:t xml:space="preserve">a contratada reconhece que as hipóteses de rescisão são aquelas previstas nos </w:t>
      </w:r>
      <w:r>
        <w:fldChar w:fldCharType="begin"/>
      </w:r>
      <w:r>
        <w:rPr>
          <w:rStyle w:val="LinkdaInternet"/>
          <w:i/>
          <w:szCs w:val="20"/>
          <w:highlight w:val="white"/>
          <w:rFonts w:eastAsia="Arial" w:cs="Arial"/>
          <w:color w:val="111111"/>
        </w:rPr>
        <w:instrText xml:space="preserve">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e 138 da Lei nº 14.133, de 2021</w:t>
      </w:r>
      <w:r>
        <w:rPr>
          <w:rStyle w:val="LinkdaInternet"/>
          <w:i/>
          <w:szCs w:val="20"/>
          <w:highlight w:val="white"/>
          <w:rFonts w:eastAsia="Arial" w:cs="Arial"/>
          <w:color w:val="111111"/>
        </w:rPr>
        <w:fldChar w:fldCharType="end"/>
      </w:r>
      <w:r>
        <w:rPr>
          <w:rFonts w:eastAsia="Arial" w:cs="Arial"/>
          <w:i/>
          <w:color w:val="111111"/>
          <w:szCs w:val="20"/>
          <w:shd w:fill="FFFFFF" w:val="clear"/>
        </w:rPr>
        <w:t xml:space="preserve"> e reconhece os direitos da Administração previstos nos </w:t>
      </w:r>
      <w:r>
        <w:fldChar w:fldCharType="begin"/>
      </w:r>
      <w:r>
        <w:rPr>
          <w:rStyle w:val="LinkdaInternet"/>
          <w:i/>
          <w:szCs w:val="20"/>
          <w:highlight w:val="white"/>
          <w:rFonts w:eastAsia="Arial" w:cs="Arial"/>
          <w:color w:val="111111"/>
        </w:rPr>
        <w:instrText xml:space="preserve">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a 139 da mesma Lei</w:t>
      </w:r>
      <w:r>
        <w:rPr>
          <w:rStyle w:val="LinkdaInternet"/>
          <w:i/>
          <w:szCs w:val="20"/>
          <w:highlight w:val="white"/>
          <w:rFonts w:eastAsia="Arial" w:cs="Arial"/>
          <w:color w:val="111111"/>
        </w:rPr>
        <w:fldChar w:fldCharType="end"/>
      </w:r>
      <w:r>
        <w:rPr>
          <w:rFonts w:eastAsia="Arial" w:cs="Arial"/>
          <w:i/>
          <w:color w:val="FF0000"/>
          <w:szCs w:val="20"/>
        </w:rPr>
        <w:t>.</w:t>
      </w:r>
    </w:p>
    <w:p>
      <w:pPr>
        <w:pStyle w:val="Normal"/>
        <w:numPr>
          <w:ilvl w:val="1"/>
          <w:numId w:val="2"/>
        </w:numPr>
        <w:spacing w:lineRule="auto" w:line="276" w:before="120" w:after="120"/>
        <w:ind w:left="425" w:right="0"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2"/>
        </w:numPr>
        <w:spacing w:lineRule="auto" w:line="276" w:before="120" w:after="120"/>
        <w:ind w:left="425" w:right="0" w:hanging="0"/>
        <w:jc w:val="both"/>
        <w:rPr>
          <w:rFonts w:cs="Arial"/>
          <w:color w:val="000000"/>
          <w:szCs w:val="20"/>
          <w:highlight w:val="white"/>
        </w:rPr>
      </w:pPr>
      <w:r>
        <w:rPr>
          <w:rFonts w:cs="Arial"/>
          <w:color w:val="000000"/>
          <w:szCs w:val="20"/>
          <w:shd w:fill="FFFFFF" w:val="clear"/>
        </w:rPr>
        <w:t>Na assinatura do contrato ou do instrumento equivalente será exigida a comprovação das condições de habilitação e contratação consignadas neste aviso, que deverão ser mantidas pelo fornecedor durante a vigência do contrato.</w:t>
      </w:r>
    </w:p>
    <w:p>
      <w:pPr>
        <w:pStyle w:val="Normal"/>
        <w:spacing w:lineRule="auto" w:line="276" w:before="120" w:after="120"/>
        <w:ind w:left="1141" w:right="0" w:hanging="0"/>
        <w:jc w:val="both"/>
        <w:rPr>
          <w:rFonts w:eastAsia="Arial" w:cs="Arial"/>
          <w:color w:val="000000"/>
          <w:szCs w:val="20"/>
          <w:highlight w:val="white"/>
        </w:rPr>
      </w:pPr>
      <w:r>
        <w:rPr>
          <w:rFonts w:eastAsia="Arial" w:cs="Arial"/>
          <w:color w:val="000000"/>
          <w:szCs w:val="20"/>
          <w:highlight w:val="white"/>
        </w:rPr>
      </w:r>
    </w:p>
    <w:p>
      <w:pPr>
        <w:pStyle w:val="Ttulo1"/>
        <w:numPr>
          <w:ilvl w:val="0"/>
          <w:numId w:val="2"/>
        </w:numPr>
        <w:ind w:left="360" w:right="0" w:hanging="360"/>
        <w:rPr/>
      </w:pPr>
      <w:bookmarkStart w:id="13" w:name="_Toc142925870"/>
      <w:r>
        <w:rPr/>
        <w:t>INFRAÇÕES E SANÇÕES ADMINISTRATIVAS</w:t>
      </w:r>
      <w:bookmarkEnd w:id="13"/>
    </w:p>
    <w:p>
      <w:pPr>
        <w:pStyle w:val="Normal"/>
        <w:numPr>
          <w:ilvl w:val="1"/>
          <w:numId w:val="2"/>
        </w:numPr>
        <w:spacing w:lineRule="auto" w:line="276" w:before="120" w:after="120"/>
        <w:ind w:left="425" w:right="0" w:hanging="0"/>
        <w:jc w:val="both"/>
        <w:rPr/>
      </w:pPr>
      <w:r>
        <w:rPr>
          <w:rFonts w:cs="Arial"/>
        </w:rPr>
        <w:t xml:space="preserve">Comete infração administrativa o fornecedor que praticar quaisquer das hipóteses previstas no </w:t>
      </w:r>
      <w:r>
        <w:fldChar w:fldCharType="begin"/>
      </w:r>
      <w:r>
        <w:rPr>
          <w:rStyle w:val="LinkdaInternet"/>
          <w:rFonts w:cs="Arial"/>
        </w:rPr>
        <w:instrText xml:space="preserve">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2"/>
        </w:numPr>
        <w:spacing w:lineRule="auto" w:line="276" w:before="120" w:after="120"/>
        <w:jc w:val="both"/>
        <w:rPr/>
      </w:pPr>
      <w:bookmarkStart w:id="14" w:name="_Ref143509900"/>
      <w:r>
        <w:rPr>
          <w:rFonts w:cs="Arial"/>
          <w:color w:val="000000"/>
          <w:szCs w:val="20"/>
        </w:rPr>
        <w:t>dar causa à inexecução parcial do contrato</w:t>
      </w:r>
      <w:r>
        <w:rPr>
          <w:rFonts w:cs="Arial"/>
        </w:rPr>
        <w:t>;</w:t>
      </w:r>
      <w:bookmarkEnd w:id="14"/>
    </w:p>
    <w:p>
      <w:pPr>
        <w:pStyle w:val="Normal"/>
        <w:numPr>
          <w:ilvl w:val="2"/>
          <w:numId w:val="2"/>
        </w:numPr>
        <w:spacing w:lineRule="auto" w:line="276" w:before="120" w:after="120"/>
        <w:jc w:val="both"/>
        <w:rPr>
          <w:rFonts w:cs="Arial"/>
          <w:color w:val="000000"/>
          <w:szCs w:val="20"/>
        </w:rPr>
      </w:pPr>
      <w:bookmarkStart w:id="15" w:name="_Ref143510015"/>
      <w:r>
        <w:rPr>
          <w:rFonts w:cs="Arial"/>
          <w:color w:val="000000"/>
          <w:szCs w:val="20"/>
        </w:rPr>
        <w:t>dar causa à inexecução parcial do contrato que cause grave dano à Administração, ao funcionamento dos serviços públicos ou ao interesse coletivo;</w:t>
      </w:r>
      <w:bookmarkEnd w:id="15"/>
    </w:p>
    <w:p>
      <w:pPr>
        <w:pStyle w:val="Normal"/>
        <w:numPr>
          <w:ilvl w:val="2"/>
          <w:numId w:val="2"/>
        </w:numPr>
        <w:spacing w:lineRule="auto" w:line="276" w:before="120" w:after="120"/>
        <w:jc w:val="both"/>
        <w:rPr>
          <w:rFonts w:cs="Arial"/>
          <w:color w:val="000000"/>
          <w:szCs w:val="20"/>
        </w:rPr>
      </w:pPr>
      <w:r>
        <w:rPr>
          <w:rFonts w:cs="Arial"/>
          <w:color w:val="000000"/>
          <w:szCs w:val="20"/>
        </w:rPr>
        <w:t>dar causa à inexecução total do contrato;</w:t>
      </w:r>
    </w:p>
    <w:p>
      <w:pPr>
        <w:pStyle w:val="Normal"/>
        <w:numPr>
          <w:ilvl w:val="2"/>
          <w:numId w:val="2"/>
        </w:numPr>
        <w:spacing w:lineRule="auto" w:line="276" w:before="120" w:after="120"/>
        <w:jc w:val="both"/>
        <w:rPr>
          <w:rFonts w:cs="Arial"/>
          <w:color w:val="000000"/>
          <w:szCs w:val="20"/>
        </w:rPr>
      </w:pPr>
      <w:r>
        <w:rPr>
          <w:rFonts w:cs="Arial"/>
          <w:color w:val="000000"/>
          <w:szCs w:val="20"/>
        </w:rPr>
        <w:t>deixar de entregar a documentação exigida para o certame;</w:t>
      </w:r>
    </w:p>
    <w:p>
      <w:pPr>
        <w:pStyle w:val="Normal"/>
        <w:numPr>
          <w:ilvl w:val="2"/>
          <w:numId w:val="2"/>
        </w:numPr>
        <w:spacing w:lineRule="auto" w:line="276" w:before="120" w:after="120"/>
        <w:jc w:val="both"/>
        <w:rPr>
          <w:rFonts w:cs="Arial"/>
          <w:color w:val="000000"/>
          <w:szCs w:val="20"/>
        </w:rPr>
      </w:pPr>
      <w:r>
        <w:rPr>
          <w:rFonts w:cs="Arial"/>
          <w:color w:val="000000"/>
          <w:szCs w:val="20"/>
        </w:rPr>
        <w:t>não manter a proposta, salvo em decorrência de fato superveniente devidamente justificado;</w:t>
      </w:r>
    </w:p>
    <w:p>
      <w:pPr>
        <w:pStyle w:val="Normal"/>
        <w:numPr>
          <w:ilvl w:val="2"/>
          <w:numId w:val="2"/>
        </w:numPr>
        <w:spacing w:lineRule="auto" w:line="276" w:before="120" w:after="120"/>
        <w:jc w:val="both"/>
        <w:rPr>
          <w:rFonts w:cs="Arial"/>
          <w:color w:val="000000"/>
          <w:szCs w:val="20"/>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2"/>
        </w:numPr>
        <w:spacing w:lineRule="auto" w:line="276" w:before="120" w:after="120"/>
        <w:jc w:val="both"/>
        <w:rPr/>
      </w:pPr>
      <w:r>
        <w:rPr>
          <w:rFonts w:cs="Arial"/>
          <w:color w:val="000000"/>
          <w:szCs w:val="20"/>
        </w:rPr>
        <w:t> </w:t>
      </w:r>
      <w:bookmarkStart w:id="16" w:name="_Ref143510046"/>
      <w:r>
        <w:rPr>
          <w:rFonts w:cs="Arial"/>
          <w:color w:val="000000"/>
          <w:szCs w:val="20"/>
        </w:rPr>
        <w:t>ensejar o retardamento da execução ou da entrega do objeto da contratação direta sem motivo justificado;</w:t>
      </w:r>
      <w:bookmarkEnd w:id="16"/>
    </w:p>
    <w:p>
      <w:pPr>
        <w:pStyle w:val="Normal"/>
        <w:numPr>
          <w:ilvl w:val="2"/>
          <w:numId w:val="2"/>
        </w:numPr>
        <w:spacing w:lineRule="auto" w:line="276" w:before="120" w:after="120"/>
        <w:jc w:val="both"/>
        <w:rPr>
          <w:rFonts w:cs="Arial"/>
          <w:color w:val="000000"/>
          <w:szCs w:val="20"/>
        </w:rPr>
      </w:pPr>
      <w:bookmarkStart w:id="17" w:name="_Ref143510088"/>
      <w:r>
        <w:rPr>
          <w:rFonts w:cs="Arial"/>
          <w:color w:val="000000"/>
          <w:szCs w:val="20"/>
        </w:rPr>
        <w:t>apresentar declaração ou documentação falsa exigida para o certame ou prestar declaração falsa durante a dispensa eletrônica ou a execução do contrato;</w:t>
      </w:r>
      <w:bookmarkEnd w:id="17"/>
    </w:p>
    <w:p>
      <w:pPr>
        <w:pStyle w:val="Normal"/>
        <w:numPr>
          <w:ilvl w:val="2"/>
          <w:numId w:val="2"/>
        </w:numPr>
        <w:spacing w:lineRule="auto" w:line="276" w:before="120" w:after="120"/>
        <w:jc w:val="both"/>
        <w:rPr>
          <w:rFonts w:cs="Arial"/>
          <w:color w:val="000000"/>
          <w:szCs w:val="20"/>
        </w:rPr>
      </w:pPr>
      <w:r>
        <w:rPr>
          <w:rFonts w:cs="Arial"/>
          <w:color w:val="000000"/>
          <w:szCs w:val="20"/>
        </w:rPr>
        <w:t>fraudar a dispensa eletrônica ou praticar ato fraudulento na execução do contrato;</w:t>
      </w:r>
    </w:p>
    <w:p>
      <w:pPr>
        <w:pStyle w:val="Normal"/>
        <w:numPr>
          <w:ilvl w:val="2"/>
          <w:numId w:val="2"/>
        </w:numPr>
        <w:spacing w:lineRule="auto" w:line="276" w:before="120" w:after="120"/>
        <w:jc w:val="both"/>
        <w:rPr>
          <w:rFonts w:cs="Arial"/>
          <w:color w:val="000000"/>
          <w:szCs w:val="20"/>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2"/>
        </w:numPr>
        <w:spacing w:lineRule="auto" w:line="276" w:before="120" w:after="120"/>
        <w:ind w:left="1728" w:right="0" w:hanging="648"/>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2"/>
        </w:numPr>
        <w:spacing w:lineRule="auto" w:line="276" w:before="120" w:after="120"/>
        <w:jc w:val="both"/>
        <w:rPr>
          <w:rFonts w:cs="Arial"/>
          <w:color w:val="000000"/>
          <w:szCs w:val="20"/>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2"/>
        </w:numPr>
        <w:spacing w:lineRule="auto" w:line="276" w:before="120" w:after="120"/>
        <w:jc w:val="both"/>
        <w:rPr/>
      </w:pPr>
      <w:bookmarkStart w:id="18" w:name="_Ref143509952"/>
      <w:bookmarkEnd w:id="18"/>
      <w:r>
        <w:rPr>
          <w:rFonts w:cs="Arial"/>
          <w:color w:val="000000"/>
          <w:szCs w:val="20"/>
        </w:rPr>
        <w:t>praticar ato lesivo previsto no </w:t>
      </w:r>
      <w:r>
        <w:fldChar w:fldCharType="begin"/>
      </w:r>
      <w:r>
        <w:rPr>
          <w:rStyle w:val="LinkdaInternet"/>
        </w:rPr>
        <w:instrText xml:space="preserve">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2"/>
        </w:numPr>
        <w:spacing w:lineRule="auto" w:line="276" w:before="120" w:after="120"/>
        <w:ind w:left="425" w:right="0" w:hanging="0"/>
        <w:jc w:val="both"/>
        <w:rPr/>
      </w:pPr>
      <w:r>
        <w:fldChar w:fldCharType="begin"/>
      </w:r>
      <w:r>
        <w:rPr>
          <w:rFonts w:cs="Arial"/>
        </w:rPr>
        <w:instrText xml:space="preserve"> HYPERLINK "http://www.planalto.gov.br/ccivil_03/_ato2019-2022/2021/lei/L14133.htm" \l "art5"</w:instrText>
      </w:r>
      <w:r>
        <w:rPr>
          <w:rFonts w:cs="Arial"/>
        </w:rPr>
        <w:fldChar w:fldCharType="separate"/>
      </w:r>
      <w:bookmarkStart w:id="19" w:name="_Ref1435099521"/>
      <w:bookmarkEnd w:id="19"/>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5"/>
        </w:numPr>
        <w:spacing w:lineRule="auto" w:line="276" w:before="120" w:after="120"/>
        <w:jc w:val="both"/>
        <w:rPr/>
      </w:pPr>
      <w:r>
        <w:rPr>
          <w:rFonts w:cs="Arial"/>
        </w:rPr>
        <w:t xml:space="preserve">Advertência pela falta do subitem </w:t>
      </w:r>
      <w:r>
        <w:rPr>
          <w:rFonts w:cs="Arial"/>
        </w:rPr>
        <w:fldChar w:fldCharType="begin"/>
      </w:r>
      <w:r>
        <w:rPr>
          <w:rFonts w:cs="Arial"/>
        </w:rPr>
        <w:instrText xml:space="preserve"> REF _Ref143509900 \r \h </w:instrText>
      </w:r>
      <w:r>
        <w:rPr>
          <w:rFonts w:cs="Arial"/>
        </w:rPr>
        <w:fldChar w:fldCharType="separate"/>
      </w:r>
      <w:r>
        <w:rPr>
          <w:rFonts w:cs="Arial"/>
        </w:rPr>
        <w:t>10.1.1</w:t>
      </w:r>
      <w:r>
        <w:rPr>
          <w:rFonts w:cs="Arial"/>
        </w:rPr>
        <w:fldChar w:fldCharType="end"/>
      </w:r>
      <w:r>
        <w:rPr>
          <w:rFonts w:cs="Arial"/>
        </w:rPr>
        <w:t xml:space="preserve">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pPr>
      <w:r>
        <w:rPr>
          <w:rFonts w:cs="Arial"/>
        </w:rPr>
        <w:t>Multa de 0,</w:t>
      </w:r>
      <w:r>
        <w:rPr>
          <w:rFonts w:cs="Arial"/>
          <w:color w:val="111111"/>
        </w:rPr>
        <w:t xml:space="preserve">5% </w:t>
      </w:r>
      <w:r>
        <w:rPr>
          <w:rFonts w:cs="Arial"/>
        </w:rPr>
        <w:t xml:space="preserve">sobre o valor estimado do(s) item(s) prejudicado(s) pela conduta do fornecedor, por qualquer das infrações dos subitens </w:t>
      </w:r>
      <w:r>
        <w:rPr>
          <w:rFonts w:cs="Arial"/>
        </w:rPr>
        <w:fldChar w:fldCharType="begin"/>
      </w:r>
      <w:r>
        <w:rPr>
          <w:rFonts w:cs="Arial"/>
        </w:rPr>
        <w:instrText xml:space="preserve"> REF _Ref143509900 \r \h </w:instrText>
      </w:r>
      <w:r>
        <w:rPr>
          <w:rFonts w:cs="Arial"/>
        </w:rPr>
        <w:fldChar w:fldCharType="separate"/>
      </w:r>
      <w:r>
        <w:rPr>
          <w:rFonts w:cs="Arial"/>
        </w:rPr>
        <w:t>10.1.1</w:t>
      </w:r>
      <w:r>
        <w:rPr>
          <w:rFonts w:cs="Arial"/>
        </w:rPr>
        <w:fldChar w:fldCharType="end"/>
      </w:r>
      <w:r>
        <w:rPr>
          <w:rFonts w:cs="Arial"/>
        </w:rPr>
        <w:t xml:space="preserve"> a </w:t>
      </w:r>
      <w:r>
        <w:rPr>
          <w:rFonts w:cs="Arial"/>
        </w:rPr>
        <w:fldChar w:fldCharType="begin"/>
      </w:r>
      <w:r>
        <w:rPr>
          <w:rFonts w:cs="Arial"/>
        </w:rPr>
        <w:instrText xml:space="preserve"> REF _Ref143509952 \r \h </w:instrText>
      </w:r>
      <w:r>
        <w:rPr>
          <w:rFonts w:cs="Arial"/>
        </w:rPr>
        <w:fldChar w:fldCharType="separate"/>
      </w:r>
      <w:r>
        <w:rPr>
          <w:rFonts w:cs="Arial"/>
        </w:rPr>
        <w:t>10.1.12</w:t>
      </w:r>
      <w:r>
        <w:rPr>
          <w:rFonts w:cs="Arial"/>
        </w:rPr>
        <w:fldChar w:fldCharType="end"/>
      </w:r>
      <w:r>
        <w:rPr>
          <w:rFonts w:cs="Arial"/>
        </w:rPr>
        <w:t>;</w:t>
      </w:r>
    </w:p>
    <w:p>
      <w:pPr>
        <w:pStyle w:val="Normal"/>
        <w:numPr>
          <w:ilvl w:val="2"/>
          <w:numId w:val="5"/>
        </w:numPr>
        <w:spacing w:lineRule="auto" w:line="276" w:before="120" w:after="120"/>
        <w:jc w:val="both"/>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Pr>
          <w:rFonts w:cs="Arial"/>
          <w:color w:val="000000"/>
          <w:szCs w:val="20"/>
        </w:rPr>
        <w:fldChar w:fldCharType="begin"/>
      </w:r>
      <w:r>
        <w:rPr>
          <w:szCs w:val="20"/>
          <w:rFonts w:cs="Arial"/>
          <w:color w:val="000000"/>
        </w:rPr>
        <w:instrText xml:space="preserve"> REF _Ref143510015 \r \h </w:instrText>
      </w:r>
      <w:r>
        <w:rPr>
          <w:szCs w:val="20"/>
          <w:rFonts w:cs="Arial"/>
          <w:color w:val="000000"/>
        </w:rPr>
        <w:fldChar w:fldCharType="separate"/>
      </w:r>
      <w:r>
        <w:rPr>
          <w:szCs w:val="20"/>
          <w:rFonts w:cs="Arial"/>
          <w:color w:val="000000"/>
        </w:rPr>
        <w:t>10.1.2</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_Ref143510046 \r \h </w:instrText>
      </w:r>
      <w:r>
        <w:rPr>
          <w:szCs w:val="20"/>
          <w:rFonts w:cs="Arial"/>
          <w:color w:val="000000"/>
        </w:rPr>
        <w:fldChar w:fldCharType="separate"/>
      </w:r>
      <w:r>
        <w:rPr>
          <w:szCs w:val="20"/>
          <w:rFonts w:cs="Arial"/>
          <w:color w:val="000000"/>
        </w:rPr>
        <w:t>10.1.7</w:t>
      </w:r>
      <w:r>
        <w:rPr>
          <w:szCs w:val="20"/>
          <w:rFonts w:cs="Arial"/>
          <w:color w:val="000000"/>
        </w:rPr>
        <w:fldChar w:fldCharType="end"/>
      </w:r>
      <w:r>
        <w:rPr>
          <w:rFonts w:cs="Arial"/>
          <w:color w:val="000000"/>
          <w:szCs w:val="20"/>
        </w:rPr>
        <w:t xml:space="preserve">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cs="Arial"/>
          <w:color w:val="000000"/>
          <w:szCs w:val="20"/>
        </w:rPr>
        <w:fldChar w:fldCharType="begin"/>
      </w:r>
      <w:r>
        <w:rPr>
          <w:szCs w:val="20"/>
          <w:rFonts w:cs="Arial"/>
          <w:color w:val="000000"/>
        </w:rPr>
        <w:instrText xml:space="preserve"> REF _Ref143510088 \r \h </w:instrText>
      </w:r>
      <w:r>
        <w:rPr>
          <w:szCs w:val="20"/>
          <w:rFonts w:cs="Arial"/>
          <w:color w:val="000000"/>
        </w:rPr>
        <w:fldChar w:fldCharType="separate"/>
      </w:r>
      <w:r>
        <w:rPr>
          <w:szCs w:val="20"/>
          <w:rFonts w:cs="Arial"/>
          <w:color w:val="000000"/>
        </w:rPr>
        <w:t>10.1.8</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_Ref143509952 \r \h </w:instrText>
      </w:r>
      <w:r>
        <w:rPr>
          <w:szCs w:val="20"/>
          <w:rFonts w:cs="Arial"/>
          <w:color w:val="000000"/>
        </w:rPr>
        <w:fldChar w:fldCharType="separate"/>
      </w:r>
      <w:r>
        <w:rPr>
          <w:szCs w:val="20"/>
          <w:rFonts w:cs="Arial"/>
          <w:color w:val="000000"/>
        </w:rPr>
        <w:t>10.1.12</w:t>
      </w:r>
      <w:r>
        <w:rPr>
          <w:szCs w:val="20"/>
          <w:rFonts w:cs="Arial"/>
          <w:color w:val="000000"/>
        </w:rPr>
        <w:fldChar w:fldCharType="end"/>
      </w:r>
      <w:r>
        <w:rPr>
          <w:rFonts w:cs="Arial"/>
          <w:color w:val="000000"/>
          <w:szCs w:val="20"/>
        </w:rPr>
        <w:t>, bem como nos demais casos que justifiquem a imposição da penalidade mais grave</w:t>
      </w:r>
      <w:r>
        <w:rPr>
          <w:rFonts w:cs="Arial"/>
        </w:rPr>
        <w:t>;</w:t>
      </w:r>
    </w:p>
    <w:p>
      <w:pPr>
        <w:pStyle w:val="Normal"/>
        <w:numPr>
          <w:ilvl w:val="1"/>
          <w:numId w:val="2"/>
        </w:numPr>
        <w:spacing w:lineRule="auto" w:line="276" w:before="120" w:after="120"/>
        <w:ind w:left="425" w:right="0" w:hanging="0"/>
        <w:jc w:val="both"/>
        <w:rPr/>
      </w:pPr>
      <w:r>
        <w:rPr>
          <w:rFonts w:cs="Arial"/>
          <w:bCs/>
        </w:rPr>
        <w:t>A aplicação das sanções previstas neste Aviso de Contratação Direta não exclui, em hipótese alguma, a obrigação de reparação integral do dano causado à Contratante (</w:t>
      </w:r>
      <w:r>
        <w:fldChar w:fldCharType="begin"/>
      </w:r>
      <w:r>
        <w:rPr>
          <w:rStyle w:val="LinkdaInternet"/>
          <w:bCs/>
          <w:rFonts w:cs="Arial"/>
        </w:rPr>
        <w:instrText xml:space="preserve">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pPr>
      <w:r>
        <w:rPr>
          <w:rFonts w:cs="Arial"/>
          <w:bCs/>
        </w:rPr>
        <w:t xml:space="preserve">Todas as sanções previstas neste Aviso poderão ser aplicadas cumulativamente com a multa </w:t>
      </w:r>
      <w:r>
        <w:fldChar w:fldCharType="begin"/>
      </w:r>
      <w:r>
        <w:rPr>
          <w:rStyle w:val="LinkdaInternet"/>
          <w:bCs/>
          <w:rFonts w:cs="Arial"/>
        </w:rPr>
        <w:instrText xml:space="preserve">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xml:space="preserve">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xml:space="preserve">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pPr>
      <w:r>
        <w:rPr>
          <w:rFonts w:cs="Arial"/>
          <w:bCs/>
        </w:rPr>
        <w:t>Previamente ao encaminhamento à cobrança judicial, a multa poderá ser recolhida administrativamente no prazo máximo de 10</w:t>
      </w:r>
      <w:r>
        <w:rPr>
          <w:rFonts w:cs="Arial"/>
          <w:i/>
          <w:color w:val="111111"/>
        </w:rPr>
        <w:t xml:space="preserve"> (dez)</w:t>
      </w:r>
      <w:r>
        <w:rPr>
          <w:rFonts w:cs="Arial"/>
          <w:bCs/>
          <w:i/>
          <w:iCs/>
        </w:rPr>
        <w:t xml:space="preserve"> </w:t>
      </w:r>
      <w:r>
        <w:rPr>
          <w:rFonts w:cs="Arial"/>
          <w:bCs/>
        </w:rPr>
        <w:t>dias, a contar da data do recebimento da comunicação enviada pela autoridade competente.</w:t>
      </w:r>
      <w:bookmarkStart w:id="20" w:name="_Hlk78351618"/>
      <w:bookmarkEnd w:id="20"/>
    </w:p>
    <w:p>
      <w:pPr>
        <w:pStyle w:val="Normal"/>
        <w:numPr>
          <w:ilvl w:val="1"/>
          <w:numId w:val="2"/>
        </w:numPr>
        <w:spacing w:lineRule="auto" w:line="276" w:before="120" w:after="120"/>
        <w:ind w:left="425" w:right="0" w:hanging="0"/>
        <w:jc w:val="both"/>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xml:space="preserve">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2"/>
        </w:numPr>
        <w:spacing w:lineRule="auto" w:line="276" w:before="120" w:after="120"/>
        <w:ind w:left="425" w:right="0" w:hanging="0"/>
        <w:jc w:val="both"/>
        <w:rPr/>
      </w:pPr>
      <w:r>
        <w:rPr>
          <w:rFonts w:cs="Arial"/>
          <w:bCs/>
        </w:rPr>
        <w:t>Na aplicação das sanções serão considerados (</w:t>
      </w:r>
      <w:r>
        <w:fldChar w:fldCharType="begin"/>
      </w:r>
      <w:r>
        <w:rPr>
          <w:rStyle w:val="LinkdaInternet"/>
          <w:bCs/>
          <w:rFonts w:cs="Arial"/>
        </w:rPr>
        <w:instrText xml:space="preserve">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rFonts w:cs="Arial"/>
          <w:bCs/>
        </w:rPr>
      </w:pPr>
      <w:r>
        <w:rPr>
          <w:rFonts w:cs="Arial"/>
          <w:bCs/>
        </w:rPr>
        <w:t>a natureza e a gravidade da infração cometida;</w:t>
      </w:r>
    </w:p>
    <w:p>
      <w:pPr>
        <w:pStyle w:val="Normal"/>
        <w:numPr>
          <w:ilvl w:val="1"/>
          <w:numId w:val="2"/>
        </w:numPr>
        <w:spacing w:lineRule="auto" w:line="276" w:before="120" w:after="120"/>
        <w:ind w:left="425" w:right="0" w:hanging="0"/>
        <w:jc w:val="both"/>
        <w:rPr>
          <w:rFonts w:cs="Arial"/>
          <w:bCs/>
        </w:rPr>
      </w:pPr>
      <w:r>
        <w:rPr>
          <w:rFonts w:cs="Arial"/>
          <w:bCs/>
        </w:rPr>
        <w:t>as peculiaridades do caso concreto;</w:t>
      </w:r>
    </w:p>
    <w:p>
      <w:pPr>
        <w:pStyle w:val="Normal"/>
        <w:numPr>
          <w:ilvl w:val="1"/>
          <w:numId w:val="2"/>
        </w:numPr>
        <w:spacing w:lineRule="auto" w:line="276" w:before="120" w:after="120"/>
        <w:ind w:left="425" w:right="0" w:hanging="0"/>
        <w:jc w:val="both"/>
        <w:rPr>
          <w:rFonts w:cs="Arial"/>
          <w:bCs/>
        </w:rPr>
      </w:pPr>
      <w:r>
        <w:rPr>
          <w:rFonts w:cs="Arial"/>
          <w:bCs/>
        </w:rPr>
        <w:t>as circunstâncias agravantes ou atenuantes;</w:t>
      </w:r>
    </w:p>
    <w:p>
      <w:pPr>
        <w:pStyle w:val="Normal"/>
        <w:numPr>
          <w:ilvl w:val="1"/>
          <w:numId w:val="2"/>
        </w:numPr>
        <w:spacing w:lineRule="auto" w:line="276" w:before="120" w:after="120"/>
        <w:ind w:left="425" w:right="0" w:hanging="0"/>
        <w:jc w:val="both"/>
        <w:rPr>
          <w:rFonts w:cs="Arial"/>
          <w:bCs/>
        </w:rPr>
      </w:pPr>
      <w:r>
        <w:rPr>
          <w:rFonts w:cs="Arial"/>
          <w:bCs/>
        </w:rPr>
        <w:t>os danos que dela provierem para o Contratante;</w:t>
      </w:r>
    </w:p>
    <w:p>
      <w:pPr>
        <w:pStyle w:val="Normal"/>
        <w:numPr>
          <w:ilvl w:val="1"/>
          <w:numId w:val="2"/>
        </w:numPr>
        <w:spacing w:lineRule="auto" w:line="276" w:before="120" w:after="120"/>
        <w:ind w:left="425" w:right="0"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2"/>
        </w:numPr>
        <w:spacing w:lineRule="auto" w:line="276" w:before="120" w:after="120"/>
        <w:ind w:left="425" w:right="0" w:hanging="0"/>
        <w:jc w:val="both"/>
        <w:rPr/>
      </w:pPr>
      <w:r>
        <w:rPr>
          <w:rFonts w:cs="Arial"/>
          <w:bCs/>
        </w:rPr>
        <w:t xml:space="preserve">Os atos previstos como infrações administrativas na </w:t>
      </w:r>
      <w:hyperlink r:id="rId10">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1">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xml:space="preserve">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xml:space="preserve">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xml:space="preserve">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2"/>
        </w:numPr>
        <w:spacing w:lineRule="auto" w:line="276" w:before="120" w:after="120"/>
        <w:ind w:left="425" w:right="0" w:hanging="0"/>
        <w:jc w:val="both"/>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xml:space="preserve">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2"/>
        </w:numPr>
        <w:spacing w:lineRule="auto" w:line="276" w:before="120" w:after="120"/>
        <w:ind w:left="425" w:right="0"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right="0" w:hanging="0"/>
        <w:jc w:val="both"/>
        <w:rPr>
          <w:rFonts w:cs="Arial"/>
        </w:rPr>
      </w:pPr>
      <w:r>
        <w:rPr>
          <w:rFonts w:cs="Arial"/>
        </w:rPr>
      </w:r>
    </w:p>
    <w:p>
      <w:pPr>
        <w:pStyle w:val="Ttulo1"/>
        <w:numPr>
          <w:ilvl w:val="0"/>
          <w:numId w:val="2"/>
        </w:numPr>
        <w:ind w:left="360" w:right="0" w:hanging="360"/>
        <w:rPr/>
      </w:pPr>
      <w:bookmarkStart w:id="21" w:name="_Toc142925871"/>
      <w:r>
        <w:rPr/>
        <w:t>DAS DISPOSIÇÕES GERAIS</w:t>
      </w:r>
      <w:bookmarkEnd w:id="21"/>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2"/>
        </w:numPr>
        <w:spacing w:lineRule="auto" w:line="276" w:before="120" w:after="120"/>
        <w:jc w:val="both"/>
        <w:rPr>
          <w:rFonts w:cs="Arial"/>
          <w:color w:val="000000"/>
          <w:szCs w:val="20"/>
        </w:rPr>
      </w:pPr>
      <w:bookmarkStart w:id="22" w:name="_Ref143510170"/>
      <w:r>
        <w:rPr>
          <w:rFonts w:cs="Arial"/>
          <w:color w:val="000000"/>
          <w:szCs w:val="20"/>
        </w:rPr>
        <w:t>republicar o presente aviso com uma nova data;</w:t>
      </w:r>
      <w:bookmarkEnd w:id="22"/>
    </w:p>
    <w:p>
      <w:pPr>
        <w:pStyle w:val="Normal"/>
        <w:numPr>
          <w:ilvl w:val="2"/>
          <w:numId w:val="2"/>
        </w:numPr>
        <w:spacing w:lineRule="auto" w:line="276" w:before="120" w:after="120"/>
        <w:jc w:val="both"/>
        <w:rPr>
          <w:rFonts w:cs="Arial"/>
          <w:color w:val="000000"/>
          <w:szCs w:val="20"/>
        </w:rPr>
      </w:pPr>
      <w:bookmarkStart w:id="23"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3"/>
    </w:p>
    <w:p>
      <w:pPr>
        <w:pStyle w:val="Normal"/>
        <w:numPr>
          <w:ilvl w:val="3"/>
          <w:numId w:val="2"/>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2"/>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2"/>
        </w:numPr>
        <w:spacing w:lineRule="auto" w:line="276" w:before="120" w:after="120"/>
        <w:ind w:left="425" w:right="0" w:hanging="0"/>
        <w:jc w:val="both"/>
        <w:rPr/>
      </w:pPr>
      <w:r>
        <w:rPr>
          <w:rFonts w:cs="Arial"/>
          <w:color w:val="000000"/>
          <w:szCs w:val="20"/>
        </w:rPr>
        <w:t xml:space="preserve">As providências dos subitens </w:t>
      </w:r>
      <w:r>
        <w:rPr>
          <w:rFonts w:cs="Arial"/>
          <w:color w:val="000000"/>
          <w:szCs w:val="20"/>
        </w:rPr>
        <w:fldChar w:fldCharType="begin"/>
      </w:r>
      <w:r>
        <w:rPr>
          <w:szCs w:val="20"/>
          <w:rFonts w:cs="Arial"/>
          <w:color w:val="000000"/>
        </w:rPr>
        <w:instrText xml:space="preserve"> REF _Ref143510170 \r \h </w:instrText>
      </w:r>
      <w:r>
        <w:rPr>
          <w:szCs w:val="20"/>
          <w:rFonts w:cs="Arial"/>
          <w:color w:val="000000"/>
        </w:rPr>
        <w:fldChar w:fldCharType="separate"/>
      </w:r>
      <w:r>
        <w:rPr>
          <w:szCs w:val="20"/>
          <w:rFonts w:cs="Arial"/>
          <w:color w:val="000000"/>
        </w:rPr>
        <w:t>11.1.1</w:t>
      </w:r>
      <w:r>
        <w:rPr>
          <w:szCs w:val="20"/>
          <w:rFonts w:cs="Arial"/>
          <w:color w:val="000000"/>
        </w:rPr>
        <w:fldChar w:fldCharType="end"/>
      </w:r>
      <w:r>
        <w:rPr>
          <w:rFonts w:cs="Arial"/>
          <w:color w:val="000000"/>
          <w:szCs w:val="20"/>
        </w:rPr>
        <w:t xml:space="preserve">  e </w:t>
      </w:r>
      <w:r>
        <w:rPr>
          <w:rFonts w:cs="Arial"/>
          <w:color w:val="000000"/>
          <w:szCs w:val="20"/>
        </w:rPr>
        <w:fldChar w:fldCharType="begin"/>
      </w:r>
      <w:r>
        <w:rPr>
          <w:szCs w:val="20"/>
          <w:rFonts w:cs="Arial"/>
          <w:color w:val="000000"/>
        </w:rPr>
        <w:instrText xml:space="preserve"> REF _Ref143510198 \r \h </w:instrText>
      </w:r>
      <w:r>
        <w:rPr>
          <w:szCs w:val="20"/>
          <w:rFonts w:cs="Arial"/>
          <w:color w:val="000000"/>
        </w:rPr>
        <w:fldChar w:fldCharType="separate"/>
      </w:r>
      <w:r>
        <w:rPr>
          <w:szCs w:val="20"/>
          <w:rFonts w:cs="Arial"/>
          <w:color w:val="000000"/>
        </w:rPr>
        <w:t>11.1.2</w:t>
      </w:r>
      <w:r>
        <w:rPr>
          <w:szCs w:val="20"/>
          <w:rFonts w:cs="Arial"/>
          <w:color w:val="000000"/>
        </w:rPr>
        <w:fldChar w:fldCharType="end"/>
      </w:r>
      <w:r>
        <w:rPr>
          <w:rFonts w:cs="Arial"/>
          <w:color w:val="000000"/>
          <w:szCs w:val="20"/>
        </w:rPr>
        <w:t xml:space="preserve"> também poderão ser utilizadas se não houver o comparecimento de quaisquer fornecedores interessados (procedimento deserto).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Da sessão pública será divulgada Ata no sistema eletrônico.</w:t>
      </w:r>
    </w:p>
    <w:p>
      <w:pPr>
        <w:pStyle w:val="Normal"/>
        <w:numPr>
          <w:ilvl w:val="1"/>
          <w:numId w:val="2"/>
        </w:numPr>
        <w:spacing w:lineRule="auto" w:line="276" w:before="120" w:after="120"/>
        <w:ind w:left="425" w:right="0"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2"/>
        </w:numPr>
        <w:spacing w:lineRule="auto" w:line="276" w:before="120" w:after="120"/>
        <w:jc w:val="both"/>
        <w:rPr>
          <w:rFonts w:cs="Arial"/>
          <w:color w:val="000000"/>
          <w:szCs w:val="20"/>
        </w:rPr>
      </w:pPr>
      <w:r>
        <w:rPr>
          <w:rFonts w:cs="Arial"/>
          <w:color w:val="000000"/>
          <w:szCs w:val="20"/>
        </w:rPr>
        <w:t>ANEXO I –  Termo de Referência</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t>........................................... , ......... de ................................. de 20.....</w:t>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w:t>
      </w:r>
    </w:p>
    <w:p>
      <w:pPr>
        <w:pStyle w:val="LONormal"/>
        <w:spacing w:lineRule="auto" w:line="240" w:before="0" w:after="0"/>
        <w:jc w:val="center"/>
        <w:rPr>
          <w:rFonts w:ascii="Calibri" w:hAnsi="Calibri" w:cs="Calibri"/>
        </w:rPr>
      </w:pPr>
      <w:r>
        <w:rPr>
          <w:rFonts w:cs="Calibri" w:ascii="Calibri" w:hAnsi="Calibri"/>
        </w:rPr>
        <w:t>DANUZE  PEREIRA DE CARVALHO MOURA</w:t>
      </w:r>
    </w:p>
    <w:p>
      <w:pPr>
        <w:pStyle w:val="LONormal"/>
        <w:spacing w:lineRule="auto" w:line="240" w:before="0" w:after="0"/>
        <w:jc w:val="center"/>
        <w:rPr>
          <w:rFonts w:ascii="Calibri" w:hAnsi="Calibri" w:cs="Calibri"/>
        </w:rPr>
      </w:pPr>
      <w:r>
        <w:rPr>
          <w:rFonts w:cs="Calibri" w:ascii="Calibri" w:hAnsi="Calibri"/>
        </w:rPr>
        <w:t>Capitão de Mar e Guerra (Md)</w:t>
      </w:r>
    </w:p>
    <w:p>
      <w:pPr>
        <w:pStyle w:val="LONormal"/>
        <w:spacing w:lineRule="auto" w:line="240" w:before="0" w:after="0"/>
        <w:jc w:val="center"/>
        <w:rPr/>
      </w:pPr>
      <w:r>
        <w:rPr>
          <w:rStyle w:val="Fontepargpadro1"/>
          <w:rFonts w:eastAsia="Arial" w:cs="Calibri" w:ascii="Calibri" w:hAnsi="Calibri"/>
          <w:b w:val="false"/>
          <w:bCs w:val="false"/>
          <w:iCs/>
          <w:color w:val="000000"/>
          <w:kern w:val="0"/>
          <w:sz w:val="24"/>
          <w:szCs w:val="20"/>
          <w:lang w:val="pt-BR" w:eastAsia="en-US" w:bidi="ar-SA"/>
        </w:rPr>
        <w:t>Ordenadora de Despesas</w:t>
      </w:r>
    </w:p>
    <w:p>
      <w:pPr>
        <w:pStyle w:val="Normal"/>
        <w:spacing w:lineRule="auto" w:line="276"/>
        <w:jc w:val="both"/>
        <w:rPr>
          <w:rFonts w:cs="Arial"/>
          <w:szCs w:val="20"/>
        </w:rPr>
      </w:pPr>
      <w:r>
        <w:rPr>
          <w:rFonts w:cs="Arial"/>
          <w:szCs w:val="20"/>
        </w:rPr>
      </w:r>
    </w:p>
    <w:p>
      <w:pPr>
        <w:pStyle w:val="Normal"/>
        <w:jc w:val="center"/>
        <w:rPr>
          <w:rFonts w:cs="Arial"/>
          <w:b/>
          <w:b/>
          <w:bCs/>
          <w:lang w:eastAsia="en-US"/>
        </w:rPr>
      </w:pPr>
      <w:r>
        <w:rPr>
          <w:rFonts w:cs="Arial"/>
          <w:b/>
          <w:bCs/>
          <w:lang w:eastAsia="en-US"/>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sectPr>
          <w:headerReference w:type="default" r:id="rId12"/>
          <w:headerReference w:type="first" r:id="rId13"/>
          <w:footerReference w:type="default" r:id="rId14"/>
          <w:type w:val="nextPage"/>
          <w:pgSz w:w="11906" w:h="16838"/>
          <w:pgMar w:left="1701" w:right="1701" w:gutter="0" w:header="0" w:top="1417" w:footer="708" w:bottom="1417"/>
          <w:pgNumType w:fmt="decimal"/>
          <w:formProt w:val="false"/>
          <w:titlePg/>
          <w:textDirection w:val="lrTb"/>
          <w:docGrid w:type="default" w:linePitch="360" w:charSpace="0"/>
        </w:sectPr>
        <w:pStyle w:val="Normal"/>
        <w:rPr/>
      </w:pPr>
      <w:r>
        <w:rPr/>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drawing>
          <wp:anchor behindDoc="0" distT="0" distB="0" distL="0" distR="0" simplePos="0" locked="0" layoutInCell="0" allowOverlap="1" relativeHeight="4">
            <wp:simplePos x="0" y="0"/>
            <wp:positionH relativeFrom="column">
              <wp:posOffset>2324735</wp:posOffset>
            </wp:positionH>
            <wp:positionV relativeFrom="paragraph">
              <wp:posOffset>-50165</wp:posOffset>
            </wp:positionV>
            <wp:extent cx="728980" cy="738505"/>
            <wp:effectExtent l="0" t="0" r="0" b="0"/>
            <wp:wrapTopAndBottom/>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5"/>
                    <a:stretch>
                      <a:fillRect/>
                    </a:stretch>
                  </pic:blipFill>
                  <pic:spPr bwMode="auto">
                    <a:xfrm>
                      <a:off x="0" y="0"/>
                      <a:ext cx="728980" cy="738505"/>
                    </a:xfrm>
                    <a:prstGeom prst="rect">
                      <a:avLst/>
                    </a:prstGeom>
                  </pic:spPr>
                </pic:pic>
              </a:graphicData>
            </a:graphic>
          </wp:anchor>
        </w:drawing>
      </w:r>
      <w:r>
        <w:rPr>
          <w:rFonts w:eastAsia="Arial" w:cs="Calibri" w:ascii="Calibri" w:hAnsi="Calibri"/>
          <w:b/>
          <w:bCs/>
          <w:i w:val="false"/>
          <w:iCs w:val="false"/>
          <w:color w:val="000000"/>
          <w:kern w:val="0"/>
          <w:sz w:val="24"/>
          <w:szCs w:val="24"/>
          <w:lang w:val="pt-BR" w:eastAsia="zh-CN" w:bidi="ar-SA"/>
        </w:rPr>
        <w:t>TERMO DE REFERÊNCIA</w:t>
      </w:r>
    </w:p>
    <w:p>
      <w:pPr>
        <w:pStyle w:val="LONormal"/>
        <w:spacing w:lineRule="auto" w:line="240" w:before="119" w:after="119"/>
        <w:jc w:val="center"/>
        <w:rPr>
          <w:rFonts w:ascii="Calibri" w:hAnsi="Calibri"/>
          <w:sz w:val="24"/>
          <w:szCs w:val="24"/>
        </w:rPr>
      </w:pPr>
      <w:r>
        <w:rPr>
          <w:rFonts w:eastAsia="Arial" w:cs="Calibri" w:ascii="Calibri" w:hAnsi="Calibri"/>
          <w:b/>
          <w:bCs/>
          <w:i w:val="false"/>
          <w:iCs w:val="false"/>
          <w:color w:val="000000"/>
          <w:kern w:val="0"/>
          <w:sz w:val="24"/>
          <w:szCs w:val="24"/>
          <w:lang w:val="pt-BR" w:eastAsia="zh-CN" w:bidi="ar-SA"/>
        </w:rPr>
        <w:t>SISTEMA DE DISPENSA ELETRÔNICA</w:t>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r>
    </w:p>
    <w:p>
      <w:pPr>
        <w:pStyle w:val="LONormal"/>
        <w:spacing w:lineRule="auto" w:line="240" w:before="119" w:after="119"/>
        <w:jc w:val="center"/>
        <w:rPr/>
      </w:pPr>
      <w:r>
        <w:rPr>
          <w:rStyle w:val="Fontepargpadro1"/>
          <w:rFonts w:eastAsia="Arial" w:cs="Calibri" w:ascii="Calibri" w:hAnsi="Calibri"/>
          <w:b/>
          <w:bCs/>
          <w:i w:val="false"/>
          <w:iCs w:val="false"/>
          <w:color w:val="000000"/>
          <w:kern w:val="0"/>
          <w:sz w:val="24"/>
          <w:szCs w:val="24"/>
          <w:lang w:val="pt-BR" w:eastAsia="zh-CN" w:bidi="ar-SA"/>
        </w:rPr>
        <w:t>POLICLÍNICA NAVAL NOSSA SENHORA DA GLÓRIA</w:t>
      </w:r>
    </w:p>
    <w:p>
      <w:pPr>
        <w:pStyle w:val="Normal"/>
        <w:spacing w:lineRule="auto" w:line="240" w:before="119" w:after="119"/>
        <w:jc w:val="center"/>
        <w:rPr/>
      </w:pPr>
      <w:r>
        <w:rPr>
          <w:rStyle w:val="Fontepargpadro"/>
          <w:rFonts w:eastAsia="Arial" w:cs="Calibri" w:ascii="Calibri" w:hAnsi="Calibri"/>
          <w:b/>
          <w:bCs/>
          <w:i w:val="false"/>
          <w:iCs w:val="false"/>
          <w:color w:val="000000"/>
          <w:kern w:val="0"/>
          <w:sz w:val="24"/>
          <w:szCs w:val="24"/>
          <w:lang w:val="pt-BR" w:eastAsia="zh-CN" w:bidi="ar-SA"/>
        </w:rPr>
        <w:t>PROCESSO ADMINISTRATIVO Nº</w:t>
      </w:r>
      <w:r>
        <w:rPr>
          <w:rStyle w:val="Fontepargpadro"/>
          <w:rFonts w:eastAsia="Arial" w:cs="Calibri" w:ascii="Calibri" w:hAnsi="Calibri"/>
          <w:b/>
          <w:bCs/>
          <w:i w:val="false"/>
          <w:iCs w:val="false"/>
          <w:color w:val="000000"/>
          <w:kern w:val="0"/>
          <w:sz w:val="24"/>
          <w:szCs w:val="24"/>
          <w:u w:val="none"/>
          <w:shd w:fill="auto" w:val="clear"/>
          <w:lang w:val="pt-BR" w:eastAsia="zh-CN" w:bidi="ar-SA"/>
        </w:rPr>
        <w:t xml:space="preserve"> </w:t>
      </w:r>
      <w:r>
        <w:rPr>
          <w:rStyle w:val="Nfaseforte"/>
          <w:rFonts w:eastAsia="Arial" w:cs="Arial" w:ascii="Calibri" w:hAnsi="Calibri"/>
          <w:i w:val="false"/>
          <w:iCs w:val="false"/>
          <w:color w:val="000000"/>
          <w:kern w:val="0"/>
          <w:sz w:val="24"/>
          <w:szCs w:val="20"/>
          <w:u w:val="none"/>
          <w:shd w:fill="auto" w:val="clear"/>
          <w:lang w:val="pt-BR" w:eastAsia="ar-SA" w:bidi="ar-SA"/>
        </w:rPr>
        <w:t xml:space="preserve">63065.003339/2024-17 </w:t>
      </w:r>
    </w:p>
    <w:p>
      <w:pPr>
        <w:pStyle w:val="Normal"/>
        <w:spacing w:lineRule="auto" w:line="240" w:before="119" w:after="119"/>
        <w:jc w:val="center"/>
        <w:rPr>
          <w:rStyle w:val="Nfaseforte"/>
          <w:rFonts w:ascii="Calibri" w:hAnsi="Calibri" w:eastAsia="Arial" w:cs="Arial"/>
          <w:b/>
          <w:b/>
          <w:bCs/>
          <w:i w:val="false"/>
          <w:i w:val="false"/>
          <w:iCs w:val="false"/>
          <w:color w:val="000000"/>
          <w:kern w:val="0"/>
          <w:sz w:val="24"/>
          <w:szCs w:val="20"/>
          <w:lang w:val="pt-BR" w:eastAsia="ar-SA" w:bidi="ar-SA"/>
        </w:rPr>
      </w:pPr>
      <w:r>
        <w:rPr>
          <w:rFonts w:eastAsia="Arial" w:cs="Arial" w:ascii="Calibri" w:hAnsi="Calibri"/>
          <w:b/>
          <w:bCs/>
          <w:i w:val="false"/>
          <w:iCs w:val="false"/>
          <w:color w:val="000000"/>
          <w:kern w:val="0"/>
          <w:sz w:val="24"/>
          <w:szCs w:val="20"/>
          <w:lang w:val="pt-BR" w:eastAsia="ar-SA" w:bidi="ar-SA"/>
        </w:rPr>
      </w:r>
    </w:p>
    <w:p>
      <w:pPr>
        <w:pStyle w:val="Standard"/>
        <w:bidi w:val="0"/>
        <w:spacing w:lineRule="auto" w:line="276"/>
        <w:jc w:val="center"/>
        <w:rPr/>
      </w:pPr>
      <w:r>
        <w:rPr>
          <w:rFonts w:eastAsia="Arial" w:cs="Arial" w:ascii="Arial" w:hAnsi="Arial"/>
          <w:b/>
          <w:bCs/>
          <w:i/>
          <w:iCs/>
          <w:sz w:val="20"/>
          <w:szCs w:val="20"/>
        </w:rPr>
        <w:t xml:space="preserve">   </w:t>
      </w:r>
      <w:r>
        <w:rPr>
          <w:rFonts w:eastAsia="Times New Roman" w:cs="Arial" w:ascii="Arial" w:hAnsi="Arial"/>
          <w:b/>
          <w:bCs/>
          <w:i/>
          <w:iCs/>
          <w:sz w:val="20"/>
          <w:szCs w:val="20"/>
        </w:rPr>
        <w:t xml:space="preserve">ANEXO I - TERMO DE REFERÊNCIA </w:t>
      </w:r>
    </w:p>
    <w:p>
      <w:pPr>
        <w:pStyle w:val="Nivel2"/>
        <w:widowControl/>
        <w:numPr>
          <w:ilvl w:val="0"/>
          <w:numId w:val="0"/>
        </w:numPr>
        <w:suppressAutoHyphens w:val="true"/>
        <w:bidi w:val="0"/>
        <w:spacing w:lineRule="auto" w:line="276" w:before="177" w:after="177"/>
        <w:ind w:left="964" w:right="0" w:hanging="0"/>
        <w:jc w:val="both"/>
        <w:textAlignment w:val="baseline"/>
        <w:rPr/>
      </w:pPr>
      <w:r>
        <w:rPr>
          <w:rFonts w:cs="Arial" w:ascii="Arial" w:hAnsi="Arial"/>
          <w:b/>
          <w:bCs/>
          <w:color w:val="auto"/>
          <w:sz w:val="20"/>
          <w:szCs w:val="20"/>
        </w:rPr>
        <w:t>1.CONDIÇÕES GERAIS DA CONTRATAÇÃO</w:t>
      </w:r>
    </w:p>
    <w:p>
      <w:pPr>
        <w:pStyle w:val="Nivel2"/>
        <w:widowControl/>
        <w:numPr>
          <w:ilvl w:val="1"/>
          <w:numId w:val="8"/>
        </w:numPr>
        <w:suppressAutoHyphens w:val="true"/>
        <w:bidi w:val="0"/>
        <w:spacing w:lineRule="auto" w:line="276" w:before="177" w:after="177"/>
        <w:ind w:left="964" w:right="0" w:hanging="454"/>
        <w:jc w:val="both"/>
        <w:textAlignment w:val="baseline"/>
        <w:rPr/>
      </w:pPr>
      <w:r>
        <w:rPr>
          <w:rFonts w:cs="Arial" w:ascii="Arial" w:hAnsi="Arial"/>
          <w:color w:val="auto"/>
          <w:sz w:val="20"/>
          <w:szCs w:val="20"/>
        </w:rPr>
        <w:t>Contratação de fornecedor especializado na prestação de serviço em eventos protocolares de caráter institucional, com o respectivo fornecimento de materiais e todo o serviço de apoio, incluindo profissionais e demais itens para suprir às necessidades deste Serviço, visando atender à Policlínica Naval Nossa Senhora da Glória, conforme condições, quantidades e exigências estabelecidas no termo de referência, em atenção aos contidos nas Portaria MB/MD n° 35, de 17 de janeiro de 2022 e Portaria DGPM n° 18, de 27 de abril de 2023, que estabelecem os eventos protocolares e solenidades passíveis de aplicação de recursos públicos conforme regulamentado pela Portaria n° 4.036/GM-MD, de 2 de dezembro de 2020.</w:t>
      </w:r>
    </w:p>
    <w:p>
      <w:pPr>
        <w:pStyle w:val="Nivel2"/>
        <w:widowControl/>
        <w:numPr>
          <w:ilvl w:val="1"/>
          <w:numId w:val="8"/>
        </w:numPr>
        <w:suppressAutoHyphens w:val="true"/>
        <w:bidi w:val="0"/>
        <w:spacing w:lineRule="auto" w:line="276" w:before="177" w:after="177"/>
        <w:ind w:left="964" w:right="0" w:hanging="454"/>
        <w:jc w:val="both"/>
        <w:textAlignment w:val="baseline"/>
        <w:rPr>
          <w:rFonts w:ascii="Arial" w:hAnsi="Arial" w:cs="Arial"/>
          <w:sz w:val="20"/>
          <w:szCs w:val="20"/>
        </w:rPr>
      </w:pPr>
      <w:r>
        <w:rPr>
          <w:rFonts w:cs="Arial" w:ascii="Arial" w:hAnsi="Arial"/>
          <w:sz w:val="20"/>
          <w:szCs w:val="20"/>
        </w:rPr>
        <w:t>O objeto da presente dispensa é a escolha da proposta mais vantajosa para a contratação por dispensa de licitação de serviço de buffet nos termos da tabela abaixo, conforme condições e exigências estabelecidas neste instrumento.</w:t>
      </w:r>
    </w:p>
    <w:tbl>
      <w:tblPr>
        <w:tblW w:w="9719" w:type="dxa"/>
        <w:jc w:val="left"/>
        <w:tblInd w:w="-5" w:type="dxa"/>
        <w:tblLayout w:type="fixed"/>
        <w:tblCellMar>
          <w:top w:w="0" w:type="dxa"/>
          <w:left w:w="10" w:type="dxa"/>
          <w:bottom w:w="0" w:type="dxa"/>
          <w:right w:w="10" w:type="dxa"/>
        </w:tblCellMar>
      </w:tblPr>
      <w:tblGrid>
        <w:gridCol w:w="708"/>
        <w:gridCol w:w="2264"/>
        <w:gridCol w:w="992"/>
        <w:gridCol w:w="1418"/>
        <w:gridCol w:w="1422"/>
        <w:gridCol w:w="1277"/>
        <w:gridCol w:w="1637"/>
      </w:tblGrid>
      <w:tr>
        <w:trPr/>
        <w:tc>
          <w:tcPr>
            <w:tcW w:w="708"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ITEM</w:t>
            </w:r>
          </w:p>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r>
          </w:p>
        </w:tc>
        <w:tc>
          <w:tcPr>
            <w:tcW w:w="2264"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ESPECIFICAÇÃO</w:t>
            </w:r>
          </w:p>
        </w:tc>
        <w:tc>
          <w:tcPr>
            <w:tcW w:w="992"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CATSERV</w:t>
            </w:r>
          </w:p>
        </w:tc>
        <w:tc>
          <w:tcPr>
            <w:tcW w:w="1418"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UNIDADE DE MEDIDA</w:t>
            </w:r>
          </w:p>
        </w:tc>
        <w:tc>
          <w:tcPr>
            <w:tcW w:w="1422"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QUANTIDADE</w:t>
            </w:r>
          </w:p>
        </w:tc>
        <w:tc>
          <w:tcPr>
            <w:tcW w:w="1277" w:type="dxa"/>
            <w:tcBorders>
              <w:top w:val="single" w:sz="4" w:space="0" w:color="000000"/>
              <w:left w:val="single" w:sz="4" w:space="0" w:color="000000"/>
              <w:bottom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VALOR  POR PESSOA</w:t>
            </w:r>
          </w:p>
        </w:tc>
        <w:tc>
          <w:tcPr>
            <w:tcW w:w="1637" w:type="dxa"/>
            <w:tcBorders>
              <w:top w:val="single" w:sz="4" w:space="0" w:color="000000"/>
              <w:left w:val="single" w:sz="4" w:space="0" w:color="000000"/>
              <w:bottom w:val="single" w:sz="4" w:space="0" w:color="000000"/>
              <w:right w:val="single" w:sz="4" w:space="0" w:color="000000"/>
            </w:tcBorders>
          </w:tcPr>
          <w:p>
            <w:pPr>
              <w:pStyle w:val="Standard"/>
              <w:widowControl w:val="false"/>
              <w:bidi w:val="0"/>
              <w:spacing w:lineRule="auto" w:line="276"/>
              <w:jc w:val="center"/>
              <w:rPr>
                <w:rFonts w:ascii="Arial" w:hAnsi="Arial" w:cs="Arial"/>
                <w:b/>
                <w:b/>
                <w:bCs/>
                <w:sz w:val="16"/>
                <w:szCs w:val="16"/>
              </w:rPr>
            </w:pPr>
            <w:r>
              <w:rPr>
                <w:rFonts w:cs="Arial" w:ascii="Arial" w:hAnsi="Arial"/>
                <w:b/>
                <w:bCs/>
                <w:sz w:val="16"/>
                <w:szCs w:val="16"/>
              </w:rPr>
              <w:t>VALOR TOTAL</w:t>
            </w:r>
          </w:p>
        </w:tc>
      </w:tr>
      <w:tr>
        <w:trPr/>
        <w:tc>
          <w:tcPr>
            <w:tcW w:w="708" w:type="dxa"/>
            <w:tcBorders>
              <w:top w:val="single" w:sz="4" w:space="0" w:color="000000"/>
              <w:left w:val="single" w:sz="4" w:space="0" w:color="000000"/>
              <w:bottom w:val="single" w:sz="4" w:space="0" w:color="000000"/>
            </w:tcBorders>
          </w:tcPr>
          <w:p>
            <w:pPr>
              <w:pStyle w:val="Contedodatabela"/>
              <w:widowControl w:val="false"/>
              <w:jc w:val="center"/>
              <w:rPr>
                <w:rFonts w:ascii="Arial" w:hAnsi="Arial" w:cs="Arial"/>
                <w:b/>
                <w:b/>
                <w:bCs/>
                <w:color w:val="000000"/>
                <w:sz w:val="16"/>
                <w:szCs w:val="16"/>
              </w:rPr>
            </w:pPr>
            <w:r>
              <w:rPr>
                <w:rFonts w:cs="Arial" w:ascii="Arial" w:hAnsi="Arial"/>
                <w:b/>
                <w:bCs/>
                <w:color w:val="000000"/>
                <w:sz w:val="16"/>
                <w:szCs w:val="16"/>
              </w:rPr>
              <w:t>1</w:t>
            </w:r>
          </w:p>
        </w:tc>
        <w:tc>
          <w:tcPr>
            <w:tcW w:w="2264" w:type="dxa"/>
            <w:tcBorders>
              <w:top w:val="single" w:sz="4" w:space="0" w:color="000000"/>
              <w:left w:val="single" w:sz="4" w:space="0" w:color="000000"/>
              <w:bottom w:val="single" w:sz="4" w:space="0" w:color="000000"/>
            </w:tcBorders>
          </w:tcPr>
          <w:p>
            <w:pPr>
              <w:pStyle w:val="Standard"/>
              <w:widowControl w:val="false"/>
              <w:tabs>
                <w:tab w:val="clear" w:pos="708"/>
                <w:tab w:val="left" w:pos="855" w:leader="none"/>
              </w:tabs>
              <w:spacing w:before="119" w:after="119"/>
              <w:jc w:val="both"/>
              <w:rPr/>
            </w:pPr>
            <w:r>
              <w:rPr>
                <w:rStyle w:val="Fontepargpadro1"/>
                <w:rFonts w:eastAsia="NSimSun" w:cs="Arial" w:ascii="Arial" w:hAnsi="Arial"/>
                <w:color w:val="000000"/>
                <w:sz w:val="16"/>
                <w:szCs w:val="16"/>
              </w:rPr>
              <w:t>Servi</w:t>
            </w:r>
            <w:r>
              <w:rPr>
                <w:rFonts w:cs="Arial" w:ascii="Arial" w:hAnsi="Arial"/>
                <w:color w:val="000000"/>
                <w:sz w:val="16"/>
                <w:szCs w:val="16"/>
              </w:rPr>
              <w:t xml:space="preserve">ço de Buffet para 200 pessoas. O buffet deverá ser realizado na </w:t>
            </w:r>
            <w:r>
              <w:rPr>
                <w:rFonts w:cs="Arial" w:ascii="Arial" w:hAnsi="Arial"/>
                <w:b/>
                <w:bCs/>
                <w:kern w:val="0"/>
                <w:sz w:val="16"/>
                <w:szCs w:val="16"/>
              </w:rPr>
              <w:t>Avenida Brasil</w:t>
            </w:r>
            <w:bookmarkStart w:id="24" w:name="formResultado%2525252525252525253Aj_idt7"/>
            <w:bookmarkEnd w:id="24"/>
            <w:r>
              <w:rPr>
                <w:rFonts w:cs="Arial" w:ascii="Arial" w:hAnsi="Arial"/>
                <w:b/>
                <w:bCs/>
                <w:kern w:val="0"/>
                <w:sz w:val="16"/>
                <w:szCs w:val="16"/>
                <w:shd w:fill="auto" w:val="clear"/>
              </w:rPr>
              <w:t xml:space="preserve"> n°</w:t>
            </w:r>
            <w:r>
              <w:rPr>
                <w:rFonts w:cs="Arial" w:ascii="Arial" w:hAnsi="Arial"/>
                <w:b/>
                <w:bCs/>
                <w:kern w:val="0"/>
                <w:sz w:val="16"/>
                <w:szCs w:val="16"/>
              </w:rPr>
              <w:t xml:space="preserve"> 10.592 – Penha, </w:t>
            </w:r>
            <w:r>
              <w:rPr>
                <w:rFonts w:cs="Arial" w:ascii="Arial" w:hAnsi="Arial"/>
                <w:sz w:val="16"/>
                <w:szCs w:val="16"/>
              </w:rPr>
              <w:t xml:space="preserve">CEP </w:t>
            </w:r>
            <w:bookmarkStart w:id="25" w:name="formResultado%2525252525252525253Aj_idt7"/>
            <w:bookmarkEnd w:id="25"/>
            <w:r>
              <w:rPr>
                <w:rFonts w:cs="Arial" w:ascii="Arial" w:hAnsi="Arial"/>
                <w:sz w:val="16"/>
                <w:szCs w:val="16"/>
              </w:rPr>
              <w:t xml:space="preserve">21012-350 - Rio de Janeiro/RJ, </w:t>
            </w:r>
            <w:r>
              <w:rPr>
                <w:rFonts w:cs="Arial" w:ascii="Arial" w:hAnsi="Arial"/>
                <w:b/>
                <w:kern w:val="0"/>
                <w:sz w:val="16"/>
                <w:szCs w:val="16"/>
              </w:rPr>
              <w:t>no dia 12 de dezembro de 2024</w:t>
            </w:r>
            <w:r>
              <w:rPr>
                <w:rFonts w:cs="Arial" w:ascii="Arial" w:hAnsi="Arial"/>
                <w:b/>
                <w:color w:val="000000"/>
                <w:sz w:val="16"/>
                <w:szCs w:val="16"/>
              </w:rPr>
              <w:t>,</w:t>
            </w:r>
            <w:r>
              <w:rPr>
                <w:rFonts w:cs="Arial" w:ascii="Arial" w:hAnsi="Arial"/>
                <w:color w:val="000000"/>
                <w:sz w:val="16"/>
                <w:szCs w:val="16"/>
              </w:rPr>
              <w:t xml:space="preserve"> tendo a duração de 5h. O pessoal necessário para a montagem, produção e serviço será de responsabilidade do contratado.</w:t>
            </w:r>
          </w:p>
          <w:p>
            <w:pPr>
              <w:pStyle w:val="Standard"/>
              <w:widowControl w:val="false"/>
              <w:jc w:val="both"/>
              <w:rPr/>
            </w:pPr>
            <w:r>
              <w:rPr>
                <w:rFonts w:cs="Arial" w:ascii="Arial" w:hAnsi="Arial"/>
                <w:color w:val="000000"/>
                <w:sz w:val="16"/>
                <w:szCs w:val="16"/>
              </w:rPr>
              <w:t xml:space="preserve">A contratada fornecerá buffet completo, conforme </w:t>
            </w:r>
            <w:r>
              <w:rPr>
                <w:rFonts w:eastAsia="SimSun;宋体" w:cs="Arial" w:ascii="Arial" w:hAnsi="Arial"/>
                <w:color w:val="000000"/>
                <w:kern w:val="2"/>
                <w:sz w:val="16"/>
                <w:szCs w:val="16"/>
                <w:lang w:val="pt-BR" w:eastAsia="zh-CN" w:bidi="hi-IN"/>
              </w:rPr>
              <w:t xml:space="preserve">detalhado no </w:t>
            </w:r>
            <w:r>
              <w:rPr>
                <w:rFonts w:cs="Arial" w:ascii="Arial" w:hAnsi="Arial"/>
                <w:color w:val="000000"/>
                <w:sz w:val="16"/>
                <w:szCs w:val="16"/>
              </w:rPr>
              <w:t>Termo de Referência.</w:t>
            </w:r>
          </w:p>
        </w:tc>
        <w:tc>
          <w:tcPr>
            <w:tcW w:w="992" w:type="dxa"/>
            <w:tcBorders>
              <w:top w:val="single" w:sz="4" w:space="0" w:color="000000"/>
              <w:left w:val="single" w:sz="4" w:space="0" w:color="000000"/>
              <w:bottom w:val="single" w:sz="4" w:space="0" w:color="000000"/>
            </w:tcBorders>
            <w:vAlign w:val="center"/>
          </w:tcPr>
          <w:p>
            <w:pPr>
              <w:pStyle w:val="Standard"/>
              <w:widowControl w:val="false"/>
              <w:jc w:val="center"/>
              <w:rPr>
                <w:rFonts w:ascii="Arial" w:hAnsi="Arial" w:cs="Arial"/>
                <w:color w:val="000000"/>
                <w:sz w:val="16"/>
                <w:szCs w:val="16"/>
              </w:rPr>
            </w:pPr>
            <w:r>
              <w:rPr>
                <w:rFonts w:cs="Arial" w:ascii="Arial" w:hAnsi="Arial"/>
                <w:color w:val="000000"/>
                <w:sz w:val="16"/>
                <w:szCs w:val="16"/>
              </w:rPr>
              <w:t>12807</w:t>
            </w:r>
          </w:p>
        </w:tc>
        <w:tc>
          <w:tcPr>
            <w:tcW w:w="1418" w:type="dxa"/>
            <w:tcBorders>
              <w:top w:val="single" w:sz="4" w:space="0" w:color="000000"/>
              <w:left w:val="single" w:sz="4" w:space="0" w:color="000000"/>
              <w:bottom w:val="single" w:sz="4" w:space="0" w:color="000000"/>
            </w:tcBorders>
            <w:vAlign w:val="center"/>
          </w:tcPr>
          <w:p>
            <w:pPr>
              <w:pStyle w:val="Standard"/>
              <w:widowControl w:val="false"/>
              <w:bidi w:val="0"/>
              <w:spacing w:lineRule="auto" w:line="276"/>
              <w:jc w:val="center"/>
              <w:rPr>
                <w:rFonts w:ascii="Arial" w:hAnsi="Arial" w:cs="Arial"/>
                <w:sz w:val="16"/>
                <w:szCs w:val="16"/>
              </w:rPr>
            </w:pPr>
            <w:r>
              <w:rPr>
                <w:rFonts w:cs="Arial" w:ascii="Arial" w:hAnsi="Arial"/>
                <w:sz w:val="16"/>
                <w:szCs w:val="16"/>
              </w:rPr>
              <w:t>UN</w:t>
            </w:r>
          </w:p>
        </w:tc>
        <w:tc>
          <w:tcPr>
            <w:tcW w:w="1422"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color w:val="000000"/>
                <w:sz w:val="16"/>
                <w:szCs w:val="16"/>
              </w:rPr>
            </w:pPr>
            <w:r>
              <w:rPr>
                <w:rFonts w:cs="Arial" w:ascii="Arial" w:hAnsi="Arial"/>
                <w:color w:val="000000"/>
                <w:sz w:val="16"/>
                <w:szCs w:val="16"/>
              </w:rPr>
              <w:t>200</w:t>
            </w:r>
          </w:p>
        </w:tc>
        <w:tc>
          <w:tcPr>
            <w:tcW w:w="1277" w:type="dxa"/>
            <w:tcBorders>
              <w:top w:val="single" w:sz="4" w:space="0" w:color="000000"/>
              <w:left w:val="single" w:sz="4" w:space="0" w:color="000000"/>
              <w:bottom w:val="single" w:sz="4" w:space="0" w:color="000000"/>
            </w:tcBorders>
            <w:vAlign w:val="center"/>
          </w:tcPr>
          <w:p>
            <w:pPr>
              <w:pStyle w:val="Contedodatabela"/>
              <w:widowControl w:val="false"/>
              <w:bidi w:val="0"/>
              <w:jc w:val="center"/>
              <w:rPr>
                <w:rFonts w:ascii="Arial" w:hAnsi="Arial" w:cs="Arial"/>
                <w:color w:val="000000"/>
                <w:sz w:val="16"/>
                <w:szCs w:val="16"/>
              </w:rPr>
            </w:pPr>
            <w:r>
              <w:rPr>
                <w:rFonts w:cs="Arial" w:ascii="Arial" w:hAnsi="Arial"/>
                <w:color w:val="000000"/>
                <w:sz w:val="16"/>
                <w:szCs w:val="16"/>
              </w:rPr>
              <w:t>R$ 99,88</w:t>
            </w:r>
          </w:p>
        </w:tc>
        <w:tc>
          <w:tcPr>
            <w:tcW w:w="1637" w:type="dxa"/>
            <w:tcBorders>
              <w:top w:val="single" w:sz="4" w:space="0" w:color="000000"/>
              <w:left w:val="single" w:sz="4" w:space="0" w:color="000000"/>
              <w:bottom w:val="single" w:sz="4" w:space="0" w:color="000000"/>
              <w:right w:val="single" w:sz="4" w:space="0" w:color="000000"/>
            </w:tcBorders>
            <w:vAlign w:val="center"/>
          </w:tcPr>
          <w:p>
            <w:pPr>
              <w:pStyle w:val="Textbody"/>
              <w:widowControl w:val="false"/>
              <w:suppressAutoHyphens w:val="true"/>
              <w:bidi w:val="0"/>
              <w:spacing w:lineRule="atLeast" w:line="283" w:before="0" w:after="140"/>
              <w:ind w:left="0" w:right="0" w:hanging="0"/>
              <w:jc w:val="center"/>
              <w:textAlignment w:val="baseline"/>
              <w:rPr>
                <w:rFonts w:ascii="Arial" w:hAnsi="Arial" w:cs="Arial"/>
                <w:color w:val="000000"/>
                <w:sz w:val="16"/>
                <w:szCs w:val="16"/>
              </w:rPr>
            </w:pPr>
            <w:r>
              <w:rPr>
                <w:rFonts w:cs="Arial" w:ascii="Arial" w:hAnsi="Arial"/>
                <w:color w:val="000000"/>
                <w:sz w:val="16"/>
                <w:szCs w:val="16"/>
              </w:rPr>
              <w:t>R$ 19.975,00</w:t>
            </w:r>
          </w:p>
        </w:tc>
      </w:tr>
    </w:tbl>
    <w:p>
      <w:pPr>
        <w:pStyle w:val="Corpodotexto"/>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pPr>
      <w:r>
        <w:rPr>
          <w:rFonts w:cs="Arial"/>
          <w:b w:val="false"/>
          <w:bCs w:val="false"/>
          <w:color w:val="000000"/>
          <w:sz w:val="20"/>
          <w:szCs w:val="20"/>
        </w:rPr>
        <w:t>1.3   O objeto desta contratação não se enquadra como sendo de bem de luxo, conforme Decreto nº 10.818, de 27 de setembro de 2021.</w:t>
      </w:r>
    </w:p>
    <w:p>
      <w:pPr>
        <w:pStyle w:val="Nivel2"/>
        <w:numPr>
          <w:ilvl w:val="0"/>
          <w:numId w:val="0"/>
        </w:numPr>
        <w:bidi w:val="0"/>
        <w:ind w:left="720" w:hanging="0"/>
        <w:rPr/>
      </w:pPr>
      <w:r>
        <w:rPr>
          <w:rFonts w:cs="Arial" w:ascii="Arial" w:hAnsi="Arial"/>
          <w:sz w:val="20"/>
          <w:szCs w:val="20"/>
        </w:rPr>
        <w:t>1.4   O prazo de vigência da contratação é de 12 meses contados do(a) aceite da Nota de Empenho ou da assinatura do Contrato, na forma do artigo 105 da Lei n° 14.133/2021.</w:t>
      </w:r>
    </w:p>
    <w:p>
      <w:pPr>
        <w:pStyle w:val="Nivel2"/>
        <w:numPr>
          <w:ilvl w:val="0"/>
          <w:numId w:val="0"/>
        </w:numPr>
        <w:bidi w:val="0"/>
        <w:ind w:left="720" w:hanging="0"/>
        <w:rPr/>
      </w:pPr>
      <w:r>
        <w:rPr>
          <w:rFonts w:cs="Arial" w:ascii="Arial" w:hAnsi="Arial"/>
          <w:sz w:val="20"/>
          <w:szCs w:val="20"/>
        </w:rPr>
        <w:t>1.5    O contrato ou outro instrumento hábil que o substitua oferece maior detalhamento das regras que serão aplicadas em relação à vigência da contratação.</w:t>
      </w:r>
    </w:p>
    <w:p>
      <w:pPr>
        <w:pStyle w:val="Nivel2"/>
        <w:numPr>
          <w:ilvl w:val="0"/>
          <w:numId w:val="0"/>
        </w:numPr>
        <w:bidi w:val="0"/>
        <w:ind w:left="720" w:hanging="0"/>
        <w:rPr/>
      </w:pPr>
      <w:r>
        <w:rPr>
          <w:rFonts w:cs="Arial" w:ascii="Arial" w:hAnsi="Arial"/>
          <w:sz w:val="20"/>
          <w:szCs w:val="20"/>
        </w:rPr>
        <w:t>1.6 Eventuais dúvidas deverão ser encaminhadas para o e-mail:</w:t>
      </w:r>
      <w:bookmarkStart w:id="26" w:name="OBJ_PREFIX_DWT134_ZmEmailObjectHandler"/>
      <w:bookmarkEnd w:id="26"/>
      <w:r>
        <w:rPr>
          <w:rFonts w:cs="Arial" w:ascii="Arial" w:hAnsi="Arial"/>
          <w:sz w:val="20"/>
          <w:szCs w:val="20"/>
        </w:rPr>
        <w:t xml:space="preserve"> </w:t>
      </w:r>
      <w:hyperlink r:id="rId16">
        <w:r>
          <w:rPr>
            <w:rStyle w:val="LinkdaInternet"/>
            <w:rFonts w:cs="Arial" w:ascii="Arial" w:hAnsi="Arial"/>
            <w:sz w:val="20"/>
            <w:szCs w:val="20"/>
          </w:rPr>
          <w:t>marcio.cardoso@marinha.mil.br</w:t>
        </w:r>
      </w:hyperlink>
      <w:r>
        <w:rPr>
          <w:rFonts w:cs="Arial" w:ascii="Arial" w:hAnsi="Arial"/>
          <w:sz w:val="20"/>
          <w:szCs w:val="20"/>
        </w:rPr>
        <w:t xml:space="preserve">, </w:t>
      </w:r>
      <w:hyperlink r:id="rId17">
        <w:r>
          <w:rPr>
            <w:rStyle w:val="LinkdaInternet"/>
            <w:rFonts w:cs="Arial" w:ascii="Arial" w:hAnsi="Arial"/>
            <w:sz w:val="20"/>
            <w:szCs w:val="20"/>
          </w:rPr>
          <w:t>rafaella.leao@marinha.mil.br</w:t>
        </w:r>
      </w:hyperlink>
      <w:r>
        <w:rPr>
          <w:rStyle w:val="LinkdaInternet"/>
          <w:rFonts w:cs="Arial" w:ascii="Arial" w:hAnsi="Arial"/>
          <w:sz w:val="20"/>
          <w:szCs w:val="20"/>
        </w:rPr>
        <w:t xml:space="preserve">, </w:t>
      </w:r>
      <w:hyperlink r:id="rId18">
        <w:r>
          <w:rPr>
            <w:rStyle w:val="LinkdaInternet"/>
            <w:rFonts w:cs="Arial" w:ascii="Arial" w:hAnsi="Arial"/>
            <w:sz w:val="20"/>
            <w:szCs w:val="20"/>
          </w:rPr>
          <w:t>rafaela.vargas@marinha.mil.br</w:t>
        </w:r>
      </w:hyperlink>
      <w:r>
        <w:rPr>
          <w:rStyle w:val="LinkdaInternet"/>
          <w:rFonts w:cs="Arial" w:ascii="Arial" w:hAnsi="Arial"/>
          <w:sz w:val="20"/>
          <w:szCs w:val="20"/>
        </w:rPr>
        <w:t xml:space="preserve">   e </w:t>
      </w:r>
      <w:r>
        <w:rPr>
          <w:rFonts w:cs="Arial" w:ascii="Arial" w:hAnsi="Arial"/>
          <w:sz w:val="20"/>
          <w:szCs w:val="20"/>
        </w:rPr>
        <w:t xml:space="preserve">  </w:t>
      </w:r>
      <w:hyperlink r:id="rId19">
        <w:r>
          <w:rPr>
            <w:rStyle w:val="LinkdaInternet"/>
            <w:rFonts w:cs="Arial" w:ascii="Arial" w:hAnsi="Arial"/>
            <w:sz w:val="20"/>
            <w:szCs w:val="20"/>
          </w:rPr>
          <w:t>diego.eduardo@marinha.mil.br</w:t>
        </w:r>
      </w:hyperlink>
      <w:r>
        <w:rPr>
          <w:rStyle w:val="LinkdaInternet"/>
          <w:rFonts w:cs="Arial" w:ascii="Arial" w:hAnsi="Arial"/>
          <w:sz w:val="20"/>
          <w:szCs w:val="20"/>
        </w:rPr>
        <w:t>.</w:t>
      </w:r>
    </w:p>
    <w:p>
      <w:pPr>
        <w:pStyle w:val="Nivel2"/>
        <w:numPr>
          <w:ilvl w:val="0"/>
          <w:numId w:val="0"/>
        </w:numPr>
        <w:bidi w:val="0"/>
        <w:ind w:left="720" w:hanging="0"/>
        <w:rPr>
          <w:rStyle w:val="LinkdaInternet"/>
          <w:rFonts w:ascii="Arial" w:hAnsi="Arial" w:cs="Arial"/>
          <w:sz w:val="20"/>
          <w:szCs w:val="20"/>
        </w:rPr>
      </w:pPr>
      <w:r>
        <w:rPr>
          <w:rFonts w:cs="Arial" w:ascii="Arial" w:hAnsi="Arial"/>
          <w:sz w:val="20"/>
          <w:szCs w:val="20"/>
        </w:rPr>
      </w:r>
    </w:p>
    <w:p>
      <w:pPr>
        <w:pStyle w:val="Nivel2"/>
        <w:numPr>
          <w:ilvl w:val="0"/>
          <w:numId w:val="8"/>
        </w:numPr>
        <w:bidi w:val="0"/>
        <w:rPr>
          <w:rFonts w:ascii="Arial" w:hAnsi="Arial"/>
          <w:sz w:val="20"/>
          <w:szCs w:val="20"/>
        </w:rPr>
      </w:pPr>
      <w:r>
        <w:rPr>
          <w:rFonts w:cs="Arial" w:ascii="Arial" w:hAnsi="Arial"/>
          <w:b/>
          <w:bCs/>
          <w:sz w:val="20"/>
          <w:szCs w:val="20"/>
        </w:rPr>
        <w:t>FUNDAMENTAÇÃO E DESCRIÇÃO DA NECESSIDADE DA CONTRATAÇÃO</w:t>
      </w:r>
    </w:p>
    <w:p>
      <w:pPr>
        <w:pStyle w:val="Nivel2"/>
        <w:numPr>
          <w:ilvl w:val="1"/>
          <w:numId w:val="8"/>
        </w:numPr>
        <w:bidi w:val="0"/>
        <w:rPr>
          <w:rFonts w:ascii="Arial" w:hAnsi="Arial" w:cs="Arial"/>
          <w:sz w:val="20"/>
          <w:szCs w:val="20"/>
        </w:rPr>
      </w:pPr>
      <w:r>
        <w:rPr>
          <w:rFonts w:cs="Arial" w:ascii="Arial" w:hAnsi="Arial"/>
          <w:sz w:val="20"/>
          <w:szCs w:val="20"/>
        </w:rPr>
        <w:t>A Fundamentação da Contratação e de seus quantitativos encontra-se pormenorizada abaixo:</w:t>
      </w:r>
    </w:p>
    <w:p>
      <w:pPr>
        <w:pStyle w:val="Normal"/>
        <w:widowControl/>
        <w:numPr>
          <w:ilvl w:val="2"/>
          <w:numId w:val="8"/>
        </w:numPr>
        <w:suppressAutoHyphens w:val="true"/>
        <w:bidi w:val="0"/>
        <w:spacing w:lineRule="auto" w:line="240" w:before="0" w:after="0"/>
        <w:ind w:left="1757" w:right="0" w:hanging="510"/>
        <w:jc w:val="both"/>
        <w:textAlignment w:val="baseline"/>
        <w:rPr>
          <w:rFonts w:ascii="Arial" w:hAnsi="Arial"/>
          <w:sz w:val="20"/>
          <w:szCs w:val="20"/>
        </w:rPr>
      </w:pPr>
      <w:r>
        <w:rPr>
          <w:rFonts w:eastAsia="Arial" w:cs="Arial"/>
          <w:b w:val="false"/>
          <w:color w:val="auto"/>
          <w:sz w:val="20"/>
          <w:szCs w:val="20"/>
        </w:rPr>
        <w:t xml:space="preserve">  </w:t>
      </w:r>
      <w:r>
        <w:rPr>
          <w:rFonts w:eastAsia="Arial" w:cs="Arial"/>
          <w:b w:val="false"/>
          <w:color w:val="auto"/>
          <w:sz w:val="20"/>
          <w:szCs w:val="20"/>
        </w:rPr>
        <w:t>O objeto é destinado ao atendimento de demanda específica previamente autorizada na Portaria MB/MD n° 35, de 17 de janeiro de 2022 e Portaria DGPM n° 18, de 27 de abril de 2023, que estabelecem os eventos protocolares e solenidades passíveis de aplicação de recursos públicos conforme regulamentado pela Portaria n° 4.036/GM-MD, de 2 de dezembro de 2020.</w:t>
      </w:r>
    </w:p>
    <w:p>
      <w:pPr>
        <w:pStyle w:val="Nivel2"/>
        <w:numPr>
          <w:ilvl w:val="2"/>
          <w:numId w:val="8"/>
        </w:numPr>
        <w:bidi w:val="0"/>
        <w:rPr>
          <w:rFonts w:ascii="Arial" w:hAnsi="Arial"/>
          <w:sz w:val="20"/>
          <w:szCs w:val="20"/>
        </w:rPr>
      </w:pPr>
      <w:r>
        <w:rPr>
          <w:rFonts w:eastAsia="Arial" w:cs="Arial" w:ascii="Arial" w:hAnsi="Arial"/>
          <w:sz w:val="20"/>
          <w:szCs w:val="20"/>
        </w:rPr>
        <w:t xml:space="preserve"> </w:t>
      </w:r>
      <w:r>
        <w:rPr>
          <w:rFonts w:cs="Arial" w:ascii="Arial" w:hAnsi="Arial"/>
          <w:sz w:val="20"/>
          <w:szCs w:val="20"/>
        </w:rPr>
        <w:t>Por questões de logística, o serviço deverá ser fornecido por uma empresa do estado do Rio de Janeiro, a fim de facilitar a organização e coordenação do evento, a fim de evitar possíveis imprevistos, tendo em vista que a data da realização do evento é 12 de dezembro de 2024.</w:t>
      </w:r>
    </w:p>
    <w:p>
      <w:pPr>
        <w:pStyle w:val="Nvel2Red"/>
        <w:numPr>
          <w:ilvl w:val="1"/>
          <w:numId w:val="8"/>
        </w:numPr>
        <w:tabs>
          <w:tab w:val="clear" w:pos="708"/>
          <w:tab w:val="left" w:pos="855" w:leader="none"/>
        </w:tabs>
        <w:bidi w:val="0"/>
        <w:spacing w:lineRule="auto" w:line="240" w:before="119" w:after="119"/>
        <w:ind w:left="0" w:right="0" w:hanging="0"/>
        <w:contextualSpacing/>
        <w:jc w:val="both"/>
        <w:rPr>
          <w:rFonts w:ascii="Arial" w:hAnsi="Arial" w:cs="Arial"/>
          <w:b w:val="false"/>
          <w:b w:val="false"/>
          <w:bCs w:val="false"/>
          <w:sz w:val="20"/>
          <w:szCs w:val="20"/>
        </w:rPr>
      </w:pPr>
      <w:r>
        <w:rPr>
          <w:rFonts w:cs="Arial" w:ascii="Arial" w:hAnsi="Arial"/>
          <w:b w:val="false"/>
          <w:bCs w:val="false"/>
          <w:iCs/>
          <w:color w:val="000000"/>
          <w:sz w:val="20"/>
          <w:szCs w:val="20"/>
        </w:rPr>
        <w:t>O objeto da contratação está previsto no Plano de Contratações Anual 2024, conforme consta das informações básicas desse termo de referência.</w:t>
      </w:r>
    </w:p>
    <w:p>
      <w:pPr>
        <w:pStyle w:val="Nvel2Red"/>
        <w:numPr>
          <w:ilvl w:val="0"/>
          <w:numId w:val="0"/>
        </w:numPr>
        <w:bidi w:val="0"/>
        <w:ind w:left="1080" w:hanging="0"/>
        <w:rPr>
          <w:rFonts w:cs="Arial"/>
          <w:b/>
          <w:b/>
          <w:bCs/>
          <w:iCs/>
          <w:color w:val="000000"/>
        </w:rPr>
      </w:pPr>
      <w:r>
        <w:rPr>
          <w:rFonts w:cs="Arial"/>
          <w:b/>
          <w:bCs/>
          <w:iCs/>
          <w:color w:val="000000"/>
        </w:rPr>
      </w:r>
    </w:p>
    <w:p>
      <w:pPr>
        <w:pStyle w:val="Nvel2Red"/>
        <w:numPr>
          <w:ilvl w:val="0"/>
          <w:numId w:val="0"/>
        </w:numPr>
        <w:bidi w:val="0"/>
        <w:ind w:left="1080" w:hanging="0"/>
        <w:rPr>
          <w:rFonts w:ascii="Arial" w:hAnsi="Arial"/>
          <w:sz w:val="20"/>
          <w:szCs w:val="20"/>
        </w:rPr>
      </w:pPr>
      <w:r>
        <w:rPr>
          <w:rFonts w:cs="Arial" w:ascii="Arial" w:hAnsi="Arial"/>
          <w:b/>
          <w:bCs/>
          <w:color w:val="000000"/>
          <w:sz w:val="20"/>
          <w:szCs w:val="20"/>
        </w:rPr>
        <w:t>3.   DESCRIÇÃO DA SOLUÇÃO COMO UM TODO CONSIDERADO O CICLO DE VIDA DO OBJETO E ESPECIFICAÇÃO DO PRODUTO.</w:t>
      </w:r>
    </w:p>
    <w:p>
      <w:pPr>
        <w:pStyle w:val="Nvel2Red"/>
        <w:numPr>
          <w:ilvl w:val="0"/>
          <w:numId w:val="0"/>
        </w:numPr>
        <w:bidi w:val="0"/>
        <w:ind w:left="1080" w:hanging="0"/>
        <w:rPr>
          <w:rFonts w:ascii="Arial" w:hAnsi="Arial"/>
          <w:sz w:val="20"/>
          <w:szCs w:val="20"/>
        </w:rPr>
      </w:pPr>
      <w:r>
        <w:rPr>
          <w:rFonts w:eastAsia="Arial" w:cs="Arial" w:ascii="Arial" w:hAnsi="Arial"/>
          <w:b w:val="false"/>
          <w:bCs w:val="false"/>
          <w:color w:val="000000"/>
          <w:sz w:val="20"/>
          <w:szCs w:val="20"/>
        </w:rPr>
        <w:t>3.1.1   A descrição da solução como um todo, encontra-se pormenorizada a seguir:</w:t>
      </w:r>
    </w:p>
    <w:p>
      <w:pPr>
        <w:pStyle w:val="Standard"/>
        <w:widowControl w:val="false"/>
        <w:numPr>
          <w:ilvl w:val="0"/>
          <w:numId w:val="0"/>
        </w:numPr>
        <w:suppressAutoHyphens w:val="false"/>
        <w:bidi w:val="0"/>
        <w:spacing w:lineRule="auto" w:line="276"/>
        <w:ind w:left="1440" w:hanging="0"/>
        <w:jc w:val="both"/>
        <w:rPr>
          <w:rFonts w:ascii="Arial" w:hAnsi="Arial" w:cs="Arial"/>
          <w:b w:val="false"/>
          <w:b w:val="false"/>
          <w:bCs w:val="false"/>
          <w:sz w:val="20"/>
          <w:szCs w:val="20"/>
        </w:rPr>
      </w:pPr>
      <w:r>
        <w:rPr>
          <w:rFonts w:eastAsia="Arial" w:cs="Arial" w:ascii="Arial" w:hAnsi="Arial"/>
          <w:b w:val="false"/>
          <w:bCs w:val="false"/>
          <w:sz w:val="20"/>
          <w:szCs w:val="20"/>
        </w:rPr>
        <w:t xml:space="preserve">3.1.2.  Serviço de buffet para 200 pessoas. O serviço será realizado na Avenida Brasil, 10.592 - Penha - CEP 21012-350 - Rio de Janeiro, </w:t>
      </w:r>
      <w:r>
        <w:rPr>
          <w:rFonts w:eastAsia="Arial" w:cs="Arial" w:ascii="Arial" w:hAnsi="Arial"/>
          <w:b w:val="false"/>
          <w:bCs w:val="false"/>
          <w:color w:val="000000"/>
          <w:sz w:val="20"/>
          <w:szCs w:val="20"/>
          <w:lang w:val="pt-BR" w:eastAsia="zh-CN" w:bidi="ar-SA"/>
        </w:rPr>
        <w:t>dia 12 de dezembro</w:t>
      </w:r>
      <w:r>
        <w:rPr>
          <w:rFonts w:eastAsia="Arial" w:cs="Arial" w:ascii="Arial" w:hAnsi="Arial"/>
          <w:b w:val="false"/>
          <w:bCs w:val="false"/>
          <w:sz w:val="20"/>
          <w:szCs w:val="20"/>
        </w:rPr>
        <w:t xml:space="preserve"> de 2024, </w:t>
      </w:r>
      <w:r>
        <w:rPr>
          <w:rFonts w:eastAsia="Arial" w:cs="Arial" w:ascii="Arial" w:hAnsi="Arial"/>
          <w:b w:val="false"/>
          <w:bCs w:val="false"/>
          <w:color w:val="auto"/>
          <w:sz w:val="20"/>
          <w:szCs w:val="20"/>
          <w:lang w:val="pt-BR" w:eastAsia="zh-CN" w:bidi="ar-SA"/>
        </w:rPr>
        <w:t>às 11h</w:t>
      </w:r>
      <w:r>
        <w:rPr>
          <w:rFonts w:eastAsia="Arial" w:cs="Arial" w:ascii="Arial" w:hAnsi="Arial"/>
          <w:b w:val="false"/>
          <w:bCs w:val="false"/>
          <w:sz w:val="20"/>
          <w:szCs w:val="20"/>
        </w:rPr>
        <w:t>, tendo a duração de 5h.</w:t>
      </w:r>
    </w:p>
    <w:p>
      <w:pPr>
        <w:pStyle w:val="Standard"/>
        <w:widowControl w:val="false"/>
        <w:numPr>
          <w:ilvl w:val="0"/>
          <w:numId w:val="0"/>
        </w:numPr>
        <w:suppressAutoHyphens w:val="false"/>
        <w:bidi w:val="0"/>
        <w:spacing w:lineRule="auto" w:line="276"/>
        <w:ind w:left="1440" w:hanging="0"/>
        <w:jc w:val="both"/>
        <w:rPr>
          <w:rFonts w:ascii="Arial" w:hAnsi="Arial" w:cs="Arial"/>
          <w:b w:val="false"/>
          <w:b w:val="false"/>
          <w:bCs w:val="false"/>
          <w:sz w:val="20"/>
          <w:szCs w:val="20"/>
        </w:rPr>
      </w:pPr>
      <w:r>
        <w:rPr>
          <w:rFonts w:eastAsia="Arial" w:cs="Arial" w:ascii="Arial" w:hAnsi="Arial"/>
          <w:b w:val="false"/>
          <w:bCs w:val="false"/>
          <w:sz w:val="20"/>
          <w:szCs w:val="20"/>
        </w:rPr>
        <w:t>3.1.3.  O pessoal necessário para a montagem, produção e serviço será de responsabilidade do contratado.</w:t>
      </w:r>
    </w:p>
    <w:p>
      <w:pPr>
        <w:pStyle w:val="Standard"/>
        <w:widowControl w:val="false"/>
        <w:numPr>
          <w:ilvl w:val="0"/>
          <w:numId w:val="0"/>
        </w:numPr>
        <w:suppressAutoHyphens w:val="false"/>
        <w:bidi w:val="0"/>
        <w:spacing w:lineRule="auto" w:line="276"/>
        <w:ind w:left="1440" w:hanging="0"/>
        <w:jc w:val="both"/>
        <w:rPr>
          <w:rFonts w:ascii="Arial" w:hAnsi="Arial" w:cs="Arial"/>
          <w:b w:val="false"/>
          <w:b w:val="false"/>
          <w:bCs w:val="false"/>
          <w:sz w:val="20"/>
          <w:szCs w:val="20"/>
        </w:rPr>
      </w:pPr>
      <w:r>
        <w:rPr>
          <w:rFonts w:eastAsia="Arial" w:cs="Arial" w:ascii="Arial" w:hAnsi="Arial"/>
          <w:b w:val="false"/>
          <w:bCs w:val="false"/>
          <w:sz w:val="20"/>
          <w:szCs w:val="20"/>
        </w:rPr>
        <w:t xml:space="preserve">3.1.4.  A contratada fornecerá </w:t>
      </w:r>
      <w:r>
        <w:rPr>
          <w:rFonts w:eastAsia="Arial" w:cs="Arial" w:ascii="Arial" w:hAnsi="Arial"/>
          <w:b w:val="false"/>
          <w:bCs w:val="false"/>
          <w:color w:val="000000"/>
          <w:sz w:val="20"/>
          <w:szCs w:val="20"/>
          <w:lang w:val="pt-BR" w:eastAsia="zh-CN" w:bidi="ar-SA"/>
        </w:rPr>
        <w:t>buffet conforme detalhado neste Termo de Referência</w:t>
      </w:r>
      <w:r>
        <w:rPr>
          <w:rFonts w:eastAsia="Arial" w:cs="Arial" w:ascii="Arial" w:hAnsi="Arial"/>
          <w:b w:val="false"/>
          <w:bCs w:val="false"/>
          <w:sz w:val="20"/>
          <w:szCs w:val="20"/>
        </w:rPr>
        <w:t xml:space="preserve">, serviço volante de pequenas porções de entradas, carnes, opções de acompanhamentos, sobremesas, bebidas não alcoólicas, com o fornecimento de material para servir (palamentas). </w:t>
      </w:r>
    </w:p>
    <w:p>
      <w:pPr>
        <w:pStyle w:val="Standard"/>
        <w:widowControl w:val="false"/>
        <w:numPr>
          <w:ilvl w:val="0"/>
          <w:numId w:val="0"/>
        </w:numPr>
        <w:suppressAutoHyphens w:val="false"/>
        <w:bidi w:val="0"/>
        <w:spacing w:lineRule="auto" w:line="276"/>
        <w:ind w:left="1440" w:hanging="0"/>
        <w:jc w:val="both"/>
        <w:rPr>
          <w:rFonts w:ascii="Arial" w:hAnsi="Arial" w:cs="Arial"/>
          <w:b w:val="false"/>
          <w:b w:val="false"/>
          <w:bCs w:val="false"/>
          <w:sz w:val="20"/>
          <w:szCs w:val="20"/>
        </w:rPr>
      </w:pPr>
      <w:r>
        <w:rPr>
          <w:rFonts w:eastAsia="Arial" w:cs="Arial" w:ascii="Arial" w:hAnsi="Arial"/>
          <w:b w:val="false"/>
          <w:bCs w:val="false"/>
          <w:sz w:val="20"/>
          <w:szCs w:val="20"/>
        </w:rPr>
        <w:t>3.1.5.  A quantidade a ser servida deve estar adequada ao número de convidados; não deve, portanto, ser excessiva tampouco denotar escassez, sobretudo para os convidados servidos por último.</w:t>
      </w:r>
    </w:p>
    <w:p>
      <w:pPr>
        <w:pStyle w:val="Nivel2"/>
        <w:widowControl/>
        <w:numPr>
          <w:ilvl w:val="0"/>
          <w:numId w:val="0"/>
        </w:numPr>
        <w:suppressAutoHyphens w:val="true"/>
        <w:bidi w:val="0"/>
        <w:spacing w:lineRule="auto" w:line="276" w:before="177" w:after="177"/>
        <w:ind w:left="567" w:right="0" w:hanging="0"/>
        <w:jc w:val="both"/>
        <w:textAlignment w:val="baseline"/>
        <w:rPr>
          <w:rFonts w:ascii="Arial" w:hAnsi="Arial" w:cs="Arial"/>
          <w:b w:val="false"/>
          <w:b w:val="false"/>
          <w:bCs w:val="false"/>
          <w:sz w:val="20"/>
          <w:szCs w:val="20"/>
        </w:rPr>
      </w:pPr>
      <w:r>
        <w:rPr>
          <w:rFonts w:cs="Arial" w:ascii="Arial" w:hAnsi="Arial"/>
          <w:b w:val="false"/>
          <w:bCs w:val="false"/>
          <w:sz w:val="20"/>
          <w:szCs w:val="20"/>
        </w:rPr>
        <w:t>3.1.6.  O transporte das matérias-primas, insumos e produtos semielaborados deverá ser realizado em veículo apropriado, devidamente higienizado e climatizado. Os gêneros alimentícios, dependendo de sua natureza, deverão ser acondicionados em recipientes térmicos hermeticamente fechados.</w:t>
      </w:r>
    </w:p>
    <w:p>
      <w:pPr>
        <w:pStyle w:val="Nivel2"/>
        <w:widowControl/>
        <w:numPr>
          <w:ilvl w:val="0"/>
          <w:numId w:val="0"/>
        </w:numPr>
        <w:suppressAutoHyphens w:val="true"/>
        <w:bidi w:val="0"/>
        <w:spacing w:lineRule="auto" w:line="276" w:before="177" w:after="177"/>
        <w:ind w:left="567" w:right="0" w:hanging="0"/>
        <w:jc w:val="both"/>
        <w:textAlignment w:val="baseline"/>
        <w:rPr>
          <w:rFonts w:ascii="Arial" w:hAnsi="Arial" w:cs="Arial"/>
          <w:b w:val="false"/>
          <w:b w:val="false"/>
          <w:bCs w:val="false"/>
          <w:sz w:val="20"/>
          <w:szCs w:val="20"/>
        </w:rPr>
      </w:pPr>
      <w:r>
        <w:rPr>
          <w:rFonts w:cs="Arial" w:ascii="Arial" w:hAnsi="Arial"/>
          <w:b w:val="false"/>
          <w:bCs w:val="false"/>
          <w:sz w:val="20"/>
          <w:szCs w:val="20"/>
        </w:rPr>
        <w:t>3.1.7.  Os alimentos preparados deverão obedecer, em todas as fases, as técnicas corretas de culinárias, ser saudáveis e adequadamente temperados, respeitando as características próprias de cada ingrediente, assim como os diferentes fatores de modificação, físico, químico e biológico, no sentido de assegurar a preservação dos nutrientes.</w:t>
      </w:r>
    </w:p>
    <w:p>
      <w:pPr>
        <w:pStyle w:val="Nivel2"/>
        <w:widowControl/>
        <w:numPr>
          <w:ilvl w:val="0"/>
          <w:numId w:val="0"/>
        </w:numPr>
        <w:suppressAutoHyphens w:val="true"/>
        <w:bidi w:val="0"/>
        <w:spacing w:lineRule="auto" w:line="276" w:before="177" w:after="177"/>
        <w:ind w:left="567" w:right="0" w:hanging="0"/>
        <w:jc w:val="both"/>
        <w:textAlignment w:val="baseline"/>
        <w:rPr>
          <w:rFonts w:ascii="Arial" w:hAnsi="Arial" w:cs="Arial"/>
          <w:b w:val="false"/>
          <w:b w:val="false"/>
          <w:bCs w:val="false"/>
          <w:sz w:val="20"/>
          <w:szCs w:val="20"/>
        </w:rPr>
      </w:pPr>
      <w:r>
        <w:rPr>
          <w:rFonts w:cs="Arial" w:ascii="Arial" w:hAnsi="Arial"/>
          <w:b w:val="false"/>
          <w:bCs w:val="false"/>
          <w:sz w:val="20"/>
          <w:szCs w:val="20"/>
        </w:rPr>
        <w:t>3.1.8.   Os alimentos devem estar harmoniosamente dispostos nas travessas e bandejas, inclusive no que se refere à distribuição de cores; com originalidade na decoração dos pratos, sem exageros, e também toda atenção deve ser dada para os molhos que podem ser servidos separadamente, e para que não afetem negativamente com suas guarnições.</w:t>
      </w:r>
    </w:p>
    <w:p>
      <w:pPr>
        <w:pStyle w:val="Nivel2"/>
        <w:widowControl/>
        <w:tabs>
          <w:tab w:val="clear" w:pos="708"/>
          <w:tab w:val="left" w:pos="855" w:leader="none"/>
        </w:tabs>
        <w:suppressAutoHyphens w:val="true"/>
        <w:bidi w:val="0"/>
        <w:spacing w:lineRule="auto" w:line="276" w:before="177" w:after="177"/>
        <w:ind w:left="567" w:right="0" w:hanging="567"/>
        <w:jc w:val="both"/>
        <w:textAlignment w:val="baseline"/>
        <w:rPr>
          <w:rFonts w:ascii="Arial" w:hAnsi="Arial"/>
          <w:sz w:val="20"/>
          <w:szCs w:val="20"/>
        </w:rPr>
      </w:pPr>
      <w:r>
        <w:rPr>
          <w:rFonts w:cs="Arial" w:ascii="Arial" w:hAnsi="Arial"/>
          <w:b w:val="false"/>
          <w:bCs w:val="false"/>
          <w:iCs/>
          <w:color w:val="000000"/>
          <w:sz w:val="20"/>
          <w:szCs w:val="20"/>
        </w:rPr>
        <w:t>3.1.9. O sabor dos pratos é elemento essencial; não deve ser excessivamente temperado nem insosso os produtos utilizados devem ser, tanto quanto possível, frescos e naturais, devendo ser evitados, por exemplo, enlatados, corantes e aromatizantes químicos e sabores artificiais.</w:t>
      </w:r>
    </w:p>
    <w:p>
      <w:pPr>
        <w:pStyle w:val="Nivel2"/>
        <w:widowControl/>
        <w:tabs>
          <w:tab w:val="clear" w:pos="708"/>
          <w:tab w:val="left" w:pos="855" w:leader="none"/>
        </w:tabs>
        <w:suppressAutoHyphens w:val="true"/>
        <w:bidi w:val="0"/>
        <w:spacing w:lineRule="auto" w:line="276" w:before="177" w:after="177"/>
        <w:ind w:left="567" w:right="0" w:hanging="567"/>
        <w:jc w:val="both"/>
        <w:textAlignment w:val="baseline"/>
        <w:rPr>
          <w:rFonts w:ascii="Arial" w:hAnsi="Arial"/>
          <w:sz w:val="20"/>
          <w:szCs w:val="20"/>
        </w:rPr>
      </w:pPr>
      <w:r>
        <w:rPr>
          <w:rFonts w:cs="Arial" w:ascii="Arial" w:hAnsi="Arial"/>
          <w:b/>
          <w:bCs/>
          <w:sz w:val="20"/>
          <w:szCs w:val="20"/>
        </w:rPr>
        <w:t>4. REQUISITOS DA CONTRATAÇÃO</w:t>
      </w:r>
    </w:p>
    <w:p>
      <w:pPr>
        <w:pStyle w:val="Nivel3"/>
        <w:numPr>
          <w:ilvl w:val="0"/>
          <w:numId w:val="0"/>
        </w:numPr>
        <w:bidi w:val="0"/>
        <w:ind w:left="720" w:hanging="0"/>
        <w:rPr>
          <w:rFonts w:ascii="Arial" w:hAnsi="Arial"/>
          <w:sz w:val="20"/>
          <w:szCs w:val="20"/>
        </w:rPr>
      </w:pPr>
      <w:r>
        <w:rPr>
          <w:rFonts w:cs="Arial" w:ascii="Arial" w:hAnsi="Arial"/>
          <w:b/>
          <w:bCs/>
          <w:sz w:val="20"/>
          <w:szCs w:val="20"/>
        </w:rPr>
        <w:t>4.1. Sustentabilidade:</w:t>
      </w:r>
    </w:p>
    <w:p>
      <w:pPr>
        <w:pStyle w:val="Nivel2"/>
        <w:numPr>
          <w:ilvl w:val="0"/>
          <w:numId w:val="0"/>
        </w:numPr>
        <w:bidi w:val="0"/>
        <w:ind w:left="0" w:right="0" w:hanging="0"/>
        <w:rPr>
          <w:rFonts w:ascii="Arial" w:hAnsi="Arial"/>
          <w:sz w:val="20"/>
          <w:szCs w:val="20"/>
        </w:rPr>
      </w:pPr>
      <w:r>
        <w:rPr>
          <w:rFonts w:cs="Arial" w:ascii="Arial" w:hAnsi="Arial"/>
          <w:sz w:val="20"/>
          <w:szCs w:val="20"/>
        </w:rPr>
        <w:t>4.1.1.  Além dos critérios de sustentabilidade eventualmente inseridos na descrição do objeto, devem ser atendidos os seguintes requisitos, que se baseiam no Guia Nacional de Contratações Sustentáveis:</w:t>
      </w:r>
    </w:p>
    <w:p>
      <w:pPr>
        <w:pStyle w:val="Nivel2"/>
        <w:numPr>
          <w:ilvl w:val="0"/>
          <w:numId w:val="0"/>
        </w:numPr>
        <w:bidi w:val="0"/>
        <w:ind w:left="0" w:right="0" w:hanging="0"/>
        <w:rPr>
          <w:rFonts w:ascii="Arial" w:hAnsi="Arial"/>
          <w:sz w:val="20"/>
          <w:szCs w:val="20"/>
        </w:rPr>
      </w:pPr>
      <w:r>
        <w:rPr>
          <w:rFonts w:eastAsia="Arial" w:cs="Arial" w:ascii="Arial" w:hAnsi="Arial"/>
          <w:sz w:val="20"/>
          <w:szCs w:val="20"/>
        </w:rPr>
        <w:tab/>
      </w:r>
      <w:r>
        <w:rPr>
          <w:rFonts w:cs="Arial" w:ascii="Arial" w:hAnsi="Arial"/>
          <w:sz w:val="20"/>
          <w:szCs w:val="20"/>
        </w:rPr>
        <w:t>4.1.2 Bens constituídos, no todo ou em parte, por material reciclado, atóxico, biodegradável, conforme</w:t>
      </w:r>
      <w:bookmarkStart w:id="27" w:name="page80R_mcid9"/>
      <w:bookmarkEnd w:id="27"/>
      <w:r>
        <w:rPr>
          <w:rFonts w:cs="Arial" w:ascii="Arial" w:hAnsi="Arial"/>
          <w:sz w:val="20"/>
          <w:szCs w:val="20"/>
        </w:rPr>
        <w:t xml:space="preserve"> ABNT NBR</w:t>
      </w:r>
      <w:bookmarkStart w:id="28" w:name="page80R_mcid10"/>
      <w:bookmarkStart w:id="29" w:name="page80R_mcid11"/>
      <w:bookmarkEnd w:id="28"/>
      <w:bookmarkEnd w:id="29"/>
      <w:r>
        <w:rPr>
          <w:rFonts w:cs="Arial" w:ascii="Arial" w:hAnsi="Arial"/>
          <w:sz w:val="20"/>
          <w:szCs w:val="20"/>
        </w:rPr>
        <w:t xml:space="preserve"> –</w:t>
      </w:r>
      <w:bookmarkStart w:id="30" w:name="page80R_mcid12"/>
      <w:bookmarkStart w:id="31" w:name="page80R_mcid13"/>
      <w:bookmarkEnd w:id="30"/>
      <w:bookmarkEnd w:id="31"/>
      <w:r>
        <w:rPr>
          <w:rFonts w:cs="Arial" w:ascii="Arial" w:hAnsi="Arial"/>
          <w:sz w:val="20"/>
          <w:szCs w:val="20"/>
        </w:rPr>
        <w:t xml:space="preserve"> 15448</w:t>
      </w:r>
      <w:bookmarkStart w:id="32" w:name="page80R_mcid14"/>
      <w:bookmarkEnd w:id="32"/>
      <w:r>
        <w:rPr>
          <w:rFonts w:cs="Arial" w:ascii="Arial" w:hAnsi="Arial"/>
          <w:sz w:val="20"/>
          <w:szCs w:val="20"/>
        </w:rPr>
        <w:t>-</w:t>
      </w:r>
      <w:bookmarkStart w:id="33" w:name="page80R_mcid15"/>
      <w:bookmarkEnd w:id="33"/>
      <w:r>
        <w:rPr>
          <w:rFonts w:cs="Arial" w:ascii="Arial" w:hAnsi="Arial"/>
          <w:sz w:val="20"/>
          <w:szCs w:val="20"/>
        </w:rPr>
        <w:t>1 e 15448</w:t>
      </w:r>
      <w:bookmarkStart w:id="34" w:name="page80R_mcid16"/>
      <w:bookmarkEnd w:id="34"/>
      <w:r>
        <w:rPr>
          <w:rFonts w:cs="Arial" w:ascii="Arial" w:hAnsi="Arial"/>
          <w:sz w:val="20"/>
          <w:szCs w:val="20"/>
        </w:rPr>
        <w:t>-</w:t>
      </w:r>
      <w:bookmarkStart w:id="35" w:name="page80R_mcid17"/>
      <w:bookmarkEnd w:id="35"/>
      <w:r>
        <w:rPr>
          <w:rFonts w:cs="Arial" w:ascii="Arial" w:hAnsi="Arial"/>
          <w:sz w:val="20"/>
          <w:szCs w:val="20"/>
        </w:rPr>
        <w:t>2;</w:t>
      </w:r>
    </w:p>
    <w:p>
      <w:pPr>
        <w:pStyle w:val="Standard"/>
        <w:numPr>
          <w:ilvl w:val="0"/>
          <w:numId w:val="0"/>
        </w:numPr>
        <w:bidi w:val="0"/>
        <w:spacing w:lineRule="auto" w:line="276"/>
        <w:ind w:left="720" w:hanging="0"/>
        <w:jc w:val="both"/>
        <w:rPr>
          <w:rFonts w:ascii="Arial" w:hAnsi="Arial"/>
          <w:sz w:val="20"/>
          <w:szCs w:val="20"/>
        </w:rPr>
      </w:pPr>
      <w:r>
        <w:rPr>
          <w:rFonts w:cs="Arial" w:ascii="Arial" w:hAnsi="Arial"/>
          <w:sz w:val="20"/>
          <w:szCs w:val="20"/>
        </w:rPr>
        <w:tab/>
        <w:t>4.1.3 Que sejam observados os requisitos ambientais para a obtenção de certificação do instituto nacional de metrologia, normalização e qualidade industrial</w:t>
      </w:r>
      <w:bookmarkStart w:id="36" w:name="page80R_mcid27"/>
      <w:bookmarkEnd w:id="36"/>
      <w:r>
        <w:rPr>
          <w:rFonts w:cs="Arial" w:ascii="Arial" w:hAnsi="Arial"/>
          <w:sz w:val="20"/>
          <w:szCs w:val="20"/>
        </w:rPr>
        <w:t xml:space="preserve"> –</w:t>
      </w:r>
      <w:bookmarkStart w:id="37" w:name="page80R_mcid29"/>
      <w:bookmarkStart w:id="38" w:name="page80R_mcid28"/>
      <w:bookmarkEnd w:id="37"/>
      <w:bookmarkEnd w:id="38"/>
      <w:r>
        <w:rPr>
          <w:rFonts w:cs="Arial" w:ascii="Arial" w:hAnsi="Arial"/>
          <w:sz w:val="20"/>
          <w:szCs w:val="20"/>
        </w:rPr>
        <w:t xml:space="preserve"> INMETRO</w:t>
      </w:r>
      <w:bookmarkStart w:id="39" w:name="page80R_mcid31"/>
      <w:bookmarkStart w:id="40" w:name="page80R_mcid30"/>
      <w:bookmarkEnd w:id="39"/>
      <w:bookmarkEnd w:id="40"/>
      <w:r>
        <w:rPr>
          <w:rFonts w:cs="Arial" w:ascii="Arial" w:hAnsi="Arial"/>
          <w:sz w:val="20"/>
          <w:szCs w:val="20"/>
        </w:rPr>
        <w:t xml:space="preserve"> como produtos sustentáveis ou de menor impacto ambiental em relação aos seus similares;</w:t>
      </w:r>
    </w:p>
    <w:p>
      <w:pPr>
        <w:pStyle w:val="Standard"/>
        <w:numPr>
          <w:ilvl w:val="0"/>
          <w:numId w:val="0"/>
        </w:numPr>
        <w:bidi w:val="0"/>
        <w:spacing w:lineRule="auto" w:line="276"/>
        <w:ind w:left="720" w:hanging="0"/>
        <w:jc w:val="both"/>
        <w:rPr>
          <w:rFonts w:ascii="Arial" w:hAnsi="Arial" w:cs="Arial"/>
          <w:sz w:val="20"/>
          <w:szCs w:val="20"/>
        </w:rPr>
      </w:pPr>
      <w:r>
        <w:rPr>
          <w:rFonts w:cs="Arial" w:ascii="Arial" w:hAnsi="Arial"/>
          <w:sz w:val="20"/>
          <w:szCs w:val="20"/>
        </w:rPr>
      </w:r>
    </w:p>
    <w:p>
      <w:pPr>
        <w:pStyle w:val="Standard"/>
        <w:numPr>
          <w:ilvl w:val="0"/>
          <w:numId w:val="0"/>
        </w:numPr>
        <w:bidi w:val="0"/>
        <w:spacing w:lineRule="auto" w:line="276"/>
        <w:ind w:left="720" w:hanging="0"/>
        <w:jc w:val="both"/>
        <w:rPr>
          <w:rFonts w:ascii="Arial" w:hAnsi="Arial" w:cs="Arial"/>
          <w:sz w:val="20"/>
          <w:szCs w:val="20"/>
        </w:rPr>
      </w:pPr>
      <w:r>
        <w:rPr>
          <w:rFonts w:cs="Arial" w:ascii="Arial" w:hAnsi="Arial"/>
          <w:sz w:val="20"/>
          <w:szCs w:val="20"/>
        </w:rPr>
        <w:tab/>
        <w:t>4.1.4 Que os bens devam ser, preferencialmente, acondicionados em embalagem individual adequada, com o menor volume possível, que utilize materiais recicláveis, de forma a garantir a máxima proteção durante o transporte e o armazenamento e;</w:t>
      </w:r>
    </w:p>
    <w:p>
      <w:pPr>
        <w:pStyle w:val="Standard"/>
        <w:numPr>
          <w:ilvl w:val="0"/>
          <w:numId w:val="0"/>
        </w:numPr>
        <w:bidi w:val="0"/>
        <w:spacing w:lineRule="auto" w:line="276"/>
        <w:ind w:left="720" w:hanging="0"/>
        <w:jc w:val="both"/>
        <w:rPr>
          <w:rFonts w:ascii="Arial" w:hAnsi="Arial" w:cs="Arial"/>
          <w:sz w:val="20"/>
          <w:szCs w:val="20"/>
        </w:rPr>
      </w:pPr>
      <w:r>
        <w:rPr>
          <w:rFonts w:cs="Arial" w:ascii="Arial" w:hAnsi="Arial"/>
          <w:sz w:val="20"/>
          <w:szCs w:val="20"/>
        </w:rPr>
      </w:r>
    </w:p>
    <w:p>
      <w:pPr>
        <w:pStyle w:val="Standard"/>
        <w:numPr>
          <w:ilvl w:val="0"/>
          <w:numId w:val="0"/>
        </w:numPr>
        <w:bidi w:val="0"/>
        <w:spacing w:lineRule="auto" w:line="276"/>
        <w:ind w:left="720" w:hanging="0"/>
        <w:jc w:val="both"/>
        <w:rPr>
          <w:rFonts w:ascii="Arial" w:hAnsi="Arial"/>
          <w:sz w:val="20"/>
          <w:szCs w:val="20"/>
        </w:rPr>
      </w:pPr>
      <w:r>
        <w:rPr>
          <w:rFonts w:cs="Arial" w:ascii="Arial" w:hAnsi="Arial"/>
          <w:sz w:val="20"/>
          <w:szCs w:val="20"/>
          <w:highlight w:val="white"/>
        </w:rPr>
        <w:tab/>
        <w:t>4.1.5 Que os bens n</w:t>
      </w:r>
      <w:bookmarkStart w:id="41" w:name="page80R_mcid50"/>
      <w:bookmarkEnd w:id="41"/>
      <w:r>
        <w:rPr>
          <w:rFonts w:cs="Arial" w:ascii="Arial" w:hAnsi="Arial"/>
          <w:sz w:val="20"/>
          <w:szCs w:val="20"/>
          <w:highlight w:val="white"/>
        </w:rPr>
        <w:t>ão contenham substâncias perigosas em concentração acima da recomendada na diretiva</w:t>
      </w:r>
      <w:bookmarkStart w:id="42" w:name="page80R_mcid52"/>
      <w:bookmarkEnd w:id="42"/>
      <w:r>
        <w:rPr>
          <w:rFonts w:cs="Arial" w:ascii="Arial" w:hAnsi="Arial"/>
          <w:sz w:val="20"/>
          <w:szCs w:val="20"/>
          <w:highlight w:val="white"/>
        </w:rPr>
        <w:t xml:space="preserve"> RoHS</w:t>
      </w:r>
      <w:bookmarkStart w:id="43" w:name="page80R_mcid53"/>
      <w:bookmarkStart w:id="44" w:name="page80R_mcid54"/>
      <w:bookmarkEnd w:id="43"/>
      <w:bookmarkEnd w:id="44"/>
      <w:r>
        <w:rPr>
          <w:rFonts w:cs="Arial" w:ascii="Arial" w:hAnsi="Arial"/>
          <w:sz w:val="20"/>
          <w:szCs w:val="20"/>
          <w:highlight w:val="white"/>
        </w:rPr>
        <w:t xml:space="preserve"> (</w:t>
      </w:r>
      <w:bookmarkStart w:id="45" w:name="page80R_mcid55"/>
      <w:bookmarkEnd w:id="45"/>
      <w:r>
        <w:rPr>
          <w:rFonts w:cs="Arial" w:ascii="Arial" w:hAnsi="Arial"/>
          <w:sz w:val="20"/>
          <w:szCs w:val="20"/>
          <w:highlight w:val="white"/>
        </w:rPr>
        <w:t>R</w:t>
      </w:r>
      <w:bookmarkStart w:id="46" w:name="page80R_mcid56"/>
      <w:bookmarkEnd w:id="46"/>
      <w:r>
        <w:rPr>
          <w:rFonts w:cs="Arial" w:ascii="Arial" w:hAnsi="Arial"/>
          <w:sz w:val="20"/>
          <w:szCs w:val="20"/>
          <w:highlight w:val="white"/>
        </w:rPr>
        <w:t>estriction of C</w:t>
      </w:r>
      <w:bookmarkStart w:id="47" w:name="page80R_mcid58"/>
      <w:bookmarkEnd w:id="47"/>
      <w:r>
        <w:rPr>
          <w:rFonts w:cs="Arial" w:ascii="Arial" w:hAnsi="Arial"/>
          <w:sz w:val="20"/>
          <w:szCs w:val="20"/>
          <w:highlight w:val="white"/>
        </w:rPr>
        <w:t>ertain</w:t>
      </w:r>
      <w:bookmarkStart w:id="48" w:name="page80R_mcid59"/>
      <w:bookmarkEnd w:id="48"/>
      <w:r>
        <w:rPr>
          <w:rFonts w:cs="Arial" w:ascii="Arial" w:hAnsi="Arial"/>
          <w:sz w:val="20"/>
          <w:szCs w:val="20"/>
          <w:highlight w:val="white"/>
        </w:rPr>
        <w:t xml:space="preserve"> H</w:t>
      </w:r>
      <w:bookmarkStart w:id="49" w:name="page80R_mcid60"/>
      <w:bookmarkEnd w:id="49"/>
      <w:r>
        <w:rPr>
          <w:rFonts w:cs="Arial" w:ascii="Arial" w:hAnsi="Arial"/>
          <w:sz w:val="20"/>
          <w:szCs w:val="20"/>
          <w:highlight w:val="white"/>
        </w:rPr>
        <w:t>azardous</w:t>
      </w:r>
      <w:bookmarkStart w:id="50" w:name="page80R_mcid61"/>
      <w:bookmarkEnd w:id="50"/>
      <w:r>
        <w:rPr>
          <w:rFonts w:cs="Arial" w:ascii="Arial" w:hAnsi="Arial"/>
          <w:sz w:val="20"/>
          <w:szCs w:val="20"/>
          <w:highlight w:val="white"/>
        </w:rPr>
        <w:t xml:space="preserve"> S</w:t>
      </w:r>
      <w:bookmarkStart w:id="51" w:name="page80R_mcid62"/>
      <w:bookmarkEnd w:id="51"/>
      <w:r>
        <w:rPr>
          <w:rFonts w:cs="Arial" w:ascii="Arial" w:hAnsi="Arial"/>
          <w:sz w:val="20"/>
          <w:szCs w:val="20"/>
          <w:highlight w:val="white"/>
        </w:rPr>
        <w:t>ubstances), tais como mercúrio (</w:t>
      </w:r>
      <w:bookmarkStart w:id="52" w:name="page80R_mcid63"/>
      <w:bookmarkEnd w:id="52"/>
      <w:r>
        <w:rPr>
          <w:rFonts w:cs="Arial" w:ascii="Arial" w:hAnsi="Arial"/>
          <w:sz w:val="20"/>
          <w:szCs w:val="20"/>
          <w:highlight w:val="white"/>
        </w:rPr>
        <w:t>H</w:t>
      </w:r>
      <w:bookmarkStart w:id="53" w:name="page80R_mcid64"/>
      <w:bookmarkEnd w:id="53"/>
      <w:r>
        <w:rPr>
          <w:rFonts w:cs="Arial" w:ascii="Arial" w:hAnsi="Arial"/>
          <w:sz w:val="20"/>
          <w:szCs w:val="20"/>
          <w:highlight w:val="white"/>
        </w:rPr>
        <w:t>g), chumbo (</w:t>
      </w:r>
      <w:bookmarkStart w:id="54" w:name="page80R_mcid65"/>
      <w:bookmarkEnd w:id="54"/>
      <w:r>
        <w:rPr>
          <w:rFonts w:cs="Arial" w:ascii="Arial" w:hAnsi="Arial"/>
          <w:sz w:val="20"/>
          <w:szCs w:val="20"/>
          <w:highlight w:val="white"/>
        </w:rPr>
        <w:t>P</w:t>
      </w:r>
      <w:bookmarkStart w:id="55" w:name="page80R_mcid66"/>
      <w:bookmarkEnd w:id="55"/>
      <w:r>
        <w:rPr>
          <w:rFonts w:cs="Arial" w:ascii="Arial" w:hAnsi="Arial"/>
          <w:sz w:val="20"/>
          <w:szCs w:val="20"/>
          <w:highlight w:val="white"/>
        </w:rPr>
        <w:t>b), cromo hexavalente (</w:t>
      </w:r>
      <w:bookmarkStart w:id="56" w:name="page80R_mcid68"/>
      <w:bookmarkEnd w:id="56"/>
      <w:r>
        <w:rPr>
          <w:rFonts w:cs="Arial" w:ascii="Arial" w:hAnsi="Arial"/>
          <w:sz w:val="20"/>
          <w:szCs w:val="20"/>
          <w:highlight w:val="white"/>
        </w:rPr>
        <w:t>C</w:t>
      </w:r>
      <w:bookmarkStart w:id="57" w:name="page80R_mcid69"/>
      <w:bookmarkEnd w:id="57"/>
      <w:r>
        <w:rPr>
          <w:rFonts w:cs="Arial" w:ascii="Arial" w:hAnsi="Arial"/>
          <w:sz w:val="20"/>
          <w:szCs w:val="20"/>
          <w:highlight w:val="white"/>
        </w:rPr>
        <w:t>r(</w:t>
      </w:r>
      <w:bookmarkStart w:id="58" w:name="page80R_mcid70"/>
      <w:bookmarkEnd w:id="58"/>
      <w:r>
        <w:rPr>
          <w:rFonts w:cs="Arial" w:ascii="Arial" w:hAnsi="Arial"/>
          <w:sz w:val="20"/>
          <w:szCs w:val="20"/>
          <w:highlight w:val="white"/>
        </w:rPr>
        <w:t>VI</w:t>
      </w:r>
      <w:bookmarkStart w:id="59" w:name="page80R_mcid71"/>
      <w:bookmarkEnd w:id="59"/>
      <w:r>
        <w:rPr>
          <w:rFonts w:cs="Arial" w:ascii="Arial" w:hAnsi="Arial"/>
          <w:sz w:val="20"/>
          <w:szCs w:val="20"/>
          <w:highlight w:val="white"/>
        </w:rPr>
        <w:t>)), cádmio (</w:t>
      </w:r>
      <w:bookmarkStart w:id="60" w:name="page80R_mcid72"/>
      <w:bookmarkEnd w:id="60"/>
      <w:r>
        <w:rPr>
          <w:rFonts w:cs="Arial" w:ascii="Arial" w:hAnsi="Arial"/>
          <w:sz w:val="20"/>
          <w:szCs w:val="20"/>
          <w:highlight w:val="white"/>
        </w:rPr>
        <w:t>C</w:t>
      </w:r>
      <w:bookmarkStart w:id="61" w:name="page80R_mcid73"/>
      <w:bookmarkEnd w:id="61"/>
      <w:r>
        <w:rPr>
          <w:rFonts w:cs="Arial" w:ascii="Arial" w:hAnsi="Arial"/>
          <w:sz w:val="20"/>
          <w:szCs w:val="20"/>
          <w:highlight w:val="white"/>
        </w:rPr>
        <w:t>d), bifenil</w:t>
      </w:r>
      <w:bookmarkStart w:id="62" w:name="page80R_mcid74"/>
      <w:bookmarkEnd w:id="62"/>
      <w:r>
        <w:rPr>
          <w:rFonts w:cs="Arial" w:ascii="Arial" w:hAnsi="Arial"/>
          <w:sz w:val="20"/>
          <w:szCs w:val="20"/>
          <w:highlight w:val="white"/>
        </w:rPr>
        <w:t>-</w:t>
      </w:r>
      <w:bookmarkStart w:id="63" w:name="page80R_mcid75"/>
      <w:bookmarkEnd w:id="63"/>
      <w:r>
        <w:rPr>
          <w:rFonts w:cs="Arial" w:ascii="Arial" w:hAnsi="Arial"/>
          <w:sz w:val="20"/>
          <w:szCs w:val="20"/>
          <w:highlight w:val="white"/>
        </w:rPr>
        <w:t>polibromados (</w:t>
      </w:r>
      <w:bookmarkStart w:id="64" w:name="page80R_mcid76"/>
      <w:bookmarkEnd w:id="64"/>
      <w:r>
        <w:rPr>
          <w:rFonts w:cs="Arial" w:ascii="Arial" w:hAnsi="Arial"/>
          <w:sz w:val="20"/>
          <w:szCs w:val="20"/>
          <w:highlight w:val="white"/>
        </w:rPr>
        <w:t>PBB</w:t>
      </w:r>
      <w:bookmarkStart w:id="65" w:name="page80R_mcid77"/>
      <w:bookmarkEnd w:id="65"/>
      <w:r>
        <w:rPr>
          <w:rFonts w:cs="Arial" w:ascii="Arial" w:hAnsi="Arial"/>
          <w:sz w:val="20"/>
          <w:szCs w:val="20"/>
          <w:highlight w:val="white"/>
        </w:rPr>
        <w:t>s), éteres difen</w:t>
      </w:r>
      <w:bookmarkStart w:id="66" w:name="page80R_mcid79"/>
      <w:bookmarkEnd w:id="66"/>
      <w:r>
        <w:rPr>
          <w:rFonts w:cs="Arial" w:ascii="Arial" w:hAnsi="Arial"/>
          <w:sz w:val="20"/>
          <w:szCs w:val="20"/>
          <w:highlight w:val="white"/>
        </w:rPr>
        <w:t>il</w:t>
      </w:r>
      <w:bookmarkStart w:id="67" w:name="page80R_mcid80"/>
      <w:bookmarkEnd w:id="67"/>
      <w:r>
        <w:rPr>
          <w:rFonts w:cs="Arial" w:ascii="Arial" w:hAnsi="Arial"/>
          <w:sz w:val="20"/>
          <w:szCs w:val="20"/>
          <w:highlight w:val="white"/>
        </w:rPr>
        <w:t>-</w:t>
      </w:r>
      <w:bookmarkStart w:id="68" w:name="page80R_mcid81"/>
      <w:bookmarkEnd w:id="68"/>
      <w:r>
        <w:rPr>
          <w:rFonts w:cs="Arial" w:ascii="Arial" w:hAnsi="Arial"/>
          <w:sz w:val="20"/>
          <w:szCs w:val="20"/>
          <w:highlight w:val="white"/>
        </w:rPr>
        <w:t>polibromados (</w:t>
      </w:r>
      <w:bookmarkStart w:id="69" w:name="page80R_mcid82"/>
      <w:bookmarkEnd w:id="69"/>
      <w:r>
        <w:rPr>
          <w:rFonts w:cs="Arial" w:ascii="Arial" w:hAnsi="Arial"/>
          <w:sz w:val="20"/>
          <w:szCs w:val="20"/>
          <w:highlight w:val="white"/>
        </w:rPr>
        <w:t>PBDE</w:t>
      </w:r>
      <w:bookmarkStart w:id="70" w:name="page80R_mcid83"/>
      <w:bookmarkEnd w:id="70"/>
      <w:r>
        <w:rPr>
          <w:rFonts w:cs="Arial" w:ascii="Arial" w:hAnsi="Arial"/>
          <w:sz w:val="20"/>
          <w:szCs w:val="20"/>
          <w:highlight w:val="white"/>
        </w:rPr>
        <w:t>s).</w:t>
      </w:r>
    </w:p>
    <w:p>
      <w:pPr>
        <w:pStyle w:val="Nivel2"/>
        <w:numPr>
          <w:ilvl w:val="0"/>
          <w:numId w:val="0"/>
        </w:numPr>
        <w:bidi w:val="0"/>
        <w:ind w:left="0" w:right="0" w:hanging="0"/>
        <w:rPr>
          <w:rFonts w:ascii="Arial" w:hAnsi="Arial"/>
          <w:sz w:val="20"/>
          <w:szCs w:val="20"/>
        </w:rPr>
      </w:pPr>
      <w:r>
        <w:rPr>
          <w:rFonts w:eastAsia="Arial" w:cs="Arial" w:ascii="Arial" w:hAnsi="Arial"/>
          <w:sz w:val="20"/>
          <w:szCs w:val="20"/>
        </w:rPr>
        <w:tab/>
      </w:r>
      <w:r>
        <w:rPr>
          <w:rFonts w:cs="Arial" w:ascii="Arial" w:hAnsi="Arial"/>
          <w:sz w:val="20"/>
          <w:szCs w:val="20"/>
        </w:rPr>
        <w:t>4.1.6 Na presente contratação não há indicação de marcas, característica ou modelo do material, apenas as especificações contidas no item 3 deste Termo de Referência.</w:t>
      </w:r>
    </w:p>
    <w:p>
      <w:pPr>
        <w:pStyle w:val="Nivel01"/>
        <w:numPr>
          <w:ilvl w:val="0"/>
          <w:numId w:val="0"/>
        </w:numPr>
        <w:bidi w:val="0"/>
        <w:ind w:left="0" w:right="0" w:hanging="0"/>
        <w:rPr>
          <w:rFonts w:ascii="Arial" w:hAnsi="Arial" w:cs="Arial"/>
          <w:b/>
          <w:b/>
          <w:bCs/>
          <w:sz w:val="20"/>
          <w:szCs w:val="20"/>
        </w:rPr>
      </w:pPr>
      <w:r>
        <w:rPr>
          <w:rFonts w:cs="Arial" w:ascii="Arial" w:hAnsi="Arial"/>
          <w:b/>
          <w:bCs/>
          <w:sz w:val="20"/>
          <w:szCs w:val="20"/>
        </w:rPr>
        <w:t>4.2.  Da exigência de amostra</w:t>
      </w:r>
    </w:p>
    <w:p>
      <w:pPr>
        <w:pStyle w:val="Nivel2"/>
        <w:numPr>
          <w:ilvl w:val="0"/>
          <w:numId w:val="0"/>
        </w:numPr>
        <w:bidi w:val="0"/>
        <w:ind w:left="0" w:right="0" w:hanging="0"/>
        <w:rPr>
          <w:rFonts w:ascii="Arial" w:hAnsi="Arial"/>
          <w:sz w:val="20"/>
          <w:szCs w:val="20"/>
        </w:rPr>
      </w:pPr>
      <w:r>
        <w:rPr>
          <w:rFonts w:cs="Arial" w:ascii="Arial" w:hAnsi="Arial"/>
          <w:b w:val="false"/>
          <w:bCs w:val="false"/>
          <w:i w:val="false"/>
          <w:iCs w:val="false"/>
          <w:color w:val="auto"/>
          <w:sz w:val="20"/>
          <w:szCs w:val="20"/>
          <w:u w:val="none"/>
        </w:rPr>
        <w:tab/>
        <w:t xml:space="preserve">4.2.1 </w:t>
      </w:r>
      <w:r>
        <w:rPr>
          <w:rFonts w:eastAsia="Arial" w:cs="Arial" w:ascii="Arial" w:hAnsi="Arial"/>
          <w:b w:val="false"/>
          <w:bCs w:val="false"/>
          <w:i w:val="false"/>
          <w:iCs w:val="false"/>
          <w:color w:val="auto"/>
          <w:sz w:val="20"/>
          <w:szCs w:val="20"/>
          <w:u w:val="none"/>
          <w:lang w:val="pt-BR" w:eastAsia="zh-CN" w:bidi="ar-SA"/>
        </w:rPr>
        <w:t>Poderão ser</w:t>
      </w:r>
      <w:r>
        <w:rPr>
          <w:rFonts w:cs="Arial" w:ascii="Arial" w:hAnsi="Arial"/>
          <w:b w:val="false"/>
          <w:bCs w:val="false"/>
          <w:i w:val="false"/>
          <w:iCs w:val="false"/>
          <w:color w:val="auto"/>
          <w:sz w:val="20"/>
          <w:szCs w:val="20"/>
          <w:u w:val="none"/>
        </w:rPr>
        <w:t xml:space="preserve"> exigidas amostras e degustação de todos os itens alimentícios, em local e data a ser determinado pela contratante.</w:t>
      </w:r>
    </w:p>
    <w:p>
      <w:pPr>
        <w:pStyle w:val="Nivel2"/>
        <w:numPr>
          <w:ilvl w:val="0"/>
          <w:numId w:val="0"/>
        </w:numPr>
        <w:bidi w:val="0"/>
        <w:ind w:left="0" w:right="0" w:hanging="0"/>
        <w:rPr>
          <w:rFonts w:ascii="Arial" w:hAnsi="Arial"/>
          <w:sz w:val="20"/>
          <w:szCs w:val="20"/>
        </w:rPr>
      </w:pPr>
      <w:r>
        <w:rPr>
          <w:rFonts w:cs="Arial" w:ascii="Arial" w:hAnsi="Arial"/>
          <w:b w:val="false"/>
          <w:bCs w:val="false"/>
          <w:i w:val="false"/>
          <w:iCs w:val="false"/>
          <w:color w:val="auto"/>
          <w:sz w:val="20"/>
          <w:szCs w:val="20"/>
          <w:u w:val="none"/>
        </w:rPr>
        <w:tab/>
        <w:t>4.2.2 As proponentes que oferecerem o menor preço para prestação dos serviços previstos deverão apresentar amostra do serviço cotado, no prazo improrrogável de até 05 (cinco)</w:t>
      </w:r>
      <w:r>
        <w:rPr>
          <w:rFonts w:cs="Arial" w:ascii="Arial" w:hAnsi="Arial"/>
          <w:b w:val="false"/>
          <w:bCs w:val="false"/>
          <w:i w:val="false"/>
          <w:iCs w:val="false"/>
          <w:color w:val="auto"/>
          <w:spacing w:val="1"/>
          <w:sz w:val="20"/>
          <w:szCs w:val="20"/>
          <w:u w:val="none"/>
        </w:rPr>
        <w:t xml:space="preserve"> </w:t>
      </w:r>
      <w:r>
        <w:rPr>
          <w:rFonts w:cs="Arial" w:ascii="Arial" w:hAnsi="Arial"/>
          <w:b w:val="false"/>
          <w:bCs w:val="false"/>
          <w:i w:val="false"/>
          <w:iCs w:val="false"/>
          <w:color w:val="auto"/>
          <w:sz w:val="20"/>
          <w:szCs w:val="20"/>
          <w:u w:val="none"/>
        </w:rPr>
        <w:t>dias</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úteis, a</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contar</w:t>
      </w:r>
      <w:r>
        <w:rPr>
          <w:rFonts w:cs="Arial" w:ascii="Arial" w:hAnsi="Arial"/>
          <w:b w:val="false"/>
          <w:bCs w:val="false"/>
          <w:i w:val="false"/>
          <w:iCs w:val="false"/>
          <w:color w:val="auto"/>
          <w:spacing w:val="1"/>
          <w:sz w:val="20"/>
          <w:szCs w:val="20"/>
          <w:u w:val="none"/>
        </w:rPr>
        <w:t xml:space="preserve"> </w:t>
      </w:r>
      <w:r>
        <w:rPr>
          <w:rFonts w:cs="Arial" w:ascii="Arial" w:hAnsi="Arial"/>
          <w:b w:val="false"/>
          <w:bCs w:val="false"/>
          <w:i w:val="false"/>
          <w:iCs w:val="false"/>
          <w:color w:val="auto"/>
          <w:sz w:val="20"/>
          <w:szCs w:val="20"/>
          <w:u w:val="none"/>
        </w:rPr>
        <w:t>da</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convocação.</w:t>
      </w:r>
    </w:p>
    <w:p>
      <w:pPr>
        <w:pStyle w:val="Nivel2"/>
        <w:numPr>
          <w:ilvl w:val="0"/>
          <w:numId w:val="0"/>
        </w:numPr>
        <w:bidi w:val="0"/>
        <w:ind w:left="0" w:right="0" w:hanging="0"/>
        <w:rPr>
          <w:rFonts w:ascii="Arial" w:hAnsi="Arial"/>
          <w:sz w:val="20"/>
          <w:szCs w:val="20"/>
        </w:rPr>
      </w:pPr>
      <w:r>
        <w:rPr>
          <w:rFonts w:cs="Arial" w:ascii="Arial" w:hAnsi="Arial"/>
          <w:b w:val="false"/>
          <w:bCs w:val="false"/>
          <w:i w:val="false"/>
          <w:iCs w:val="false"/>
          <w:color w:val="auto"/>
          <w:sz w:val="20"/>
          <w:szCs w:val="20"/>
          <w:u w:val="none"/>
        </w:rPr>
        <w:tab/>
        <w:t>4.2.3 As</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amostras</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consistirão</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em: apresentação de 04 variedades de salgados fritos, 04</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variedades de salgados de forno, almoço composto por 02 proteínas quentes, 02</w:t>
      </w:r>
      <w:r>
        <w:rPr>
          <w:rFonts w:cs="Arial" w:ascii="Arial" w:hAnsi="Arial"/>
          <w:b w:val="false"/>
          <w:bCs w:val="false"/>
          <w:i w:val="false"/>
          <w:iCs w:val="false"/>
          <w:color w:val="auto"/>
          <w:spacing w:val="1"/>
          <w:sz w:val="20"/>
          <w:szCs w:val="20"/>
          <w:u w:val="none"/>
        </w:rPr>
        <w:t xml:space="preserve"> </w:t>
      </w:r>
      <w:r>
        <w:rPr>
          <w:rFonts w:cs="Arial" w:ascii="Arial" w:hAnsi="Arial"/>
          <w:b w:val="false"/>
          <w:bCs w:val="false"/>
          <w:i w:val="false"/>
          <w:iCs w:val="false"/>
          <w:color w:val="auto"/>
          <w:sz w:val="20"/>
          <w:szCs w:val="20"/>
          <w:u w:val="none"/>
        </w:rPr>
        <w:t>acompanhamentos</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e</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01</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sobremesa</w:t>
      </w:r>
      <w:r>
        <w:rPr>
          <w:rFonts w:cs="Arial" w:ascii="Arial" w:hAnsi="Arial"/>
          <w:b w:val="false"/>
          <w:bCs w:val="false"/>
          <w:i w:val="false"/>
          <w:iCs w:val="false"/>
          <w:color w:val="000000"/>
          <w:sz w:val="20"/>
          <w:szCs w:val="20"/>
          <w:highlight w:val="white"/>
          <w:u w:val="none"/>
        </w:rPr>
        <w:t>.</w:t>
      </w:r>
    </w:p>
    <w:p>
      <w:pPr>
        <w:pStyle w:val="Nivel2"/>
        <w:numPr>
          <w:ilvl w:val="0"/>
          <w:numId w:val="0"/>
        </w:numPr>
        <w:bidi w:val="0"/>
        <w:ind w:left="0" w:right="0" w:hanging="0"/>
        <w:rPr>
          <w:rFonts w:ascii="Arial" w:hAnsi="Arial"/>
          <w:sz w:val="20"/>
          <w:szCs w:val="20"/>
        </w:rPr>
      </w:pPr>
      <w:r>
        <w:rPr>
          <w:rFonts w:cs="Arial" w:ascii="Arial" w:hAnsi="Arial"/>
          <w:b w:val="false"/>
          <w:bCs w:val="false"/>
          <w:i w:val="false"/>
          <w:iCs w:val="false"/>
          <w:color w:val="000000"/>
          <w:sz w:val="20"/>
          <w:szCs w:val="20"/>
          <w:highlight w:val="white"/>
          <w:u w:val="none"/>
        </w:rPr>
        <w:tab/>
        <w:t>4.2.4 As amostras aprese</w:t>
      </w:r>
      <w:r>
        <w:rPr>
          <w:rFonts w:cs="Arial" w:ascii="Arial" w:hAnsi="Arial"/>
          <w:b w:val="false"/>
          <w:bCs w:val="false"/>
          <w:i w:val="false"/>
          <w:iCs w:val="false"/>
          <w:color w:val="auto"/>
          <w:sz w:val="20"/>
          <w:szCs w:val="20"/>
          <w:u w:val="none"/>
        </w:rPr>
        <w:t>ntadas serão degustadas por uma Comissão Avaliadora composta por,</w:t>
      </w:r>
      <w:r>
        <w:rPr>
          <w:rFonts w:cs="Arial" w:ascii="Arial" w:hAnsi="Arial"/>
          <w:b w:val="false"/>
          <w:bCs w:val="false"/>
          <w:i w:val="false"/>
          <w:iCs w:val="false"/>
          <w:color w:val="auto"/>
          <w:spacing w:val="1"/>
          <w:sz w:val="20"/>
          <w:szCs w:val="20"/>
          <w:u w:val="none"/>
        </w:rPr>
        <w:t xml:space="preserve"> </w:t>
      </w:r>
      <w:r>
        <w:rPr>
          <w:rFonts w:cs="Arial" w:ascii="Arial" w:hAnsi="Arial"/>
          <w:b w:val="false"/>
          <w:bCs w:val="false"/>
          <w:i w:val="false"/>
          <w:iCs w:val="false"/>
          <w:color w:val="auto"/>
          <w:sz w:val="20"/>
          <w:szCs w:val="20"/>
          <w:u w:val="none"/>
        </w:rPr>
        <w:t>no mínimo, 3 e, no máximo, 6 servidores com o objetivo de aferir a adequação do produto</w:t>
      </w:r>
      <w:r>
        <w:rPr>
          <w:rFonts w:cs="Arial" w:ascii="Arial" w:hAnsi="Arial"/>
          <w:b w:val="false"/>
          <w:bCs w:val="false"/>
          <w:i w:val="false"/>
          <w:iCs w:val="false"/>
          <w:color w:val="auto"/>
          <w:spacing w:val="1"/>
          <w:sz w:val="20"/>
          <w:szCs w:val="20"/>
          <w:u w:val="none"/>
        </w:rPr>
        <w:t xml:space="preserve"> </w:t>
      </w:r>
      <w:r>
        <w:rPr>
          <w:rFonts w:cs="Arial" w:ascii="Arial" w:hAnsi="Arial"/>
          <w:b w:val="false"/>
          <w:bCs w:val="false"/>
          <w:i w:val="false"/>
          <w:iCs w:val="false"/>
          <w:color w:val="auto"/>
          <w:sz w:val="20"/>
          <w:szCs w:val="20"/>
          <w:u w:val="none"/>
        </w:rPr>
        <w:t>ofertado às necessidades d</w:t>
      </w:r>
      <w:r>
        <w:rPr>
          <w:rFonts w:eastAsia="MS Mincho;ＭＳ 明朝" w:cs="Arial" w:ascii="Arial" w:hAnsi="Arial"/>
          <w:b w:val="false"/>
          <w:bCs w:val="false"/>
          <w:i w:val="false"/>
          <w:iCs w:val="false"/>
          <w:color w:val="auto"/>
          <w:sz w:val="20"/>
          <w:szCs w:val="20"/>
          <w:u w:val="none"/>
          <w:lang w:val="pt-BR" w:eastAsia="zh-CN" w:bidi="ar-SA"/>
        </w:rPr>
        <w:t>a Policlínica Naval Nossa Senhora da Glória</w:t>
      </w:r>
      <w:r>
        <w:rPr>
          <w:rFonts w:cs="Arial" w:ascii="Arial" w:hAnsi="Arial"/>
          <w:b w:val="false"/>
          <w:bCs w:val="false"/>
          <w:i w:val="false"/>
          <w:iCs w:val="false"/>
          <w:color w:val="auto"/>
          <w:sz w:val="20"/>
          <w:szCs w:val="20"/>
          <w:u w:val="none"/>
        </w:rPr>
        <w:t>, segundo o critério de compatibilidade com a</w:t>
      </w:r>
      <w:r>
        <w:rPr>
          <w:rFonts w:cs="Arial" w:ascii="Arial" w:hAnsi="Arial"/>
          <w:b w:val="false"/>
          <w:bCs w:val="false"/>
          <w:i w:val="false"/>
          <w:iCs w:val="false"/>
          <w:color w:val="auto"/>
          <w:spacing w:val="1"/>
          <w:sz w:val="20"/>
          <w:szCs w:val="20"/>
          <w:u w:val="none"/>
        </w:rPr>
        <w:t xml:space="preserve"> </w:t>
      </w:r>
      <w:r>
        <w:rPr>
          <w:rFonts w:cs="Arial" w:ascii="Arial" w:hAnsi="Arial"/>
          <w:b w:val="false"/>
          <w:bCs w:val="false"/>
          <w:i w:val="false"/>
          <w:iCs w:val="false"/>
          <w:color w:val="auto"/>
          <w:sz w:val="20"/>
          <w:szCs w:val="20"/>
          <w:u w:val="none"/>
        </w:rPr>
        <w:t>especificação</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e procedimentos</w:t>
      </w:r>
      <w:r>
        <w:rPr>
          <w:rFonts w:cs="Arial" w:ascii="Arial" w:hAnsi="Arial"/>
          <w:b w:val="false"/>
          <w:bCs w:val="false"/>
          <w:i w:val="false"/>
          <w:iCs w:val="false"/>
          <w:color w:val="auto"/>
          <w:spacing w:val="0"/>
          <w:sz w:val="20"/>
          <w:szCs w:val="20"/>
          <w:u w:val="none"/>
        </w:rPr>
        <w:t xml:space="preserve"> </w:t>
      </w:r>
      <w:r>
        <w:rPr>
          <w:rFonts w:cs="Arial" w:ascii="Arial" w:hAnsi="Arial"/>
          <w:b w:val="false"/>
          <w:bCs w:val="false"/>
          <w:i w:val="false"/>
          <w:iCs w:val="false"/>
          <w:color w:val="auto"/>
          <w:sz w:val="20"/>
          <w:szCs w:val="20"/>
          <w:u w:val="none"/>
        </w:rPr>
        <w:t>descritos no</w:t>
      </w:r>
      <w:r>
        <w:rPr>
          <w:rFonts w:cs="Arial" w:ascii="Arial" w:hAnsi="Arial"/>
          <w:b w:val="false"/>
          <w:bCs w:val="false"/>
          <w:i w:val="false"/>
          <w:iCs w:val="false"/>
          <w:color w:val="auto"/>
          <w:spacing w:val="4"/>
          <w:sz w:val="20"/>
          <w:szCs w:val="20"/>
          <w:u w:val="none"/>
        </w:rPr>
        <w:t xml:space="preserve"> Termo de Referência.</w:t>
      </w:r>
    </w:p>
    <w:p>
      <w:pPr>
        <w:pStyle w:val="Nivel2"/>
        <w:numPr>
          <w:ilvl w:val="0"/>
          <w:numId w:val="0"/>
        </w:numPr>
        <w:bidi w:val="0"/>
        <w:ind w:left="0" w:right="0" w:hanging="0"/>
        <w:rPr>
          <w:rFonts w:ascii="Arial" w:hAnsi="Arial"/>
          <w:sz w:val="20"/>
          <w:szCs w:val="20"/>
        </w:rPr>
      </w:pPr>
      <w:r>
        <w:rPr>
          <w:rFonts w:cs="Arial" w:ascii="Arial" w:hAnsi="Arial"/>
          <w:b w:val="false"/>
          <w:bCs w:val="false"/>
          <w:i w:val="false"/>
          <w:iCs w:val="false"/>
          <w:color w:val="auto"/>
          <w:spacing w:val="4"/>
          <w:sz w:val="20"/>
          <w:szCs w:val="20"/>
          <w:u w:val="none"/>
        </w:rPr>
        <w:tab/>
        <w:t xml:space="preserve">4.2.5 </w:t>
      </w:r>
      <w:r>
        <w:rPr>
          <w:rFonts w:cs="Arial" w:ascii="Arial" w:hAnsi="Arial"/>
          <w:sz w:val="20"/>
          <w:szCs w:val="20"/>
        </w:rPr>
        <w:t>O</w:t>
      </w:r>
      <w:r>
        <w:rPr>
          <w:rFonts w:cs="Arial" w:ascii="Arial" w:hAnsi="Arial"/>
          <w:spacing w:val="0"/>
          <w:sz w:val="20"/>
          <w:szCs w:val="20"/>
        </w:rPr>
        <w:t xml:space="preserve"> </w:t>
      </w:r>
      <w:r>
        <w:rPr>
          <w:rFonts w:cs="Arial" w:ascii="Arial" w:hAnsi="Arial"/>
          <w:sz w:val="20"/>
          <w:szCs w:val="20"/>
        </w:rPr>
        <w:t>ônus</w:t>
      </w:r>
      <w:r>
        <w:rPr>
          <w:rFonts w:cs="Arial" w:ascii="Arial" w:hAnsi="Arial"/>
          <w:spacing w:val="0"/>
          <w:sz w:val="20"/>
          <w:szCs w:val="20"/>
        </w:rPr>
        <w:t xml:space="preserve"> </w:t>
      </w:r>
      <w:r>
        <w:rPr>
          <w:rFonts w:cs="Arial" w:ascii="Arial" w:hAnsi="Arial"/>
          <w:sz w:val="20"/>
          <w:szCs w:val="20"/>
        </w:rPr>
        <w:t>da</w:t>
      </w:r>
      <w:r>
        <w:rPr>
          <w:rFonts w:cs="Arial" w:ascii="Arial" w:hAnsi="Arial"/>
          <w:spacing w:val="0"/>
          <w:sz w:val="20"/>
          <w:szCs w:val="20"/>
        </w:rPr>
        <w:t xml:space="preserve"> </w:t>
      </w:r>
      <w:r>
        <w:rPr>
          <w:rFonts w:cs="Arial" w:ascii="Arial" w:hAnsi="Arial"/>
          <w:sz w:val="20"/>
          <w:szCs w:val="20"/>
        </w:rPr>
        <w:t>amostra</w:t>
      </w:r>
      <w:r>
        <w:rPr>
          <w:rFonts w:cs="Arial" w:ascii="Arial" w:hAnsi="Arial"/>
          <w:spacing w:val="0"/>
          <w:sz w:val="20"/>
          <w:szCs w:val="20"/>
        </w:rPr>
        <w:t xml:space="preserve"> </w:t>
      </w:r>
      <w:r>
        <w:rPr>
          <w:rFonts w:cs="Arial" w:ascii="Arial" w:hAnsi="Arial"/>
          <w:sz w:val="20"/>
          <w:szCs w:val="20"/>
        </w:rPr>
        <w:t>é</w:t>
      </w:r>
      <w:r>
        <w:rPr>
          <w:rFonts w:cs="Arial" w:ascii="Arial" w:hAnsi="Arial"/>
          <w:spacing w:val="0"/>
          <w:sz w:val="20"/>
          <w:szCs w:val="20"/>
        </w:rPr>
        <w:t xml:space="preserve"> </w:t>
      </w:r>
      <w:r>
        <w:rPr>
          <w:rFonts w:cs="Arial" w:ascii="Arial" w:hAnsi="Arial"/>
          <w:sz w:val="20"/>
          <w:szCs w:val="20"/>
        </w:rPr>
        <w:t>de</w:t>
      </w:r>
      <w:r>
        <w:rPr>
          <w:rFonts w:cs="Arial" w:ascii="Arial" w:hAnsi="Arial"/>
          <w:spacing w:val="0"/>
          <w:sz w:val="20"/>
          <w:szCs w:val="20"/>
        </w:rPr>
        <w:t xml:space="preserve"> </w:t>
      </w:r>
      <w:r>
        <w:rPr>
          <w:rFonts w:cs="Arial" w:ascii="Arial" w:hAnsi="Arial"/>
          <w:sz w:val="20"/>
          <w:szCs w:val="20"/>
        </w:rPr>
        <w:t>responsabilidade</w:t>
      </w:r>
      <w:r>
        <w:rPr>
          <w:rFonts w:cs="Arial" w:ascii="Arial" w:hAnsi="Arial"/>
          <w:spacing w:val="0"/>
          <w:sz w:val="20"/>
          <w:szCs w:val="20"/>
        </w:rPr>
        <w:t xml:space="preserve"> </w:t>
      </w:r>
      <w:r>
        <w:rPr>
          <w:rFonts w:cs="Arial" w:ascii="Arial" w:hAnsi="Arial"/>
          <w:sz w:val="20"/>
          <w:szCs w:val="20"/>
        </w:rPr>
        <w:t>da</w:t>
      </w:r>
      <w:r>
        <w:rPr>
          <w:rFonts w:cs="Arial" w:ascii="Arial" w:hAnsi="Arial"/>
          <w:spacing w:val="0"/>
          <w:sz w:val="20"/>
          <w:szCs w:val="20"/>
        </w:rPr>
        <w:t xml:space="preserve"> </w:t>
      </w:r>
      <w:r>
        <w:rPr>
          <w:rFonts w:cs="Arial" w:ascii="Arial" w:hAnsi="Arial"/>
          <w:sz w:val="20"/>
          <w:szCs w:val="20"/>
        </w:rPr>
        <w:t>proponente.</w:t>
      </w:r>
    </w:p>
    <w:p>
      <w:pPr>
        <w:pStyle w:val="Nivel2"/>
        <w:numPr>
          <w:ilvl w:val="0"/>
          <w:numId w:val="0"/>
        </w:numPr>
        <w:bidi w:val="0"/>
        <w:ind w:left="0" w:right="0" w:hanging="0"/>
        <w:rPr>
          <w:rFonts w:ascii="Arial" w:hAnsi="Arial"/>
          <w:sz w:val="20"/>
          <w:szCs w:val="20"/>
        </w:rPr>
      </w:pPr>
      <w:r>
        <w:rPr>
          <w:rFonts w:cs="Arial" w:ascii="Arial" w:hAnsi="Arial"/>
          <w:sz w:val="20"/>
          <w:szCs w:val="20"/>
        </w:rPr>
        <w:tab/>
        <w:t xml:space="preserve">4.2.6 </w:t>
      </w:r>
      <w:r>
        <w:rPr>
          <w:rFonts w:ascii="Arial" w:hAnsi="Arial"/>
          <w:sz w:val="20"/>
          <w:szCs w:val="20"/>
        </w:rPr>
        <w:t>No caso de não haver entrega da amostra ou ocorrer atraso na entrega, sem justificativa aceita, ou havendo entrega de amostra fora das especificações previstas, a proposta será recusada.</w:t>
      </w:r>
    </w:p>
    <w:p>
      <w:pPr>
        <w:pStyle w:val="Nivel2"/>
        <w:numPr>
          <w:ilvl w:val="0"/>
          <w:numId w:val="0"/>
        </w:numPr>
        <w:bidi w:val="0"/>
        <w:ind w:left="0" w:right="0" w:hanging="0"/>
        <w:rPr>
          <w:rFonts w:ascii="Arial" w:hAnsi="Arial" w:cs="Arial"/>
          <w:b w:val="false"/>
          <w:b w:val="false"/>
          <w:bCs w:val="false"/>
          <w:i w:val="false"/>
          <w:i w:val="false"/>
          <w:iCs w:val="false"/>
          <w:color w:val="auto"/>
          <w:sz w:val="20"/>
          <w:szCs w:val="20"/>
          <w:u w:val="none"/>
        </w:rPr>
      </w:pPr>
      <w:r>
        <w:rPr>
          <w:rFonts w:cs="Arial" w:ascii="Arial" w:hAnsi="Arial"/>
          <w:b w:val="false"/>
          <w:bCs w:val="false"/>
          <w:i w:val="false"/>
          <w:iCs w:val="false"/>
          <w:color w:val="auto"/>
          <w:sz w:val="20"/>
          <w:szCs w:val="20"/>
          <w:u w:val="none"/>
        </w:rPr>
        <w:tab/>
        <w:t>4.2.7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pPr>
        <w:pStyle w:val="Nivel01"/>
        <w:numPr>
          <w:ilvl w:val="0"/>
          <w:numId w:val="0"/>
        </w:numPr>
        <w:bidi w:val="0"/>
        <w:ind w:left="0" w:right="0" w:hanging="0"/>
        <w:rPr>
          <w:rFonts w:ascii="Arial" w:hAnsi="Arial" w:cs="Arial"/>
          <w:sz w:val="20"/>
          <w:szCs w:val="20"/>
        </w:rPr>
      </w:pPr>
      <w:r>
        <w:rPr>
          <w:rFonts w:cs="Arial" w:ascii="Arial" w:hAnsi="Arial"/>
          <w:sz w:val="20"/>
          <w:szCs w:val="20"/>
        </w:rPr>
        <w:t>4.3 Subcontratação</w:t>
      </w:r>
    </w:p>
    <w:p>
      <w:pPr>
        <w:pStyle w:val="Nivel2"/>
        <w:numPr>
          <w:ilvl w:val="0"/>
          <w:numId w:val="0"/>
        </w:numPr>
        <w:bidi w:val="0"/>
        <w:ind w:left="0" w:right="0" w:hanging="0"/>
        <w:rPr>
          <w:rFonts w:ascii="Arial" w:hAnsi="Arial" w:cs="Arial"/>
          <w:vanish w:val="false"/>
          <w:sz w:val="20"/>
          <w:szCs w:val="20"/>
        </w:rPr>
      </w:pPr>
      <w:r>
        <w:rPr>
          <w:rFonts w:cs="Arial" w:ascii="Arial" w:hAnsi="Arial"/>
          <w:sz w:val="20"/>
          <w:szCs w:val="20"/>
        </w:rPr>
        <w:tab/>
        <w:t>4.3.1       Não é admitida a subcontratação do objeto contratual.</w:t>
      </w:r>
    </w:p>
    <w:p>
      <w:pPr>
        <w:pStyle w:val="Nivel01"/>
        <w:numPr>
          <w:ilvl w:val="0"/>
          <w:numId w:val="0"/>
        </w:numPr>
        <w:bidi w:val="0"/>
        <w:ind w:left="0" w:right="0" w:hanging="0"/>
        <w:rPr>
          <w:rFonts w:ascii="Arial" w:hAnsi="Arial" w:cs="Arial"/>
          <w:vanish w:val="false"/>
          <w:sz w:val="20"/>
          <w:szCs w:val="20"/>
        </w:rPr>
      </w:pPr>
      <w:r>
        <w:rPr>
          <w:rFonts w:cs="Arial" w:ascii="Arial" w:hAnsi="Arial"/>
          <w:sz w:val="20"/>
          <w:szCs w:val="20"/>
        </w:rPr>
        <w:t>4.4 Garantia da contratação</w:t>
      </w:r>
    </w:p>
    <w:p>
      <w:pPr>
        <w:pStyle w:val="Nivel2"/>
        <w:numPr>
          <w:ilvl w:val="0"/>
          <w:numId w:val="0"/>
        </w:numPr>
        <w:bidi w:val="0"/>
        <w:ind w:left="0" w:right="0" w:hanging="0"/>
        <w:rPr/>
      </w:pPr>
      <w:r>
        <w:rPr>
          <w:rFonts w:cs="Arial" w:ascii="Arial" w:hAnsi="Arial"/>
          <w:color w:val="000000"/>
          <w:sz w:val="20"/>
          <w:szCs w:val="20"/>
        </w:rPr>
        <w:tab/>
        <w:t xml:space="preserve">4.4.1     Não haverá exigência da garantia da contratação dos </w:t>
      </w:r>
      <w:r>
        <w:fldChar w:fldCharType="begin"/>
      </w:r>
      <w:r>
        <w:rPr>
          <w:rStyle w:val="LinkdaInternet"/>
          <w:sz w:val="20"/>
          <w:szCs w:val="20"/>
          <w:rFonts w:cs="Arial" w:ascii="Arial" w:hAnsi="Arial"/>
        </w:rPr>
        <w:instrText xml:space="preserve"> HYPERLINK "http://www.planalto.gov.br/ccivil_03/_ato2019-2022/2021/lei/L14133.htm" \l "art96"</w:instrText>
      </w:r>
      <w:r>
        <w:rPr>
          <w:rStyle w:val="LinkdaInternet"/>
          <w:sz w:val="20"/>
          <w:szCs w:val="20"/>
          <w:rFonts w:cs="Arial" w:ascii="Arial" w:hAnsi="Arial"/>
        </w:rPr>
        <w:fldChar w:fldCharType="separate"/>
      </w:r>
      <w:r>
        <w:rPr>
          <w:rStyle w:val="LinkdaInternet"/>
          <w:rFonts w:cs="Arial" w:ascii="Arial" w:hAnsi="Arial"/>
          <w:sz w:val="20"/>
          <w:szCs w:val="20"/>
        </w:rPr>
        <w:t>artigos 96 e seguintes da Lei nº 14.133, de 2021</w:t>
      </w:r>
      <w:r>
        <w:rPr>
          <w:rStyle w:val="LinkdaInternet"/>
          <w:sz w:val="20"/>
          <w:szCs w:val="20"/>
          <w:rFonts w:cs="Arial" w:ascii="Arial" w:hAnsi="Arial"/>
        </w:rPr>
        <w:fldChar w:fldCharType="end"/>
      </w:r>
      <w:r>
        <w:rPr>
          <w:rStyle w:val="LinkdaInternet"/>
          <w:rFonts w:cs="Arial" w:ascii="Arial" w:hAnsi="Arial"/>
          <w:color w:val="000000"/>
          <w:sz w:val="20"/>
          <w:szCs w:val="20"/>
        </w:rPr>
        <w:t>.</w:t>
      </w:r>
    </w:p>
    <w:p>
      <w:pPr>
        <w:pStyle w:val="Nivel2"/>
        <w:numPr>
          <w:ilvl w:val="0"/>
          <w:numId w:val="0"/>
        </w:numPr>
        <w:bidi w:val="0"/>
        <w:ind w:left="0" w:right="0" w:hanging="0"/>
        <w:rPr>
          <w:rFonts w:ascii="Arial" w:hAnsi="Arial" w:cs="Arial"/>
          <w:sz w:val="20"/>
          <w:szCs w:val="20"/>
        </w:rPr>
      </w:pPr>
      <w:r>
        <w:rPr>
          <w:rFonts w:cs="Arial" w:ascii="Arial" w:hAnsi="Arial"/>
          <w:sz w:val="20"/>
          <w:szCs w:val="20"/>
        </w:rPr>
        <w:tab/>
        <w:t>4.4.2     O contrato ou outro instrumento hábil que o substitua oferece maior detalhamento das regras que serão aplicadas em relação à garantia da contratação.</w:t>
      </w:r>
    </w:p>
    <w:p>
      <w:pPr>
        <w:pStyle w:val="Nivel2"/>
        <w:numPr>
          <w:ilvl w:val="0"/>
          <w:numId w:val="0"/>
        </w:numPr>
        <w:bidi w:val="0"/>
        <w:ind w:left="0" w:right="0" w:hanging="0"/>
        <w:rPr>
          <w:rFonts w:ascii="Arial" w:hAnsi="Arial" w:cs="Arial"/>
          <w:sz w:val="20"/>
          <w:szCs w:val="20"/>
        </w:rPr>
      </w:pPr>
      <w:r>
        <w:rPr>
          <w:rFonts w:cs="Arial" w:ascii="Arial" w:hAnsi="Arial"/>
          <w:sz w:val="20"/>
          <w:szCs w:val="20"/>
        </w:rPr>
      </w:r>
    </w:p>
    <w:p>
      <w:pPr>
        <w:pStyle w:val="Nivel3"/>
        <w:numPr>
          <w:ilvl w:val="0"/>
          <w:numId w:val="0"/>
        </w:numPr>
        <w:bidi w:val="0"/>
        <w:ind w:left="0" w:right="0" w:hanging="0"/>
        <w:rPr>
          <w:rFonts w:ascii="Arial" w:hAnsi="Arial"/>
          <w:sz w:val="20"/>
          <w:szCs w:val="20"/>
        </w:rPr>
      </w:pPr>
      <w:r>
        <w:rPr>
          <w:rFonts w:cs="Arial" w:ascii="Arial" w:hAnsi="Arial"/>
          <w:b/>
          <w:bCs/>
          <w:sz w:val="20"/>
          <w:szCs w:val="20"/>
        </w:rPr>
        <w:t>5</w:t>
      </w:r>
      <w:r>
        <w:rPr>
          <w:rFonts w:cs="Arial" w:ascii="Arial" w:hAnsi="Arial"/>
          <w:sz w:val="20"/>
          <w:szCs w:val="20"/>
        </w:rPr>
        <w:t xml:space="preserve">. </w:t>
      </w:r>
      <w:r>
        <w:rPr>
          <w:rFonts w:cs="Arial" w:ascii="Arial" w:hAnsi="Arial"/>
          <w:b/>
          <w:bCs/>
          <w:sz w:val="20"/>
          <w:szCs w:val="20"/>
        </w:rPr>
        <w:t>MODELO DE EXECUÇÃO DO OBJETO</w:t>
      </w:r>
    </w:p>
    <w:p>
      <w:pPr>
        <w:pStyle w:val="Nivel3"/>
        <w:bidi w:val="0"/>
        <w:ind w:left="360" w:right="0" w:hanging="0"/>
        <w:rPr>
          <w:rFonts w:ascii="Arial" w:hAnsi="Arial" w:cs="Arial"/>
          <w:b/>
          <w:b/>
          <w:bCs/>
          <w:vanish w:val="false"/>
          <w:sz w:val="20"/>
          <w:szCs w:val="20"/>
        </w:rPr>
      </w:pPr>
      <w:r>
        <w:rPr>
          <w:rFonts w:cs="Arial" w:ascii="Arial" w:hAnsi="Arial"/>
          <w:b/>
          <w:bCs/>
          <w:vanish w:val="false"/>
          <w:sz w:val="20"/>
          <w:szCs w:val="20"/>
        </w:rPr>
        <w:t>5.1.  Condições de execução</w:t>
      </w:r>
    </w:p>
    <w:p>
      <w:pPr>
        <w:pStyle w:val="Nivel3"/>
        <w:numPr>
          <w:ilvl w:val="0"/>
          <w:numId w:val="0"/>
        </w:numPr>
        <w:bidi w:val="0"/>
        <w:ind w:left="360" w:right="0" w:hanging="0"/>
        <w:rPr>
          <w:rFonts w:ascii="Arial" w:hAnsi="Arial"/>
          <w:sz w:val="20"/>
          <w:szCs w:val="20"/>
        </w:rPr>
      </w:pPr>
      <w:r>
        <w:rPr>
          <w:rFonts w:cs="Arial" w:ascii="Arial" w:hAnsi="Arial"/>
          <w:b/>
          <w:bCs/>
          <w:vanish w:val="false"/>
          <w:sz w:val="20"/>
          <w:szCs w:val="20"/>
        </w:rPr>
        <w:t xml:space="preserve">5.1.2.  </w:t>
      </w:r>
      <w:r>
        <w:rPr>
          <w:rFonts w:cs="Arial" w:ascii="Arial" w:hAnsi="Arial"/>
          <w:b w:val="false"/>
          <w:bCs w:val="false"/>
          <w:vanish w:val="false"/>
          <w:sz w:val="20"/>
          <w:szCs w:val="20"/>
        </w:rPr>
        <w:t>A execução do objeto seguirá a seguinte dinâmica:</w:t>
      </w:r>
    </w:p>
    <w:p>
      <w:pPr>
        <w:pStyle w:val="Nivel3"/>
        <w:numPr>
          <w:ilvl w:val="0"/>
          <w:numId w:val="0"/>
        </w:numPr>
        <w:bidi w:val="0"/>
        <w:spacing w:before="6" w:after="6"/>
        <w:ind w:left="720" w:hanging="0"/>
        <w:rPr>
          <w:rFonts w:ascii="Arial" w:hAnsi="Arial" w:cs="Arial"/>
          <w:b w:val="false"/>
          <w:b w:val="false"/>
          <w:bCs w:val="false"/>
          <w:vanish w:val="false"/>
          <w:sz w:val="20"/>
          <w:szCs w:val="20"/>
        </w:rPr>
      </w:pPr>
      <w:r>
        <w:rPr>
          <w:rFonts w:cs="Arial" w:ascii="Arial" w:hAnsi="Arial"/>
          <w:b w:val="false"/>
          <w:bCs w:val="false"/>
          <w:vanish w:val="false"/>
          <w:sz w:val="20"/>
          <w:szCs w:val="20"/>
        </w:rPr>
        <w:t>11h: Inicio do serviço volante de salgados fritos, salgados de forno e bebidas.</w:t>
      </w:r>
    </w:p>
    <w:p>
      <w:pPr>
        <w:pStyle w:val="Nivel3"/>
        <w:numPr>
          <w:ilvl w:val="0"/>
          <w:numId w:val="0"/>
        </w:numPr>
        <w:bidi w:val="0"/>
        <w:spacing w:before="6" w:after="6"/>
        <w:ind w:left="720" w:hanging="0"/>
        <w:rPr>
          <w:rFonts w:ascii="Arial" w:hAnsi="Arial" w:cs="Arial"/>
          <w:b w:val="false"/>
          <w:b w:val="false"/>
          <w:bCs w:val="false"/>
          <w:vanish w:val="false"/>
          <w:sz w:val="20"/>
          <w:szCs w:val="20"/>
        </w:rPr>
      </w:pPr>
      <w:r>
        <w:rPr>
          <w:rFonts w:cs="Arial" w:ascii="Arial" w:hAnsi="Arial"/>
          <w:b w:val="false"/>
          <w:bCs w:val="false"/>
          <w:vanish w:val="false"/>
          <w:sz w:val="20"/>
          <w:szCs w:val="20"/>
        </w:rPr>
        <w:t>12:30: Buffet de churrasco pronto para iniciar o almoço, com todas as preparações, descriminadas no quadro abaixo (requisitos: churrasco), disponíveis para consumo.</w:t>
      </w:r>
    </w:p>
    <w:p>
      <w:pPr>
        <w:pStyle w:val="Nivel3"/>
        <w:numPr>
          <w:ilvl w:val="0"/>
          <w:numId w:val="0"/>
        </w:numPr>
        <w:bidi w:val="0"/>
        <w:spacing w:before="6" w:after="6"/>
        <w:ind w:left="720" w:hanging="0"/>
        <w:rPr>
          <w:rFonts w:ascii="Arial" w:hAnsi="Arial" w:cs="Arial"/>
          <w:b w:val="false"/>
          <w:b w:val="false"/>
          <w:bCs w:val="false"/>
          <w:vanish w:val="false"/>
          <w:sz w:val="20"/>
          <w:szCs w:val="20"/>
        </w:rPr>
      </w:pPr>
      <w:r>
        <w:rPr>
          <w:rFonts w:cs="Arial" w:ascii="Arial" w:hAnsi="Arial"/>
          <w:b w:val="false"/>
          <w:bCs w:val="false"/>
          <w:vanish w:val="false"/>
          <w:sz w:val="20"/>
          <w:szCs w:val="20"/>
        </w:rPr>
        <w:t>13h: Mesa de chá/café dever estar montada e pronta.</w:t>
      </w:r>
    </w:p>
    <w:p>
      <w:pPr>
        <w:pStyle w:val="Nivel3"/>
        <w:numPr>
          <w:ilvl w:val="0"/>
          <w:numId w:val="0"/>
        </w:numPr>
        <w:bidi w:val="0"/>
        <w:spacing w:before="6" w:after="6"/>
        <w:ind w:left="720" w:hanging="0"/>
        <w:rPr>
          <w:rFonts w:ascii="Arial" w:hAnsi="Arial" w:cs="Arial"/>
          <w:b w:val="false"/>
          <w:b w:val="false"/>
          <w:bCs w:val="false"/>
          <w:vanish w:val="false"/>
          <w:sz w:val="20"/>
          <w:szCs w:val="20"/>
        </w:rPr>
      </w:pPr>
      <w:r>
        <w:rPr>
          <w:rFonts w:cs="Arial" w:ascii="Arial" w:hAnsi="Arial"/>
          <w:b w:val="false"/>
          <w:bCs w:val="false"/>
          <w:vanish w:val="false"/>
          <w:sz w:val="20"/>
          <w:szCs w:val="20"/>
        </w:rPr>
        <w:t>15h: Corte de bolo, palavras das autoridades presentes.</w:t>
      </w:r>
    </w:p>
    <w:p>
      <w:pPr>
        <w:pStyle w:val="Nivel3"/>
        <w:widowControl/>
        <w:numPr>
          <w:ilvl w:val="0"/>
          <w:numId w:val="0"/>
        </w:numPr>
        <w:tabs>
          <w:tab w:val="clear" w:pos="708"/>
          <w:tab w:val="left" w:pos="855" w:leader="none"/>
        </w:tabs>
        <w:suppressAutoHyphens w:val="true"/>
        <w:bidi w:val="0"/>
        <w:spacing w:lineRule="auto" w:line="276" w:before="6" w:after="6"/>
        <w:ind w:left="567" w:right="0" w:hanging="0"/>
        <w:jc w:val="both"/>
        <w:textAlignment w:val="baseline"/>
        <w:rPr>
          <w:rFonts w:ascii="Arial" w:hAnsi="Arial" w:cs="Arial"/>
          <w:b w:val="false"/>
          <w:b w:val="false"/>
          <w:bCs w:val="false"/>
          <w:iCs/>
          <w:vanish w:val="false"/>
          <w:color w:val="000000"/>
          <w:sz w:val="20"/>
          <w:szCs w:val="20"/>
        </w:rPr>
      </w:pPr>
      <w:r>
        <w:rPr>
          <w:rFonts w:cs="Arial" w:ascii="Arial" w:hAnsi="Arial"/>
          <w:b w:val="false"/>
          <w:bCs w:val="false"/>
          <w:iCs/>
          <w:vanish w:val="false"/>
          <w:color w:val="000000"/>
          <w:sz w:val="20"/>
          <w:szCs w:val="20"/>
        </w:rPr>
        <w:t xml:space="preserve">   </w:t>
      </w:r>
      <w:r>
        <w:rPr>
          <w:rFonts w:cs="Arial" w:ascii="Arial" w:hAnsi="Arial"/>
          <w:b w:val="false"/>
          <w:bCs w:val="false"/>
          <w:iCs/>
          <w:vanish w:val="false"/>
          <w:color w:val="000000"/>
          <w:sz w:val="20"/>
          <w:szCs w:val="20"/>
        </w:rPr>
        <w:t>16h Fim do serviço volante e churrasco.</w:t>
      </w:r>
    </w:p>
    <w:p>
      <w:pPr>
        <w:pStyle w:val="Nivel3"/>
        <w:widowControl/>
        <w:tabs>
          <w:tab w:val="clear" w:pos="708"/>
          <w:tab w:val="left" w:pos="855" w:leader="none"/>
        </w:tabs>
        <w:suppressAutoHyphens w:val="true"/>
        <w:bidi w:val="0"/>
        <w:spacing w:lineRule="auto" w:line="276" w:before="6" w:after="6"/>
        <w:ind w:left="567" w:right="0" w:hanging="567"/>
        <w:jc w:val="both"/>
        <w:textAlignment w:val="baseline"/>
        <w:rPr>
          <w:rFonts w:ascii="Arial" w:hAnsi="Arial" w:cs="Arial"/>
          <w:b w:val="false"/>
          <w:b w:val="false"/>
          <w:bCs w:val="false"/>
          <w:iCs/>
          <w:vanish w:val="false"/>
          <w:color w:val="000000"/>
          <w:sz w:val="20"/>
          <w:szCs w:val="20"/>
        </w:rPr>
      </w:pPr>
      <w:r>
        <w:rPr>
          <w:rFonts w:cs="Arial" w:ascii="Arial" w:hAnsi="Arial"/>
          <w:b w:val="false"/>
          <w:bCs w:val="false"/>
          <w:iCs/>
          <w:vanish w:val="false"/>
          <w:color w:val="000000"/>
          <w:sz w:val="20"/>
          <w:szCs w:val="20"/>
        </w:rPr>
      </w:r>
    </w:p>
    <w:tbl>
      <w:tblPr>
        <w:tblW w:w="9583" w:type="dxa"/>
        <w:jc w:val="left"/>
        <w:tblInd w:w="-766" w:type="dxa"/>
        <w:tblLayout w:type="fixed"/>
        <w:tblCellMar>
          <w:top w:w="55" w:type="dxa"/>
          <w:left w:w="55" w:type="dxa"/>
          <w:bottom w:w="55" w:type="dxa"/>
          <w:right w:w="55" w:type="dxa"/>
        </w:tblCellMar>
      </w:tblPr>
      <w:tblGrid>
        <w:gridCol w:w="1467"/>
        <w:gridCol w:w="1980"/>
        <w:gridCol w:w="6136"/>
      </w:tblGrid>
      <w:tr>
        <w:trPr/>
        <w:tc>
          <w:tcPr>
            <w:tcW w:w="1467" w:type="dxa"/>
            <w:tcBorders>
              <w:top w:val="single" w:sz="4" w:space="0" w:color="000000"/>
              <w:left w:val="single" w:sz="4" w:space="0" w:color="000000"/>
              <w:bottom w:val="single" w:sz="4" w:space="0" w:color="000000"/>
            </w:tcBorders>
          </w:tcPr>
          <w:p>
            <w:pPr>
              <w:pStyle w:val="Contedodatabela"/>
              <w:widowControl w:val="false"/>
              <w:bidi w:val="0"/>
              <w:jc w:val="center"/>
              <w:rPr>
                <w:rFonts w:ascii="Arial" w:hAnsi="Arial" w:cs="Carlito;Calibri"/>
                <w:b/>
                <w:b/>
                <w:bCs/>
                <w:sz w:val="20"/>
                <w:szCs w:val="20"/>
              </w:rPr>
            </w:pPr>
            <w:r>
              <w:rPr>
                <w:rFonts w:cs="Carlito;Calibri" w:ascii="Arial" w:hAnsi="Arial"/>
                <w:b/>
                <w:bCs/>
                <w:sz w:val="20"/>
                <w:szCs w:val="20"/>
              </w:rPr>
              <w:t>Evento Protocolar</w:t>
            </w:r>
          </w:p>
        </w:tc>
        <w:tc>
          <w:tcPr>
            <w:tcW w:w="1980" w:type="dxa"/>
            <w:tcBorders>
              <w:top w:val="single" w:sz="4" w:space="0" w:color="000000"/>
              <w:left w:val="single" w:sz="4" w:space="0" w:color="000000"/>
              <w:bottom w:val="single" w:sz="4" w:space="0" w:color="000000"/>
            </w:tcBorders>
          </w:tcPr>
          <w:p>
            <w:pPr>
              <w:pStyle w:val="Contedodatabela"/>
              <w:widowControl w:val="false"/>
              <w:bidi w:val="0"/>
              <w:jc w:val="center"/>
              <w:rPr>
                <w:rFonts w:ascii="Arial" w:hAnsi="Arial" w:cs="Carlito;Calibri"/>
                <w:b/>
                <w:b/>
                <w:bCs/>
                <w:sz w:val="20"/>
                <w:szCs w:val="20"/>
              </w:rPr>
            </w:pPr>
            <w:r>
              <w:rPr>
                <w:rFonts w:cs="Carlito;Calibri" w:ascii="Arial" w:hAnsi="Arial"/>
                <w:b/>
                <w:bCs/>
                <w:sz w:val="20"/>
                <w:szCs w:val="20"/>
              </w:rPr>
              <w:t>Requisitos</w:t>
            </w:r>
          </w:p>
        </w:tc>
        <w:tc>
          <w:tcPr>
            <w:tcW w:w="6136" w:type="dxa"/>
            <w:tcBorders>
              <w:top w:val="single" w:sz="4" w:space="0" w:color="000000"/>
              <w:left w:val="single" w:sz="4" w:space="0" w:color="000000"/>
              <w:bottom w:val="single" w:sz="4" w:space="0" w:color="000000"/>
              <w:right w:val="single" w:sz="4" w:space="0" w:color="000000"/>
            </w:tcBorders>
          </w:tcPr>
          <w:p>
            <w:pPr>
              <w:pStyle w:val="Contedodatabela"/>
              <w:widowControl w:val="false"/>
              <w:bidi w:val="0"/>
              <w:jc w:val="center"/>
              <w:rPr>
                <w:rFonts w:ascii="Arial" w:hAnsi="Arial" w:cs="Carlito;Calibri"/>
                <w:b/>
                <w:b/>
                <w:bCs/>
                <w:sz w:val="20"/>
                <w:szCs w:val="20"/>
              </w:rPr>
            </w:pPr>
            <w:r>
              <w:rPr>
                <w:rFonts w:cs="Carlito;Calibri" w:ascii="Arial" w:hAnsi="Arial"/>
                <w:b/>
                <w:bCs/>
                <w:sz w:val="20"/>
                <w:szCs w:val="20"/>
              </w:rPr>
              <w:t>Detalhamento</w:t>
            </w:r>
          </w:p>
        </w:tc>
      </w:tr>
      <w:tr>
        <w:trPr/>
        <w:tc>
          <w:tcPr>
            <w:tcW w:w="1467" w:type="dxa"/>
            <w:vMerge w:val="restart"/>
            <w:tcBorders>
              <w:left w:val="single" w:sz="4" w:space="0" w:color="000000"/>
              <w:bottom w:val="single" w:sz="4" w:space="0" w:color="000000"/>
            </w:tcBorders>
            <w:vAlign w:val="center"/>
          </w:tcPr>
          <w:p>
            <w:pPr>
              <w:pStyle w:val="Contedodatabela"/>
              <w:widowControl w:val="false"/>
              <w:bidi w:val="0"/>
              <w:jc w:val="center"/>
              <w:rPr>
                <w:rFonts w:ascii="Arial" w:hAnsi="Arial"/>
                <w:sz w:val="20"/>
                <w:szCs w:val="20"/>
              </w:rPr>
            </w:pPr>
            <w:r>
              <w:rPr>
                <w:rFonts w:eastAsia="MS Mincho;ＭＳ 明朝" w:cs="Carlito;Calibri" w:ascii="Arial" w:hAnsi="Arial"/>
                <w:color w:val="auto"/>
                <w:sz w:val="20"/>
                <w:szCs w:val="20"/>
                <w:lang w:val="pt-BR" w:eastAsia="zh-CN" w:bidi="ar-SA"/>
              </w:rPr>
              <w:t>Buffet - Churrasco</w:t>
            </w:r>
          </w:p>
        </w:tc>
        <w:tc>
          <w:tcPr>
            <w:tcW w:w="1980" w:type="dxa"/>
            <w:tcBorders>
              <w:left w:val="single" w:sz="4" w:space="0" w:color="000000"/>
              <w:bottom w:val="single" w:sz="4" w:space="0" w:color="000000"/>
            </w:tcBorders>
            <w:vAlign w:val="center"/>
          </w:tcPr>
          <w:p>
            <w:pPr>
              <w:pStyle w:val="Contedodatabela"/>
              <w:widowControl w:val="false"/>
              <w:bidi w:val="0"/>
              <w:jc w:val="center"/>
              <w:rPr>
                <w:rFonts w:ascii="Arial" w:hAnsi="Arial" w:cs="Carlito;Calibri"/>
                <w:sz w:val="20"/>
                <w:szCs w:val="20"/>
              </w:rPr>
            </w:pPr>
            <w:r>
              <w:rPr>
                <w:rFonts w:cs="Carlito;Calibri" w:ascii="Arial" w:hAnsi="Arial"/>
                <w:sz w:val="20"/>
                <w:szCs w:val="20"/>
              </w:rPr>
              <w:t>Salgados Fritos</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tabs>
                <w:tab w:val="clear" w:pos="708"/>
                <w:tab w:val="left" w:pos="-339" w:leader="none"/>
              </w:tabs>
              <w:bidi w:val="0"/>
              <w:jc w:val="both"/>
              <w:rPr>
                <w:rFonts w:ascii="Arial" w:hAnsi="Arial" w:cs="Carlito;Calibri"/>
                <w:sz w:val="20"/>
                <w:szCs w:val="20"/>
              </w:rPr>
            </w:pPr>
            <w:r>
              <w:rPr>
                <w:rFonts w:cs="Carlito;Calibri" w:ascii="Arial" w:hAnsi="Arial"/>
                <w:sz w:val="20"/>
                <w:szCs w:val="20"/>
              </w:rPr>
              <w:t>No mínimo 08 variedades: contemplando: coxinha de frango, quibe com requeijão, bolinha de queijo, bolinho de aipim com carne seca, croquete de carne assada, dadinho de tapioca e outros.</w:t>
            </w:r>
          </w:p>
          <w:p>
            <w:pPr>
              <w:pStyle w:val="Contedodatabela"/>
              <w:widowControl w:val="false"/>
              <w:numPr>
                <w:ilvl w:val="0"/>
                <w:numId w:val="9"/>
              </w:numPr>
              <w:suppressLineNumbers/>
              <w:tabs>
                <w:tab w:val="clear" w:pos="708"/>
                <w:tab w:val="left" w:pos="-339" w:leader="none"/>
              </w:tabs>
              <w:bidi w:val="0"/>
              <w:jc w:val="both"/>
              <w:rPr>
                <w:rFonts w:ascii="Arial" w:hAnsi="Arial" w:cs="Carlito;Calibri"/>
                <w:sz w:val="20"/>
                <w:szCs w:val="20"/>
              </w:rPr>
            </w:pPr>
            <w:r>
              <w:rPr>
                <w:rFonts w:cs="Carlito;Calibri" w:ascii="Arial" w:hAnsi="Arial"/>
                <w:sz w:val="20"/>
                <w:szCs w:val="20"/>
              </w:rPr>
              <w:t>Quantidade mínima de 10 salgados por pessoa.</w:t>
            </w:r>
          </w:p>
        </w:tc>
      </w:tr>
      <w:tr>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vAlign w:val="center"/>
          </w:tcPr>
          <w:p>
            <w:pPr>
              <w:pStyle w:val="Contedodatabela"/>
              <w:widowControl w:val="false"/>
              <w:bidi w:val="0"/>
              <w:jc w:val="center"/>
              <w:rPr>
                <w:rFonts w:ascii="Arial" w:hAnsi="Arial" w:cs="Carlito;Calibri"/>
                <w:sz w:val="20"/>
                <w:szCs w:val="20"/>
              </w:rPr>
            </w:pPr>
            <w:r>
              <w:rPr>
                <w:rFonts w:cs="Carlito;Calibri" w:ascii="Arial" w:hAnsi="Arial"/>
                <w:sz w:val="20"/>
                <w:szCs w:val="20"/>
              </w:rPr>
              <w:t>Salgados de Forno</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both"/>
              <w:rPr>
                <w:rFonts w:ascii="Arial" w:hAnsi="Arial" w:cs="Carlito;Calibri"/>
                <w:sz w:val="20"/>
                <w:szCs w:val="20"/>
              </w:rPr>
            </w:pPr>
            <w:r>
              <w:rPr>
                <w:rFonts w:cs="Carlito;Calibri" w:ascii="Arial" w:hAnsi="Arial"/>
                <w:sz w:val="20"/>
                <w:szCs w:val="20"/>
              </w:rPr>
              <w:t>No mínimo 06 variedades, contemplando: folheado de ameixa com bacon, folheado de queijo, mini-quiche de alho poró, mini-empada de palmito, mini-empada de frango, mini-empada de carne seca e outros.</w:t>
            </w:r>
          </w:p>
          <w:p>
            <w:pPr>
              <w:pStyle w:val="Contedodatabela"/>
              <w:widowControl w:val="false"/>
              <w:numPr>
                <w:ilvl w:val="0"/>
                <w:numId w:val="9"/>
              </w:numPr>
              <w:suppressLineNumbers/>
              <w:tabs>
                <w:tab w:val="clear" w:pos="708"/>
                <w:tab w:val="left" w:pos="-339" w:leader="none"/>
              </w:tabs>
              <w:bidi w:val="0"/>
              <w:jc w:val="both"/>
              <w:rPr>
                <w:rFonts w:ascii="Arial" w:hAnsi="Arial" w:cs="Carlito;Calibri"/>
                <w:sz w:val="20"/>
                <w:szCs w:val="20"/>
              </w:rPr>
            </w:pPr>
            <w:r>
              <w:rPr>
                <w:rFonts w:cs="Carlito;Calibri" w:ascii="Arial" w:hAnsi="Arial"/>
                <w:sz w:val="20"/>
                <w:szCs w:val="20"/>
              </w:rPr>
              <w:t>Quantidade mínima de 10 salgados por pessoa.</w:t>
            </w:r>
          </w:p>
        </w:tc>
      </w:tr>
      <w:tr>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vAlign w:val="center"/>
          </w:tcPr>
          <w:p>
            <w:pPr>
              <w:pStyle w:val="Contedodatabela"/>
              <w:widowControl w:val="false"/>
              <w:bidi w:val="0"/>
              <w:jc w:val="center"/>
              <w:rPr>
                <w:rFonts w:ascii="Arial" w:hAnsi="Arial" w:cs="Carlito;Calibri"/>
                <w:sz w:val="20"/>
                <w:szCs w:val="20"/>
              </w:rPr>
            </w:pPr>
            <w:r>
              <w:rPr>
                <w:rFonts w:cs="Carlito;Calibri" w:ascii="Arial" w:hAnsi="Arial"/>
                <w:sz w:val="20"/>
                <w:szCs w:val="20"/>
              </w:rPr>
              <w:t>Churrasco</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Carnes Vermelha : Picanha, Maminha, Alcatra (mínimo de 350g por pessoa)</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Carnes Brancas: Drumete de frango, coração de frango, linguiça de frango, medalhão de frango com bacon, linguiça toscana, lombo suíno, costelinha suína (mínimo de 250g por pessoa).</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Vegano: 2 opções de espetinhos veganos a escolha da contratada.</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Petiscos: Pão de alho, queijo coalho e batata calabresa ( mínimo de 75g por pessoa)</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Caldos: 02 tipos, conforme escolha da contratante</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Guarnições: Arroz branco, Arroz à grega, Farofa de bacon e ovos, maionese de legumes, Salpicão de Frango, Feijão fradinho, Salada Verde com Ovo de codorna, Batata frita.</w:t>
            </w:r>
          </w:p>
          <w:p>
            <w:pPr>
              <w:pStyle w:val="Contedodatabela"/>
              <w:widowControl w:val="false"/>
              <w:numPr>
                <w:ilvl w:val="0"/>
                <w:numId w:val="9"/>
              </w:numPr>
              <w:suppressLineNumbers/>
              <w:bidi w:val="0"/>
              <w:jc w:val="left"/>
              <w:rPr>
                <w:rFonts w:ascii="Arial" w:hAnsi="Arial"/>
                <w:sz w:val="20"/>
                <w:szCs w:val="20"/>
              </w:rPr>
            </w:pPr>
            <w:r>
              <w:rPr>
                <w:rFonts w:cs="Carlito;Calibri" w:ascii="Arial" w:hAnsi="Arial"/>
                <w:sz w:val="20"/>
                <w:szCs w:val="20"/>
              </w:rPr>
              <w:t xml:space="preserve">Molhos: à campanha, chimichurri, </w:t>
            </w:r>
            <w:r>
              <w:rPr>
                <w:rFonts w:eastAsia="Noto Serif CJK SC" w:cs="Carlito;Calibri" w:ascii="Arial" w:hAnsi="Arial"/>
                <w:color w:val="auto"/>
                <w:kern w:val="2"/>
                <w:sz w:val="20"/>
                <w:szCs w:val="20"/>
                <w:lang w:val="pt-BR" w:eastAsia="zh-CN" w:bidi="hi-IN"/>
              </w:rPr>
              <w:t>ervas finas.</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Sobremesa: Banana c/ canela e açúcar e sorvete.</w:t>
            </w:r>
          </w:p>
        </w:tc>
      </w:tr>
      <w:tr>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vAlign w:val="center"/>
          </w:tcPr>
          <w:p>
            <w:pPr>
              <w:pStyle w:val="Contedodatabela"/>
              <w:widowControl w:val="false"/>
              <w:bidi w:val="0"/>
              <w:jc w:val="center"/>
              <w:rPr>
                <w:rFonts w:ascii="Arial" w:hAnsi="Arial" w:cs="Carlito;Calibri"/>
                <w:sz w:val="20"/>
                <w:szCs w:val="20"/>
              </w:rPr>
            </w:pPr>
            <w:r>
              <w:rPr>
                <w:rFonts w:cs="Carlito;Calibri" w:ascii="Arial" w:hAnsi="Arial"/>
                <w:sz w:val="20"/>
                <w:szCs w:val="20"/>
              </w:rPr>
              <w:t>Bebidas</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Suco: 03 sabores de suco caixinha, conforme escolha da contratante.</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Água mineral (com e sem gás)</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Refrigerantes: Coca-Cola (Comum e Zero), Guarana Antártica (Comum e Zero), Sprite, Fanta Uva e Fanta Laranja.</w:t>
            </w:r>
          </w:p>
        </w:tc>
      </w:tr>
      <w:tr>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tcPr>
          <w:p>
            <w:pPr>
              <w:pStyle w:val="Contedodatabela"/>
              <w:widowControl w:val="false"/>
              <w:bidi w:val="0"/>
              <w:jc w:val="center"/>
              <w:rPr>
                <w:rFonts w:ascii="Arial" w:hAnsi="Arial" w:cs="Carlito;Calibri"/>
                <w:sz w:val="20"/>
                <w:szCs w:val="20"/>
              </w:rPr>
            </w:pPr>
            <w:r>
              <w:rPr>
                <w:rFonts w:cs="Carlito;Calibri" w:ascii="Arial" w:hAnsi="Arial"/>
                <w:sz w:val="20"/>
                <w:szCs w:val="20"/>
              </w:rPr>
              <w:t>Mesa de Chá e Café</w:t>
            </w:r>
          </w:p>
          <w:p>
            <w:pPr>
              <w:pStyle w:val="Contedodatabela"/>
              <w:widowControl w:val="false"/>
              <w:bidi w:val="0"/>
              <w:jc w:val="center"/>
              <w:rPr>
                <w:rFonts w:ascii="Arial" w:hAnsi="Arial" w:cs="Carlito;Calibri"/>
                <w:sz w:val="20"/>
                <w:szCs w:val="20"/>
              </w:rPr>
            </w:pPr>
            <w:r>
              <w:rPr>
                <w:rFonts w:cs="Carlito;Calibri" w:ascii="Arial" w:hAnsi="Arial"/>
                <w:sz w:val="20"/>
                <w:szCs w:val="20"/>
              </w:rPr>
              <w:t>(aproximadamente para 50 comensais)</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Café: Melita ou similar (tradicional)</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Chá: mínimo 02 sabores, conforme escolha da contratante</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Biscoito Tipo Petit Four: mínimo 02 sabores, conforme escolha da contratante</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Sachés de adoçante e açúcar</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Tablete de chocolate sabor menta (5g cada)</w:t>
            </w:r>
          </w:p>
        </w:tc>
      </w:tr>
      <w:tr>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tcPr>
          <w:p>
            <w:pPr>
              <w:pStyle w:val="Contedodatabela"/>
              <w:widowControl w:val="false"/>
              <w:bidi w:val="0"/>
              <w:jc w:val="center"/>
              <w:rPr>
                <w:rFonts w:ascii="Arial" w:hAnsi="Arial" w:cs="Carlito;Calibri"/>
                <w:sz w:val="20"/>
                <w:szCs w:val="20"/>
              </w:rPr>
            </w:pPr>
            <w:r>
              <w:rPr>
                <w:rFonts w:cs="Carlito;Calibri" w:ascii="Arial" w:hAnsi="Arial"/>
                <w:sz w:val="20"/>
                <w:szCs w:val="20"/>
              </w:rPr>
              <w:t>Bolo</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Bolo personalizado com cobertura de pasta americana, conforme escolha da contratante</w:t>
            </w:r>
          </w:p>
        </w:tc>
      </w:tr>
      <w:tr>
        <w:trPr>
          <w:trHeight w:val="1387" w:hRule="atLeast"/>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tcPr>
          <w:p>
            <w:pPr>
              <w:pStyle w:val="Contedodatabela"/>
              <w:widowControl w:val="false"/>
              <w:bidi w:val="0"/>
              <w:jc w:val="center"/>
              <w:rPr>
                <w:rFonts w:ascii="Arial" w:hAnsi="Arial" w:cs="Carlito;Calibri"/>
                <w:sz w:val="20"/>
                <w:szCs w:val="20"/>
              </w:rPr>
            </w:pPr>
            <w:r>
              <w:rPr>
                <w:rFonts w:cs="Carlito;Calibri" w:ascii="Arial" w:hAnsi="Arial"/>
                <w:sz w:val="20"/>
                <w:szCs w:val="20"/>
              </w:rPr>
              <w:t>Materiais</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Louças de Porcelana, Bandejas para bebidas, ramequins, talheres de inox, copos, taças e jarras de vidro, rechauds para servir salgado, espelhos/tábuas para servir canapés/barquetes/torradas, grelhas, espetos para churrasco, facas, fritador, toalhas de mesa, centro de mesa, e outros materiais que se façam necessários à prestação do serviço.</w:t>
            </w:r>
          </w:p>
        </w:tc>
      </w:tr>
      <w:tr>
        <w:trPr>
          <w:trHeight w:val="1132" w:hRule="atLeast"/>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tcPr>
          <w:p>
            <w:pPr>
              <w:pStyle w:val="Contedodatabela"/>
              <w:widowControl w:val="false"/>
              <w:bidi w:val="0"/>
              <w:jc w:val="center"/>
              <w:rPr>
                <w:rFonts w:ascii="Arial" w:hAnsi="Arial" w:cs="Carlito;Calibri"/>
                <w:sz w:val="20"/>
                <w:szCs w:val="20"/>
              </w:rPr>
            </w:pPr>
            <w:r>
              <w:rPr>
                <w:rFonts w:cs="Carlito;Calibri" w:ascii="Arial" w:hAnsi="Arial"/>
                <w:sz w:val="20"/>
                <w:szCs w:val="20"/>
              </w:rPr>
              <w:t>Serviço</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01 Maître</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Cozinheiros e auxiliares de cozinha em quantidade suficiente para execução do serviço.</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Churrasqueiro: 02 para cada 100 convidados</w:t>
            </w:r>
          </w:p>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Garçons uniformizados, na proporção de 1 garçom/20 convidados.</w:t>
            </w:r>
          </w:p>
        </w:tc>
      </w:tr>
      <w:tr>
        <w:trPr>
          <w:trHeight w:val="341" w:hRule="atLeast"/>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tcPr>
          <w:p>
            <w:pPr>
              <w:pStyle w:val="Contedodatabela"/>
              <w:widowControl w:val="false"/>
              <w:bidi w:val="0"/>
              <w:jc w:val="center"/>
              <w:rPr>
                <w:rFonts w:ascii="Arial" w:hAnsi="Arial" w:cs="Carlito;Calibri"/>
                <w:sz w:val="20"/>
                <w:szCs w:val="20"/>
              </w:rPr>
            </w:pPr>
            <w:r>
              <w:rPr>
                <w:rFonts w:cs="Carlito;Calibri" w:ascii="Arial" w:hAnsi="Arial"/>
                <w:sz w:val="20"/>
                <w:szCs w:val="20"/>
              </w:rPr>
              <w:t>Duração</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sz w:val="20"/>
                <w:szCs w:val="20"/>
              </w:rPr>
            </w:pPr>
            <w:r>
              <w:rPr>
                <w:rFonts w:cs="Carlito;Calibri" w:ascii="Arial" w:hAnsi="Arial"/>
                <w:sz w:val="20"/>
                <w:szCs w:val="20"/>
              </w:rPr>
              <w:t>5 (</w:t>
            </w:r>
            <w:r>
              <w:rPr>
                <w:rFonts w:eastAsia="MS Mincho;ＭＳ 明朝" w:cs="Carlito;Calibri" w:ascii="Arial" w:hAnsi="Arial"/>
                <w:color w:val="auto"/>
                <w:sz w:val="20"/>
                <w:szCs w:val="20"/>
                <w:lang w:val="pt-BR" w:eastAsia="zh-CN" w:bidi="ar-SA"/>
              </w:rPr>
              <w:t>cinco</w:t>
            </w:r>
            <w:r>
              <w:rPr>
                <w:rFonts w:cs="Carlito;Calibri" w:ascii="Arial" w:hAnsi="Arial"/>
                <w:sz w:val="20"/>
                <w:szCs w:val="20"/>
              </w:rPr>
              <w:t>) horas.</w:t>
            </w:r>
          </w:p>
        </w:tc>
      </w:tr>
      <w:tr>
        <w:trPr>
          <w:trHeight w:val="627" w:hRule="atLeast"/>
        </w:trPr>
        <w:tc>
          <w:tcPr>
            <w:tcW w:w="1467" w:type="dxa"/>
            <w:vMerge w:val="continue"/>
            <w:tcBorders>
              <w:left w:val="single" w:sz="4" w:space="0" w:color="000000"/>
              <w:bottom w:val="single" w:sz="4" w:space="0" w:color="000000"/>
            </w:tcBorders>
            <w:vAlign w:val="center"/>
          </w:tcPr>
          <w:p>
            <w:pPr>
              <w:pStyle w:val="Contedodatabela"/>
              <w:widowControl w:val="false"/>
              <w:bidi w:val="0"/>
              <w:snapToGrid w:val="false"/>
              <w:jc w:val="center"/>
              <w:rPr>
                <w:rFonts w:ascii="Arial" w:hAnsi="Arial" w:cs="Carlito;Calibri"/>
                <w:sz w:val="20"/>
                <w:szCs w:val="20"/>
              </w:rPr>
            </w:pPr>
            <w:r>
              <w:rPr>
                <w:rFonts w:cs="Carlito;Calibri" w:ascii="Arial" w:hAnsi="Arial"/>
                <w:sz w:val="20"/>
                <w:szCs w:val="20"/>
              </w:rPr>
            </w:r>
          </w:p>
        </w:tc>
        <w:tc>
          <w:tcPr>
            <w:tcW w:w="1980" w:type="dxa"/>
            <w:tcBorders>
              <w:left w:val="single" w:sz="4" w:space="0" w:color="000000"/>
              <w:bottom w:val="single" w:sz="4" w:space="0" w:color="000000"/>
            </w:tcBorders>
          </w:tcPr>
          <w:p>
            <w:pPr>
              <w:pStyle w:val="Contedodatabela"/>
              <w:widowControl w:val="false"/>
              <w:bidi w:val="0"/>
              <w:jc w:val="center"/>
              <w:rPr>
                <w:rFonts w:ascii="Arial" w:hAnsi="Arial" w:cs="Carlito;Calibri"/>
                <w:sz w:val="20"/>
                <w:szCs w:val="20"/>
              </w:rPr>
            </w:pPr>
            <w:r>
              <w:rPr>
                <w:rFonts w:cs="Carlito;Calibri" w:ascii="Arial" w:hAnsi="Arial"/>
                <w:sz w:val="20"/>
                <w:szCs w:val="20"/>
              </w:rPr>
              <w:t>Quantidade de Convidados</w:t>
            </w:r>
          </w:p>
        </w:tc>
        <w:tc>
          <w:tcPr>
            <w:tcW w:w="6136" w:type="dxa"/>
            <w:tcBorders>
              <w:left w:val="single" w:sz="4" w:space="0" w:color="000000"/>
              <w:bottom w:val="single" w:sz="4" w:space="0" w:color="000000"/>
              <w:right w:val="single" w:sz="4" w:space="0" w:color="000000"/>
            </w:tcBorders>
          </w:tcPr>
          <w:p>
            <w:pPr>
              <w:pStyle w:val="Contedodatabela"/>
              <w:widowControl w:val="false"/>
              <w:numPr>
                <w:ilvl w:val="0"/>
                <w:numId w:val="9"/>
              </w:numPr>
              <w:suppressLineNumbers/>
              <w:bidi w:val="0"/>
              <w:jc w:val="left"/>
              <w:rPr>
                <w:rFonts w:ascii="Arial" w:hAnsi="Arial" w:cs="Carlito;Calibri"/>
                <w:sz w:val="20"/>
                <w:szCs w:val="20"/>
              </w:rPr>
            </w:pPr>
            <w:r>
              <w:rPr>
                <w:rFonts w:cs="Carlito;Calibri" w:ascii="Arial" w:hAnsi="Arial"/>
                <w:sz w:val="20"/>
                <w:szCs w:val="20"/>
              </w:rPr>
              <w:t>Mínimo de 200 (duzentos) e máximo de 400 (quatrocentos)</w:t>
            </w:r>
          </w:p>
        </w:tc>
      </w:tr>
    </w:tbl>
    <w:p>
      <w:pPr>
        <w:pStyle w:val="Normal"/>
        <w:tabs>
          <w:tab w:val="clear" w:pos="708"/>
          <w:tab w:val="left" w:pos="855" w:leader="none"/>
        </w:tabs>
        <w:bidi w:val="0"/>
        <w:spacing w:lineRule="auto" w:line="240" w:before="119" w:after="119"/>
        <w:ind w:left="0" w:right="0" w:hanging="0"/>
        <w:contextualSpacing/>
        <w:jc w:val="both"/>
        <w:rPr>
          <w:rFonts w:ascii="Arial" w:hAnsi="Arial" w:cs="Arial"/>
          <w:iCs/>
          <w:color w:val="000000"/>
          <w:sz w:val="20"/>
          <w:szCs w:val="20"/>
        </w:rPr>
      </w:pPr>
      <w:r>
        <w:rPr>
          <w:rFonts w:cs="Arial"/>
          <w:iCs/>
          <w:color w:val="000000"/>
          <w:sz w:val="20"/>
          <w:szCs w:val="20"/>
        </w:rPr>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5.2 Local e horário da prestação dos serviços.</w:t>
      </w:r>
    </w:p>
    <w:p>
      <w:pPr>
        <w:pStyle w:val="Nivel2"/>
        <w:widowControl/>
        <w:numPr>
          <w:ilvl w:val="0"/>
          <w:numId w:val="0"/>
        </w:numPr>
        <w:suppressAutoHyphens w:val="true"/>
        <w:bidi w:val="0"/>
        <w:spacing w:lineRule="auto" w:line="276" w:before="177" w:after="177"/>
        <w:ind w:left="1814" w:right="0" w:hanging="0"/>
        <w:jc w:val="both"/>
        <w:textAlignment w:val="baseline"/>
        <w:rPr>
          <w:rFonts w:ascii="Arial" w:hAnsi="Arial"/>
          <w:sz w:val="20"/>
          <w:szCs w:val="20"/>
        </w:rPr>
      </w:pPr>
      <w:r>
        <w:rPr>
          <w:rFonts w:cs="Arial" w:ascii="Arial" w:hAnsi="Arial"/>
          <w:sz w:val="20"/>
          <w:szCs w:val="20"/>
        </w:rPr>
        <w:t xml:space="preserve">5.2.1 </w:t>
        <w:tab/>
        <w:t>O serviço deverá ser realizado na Avenida Brasil, 10.592 - Penha - CEP 21012-350 - Rio de Janeiro, no dia 12 de dezembro de 2024, iniciando às 11 horas com horário previsto para término as 16h.</w:t>
      </w:r>
    </w:p>
    <w:p>
      <w:pPr>
        <w:pStyle w:val="Nivel2"/>
        <w:widowControl/>
        <w:numPr>
          <w:ilvl w:val="0"/>
          <w:numId w:val="0"/>
        </w:numPr>
        <w:suppressAutoHyphens w:val="true"/>
        <w:bidi w:val="0"/>
        <w:spacing w:lineRule="auto" w:line="276" w:before="177" w:after="177"/>
        <w:ind w:left="1814" w:right="0" w:hanging="0"/>
        <w:jc w:val="both"/>
        <w:textAlignment w:val="baseline"/>
        <w:rPr>
          <w:rFonts w:ascii="Arial" w:hAnsi="Arial" w:cs="Arial"/>
          <w:sz w:val="20"/>
          <w:szCs w:val="20"/>
        </w:rPr>
      </w:pPr>
      <w:r>
        <w:rPr>
          <w:rFonts w:cs="Arial" w:ascii="Arial" w:hAnsi="Arial"/>
          <w:sz w:val="20"/>
          <w:szCs w:val="20"/>
        </w:rPr>
        <w:t>5.2.2 A entrega dos produtos e a realização dos serviços deverão ser efetuadas com, no mínimo, 1 (uma) hora de antecedência do horário previsto para o início do evento;</w:t>
      </w:r>
    </w:p>
    <w:p>
      <w:pPr>
        <w:pStyle w:val="Nivel2"/>
        <w:widowControl/>
        <w:numPr>
          <w:ilvl w:val="0"/>
          <w:numId w:val="0"/>
        </w:numPr>
        <w:suppressAutoHyphens w:val="true"/>
        <w:bidi w:val="0"/>
        <w:spacing w:lineRule="auto" w:line="276" w:before="177" w:after="177"/>
        <w:ind w:left="1814" w:right="0" w:hanging="0"/>
        <w:jc w:val="both"/>
        <w:textAlignment w:val="baseline"/>
        <w:rPr>
          <w:rFonts w:ascii="Arial" w:hAnsi="Arial" w:cs="Arial"/>
          <w:sz w:val="20"/>
          <w:szCs w:val="20"/>
        </w:rPr>
      </w:pPr>
      <w:r>
        <w:rPr>
          <w:rFonts w:cs="Arial" w:ascii="Arial" w:hAnsi="Arial"/>
          <w:sz w:val="20"/>
          <w:szCs w:val="20"/>
        </w:rPr>
        <w:t>5.2.3 A duração prevista do evento será contada a partir do início dos serviços e terá uma tolerância de até 1(uma) hora a mais do término do evento. A prestadora do serviço só se retirará após devida autorização por parte do fiscal do contrato ou pessoa (s) devidamente designadas pela Administração.</w:t>
      </w:r>
    </w:p>
    <w:p>
      <w:pPr>
        <w:pStyle w:val="Nivel2"/>
        <w:widowControl/>
        <w:numPr>
          <w:ilvl w:val="0"/>
          <w:numId w:val="0"/>
        </w:numPr>
        <w:suppressAutoHyphens w:val="true"/>
        <w:bidi w:val="0"/>
        <w:spacing w:lineRule="auto" w:line="276" w:before="177" w:after="177"/>
        <w:ind w:left="1814" w:right="0" w:hanging="0"/>
        <w:jc w:val="both"/>
        <w:textAlignment w:val="baseline"/>
        <w:rPr>
          <w:rFonts w:ascii="Arial" w:hAnsi="Arial" w:eastAsia="Arial" w:cs="Arial"/>
          <w:color w:val="000000"/>
          <w:sz w:val="20"/>
          <w:szCs w:val="20"/>
          <w:lang w:val="pt-BR" w:eastAsia="zh-CN" w:bidi="ar-SA"/>
        </w:rPr>
      </w:pPr>
      <w:r>
        <w:rPr>
          <w:rFonts w:eastAsia="Arial" w:cs="Arial" w:ascii="Arial" w:hAnsi="Arial"/>
          <w:color w:val="000000"/>
          <w:sz w:val="20"/>
          <w:szCs w:val="20"/>
          <w:lang w:val="pt-BR" w:eastAsia="zh-CN" w:bidi="ar-SA"/>
        </w:rPr>
        <w:t>5.2.4 A retirada dos materiais deverá ocorrer imediatamente após o término do evento.</w:t>
      </w:r>
    </w:p>
    <w:p>
      <w:pPr>
        <w:pStyle w:val="Nivel2"/>
        <w:widowControl/>
        <w:numPr>
          <w:ilvl w:val="0"/>
          <w:numId w:val="0"/>
        </w:numPr>
        <w:suppressAutoHyphens w:val="true"/>
        <w:bidi w:val="0"/>
        <w:spacing w:lineRule="auto" w:line="276" w:before="177" w:after="177"/>
        <w:ind w:left="1814" w:right="0" w:hanging="0"/>
        <w:jc w:val="both"/>
        <w:textAlignment w:val="baseline"/>
        <w:rPr>
          <w:rFonts w:ascii="Arial" w:hAnsi="Arial" w:eastAsia="Arial" w:cs="Arial"/>
          <w:color w:val="000000"/>
          <w:sz w:val="20"/>
          <w:szCs w:val="20"/>
          <w:lang w:val="pt-BR" w:eastAsia="zh-CN" w:bidi="ar-SA"/>
        </w:rPr>
      </w:pPr>
      <w:r>
        <w:rPr>
          <w:rFonts w:eastAsia="Arial" w:cs="Arial" w:ascii="Arial" w:hAnsi="Arial"/>
          <w:color w:val="000000"/>
          <w:sz w:val="20"/>
          <w:szCs w:val="20"/>
          <w:lang w:val="pt-BR" w:eastAsia="zh-CN" w:bidi="ar-SA"/>
        </w:rPr>
        <w:t>5.2.5 Todos os preparativos necessários devem estar concluídos no horário marcado para a realização do evento, evitando-se atrasos e outros transtornos.</w:t>
      </w:r>
    </w:p>
    <w:p>
      <w:pPr>
        <w:pStyle w:val="Nivel2"/>
        <w:widowControl/>
        <w:numPr>
          <w:ilvl w:val="0"/>
          <w:numId w:val="0"/>
        </w:numPr>
        <w:suppressAutoHyphens w:val="true"/>
        <w:bidi w:val="0"/>
        <w:spacing w:lineRule="auto" w:line="276" w:before="177" w:after="177"/>
        <w:ind w:left="1814" w:right="0" w:hanging="0"/>
        <w:jc w:val="both"/>
        <w:textAlignment w:val="baseline"/>
        <w:rPr>
          <w:rFonts w:ascii="Arial" w:hAnsi="Arial" w:eastAsia="Arial" w:cs="Arial"/>
          <w:color w:val="000000"/>
          <w:sz w:val="20"/>
          <w:szCs w:val="20"/>
          <w:lang w:val="pt-BR" w:eastAsia="zh-CN" w:bidi="ar-SA"/>
        </w:rPr>
      </w:pPr>
      <w:r>
        <w:rPr>
          <w:rFonts w:eastAsia="Arial" w:cs="Arial" w:ascii="Arial" w:hAnsi="Arial"/>
          <w:color w:val="000000"/>
          <w:sz w:val="20"/>
          <w:szCs w:val="20"/>
          <w:lang w:val="pt-BR" w:eastAsia="zh-CN" w:bidi="ar-SA"/>
        </w:rPr>
        <w:t>5.2.6 Os materiais devem estar em perfeitas condições de utilização: sem sujidades, manchas e outras imperfeições que prejudiquem a sua apresentação.</w:t>
      </w:r>
    </w:p>
    <w:p>
      <w:pPr>
        <w:pStyle w:val="Nivel2"/>
        <w:numPr>
          <w:ilvl w:val="0"/>
          <w:numId w:val="0"/>
        </w:numPr>
        <w:bidi w:val="0"/>
        <w:ind w:left="1781" w:right="0" w:hanging="0"/>
        <w:rPr>
          <w:rFonts w:ascii="Arial" w:hAnsi="Arial" w:eastAsia="Arial" w:cs="Arial"/>
          <w:color w:val="000000"/>
          <w:sz w:val="20"/>
          <w:szCs w:val="20"/>
          <w:lang w:val="pt-BR" w:eastAsia="zh-CN" w:bidi="ar-SA"/>
        </w:rPr>
      </w:pPr>
      <w:r>
        <w:rPr>
          <w:rFonts w:eastAsia="Arial" w:cs="Arial" w:ascii="Arial" w:hAnsi="Arial"/>
          <w:color w:val="000000"/>
          <w:sz w:val="20"/>
          <w:szCs w:val="20"/>
          <w:lang w:val="pt-BR" w:eastAsia="zh-CN" w:bidi="ar-SA"/>
        </w:rPr>
        <w:t>5.2.7 A empresa deverá comunicar as razões respectivas com pelo menos 15 dias de antecedência para que qualquer pleito de prorrogação de prazo seja analisado, ressalvadas situações de caso fortuito e força maior.</w:t>
      </w:r>
    </w:p>
    <w:p>
      <w:pPr>
        <w:pStyle w:val="Nivel2"/>
        <w:numPr>
          <w:ilvl w:val="0"/>
          <w:numId w:val="0"/>
        </w:numPr>
        <w:bidi w:val="0"/>
        <w:ind w:left="1781" w:right="0" w:hanging="0"/>
        <w:rPr>
          <w:rFonts w:ascii="Arial" w:hAnsi="Arial" w:eastAsia="Arial" w:cs="Arial"/>
          <w:color w:val="000000"/>
          <w:sz w:val="20"/>
          <w:szCs w:val="20"/>
          <w:lang w:val="pt-BR" w:eastAsia="zh-CN" w:bidi="ar-SA"/>
        </w:rPr>
      </w:pPr>
      <w:r>
        <w:rPr>
          <w:rFonts w:eastAsia="Arial" w:cs="Arial" w:ascii="Arial" w:hAnsi="Arial"/>
          <w:color w:val="000000"/>
          <w:sz w:val="20"/>
          <w:szCs w:val="20"/>
          <w:lang w:val="pt-BR" w:eastAsia="zh-CN" w:bidi="ar-SA"/>
        </w:rPr>
        <w:t>5.2.8 Todos os custos com frete, seguro ou quaisquer outras taxas que porventura incidirem para a realização do serviço correrão por conta da empresa fornecedora.</w:t>
      </w:r>
    </w:p>
    <w:p>
      <w:pPr>
        <w:pStyle w:val="Normal"/>
        <w:widowControl/>
        <w:suppressAutoHyphens w:val="true"/>
        <w:bidi w:val="0"/>
        <w:spacing w:lineRule="auto" w:line="240" w:before="0" w:after="0"/>
        <w:ind w:left="0" w:right="0" w:firstLine="397"/>
        <w:jc w:val="both"/>
        <w:rPr>
          <w:rFonts w:ascii="Arial" w:hAnsi="Arial" w:cs="Carlito;Calibri"/>
          <w:b w:val="false"/>
          <w:b w:val="false"/>
          <w:i w:val="false"/>
          <w:i w:val="false"/>
          <w:iCs w:val="false"/>
          <w:color w:val="000000"/>
          <w:sz w:val="20"/>
          <w:szCs w:val="20"/>
        </w:rPr>
      </w:pPr>
      <w:r>
        <w:rPr>
          <w:rFonts w:cs="Carlito;Calibri"/>
          <w:b w:val="false"/>
          <w:i w:val="false"/>
          <w:iCs w:val="false"/>
          <w:color w:val="000000"/>
          <w:sz w:val="20"/>
          <w:szCs w:val="20"/>
        </w:rPr>
      </w:r>
    </w:p>
    <w:p>
      <w:pPr>
        <w:pStyle w:val="Normal"/>
        <w:widowControl/>
        <w:suppressAutoHyphens w:val="true"/>
        <w:bidi w:val="0"/>
        <w:spacing w:lineRule="auto" w:line="240" w:before="0" w:after="0"/>
        <w:ind w:left="1757" w:right="0" w:hanging="0"/>
        <w:jc w:val="both"/>
        <w:textAlignment w:val="baseline"/>
        <w:rPr>
          <w:rFonts w:ascii="Arial" w:hAnsi="Arial" w:eastAsia="Arial" w:cs="Arial"/>
          <w:b w:val="false"/>
          <w:b w:val="false"/>
          <w:i w:val="false"/>
          <w:i w:val="false"/>
          <w:iCs w:val="false"/>
          <w:color w:val="000000"/>
          <w:sz w:val="20"/>
          <w:szCs w:val="20"/>
          <w:lang w:val="pt-BR" w:eastAsia="zh-CN" w:bidi="ar-SA"/>
        </w:rPr>
      </w:pPr>
      <w:r>
        <w:rPr>
          <w:rFonts w:eastAsia="Arial" w:cs="Arial"/>
          <w:b w:val="false"/>
          <w:i w:val="false"/>
          <w:iCs w:val="false"/>
          <w:color w:val="000000"/>
          <w:sz w:val="20"/>
          <w:szCs w:val="20"/>
          <w:lang w:val="pt-BR" w:eastAsia="zh-CN" w:bidi="ar-SA"/>
        </w:rPr>
        <w:t>5.2.9 Deve haver quantidade de maîtres, garçons, equipe de cozinha (cozinheiro, ajudante, copeiros, entre outros) suficientes para o perfeito atendimento dos convidados. Todas as mesas devem ser servidas com a mesma presteza e qualidade.</w:t>
      </w:r>
    </w:p>
    <w:p>
      <w:pPr>
        <w:pStyle w:val="Normal"/>
        <w:widowControl/>
        <w:suppressAutoHyphens w:val="true"/>
        <w:bidi w:val="0"/>
        <w:spacing w:lineRule="auto" w:line="240" w:before="0" w:after="0"/>
        <w:ind w:left="1757" w:right="0" w:hanging="0"/>
        <w:jc w:val="both"/>
        <w:textAlignment w:val="baseline"/>
        <w:rPr>
          <w:rFonts w:ascii="Arial" w:hAnsi="Arial" w:eastAsia="Arial" w:cs="Arial"/>
          <w:b w:val="false"/>
          <w:b w:val="false"/>
          <w:i w:val="false"/>
          <w:i w:val="false"/>
          <w:iCs w:val="false"/>
          <w:color w:val="000000"/>
          <w:sz w:val="20"/>
          <w:szCs w:val="20"/>
          <w:lang w:val="pt-BR" w:eastAsia="zh-CN" w:bidi="ar-SA"/>
        </w:rPr>
      </w:pPr>
      <w:r>
        <w:rPr>
          <w:rFonts w:eastAsia="Arial" w:cs="Arial"/>
          <w:b w:val="false"/>
          <w:i w:val="false"/>
          <w:iCs w:val="false"/>
          <w:color w:val="000000"/>
          <w:sz w:val="20"/>
          <w:szCs w:val="20"/>
          <w:lang w:val="pt-BR" w:eastAsia="zh-CN" w:bidi="ar-SA"/>
        </w:rPr>
      </w:r>
    </w:p>
    <w:p>
      <w:pPr>
        <w:pStyle w:val="Normal"/>
        <w:widowControl/>
        <w:tabs>
          <w:tab w:val="clear" w:pos="708"/>
          <w:tab w:val="left" w:pos="855" w:leader="none"/>
        </w:tabs>
        <w:suppressAutoHyphens w:val="true"/>
        <w:bidi w:val="0"/>
        <w:spacing w:lineRule="auto" w:line="240" w:before="0" w:after="0"/>
        <w:ind w:left="1757" w:right="0" w:hanging="0"/>
        <w:jc w:val="both"/>
        <w:textAlignment w:val="baseline"/>
        <w:rPr>
          <w:rFonts w:ascii="Arial" w:hAnsi="Arial" w:eastAsia="Arial" w:cs="Arial"/>
          <w:b w:val="false"/>
          <w:b w:val="false"/>
          <w:i w:val="false"/>
          <w:i w:val="false"/>
          <w:iCs w:val="false"/>
          <w:color w:val="000000"/>
          <w:kern w:val="0"/>
          <w:sz w:val="20"/>
          <w:szCs w:val="20"/>
          <w:lang w:val="pt-BR" w:eastAsia="zh-CN" w:bidi="ar-SA"/>
        </w:rPr>
      </w:pPr>
      <w:r>
        <w:rPr>
          <w:rFonts w:eastAsia="Arial" w:cs="Arial"/>
          <w:b w:val="false"/>
          <w:i w:val="false"/>
          <w:iCs w:val="false"/>
          <w:color w:val="000000"/>
          <w:kern w:val="0"/>
          <w:sz w:val="20"/>
          <w:szCs w:val="20"/>
          <w:lang w:val="pt-BR" w:eastAsia="zh-CN" w:bidi="ar-SA"/>
        </w:rPr>
        <w:t>5.2.10 Maîtres e garçons devem estar corretamente uniformizados, com aparência asseada e barbeados, com cabelos presos. Seus uniformes deverão ser confeccionados com materiais de primeira qualidade e higienizados.</w:t>
      </w:r>
    </w:p>
    <w:p>
      <w:pPr>
        <w:pStyle w:val="Normal"/>
        <w:widowControl/>
        <w:tabs>
          <w:tab w:val="clear" w:pos="708"/>
          <w:tab w:val="left" w:pos="855" w:leader="none"/>
        </w:tabs>
        <w:suppressAutoHyphens w:val="true"/>
        <w:bidi w:val="0"/>
        <w:spacing w:lineRule="auto" w:line="240" w:before="0" w:after="0"/>
        <w:ind w:left="1757" w:right="0" w:hanging="0"/>
        <w:jc w:val="both"/>
        <w:textAlignment w:val="baseline"/>
        <w:rPr>
          <w:rFonts w:ascii="Arial" w:hAnsi="Arial" w:eastAsia="Arial" w:cs="Arial"/>
          <w:b w:val="false"/>
          <w:b w:val="false"/>
          <w:i w:val="false"/>
          <w:i w:val="false"/>
          <w:iCs w:val="false"/>
          <w:color w:val="000000"/>
          <w:kern w:val="0"/>
          <w:sz w:val="20"/>
          <w:szCs w:val="20"/>
          <w:lang w:val="pt-BR" w:eastAsia="zh-CN" w:bidi="ar-SA"/>
        </w:rPr>
      </w:pPr>
      <w:r>
        <w:rPr>
          <w:rFonts w:eastAsia="Arial" w:cs="Arial"/>
          <w:b w:val="false"/>
          <w:i w:val="false"/>
          <w:iCs w:val="false"/>
          <w:color w:val="000000"/>
          <w:kern w:val="0"/>
          <w:sz w:val="20"/>
          <w:szCs w:val="20"/>
          <w:lang w:val="pt-BR" w:eastAsia="zh-CN" w:bidi="ar-SA"/>
        </w:rPr>
      </w:r>
    </w:p>
    <w:p>
      <w:pPr>
        <w:pStyle w:val="Nivel3"/>
        <w:numPr>
          <w:ilvl w:val="0"/>
          <w:numId w:val="0"/>
        </w:numPr>
        <w:bidi w:val="0"/>
        <w:ind w:left="360" w:right="0" w:hanging="0"/>
        <w:rPr>
          <w:rFonts w:ascii="Arial" w:hAnsi="Arial"/>
          <w:sz w:val="20"/>
          <w:szCs w:val="20"/>
        </w:rPr>
      </w:pPr>
      <w:r>
        <w:rPr>
          <w:rFonts w:cs="Arial" w:ascii="Arial" w:hAnsi="Arial"/>
          <w:b/>
          <w:bCs/>
          <w:sz w:val="20"/>
          <w:szCs w:val="20"/>
        </w:rPr>
        <w:t>6</w:t>
      </w:r>
      <w:r>
        <w:rPr>
          <w:rFonts w:cs="Arial" w:ascii="Arial" w:hAnsi="Arial"/>
          <w:sz w:val="20"/>
          <w:szCs w:val="20"/>
        </w:rPr>
        <w:t xml:space="preserve">. </w:t>
      </w:r>
      <w:r>
        <w:rPr>
          <w:rFonts w:cs="Arial" w:ascii="Arial" w:hAnsi="Arial"/>
          <w:b/>
          <w:bCs/>
          <w:sz w:val="20"/>
          <w:szCs w:val="20"/>
        </w:rPr>
        <w:t>MODELO DE GESTÃO DO CONTRATO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6.1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bidi w:val="0"/>
        <w:ind w:left="999" w:right="0" w:hanging="0"/>
        <w:rPr>
          <w:rFonts w:ascii="Arial" w:hAnsi="Arial" w:cs="Arial"/>
          <w:sz w:val="20"/>
          <w:szCs w:val="20"/>
        </w:rPr>
      </w:pPr>
      <w:r>
        <w:rPr>
          <w:rFonts w:cs="Arial" w:ascii="Arial" w:hAnsi="Arial"/>
          <w:sz w:val="20"/>
          <w:szCs w:val="20"/>
        </w:rPr>
        <w:t>62.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6.3 As comunicações entre o órgão ou entidade e a contratada devem ser realizadas por escrito sempre que o ato exigir tal formalidade, admitindo-se o uso de mensagem eletrônica para esse fim.</w:t>
      </w:r>
    </w:p>
    <w:p>
      <w:pPr>
        <w:pStyle w:val="Nivel2"/>
        <w:numPr>
          <w:ilvl w:val="0"/>
          <w:numId w:val="0"/>
        </w:numPr>
        <w:bidi w:val="0"/>
        <w:ind w:left="999" w:right="0" w:hanging="0"/>
        <w:rPr>
          <w:rFonts w:ascii="Arial" w:hAnsi="Arial" w:cs="Arial"/>
          <w:sz w:val="20"/>
          <w:szCs w:val="20"/>
        </w:rPr>
      </w:pPr>
      <w:r>
        <w:rPr>
          <w:rFonts w:cs="Arial" w:ascii="Arial" w:hAnsi="Arial"/>
          <w:sz w:val="20"/>
          <w:szCs w:val="20"/>
        </w:rPr>
        <w:t>6.4 O órgão ou entidade poderá convocar representante da empresa para adoção de providências que devam ser cumpridas de imediato.</w:t>
      </w:r>
    </w:p>
    <w:p>
      <w:pPr>
        <w:pStyle w:val="Nivel2"/>
        <w:widowControl/>
        <w:numPr>
          <w:ilvl w:val="0"/>
          <w:numId w:val="0"/>
        </w:numPr>
        <w:tabs>
          <w:tab w:val="clear" w:pos="708"/>
          <w:tab w:val="left" w:pos="855" w:leader="none"/>
        </w:tabs>
        <w:suppressAutoHyphens w:val="false"/>
        <w:bidi w:val="0"/>
        <w:spacing w:lineRule="auto" w:line="276" w:before="120" w:after="120"/>
        <w:ind w:left="999" w:right="0" w:hanging="0"/>
        <w:jc w:val="both"/>
        <w:textAlignment w:val="baseline"/>
        <w:rPr>
          <w:rFonts w:ascii="Arial" w:hAnsi="Arial" w:eastAsia="Arial" w:cs="Calibri"/>
          <w:i w:val="false"/>
          <w:i w:val="false"/>
          <w:iCs w:val="false"/>
          <w:color w:val="000000"/>
          <w:kern w:val="0"/>
          <w:sz w:val="20"/>
          <w:szCs w:val="20"/>
          <w:lang w:val="pt-BR" w:eastAsia="zh-CN" w:bidi="ar-SA"/>
        </w:rPr>
      </w:pPr>
      <w:r>
        <w:rPr>
          <w:rFonts w:eastAsia="Arial" w:cs="Arial" w:ascii="Arial" w:hAnsi="Arial"/>
          <w:i w:val="false"/>
          <w:iCs w:val="false"/>
          <w:color w:val="000000"/>
          <w:kern w:val="0"/>
          <w:sz w:val="20"/>
          <w:szCs w:val="20"/>
          <w:lang w:val="pt-BR" w:eastAsia="zh-CN" w:bidi="ar-SA"/>
        </w:rPr>
        <w:t>6.5 Após a assinatura do contrato ou instrumento equivalente</w:t>
      </w:r>
      <w:r>
        <w:rPr>
          <w:rFonts w:eastAsia="Arial" w:cs="Arial" w:ascii="Arial" w:hAnsi="Arial"/>
          <w:i w:val="false"/>
          <w:iCs w:val="false"/>
          <w:strike/>
          <w:color w:val="000000"/>
          <w:kern w:val="0"/>
          <w:sz w:val="20"/>
          <w:szCs w:val="20"/>
          <w:lang w:val="pt-BR" w:eastAsia="zh-CN" w:bidi="ar-SA"/>
        </w:rPr>
        <w:t>,</w:t>
      </w:r>
      <w:r>
        <w:rPr>
          <w:rFonts w:eastAsia="Arial" w:cs="Arial" w:ascii="Arial" w:hAnsi="Arial"/>
          <w:i w:val="false"/>
          <w:iCs w:val="false"/>
          <w:color w:val="000000"/>
          <w:kern w:val="0"/>
          <w:sz w:val="20"/>
          <w:szCs w:val="20"/>
          <w:lang w:val="pt-BR" w:eastAsia="zh-CN" w:bidi="ar-SA"/>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widowControl/>
        <w:numPr>
          <w:ilvl w:val="0"/>
          <w:numId w:val="0"/>
        </w:numPr>
        <w:tabs>
          <w:tab w:val="clear" w:pos="708"/>
          <w:tab w:val="left" w:pos="855" w:leader="none"/>
        </w:tabs>
        <w:suppressAutoHyphens w:val="false"/>
        <w:bidi w:val="0"/>
        <w:spacing w:lineRule="auto" w:line="276" w:before="120" w:after="120"/>
        <w:ind w:left="999" w:right="0" w:hanging="0"/>
        <w:jc w:val="both"/>
        <w:textAlignment w:val="baseline"/>
        <w:rPr>
          <w:rFonts w:ascii="Arial" w:hAnsi="Arial" w:eastAsia="Arial" w:cs="Calibri"/>
          <w:i w:val="false"/>
          <w:i w:val="false"/>
          <w:iCs w:val="false"/>
          <w:color w:val="000000"/>
          <w:kern w:val="0"/>
          <w:sz w:val="20"/>
          <w:szCs w:val="20"/>
          <w:lang w:val="pt-BR" w:eastAsia="zh-CN" w:bidi="ar-SA"/>
        </w:rPr>
      </w:pPr>
      <w:r>
        <w:rPr>
          <w:rFonts w:eastAsia="Arial" w:cs="Calibri" w:ascii="Arial" w:hAnsi="Arial"/>
          <w:i w:val="false"/>
          <w:iCs w:val="false"/>
          <w:color w:val="000000"/>
          <w:kern w:val="0"/>
          <w:sz w:val="20"/>
          <w:szCs w:val="20"/>
          <w:lang w:val="pt-BR" w:eastAsia="zh-CN" w:bidi="ar-SA"/>
        </w:rPr>
      </w:r>
    </w:p>
    <w:p>
      <w:pPr>
        <w:pStyle w:val="Nivel2"/>
        <w:numPr>
          <w:ilvl w:val="0"/>
          <w:numId w:val="0"/>
        </w:numPr>
        <w:bidi w:val="0"/>
        <w:ind w:left="999" w:right="0" w:hanging="0"/>
        <w:rPr>
          <w:rFonts w:ascii="Arial" w:hAnsi="Arial"/>
          <w:sz w:val="20"/>
          <w:szCs w:val="20"/>
        </w:rPr>
      </w:pPr>
      <w:r>
        <w:rPr>
          <w:rFonts w:cs="Arial" w:ascii="Arial" w:hAnsi="Arial"/>
          <w:b/>
          <w:bCs/>
          <w:sz w:val="20"/>
          <w:szCs w:val="20"/>
        </w:rPr>
        <w:t>7</w:t>
      </w:r>
      <w:r>
        <w:rPr>
          <w:rFonts w:cs="Arial" w:ascii="Arial" w:hAnsi="Arial"/>
          <w:sz w:val="20"/>
          <w:szCs w:val="20"/>
        </w:rPr>
        <w:t xml:space="preserve">. </w:t>
      </w:r>
      <w:r>
        <w:rPr>
          <w:rFonts w:eastAsia="Arial" w:cs="Arial" w:ascii="Arial" w:hAnsi="Arial"/>
          <w:b/>
          <w:bCs/>
          <w:color w:val="000000"/>
          <w:sz w:val="20"/>
          <w:szCs w:val="20"/>
          <w:lang w:val="pt-BR" w:eastAsia="zh-CN" w:bidi="ar-SA"/>
        </w:rPr>
        <w:t>FISCALIZAÇÃO</w:t>
      </w:r>
    </w:p>
    <w:p>
      <w:pPr>
        <w:pStyle w:val="Nivel2"/>
        <w:numPr>
          <w:ilvl w:val="0"/>
          <w:numId w:val="0"/>
        </w:numPr>
        <w:bidi w:val="0"/>
        <w:ind w:left="999" w:right="0" w:hanging="0"/>
        <w:rPr/>
      </w:pPr>
      <w:r>
        <w:rPr>
          <w:rFonts w:cs="Arial" w:ascii="Arial" w:hAnsi="Arial"/>
          <w:sz w:val="20"/>
          <w:szCs w:val="20"/>
        </w:rPr>
        <w:t>A execução do contrato deverá ser acompanhada e fiscalizada pelo(s) fiscal(is) do contrato, ou pelos respectivos substitutos (</w:t>
      </w:r>
      <w:r>
        <w:fldChar w:fldCharType="begin"/>
      </w:r>
      <w:r>
        <w:rPr>
          <w:rStyle w:val="LinkdaInternet"/>
          <w:sz w:val="20"/>
          <w:szCs w:val="20"/>
          <w:rFonts w:cs="Arial" w:ascii="Arial" w:hAnsi="Arial"/>
          <w:color w:val="000000"/>
        </w:rPr>
        <w:instrText xml:space="preserve"> HYPERLINK "http://www.planalto.gov.br/ccivil_03/_ato2019-2022/2021/lei/L14133.htm" \l "art117"</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Lei nº 14.133, de 2021, art. 117, caput</w:t>
      </w:r>
      <w:r>
        <w:rPr>
          <w:rStyle w:val="LinkdaInternet"/>
          <w:sz w:val="20"/>
          <w:szCs w:val="20"/>
          <w:rFonts w:cs="Arial" w:ascii="Arial" w:hAnsi="Arial"/>
          <w:color w:val="000000"/>
        </w:rPr>
        <w:fldChar w:fldCharType="end"/>
      </w:r>
      <w:r>
        <w:rPr>
          <w:rFonts w:cs="Arial" w:ascii="Arial" w:hAnsi="Arial"/>
          <w:sz w:val="20"/>
          <w:szCs w:val="20"/>
        </w:rPr>
        <w:t>).</w:t>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7.1 Fiscalização Técnica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7.1.1 O fiscal técnico do contrato acompanhará a execução do contrato, para que sejam cumpridas todas as condições estabelecidas no contrato, de modo a assegurar os melhores resultados para a Administração. (Decreto nº 11.246, de 2022, art. 22, VI);</w:t>
      </w:r>
    </w:p>
    <w:p>
      <w:pPr>
        <w:pStyle w:val="Nivel3"/>
        <w:numPr>
          <w:ilvl w:val="0"/>
          <w:numId w:val="0"/>
        </w:numPr>
        <w:bidi w:val="0"/>
        <w:spacing w:lineRule="auto" w:line="276"/>
        <w:ind w:left="2065" w:right="0" w:hanging="0"/>
        <w:rPr/>
      </w:pPr>
      <w:r>
        <w:rPr>
          <w:rFonts w:cs="Arial" w:ascii="Arial" w:hAnsi="Arial"/>
          <w:color w:val="000000"/>
          <w:sz w:val="20"/>
          <w:szCs w:val="20"/>
        </w:rPr>
        <w:t>7.1.1.1 O fiscal técnico do contrato anotará no histórico de gerenciamento do contrato todas as ocorrências relacionadas à execução do contrato, com a descrição do que for necessário para a regularização das faltas ou dos defeitos observados. (</w:t>
      </w:r>
      <w:r>
        <w:fldChar w:fldCharType="begin"/>
      </w:r>
      <w:r>
        <w:rPr>
          <w:rStyle w:val="LinkdaInternet"/>
          <w:sz w:val="20"/>
          <w:szCs w:val="20"/>
          <w:rFonts w:cs="Arial" w:ascii="Arial" w:hAnsi="Arial"/>
          <w:color w:val="000000"/>
        </w:rPr>
        <w:instrText xml:space="preserve"> HYPERLINK "http://www.planalto.gov.br/ccivil_03/_ato2019-2022/2021/lei/L14133.htm" \l "art117§1"</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Lei nº 14.133, de 2021, art. 117, §1º</w:t>
      </w:r>
      <w:r>
        <w:rPr>
          <w:rStyle w:val="LinkdaInternet"/>
          <w:sz w:val="20"/>
          <w:szCs w:val="20"/>
          <w:rFonts w:cs="Arial" w:ascii="Arial" w:hAnsi="Arial"/>
          <w:color w:val="000000"/>
        </w:rPr>
        <w:fldChar w:fldCharType="end"/>
      </w:r>
      <w:r>
        <w:rPr>
          <w:rFonts w:cs="Arial" w:ascii="Arial" w:hAnsi="Arial"/>
          <w:color w:val="000000"/>
          <w:sz w:val="20"/>
          <w:szCs w:val="20"/>
        </w:rPr>
        <w:t xml:space="preserve">, e </w:t>
      </w:r>
      <w:r>
        <w:fldChar w:fldCharType="begin"/>
      </w:r>
      <w:r>
        <w:rPr>
          <w:rStyle w:val="LinkdaInternet"/>
          <w:sz w:val="20"/>
          <w:szCs w:val="20"/>
          <w:rFonts w:cs="Arial" w:ascii="Arial" w:hAnsi="Arial"/>
        </w:rPr>
        <w:instrText xml:space="preserve"> HYPERLINK "https://www.planalto.gov.br/ccivil_03/_ato2019-2022/2022/Decreto/D11246.htm" \l "art22"</w:instrText>
      </w:r>
      <w:r>
        <w:rPr>
          <w:rStyle w:val="LinkdaInternet"/>
          <w:sz w:val="20"/>
          <w:szCs w:val="20"/>
          <w:rFonts w:cs="Arial" w:ascii="Arial" w:hAnsi="Arial"/>
        </w:rPr>
        <w:fldChar w:fldCharType="separate"/>
      </w:r>
      <w:r>
        <w:rPr>
          <w:rStyle w:val="LinkdaInternet"/>
          <w:rFonts w:cs="Arial" w:ascii="Arial" w:hAnsi="Arial"/>
          <w:sz w:val="20"/>
          <w:szCs w:val="20"/>
        </w:rPr>
        <w:t>Decreto nº 11.246, de 2022, art. 22, II);</w:t>
      </w:r>
      <w:r>
        <w:rPr>
          <w:rStyle w:val="LinkdaInternet"/>
          <w:sz w:val="20"/>
          <w:szCs w:val="20"/>
          <w:rFonts w:cs="Arial" w:ascii="Arial" w:hAnsi="Arial"/>
        </w:rPr>
        <w:fldChar w:fldCharType="end"/>
      </w:r>
    </w:p>
    <w:p>
      <w:pPr>
        <w:pStyle w:val="Nivel3"/>
        <w:numPr>
          <w:ilvl w:val="0"/>
          <w:numId w:val="0"/>
        </w:numPr>
        <w:bidi w:val="0"/>
        <w:spacing w:lineRule="auto" w:line="276"/>
        <w:ind w:left="2065" w:right="0" w:hanging="0"/>
        <w:rPr/>
      </w:pPr>
      <w:r>
        <w:rPr>
          <w:rFonts w:cs="Arial" w:ascii="Arial" w:hAnsi="Arial"/>
          <w:color w:val="000000"/>
          <w:sz w:val="20"/>
          <w:szCs w:val="20"/>
        </w:rPr>
        <w:t>7.1.1.2 Identificada qualquer inexatidão ou irregularidade, o fiscal técnico do contrato emitirá notificações para a correção da execução do contrato, determinando prazo para a correção. (</w:t>
      </w:r>
      <w:r>
        <w:fldChar w:fldCharType="begin"/>
      </w:r>
      <w:r>
        <w:rPr>
          <w:rStyle w:val="LinkdaInternet"/>
          <w:sz w:val="20"/>
          <w:szCs w:val="20"/>
          <w:rFonts w:cs="Arial" w:ascii="Arial" w:hAnsi="Arial"/>
          <w:color w:val="000000"/>
        </w:rPr>
        <w:instrText xml:space="preserve"> HYPERLINK "https://www.planalto.gov.br/ccivil_03/_ato2019-2022/2022/Decreto/D11246.htm" \l "art22"</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Decreto nº 11.246, de 2022, art. 22, III</w:t>
      </w:r>
      <w:r>
        <w:rPr>
          <w:rStyle w:val="LinkdaInternet"/>
          <w:sz w:val="20"/>
          <w:szCs w:val="20"/>
          <w:rFonts w:cs="Arial" w:ascii="Arial" w:hAnsi="Arial"/>
          <w:color w:val="000000"/>
        </w:rPr>
        <w:fldChar w:fldCharType="end"/>
      </w:r>
      <w:r>
        <w:rPr>
          <w:rFonts w:cs="Arial" w:ascii="Arial" w:hAnsi="Arial"/>
          <w:color w:val="000000"/>
          <w:sz w:val="20"/>
          <w:szCs w:val="20"/>
        </w:rPr>
        <w:t>);</w:t>
      </w:r>
    </w:p>
    <w:p>
      <w:pPr>
        <w:pStyle w:val="Nivel3"/>
        <w:numPr>
          <w:ilvl w:val="0"/>
          <w:numId w:val="0"/>
        </w:numPr>
        <w:bidi w:val="0"/>
        <w:spacing w:lineRule="auto" w:line="276"/>
        <w:ind w:left="2065" w:right="0" w:hanging="0"/>
        <w:rPr/>
      </w:pPr>
      <w:r>
        <w:rPr>
          <w:rFonts w:cs="Arial" w:ascii="Arial" w:hAnsi="Arial"/>
          <w:color w:val="000000"/>
          <w:sz w:val="20"/>
          <w:szCs w:val="20"/>
        </w:rPr>
        <w:t>7.1.1.3 O fiscal técnico do contrato informará ao gestor do contato, em tempo hábil, a situação que demandar decisão ou adoção de medidas que ultrapassem sua competência, para que adote as medidas necessárias e saneadoras, se for o caso. (</w:t>
      </w:r>
      <w:r>
        <w:fldChar w:fldCharType="begin"/>
      </w:r>
      <w:r>
        <w:rPr>
          <w:rStyle w:val="LinkdaInternet"/>
          <w:sz w:val="20"/>
          <w:szCs w:val="20"/>
          <w:rFonts w:cs="Arial" w:ascii="Arial" w:hAnsi="Arial"/>
          <w:color w:val="000000"/>
        </w:rPr>
        <w:instrText xml:space="preserve"> HYPERLINK "https://www.planalto.gov.br/ccivil_03/_ato2019-2022/2022/Decreto/D11246.htm" \l "art22"</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Decreto nº 11.246, de 2022, art. 22, IV</w:t>
      </w:r>
      <w:r>
        <w:rPr>
          <w:rStyle w:val="LinkdaInternet"/>
          <w:sz w:val="20"/>
          <w:szCs w:val="20"/>
          <w:rFonts w:cs="Arial" w:ascii="Arial" w:hAnsi="Arial"/>
          <w:color w:val="000000"/>
        </w:rPr>
        <w:fldChar w:fldCharType="end"/>
      </w:r>
      <w:r>
        <w:rPr>
          <w:rFonts w:cs="Arial" w:ascii="Arial" w:hAnsi="Arial"/>
          <w:color w:val="000000"/>
          <w:sz w:val="20"/>
          <w:szCs w:val="20"/>
        </w:rPr>
        <w:t>).</w:t>
      </w:r>
    </w:p>
    <w:p>
      <w:pPr>
        <w:pStyle w:val="Nivel3"/>
        <w:numPr>
          <w:ilvl w:val="0"/>
          <w:numId w:val="0"/>
        </w:numPr>
        <w:bidi w:val="0"/>
        <w:spacing w:lineRule="auto" w:line="276"/>
        <w:ind w:left="2065" w:right="0" w:hanging="0"/>
        <w:rPr/>
      </w:pPr>
      <w:r>
        <w:rPr>
          <w:rFonts w:cs="Arial" w:ascii="Arial" w:hAnsi="Arial"/>
          <w:color w:val="000000"/>
          <w:sz w:val="20"/>
          <w:szCs w:val="20"/>
        </w:rPr>
        <w:t>7.1.1.4 No caso de ocorrências que possam inviabilizar a execução do contrato nas datas aprazadas, o fiscal técnico do contrato comunicará o fato imediatamente ao gestor do contrato. (</w:t>
      </w:r>
      <w:r>
        <w:fldChar w:fldCharType="begin"/>
      </w:r>
      <w:r>
        <w:rPr>
          <w:rStyle w:val="LinkdaInternet"/>
          <w:sz w:val="20"/>
          <w:szCs w:val="20"/>
          <w:rFonts w:cs="Arial" w:ascii="Arial" w:hAnsi="Arial"/>
          <w:color w:val="000000"/>
        </w:rPr>
        <w:instrText xml:space="preserve"> HYPERLINK "https://www.planalto.gov.br/ccivil_03/_ato2019-2022/2022/Decreto/D11246.htm" \l "art22"</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Decreto nº 11.246, de 2022, art. 22, V</w:t>
      </w:r>
      <w:r>
        <w:rPr>
          <w:rStyle w:val="LinkdaInternet"/>
          <w:sz w:val="20"/>
          <w:szCs w:val="20"/>
          <w:rFonts w:cs="Arial" w:ascii="Arial" w:hAnsi="Arial"/>
          <w:color w:val="000000"/>
        </w:rPr>
        <w:fldChar w:fldCharType="end"/>
      </w:r>
      <w:r>
        <w:rPr>
          <w:rFonts w:cs="Arial" w:ascii="Arial" w:hAnsi="Arial"/>
          <w:color w:val="000000"/>
          <w:sz w:val="20"/>
          <w:szCs w:val="20"/>
        </w:rPr>
        <w:t>).</w:t>
      </w:r>
    </w:p>
    <w:p>
      <w:pPr>
        <w:pStyle w:val="Nivel3"/>
        <w:numPr>
          <w:ilvl w:val="0"/>
          <w:numId w:val="0"/>
        </w:numPr>
        <w:bidi w:val="0"/>
        <w:spacing w:lineRule="auto" w:line="276"/>
        <w:ind w:left="2065" w:right="0" w:hanging="0"/>
        <w:rPr/>
      </w:pPr>
      <w:r>
        <w:rPr>
          <w:rFonts w:cs="Arial" w:ascii="Arial" w:hAnsi="Arial"/>
          <w:color w:val="000000"/>
          <w:sz w:val="20"/>
          <w:szCs w:val="20"/>
        </w:rPr>
        <w:t xml:space="preserve">7.1.1.5 O fiscal técnico do contrato comunicará ao gestor do contrato, em tempo hábil, o término do contrato sob sua responsabilidade, com vistas à renovação tempestiva ou à prorrogação contratual </w:t>
      </w:r>
      <w:r>
        <w:fldChar w:fldCharType="begin"/>
      </w:r>
      <w:r>
        <w:rPr>
          <w:rStyle w:val="LinkdaInternet"/>
          <w:sz w:val="20"/>
          <w:szCs w:val="20"/>
          <w:rFonts w:cs="Arial" w:ascii="Arial" w:hAnsi="Arial"/>
          <w:color w:val="000000"/>
        </w:rPr>
        <w:instrText xml:space="preserve"> HYPERLINK "https://www.planalto.gov.br/ccivil_03/_ato2019-2022/2022/Decreto/D11246.htm" \l "art22"</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(Decreto nº 11.246, de 2022, art. 22, VII</w:t>
      </w:r>
      <w:r>
        <w:rPr>
          <w:rStyle w:val="LinkdaInternet"/>
          <w:sz w:val="20"/>
          <w:szCs w:val="20"/>
          <w:rFonts w:cs="Arial" w:ascii="Arial" w:hAnsi="Arial"/>
          <w:color w:val="000000"/>
        </w:rPr>
        <w:fldChar w:fldCharType="end"/>
      </w:r>
      <w:r>
        <w:rPr>
          <w:rFonts w:cs="Arial" w:ascii="Arial" w:hAnsi="Arial"/>
          <w:color w:val="000000"/>
          <w:sz w:val="20"/>
          <w:szCs w:val="20"/>
        </w:rPr>
        <w:t>).</w:t>
      </w:r>
    </w:p>
    <w:p>
      <w:pPr>
        <w:pStyle w:val="Nivel3"/>
        <w:numPr>
          <w:ilvl w:val="0"/>
          <w:numId w:val="0"/>
        </w:numPr>
        <w:bidi w:val="0"/>
        <w:spacing w:lineRule="auto" w:line="276"/>
        <w:ind w:left="0" w:right="0" w:hanging="0"/>
        <w:rPr>
          <w:rFonts w:ascii="Arial" w:hAnsi="Arial" w:cs="Arial"/>
          <w:b/>
          <w:b/>
          <w:bCs/>
          <w:color w:val="000000"/>
          <w:sz w:val="20"/>
          <w:szCs w:val="20"/>
        </w:rPr>
      </w:pPr>
      <w:r>
        <w:rPr>
          <w:rFonts w:cs="Arial" w:ascii="Arial" w:hAnsi="Arial"/>
          <w:b/>
          <w:bCs/>
          <w:color w:val="000000"/>
          <w:sz w:val="20"/>
          <w:szCs w:val="20"/>
        </w:rPr>
        <w:t>7.2 Fiscalização Administrativa</w:t>
      </w:r>
    </w:p>
    <w:p>
      <w:pPr>
        <w:pStyle w:val="Nivel2"/>
        <w:numPr>
          <w:ilvl w:val="0"/>
          <w:numId w:val="0"/>
        </w:numPr>
        <w:bidi w:val="0"/>
        <w:ind w:left="999" w:right="0" w:hanging="0"/>
        <w:rPr/>
      </w:pPr>
      <w:r>
        <w:rPr>
          <w:rFonts w:cs="Arial" w:ascii="Arial" w:hAnsi="Arial"/>
          <w:sz w:val="20"/>
          <w:szCs w:val="20"/>
        </w:rPr>
        <w:t>7.2.1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LinkdaInternet"/>
          <w:sz w:val="20"/>
          <w:szCs w:val="20"/>
          <w:rFonts w:cs="Arial" w:ascii="Arial" w:hAnsi="Arial"/>
          <w:color w:val="000000"/>
        </w:rPr>
        <w:instrText xml:space="preserve"> HYPERLINK "https://www.planalto.gov.br/ccivil_03/_ato2019-2022/2022/Decreto/D11246.htm" \l "art23"</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Art. 23, I e II, do Decreto nº 11.246, de 2022</w:t>
      </w:r>
      <w:r>
        <w:rPr>
          <w:rStyle w:val="LinkdaInternet"/>
          <w:sz w:val="20"/>
          <w:szCs w:val="20"/>
          <w:rFonts w:cs="Arial" w:ascii="Arial" w:hAnsi="Arial"/>
          <w:color w:val="000000"/>
        </w:rPr>
        <w:fldChar w:fldCharType="end"/>
      </w:r>
      <w:r>
        <w:rPr>
          <w:rFonts w:cs="Arial" w:ascii="Arial" w:hAnsi="Arial"/>
          <w:sz w:val="20"/>
          <w:szCs w:val="20"/>
        </w:rPr>
        <w:t>).</w:t>
      </w:r>
    </w:p>
    <w:p>
      <w:pPr>
        <w:pStyle w:val="Nivel3"/>
        <w:numPr>
          <w:ilvl w:val="0"/>
          <w:numId w:val="0"/>
        </w:numPr>
        <w:bidi w:val="0"/>
        <w:spacing w:lineRule="auto" w:line="276"/>
        <w:ind w:left="2065" w:right="0" w:hanging="0"/>
        <w:rPr/>
      </w:pPr>
      <w:r>
        <w:rPr>
          <w:rFonts w:cs="Arial" w:ascii="Arial" w:hAnsi="Arial"/>
          <w:color w:val="000000"/>
          <w:sz w:val="20"/>
          <w:szCs w:val="20"/>
        </w:rPr>
        <w:t>7.2.1.1 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rPr>
          <w:rStyle w:val="LinkdaInternet"/>
          <w:sz w:val="20"/>
          <w:szCs w:val="20"/>
          <w:rFonts w:cs="Arial" w:ascii="Arial" w:hAnsi="Arial"/>
          <w:color w:val="000000"/>
        </w:rPr>
        <w:instrText xml:space="preserve"> HYPERLINK "https://www.planalto.gov.br/ccivil_03/_ato2019-2022/2022/Decreto/D11246.htm" \l "art23"</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Decreto nº 11.246, de 2022, art. 23, IV</w:t>
      </w:r>
      <w:r>
        <w:rPr>
          <w:rStyle w:val="LinkdaInternet"/>
          <w:sz w:val="20"/>
          <w:szCs w:val="20"/>
          <w:rFonts w:cs="Arial" w:ascii="Arial" w:hAnsi="Arial"/>
          <w:color w:val="000000"/>
        </w:rPr>
        <w:fldChar w:fldCharType="end"/>
      </w:r>
      <w:r>
        <w:rPr>
          <w:rFonts w:cs="Arial" w:ascii="Arial" w:hAnsi="Arial"/>
          <w:color w:val="000000"/>
          <w:sz w:val="20"/>
          <w:szCs w:val="20"/>
        </w:rPr>
        <w:t>).</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7.2.2 Além do disposto acima, a fiscalização contratual obedecerá às seguintes rotinas:</w:t>
      </w:r>
    </w:p>
    <w:p>
      <w:pPr>
        <w:pStyle w:val="Nvel3R"/>
        <w:numPr>
          <w:ilvl w:val="0"/>
          <w:numId w:val="0"/>
        </w:numPr>
        <w:bidi w:val="0"/>
        <w:spacing w:lineRule="auto" w:line="276"/>
        <w:ind w:left="2065" w:right="0" w:hanging="0"/>
        <w:rPr>
          <w:rFonts w:ascii="Arial" w:hAnsi="Arial" w:cs="Arial"/>
          <w:i w:val="false"/>
          <w:i w:val="false"/>
          <w:iCs w:val="false"/>
          <w:color w:val="000000"/>
          <w:sz w:val="20"/>
          <w:szCs w:val="20"/>
          <w:lang w:eastAsia="pt-BR"/>
        </w:rPr>
      </w:pPr>
      <w:r>
        <w:rPr>
          <w:rFonts w:cs="Arial"/>
          <w:i w:val="false"/>
          <w:iCs w:val="false"/>
          <w:color w:val="000000"/>
          <w:sz w:val="20"/>
          <w:szCs w:val="20"/>
          <w:lang w:eastAsia="pt-BR"/>
        </w:rPr>
        <w:t>7.2.2.1 A execução do contrato deverá ser acompanhada e fiscalizada pelo(s) fiscal(is) do contrato, ou pelos respectivos substitutos (Lei nº 14.133/2021, art. 117, caput), neste caso, o responsável pela demanda.</w:t>
      </w:r>
    </w:p>
    <w:p>
      <w:pPr>
        <w:pStyle w:val="Nvel3R"/>
        <w:numPr>
          <w:ilvl w:val="0"/>
          <w:numId w:val="0"/>
        </w:numPr>
        <w:bidi w:val="0"/>
        <w:spacing w:lineRule="auto" w:line="276"/>
        <w:ind w:left="2065" w:right="0" w:hanging="0"/>
        <w:rPr>
          <w:rFonts w:ascii="Arial" w:hAnsi="Arial" w:cs="Arial"/>
          <w:i w:val="false"/>
          <w:i w:val="false"/>
          <w:iCs w:val="false"/>
          <w:color w:val="000000"/>
          <w:sz w:val="20"/>
          <w:szCs w:val="20"/>
          <w:lang w:eastAsia="pt-BR"/>
        </w:rPr>
      </w:pPr>
      <w:r>
        <w:rPr>
          <w:rFonts w:cs="Arial"/>
          <w:i w:val="false"/>
          <w:iCs w:val="false"/>
          <w:color w:val="000000"/>
          <w:sz w:val="20"/>
          <w:szCs w:val="20"/>
          <w:lang w:eastAsia="pt-BR"/>
        </w:rPr>
        <w:t>7.2.2.2 O fiscal do contrato anotará em registro próprio todas as ocorrências relacionadas à execução do contrato, determinando o que for necessário para a regularização das faltas ou dos defeitos observados (Lei nº 14.133/2021, art. 117, §1º).</w:t>
      </w:r>
    </w:p>
    <w:p>
      <w:pPr>
        <w:pStyle w:val="Nvel3R"/>
        <w:numPr>
          <w:ilvl w:val="0"/>
          <w:numId w:val="0"/>
        </w:numPr>
        <w:bidi w:val="0"/>
        <w:spacing w:lineRule="auto" w:line="276"/>
        <w:ind w:left="2065" w:right="0" w:hanging="0"/>
        <w:rPr>
          <w:rFonts w:ascii="Arial" w:hAnsi="Arial"/>
          <w:sz w:val="20"/>
          <w:szCs w:val="20"/>
        </w:rPr>
      </w:pPr>
      <w:r>
        <w:rPr>
          <w:rFonts w:cs="Arial"/>
          <w:i w:val="false"/>
          <w:iCs w:val="false"/>
          <w:vanish w:val="false"/>
          <w:color w:val="000000"/>
          <w:sz w:val="20"/>
          <w:szCs w:val="20"/>
          <w:lang w:eastAsia="pt-BR"/>
        </w:rPr>
        <w:t xml:space="preserve">7.2.2.3 </w:t>
      </w:r>
      <w:r>
        <w:rPr>
          <w:rFonts w:cs="Arial"/>
          <w:i w:val="false"/>
          <w:iCs w:val="false"/>
          <w:color w:val="000000"/>
          <w:sz w:val="20"/>
          <w:szCs w:val="20"/>
          <w:lang w:eastAsia="pt-BR"/>
        </w:rPr>
        <w:t>O fiscal do contrato informará a seus superiores, em tempo hábil para a adoção das medidas convenientes, a situação que demandar decisão ou providência que ultrapasse sua competência (Lei nº 14.133/2021, art. 117, §2º).</w:t>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7.3 Gestor do Contrato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7.3.1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7.3.2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7.3.3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pPr>
        <w:pStyle w:val="Nivel2"/>
        <w:numPr>
          <w:ilvl w:val="0"/>
          <w:numId w:val="0"/>
        </w:numPr>
        <w:bidi w:val="0"/>
        <w:ind w:left="999" w:right="0" w:hanging="0"/>
        <w:rPr>
          <w:rFonts w:ascii="Arial" w:hAnsi="Arial" w:cs="Arial"/>
          <w:sz w:val="20"/>
          <w:szCs w:val="20"/>
        </w:rPr>
      </w:pPr>
      <w:r>
        <w:rPr>
          <w:rFonts w:cs="Arial" w:ascii="Arial" w:hAnsi="Arial"/>
          <w:sz w:val="20"/>
          <w:szCs w:val="20"/>
        </w:rPr>
        <w:t>7.3.6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pPr>
        <w:pStyle w:val="Nivel2"/>
        <w:widowControl/>
        <w:numPr>
          <w:ilvl w:val="0"/>
          <w:numId w:val="0"/>
        </w:numPr>
        <w:tabs>
          <w:tab w:val="clear" w:pos="708"/>
          <w:tab w:val="left" w:pos="855" w:leader="none"/>
        </w:tabs>
        <w:suppressAutoHyphens w:val="false"/>
        <w:bidi w:val="0"/>
        <w:spacing w:lineRule="auto" w:line="276" w:before="120" w:after="120"/>
        <w:ind w:left="999" w:right="0" w:hanging="0"/>
        <w:jc w:val="both"/>
        <w:textAlignment w:val="baseline"/>
        <w:rPr>
          <w:rFonts w:ascii="Arial" w:hAnsi="Arial" w:eastAsia="Arial" w:cs="Arial"/>
          <w:i w:val="false"/>
          <w:i w:val="false"/>
          <w:iCs w:val="false"/>
          <w:color w:val="000000"/>
          <w:kern w:val="0"/>
          <w:sz w:val="20"/>
          <w:szCs w:val="20"/>
          <w:lang w:val="pt-BR" w:eastAsia="zh-CN" w:bidi="ar-SA"/>
        </w:rPr>
      </w:pPr>
      <w:r>
        <w:rPr>
          <w:rFonts w:eastAsia="Arial" w:cs="Arial" w:ascii="Arial" w:hAnsi="Arial"/>
          <w:i w:val="false"/>
          <w:iCs w:val="false"/>
          <w:color w:val="000000"/>
          <w:kern w:val="0"/>
          <w:sz w:val="20"/>
          <w:szCs w:val="20"/>
          <w:lang w:val="pt-BR" w:eastAsia="zh-CN" w:bidi="ar-SA"/>
        </w:rPr>
        <w:t>7.3.7 O gestor do contrato deverá enviar a documentação pertinente ao setor de contratos para a formalização dos procedimentos de liquidação e pagamento, no valor dimensionado pela fiscalização e gestão nos termos do contrato.</w:t>
      </w:r>
    </w:p>
    <w:p>
      <w:pPr>
        <w:pStyle w:val="Nivel2"/>
        <w:widowControl/>
        <w:numPr>
          <w:ilvl w:val="0"/>
          <w:numId w:val="0"/>
        </w:numPr>
        <w:tabs>
          <w:tab w:val="clear" w:pos="708"/>
          <w:tab w:val="left" w:pos="855" w:leader="none"/>
        </w:tabs>
        <w:suppressAutoHyphens w:val="false"/>
        <w:bidi w:val="0"/>
        <w:spacing w:lineRule="auto" w:line="276" w:before="120" w:after="120"/>
        <w:ind w:left="999" w:right="0" w:hanging="0"/>
        <w:jc w:val="both"/>
        <w:textAlignment w:val="baseline"/>
        <w:rPr>
          <w:rFonts w:ascii="Arial" w:hAnsi="Arial" w:eastAsia="Arial" w:cs="Arial"/>
          <w:i w:val="false"/>
          <w:i w:val="false"/>
          <w:iCs w:val="false"/>
          <w:color w:val="000000"/>
          <w:kern w:val="0"/>
          <w:sz w:val="20"/>
          <w:szCs w:val="20"/>
          <w:lang w:val="pt-BR" w:eastAsia="zh-CN" w:bidi="ar-SA"/>
        </w:rPr>
      </w:pPr>
      <w:r>
        <w:rPr>
          <w:rFonts w:eastAsia="Arial" w:cs="Arial" w:ascii="Arial" w:hAnsi="Arial"/>
          <w:i w:val="false"/>
          <w:iCs w:val="false"/>
          <w:color w:val="000000"/>
          <w:kern w:val="0"/>
          <w:sz w:val="20"/>
          <w:szCs w:val="20"/>
          <w:lang w:val="pt-BR" w:eastAsia="zh-CN" w:bidi="ar-SA"/>
        </w:rPr>
      </w:r>
    </w:p>
    <w:p>
      <w:pPr>
        <w:pStyle w:val="Nivel3"/>
        <w:numPr>
          <w:ilvl w:val="0"/>
          <w:numId w:val="0"/>
        </w:numPr>
        <w:bidi w:val="0"/>
        <w:ind w:left="360" w:right="0" w:hanging="0"/>
        <w:rPr>
          <w:rFonts w:ascii="Arial" w:hAnsi="Arial" w:cs="Arial"/>
          <w:b/>
          <w:b/>
          <w:bCs/>
          <w:sz w:val="20"/>
          <w:szCs w:val="20"/>
        </w:rPr>
      </w:pPr>
      <w:r>
        <w:rPr>
          <w:rFonts w:cs="Arial" w:ascii="Arial" w:hAnsi="Arial"/>
          <w:b/>
          <w:bCs/>
          <w:sz w:val="20"/>
          <w:szCs w:val="20"/>
        </w:rPr>
        <w:t>8. CRITÉRIOS DE MEDIÇÃO E DE PAGAMENTO</w:t>
      </w:r>
    </w:p>
    <w:p>
      <w:pPr>
        <w:pStyle w:val="Nivel3"/>
        <w:numPr>
          <w:ilvl w:val="0"/>
          <w:numId w:val="0"/>
        </w:numPr>
        <w:bidi w:val="0"/>
        <w:ind w:left="360" w:right="0" w:hanging="0"/>
        <w:rPr>
          <w:rFonts w:ascii="Arial" w:hAnsi="Arial" w:cs="Arial"/>
          <w:b/>
          <w:b/>
          <w:bCs/>
          <w:sz w:val="20"/>
          <w:szCs w:val="20"/>
        </w:rPr>
      </w:pPr>
      <w:r>
        <w:rPr>
          <w:rFonts w:cs="Arial" w:ascii="Arial" w:hAnsi="Arial"/>
          <w:b/>
          <w:bCs/>
          <w:sz w:val="20"/>
          <w:szCs w:val="20"/>
        </w:rPr>
        <w:t>8.1 Recebimento</w:t>
      </w:r>
    </w:p>
    <w:p>
      <w:pPr>
        <w:pStyle w:val="Nivel2"/>
        <w:numPr>
          <w:ilvl w:val="0"/>
          <w:numId w:val="0"/>
        </w:numPr>
        <w:bidi w:val="0"/>
        <w:ind w:left="999" w:right="0" w:hanging="0"/>
        <w:rPr>
          <w:rFonts w:ascii="Arial" w:hAnsi="Arial"/>
          <w:sz w:val="20"/>
          <w:szCs w:val="20"/>
        </w:rPr>
      </w:pPr>
      <w:r>
        <w:rPr>
          <w:rFonts w:cs="Arial" w:ascii="Arial" w:hAnsi="Arial"/>
          <w:sz w:val="20"/>
          <w:szCs w:val="20"/>
        </w:rPr>
        <w:t xml:space="preserve">8.1.1 O serviço será fornecido de forma sumária, no ato da entrega, juntamente a </w:t>
      </w:r>
      <w:r>
        <w:rPr>
          <w:rFonts w:eastAsia="Calibri" w:cs="Arial" w:ascii="Arial" w:hAnsi="Arial"/>
          <w:sz w:val="20"/>
          <w:szCs w:val="20"/>
        </w:rPr>
        <w:t>nota</w:t>
      </w:r>
      <w:r>
        <w:rPr>
          <w:rFonts w:cs="Arial" w:ascii="Arial" w:hAnsi="Arial"/>
          <w:sz w:val="20"/>
          <w:szCs w:val="20"/>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8.1.2 Os bens/serviços poderão ser rejeitados, no todo ou em parte, inclusive antes do recebimento provisório, quando em desacordo com as especificações constantes no Termo de Referência e na proposta, devendo ser substituídos no prazo de 5 dias, a contar da notificação da contratada, às suas custas, sem prejuízo da aplicação das penalidades.</w:t>
      </w:r>
    </w:p>
    <w:p>
      <w:pPr>
        <w:pStyle w:val="Nivel2"/>
        <w:numPr>
          <w:ilvl w:val="0"/>
          <w:numId w:val="0"/>
        </w:numPr>
        <w:bidi w:val="0"/>
        <w:ind w:left="999" w:right="0" w:hanging="0"/>
        <w:rPr>
          <w:rFonts w:ascii="Arial" w:hAnsi="Arial"/>
          <w:sz w:val="20"/>
          <w:szCs w:val="20"/>
        </w:rPr>
      </w:pPr>
      <w:r>
        <w:rPr>
          <w:rFonts w:cs="Arial" w:ascii="Arial" w:hAnsi="Arial"/>
          <w:sz w:val="20"/>
          <w:szCs w:val="20"/>
        </w:rPr>
        <w:t>8.1.3 O recebimento definitivo ocorrerá no prazo de 30 dias úteis, a contar do recebimento da nota fiscal ou instrumento de cobrança equivalente pela Administração, após a verificação da qualidade e quantidade do material e consequente aceitação mediante termo detalhado.</w:t>
      </w:r>
    </w:p>
    <w:p>
      <w:pPr>
        <w:pStyle w:val="Nivel2"/>
        <w:numPr>
          <w:ilvl w:val="0"/>
          <w:numId w:val="0"/>
        </w:numPr>
        <w:bidi w:val="0"/>
        <w:ind w:left="999" w:right="0" w:hanging="0"/>
        <w:rPr/>
      </w:pPr>
      <w:r>
        <w:rPr>
          <w:rFonts w:cs="Arial" w:ascii="Arial" w:hAnsi="Arial"/>
          <w:sz w:val="20"/>
          <w:szCs w:val="20"/>
        </w:rPr>
        <w:t xml:space="preserve">8.1.4 Para as contratações decorrentes de despesas cujos valores não ultrapassem o limite de que trata o </w:t>
      </w:r>
      <w:r>
        <w:fldChar w:fldCharType="begin"/>
      </w:r>
      <w:r>
        <w:rPr>
          <w:rStyle w:val="LinkdaInternet"/>
          <w:sz w:val="20"/>
          <w:szCs w:val="20"/>
          <w:rFonts w:cs="Arial" w:ascii="Arial" w:hAnsi="Arial"/>
          <w:color w:val="000000"/>
          <w:lang w:eastAsia="en-US"/>
        </w:rPr>
        <w:instrText xml:space="preserve"> HYPERLINK "http://www.planalto.gov.br/ccivil_03/_ato2019-2022/2021/lei/L14133.htm" \l "art75"</w:instrText>
      </w:r>
      <w:r>
        <w:rPr>
          <w:rStyle w:val="LinkdaInternet"/>
          <w:sz w:val="20"/>
          <w:szCs w:val="20"/>
          <w:rFonts w:cs="Arial" w:ascii="Arial" w:hAnsi="Arial"/>
          <w:color w:val="000000"/>
          <w:lang w:eastAsia="en-US"/>
        </w:rPr>
        <w:fldChar w:fldCharType="separate"/>
      </w:r>
      <w:r>
        <w:rPr>
          <w:rStyle w:val="LinkdaInternet"/>
          <w:rFonts w:cs="Arial" w:ascii="Arial" w:hAnsi="Arial"/>
          <w:color w:val="000000"/>
          <w:sz w:val="20"/>
          <w:szCs w:val="20"/>
          <w:lang w:eastAsia="en-US"/>
        </w:rPr>
        <w:t>inciso II do art. 75 da Lei nº 14.133, de 2021</w:t>
      </w:r>
      <w:r>
        <w:rPr>
          <w:rStyle w:val="LinkdaInternet"/>
          <w:sz w:val="20"/>
          <w:szCs w:val="20"/>
          <w:rFonts w:cs="Arial" w:ascii="Arial" w:hAnsi="Arial"/>
          <w:color w:val="000000"/>
          <w:lang w:eastAsia="en-US"/>
        </w:rPr>
        <w:fldChar w:fldCharType="end"/>
      </w:r>
      <w:r>
        <w:rPr>
          <w:rFonts w:cs="Arial" w:ascii="Arial" w:hAnsi="Arial"/>
          <w:sz w:val="20"/>
          <w:szCs w:val="20"/>
        </w:rPr>
        <w:t>, o prazo máximo para o recebimento definitivo será de até 90 dias úteis.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8.1.5 O prazo para recebimento definitivo poderá ser excepcionalmente prorrogado, de forma justificada, por igual período, quando houver necessidade de diligências para a aferição do atendimento das exigências contratuais.</w:t>
      </w:r>
    </w:p>
    <w:p>
      <w:pPr>
        <w:pStyle w:val="Nivel2"/>
        <w:numPr>
          <w:ilvl w:val="0"/>
          <w:numId w:val="0"/>
        </w:numPr>
        <w:bidi w:val="0"/>
        <w:ind w:left="999" w:right="0" w:hanging="0"/>
        <w:rPr/>
      </w:pPr>
      <w:r>
        <w:rPr>
          <w:rFonts w:cs="Arial" w:ascii="Arial" w:hAnsi="Arial"/>
          <w:sz w:val="20"/>
          <w:szCs w:val="20"/>
        </w:rPr>
        <w:t xml:space="preserve">8.1.6 No caso de controvérsia sobre a execução do objeto, quanto à dimensão, qualidade e quantidade, deverá ser observado o teor do </w:t>
      </w:r>
      <w:r>
        <w:fldChar w:fldCharType="begin"/>
      </w:r>
      <w:r>
        <w:rPr>
          <w:rStyle w:val="LinkdaInternet"/>
          <w:sz w:val="20"/>
          <w:szCs w:val="20"/>
          <w:rFonts w:cs="Arial" w:ascii="Arial" w:hAnsi="Arial"/>
          <w:color w:val="000000"/>
          <w:lang w:eastAsia="en-US"/>
        </w:rPr>
        <w:instrText xml:space="preserve"> HYPERLINK "http://www.planalto.gov.br/ccivil_03/_ato2019-2022/2021/lei/L14133.htm" \l "art143"</w:instrText>
      </w:r>
      <w:r>
        <w:rPr>
          <w:rStyle w:val="LinkdaInternet"/>
          <w:sz w:val="20"/>
          <w:szCs w:val="20"/>
          <w:rFonts w:cs="Arial" w:ascii="Arial" w:hAnsi="Arial"/>
          <w:color w:val="000000"/>
          <w:lang w:eastAsia="en-US"/>
        </w:rPr>
        <w:fldChar w:fldCharType="separate"/>
      </w:r>
      <w:r>
        <w:rPr>
          <w:rStyle w:val="LinkdaInternet"/>
          <w:rFonts w:cs="Arial" w:ascii="Arial" w:hAnsi="Arial"/>
          <w:color w:val="000000"/>
          <w:sz w:val="20"/>
          <w:szCs w:val="20"/>
          <w:lang w:eastAsia="en-US"/>
        </w:rPr>
        <w:t>art. 143 da Lei nº 14.133, de 2021</w:t>
      </w:r>
      <w:r>
        <w:rPr>
          <w:rStyle w:val="LinkdaInternet"/>
          <w:sz w:val="20"/>
          <w:szCs w:val="20"/>
          <w:rFonts w:cs="Arial" w:ascii="Arial" w:hAnsi="Arial"/>
          <w:color w:val="000000"/>
          <w:lang w:eastAsia="en-US"/>
        </w:rPr>
        <w:fldChar w:fldCharType="end"/>
      </w:r>
      <w:r>
        <w:rPr>
          <w:rFonts w:cs="Arial" w:ascii="Arial" w:hAnsi="Arial"/>
          <w:sz w:val="20"/>
          <w:szCs w:val="20"/>
        </w:rPr>
        <w:t>, comunicando-se à empresa para emissão de Nota Fiscal no que pertence à parcela incontroversa da execução do objeto, para efeito de liquidação e pagamento.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8.1.8 O recebimento provisório ou definitivo não excluirá a responsabilidade civil pela solidez e pela segurança dos bens nem a responsabilidade ético-profissional pela perfeita execução do contrato.</w:t>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8.2 Liquidação</w:t>
      </w:r>
    </w:p>
    <w:p>
      <w:pPr>
        <w:pStyle w:val="Nivel2"/>
        <w:numPr>
          <w:ilvl w:val="0"/>
          <w:numId w:val="0"/>
        </w:numPr>
        <w:bidi w:val="0"/>
        <w:ind w:left="999" w:right="0" w:hanging="0"/>
        <w:rPr/>
      </w:pPr>
      <w:r>
        <w:rPr>
          <w:rFonts w:cs="Arial" w:ascii="Arial" w:hAnsi="Arial"/>
          <w:sz w:val="20"/>
          <w:szCs w:val="20"/>
        </w:rPr>
        <w:t>8.2.1 Recebida a Nota Fiscal ou documento de cobrança equivalente, correrá o prazo de dez dias úteis para fins de liquidação, na forma desta seção, prorrogáveis por igual período, nos termos do art. 7º, §3</w:t>
      </w:r>
      <w:r>
        <w:rPr>
          <w:rStyle w:val="LinkdaInternet"/>
          <w:rFonts w:cs="Arial" w:ascii="Arial" w:hAnsi="Arial"/>
          <w:color w:val="000000"/>
          <w:sz w:val="20"/>
          <w:szCs w:val="20"/>
          <w:lang w:eastAsia="en-US"/>
        </w:rPr>
        <w:t>º da Instrução Normativa SEGES/ME nº 77/2022</w:t>
      </w:r>
      <w:r>
        <w:rPr>
          <w:rFonts w:cs="Arial" w:ascii="Arial" w:hAnsi="Arial"/>
          <w:sz w:val="20"/>
          <w:szCs w:val="20"/>
        </w:rPr>
        <w:t>.</w:t>
      </w:r>
    </w:p>
    <w:p>
      <w:pPr>
        <w:pStyle w:val="Nivel3"/>
        <w:numPr>
          <w:ilvl w:val="0"/>
          <w:numId w:val="0"/>
        </w:numPr>
        <w:bidi w:val="0"/>
        <w:spacing w:lineRule="auto" w:line="276"/>
        <w:ind w:left="2065" w:right="0" w:hanging="0"/>
        <w:rPr/>
      </w:pPr>
      <w:r>
        <w:rPr>
          <w:rFonts w:cs="Arial" w:ascii="Arial" w:hAnsi="Arial"/>
          <w:color w:val="000000"/>
          <w:sz w:val="20"/>
          <w:szCs w:val="20"/>
        </w:rPr>
        <w:t xml:space="preserve">8.2.1.1 O prazo de que trata o item anterior será reduzido à metade, mantendo-se a possibilidade de prorrogação, no caso de contratações decorrentes de despesas cujos valores não ultrapassem o limite de que trata o </w:t>
      </w:r>
      <w:r>
        <w:fldChar w:fldCharType="begin"/>
      </w:r>
      <w:r>
        <w:rPr>
          <w:rStyle w:val="LinkdaInternet"/>
          <w:sz w:val="20"/>
          <w:szCs w:val="20"/>
          <w:rFonts w:cs="Arial" w:ascii="Arial" w:hAnsi="Arial"/>
          <w:color w:val="000000"/>
        </w:rPr>
        <w:instrText xml:space="preserve"> HYPERLINK "http://www.planalto.gov.br/ccivil_03/_ato2019-2022/2021/lei/L14133.htm" \l "art75"</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inciso II do art. 75 da Lei nº 14.133, de 2021</w:t>
      </w:r>
      <w:r>
        <w:rPr>
          <w:rStyle w:val="LinkdaInternet"/>
          <w:sz w:val="20"/>
          <w:szCs w:val="20"/>
          <w:rFonts w:cs="Arial" w:ascii="Arial" w:hAnsi="Arial"/>
          <w:color w:val="000000"/>
        </w:rPr>
        <w:fldChar w:fldCharType="end"/>
      </w:r>
      <w:r>
        <w:rPr>
          <w:rFonts w:cs="Arial" w:ascii="Arial" w:hAnsi="Arial"/>
          <w:color w:val="000000"/>
          <w:sz w:val="20"/>
          <w:szCs w:val="20"/>
        </w:rPr>
        <w:t>.</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8.2.2 Para fins de liquidação, o setor competente deverá verificar se a nota fiscal ou instrumento de cobrança equivalente apresentado expressa os elementos necessários e essenciais do documento, tais como:</w:t>
      </w:r>
    </w:p>
    <w:p>
      <w:pPr>
        <w:pStyle w:val="Nivel3"/>
        <w:numPr>
          <w:ilvl w:val="0"/>
          <w:numId w:val="0"/>
        </w:numPr>
        <w:bidi w:val="0"/>
        <w:spacing w:lineRule="auto" w:line="276"/>
        <w:ind w:left="2065" w:right="0" w:hanging="0"/>
        <w:rPr>
          <w:rFonts w:ascii="Arial" w:hAnsi="Arial" w:cs="Arial"/>
          <w:color w:val="000000"/>
          <w:sz w:val="20"/>
          <w:szCs w:val="20"/>
          <w:lang w:eastAsia="en-US"/>
        </w:rPr>
      </w:pPr>
      <w:r>
        <w:rPr>
          <w:rFonts w:cs="Arial" w:ascii="Arial" w:hAnsi="Arial"/>
          <w:color w:val="000000"/>
          <w:sz w:val="20"/>
          <w:szCs w:val="20"/>
          <w:lang w:eastAsia="en-US"/>
        </w:rPr>
        <w:t>8.2.2.1 o prazo de validade;</w:t>
      </w:r>
    </w:p>
    <w:p>
      <w:pPr>
        <w:pStyle w:val="Nivel3"/>
        <w:numPr>
          <w:ilvl w:val="0"/>
          <w:numId w:val="0"/>
        </w:numPr>
        <w:bidi w:val="0"/>
        <w:spacing w:lineRule="auto" w:line="276"/>
        <w:ind w:left="2065" w:right="0" w:hanging="0"/>
        <w:rPr>
          <w:rFonts w:ascii="Arial" w:hAnsi="Arial" w:cs="Arial"/>
          <w:color w:val="000000"/>
          <w:sz w:val="20"/>
          <w:szCs w:val="20"/>
          <w:lang w:eastAsia="en-US"/>
        </w:rPr>
      </w:pPr>
      <w:r>
        <w:rPr>
          <w:rFonts w:cs="Arial" w:ascii="Arial" w:hAnsi="Arial"/>
          <w:color w:val="000000"/>
          <w:sz w:val="20"/>
          <w:szCs w:val="20"/>
          <w:lang w:eastAsia="en-US"/>
        </w:rPr>
        <w:t>8.2.2.2 a data da emissão;</w:t>
      </w:r>
    </w:p>
    <w:p>
      <w:pPr>
        <w:pStyle w:val="Nivel3"/>
        <w:numPr>
          <w:ilvl w:val="0"/>
          <w:numId w:val="0"/>
        </w:numPr>
        <w:bidi w:val="0"/>
        <w:spacing w:lineRule="auto" w:line="276"/>
        <w:ind w:left="2065" w:right="0" w:hanging="0"/>
        <w:rPr>
          <w:rFonts w:ascii="Arial" w:hAnsi="Arial" w:cs="Arial"/>
          <w:color w:val="000000"/>
          <w:sz w:val="20"/>
          <w:szCs w:val="20"/>
          <w:lang w:eastAsia="en-US"/>
        </w:rPr>
      </w:pPr>
      <w:r>
        <w:rPr>
          <w:rFonts w:cs="Arial" w:ascii="Arial" w:hAnsi="Arial"/>
          <w:color w:val="000000"/>
          <w:sz w:val="20"/>
          <w:szCs w:val="20"/>
          <w:lang w:eastAsia="en-US"/>
        </w:rPr>
        <w:t>8.2.2.3 os dados do contrato e do órgão contratante;</w:t>
      </w:r>
    </w:p>
    <w:p>
      <w:pPr>
        <w:pStyle w:val="Nivel3"/>
        <w:numPr>
          <w:ilvl w:val="0"/>
          <w:numId w:val="0"/>
        </w:numPr>
        <w:bidi w:val="0"/>
        <w:spacing w:lineRule="auto" w:line="276"/>
        <w:ind w:left="2065" w:right="0" w:hanging="0"/>
        <w:rPr>
          <w:rFonts w:ascii="Arial" w:hAnsi="Arial" w:cs="Arial"/>
          <w:color w:val="000000"/>
          <w:sz w:val="20"/>
          <w:szCs w:val="20"/>
          <w:lang w:eastAsia="en-US"/>
        </w:rPr>
      </w:pPr>
      <w:r>
        <w:rPr>
          <w:rFonts w:cs="Arial" w:ascii="Arial" w:hAnsi="Arial"/>
          <w:color w:val="000000"/>
          <w:sz w:val="20"/>
          <w:szCs w:val="20"/>
          <w:lang w:eastAsia="en-US"/>
        </w:rPr>
        <w:t>8.2.2.4 o período respectivo de execução do contrato;</w:t>
      </w:r>
    </w:p>
    <w:p>
      <w:pPr>
        <w:pStyle w:val="Nivel3"/>
        <w:numPr>
          <w:ilvl w:val="0"/>
          <w:numId w:val="0"/>
        </w:numPr>
        <w:bidi w:val="0"/>
        <w:spacing w:lineRule="auto" w:line="276"/>
        <w:ind w:left="2065" w:right="0" w:hanging="0"/>
        <w:rPr>
          <w:rFonts w:ascii="Arial" w:hAnsi="Arial" w:cs="Arial"/>
          <w:color w:val="000000"/>
          <w:sz w:val="20"/>
          <w:szCs w:val="20"/>
          <w:lang w:eastAsia="en-US"/>
        </w:rPr>
      </w:pPr>
      <w:r>
        <w:rPr>
          <w:rFonts w:cs="Arial" w:ascii="Arial" w:hAnsi="Arial"/>
          <w:color w:val="000000"/>
          <w:sz w:val="20"/>
          <w:szCs w:val="20"/>
          <w:lang w:eastAsia="en-US"/>
        </w:rPr>
        <w:t>8.2.2.5 o valor a pagar; e</w:t>
      </w:r>
    </w:p>
    <w:p>
      <w:pPr>
        <w:pStyle w:val="Nivel3"/>
        <w:numPr>
          <w:ilvl w:val="0"/>
          <w:numId w:val="0"/>
        </w:numPr>
        <w:bidi w:val="0"/>
        <w:spacing w:lineRule="auto" w:line="276"/>
        <w:ind w:left="2065" w:right="0" w:hanging="0"/>
        <w:rPr>
          <w:rFonts w:ascii="Arial" w:hAnsi="Arial" w:cs="Arial"/>
          <w:color w:val="000000"/>
          <w:sz w:val="20"/>
          <w:szCs w:val="20"/>
          <w:lang w:eastAsia="en-US"/>
        </w:rPr>
      </w:pPr>
      <w:r>
        <w:rPr>
          <w:rFonts w:cs="Arial" w:ascii="Arial" w:hAnsi="Arial"/>
          <w:color w:val="000000"/>
          <w:sz w:val="20"/>
          <w:szCs w:val="20"/>
          <w:lang w:eastAsia="en-US"/>
        </w:rPr>
        <w:t>8.2.2.6 eventual destaque do valor de retenções tributárias cabíveis.</w:t>
      </w:r>
    </w:p>
    <w:p>
      <w:pPr>
        <w:pStyle w:val="Nivel2"/>
        <w:numPr>
          <w:ilvl w:val="0"/>
          <w:numId w:val="0"/>
        </w:numPr>
        <w:bidi w:val="0"/>
        <w:ind w:left="999" w:right="0" w:hanging="0"/>
        <w:rPr>
          <w:rFonts w:ascii="Arial" w:hAnsi="Arial"/>
          <w:sz w:val="20"/>
          <w:szCs w:val="20"/>
        </w:rPr>
      </w:pPr>
      <w:r>
        <w:rPr>
          <w:rFonts w:eastAsia="Arial" w:cs="Arial" w:ascii="Arial" w:hAnsi="Arial"/>
          <w:sz w:val="20"/>
          <w:szCs w:val="20"/>
        </w:rPr>
        <w:t xml:space="preserve">8.2.3 </w:t>
      </w:r>
      <w:r>
        <w:rPr>
          <w:rFonts w:eastAsia="Calibri" w:cs="Arial" w:ascii="Arial" w:hAnsi="Arial"/>
          <w:sz w:val="20"/>
          <w:szCs w:val="20"/>
        </w:rPr>
        <w:t xml:space="preserve">Havendo erro na apresentação da nota fiscal ou instrumento de cobrança equivalente, ou circunstância que impeça a </w:t>
      </w:r>
      <w:r>
        <w:rPr>
          <w:rFonts w:cs="Arial" w:ascii="Arial" w:hAnsi="Arial"/>
          <w:sz w:val="20"/>
          <w:szCs w:val="20"/>
        </w:rPr>
        <w:t>liquidação da despesa, esta ficará sobrestada até que o contratado providencie as medidas saneadoras, reiniciando-se o prazo após a comprovação da regularização da situação, sem ônus ao contratante;</w:t>
      </w:r>
    </w:p>
    <w:p>
      <w:pPr>
        <w:pStyle w:val="Nivel2"/>
        <w:numPr>
          <w:ilvl w:val="0"/>
          <w:numId w:val="0"/>
        </w:numPr>
        <w:bidi w:val="0"/>
        <w:ind w:left="999" w:right="0" w:hanging="0"/>
        <w:rPr/>
      </w:pPr>
      <w:r>
        <w:rPr>
          <w:rFonts w:cs="Arial" w:ascii="Arial" w:hAnsi="Arial"/>
          <w:sz w:val="20"/>
          <w:szCs w:val="20"/>
        </w:rPr>
        <w:t xml:space="preserve">8.2.4  A nota fiscal ou instrumento de cobrança equivalente deverá ser obrigatoriamente acompanhado da comprovação da regularidade fiscal, constatada por meio de consulta </w:t>
      </w:r>
      <w:r>
        <w:rPr>
          <w:rFonts w:cs="Arial" w:ascii="Arial" w:hAnsi="Arial"/>
          <w:i/>
          <w:iCs/>
          <w:sz w:val="20"/>
          <w:szCs w:val="20"/>
        </w:rPr>
        <w:t>on-line</w:t>
      </w:r>
      <w:r>
        <w:rPr>
          <w:rFonts w:cs="Arial" w:ascii="Arial" w:hAnsi="Arial"/>
          <w:sz w:val="20"/>
          <w:szCs w:val="20"/>
        </w:rPr>
        <w:t xml:space="preserve"> ao SICAF ou, na impossibilidade de acesso ao referido Sistema, mediante consulta aos sítios eletrônicos oficiais ou à documentação mencionada no </w:t>
      </w:r>
      <w:r>
        <w:fldChar w:fldCharType="begin"/>
      </w:r>
      <w:r>
        <w:rPr>
          <w:rStyle w:val="LinkdaInternet"/>
          <w:sz w:val="20"/>
          <w:szCs w:val="20"/>
          <w:rFonts w:cs="Arial" w:ascii="Arial" w:hAnsi="Arial"/>
          <w:color w:val="000000"/>
          <w:lang w:eastAsia="en-US"/>
        </w:rPr>
        <w:instrText xml:space="preserve"> HYPERLINK "http://www.planalto.gov.br/ccivil_03/_ato2019-2022/2021/lei/L14133.htm" \l "art68"</w:instrText>
      </w:r>
      <w:r>
        <w:rPr>
          <w:rStyle w:val="LinkdaInternet"/>
          <w:sz w:val="20"/>
          <w:szCs w:val="20"/>
          <w:rFonts w:cs="Arial" w:ascii="Arial" w:hAnsi="Arial"/>
          <w:color w:val="000000"/>
          <w:lang w:eastAsia="en-US"/>
        </w:rPr>
        <w:fldChar w:fldCharType="separate"/>
      </w:r>
      <w:r>
        <w:rPr>
          <w:rStyle w:val="LinkdaInternet"/>
          <w:rFonts w:cs="Arial" w:ascii="Arial" w:hAnsi="Arial"/>
          <w:color w:val="000000"/>
          <w:sz w:val="20"/>
          <w:szCs w:val="20"/>
          <w:lang w:eastAsia="en-US"/>
        </w:rPr>
        <w:t xml:space="preserve">art. 68 da Lei nº 14.133, de 2021.  </w:t>
      </w:r>
      <w:r>
        <w:rPr>
          <w:rStyle w:val="LinkdaInternet"/>
          <w:sz w:val="20"/>
          <w:szCs w:val="20"/>
          <w:rFonts w:cs="Arial" w:ascii="Arial" w:hAnsi="Arial"/>
          <w:color w:val="000000"/>
          <w:lang w:eastAsia="en-US"/>
        </w:rPr>
        <w:fldChar w:fldCharType="end"/>
      </w:r>
      <w:r>
        <w:rPr>
          <w:rFonts w:cs="Arial" w:ascii="Arial" w:hAnsi="Arial"/>
          <w:sz w:val="20"/>
          <w:szCs w:val="20"/>
        </w:rPr>
        <w:t xml:space="preserve"> </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8.2.5 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0"/>
          <w:numId w:val="0"/>
        </w:numPr>
        <w:bidi w:val="0"/>
        <w:ind w:left="999" w:right="0" w:hanging="0"/>
        <w:rPr>
          <w:rFonts w:ascii="Arial" w:hAnsi="Arial" w:cs="Arial"/>
          <w:sz w:val="20"/>
          <w:szCs w:val="20"/>
        </w:rPr>
      </w:pPr>
      <w:r>
        <w:rPr>
          <w:rFonts w:cs="Arial" w:ascii="Arial" w:hAnsi="Arial"/>
          <w:sz w:val="20"/>
          <w:szCs w:val="20"/>
        </w:rPr>
        <w:t xml:space="preserve">8.2.7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8.2.8 Persistindo a irregularidade, o contratante deverá adotar as medidas necessárias à rescisão contratual nos autos do processo administrativo correspondente, assegurada ao contratado a ampla defesa.</w:t>
      </w:r>
    </w:p>
    <w:p>
      <w:pPr>
        <w:pStyle w:val="Nivel2"/>
        <w:widowControl/>
        <w:numPr>
          <w:ilvl w:val="0"/>
          <w:numId w:val="0"/>
        </w:numPr>
        <w:tabs>
          <w:tab w:val="clear" w:pos="708"/>
          <w:tab w:val="left" w:pos="855" w:leader="none"/>
        </w:tabs>
        <w:suppressAutoHyphens w:val="false"/>
        <w:bidi w:val="0"/>
        <w:spacing w:lineRule="auto" w:line="276" w:before="120" w:after="120"/>
        <w:ind w:left="999" w:right="0" w:hanging="0"/>
        <w:jc w:val="both"/>
        <w:textAlignment w:val="baseline"/>
        <w:rPr>
          <w:rFonts w:ascii="Arial" w:hAnsi="Arial" w:eastAsia="Arial" w:cs="Arial"/>
          <w:i w:val="false"/>
          <w:i w:val="false"/>
          <w:iCs w:val="false"/>
          <w:color w:val="000000"/>
          <w:kern w:val="0"/>
          <w:sz w:val="20"/>
          <w:szCs w:val="20"/>
          <w:lang w:val="pt-BR" w:eastAsia="zh-CN" w:bidi="ar-SA"/>
        </w:rPr>
      </w:pPr>
      <w:r>
        <w:rPr>
          <w:rFonts w:eastAsia="Arial" w:cs="Arial" w:ascii="Arial" w:hAnsi="Arial"/>
          <w:i w:val="false"/>
          <w:iCs w:val="false"/>
          <w:color w:val="000000"/>
          <w:kern w:val="0"/>
          <w:sz w:val="20"/>
          <w:szCs w:val="20"/>
          <w:lang w:val="pt-BR" w:eastAsia="zh-CN" w:bidi="ar-SA"/>
        </w:rPr>
        <w:t>8.2.9 Havendo a efetiva execução do objeto, os pagamentos serão realizados normalmente, até que se decida pela rescisão do contrato, caso o contratado não regularize sua situação junto ao SICAF.</w:t>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8.3 Prazo de pagamento</w:t>
      </w:r>
    </w:p>
    <w:p>
      <w:pPr>
        <w:pStyle w:val="Nivel2"/>
        <w:numPr>
          <w:ilvl w:val="0"/>
          <w:numId w:val="0"/>
        </w:numPr>
        <w:bidi w:val="0"/>
        <w:ind w:left="999" w:right="0" w:hanging="0"/>
        <w:rPr/>
      </w:pPr>
      <w:r>
        <w:rPr>
          <w:rFonts w:cs="Arial" w:ascii="Arial" w:hAnsi="Arial"/>
          <w:sz w:val="20"/>
          <w:szCs w:val="20"/>
        </w:rPr>
        <w:t xml:space="preserve">8.3.1 O pagamento será efetuado no prazo de até 90 (noventa) dias úteis contados da finalização da liquidação da despesa, conforme seção anterior, nos termos da </w:t>
      </w:r>
      <w:hyperlink r:id="rId20">
        <w:r>
          <w:rPr>
            <w:rStyle w:val="LinkdaInternet"/>
            <w:rFonts w:cs="Arial" w:ascii="Arial" w:hAnsi="Arial"/>
            <w:color w:val="000000"/>
            <w:sz w:val="20"/>
            <w:szCs w:val="20"/>
          </w:rPr>
          <w:t>Instrução Normativa SEGES/ME nº 77, de 2022</w:t>
        </w:r>
      </w:hyperlink>
      <w:r>
        <w:rPr>
          <w:rFonts w:cs="Arial" w:ascii="Arial" w:hAnsi="Arial"/>
          <w:sz w:val="20"/>
          <w:szCs w:val="20"/>
        </w:rPr>
        <w:t>.</w:t>
      </w:r>
    </w:p>
    <w:p>
      <w:pPr>
        <w:pStyle w:val="Nivel2"/>
        <w:numPr>
          <w:ilvl w:val="0"/>
          <w:numId w:val="0"/>
        </w:numPr>
        <w:bidi w:val="0"/>
        <w:ind w:left="999" w:right="0" w:hanging="0"/>
        <w:rPr>
          <w:rFonts w:ascii="Arial" w:hAnsi="Arial"/>
          <w:sz w:val="20"/>
          <w:szCs w:val="20"/>
        </w:rPr>
      </w:pPr>
      <w:r>
        <w:rPr>
          <w:rFonts w:cs="Arial" w:ascii="Arial" w:hAnsi="Arial"/>
          <w:sz w:val="20"/>
          <w:szCs w:val="20"/>
        </w:rPr>
        <w:t>8.3.2 No caso de atraso pelo Contratante, os valores devidos ao contratado serão atualizados monetariamente entre o termo final do prazo de pagamento até a data de sua efetiva realização, mediante aplicação do índice IPCA de correção monetária.</w:t>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8.4 Forma de pagamento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8.4.1 O pagamento será realizado por meio de ordem bancária, para crédito em banco, agência e conta-corrente, indicados pelo contratado.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8.4.2 Será considerada data do pagamento o dia em que constar como emitida a ordem bancária para pagamento.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8.4.3 Quando do pagamento, será efetuada a retenção tributária prevista na legislação aplicável.</w:t>
      </w:r>
    </w:p>
    <w:p>
      <w:pPr>
        <w:pStyle w:val="Nivel3"/>
        <w:numPr>
          <w:ilvl w:val="0"/>
          <w:numId w:val="0"/>
        </w:numPr>
        <w:bidi w:val="0"/>
        <w:spacing w:lineRule="auto" w:line="276"/>
        <w:ind w:left="2065" w:right="0" w:hanging="0"/>
        <w:rPr>
          <w:rFonts w:ascii="Arial" w:hAnsi="Arial"/>
          <w:sz w:val="20"/>
          <w:szCs w:val="20"/>
        </w:rPr>
      </w:pPr>
      <w:r>
        <w:rPr>
          <w:rFonts w:cs="Arial" w:ascii="Arial" w:hAnsi="Arial"/>
          <w:color w:val="000000"/>
          <w:sz w:val="20"/>
          <w:szCs w:val="20"/>
          <w:lang w:eastAsia="en-US"/>
        </w:rPr>
        <w:t>8.4.3.1 Independentemente do percentual de tributo inserido na planilha, quando houver, serão retidos na fonte, quando da realização do pagamento, os percentuais estabelecidos na legislação vigente.</w:t>
      </w:r>
    </w:p>
    <w:p>
      <w:pPr>
        <w:pStyle w:val="Nivel2"/>
        <w:numPr>
          <w:ilvl w:val="0"/>
          <w:numId w:val="0"/>
        </w:numPr>
        <w:bidi w:val="0"/>
        <w:ind w:left="999" w:right="0" w:hanging="0"/>
        <w:rPr/>
      </w:pPr>
      <w:r>
        <w:rPr>
          <w:rFonts w:cs="Arial" w:ascii="Arial" w:hAnsi="Arial"/>
          <w:sz w:val="20"/>
          <w:szCs w:val="20"/>
        </w:rPr>
        <w:t xml:space="preserve">8.4.4 O contratado regularmente optante pelo Simples Nacional, nos termos da </w:t>
      </w:r>
      <w:hyperlink r:id="rId21">
        <w:r>
          <w:rPr>
            <w:rStyle w:val="LinkdaInternet"/>
            <w:rFonts w:cs="Arial" w:ascii="Arial" w:hAnsi="Arial"/>
            <w:color w:val="000000"/>
            <w:sz w:val="20"/>
            <w:szCs w:val="20"/>
            <w:lang w:eastAsia="en-US"/>
          </w:rPr>
          <w:t>Lei Complementar nº 123, de 2006</w:t>
        </w:r>
      </w:hyperlink>
      <w:r>
        <w:rPr>
          <w:rFonts w:cs="Arial" w:ascii="Arial" w:hAnsi="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ivel01"/>
        <w:numPr>
          <w:ilvl w:val="0"/>
          <w:numId w:val="0"/>
        </w:numPr>
        <w:bidi w:val="0"/>
        <w:ind w:left="360" w:right="0" w:hanging="0"/>
        <w:rPr>
          <w:rFonts w:ascii="Arial" w:hAnsi="Arial"/>
          <w:b/>
          <w:b/>
          <w:bCs/>
          <w:sz w:val="20"/>
          <w:szCs w:val="20"/>
        </w:rPr>
      </w:pPr>
      <w:r>
        <w:rPr>
          <w:rFonts w:cs="Arial" w:ascii="Arial" w:hAnsi="Arial"/>
          <w:b/>
          <w:bCs/>
          <w:sz w:val="20"/>
          <w:szCs w:val="20"/>
        </w:rPr>
        <w:t>8.5 Cessão de crédito</w:t>
      </w:r>
    </w:p>
    <w:p>
      <w:pPr>
        <w:pStyle w:val="Nivel2"/>
        <w:numPr>
          <w:ilvl w:val="0"/>
          <w:numId w:val="0"/>
        </w:numPr>
        <w:bidi w:val="0"/>
        <w:ind w:left="999" w:right="0" w:hanging="0"/>
        <w:rPr/>
      </w:pPr>
      <w:r>
        <w:rPr>
          <w:rFonts w:cs="Arial" w:ascii="Arial" w:hAnsi="Arial"/>
          <w:sz w:val="20"/>
          <w:szCs w:val="20"/>
        </w:rPr>
        <w:t xml:space="preserve">8.5.1 </w:t>
      </w:r>
      <w:bookmarkStart w:id="71" w:name="_Ref154079397"/>
      <w:r>
        <w:rPr>
          <w:rFonts w:cs="Arial" w:ascii="Arial" w:hAnsi="Arial"/>
          <w:sz w:val="20"/>
          <w:szCs w:val="20"/>
        </w:rPr>
        <w:t xml:space="preserve">É admitida a cessão fiduciária de direitos creditícios com instituição financeira, nos termos e de acordo com os procedimentos previstos na </w:t>
      </w:r>
      <w:hyperlink r:id="rId22">
        <w:r>
          <w:rPr>
            <w:rStyle w:val="LinkdaInternet"/>
            <w:rFonts w:cs="Arial" w:ascii="Arial" w:hAnsi="Arial"/>
            <w:color w:val="000000"/>
            <w:sz w:val="20"/>
            <w:szCs w:val="20"/>
            <w:lang w:eastAsia="en-US"/>
          </w:rPr>
          <w:t>Instrução Normativa SEGES/ME nº 53, de 8 de Julho de 2020</w:t>
        </w:r>
      </w:hyperlink>
      <w:r>
        <w:rPr>
          <w:rFonts w:cs="Arial" w:ascii="Arial" w:hAnsi="Arial"/>
          <w:sz w:val="20"/>
          <w:szCs w:val="20"/>
        </w:rPr>
        <w:t>, conforme as regras deste presente tópico.</w:t>
      </w:r>
      <w:bookmarkEnd w:id="71"/>
    </w:p>
    <w:p>
      <w:pPr>
        <w:pStyle w:val="Nvel3R"/>
        <w:numPr>
          <w:ilvl w:val="0"/>
          <w:numId w:val="0"/>
        </w:numPr>
        <w:bidi w:val="0"/>
        <w:spacing w:lineRule="auto" w:line="276"/>
        <w:ind w:left="2065" w:right="0" w:hanging="0"/>
        <w:rPr/>
      </w:pPr>
      <w:r>
        <w:rPr>
          <w:rFonts w:cs="Arial"/>
          <w:color w:val="000000"/>
          <w:sz w:val="20"/>
          <w:szCs w:val="20"/>
        </w:rPr>
        <w:t xml:space="preserve">8.5.1.1 </w:t>
      </w:r>
      <w:bookmarkStart w:id="72" w:name="_Ref118216946"/>
      <w:r>
        <w:rPr>
          <w:rFonts w:cs="Arial"/>
          <w:color w:val="000000"/>
          <w:sz w:val="20"/>
          <w:szCs w:val="20"/>
        </w:rPr>
        <w:t xml:space="preserve">As cessões de crédito </w:t>
      </w:r>
      <w:r>
        <w:rPr>
          <w:rStyle w:val="Normaltextrun"/>
          <w:rFonts w:cs="Arial"/>
          <w:i/>
          <w:iCs/>
          <w:color w:val="000000"/>
          <w:sz w:val="20"/>
          <w:szCs w:val="20"/>
        </w:rPr>
        <w:t xml:space="preserve">não abrangidas pela Instrução Normativa SEGES/ME nº 53, de 8 de julho de 2020, </w:t>
      </w:r>
      <w:r>
        <w:rPr>
          <w:rFonts w:cs="Arial"/>
          <w:color w:val="000000"/>
          <w:sz w:val="20"/>
          <w:szCs w:val="20"/>
        </w:rPr>
        <w:t>dependerão de prévia aprovação do contratante.</w:t>
      </w:r>
      <w:bookmarkEnd w:id="72"/>
    </w:p>
    <w:p>
      <w:pPr>
        <w:pStyle w:val="Nivel2"/>
        <w:numPr>
          <w:ilvl w:val="0"/>
          <w:numId w:val="0"/>
        </w:numPr>
        <w:bidi w:val="0"/>
        <w:ind w:left="999" w:right="0" w:hanging="0"/>
        <w:rPr/>
      </w:pPr>
      <w:r>
        <w:rPr>
          <w:rFonts w:cs="Arial" w:ascii="Arial" w:hAnsi="Arial"/>
          <w:sz w:val="20"/>
          <w:szCs w:val="20"/>
        </w:rPr>
        <w:t>8.5.2 A eficácia da cessão de crédito</w:t>
      </w:r>
      <w:r>
        <w:rPr>
          <w:rStyle w:val="Ttulo2Char"/>
          <w:rFonts w:cs="Arial" w:ascii="Arial" w:hAnsi="Arial"/>
          <w:i/>
          <w:iCs/>
          <w:color w:val="000000"/>
          <w:sz w:val="20"/>
          <w:szCs w:val="20"/>
        </w:rPr>
        <w:t xml:space="preserve"> </w:t>
      </w:r>
      <w:r>
        <w:rPr>
          <w:rStyle w:val="Normaltextrun"/>
          <w:rFonts w:cs="Arial" w:ascii="Arial" w:hAnsi="Arial"/>
          <w:i/>
          <w:iCs/>
          <w:color w:val="000000"/>
          <w:sz w:val="20"/>
          <w:szCs w:val="20"/>
        </w:rPr>
        <w:t>não abrangida pela Instrução Normativa SEGES/ME nº 53, de 8 de julho de 2020,</w:t>
      </w:r>
      <w:r>
        <w:rPr>
          <w:rFonts w:cs="Arial" w:ascii="Arial" w:hAnsi="Arial"/>
          <w:sz w:val="20"/>
          <w:szCs w:val="20"/>
        </w:rPr>
        <w:t xml:space="preserve"> em relação à Administração, está condicionada à celebração de termo aditivo ao contrato administrativo.</w:t>
      </w:r>
    </w:p>
    <w:p>
      <w:pPr>
        <w:pStyle w:val="Nivel2"/>
        <w:numPr>
          <w:ilvl w:val="0"/>
          <w:numId w:val="0"/>
        </w:numPr>
        <w:bidi w:val="0"/>
        <w:ind w:left="999" w:right="0" w:hanging="0"/>
        <w:rPr/>
      </w:pPr>
      <w:r>
        <w:rPr>
          <w:rFonts w:cs="Arial" w:ascii="Arial" w:hAnsi="Arial"/>
          <w:sz w:val="20"/>
          <w:szCs w:val="20"/>
        </w:rPr>
        <w:t xml:space="preserve">8.5.3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r>
        <w:fldChar w:fldCharType="begin"/>
      </w:r>
      <w:r>
        <w:rPr>
          <w:rStyle w:val="LinkdaInternet"/>
          <w:sz w:val="20"/>
          <w:szCs w:val="20"/>
          <w:rFonts w:cs="Arial" w:ascii="Arial" w:hAnsi="Arial"/>
          <w:color w:val="000000"/>
          <w:lang w:eastAsia="en-US"/>
        </w:rPr>
        <w:instrText xml:space="preserve"> HYPERLINK "https://www.planalto.gov.br/ccivil_03/leis/l8429.htm" \l ":~:text=LEI Nº 8.429%2C DE 2 DE JUNHO DE 1992&amp;text=Dispõe sobre as sanções aplicáveis,fundacional e dá outras providências."</w:instrText>
      </w:r>
      <w:r>
        <w:rPr>
          <w:rStyle w:val="LinkdaInternet"/>
          <w:sz w:val="20"/>
          <w:szCs w:val="20"/>
          <w:rFonts w:cs="Arial" w:ascii="Arial" w:hAnsi="Arial"/>
          <w:color w:val="000000"/>
          <w:lang w:eastAsia="en-US"/>
        </w:rPr>
        <w:fldChar w:fldCharType="separate"/>
      </w:r>
      <w:r>
        <w:rPr>
          <w:rStyle w:val="LinkdaInternet"/>
          <w:rFonts w:cs="Arial" w:ascii="Arial" w:hAnsi="Arial"/>
          <w:color w:val="000000"/>
          <w:sz w:val="20"/>
          <w:szCs w:val="20"/>
          <w:lang w:eastAsia="en-US"/>
        </w:rPr>
        <w:t>o art. 12 da Lei nº 8.429, de 1992</w:t>
      </w:r>
      <w:r>
        <w:rPr>
          <w:rStyle w:val="LinkdaInternet"/>
          <w:sz w:val="20"/>
          <w:szCs w:val="20"/>
          <w:rFonts w:cs="Arial" w:ascii="Arial" w:hAnsi="Arial"/>
          <w:color w:val="000000"/>
          <w:lang w:eastAsia="en-US"/>
        </w:rPr>
        <w:fldChar w:fldCharType="end"/>
      </w:r>
      <w:r>
        <w:rPr>
          <w:rFonts w:cs="Arial" w:ascii="Arial" w:hAnsi="Arial"/>
          <w:sz w:val="20"/>
          <w:szCs w:val="20"/>
        </w:rPr>
        <w:t xml:space="preserve">, nos termos do </w:t>
      </w:r>
      <w:hyperlink r:id="rId23">
        <w:r>
          <w:rPr>
            <w:rStyle w:val="LinkdaInternet"/>
            <w:rFonts w:cs="Arial" w:ascii="Arial" w:hAnsi="Arial"/>
            <w:color w:val="000000"/>
            <w:sz w:val="20"/>
            <w:szCs w:val="20"/>
            <w:lang w:eastAsia="en-US"/>
          </w:rPr>
          <w:t>Parecer JL-01, de 18 de maio de 2020.</w:t>
        </w:r>
      </w:hyperlink>
    </w:p>
    <w:p>
      <w:pPr>
        <w:pStyle w:val="Nivel2"/>
        <w:numPr>
          <w:ilvl w:val="0"/>
          <w:numId w:val="0"/>
        </w:numPr>
        <w:bidi w:val="0"/>
        <w:ind w:left="999" w:right="0" w:hanging="0"/>
        <w:rPr>
          <w:rFonts w:ascii="Arial" w:hAnsi="Arial"/>
          <w:sz w:val="20"/>
          <w:szCs w:val="20"/>
        </w:rPr>
      </w:pPr>
      <w:r>
        <w:rPr>
          <w:rFonts w:cs="Arial" w:ascii="Arial" w:hAnsi="Arial"/>
          <w:sz w:val="20"/>
          <w:szCs w:val="20"/>
        </w:rPr>
        <w:t>8.5.4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pPr>
        <w:pStyle w:val="Nivel2"/>
        <w:numPr>
          <w:ilvl w:val="0"/>
          <w:numId w:val="0"/>
        </w:numPr>
        <w:bidi w:val="0"/>
        <w:ind w:left="999" w:right="0" w:hanging="0"/>
        <w:rPr>
          <w:rFonts w:ascii="Arial" w:hAnsi="Arial"/>
          <w:sz w:val="20"/>
          <w:szCs w:val="20"/>
        </w:rPr>
      </w:pPr>
      <w:r>
        <w:rPr>
          <w:rFonts w:cs="Arial" w:ascii="Arial" w:hAnsi="Arial"/>
          <w:sz w:val="20"/>
          <w:szCs w:val="20"/>
        </w:rPr>
        <w:t>8.5.5 A cessão de crédito não afetará a execução do objeto contratado, que continuará sob a integral responsabilidade do contratado.</w:t>
      </w:r>
    </w:p>
    <w:p>
      <w:pPr>
        <w:pStyle w:val="Nivel3"/>
        <w:numPr>
          <w:ilvl w:val="0"/>
          <w:numId w:val="0"/>
        </w:numPr>
        <w:bidi w:val="0"/>
        <w:ind w:left="360" w:right="0" w:hanging="0"/>
        <w:rPr>
          <w:rFonts w:ascii="Arial" w:hAnsi="Arial" w:cs="Arial"/>
          <w:b/>
          <w:b/>
          <w:bCs/>
          <w:sz w:val="20"/>
          <w:szCs w:val="20"/>
        </w:rPr>
      </w:pPr>
      <w:r>
        <w:rPr>
          <w:rFonts w:cs="Arial" w:ascii="Arial" w:hAnsi="Arial"/>
          <w:b/>
          <w:bCs/>
          <w:sz w:val="20"/>
          <w:szCs w:val="20"/>
        </w:rPr>
        <w:t>9. FORMA E CRITÉRIOS DE SELEÇÃO DO FORNECEDOR E FORMA DE FORNECIMENTO</w:t>
      </w:r>
    </w:p>
    <w:p>
      <w:pPr>
        <w:pStyle w:val="Nivel3"/>
        <w:numPr>
          <w:ilvl w:val="0"/>
          <w:numId w:val="0"/>
        </w:numPr>
        <w:bidi w:val="0"/>
        <w:ind w:left="360" w:right="0" w:hanging="0"/>
        <w:rPr>
          <w:rFonts w:ascii="Arial" w:hAnsi="Arial" w:cs="Arial"/>
          <w:b/>
          <w:b/>
          <w:bCs/>
          <w:sz w:val="20"/>
          <w:szCs w:val="20"/>
        </w:rPr>
      </w:pPr>
      <w:r>
        <w:rPr>
          <w:rFonts w:cs="Arial" w:ascii="Arial" w:hAnsi="Arial"/>
          <w:b/>
          <w:bCs/>
          <w:sz w:val="20"/>
          <w:szCs w:val="20"/>
        </w:rPr>
        <w:t>9.1 Forma de seleção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9.1.1 O fornecedor será selecionado por meio da realização de procedimento de dispensa de licitação, na forma eletrônica, com fundamento na hipótese do art. 75, inciso II da Lei n.º 14.133/2021, que culminará com a seleção da proposta de menor preço por item.</w:t>
      </w:r>
    </w:p>
    <w:p>
      <w:pPr>
        <w:pStyle w:val="Nivel2"/>
        <w:numPr>
          <w:ilvl w:val="0"/>
          <w:numId w:val="0"/>
        </w:numPr>
        <w:bidi w:val="0"/>
        <w:ind w:left="999" w:right="0" w:hanging="0"/>
        <w:rPr>
          <w:rFonts w:ascii="Arial" w:hAnsi="Arial"/>
          <w:sz w:val="20"/>
          <w:szCs w:val="20"/>
        </w:rPr>
      </w:pPr>
      <w:r>
        <w:rPr>
          <w:rFonts w:cs="Arial" w:ascii="Arial" w:hAnsi="Arial"/>
          <w:sz w:val="20"/>
          <w:szCs w:val="20"/>
        </w:rPr>
        <w:t xml:space="preserve">9.1.2 As exigências de habilitação jurídica, </w:t>
      </w:r>
      <w:r>
        <w:rPr>
          <w:rFonts w:eastAsia="WenQuanYi Micro Hei" w:cs="Arial" w:ascii="Arial" w:hAnsi="Arial"/>
          <w:sz w:val="20"/>
          <w:szCs w:val="20"/>
          <w:lang w:eastAsia="zh-CN" w:bidi="hi-IN"/>
        </w:rPr>
        <w:t xml:space="preserve">fiscal, social e trabalhista </w:t>
      </w:r>
      <w:r>
        <w:rPr>
          <w:rFonts w:cs="Arial" w:ascii="Arial" w:hAnsi="Arial"/>
          <w:sz w:val="20"/>
          <w:szCs w:val="20"/>
        </w:rPr>
        <w:t>são as usuais para a generalidade dos objetos, conforme disciplinado no Anexo I do Aviso de Contratação Direta.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9.1.3 Os critérios de habilitação econômico-financeira a serem atendidos pelo fornecedor estão previstos no Anexo I do Aviso de Contratação Direta.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9.1.4 Os critérios de habilitação técnica a serem atendidos pelo fornecedor estão previstos no Anexo I do Aviso de Contratação Direta.</w:t>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9.2 Forma de fornecimento</w:t>
      </w:r>
    </w:p>
    <w:p>
      <w:pPr>
        <w:pStyle w:val="Nivel2"/>
        <w:numPr>
          <w:ilvl w:val="0"/>
          <w:numId w:val="0"/>
        </w:numPr>
        <w:bidi w:val="0"/>
        <w:ind w:left="999" w:right="0" w:hanging="0"/>
        <w:rPr/>
      </w:pPr>
      <w:r>
        <w:rPr>
          <w:rStyle w:val="Normaltextrun"/>
          <w:rFonts w:cs="Arial" w:ascii="Arial" w:hAnsi="Arial"/>
          <w:color w:val="000000"/>
          <w:sz w:val="20"/>
          <w:szCs w:val="20"/>
          <w:shd w:fill="FFFFFF" w:val="clear"/>
        </w:rPr>
        <w:t xml:space="preserve">9.2.1 O </w:t>
      </w:r>
      <w:r>
        <w:rPr>
          <w:rStyle w:val="Findhit"/>
          <w:rFonts w:cs="Arial" w:ascii="Arial" w:hAnsi="Arial"/>
          <w:color w:val="000000"/>
          <w:sz w:val="20"/>
          <w:szCs w:val="20"/>
          <w:shd w:fill="FFFFFF" w:val="clear"/>
        </w:rPr>
        <w:t xml:space="preserve">fornecimento do objeto será </w:t>
      </w:r>
      <w:r>
        <w:rPr>
          <w:rFonts w:cs="Arial" w:ascii="Arial" w:hAnsi="Arial"/>
          <w:sz w:val="20"/>
          <w:szCs w:val="20"/>
        </w:rPr>
        <w:t>integral</w:t>
      </w:r>
      <w:r>
        <w:rPr>
          <w:rFonts w:cs="Arial" w:ascii="Arial" w:hAnsi="Arial"/>
          <w:sz w:val="20"/>
          <w:szCs w:val="20"/>
          <w:shd w:fill="FFFFFF" w:val="clear"/>
        </w:rPr>
        <w:t>.</w:t>
      </w:r>
    </w:p>
    <w:p>
      <w:pPr>
        <w:pStyle w:val="Nivel01"/>
        <w:numPr>
          <w:ilvl w:val="0"/>
          <w:numId w:val="0"/>
        </w:numPr>
        <w:bidi w:val="0"/>
        <w:ind w:left="360" w:right="0" w:hanging="0"/>
        <w:rPr>
          <w:rFonts w:ascii="Arial" w:hAnsi="Arial"/>
          <w:b/>
          <w:b/>
          <w:bCs/>
          <w:sz w:val="20"/>
          <w:szCs w:val="20"/>
        </w:rPr>
      </w:pPr>
      <w:r>
        <w:rPr>
          <w:rFonts w:cs="Arial" w:ascii="Arial" w:hAnsi="Arial"/>
          <w:b/>
          <w:bCs/>
          <w:sz w:val="20"/>
          <w:szCs w:val="20"/>
        </w:rPr>
        <w:t>9.3 Exigências de habilitação</w:t>
      </w:r>
    </w:p>
    <w:p>
      <w:pPr>
        <w:pStyle w:val="Nivel2"/>
        <w:numPr>
          <w:ilvl w:val="0"/>
          <w:numId w:val="0"/>
        </w:numPr>
        <w:bidi w:val="0"/>
        <w:ind w:left="999" w:right="0" w:hanging="0"/>
        <w:rPr>
          <w:rFonts w:ascii="Arial" w:hAnsi="Arial"/>
          <w:sz w:val="20"/>
          <w:szCs w:val="20"/>
        </w:rPr>
      </w:pPr>
      <w:r>
        <w:rPr>
          <w:rFonts w:cs="Arial" w:ascii="Arial" w:hAnsi="Arial"/>
          <w:sz w:val="20"/>
          <w:szCs w:val="20"/>
        </w:rPr>
        <w:t xml:space="preserve">9.3.1 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Standard"/>
        <w:bidi w:val="0"/>
        <w:spacing w:lineRule="auto" w:line="276" w:before="120" w:after="120"/>
        <w:ind w:left="810" w:right="0" w:hanging="0"/>
        <w:jc w:val="both"/>
        <w:rPr>
          <w:rFonts w:ascii="Arial" w:hAnsi="Arial" w:eastAsia="Arial" w:cs="Arial"/>
          <w:i/>
          <w:i/>
          <w:iCs/>
          <w:sz w:val="20"/>
          <w:szCs w:val="20"/>
        </w:rPr>
      </w:pPr>
      <w:r>
        <w:rPr>
          <w:rFonts w:eastAsia="Arial" w:cs="Arial" w:ascii="Arial" w:hAnsi="Arial"/>
          <w:i/>
          <w:iCs/>
          <w:sz w:val="20"/>
          <w:szCs w:val="20"/>
        </w:rPr>
        <w:t xml:space="preserve">a) SICAF;  </w:t>
      </w:r>
    </w:p>
    <w:p>
      <w:pPr>
        <w:pStyle w:val="Standard"/>
        <w:bidi w:val="0"/>
        <w:spacing w:lineRule="auto" w:line="276" w:before="120" w:after="120"/>
        <w:ind w:left="810" w:right="0" w:hanging="0"/>
        <w:jc w:val="both"/>
        <w:rPr/>
      </w:pPr>
      <w:r>
        <w:rPr>
          <w:rFonts w:eastAsia="Arial" w:cs="Arial" w:ascii="Arial" w:hAnsi="Arial"/>
          <w:i/>
          <w:iCs/>
          <w:sz w:val="20"/>
          <w:szCs w:val="20"/>
        </w:rPr>
        <w:t>b) Cadastro Nacional de Empresas Inidôneas e Suspensas - CEIS, mantido pela Controladoria-Geral da União (</w:t>
      </w:r>
      <w:hyperlink r:id="rId24">
        <w:r>
          <w:rPr>
            <w:rStyle w:val="LinkdaInternet"/>
            <w:rFonts w:eastAsia="Arial" w:cs="Arial" w:ascii="Arial" w:hAnsi="Arial"/>
            <w:i/>
            <w:iCs/>
            <w:color w:val="000000"/>
            <w:sz w:val="20"/>
            <w:szCs w:val="20"/>
          </w:rPr>
          <w:t>www.portaldatransparencia.gov.br/ceis</w:t>
        </w:r>
      </w:hyperlink>
      <w:r>
        <w:rPr>
          <w:rFonts w:eastAsia="Arial" w:cs="Arial" w:ascii="Arial" w:hAnsi="Arial"/>
          <w:i/>
          <w:iCs/>
          <w:sz w:val="20"/>
          <w:szCs w:val="20"/>
        </w:rPr>
        <w:t xml:space="preserve">);  </w:t>
      </w:r>
    </w:p>
    <w:p>
      <w:pPr>
        <w:pStyle w:val="Standard"/>
        <w:bidi w:val="0"/>
        <w:spacing w:lineRule="auto" w:line="276" w:before="120" w:after="120"/>
        <w:ind w:left="810" w:right="0" w:hanging="0"/>
        <w:jc w:val="both"/>
        <w:rPr/>
      </w:pPr>
      <w:r>
        <w:rPr>
          <w:rFonts w:eastAsia="Arial" w:cs="Arial" w:ascii="Arial" w:hAnsi="Arial"/>
          <w:i/>
          <w:iCs/>
          <w:sz w:val="20"/>
          <w:szCs w:val="20"/>
        </w:rPr>
        <w:t>c) Cadastro Nacional de Empresas Punidas – CNEP, mantido pela Controladoria-Geral da União (</w:t>
      </w:r>
      <w:hyperlink r:id="rId25">
        <w:r>
          <w:rPr>
            <w:rStyle w:val="LinkdaInternet"/>
            <w:rFonts w:eastAsia="Arial" w:cs="Arial" w:ascii="Arial" w:hAnsi="Arial"/>
            <w:i/>
            <w:iCs/>
            <w:color w:val="000000"/>
            <w:sz w:val="20"/>
            <w:szCs w:val="20"/>
          </w:rPr>
          <w:t>https://www.portaltransparencia.gov.br/sancoes/cnep</w:t>
        </w:r>
      </w:hyperlink>
      <w:r>
        <w:rPr>
          <w:rFonts w:eastAsia="Arial" w:cs="Arial" w:ascii="Arial" w:hAnsi="Arial"/>
          <w:i/>
          <w:iCs/>
          <w:sz w:val="20"/>
          <w:szCs w:val="20"/>
        </w:rPr>
        <w:t>)</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9.3.2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9.3.3 Caso conste na Consulta de Situação do interessado a existência de Ocorrências Impeditivas Indiretas, o gestor diligenciará para verificar se houve fraude por parte das empresas apontadas no Relatório de Ocorrências Impeditivas Indiretas.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9.3.4 A tentativa de burla será verificada por meio dos vínculos societários, linhas de fornecimento similares, dentre outros.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9.3.5 O interessado será convocado para manifestação previamente a uma eventual negativa de contratação.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9.3.6 Caso atendidas as condições para contratação, a habilitação do interessado será verificada por meio do SICAF, nos documentos por ele abrangidos.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9.3.7 É dever do interessado manter atualizada a respectiva documentação constante do SICAF, ou encaminhar, quando solicitado pela Administração, a respectiva documentação atualizada.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9.3.8 Não serão aceitos documentos de habilitação com indicação de CNPJ/CPF diferentes, salvo aqueles legalmente permitidos.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9.3.10 Serão aceitos registros de CNPJ de fornecedor matriz e filial com diferenças de números de documentos pertinentes ao CND e ao CRF/FGTS, quando for comprovada a centralização do recolhimento dessas contribuições.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9.3.11 Para fins de habilitação, deverá o interessado comprovar os seguintes requisitos, que serão exigidos conforme sua natureza jurídica:</w:t>
      </w:r>
    </w:p>
    <w:p>
      <w:pPr>
        <w:pStyle w:val="Nivel01"/>
        <w:numPr>
          <w:ilvl w:val="0"/>
          <w:numId w:val="0"/>
        </w:numPr>
        <w:bidi w:val="0"/>
        <w:ind w:left="360" w:right="0" w:hanging="0"/>
        <w:rPr>
          <w:rFonts w:ascii="Arial" w:hAnsi="Arial"/>
          <w:b/>
          <w:b/>
          <w:bCs/>
          <w:sz w:val="20"/>
          <w:szCs w:val="20"/>
        </w:rPr>
      </w:pPr>
      <w:r>
        <w:rPr>
          <w:rFonts w:cs="Arial" w:ascii="Arial" w:hAnsi="Arial"/>
          <w:b/>
          <w:bCs/>
          <w:sz w:val="20"/>
          <w:szCs w:val="20"/>
        </w:rPr>
        <w:t>9.4 Habilitação jurídica</w:t>
      </w:r>
    </w:p>
    <w:p>
      <w:pPr>
        <w:pStyle w:val="Nivel2"/>
        <w:numPr>
          <w:ilvl w:val="0"/>
          <w:numId w:val="0"/>
        </w:numPr>
        <w:bidi w:val="0"/>
        <w:ind w:left="999" w:right="0" w:hanging="0"/>
        <w:rPr>
          <w:rFonts w:ascii="Arial" w:hAnsi="Arial"/>
          <w:sz w:val="20"/>
          <w:szCs w:val="20"/>
        </w:rPr>
      </w:pPr>
      <w:r>
        <w:rPr>
          <w:rFonts w:cs="Arial" w:ascii="Arial" w:hAnsi="Arial"/>
          <w:b w:val="false"/>
          <w:bCs w:val="false"/>
          <w:sz w:val="20"/>
          <w:szCs w:val="20"/>
        </w:rPr>
        <w:t xml:space="preserve">9.4.1 </w:t>
      </w:r>
      <w:bookmarkStart w:id="73" w:name="_Ref115800561"/>
      <w:r>
        <w:rPr>
          <w:rFonts w:cs="Arial" w:ascii="Arial" w:hAnsi="Arial"/>
          <w:b w:val="false"/>
          <w:bCs w:val="false"/>
          <w:sz w:val="20"/>
          <w:szCs w:val="20"/>
        </w:rPr>
        <w:t>Pessoa física: cédula de identidade (RG) ou documento equivalente que, por força de lei, tenha validade para fins de identificação em todo o território nacional;</w:t>
      </w:r>
      <w:bookmarkEnd w:id="73"/>
    </w:p>
    <w:p>
      <w:pPr>
        <w:pStyle w:val="Nivel2"/>
        <w:numPr>
          <w:ilvl w:val="0"/>
          <w:numId w:val="0"/>
        </w:numPr>
        <w:bidi w:val="0"/>
        <w:ind w:left="999" w:right="0" w:hanging="0"/>
        <w:rPr>
          <w:rFonts w:ascii="Arial" w:hAnsi="Arial" w:cs="Arial"/>
          <w:b w:val="false"/>
          <w:b w:val="false"/>
          <w:bCs w:val="false"/>
          <w:sz w:val="20"/>
          <w:szCs w:val="20"/>
        </w:rPr>
      </w:pPr>
      <w:r>
        <w:rPr>
          <w:rFonts w:cs="Arial" w:ascii="Arial" w:hAnsi="Arial"/>
          <w:b w:val="false"/>
          <w:bCs w:val="false"/>
          <w:sz w:val="20"/>
          <w:szCs w:val="20"/>
        </w:rPr>
        <w:t>9.4.2 Empresário individual: inscrição no Registro Público de Empresas Mercantis, a cargo da Junta Comercial da respectiva sede;</w:t>
      </w:r>
    </w:p>
    <w:p>
      <w:pPr>
        <w:pStyle w:val="Nivel2"/>
        <w:numPr>
          <w:ilvl w:val="0"/>
          <w:numId w:val="0"/>
        </w:numPr>
        <w:bidi w:val="0"/>
        <w:ind w:left="999" w:right="0" w:hanging="0"/>
        <w:rPr/>
      </w:pPr>
      <w:r>
        <w:rPr>
          <w:rFonts w:cs="Arial" w:ascii="Arial" w:hAnsi="Arial"/>
          <w:b w:val="false"/>
          <w:bCs w:val="false"/>
          <w:sz w:val="20"/>
          <w:szCs w:val="20"/>
        </w:rPr>
        <w:t xml:space="preserve">9.4.3 Microempreendedor Individual - MEI: Certificado da Condição de Microempreendedor Individual - CCMEI, cuja aceitação ficará condicionada à verificação da autenticidade no sítio </w:t>
      </w:r>
      <w:hyperlink r:id="rId26">
        <w:r>
          <w:rPr>
            <w:rStyle w:val="LinkdaInternet"/>
            <w:rFonts w:cs="Arial" w:ascii="Arial" w:hAnsi="Arial"/>
            <w:b w:val="false"/>
            <w:bCs w:val="false"/>
            <w:color w:val="000000"/>
            <w:sz w:val="20"/>
            <w:szCs w:val="20"/>
          </w:rPr>
          <w:t>https://www.gov.br/empresas-e-negocios/pt-br/empreendedor</w:t>
        </w:r>
      </w:hyperlink>
      <w:r>
        <w:rPr>
          <w:rFonts w:cs="Arial" w:ascii="Arial" w:hAnsi="Arial"/>
          <w:b w:val="false"/>
          <w:bCs w:val="false"/>
          <w:sz w:val="20"/>
          <w:szCs w:val="20"/>
        </w:rPr>
        <w:t>;</w:t>
      </w:r>
    </w:p>
    <w:p>
      <w:pPr>
        <w:pStyle w:val="Nivel2"/>
        <w:numPr>
          <w:ilvl w:val="0"/>
          <w:numId w:val="0"/>
        </w:numPr>
        <w:bidi w:val="0"/>
        <w:ind w:left="999" w:right="0" w:hanging="0"/>
        <w:rPr>
          <w:rFonts w:ascii="Arial" w:hAnsi="Arial"/>
          <w:sz w:val="20"/>
          <w:szCs w:val="20"/>
        </w:rPr>
      </w:pPr>
      <w:r>
        <w:rPr>
          <w:rFonts w:cs="Arial" w:ascii="Arial" w:hAnsi="Arial"/>
          <w:b w:val="false"/>
          <w:bCs w:val="false"/>
          <w:sz w:val="20"/>
          <w:szCs w:val="20"/>
        </w:rPr>
        <w:t>9.4.4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bidi w:val="0"/>
        <w:ind w:left="999" w:right="0" w:hanging="0"/>
        <w:rPr/>
      </w:pPr>
      <w:r>
        <w:rPr>
          <w:rFonts w:cs="Arial" w:ascii="Arial" w:hAnsi="Arial"/>
          <w:b w:val="false"/>
          <w:bCs w:val="false"/>
          <w:sz w:val="20"/>
          <w:szCs w:val="20"/>
        </w:rPr>
        <w:t xml:space="preserve">9.4.5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Pr>
            <w:rStyle w:val="LinkdaInternet"/>
            <w:rFonts w:cs="Arial" w:ascii="Arial" w:hAnsi="Arial"/>
            <w:b w:val="false"/>
            <w:bCs w:val="false"/>
            <w:color w:val="000000"/>
            <w:sz w:val="20"/>
            <w:szCs w:val="20"/>
          </w:rPr>
          <w:t>Normativa DREI/ME n.º 77, de 18 de março de 2020</w:t>
        </w:r>
      </w:hyperlink>
      <w:r>
        <w:rPr>
          <w:rFonts w:cs="Arial" w:ascii="Arial" w:hAnsi="Arial"/>
          <w:b w:val="false"/>
          <w:bCs w:val="false"/>
          <w:sz w:val="20"/>
          <w:szCs w:val="20"/>
        </w:rPr>
        <w:t>.</w:t>
      </w:r>
    </w:p>
    <w:p>
      <w:pPr>
        <w:pStyle w:val="Nivel2"/>
        <w:numPr>
          <w:ilvl w:val="0"/>
          <w:numId w:val="0"/>
        </w:numPr>
        <w:bidi w:val="0"/>
        <w:ind w:left="999" w:right="0" w:hanging="0"/>
        <w:rPr>
          <w:rFonts w:ascii="Arial" w:hAnsi="Arial" w:cs="Arial"/>
          <w:b w:val="false"/>
          <w:b w:val="false"/>
          <w:bCs w:val="false"/>
          <w:sz w:val="20"/>
          <w:szCs w:val="20"/>
        </w:rPr>
      </w:pPr>
      <w:r>
        <w:rPr>
          <w:rFonts w:cs="Arial" w:ascii="Arial" w:hAnsi="Arial"/>
          <w:b w:val="false"/>
          <w:bCs w:val="false"/>
          <w:sz w:val="20"/>
          <w:szCs w:val="20"/>
        </w:rPr>
        <w:t>9.4.6 Sociedade simples: inscrição do ato constitutivo no Registro Civil de Pessoas Jurídicas do local de sua sede, acompanhada de documento comprobatório de seus administradores;</w:t>
      </w:r>
    </w:p>
    <w:p>
      <w:pPr>
        <w:pStyle w:val="Nivel2"/>
        <w:numPr>
          <w:ilvl w:val="0"/>
          <w:numId w:val="0"/>
        </w:numPr>
        <w:bidi w:val="0"/>
        <w:ind w:left="999" w:right="0" w:hanging="0"/>
        <w:rPr>
          <w:rFonts w:ascii="Arial" w:hAnsi="Arial"/>
          <w:sz w:val="20"/>
          <w:szCs w:val="20"/>
        </w:rPr>
      </w:pPr>
      <w:r>
        <w:rPr>
          <w:rFonts w:cs="Arial" w:ascii="Arial" w:hAnsi="Arial"/>
          <w:b w:val="false"/>
          <w:bCs w:val="false"/>
          <w:sz w:val="20"/>
          <w:szCs w:val="20"/>
        </w:rPr>
        <w:t xml:space="preserve">9.4.7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74" w:name="_Int_ySfCXwr4"/>
      <w:r>
        <w:rPr>
          <w:rFonts w:cs="Arial" w:ascii="Arial" w:hAnsi="Arial"/>
          <w:b w:val="false"/>
          <w:bCs w:val="false"/>
          <w:sz w:val="20"/>
          <w:szCs w:val="20"/>
        </w:rPr>
        <w:t>Mercantis onde</w:t>
      </w:r>
      <w:bookmarkEnd w:id="74"/>
      <w:r>
        <w:rPr>
          <w:rFonts w:cs="Arial" w:ascii="Arial" w:hAnsi="Arial"/>
          <w:b w:val="false"/>
          <w:bCs w:val="false"/>
          <w:sz w:val="20"/>
          <w:szCs w:val="20"/>
        </w:rPr>
        <w:t xml:space="preserve"> opera, com averbação no Registro onde tem sede a matriz</w:t>
      </w:r>
    </w:p>
    <w:p>
      <w:pPr>
        <w:pStyle w:val="Nivel2"/>
        <w:numPr>
          <w:ilvl w:val="0"/>
          <w:numId w:val="0"/>
        </w:numPr>
        <w:bidi w:val="0"/>
        <w:ind w:left="999" w:right="0" w:hanging="0"/>
        <w:rPr/>
      </w:pPr>
      <w:r>
        <w:rPr>
          <w:rFonts w:cs="Arial" w:ascii="Arial" w:hAnsi="Arial"/>
          <w:b w:val="false"/>
          <w:bCs w:val="false"/>
          <w:sz w:val="20"/>
          <w:szCs w:val="20"/>
        </w:rPr>
        <w:t xml:space="preserve">9.4.8 Sociedade cooperativa: ata de fundação e estatuto social, com a ata da assembleia que o aprovou, devidamente arquivado na Junta Comercial ou inscrito no Registro Civil das Pessoas Jurídicas da respectiva sede, além do registro de que trata o </w:t>
      </w:r>
      <w:r>
        <w:fldChar w:fldCharType="begin"/>
      </w:r>
      <w:r>
        <w:rPr>
          <w:rStyle w:val="LinkdaInternet"/>
          <w:sz w:val="20"/>
          <w:b w:val="false"/>
          <w:szCs w:val="20"/>
          <w:bCs w:val="false"/>
          <w:rFonts w:cs="Arial" w:ascii="Arial" w:hAnsi="Arial"/>
          <w:color w:val="000000"/>
        </w:rPr>
        <w:instrText xml:space="preserve"> HYPERLINK "https://www.planalto.gov.br/ccivil_03/leis/l5764.htm" \l "art107"</w:instrText>
      </w:r>
      <w:r>
        <w:rPr>
          <w:rStyle w:val="LinkdaInternet"/>
          <w:sz w:val="20"/>
          <w:b w:val="false"/>
          <w:szCs w:val="20"/>
          <w:bCs w:val="false"/>
          <w:rFonts w:cs="Arial" w:ascii="Arial" w:hAnsi="Arial"/>
          <w:color w:val="000000"/>
        </w:rPr>
        <w:fldChar w:fldCharType="separate"/>
      </w:r>
      <w:r>
        <w:rPr>
          <w:rStyle w:val="LinkdaInternet"/>
          <w:rFonts w:cs="Arial" w:ascii="Arial" w:hAnsi="Arial"/>
          <w:b w:val="false"/>
          <w:bCs w:val="false"/>
          <w:color w:val="000000"/>
          <w:sz w:val="20"/>
          <w:szCs w:val="20"/>
        </w:rPr>
        <w:t>art. 107 da Lei nº 5.764, de 16 de dezembro 1971</w:t>
      </w:r>
      <w:r>
        <w:rPr>
          <w:rStyle w:val="LinkdaInternet"/>
          <w:sz w:val="20"/>
          <w:b w:val="false"/>
          <w:szCs w:val="20"/>
          <w:bCs w:val="false"/>
          <w:rFonts w:cs="Arial" w:ascii="Arial" w:hAnsi="Arial"/>
          <w:color w:val="000000"/>
        </w:rPr>
        <w:fldChar w:fldCharType="end"/>
      </w:r>
      <w:r>
        <w:rPr>
          <w:rFonts w:cs="Arial" w:ascii="Arial" w:hAnsi="Arial"/>
          <w:b w:val="false"/>
          <w:bCs w:val="false"/>
          <w:sz w:val="20"/>
          <w:szCs w:val="20"/>
        </w:rPr>
        <w:t>.</w:t>
      </w:r>
    </w:p>
    <w:p>
      <w:pPr>
        <w:pStyle w:val="Nivel2"/>
        <w:numPr>
          <w:ilvl w:val="0"/>
          <w:numId w:val="0"/>
        </w:numPr>
        <w:bidi w:val="0"/>
        <w:ind w:left="999" w:right="0" w:hanging="0"/>
        <w:rPr/>
      </w:pPr>
      <w:r>
        <w:rPr>
          <w:rFonts w:cs="Arial" w:ascii="Arial" w:hAnsi="Arial"/>
          <w:b w:val="false"/>
          <w:bCs w:val="false"/>
          <w:sz w:val="20"/>
          <w:szCs w:val="20"/>
        </w:rPr>
        <w:t>9.4.9 Agricultor familiar: Declaração de Aptidão ao Pronaf – DAP ou DAP-P válida, ou, ainda, outros documentos definidos pela Secretaria Especial de Agricultura Familiar e do Desenvolvimento Agrário, nos termos do</w:t>
      </w:r>
      <w:r>
        <w:fldChar w:fldCharType="begin"/>
      </w:r>
      <w:r>
        <w:rPr>
          <w:rStyle w:val="LinkdaInternet"/>
          <w:sz w:val="20"/>
          <w:b w:val="false"/>
          <w:szCs w:val="20"/>
          <w:bCs w:val="false"/>
          <w:rFonts w:cs="Arial" w:ascii="Arial" w:hAnsi="Arial"/>
          <w:color w:val="000000"/>
        </w:rPr>
        <w:instrText xml:space="preserve"> HYPERLINK "https://www.planalto.gov.br/ccivil_03/_ato2019-2022/2021/decreto/d10880.htm" \l "art4§2"</w:instrText>
      </w:r>
      <w:r>
        <w:rPr>
          <w:rStyle w:val="LinkdaInternet"/>
          <w:sz w:val="20"/>
          <w:b w:val="false"/>
          <w:szCs w:val="20"/>
          <w:bCs w:val="false"/>
          <w:rFonts w:cs="Arial" w:ascii="Arial" w:hAnsi="Arial"/>
          <w:color w:val="000000"/>
        </w:rPr>
        <w:fldChar w:fldCharType="separate"/>
      </w:r>
      <w:r>
        <w:rPr>
          <w:rStyle w:val="LinkdaInternet"/>
          <w:rFonts w:cs="Arial" w:ascii="Arial" w:hAnsi="Arial"/>
          <w:b w:val="false"/>
          <w:bCs w:val="false"/>
          <w:color w:val="000000"/>
          <w:sz w:val="20"/>
          <w:szCs w:val="20"/>
        </w:rPr>
        <w:t xml:space="preserve"> art. 4º, §2º do Decreto nº 10.880, de 2 de dezembro de 2021</w:t>
      </w:r>
      <w:r>
        <w:rPr>
          <w:rStyle w:val="LinkdaInternet"/>
          <w:sz w:val="20"/>
          <w:b w:val="false"/>
          <w:szCs w:val="20"/>
          <w:bCs w:val="false"/>
          <w:rFonts w:cs="Arial" w:ascii="Arial" w:hAnsi="Arial"/>
          <w:color w:val="000000"/>
        </w:rPr>
        <w:fldChar w:fldCharType="end"/>
      </w:r>
      <w:r>
        <w:rPr>
          <w:rFonts w:cs="Arial" w:ascii="Arial" w:hAnsi="Arial"/>
          <w:b w:val="false"/>
          <w:bCs w:val="false"/>
          <w:sz w:val="20"/>
          <w:szCs w:val="20"/>
        </w:rPr>
        <w:t>.</w:t>
      </w:r>
    </w:p>
    <w:p>
      <w:pPr>
        <w:pStyle w:val="Nivel2"/>
        <w:numPr>
          <w:ilvl w:val="0"/>
          <w:numId w:val="0"/>
        </w:numPr>
        <w:bidi w:val="0"/>
        <w:ind w:left="999" w:right="0" w:hanging="0"/>
        <w:rPr/>
      </w:pPr>
      <w:r>
        <w:rPr>
          <w:rFonts w:cs="Arial" w:ascii="Arial" w:hAnsi="Arial"/>
          <w:b w:val="false"/>
          <w:bCs w:val="false"/>
          <w:sz w:val="20"/>
          <w:szCs w:val="20"/>
        </w:rPr>
        <w:t xml:space="preserve">9.4.10 Produtor Rural: matrícula no Cadastro Específico do INSS – CEI, que comprove a qualificação como produtor rural pessoa física, nos termos da </w:t>
      </w:r>
      <w:hyperlink r:id="rId28">
        <w:r>
          <w:rPr>
            <w:rStyle w:val="LinkdaInternet"/>
            <w:rFonts w:cs="Arial" w:ascii="Arial" w:hAnsi="Arial"/>
            <w:b w:val="false"/>
            <w:bCs w:val="false"/>
            <w:color w:val="000000"/>
            <w:sz w:val="20"/>
            <w:szCs w:val="20"/>
          </w:rPr>
          <w:t>Instrução Normativa RFB n. 971, de 13 de novembro de 2009</w:t>
        </w:r>
      </w:hyperlink>
      <w:r>
        <w:rPr>
          <w:rFonts w:cs="Arial" w:ascii="Arial" w:hAnsi="Arial"/>
          <w:b w:val="false"/>
          <w:bCs w:val="false"/>
          <w:sz w:val="20"/>
          <w:szCs w:val="20"/>
        </w:rPr>
        <w:t xml:space="preserve"> (arts. 17 a 19 e 165).</w:t>
      </w:r>
    </w:p>
    <w:p>
      <w:pPr>
        <w:pStyle w:val="Nivel2"/>
        <w:numPr>
          <w:ilvl w:val="0"/>
          <w:numId w:val="0"/>
        </w:numPr>
        <w:bidi w:val="0"/>
        <w:ind w:left="999" w:right="0" w:hanging="0"/>
        <w:rPr>
          <w:rFonts w:ascii="Arial" w:hAnsi="Arial"/>
          <w:sz w:val="20"/>
          <w:szCs w:val="20"/>
        </w:rPr>
      </w:pPr>
      <w:r>
        <w:rPr>
          <w:rFonts w:cs="Arial" w:ascii="Arial" w:hAnsi="Arial"/>
          <w:b w:val="false"/>
          <w:bCs w:val="false"/>
          <w:sz w:val="20"/>
          <w:szCs w:val="20"/>
        </w:rPr>
        <w:t xml:space="preserve">9.4.11 Ato de autorização para o exercício da atividade de FORNECIMENTO DE GÊNEROS ALIMENTÍCIOS, expedido pelo órgão competente, deverá ser disponibilizado pela empresa contratada nos termos do art.66. </w:t>
      </w:r>
    </w:p>
    <w:p>
      <w:pPr>
        <w:pStyle w:val="Nivel2"/>
        <w:numPr>
          <w:ilvl w:val="0"/>
          <w:numId w:val="0"/>
        </w:numPr>
        <w:bidi w:val="0"/>
        <w:ind w:left="999" w:right="0" w:hanging="0"/>
        <w:rPr>
          <w:rFonts w:ascii="Arial" w:hAnsi="Arial" w:cs="Arial"/>
          <w:b w:val="false"/>
          <w:b w:val="false"/>
          <w:bCs w:val="false"/>
          <w:sz w:val="20"/>
          <w:szCs w:val="20"/>
        </w:rPr>
      </w:pPr>
      <w:r>
        <w:rPr>
          <w:rFonts w:cs="Arial" w:ascii="Arial" w:hAnsi="Arial"/>
          <w:b w:val="false"/>
          <w:bCs w:val="false"/>
          <w:sz w:val="20"/>
          <w:szCs w:val="20"/>
        </w:rPr>
        <w:t>9.4.12 Os documentos apresentados deverão estar acompanhados de todas as alterações ou da consolidação respectiva.</w:t>
      </w:r>
    </w:p>
    <w:p>
      <w:pPr>
        <w:pStyle w:val="Nivel01"/>
        <w:numPr>
          <w:ilvl w:val="0"/>
          <w:numId w:val="0"/>
        </w:numPr>
        <w:bidi w:val="0"/>
        <w:ind w:left="360" w:right="0" w:hanging="0"/>
        <w:rPr>
          <w:rFonts w:ascii="Arial" w:hAnsi="Arial" w:cs="Arial"/>
          <w:b/>
          <w:b/>
          <w:bCs/>
          <w:sz w:val="20"/>
          <w:szCs w:val="20"/>
        </w:rPr>
      </w:pPr>
      <w:r>
        <w:rPr>
          <w:rFonts w:cs="Arial" w:ascii="Arial" w:hAnsi="Arial"/>
          <w:b/>
          <w:bCs/>
          <w:sz w:val="20"/>
          <w:szCs w:val="20"/>
        </w:rPr>
        <w:t>9.5 Habilitação fiscal, social e trabalhista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9.5.1 Prova de inscrição no Cadastro Nacional de Pessoas Jurídicas ou no Cadastro de Pessoas Físicas, conforme o caso;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9.5.2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9.5.3 Prova de regularidade com o Fundo de Garantia do Tempo de Serviço (FGTS);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9.5.4 declaração de que não emprega menor de 18 anos em trabalho noturno, perigoso ou insalubre e não emprega menor de 16 anos, salvo menor, a partir de 14 anos, na condição de aprendiz, nos termos do artigo 7°, XXXIII, da Constituição;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9.5.5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bidi w:val="0"/>
        <w:ind w:left="999" w:right="0" w:hanging="0"/>
        <w:rPr>
          <w:rFonts w:ascii="Arial" w:hAnsi="Arial"/>
          <w:sz w:val="20"/>
          <w:szCs w:val="20"/>
        </w:rPr>
      </w:pPr>
      <w:r>
        <w:rPr>
          <w:rFonts w:cs="Arial" w:ascii="Arial" w:hAnsi="Arial"/>
          <w:sz w:val="20"/>
          <w:szCs w:val="20"/>
        </w:rPr>
        <w:t xml:space="preserve">9.5.6 Prova de inscrição no cadastro de contribuintes </w:t>
      </w:r>
      <w:r>
        <w:rPr>
          <w:rFonts w:cs="Arial" w:ascii="Arial" w:hAnsi="Arial"/>
          <w:i/>
          <w:iCs/>
          <w:sz w:val="20"/>
          <w:szCs w:val="20"/>
        </w:rPr>
        <w:t>[Estadual/Distrital]</w:t>
      </w:r>
      <w:r>
        <w:rPr>
          <w:rFonts w:cs="Arial" w:ascii="Arial" w:hAnsi="Arial"/>
          <w:sz w:val="20"/>
          <w:szCs w:val="20"/>
        </w:rPr>
        <w:t xml:space="preserve"> ou </w:t>
      </w:r>
      <w:r>
        <w:rPr>
          <w:rFonts w:cs="Arial" w:ascii="Arial" w:hAnsi="Arial"/>
          <w:i/>
          <w:iCs/>
          <w:sz w:val="20"/>
          <w:szCs w:val="20"/>
        </w:rPr>
        <w:t>[Municipal/Distrital]</w:t>
      </w:r>
      <w:r>
        <w:rPr>
          <w:rFonts w:cs="Arial" w:ascii="Arial" w:hAnsi="Arial"/>
          <w:sz w:val="20"/>
          <w:szCs w:val="20"/>
        </w:rPr>
        <w:t xml:space="preserve"> relativo ao domicílio ou sede do fornecedor, pertinente ao seu ramo de atividade e compatível com o objeto contratual;</w:t>
      </w:r>
    </w:p>
    <w:p>
      <w:pPr>
        <w:pStyle w:val="Nivel2"/>
        <w:numPr>
          <w:ilvl w:val="0"/>
          <w:numId w:val="0"/>
        </w:numPr>
        <w:bidi w:val="0"/>
        <w:ind w:left="999" w:right="0" w:hanging="0"/>
        <w:rPr>
          <w:rFonts w:ascii="Arial" w:hAnsi="Arial"/>
          <w:sz w:val="20"/>
          <w:szCs w:val="20"/>
        </w:rPr>
      </w:pPr>
      <w:r>
        <w:rPr>
          <w:rFonts w:cs="Arial" w:ascii="Arial" w:hAnsi="Arial"/>
          <w:sz w:val="20"/>
          <w:szCs w:val="20"/>
        </w:rPr>
        <w:t xml:space="preserve">9.5.7 Prova de regularidade com a Fazenda </w:t>
      </w:r>
      <w:r>
        <w:rPr>
          <w:rFonts w:cs="Arial" w:ascii="Arial" w:hAnsi="Arial"/>
          <w:i/>
          <w:iCs/>
          <w:sz w:val="20"/>
          <w:szCs w:val="20"/>
        </w:rPr>
        <w:t>[Estadual/Distrital] ou [Municipal/Distrital]</w:t>
      </w:r>
      <w:r>
        <w:rPr>
          <w:rFonts w:cs="Arial" w:ascii="Arial" w:hAnsi="Arial"/>
          <w:sz w:val="20"/>
          <w:szCs w:val="20"/>
        </w:rPr>
        <w:t xml:space="preserve"> do domicílio ou sede do fornecedor, relativa à atividade em cujo exercício contrata ou concorre;</w:t>
      </w:r>
    </w:p>
    <w:p>
      <w:pPr>
        <w:pStyle w:val="Nivel2"/>
        <w:numPr>
          <w:ilvl w:val="0"/>
          <w:numId w:val="0"/>
        </w:numPr>
        <w:bidi w:val="0"/>
        <w:ind w:left="999" w:right="0" w:hanging="0"/>
        <w:rPr>
          <w:rFonts w:ascii="Arial" w:hAnsi="Arial"/>
          <w:sz w:val="20"/>
          <w:szCs w:val="20"/>
        </w:rPr>
      </w:pPr>
      <w:r>
        <w:rPr>
          <w:rFonts w:cs="Arial" w:ascii="Arial" w:hAnsi="Arial"/>
          <w:sz w:val="20"/>
          <w:szCs w:val="20"/>
        </w:rPr>
        <w:t xml:space="preserve">9.5.8 Caso o fornecedor seja considerado isento dos tributos </w:t>
      </w:r>
      <w:r>
        <w:rPr>
          <w:rFonts w:cs="Arial" w:ascii="Arial" w:hAnsi="Arial"/>
          <w:i/>
          <w:iCs/>
          <w:sz w:val="20"/>
          <w:szCs w:val="20"/>
        </w:rPr>
        <w:t>[Estadual/Distrital] ou [Municipal/Distrital]</w:t>
      </w:r>
      <w:r>
        <w:rPr>
          <w:rFonts w:cs="Arial" w:ascii="Arial" w:hAnsi="Arial"/>
          <w:sz w:val="20"/>
          <w:szCs w:val="20"/>
        </w:rPr>
        <w:t xml:space="preserve"> relacionados ao objeto contratual, deverá comprovar tal condição mediante a apresentação de declaração da Fazenda respectiva do seu domicílio ou sede, ou outra equivalente, na forma da lei.</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9.5.9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ivel01"/>
        <w:numPr>
          <w:ilvl w:val="0"/>
          <w:numId w:val="0"/>
        </w:numPr>
        <w:bidi w:val="0"/>
        <w:ind w:left="360" w:right="0" w:hanging="0"/>
        <w:rPr>
          <w:rFonts w:ascii="Arial" w:hAnsi="Arial"/>
          <w:b/>
          <w:b/>
          <w:bCs/>
          <w:sz w:val="20"/>
          <w:szCs w:val="20"/>
        </w:rPr>
      </w:pPr>
      <w:r>
        <w:rPr>
          <w:rFonts w:cs="Arial" w:ascii="Arial" w:hAnsi="Arial"/>
          <w:b/>
          <w:bCs/>
          <w:sz w:val="20"/>
          <w:szCs w:val="20"/>
        </w:rPr>
        <w:t>9.6 Qualificação Econômico-Financeira</w:t>
      </w:r>
    </w:p>
    <w:p>
      <w:pPr>
        <w:pStyle w:val="Nivel2"/>
        <w:numPr>
          <w:ilvl w:val="0"/>
          <w:numId w:val="0"/>
        </w:numPr>
        <w:bidi w:val="0"/>
        <w:ind w:left="999" w:right="0" w:hanging="0"/>
        <w:rPr/>
      </w:pPr>
      <w:r>
        <w:rPr>
          <w:rFonts w:cs="Arial" w:ascii="Arial" w:hAnsi="Arial"/>
          <w:sz w:val="20"/>
          <w:szCs w:val="20"/>
        </w:rPr>
        <w:t>9.6.1 Certidão negativa de insolvência civil expedida pelo distribuidor do domicílio ou sede do interessado, caso se trate de pessoa física, desde que admitida a sua contratação (</w:t>
      </w:r>
      <w:r>
        <w:fldChar w:fldCharType="begin"/>
      </w:r>
      <w:r>
        <w:rPr>
          <w:rStyle w:val="LinkdaInternet"/>
          <w:sz w:val="20"/>
          <w:szCs w:val="20"/>
          <w:rFonts w:cs="Arial" w:ascii="Arial" w:hAnsi="Arial"/>
          <w:color w:val="000000"/>
        </w:rPr>
        <w:instrText xml:space="preserve"> HYPERLINK "https://www.gov.br/compras/pt-br/acesso-a-informacao/legislacao/instrucoes-normativas/instrucao-normativa-seges-me-no-116-de-21-de-dezembro-de-2021" \l "art5"</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art. 5º, inciso II, alínea “c”, da Instrução Normativa Seges/ME nº 116, de 2021</w:t>
      </w:r>
      <w:r>
        <w:rPr>
          <w:rStyle w:val="LinkdaInternet"/>
          <w:sz w:val="20"/>
          <w:szCs w:val="20"/>
          <w:rFonts w:cs="Arial" w:ascii="Arial" w:hAnsi="Arial"/>
          <w:color w:val="000000"/>
        </w:rPr>
        <w:fldChar w:fldCharType="end"/>
      </w:r>
      <w:r>
        <w:rPr>
          <w:rFonts w:cs="Arial" w:ascii="Arial" w:hAnsi="Arial"/>
          <w:sz w:val="20"/>
          <w:szCs w:val="20"/>
        </w:rPr>
        <w:t>), ou de sociedade simples;</w:t>
      </w:r>
    </w:p>
    <w:p>
      <w:pPr>
        <w:pStyle w:val="Nivel2"/>
        <w:numPr>
          <w:ilvl w:val="0"/>
          <w:numId w:val="0"/>
        </w:numPr>
        <w:bidi w:val="0"/>
        <w:ind w:left="999" w:right="0" w:hanging="0"/>
        <w:rPr/>
      </w:pPr>
      <w:r>
        <w:rPr>
          <w:rFonts w:cs="Arial" w:ascii="Arial" w:hAnsi="Arial"/>
          <w:sz w:val="20"/>
          <w:szCs w:val="20"/>
        </w:rPr>
        <w:t xml:space="preserve">9.6.2 Certidão negativa de falência expedida pelo distribuidor da sede do fornecedor - </w:t>
      </w:r>
      <w:r>
        <w:fldChar w:fldCharType="begin"/>
      </w:r>
      <w:r>
        <w:rPr>
          <w:rStyle w:val="LinkdaInternet"/>
          <w:sz w:val="20"/>
          <w:szCs w:val="20"/>
          <w:rFonts w:cs="Arial" w:ascii="Arial" w:hAnsi="Arial"/>
          <w:color w:val="000000"/>
        </w:rPr>
        <w:instrText xml:space="preserve"> HYPERLINK "http://www.planalto.gov.br/ccivil_03/_ato2019-2022/2021/lei/L14133.htm" \l "art69"</w:instrText>
      </w:r>
      <w:r>
        <w:rPr>
          <w:rStyle w:val="LinkdaInternet"/>
          <w:sz w:val="20"/>
          <w:szCs w:val="20"/>
          <w:rFonts w:cs="Arial" w:ascii="Arial" w:hAnsi="Arial"/>
          <w:color w:val="000000"/>
        </w:rPr>
        <w:fldChar w:fldCharType="separate"/>
      </w:r>
      <w:r>
        <w:rPr>
          <w:rStyle w:val="LinkdaInternet"/>
          <w:rFonts w:cs="Arial" w:ascii="Arial" w:hAnsi="Arial"/>
          <w:color w:val="000000"/>
          <w:sz w:val="20"/>
          <w:szCs w:val="20"/>
        </w:rPr>
        <w:t>Lei nº 14.133, de 2021, art. 69, caput, inciso II</w:t>
      </w:r>
      <w:r>
        <w:rPr>
          <w:rStyle w:val="LinkdaInternet"/>
          <w:sz w:val="20"/>
          <w:szCs w:val="20"/>
          <w:rFonts w:cs="Arial" w:ascii="Arial" w:hAnsi="Arial"/>
          <w:color w:val="000000"/>
        </w:rPr>
        <w:fldChar w:fldCharType="end"/>
      </w:r>
      <w:r>
        <w:rPr>
          <w:rFonts w:cs="Arial" w:ascii="Arial" w:hAnsi="Arial"/>
          <w:sz w:val="20"/>
          <w:szCs w:val="20"/>
        </w:rPr>
        <w:t>);</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9.6.3 Balanço patrimonial, demonstração de resultado de exercício e demais demonstrações contábeis dos 2 (dois) últimos exercícios sociais, comprovando;</w:t>
      </w:r>
    </w:p>
    <w:p>
      <w:pPr>
        <w:pStyle w:val="Nivel3"/>
        <w:numPr>
          <w:ilvl w:val="0"/>
          <w:numId w:val="0"/>
        </w:numPr>
        <w:bidi w:val="0"/>
        <w:spacing w:lineRule="auto" w:line="276"/>
        <w:ind w:left="2065" w:right="0" w:hanging="0"/>
        <w:rPr>
          <w:rFonts w:ascii="Arial" w:hAnsi="Arial" w:cs="Arial"/>
          <w:color w:val="000000"/>
          <w:sz w:val="20"/>
          <w:szCs w:val="20"/>
        </w:rPr>
      </w:pPr>
      <w:r>
        <w:rPr>
          <w:rFonts w:cs="Arial" w:ascii="Arial" w:hAnsi="Arial"/>
          <w:color w:val="000000"/>
          <w:sz w:val="20"/>
          <w:szCs w:val="20"/>
        </w:rPr>
        <w:t>9.6.3.1 índices de Liquidez Geral (LG), Liquidez Corrente (LC), e Solvência Geral (SG) superiores a 1 (um);</w:t>
      </w:r>
    </w:p>
    <w:p>
      <w:pPr>
        <w:pStyle w:val="Nivel3"/>
        <w:numPr>
          <w:ilvl w:val="0"/>
          <w:numId w:val="0"/>
        </w:numPr>
        <w:bidi w:val="0"/>
        <w:spacing w:lineRule="auto" w:line="276"/>
        <w:ind w:left="2065" w:right="0" w:hanging="0"/>
        <w:rPr>
          <w:rFonts w:ascii="Arial" w:hAnsi="Arial" w:cs="Arial"/>
          <w:color w:val="000000"/>
          <w:sz w:val="20"/>
          <w:szCs w:val="20"/>
        </w:rPr>
      </w:pPr>
      <w:r>
        <w:rPr>
          <w:rFonts w:cs="Arial" w:ascii="Arial" w:hAnsi="Arial"/>
          <w:color w:val="000000"/>
          <w:sz w:val="20"/>
          <w:szCs w:val="20"/>
        </w:rPr>
        <w:t>9.6.3.2 As empresas criadas no exercício financeiro da contratação direta deverão atender a todas as exigências da habilitação e poderão substituir os demonstrativos contábeis pelo balanço de abertura.</w:t>
      </w:r>
    </w:p>
    <w:p>
      <w:pPr>
        <w:pStyle w:val="Nivel3"/>
        <w:numPr>
          <w:ilvl w:val="0"/>
          <w:numId w:val="0"/>
        </w:numPr>
        <w:bidi w:val="0"/>
        <w:spacing w:lineRule="auto" w:line="276"/>
        <w:ind w:left="2065" w:right="0" w:hanging="0"/>
        <w:rPr>
          <w:rFonts w:ascii="Arial" w:hAnsi="Arial" w:cs="Arial"/>
          <w:color w:val="000000"/>
          <w:sz w:val="20"/>
          <w:szCs w:val="20"/>
        </w:rPr>
      </w:pPr>
      <w:r>
        <w:rPr>
          <w:rFonts w:cs="Arial" w:ascii="Arial" w:hAnsi="Arial"/>
          <w:color w:val="000000"/>
          <w:sz w:val="20"/>
          <w:szCs w:val="20"/>
        </w:rPr>
        <w:t>9.6.3.3 Os documentos referidos acima limitar-se-ão ao último exercício no caso de a pessoa jurídica ter sido constituída há menos de 2 (dois) anos;</w:t>
      </w:r>
    </w:p>
    <w:p>
      <w:pPr>
        <w:pStyle w:val="Nivel3"/>
        <w:numPr>
          <w:ilvl w:val="0"/>
          <w:numId w:val="0"/>
        </w:numPr>
        <w:bidi w:val="0"/>
        <w:spacing w:lineRule="auto" w:line="276"/>
        <w:ind w:left="2065" w:right="0" w:hanging="0"/>
        <w:rPr>
          <w:rFonts w:ascii="Arial" w:hAnsi="Arial" w:cs="Arial"/>
          <w:color w:val="000000"/>
          <w:sz w:val="20"/>
          <w:szCs w:val="20"/>
        </w:rPr>
      </w:pPr>
      <w:r>
        <w:rPr>
          <w:rFonts w:cs="Arial" w:ascii="Arial" w:hAnsi="Arial"/>
          <w:color w:val="000000"/>
          <w:sz w:val="20"/>
          <w:szCs w:val="20"/>
        </w:rPr>
        <w:t>9.6.3.4 Os documentos referidos acima deverão ser exigidos com base no limite definido pela Receita Federal do Brasil para transmissão da Escrituração Contábil Digital - ECD ao Sped.</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9.6.4 As empresas criadas no exercício financeiro da contratação direta deverão atender a todas as exigências da habilitação e poderão substituir os demonstrativos contábeis pelo balanço de abertura. (Lei nº 14.133, de 2021, art. 65, §1º).</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9.6.5 O atendimento dos índices econômicos previstos neste item deverá ser atestado mediante declaração assinada por profissional habilitado da área contábil, apresentada pelo fornecedor.</w:t>
      </w:r>
    </w:p>
    <w:p>
      <w:pPr>
        <w:pStyle w:val="Nivel01"/>
        <w:numPr>
          <w:ilvl w:val="0"/>
          <w:numId w:val="0"/>
        </w:numPr>
        <w:bidi w:val="0"/>
        <w:ind w:left="360" w:right="0" w:hanging="0"/>
        <w:rPr>
          <w:rFonts w:ascii="Arial" w:hAnsi="Arial"/>
          <w:b/>
          <w:b/>
          <w:bCs/>
          <w:sz w:val="20"/>
          <w:szCs w:val="20"/>
        </w:rPr>
      </w:pPr>
      <w:r>
        <w:rPr>
          <w:rFonts w:cs="Arial" w:ascii="Arial" w:hAnsi="Arial"/>
          <w:b/>
          <w:bCs/>
          <w:sz w:val="20"/>
          <w:szCs w:val="20"/>
        </w:rPr>
        <w:t>9.7 Qualificação Técnica</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9.7.1 Declaração de que o interessado tomou conhecimento de todas as informações e das condições locais para o cumprimento das obrigações objeto da contratação;</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9.7.2 A declaração acima poderá ser substituída por declaração formal assinada pelo responsável técnico do interessado acerca do conhecimento pleno das condições e peculiaridades da contratação.</w:t>
      </w:r>
    </w:p>
    <w:p>
      <w:pPr>
        <w:pStyle w:val="Nivel2"/>
        <w:numPr>
          <w:ilvl w:val="0"/>
          <w:numId w:val="0"/>
        </w:numPr>
        <w:bidi w:val="0"/>
        <w:ind w:left="999" w:right="0" w:hanging="0"/>
        <w:rPr>
          <w:rFonts w:ascii="Arial" w:hAnsi="Arial" w:cs="Arial"/>
          <w:sz w:val="20"/>
          <w:szCs w:val="20"/>
          <w:lang w:bidi="hi-IN"/>
        </w:rPr>
      </w:pPr>
      <w:r>
        <w:rPr>
          <w:rFonts w:cs="Arial" w:ascii="Arial" w:hAnsi="Arial"/>
          <w:sz w:val="20"/>
          <w:szCs w:val="20"/>
          <w:lang w:bidi="hi-IN"/>
        </w:rPr>
        <w:t>9.7.3 Registro ou inscrição da empresa na entidade profissional em plena validade;</w:t>
      </w:r>
    </w:p>
    <w:p>
      <w:pPr>
        <w:pStyle w:val="Nvel3R"/>
        <w:numPr>
          <w:ilvl w:val="0"/>
          <w:numId w:val="0"/>
        </w:numPr>
        <w:bidi w:val="0"/>
        <w:spacing w:lineRule="auto" w:line="276"/>
        <w:ind w:left="2065" w:right="0" w:hanging="0"/>
        <w:rPr>
          <w:rFonts w:ascii="Arial" w:hAnsi="Arial"/>
          <w:sz w:val="20"/>
          <w:szCs w:val="20"/>
        </w:rPr>
      </w:pPr>
      <w:r>
        <w:rPr>
          <w:rFonts w:cs="Arial"/>
          <w:color w:val="000000"/>
          <w:sz w:val="20"/>
          <w:szCs w:val="20"/>
        </w:rPr>
        <w:t xml:space="preserve">9.7.3.1 </w:t>
      </w:r>
      <w:r>
        <w:rPr>
          <w:rFonts w:eastAsia="Arial" w:cs="Arial"/>
          <w:i/>
          <w:iCs/>
          <w:color w:val="000000"/>
          <w:sz w:val="20"/>
          <w:szCs w:val="20"/>
          <w:lang w:val="pt-BR" w:eastAsia="zh-CN" w:bidi="ar-SA"/>
        </w:rPr>
        <w:t>Será exigido</w:t>
      </w:r>
      <w:r>
        <w:rPr>
          <w:rFonts w:cs="Arial"/>
          <w:color w:val="000000"/>
          <w:sz w:val="20"/>
          <w:szCs w:val="20"/>
        </w:rPr>
        <w:t xml:space="preserve"> atestado de capacidade técnica de organizações militares, com quantitativo igual ou superior ao objeto dessa contratação, que tenham sido realizados num prazo máximo de 2 anos.</w:t>
      </w:r>
    </w:p>
    <w:p>
      <w:pPr>
        <w:pStyle w:val="Nvel3R"/>
        <w:numPr>
          <w:ilvl w:val="0"/>
          <w:numId w:val="0"/>
        </w:numPr>
        <w:bidi w:val="0"/>
        <w:spacing w:lineRule="auto" w:line="276"/>
        <w:ind w:left="2065" w:right="0" w:hanging="0"/>
        <w:rPr>
          <w:rFonts w:ascii="Arial" w:hAnsi="Arial" w:cs="Arial"/>
          <w:color w:val="000000"/>
          <w:sz w:val="20"/>
          <w:szCs w:val="20"/>
        </w:rPr>
      </w:pPr>
      <w:r>
        <w:rPr>
          <w:rFonts w:cs="Arial"/>
          <w:color w:val="000000"/>
          <w:sz w:val="20"/>
          <w:szCs w:val="20"/>
        </w:rPr>
        <w:t>9.7.3.2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ivel2"/>
        <w:numPr>
          <w:ilvl w:val="0"/>
          <w:numId w:val="0"/>
        </w:numPr>
        <w:bidi w:val="0"/>
        <w:ind w:left="999" w:right="0" w:hanging="0"/>
        <w:rPr>
          <w:rFonts w:ascii="Arial" w:hAnsi="Arial" w:cs="Arial"/>
          <w:sz w:val="20"/>
          <w:szCs w:val="20"/>
        </w:rPr>
      </w:pPr>
      <w:r>
        <w:rPr>
          <w:rFonts w:cs="Arial" w:ascii="Arial" w:hAnsi="Arial"/>
          <w:sz w:val="20"/>
          <w:szCs w:val="20"/>
        </w:rPr>
        <w:t>9.7.4 Caso admitida a participação de cooperativas, será exigida a seguinte documentação complementar:</w:t>
      </w:r>
    </w:p>
    <w:p>
      <w:pPr>
        <w:pStyle w:val="Nivel3"/>
        <w:numPr>
          <w:ilvl w:val="0"/>
          <w:numId w:val="0"/>
        </w:numPr>
        <w:bidi w:val="0"/>
        <w:spacing w:lineRule="auto" w:line="276"/>
        <w:ind w:left="1781" w:right="0" w:hanging="0"/>
        <w:rPr>
          <w:rFonts w:ascii="Arial" w:hAnsi="Arial" w:cs="Arial"/>
          <w:color w:val="000000"/>
          <w:sz w:val="20"/>
          <w:szCs w:val="20"/>
        </w:rPr>
      </w:pPr>
      <w:r>
        <w:rPr>
          <w:rFonts w:cs="Arial" w:ascii="Arial" w:hAnsi="Arial"/>
          <w:color w:val="000000"/>
          <w:sz w:val="20"/>
          <w:szCs w:val="20"/>
        </w:rPr>
        <w:t>9.7.5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pPr>
        <w:pStyle w:val="Nivel3"/>
        <w:numPr>
          <w:ilvl w:val="0"/>
          <w:numId w:val="0"/>
        </w:numPr>
        <w:bidi w:val="0"/>
        <w:spacing w:lineRule="auto" w:line="276"/>
        <w:ind w:left="1781" w:right="0" w:hanging="0"/>
        <w:rPr>
          <w:rFonts w:ascii="Arial" w:hAnsi="Arial" w:cs="Arial"/>
          <w:color w:val="000000"/>
          <w:sz w:val="20"/>
          <w:szCs w:val="20"/>
        </w:rPr>
      </w:pPr>
      <w:r>
        <w:rPr>
          <w:rFonts w:cs="Arial" w:ascii="Arial" w:hAnsi="Arial"/>
          <w:color w:val="000000"/>
          <w:sz w:val="20"/>
          <w:szCs w:val="20"/>
        </w:rPr>
        <w:t>9.7.6 A declaração de regularidade de situação do contribuinte individual – DRSCI, para cada um dos cooperados indicados;</w:t>
      </w:r>
    </w:p>
    <w:p>
      <w:pPr>
        <w:pStyle w:val="Nivel3"/>
        <w:numPr>
          <w:ilvl w:val="0"/>
          <w:numId w:val="0"/>
        </w:numPr>
        <w:bidi w:val="0"/>
        <w:spacing w:lineRule="auto" w:line="276"/>
        <w:ind w:left="1781" w:right="0" w:hanging="0"/>
        <w:rPr>
          <w:rFonts w:ascii="Arial" w:hAnsi="Arial" w:cs="Arial"/>
          <w:color w:val="000000"/>
          <w:sz w:val="20"/>
          <w:szCs w:val="20"/>
        </w:rPr>
      </w:pPr>
      <w:r>
        <w:rPr>
          <w:rFonts w:cs="Arial" w:ascii="Arial" w:hAnsi="Arial"/>
          <w:color w:val="000000"/>
          <w:sz w:val="20"/>
          <w:szCs w:val="20"/>
        </w:rPr>
        <w:t>9.7.7 A comprovação do capital social proporcional ao número de cooperados necessários à execução contratual;</w:t>
      </w:r>
    </w:p>
    <w:p>
      <w:pPr>
        <w:pStyle w:val="Nivel3"/>
        <w:numPr>
          <w:ilvl w:val="0"/>
          <w:numId w:val="0"/>
        </w:numPr>
        <w:bidi w:val="0"/>
        <w:spacing w:lineRule="auto" w:line="276"/>
        <w:ind w:left="1781" w:right="0" w:hanging="0"/>
        <w:rPr>
          <w:rFonts w:ascii="Arial" w:hAnsi="Arial" w:cs="Arial"/>
          <w:color w:val="000000"/>
          <w:sz w:val="20"/>
          <w:szCs w:val="20"/>
        </w:rPr>
      </w:pPr>
      <w:r>
        <w:rPr>
          <w:rFonts w:cs="Arial" w:ascii="Arial" w:hAnsi="Arial"/>
          <w:color w:val="000000"/>
          <w:sz w:val="20"/>
          <w:szCs w:val="20"/>
        </w:rPr>
        <w:t>9.7.8 O registro previsto na Lei n. 5.764, de 1971, art. 107;</w:t>
      </w:r>
    </w:p>
    <w:p>
      <w:pPr>
        <w:pStyle w:val="Nivel3"/>
        <w:numPr>
          <w:ilvl w:val="0"/>
          <w:numId w:val="0"/>
        </w:numPr>
        <w:bidi w:val="0"/>
        <w:spacing w:lineRule="auto" w:line="276"/>
        <w:ind w:left="1781" w:right="0" w:hanging="0"/>
        <w:rPr>
          <w:rFonts w:ascii="Arial" w:hAnsi="Arial" w:cs="Arial"/>
          <w:color w:val="000000"/>
          <w:sz w:val="20"/>
          <w:szCs w:val="20"/>
        </w:rPr>
      </w:pPr>
      <w:r>
        <w:rPr>
          <w:rFonts w:cs="Arial" w:ascii="Arial" w:hAnsi="Arial"/>
          <w:color w:val="000000"/>
          <w:sz w:val="20"/>
          <w:szCs w:val="20"/>
        </w:rPr>
        <w:t>9.7.9 A comprovação de integração das respectivas quotas-partes por parte dos cooperados que executarão o contrato; e</w:t>
      </w:r>
    </w:p>
    <w:p>
      <w:pPr>
        <w:pStyle w:val="Nivel3"/>
        <w:numPr>
          <w:ilvl w:val="0"/>
          <w:numId w:val="0"/>
        </w:numPr>
        <w:bidi w:val="0"/>
        <w:spacing w:lineRule="auto" w:line="276"/>
        <w:ind w:left="1781" w:right="0" w:hanging="0"/>
        <w:rPr>
          <w:rFonts w:ascii="Arial" w:hAnsi="Arial" w:cs="Arial"/>
          <w:color w:val="000000"/>
          <w:sz w:val="20"/>
          <w:szCs w:val="20"/>
        </w:rPr>
      </w:pPr>
      <w:r>
        <w:rPr>
          <w:rFonts w:cs="Arial" w:ascii="Arial" w:hAnsi="Arial"/>
          <w:color w:val="000000"/>
          <w:sz w:val="20"/>
          <w:szCs w:val="20"/>
        </w:rPr>
        <w:t>9.7.10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w:t>
      </w:r>
    </w:p>
    <w:p>
      <w:pPr>
        <w:pStyle w:val="Nivel3"/>
        <w:numPr>
          <w:ilvl w:val="0"/>
          <w:numId w:val="0"/>
        </w:numPr>
        <w:bidi w:val="0"/>
        <w:spacing w:lineRule="auto" w:line="276"/>
        <w:ind w:left="1781" w:right="0" w:hanging="0"/>
        <w:rPr>
          <w:rFonts w:ascii="Arial" w:hAnsi="Arial"/>
          <w:sz w:val="20"/>
          <w:szCs w:val="20"/>
        </w:rPr>
      </w:pPr>
      <w:r>
        <w:rPr>
          <w:rFonts w:cs="Arial" w:ascii="Arial" w:hAnsi="Arial"/>
          <w:color w:val="000000"/>
          <w:sz w:val="20"/>
          <w:szCs w:val="20"/>
        </w:rPr>
        <w:t xml:space="preserve">9.7.11 A última auditoria contábil-financeira da cooperativa, conforme dispõe o art. 112 da Lei n. 5.764, de 1971, ou uma declaração, sob as penas da lei, de que tal auditoria não </w:t>
      </w:r>
      <w:r>
        <w:rPr>
          <w:rFonts w:cs="Arial" w:ascii="Arial" w:hAnsi="Arial"/>
          <w:sz w:val="20"/>
          <w:szCs w:val="20"/>
        </w:rPr>
        <w:t>foi exigida pelo órgão fiscalizador.</w:t>
      </w:r>
    </w:p>
    <w:p>
      <w:pPr>
        <w:pStyle w:val="Nivel3"/>
        <w:numPr>
          <w:ilvl w:val="0"/>
          <w:numId w:val="0"/>
        </w:numPr>
        <w:bidi w:val="0"/>
        <w:spacing w:lineRule="auto" w:line="276"/>
        <w:ind w:left="1781" w:right="0" w:hanging="0"/>
        <w:rPr>
          <w:rFonts w:ascii="Arial" w:hAnsi="Arial" w:cs="Arial"/>
          <w:sz w:val="20"/>
          <w:szCs w:val="20"/>
        </w:rPr>
      </w:pPr>
      <w:r>
        <w:rPr>
          <w:rFonts w:cs="Arial" w:ascii="Arial" w:hAnsi="Arial"/>
          <w:sz w:val="20"/>
          <w:szCs w:val="20"/>
        </w:rPr>
      </w:r>
    </w:p>
    <w:p>
      <w:pPr>
        <w:pStyle w:val="Nivel3"/>
        <w:numPr>
          <w:ilvl w:val="0"/>
          <w:numId w:val="0"/>
        </w:numPr>
        <w:bidi w:val="0"/>
        <w:ind w:left="360" w:right="0" w:hanging="0"/>
        <w:rPr>
          <w:rFonts w:ascii="Arial" w:hAnsi="Arial"/>
          <w:sz w:val="20"/>
          <w:szCs w:val="20"/>
        </w:rPr>
      </w:pPr>
      <w:r>
        <w:rPr>
          <w:rFonts w:cs="Arial" w:ascii="Arial" w:hAnsi="Arial"/>
          <w:b/>
          <w:bCs/>
          <w:sz w:val="20"/>
          <w:szCs w:val="20"/>
        </w:rPr>
        <w:t>10.</w:t>
      </w:r>
      <w:r>
        <w:rPr>
          <w:rFonts w:cs="Arial" w:ascii="Arial" w:hAnsi="Arial"/>
          <w:sz w:val="20"/>
          <w:szCs w:val="20"/>
        </w:rPr>
        <w:t xml:space="preserve"> </w:t>
      </w:r>
      <w:r>
        <w:rPr>
          <w:rFonts w:cs="Arial" w:ascii="Arial" w:hAnsi="Arial"/>
          <w:b/>
          <w:bCs/>
          <w:sz w:val="20"/>
          <w:szCs w:val="20"/>
        </w:rPr>
        <w:t>ESTIMATIVAS DO VALOR DA CONTRATAÇÃO</w:t>
      </w:r>
    </w:p>
    <w:p>
      <w:pPr>
        <w:pStyle w:val="PargrafodaLista"/>
        <w:widowControl/>
        <w:numPr>
          <w:ilvl w:val="0"/>
          <w:numId w:val="0"/>
        </w:numPr>
        <w:tabs>
          <w:tab w:val="left" w:pos="855" w:leader="none"/>
        </w:tabs>
        <w:suppressAutoHyphens w:val="false"/>
        <w:bidi w:val="0"/>
        <w:spacing w:lineRule="auto" w:line="276" w:before="120" w:after="120"/>
        <w:ind w:left="1719" w:right="0" w:hanging="0"/>
        <w:jc w:val="both"/>
        <w:textAlignment w:val="baseline"/>
        <w:rPr>
          <w:rFonts w:ascii="Arial" w:hAnsi="Arial" w:eastAsia="Arial" w:cs="Arial"/>
          <w:i w:val="false"/>
          <w:i w:val="false"/>
          <w:iCs w:val="false"/>
          <w:color w:val="000000"/>
          <w:kern w:val="0"/>
          <w:sz w:val="20"/>
          <w:szCs w:val="20"/>
          <w:lang w:val="pt-BR" w:eastAsia="zh-CN" w:bidi="ar-SA"/>
        </w:rPr>
      </w:pPr>
      <w:r>
        <w:rPr>
          <w:rFonts w:eastAsia="Arial" w:cs="Arial" w:ascii="Arial" w:hAnsi="Arial"/>
          <w:i w:val="false"/>
          <w:iCs w:val="false"/>
          <w:color w:val="000000"/>
          <w:kern w:val="0"/>
          <w:sz w:val="20"/>
          <w:szCs w:val="20"/>
          <w:lang w:val="pt-BR" w:eastAsia="zh-CN" w:bidi="ar-SA"/>
        </w:rPr>
        <w:t>10.1 O custo estimado total da contratação é</w:t>
      </w:r>
      <w:r>
        <w:rPr>
          <w:rFonts w:eastAsia="Arial" w:cs="Arial" w:ascii="Arial" w:hAnsi="Arial"/>
          <w:i w:val="false"/>
          <w:iCs w:val="false"/>
          <w:color w:val="000000"/>
          <w:kern w:val="0"/>
          <w:sz w:val="20"/>
          <w:szCs w:val="20"/>
          <w:shd w:fill="auto" w:val="clear"/>
          <w:lang w:val="pt-BR" w:eastAsia="zh-CN" w:bidi="ar-SA"/>
        </w:rPr>
        <w:t xml:space="preserve"> de </w:t>
      </w:r>
      <w:r>
        <w:rPr>
          <w:rFonts w:eastAsia="Arial" w:cs="Arial" w:ascii="Arial" w:hAnsi="Arial"/>
          <w:b/>
          <w:bCs/>
          <w:i w:val="false"/>
          <w:iCs w:val="false"/>
          <w:strike w:val="false"/>
          <w:dstrike w:val="false"/>
          <w:outline w:val="false"/>
          <w:shadow w:val="false"/>
          <w:vanish w:val="false"/>
          <w:color w:val="000000"/>
          <w:kern w:val="0"/>
          <w:sz w:val="22"/>
          <w:szCs w:val="22"/>
          <w:u w:val="none"/>
          <w:shd w:fill="auto" w:val="clear"/>
          <w:em w:val="none"/>
          <w:lang w:val="pt-BR" w:eastAsia="zh-CN" w:bidi="ar-SA"/>
        </w:rPr>
        <w:t>R$ 19.975,00</w:t>
      </w:r>
      <w:r>
        <w:rPr>
          <w:rFonts w:eastAsia="Arial" w:cs="Arial" w:ascii="Arial" w:hAnsi="Arial"/>
          <w:b w:val="false"/>
          <w:i w:val="false"/>
          <w:iCs w:val="false"/>
          <w:strike w:val="false"/>
          <w:dstrike w:val="false"/>
          <w:outline w:val="false"/>
          <w:shadow w:val="false"/>
          <w:vanish w:val="false"/>
          <w:color w:val="000000"/>
          <w:kern w:val="0"/>
          <w:sz w:val="20"/>
          <w:szCs w:val="20"/>
          <w:u w:val="none"/>
          <w:shd w:fill="auto" w:val="clear"/>
          <w:em w:val="none"/>
          <w:lang w:val="pt-BR" w:eastAsia="zh-CN" w:bidi="ar-SA"/>
        </w:rPr>
        <w:t xml:space="preserve"> (</w:t>
      </w:r>
      <w:r>
        <w:rPr>
          <w:rFonts w:eastAsia="Segoe UI" w:cs="Arial" w:ascii="Arial" w:hAnsi="Arial"/>
          <w:b w:val="false"/>
          <w:i w:val="false"/>
          <w:iCs w:val="false"/>
          <w:strike w:val="false"/>
          <w:dstrike w:val="false"/>
          <w:outline w:val="false"/>
          <w:shadow w:val="false"/>
          <w:vanish w:val="false"/>
          <w:color w:val="000000"/>
          <w:kern w:val="2"/>
          <w:sz w:val="20"/>
          <w:szCs w:val="20"/>
          <w:u w:val="none"/>
          <w:shd w:fill="auto" w:val="clear"/>
          <w:em w:val="none"/>
          <w:lang w:val="pt-BR" w:eastAsia="zh-CN" w:bidi="ar-SA"/>
        </w:rPr>
        <w:t>dezenove</w:t>
      </w:r>
      <w:r>
        <w:rPr>
          <w:rFonts w:eastAsia="Arial" w:cs="Arial" w:ascii="Arial" w:hAnsi="Arial"/>
          <w:b w:val="false"/>
          <w:i w:val="false"/>
          <w:iCs w:val="false"/>
          <w:strike w:val="false"/>
          <w:dstrike w:val="false"/>
          <w:outline w:val="false"/>
          <w:shadow w:val="false"/>
          <w:vanish w:val="false"/>
          <w:color w:val="000000"/>
          <w:kern w:val="0"/>
          <w:sz w:val="20"/>
          <w:szCs w:val="20"/>
          <w:u w:val="none"/>
          <w:shd w:fill="auto" w:val="clear"/>
          <w:em w:val="none"/>
          <w:lang w:val="pt-BR" w:eastAsia="zh-CN" w:bidi="ar-SA"/>
        </w:rPr>
        <w:t xml:space="preserve"> mil novecentos e setenta e cinco reais).</w:t>
      </w:r>
    </w:p>
    <w:p>
      <w:pPr>
        <w:pStyle w:val="Nivel1"/>
        <w:keepNext w:val="true"/>
        <w:keepLines/>
        <w:widowControl/>
        <w:tabs>
          <w:tab w:val="clear" w:pos="708"/>
          <w:tab w:val="left" w:pos="855" w:leader="none"/>
        </w:tabs>
        <w:suppressAutoHyphens w:val="true"/>
        <w:bidi w:val="0"/>
        <w:spacing w:lineRule="auto" w:line="240" w:before="119" w:after="119"/>
        <w:ind w:left="0" w:right="-57" w:hanging="0"/>
        <w:jc w:val="both"/>
        <w:textAlignment w:val="auto"/>
        <w:rPr>
          <w:rFonts w:ascii="Arial" w:hAnsi="Arial"/>
          <w:sz w:val="20"/>
          <w:szCs w:val="20"/>
        </w:rPr>
      </w:pPr>
      <w:r>
        <w:rPr>
          <w:rFonts w:ascii="Arial" w:hAnsi="Arial"/>
          <w:b/>
          <w:bCs/>
          <w:sz w:val="20"/>
          <w:szCs w:val="20"/>
        </w:rPr>
        <w:t xml:space="preserve">11. </w:t>
        <w:tab/>
        <w:t>DOS RECURSOS ORÇAMENTÁRIOS</w:t>
      </w:r>
    </w:p>
    <w:p>
      <w:pPr>
        <w:pStyle w:val="Nivel1"/>
        <w:widowControl/>
        <w:numPr>
          <w:ilvl w:val="0"/>
          <w:numId w:val="0"/>
        </w:numPr>
        <w:tabs>
          <w:tab w:val="clear" w:pos="708"/>
          <w:tab w:val="left" w:pos="855" w:leader="none"/>
        </w:tabs>
        <w:suppressAutoHyphens w:val="true"/>
        <w:bidi w:val="0"/>
        <w:spacing w:lineRule="auto" w:line="240" w:before="119" w:after="119"/>
        <w:ind w:left="0" w:right="-57" w:hanging="0"/>
        <w:jc w:val="both"/>
        <w:textAlignment w:val="auto"/>
        <w:rPr>
          <w:rFonts w:ascii="Arial" w:hAnsi="Arial"/>
          <w:sz w:val="20"/>
          <w:szCs w:val="20"/>
        </w:rPr>
      </w:pPr>
      <w:r>
        <w:rPr>
          <w:rFonts w:ascii="Arial" w:hAnsi="Arial"/>
          <w:sz w:val="20"/>
          <w:szCs w:val="20"/>
        </w:rPr>
      </w:r>
    </w:p>
    <w:p>
      <w:pPr>
        <w:pStyle w:val="Normal"/>
        <w:widowControl/>
        <w:suppressAutoHyphens w:val="false"/>
        <w:bidi w:val="0"/>
        <w:spacing w:lineRule="auto" w:line="240" w:before="0" w:after="0"/>
        <w:ind w:left="850" w:right="0" w:firstLine="283"/>
        <w:jc w:val="both"/>
        <w:textAlignment w:val="baseline"/>
        <w:rPr>
          <w:rFonts w:ascii="Arial" w:hAnsi="Arial"/>
          <w:sz w:val="20"/>
          <w:szCs w:val="20"/>
        </w:rPr>
      </w:pPr>
      <w:r>
        <w:rPr>
          <w:rFonts w:cs="Arial"/>
          <w:i w:val="false"/>
          <w:iCs w:val="false"/>
          <w:color w:val="000000"/>
          <w:sz w:val="20"/>
          <w:szCs w:val="20"/>
        </w:rPr>
        <w:t>Gestão/Unidade: 65704</w:t>
      </w:r>
    </w:p>
    <w:p>
      <w:pPr>
        <w:pStyle w:val="Normal"/>
        <w:widowControl/>
        <w:suppressAutoHyphens w:val="false"/>
        <w:bidi w:val="0"/>
        <w:spacing w:lineRule="auto" w:line="240" w:before="0" w:after="0"/>
        <w:ind w:left="850" w:right="0" w:firstLine="283"/>
        <w:jc w:val="both"/>
        <w:textAlignment w:val="baseline"/>
        <w:rPr>
          <w:rFonts w:ascii="Arial" w:hAnsi="Arial"/>
          <w:sz w:val="20"/>
          <w:szCs w:val="20"/>
        </w:rPr>
      </w:pPr>
      <w:r>
        <w:rPr>
          <w:rFonts w:cs="Arial"/>
          <w:i w:val="false"/>
          <w:iCs w:val="false"/>
          <w:color w:val="000000"/>
          <w:sz w:val="20"/>
          <w:szCs w:val="20"/>
        </w:rPr>
        <w:t>Fonte de Recursos: 100000000</w:t>
      </w:r>
    </w:p>
    <w:p>
      <w:pPr>
        <w:pStyle w:val="Normal"/>
        <w:widowControl/>
        <w:suppressAutoHyphens w:val="false"/>
        <w:bidi w:val="0"/>
        <w:spacing w:lineRule="auto" w:line="240" w:before="0" w:after="0"/>
        <w:ind w:left="850" w:right="0" w:firstLine="283"/>
        <w:jc w:val="both"/>
        <w:textAlignment w:val="baseline"/>
        <w:rPr>
          <w:rFonts w:ascii="Arial" w:hAnsi="Arial"/>
          <w:sz w:val="20"/>
          <w:szCs w:val="20"/>
        </w:rPr>
      </w:pPr>
      <w:r>
        <w:rPr>
          <w:rFonts w:cs="Arial"/>
          <w:i w:val="false"/>
          <w:iCs w:val="false"/>
          <w:color w:val="000000"/>
          <w:sz w:val="20"/>
          <w:szCs w:val="20"/>
        </w:rPr>
        <w:t>Programa de Trabalho: 174713</w:t>
      </w:r>
    </w:p>
    <w:p>
      <w:pPr>
        <w:pStyle w:val="Normal"/>
        <w:widowControl/>
        <w:suppressAutoHyphens w:val="false"/>
        <w:bidi w:val="0"/>
        <w:spacing w:lineRule="auto" w:line="240" w:before="0" w:after="0"/>
        <w:ind w:left="850" w:right="0" w:firstLine="283"/>
        <w:jc w:val="both"/>
        <w:textAlignment w:val="baseline"/>
        <w:rPr>
          <w:rFonts w:ascii="Arial" w:hAnsi="Arial"/>
          <w:sz w:val="20"/>
          <w:szCs w:val="20"/>
        </w:rPr>
      </w:pPr>
      <w:r>
        <w:rPr>
          <w:rFonts w:cs="Arial"/>
          <w:i w:val="false"/>
          <w:iCs w:val="false"/>
          <w:color w:val="000000"/>
          <w:sz w:val="20"/>
          <w:szCs w:val="20"/>
        </w:rPr>
        <w:t>Elemento de Despesa: 339039</w:t>
      </w:r>
    </w:p>
    <w:p>
      <w:pPr>
        <w:pStyle w:val="Normal"/>
        <w:widowControl/>
        <w:suppressAutoHyphens w:val="false"/>
        <w:bidi w:val="0"/>
        <w:spacing w:lineRule="auto" w:line="240" w:before="0" w:after="0"/>
        <w:ind w:left="850" w:right="0" w:firstLine="283"/>
        <w:jc w:val="both"/>
        <w:textAlignment w:val="baseline"/>
        <w:rPr>
          <w:rFonts w:ascii="Arial" w:hAnsi="Arial"/>
          <w:sz w:val="20"/>
          <w:szCs w:val="20"/>
        </w:rPr>
      </w:pPr>
      <w:r>
        <w:rPr>
          <w:rFonts w:cs="Arial"/>
          <w:i w:val="false"/>
          <w:iCs w:val="false"/>
          <w:color w:val="000000"/>
          <w:sz w:val="20"/>
          <w:szCs w:val="20"/>
        </w:rPr>
        <w:t xml:space="preserve">Plano Interno: </w:t>
      </w:r>
      <w:r>
        <w:rPr>
          <w:rFonts w:cs="Arial"/>
          <w:i w:val="false"/>
          <w:iCs w:val="false"/>
          <w:color w:val="C9211E"/>
          <w:sz w:val="20"/>
          <w:szCs w:val="20"/>
        </w:rPr>
        <w:t>Z4C3SLS02C1</w:t>
      </w:r>
    </w:p>
    <w:p>
      <w:pPr>
        <w:pStyle w:val="LONormal"/>
        <w:spacing w:lineRule="auto" w:line="240" w:before="119" w:after="119"/>
        <w:rPr>
          <w:rFonts w:ascii="Arial" w:hAnsi="Arial" w:cs="Calibri"/>
          <w:sz w:val="20"/>
          <w:szCs w:val="20"/>
        </w:rPr>
      </w:pPr>
      <w:r>
        <w:rPr>
          <w:rFonts w:cs="Calibri"/>
          <w:sz w:val="20"/>
          <w:szCs w:val="20"/>
        </w:rPr>
      </w:r>
    </w:p>
    <w:p>
      <w:pPr>
        <w:pStyle w:val="LONormal"/>
        <w:spacing w:lineRule="auto" w:line="240" w:before="119" w:after="119"/>
        <w:jc w:val="center"/>
        <w:rPr/>
      </w:pPr>
      <w:r>
        <w:rPr>
          <w:rStyle w:val="Fontepargpadro1"/>
          <w:rFonts w:cs="Calibri"/>
          <w:sz w:val="20"/>
          <w:szCs w:val="20"/>
        </w:rPr>
        <w:t>Rio de Janeiro, em 28 de outubro</w:t>
      </w:r>
      <w:r>
        <w:rPr>
          <w:rStyle w:val="Fontepargpadro1"/>
          <w:rFonts w:eastAsia="Arial" w:cs="Calibri"/>
          <w:color w:val="000000"/>
          <w:kern w:val="0"/>
          <w:sz w:val="20"/>
          <w:szCs w:val="20"/>
          <w:lang w:val="pt-BR" w:eastAsia="zh-CN" w:bidi="ar-SA"/>
        </w:rPr>
        <w:t xml:space="preserve"> </w:t>
      </w:r>
      <w:r>
        <w:rPr>
          <w:rStyle w:val="Fontepargpadro1"/>
          <w:rFonts w:cs="Calibri"/>
          <w:sz w:val="20"/>
          <w:szCs w:val="20"/>
        </w:rPr>
        <w:t>de 2024</w:t>
      </w:r>
    </w:p>
    <w:p>
      <w:pPr>
        <w:pStyle w:val="LONormal"/>
        <w:spacing w:lineRule="auto" w:line="240" w:before="119" w:after="119"/>
        <w:rPr>
          <w:rFonts w:ascii="Arial" w:hAnsi="Arial" w:cs="Calibri"/>
          <w:sz w:val="20"/>
          <w:szCs w:val="20"/>
        </w:rPr>
      </w:pPr>
      <w:r>
        <w:rPr>
          <w:rFonts w:cs="Calibri"/>
          <w:sz w:val="20"/>
          <w:szCs w:val="20"/>
        </w:rPr>
      </w:r>
    </w:p>
    <w:tbl>
      <w:tblPr>
        <w:tblW w:w="9074" w:type="dxa"/>
        <w:jc w:val="left"/>
        <w:tblInd w:w="0" w:type="dxa"/>
        <w:tblLayout w:type="fixed"/>
        <w:tblCellMar>
          <w:top w:w="55" w:type="dxa"/>
          <w:left w:w="55" w:type="dxa"/>
          <w:bottom w:w="55" w:type="dxa"/>
          <w:right w:w="55" w:type="dxa"/>
        </w:tblCellMar>
      </w:tblPr>
      <w:tblGrid>
        <w:gridCol w:w="9074"/>
      </w:tblGrid>
      <w:tr>
        <w:trPr/>
        <w:tc>
          <w:tcPr>
            <w:tcW w:w="9074" w:type="dxa"/>
            <w:tcBorders/>
          </w:tcPr>
          <w:p>
            <w:pPr>
              <w:pStyle w:val="Normal"/>
              <w:widowControl w:val="false"/>
              <w:jc w:val="center"/>
              <w:rPr>
                <w:rFonts w:ascii="Arial" w:hAnsi="Arial"/>
                <w:sz w:val="20"/>
                <w:szCs w:val="20"/>
              </w:rPr>
            </w:pPr>
            <w:r>
              <w:rPr>
                <w:rFonts w:cs="Times New Roman"/>
                <w:b w:val="false"/>
                <w:bCs w:val="false"/>
                <w:strike w:val="false"/>
                <w:dstrike w:val="false"/>
                <w:color w:val="000000"/>
                <w:sz w:val="20"/>
                <w:szCs w:val="20"/>
                <w:u w:val="none"/>
              </w:rPr>
              <w:t>_________________________________</w:t>
            </w:r>
          </w:p>
          <w:p>
            <w:pPr>
              <w:pStyle w:val="Normal"/>
              <w:widowControl w:val="false"/>
              <w:spacing w:lineRule="auto" w:line="276" w:before="0" w:after="0"/>
              <w:contextualSpacing/>
              <w:jc w:val="center"/>
              <w:rPr/>
            </w:pPr>
            <w:r>
              <w:rPr>
                <w:rStyle w:val="Fontepargpadro"/>
                <w:rFonts w:eastAsia="Times New Roman" w:cs="Times New Roman"/>
                <w:b w:val="false"/>
                <w:bCs w:val="false"/>
                <w:strike w:val="false"/>
                <w:dstrike w:val="false"/>
                <w:color w:val="000000"/>
                <w:kern w:val="0"/>
                <w:sz w:val="20"/>
                <w:szCs w:val="20"/>
                <w:u w:val="none"/>
                <w:lang w:val="pt-BR" w:eastAsia="zh-CN" w:bidi="ar-SA"/>
              </w:rPr>
              <w:t>RAFAELLA LEÃO DE MOURA SOARES</w:t>
            </w:r>
          </w:p>
          <w:p>
            <w:pPr>
              <w:pStyle w:val="Normal"/>
              <w:widowControl w:val="false"/>
              <w:spacing w:lineRule="auto" w:line="276" w:before="0" w:after="0"/>
              <w:contextualSpacing/>
              <w:jc w:val="center"/>
              <w:rPr/>
            </w:pPr>
            <w:r>
              <w:rPr>
                <w:rStyle w:val="Fontepargpadro"/>
                <w:rFonts w:eastAsia="Times New Roman" w:cs="Times New Roman"/>
                <w:b w:val="false"/>
                <w:bCs w:val="false"/>
                <w:strike w:val="false"/>
                <w:dstrike w:val="false"/>
                <w:color w:val="000000"/>
                <w:kern w:val="0"/>
                <w:sz w:val="20"/>
                <w:szCs w:val="20"/>
                <w:u w:val="none"/>
                <w:lang w:val="pt-BR" w:eastAsia="zh-CN" w:bidi="ar-SA"/>
              </w:rPr>
              <w:t>Segundo -Tenente (RM2-S)</w:t>
            </w:r>
          </w:p>
          <w:p>
            <w:pPr>
              <w:pStyle w:val="Normal"/>
              <w:widowControl w:val="false"/>
              <w:spacing w:lineRule="auto" w:line="276" w:before="0" w:after="0"/>
              <w:contextualSpacing/>
              <w:jc w:val="center"/>
              <w:rPr/>
            </w:pPr>
            <w:r>
              <w:rPr>
                <w:rStyle w:val="Fontepargpadro"/>
                <w:rFonts w:eastAsia="Times New Roman" w:cs="Times New Roman"/>
                <w:b w:val="false"/>
                <w:bCs w:val="false"/>
                <w:strike w:val="false"/>
                <w:dstrike w:val="false"/>
                <w:color w:val="000000"/>
                <w:kern w:val="0"/>
                <w:sz w:val="20"/>
                <w:szCs w:val="20"/>
                <w:u w:val="none"/>
                <w:lang w:val="pt-BR" w:eastAsia="zh-CN" w:bidi="ar-SA"/>
              </w:rPr>
              <w:t>Gestora de Municiamento</w:t>
            </w:r>
          </w:p>
        </w:tc>
      </w:tr>
    </w:tbl>
    <w:p>
      <w:pPr>
        <w:pStyle w:val="LONormal"/>
        <w:spacing w:lineRule="auto" w:line="240" w:before="119" w:after="119"/>
        <w:jc w:val="center"/>
        <w:rPr>
          <w:rFonts w:ascii="Calibri" w:hAnsi="Calibri" w:cs="Calibri"/>
          <w:b/>
          <w:b/>
          <w:bCs/>
          <w:sz w:val="24"/>
          <w:szCs w:val="24"/>
        </w:rPr>
      </w:pPr>
      <w:r>
        <w:rPr>
          <w:rFonts w:cs="Calibri" w:ascii="Calibri" w:hAnsi="Calibri"/>
          <w:b/>
          <w:bCs/>
          <w:sz w:val="24"/>
          <w:szCs w:val="24"/>
        </w:rPr>
      </w:r>
    </w:p>
    <w:p>
      <w:pPr>
        <w:pStyle w:val="LONormal"/>
        <w:spacing w:lineRule="auto" w:line="240" w:before="119" w:after="119"/>
        <w:jc w:val="center"/>
        <w:rPr>
          <w:rFonts w:ascii="Arial" w:hAnsi="Arial"/>
          <w:sz w:val="20"/>
          <w:szCs w:val="20"/>
        </w:rPr>
      </w:pPr>
      <w:r>
        <w:rPr>
          <w:rFonts w:cs="Calibri"/>
          <w:b/>
          <w:bCs/>
          <w:sz w:val="20"/>
          <w:szCs w:val="20"/>
        </w:rPr>
        <w:t>APROVO o presente Termo de Referência:</w:t>
      </w:r>
    </w:p>
    <w:p>
      <w:pPr>
        <w:pStyle w:val="LONormal"/>
        <w:spacing w:lineRule="auto" w:line="240" w:before="119" w:after="119"/>
        <w:jc w:val="both"/>
        <w:rPr/>
      </w:pPr>
      <w:r>
        <w:rPr>
          <w:rStyle w:val="Fontepargpadro1"/>
          <w:rFonts w:cs="Calibri"/>
          <w:sz w:val="20"/>
          <w:szCs w:val="20"/>
        </w:rPr>
        <w:t xml:space="preserve">Declaro para os devido fins, e em cumprimento ao Inc. II do Art. 16 da LC nº 101/00 que há adequação orçamentária e financeira com a lei orçamentária anual e compatibilidade com o plano plurianual e com a lei de diretrizes orçamentárias, referentes às possibilidades máximas de realização das despesas visando </w:t>
      </w:r>
      <w:r>
        <w:rPr>
          <w:rStyle w:val="Fontepargpadro1"/>
          <w:rFonts w:cs="Calibri"/>
          <w:strike w:val="false"/>
          <w:dstrike w:val="false"/>
          <w:color w:val="000000"/>
          <w:sz w:val="20"/>
          <w:szCs w:val="20"/>
        </w:rPr>
        <w:t>à aquisição do gêneros alimentícios ,</w:t>
      </w:r>
      <w:r>
        <w:rPr>
          <w:rStyle w:val="Fontepargpadro1"/>
          <w:rFonts w:cs="Calibri"/>
          <w:sz w:val="20"/>
          <w:szCs w:val="20"/>
        </w:rPr>
        <w:t xml:space="preserve"> conforme descrito neste Termo de Referência.</w:t>
      </w:r>
    </w:p>
    <w:p>
      <w:pPr>
        <w:pStyle w:val="LONormal"/>
        <w:spacing w:lineRule="auto" w:line="240" w:before="119" w:after="119"/>
        <w:jc w:val="both"/>
        <w:rPr>
          <w:rFonts w:ascii="Arial" w:hAnsi="Arial"/>
          <w:sz w:val="20"/>
          <w:szCs w:val="20"/>
        </w:rPr>
      </w:pPr>
      <w:r>
        <w:rPr>
          <w:rFonts w:cs="Calibri"/>
          <w:sz w:val="20"/>
          <w:szCs w:val="20"/>
        </w:rPr>
        <w:t>Em consequência, e observando o princípio da oportunidade, relevância e conveniência para a Administração, encaminho à Seção de Obtenção para o cumprimento das providências legais.</w:t>
      </w:r>
    </w:p>
    <w:p>
      <w:pPr>
        <w:pStyle w:val="LONormal"/>
        <w:spacing w:lineRule="auto" w:line="240" w:before="119" w:after="119"/>
        <w:jc w:val="center"/>
        <w:rPr/>
      </w:pPr>
      <w:r>
        <w:rPr>
          <w:rStyle w:val="Fontepargpadro1"/>
          <w:rFonts w:cs="Calibri"/>
          <w:sz w:val="20"/>
          <w:szCs w:val="20"/>
        </w:rPr>
        <w:t>Rio de Janeiro, em ___ de _______________ de 2024.</w:t>
      </w:r>
    </w:p>
    <w:p>
      <w:pPr>
        <w:pStyle w:val="LONormal"/>
        <w:spacing w:lineRule="auto" w:line="240" w:before="119" w:after="119"/>
        <w:jc w:val="center"/>
        <w:rPr>
          <w:rFonts w:ascii="Arial" w:hAnsi="Arial" w:cs="Calibri"/>
          <w:sz w:val="20"/>
          <w:szCs w:val="20"/>
        </w:rPr>
      </w:pPr>
      <w:r>
        <w:rPr>
          <w:rFonts w:cs="Calibri"/>
          <w:sz w:val="20"/>
          <w:szCs w:val="20"/>
        </w:rPr>
      </w:r>
    </w:p>
    <w:p>
      <w:pPr>
        <w:pStyle w:val="Normal"/>
        <w:spacing w:lineRule="auto" w:line="240" w:before="119" w:after="119"/>
        <w:jc w:val="center"/>
        <w:rPr>
          <w:rFonts w:ascii="Arial" w:hAnsi="Arial"/>
          <w:sz w:val="20"/>
          <w:szCs w:val="20"/>
        </w:rPr>
      </w:pPr>
      <w:r>
        <w:rPr>
          <w:rFonts w:cs="Times New Roman"/>
          <w:b w:val="false"/>
          <w:bCs w:val="false"/>
          <w:strike w:val="false"/>
          <w:dstrike w:val="false"/>
          <w:color w:val="000000"/>
          <w:sz w:val="20"/>
          <w:szCs w:val="20"/>
          <w:u w:val="none"/>
        </w:rPr>
        <w:t>________________________________</w:t>
      </w:r>
    </w:p>
    <w:p>
      <w:pPr>
        <w:pStyle w:val="LONormal"/>
        <w:spacing w:lineRule="auto" w:line="240" w:before="0" w:after="0"/>
        <w:jc w:val="center"/>
        <w:rPr>
          <w:rFonts w:ascii="Arial" w:hAnsi="Arial"/>
          <w:sz w:val="20"/>
          <w:szCs w:val="20"/>
        </w:rPr>
      </w:pPr>
      <w:r>
        <w:rPr>
          <w:rFonts w:cs="Calibri"/>
          <w:sz w:val="20"/>
          <w:szCs w:val="20"/>
        </w:rPr>
        <w:t>DANUZE  PEREIRA DE CARVALHO MOURA</w:t>
      </w:r>
    </w:p>
    <w:p>
      <w:pPr>
        <w:pStyle w:val="LONormal"/>
        <w:spacing w:lineRule="auto" w:line="240" w:before="0" w:after="0"/>
        <w:jc w:val="center"/>
        <w:rPr>
          <w:rFonts w:ascii="Arial" w:hAnsi="Arial"/>
          <w:sz w:val="20"/>
          <w:szCs w:val="20"/>
        </w:rPr>
      </w:pPr>
      <w:r>
        <w:rPr>
          <w:rFonts w:cs="Calibri"/>
          <w:sz w:val="20"/>
          <w:szCs w:val="20"/>
        </w:rPr>
        <w:t>Capitão de Mar e Guerra (Md)</w:t>
      </w:r>
    </w:p>
    <w:p>
      <w:pPr>
        <w:pStyle w:val="LONormal"/>
        <w:spacing w:lineRule="auto" w:line="240" w:before="0" w:after="0"/>
        <w:jc w:val="center"/>
        <w:rPr/>
      </w:pPr>
      <w:r>
        <w:rPr>
          <w:rStyle w:val="Fontepargpadro1"/>
          <w:rFonts w:eastAsia="Arial" w:cs="Calibri"/>
          <w:b/>
          <w:bCs/>
          <w:i w:val="false"/>
          <w:iCs w:val="false"/>
          <w:color w:val="000000"/>
          <w:kern w:val="0"/>
          <w:sz w:val="20"/>
          <w:szCs w:val="20"/>
          <w:lang w:val="pt-BR" w:eastAsia="zh-CN" w:bidi="ar-SA"/>
        </w:rPr>
        <w:t>Ordenadora de Despesas</w:t>
      </w:r>
    </w:p>
    <w:sectPr>
      <w:headerReference w:type="default" r:id="rId29"/>
      <w:footerReference w:type="default" r:id="rId30"/>
      <w:type w:val="nextPage"/>
      <w:pgSz w:w="11906" w:h="16838"/>
      <w:pgMar w:left="1701" w:right="1701" w:gutter="0" w:header="0"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Symbol">
    <w:charset w:val="01"/>
    <w:family w:val="roman"/>
    <w:pitch w:val="variable"/>
  </w:font>
  <w:font w:name="OpenSymbol">
    <w:altName w:val="Arial Unicode MS"/>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 w:name="Symbol">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p>
    <w:pPr>
      <w:pStyle w:val="Normal"/>
      <w:tabs>
        <w:tab w:val="clear" w:pos="708"/>
        <w:tab w:val="center" w:pos="4550" w:leader="none"/>
        <w:tab w:val="left" w:pos="5818" w:leader="none"/>
      </w:tabs>
      <w:ind w:left="0" w:right="260" w:hanging="0"/>
      <w:jc w:val="right"/>
      <w:rPr/>
    </w:pPr>
    <w:r>
      <w:rPr>
        <w:color w:val="8496B0"/>
        <w:spacing w:val="60"/>
        <w:sz w:val="18"/>
        <w:szCs w:val="18"/>
      </w:rPr>
      <w:t>Página</w:t>
    </w:r>
    <w:r>
      <w:rPr>
        <w:color w:val="8496B0"/>
        <w:sz w:val="18"/>
        <w:szCs w:val="18"/>
      </w:rPr>
      <w:t xml:space="preserve"> </w:t>
    </w:r>
    <w:r>
      <w:rPr>
        <w:color w:val="323E4F"/>
        <w:sz w:val="18"/>
        <w:szCs w:val="18"/>
      </w:rPr>
      <w:fldChar w:fldCharType="begin"/>
    </w:r>
    <w:r>
      <w:rPr>
        <w:sz w:val="18"/>
        <w:szCs w:val="18"/>
        <w:color w:val="323E4F"/>
      </w:rPr>
      <w:instrText xml:space="preserve"> PAGE </w:instrText>
    </w:r>
    <w:r>
      <w:rPr>
        <w:sz w:val="18"/>
        <w:szCs w:val="18"/>
        <w:color w:val="323E4F"/>
      </w:rPr>
      <w:fldChar w:fldCharType="separate"/>
    </w:r>
    <w:r>
      <w:rPr>
        <w:sz w:val="18"/>
        <w:szCs w:val="18"/>
        <w:color w:val="323E4F"/>
      </w:rPr>
      <w:t>16</w:t>
    </w:r>
    <w:r>
      <w:rPr>
        <w:sz w:val="18"/>
        <w:szCs w:val="18"/>
        <w:color w:val="323E4F"/>
      </w:rPr>
      <w:fldChar w:fldCharType="end"/>
    </w:r>
    <w:r>
      <w:rPr>
        <w:color w:val="323E4F"/>
        <w:sz w:val="18"/>
        <w:szCs w:val="18"/>
      </w:rPr>
      <w:t xml:space="preserve"> | </w:t>
    </w:r>
    <w:r>
      <w:rPr>
        <w:color w:val="323E4F"/>
        <w:sz w:val="18"/>
        <w:szCs w:val="18"/>
      </w:rPr>
      <w:fldChar w:fldCharType="begin"/>
    </w:r>
    <w:r>
      <w:rPr>
        <w:sz w:val="18"/>
        <w:szCs w:val="18"/>
        <w:color w:val="323E4F"/>
      </w:rPr>
      <w:instrText xml:space="preserve"> NUMPAGES </w:instrText>
    </w:r>
    <w:r>
      <w:rPr>
        <w:sz w:val="18"/>
        <w:szCs w:val="18"/>
        <w:color w:val="323E4F"/>
      </w:rPr>
      <w:fldChar w:fldCharType="separate"/>
    </w:r>
    <w:r>
      <w:rPr>
        <w:sz w:val="18"/>
        <w:szCs w:val="18"/>
        <w:color w:val="323E4F"/>
      </w:rPr>
      <w:t>33</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agosto/2023</w:t>
    </w:r>
  </w:p>
  <w:p>
    <w:pPr>
      <w:pStyle w:val="Rodap"/>
      <w:rPr>
        <w:sz w:val="12"/>
        <w:szCs w:val="12"/>
      </w:rPr>
    </w:pPr>
    <w:r>
      <w:rPr>
        <w:sz w:val="12"/>
        <w:szCs w:val="12"/>
      </w:rPr>
      <w:t>Aprovado pela Secretaria de Gestão.</w:t>
    </w:r>
  </w:p>
  <w:p>
    <w:pPr>
      <w:pStyle w:val="Rodap"/>
      <w:rPr>
        <w:sz w:val="12"/>
        <w:szCs w:val="12"/>
      </w:rPr>
    </w:pPr>
    <w:r>
      <w:rPr>
        <w:sz w:val="12"/>
        <w:szCs w:val="12"/>
      </w:rPr>
      <w:t>Identidade visual pela Secretaria de Gestão (versão agosto/2023)</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p>
    <w:pPr>
      <w:pStyle w:val="Normal"/>
      <w:tabs>
        <w:tab w:val="clear" w:pos="708"/>
        <w:tab w:val="center" w:pos="4550" w:leader="none"/>
        <w:tab w:val="left" w:pos="5818" w:leader="none"/>
      </w:tabs>
      <w:ind w:left="0" w:right="260" w:hanging="0"/>
      <w:jc w:val="right"/>
      <w:rPr/>
    </w:pPr>
    <w:r>
      <w:rPr>
        <w:color w:val="8496B0"/>
        <w:spacing w:val="60"/>
        <w:sz w:val="18"/>
        <w:szCs w:val="18"/>
      </w:rPr>
      <w:t>Página</w:t>
    </w:r>
    <w:r>
      <w:rPr>
        <w:color w:val="8496B0"/>
        <w:sz w:val="18"/>
        <w:szCs w:val="18"/>
      </w:rPr>
      <w:t xml:space="preserve"> </w:t>
    </w:r>
    <w:r>
      <w:rPr>
        <w:color w:val="323E4F"/>
        <w:sz w:val="18"/>
        <w:szCs w:val="18"/>
      </w:rPr>
      <w:fldChar w:fldCharType="begin"/>
    </w:r>
    <w:r>
      <w:rPr>
        <w:sz w:val="18"/>
        <w:szCs w:val="18"/>
        <w:color w:val="323E4F"/>
      </w:rPr>
      <w:instrText xml:space="preserve"> PAGE </w:instrText>
    </w:r>
    <w:r>
      <w:rPr>
        <w:sz w:val="18"/>
        <w:szCs w:val="18"/>
        <w:color w:val="323E4F"/>
      </w:rPr>
      <w:fldChar w:fldCharType="separate"/>
    </w:r>
    <w:r>
      <w:rPr>
        <w:sz w:val="18"/>
        <w:szCs w:val="18"/>
        <w:color w:val="323E4F"/>
      </w:rPr>
      <w:t>32</w:t>
    </w:r>
    <w:r>
      <w:rPr>
        <w:sz w:val="18"/>
        <w:szCs w:val="18"/>
        <w:color w:val="323E4F"/>
      </w:rPr>
      <w:fldChar w:fldCharType="end"/>
    </w:r>
    <w:r>
      <w:rPr>
        <w:color w:val="323E4F"/>
        <w:sz w:val="18"/>
        <w:szCs w:val="18"/>
      </w:rPr>
      <w:t xml:space="preserve"> | </w:t>
    </w:r>
    <w:r>
      <w:rPr>
        <w:color w:val="323E4F"/>
        <w:sz w:val="18"/>
        <w:szCs w:val="18"/>
      </w:rPr>
      <w:fldChar w:fldCharType="begin"/>
    </w:r>
    <w:r>
      <w:rPr>
        <w:sz w:val="18"/>
        <w:szCs w:val="18"/>
        <w:color w:val="323E4F"/>
      </w:rPr>
      <w:instrText xml:space="preserve"> NUMPAGES </w:instrText>
    </w:r>
    <w:r>
      <w:rPr>
        <w:sz w:val="18"/>
        <w:szCs w:val="18"/>
        <w:color w:val="323E4F"/>
      </w:rPr>
      <w:fldChar w:fldCharType="separate"/>
    </w:r>
    <w:r>
      <w:rPr>
        <w:sz w:val="18"/>
        <w:szCs w:val="18"/>
        <w:color w:val="323E4F"/>
      </w:rPr>
      <w:t>33</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agosto/2023</w:t>
    </w:r>
  </w:p>
  <w:p>
    <w:pPr>
      <w:pStyle w:val="Rodap"/>
      <w:rPr>
        <w:sz w:val="12"/>
        <w:szCs w:val="12"/>
      </w:rPr>
    </w:pPr>
    <w:r>
      <w:rPr>
        <w:sz w:val="12"/>
        <w:szCs w:val="12"/>
      </w:rPr>
      <w:t>Aprovado pela Secretaria de Gestão.</w:t>
    </w:r>
  </w:p>
  <w:p>
    <w:pPr>
      <w:pStyle w:val="Rodap"/>
      <w:rPr>
        <w:sz w:val="12"/>
        <w:szCs w:val="12"/>
      </w:rPr>
    </w:pPr>
    <w:r>
      <w:rPr>
        <w:sz w:val="12"/>
        <w:szCs w:val="12"/>
      </w:rPr>
      <w:t>Identidade visual pela Secretaria de Gestão (versão agosto/2023)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p>
    <w:pPr>
      <w:pStyle w:val="Normal"/>
      <w:jc w:val="right"/>
      <w:rPr/>
    </w:pPr>
    <w:r>
      <w:rPr/>
      <w:t xml:space="preserve">AVISO DE CONTRATAÇÃO DIRETA Nº </w:t>
    </w:r>
    <w:r>
      <w:rPr>
        <w:rFonts w:cs="Arial"/>
        <w:bCs/>
        <w:color w:val="5B5B5F"/>
        <w:sz w:val="28"/>
        <w:szCs w:val="28"/>
      </w:rPr>
      <w:t>0049/2024</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
          <wp:simplePos x="0" y="0"/>
          <wp:positionH relativeFrom="column">
            <wp:posOffset>-1080135</wp:posOffset>
          </wp:positionH>
          <wp:positionV relativeFrom="paragraph">
            <wp:posOffset>635</wp:posOffset>
          </wp:positionV>
          <wp:extent cx="7559675" cy="1061529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59675" cy="1061529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p>
    <w:pPr>
      <w:pStyle w:val="Normal"/>
      <w:jc w:val="right"/>
      <w:rPr/>
    </w:pPr>
    <w:r>
      <w:rPr/>
      <w:t xml:space="preserve">AVISO DE CONTRATAÇÃO DIRETA Nº </w:t>
    </w:r>
    <w:r>
      <w:rPr>
        <w:rFonts w:cs="Arial"/>
        <w:bCs/>
        <w:color w:val="5B5B5F"/>
        <w:sz w:val="28"/>
        <w:szCs w:val="28"/>
      </w:rPr>
      <w:t>0049/2024</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sz w:val="20"/>
        <w:b w:val="false"/>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9"/>
      <w:numFmt w:val="decimal"/>
      <w:lvlText w:val="%1"/>
      <w:lvlJc w:val="left"/>
      <w:pPr>
        <w:tabs>
          <w:tab w:val="num" w:pos="0"/>
        </w:tabs>
        <w:ind w:left="450" w:hanging="450"/>
      </w:pPr>
      <w:rPr/>
    </w:lvl>
    <w:lvl w:ilvl="1">
      <w:start w:val="1"/>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abstractNum w:abstractNumId="7">
    <w:lvl w:ilvl="0">
      <w:start w:val="9"/>
      <w:numFmt w:val="decimal"/>
      <w:lvlText w:val="%1"/>
      <w:lvlJc w:val="left"/>
      <w:pPr>
        <w:tabs>
          <w:tab w:val="num" w:pos="0"/>
        </w:tabs>
        <w:ind w:left="450" w:hanging="450"/>
      </w:pPr>
      <w:rPr/>
    </w:lvl>
    <w:lvl w:ilvl="1">
      <w:start w:val="5"/>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abstractNum w:abstractNumId="8">
    <w:lvl w:ilvl="0">
      <w:start w:val="1"/>
      <w:numFmt w:val="decimal"/>
      <w:lvlText w:val="%1."/>
      <w:lvlJc w:val="left"/>
      <w:pPr>
        <w:tabs>
          <w:tab w:val="num" w:pos="720"/>
        </w:tabs>
        <w:ind w:left="720" w:hanging="360"/>
      </w:pPr>
      <w:rPr/>
    </w:lvl>
    <w:lvl w:ilvl="1">
      <w:start w:val="1"/>
      <w:numFmt w:val="decimal"/>
      <w:lvlText w:val=" %1.%2."/>
      <w:lvlJc w:val="left"/>
      <w:pPr>
        <w:tabs>
          <w:tab w:val="num" w:pos="1080"/>
        </w:tabs>
        <w:ind w:left="1080" w:hanging="360"/>
      </w:pPr>
      <w:rPr/>
    </w:lvl>
    <w:lvl w:ilvl="2">
      <w:start w:val="1"/>
      <w:numFmt w:val="lowerLetter"/>
      <w:lvlText w:val=" %3)"/>
      <w:lvlJc w:val="left"/>
      <w:pPr>
        <w:tabs>
          <w:tab w:val="num" w:pos="1440"/>
        </w:tabs>
        <w:ind w:left="1440" w:hanging="360"/>
      </w:pPr>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szCs w:val="22"/>
        <w:lang w:val="pt-BR"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qFormat/>
    <w:pPr>
      <w:keepNext w:val="false"/>
      <w:widowControl/>
      <w:numPr>
        <w:ilvl w:val="0"/>
        <w:numId w:val="1"/>
      </w:numPr>
      <w:shd w:val="clear" w:fill="auto"/>
      <w:spacing w:before="120" w:after="120"/>
      <w:outlineLvl w:val="0"/>
    </w:pPr>
    <w:rPr>
      <w:rFonts w:ascii="Arial" w:hAnsi="Arial" w:cs="Arial"/>
      <w:b/>
    </w:rPr>
  </w:style>
  <w:style w:type="character" w:styleId="DefaultParagraphFont">
    <w:name w:val="Default Paragraph Font"/>
    <w:qFormat/>
    <w:rPr/>
  </w:style>
  <w:style w:type="character" w:styleId="Ttulo1Char">
    <w:name w:val="Título 1 Char"/>
    <w:basedOn w:val="DefaultParagraphFont"/>
    <w:qFormat/>
    <w:rPr>
      <w:rFonts w:ascii="Arial" w:hAnsi="Arial" w:eastAsia="WenQuanYi Micro Hei" w:cs="Arial"/>
      <w:b/>
      <w:sz w:val="20"/>
      <w:szCs w:val="24"/>
      <w:lang w:eastAsia="zh-CN" w:bidi="hi-IN"/>
    </w:rPr>
  </w:style>
  <w:style w:type="character" w:styleId="CitaoChar">
    <w:name w:val="Citação Char"/>
    <w:basedOn w:val="DefaultParagraphFont"/>
    <w:qFormat/>
    <w:rPr>
      <w:rFonts w:ascii="Arial" w:hAnsi="Arial" w:eastAsia="Calibri" w:cs="Tahoma"/>
      <w:i/>
      <w:iCs/>
      <w:color w:val="000000"/>
      <w:sz w:val="20"/>
      <w:szCs w:val="24"/>
      <w:shd w:fill="FFFFCC" w:val="clear"/>
    </w:rPr>
  </w:style>
  <w:style w:type="character" w:styleId="Nivel01Char">
    <w:name w:val="Nivel 01 Char"/>
    <w:basedOn w:val="Ttulo1Char"/>
    <w:link w:val="Nivel01"/>
    <w:qFormat/>
    <w:rPr>
      <w:rFonts w:ascii="Arial" w:hAnsi="Arial" w:eastAsia="Calibri" w:cs="Times New Roman"/>
      <w:b w:val="false"/>
      <w:bCs/>
      <w:color w:val="000000"/>
      <w:sz w:val="20"/>
      <w:szCs w:val="20"/>
      <w:lang w:eastAsia="pt-BR" w:bidi="hi-IN"/>
    </w:rPr>
  </w:style>
  <w:style w:type="character" w:styleId="Citao2Char">
    <w:name w:val="citação 2 Char"/>
    <w:basedOn w:val="CitaoChar"/>
    <w:qFormat/>
    <w:rPr>
      <w:rFonts w:ascii="Arial" w:hAnsi="Arial" w:eastAsia="Calibri" w:cs="Tahoma"/>
      <w:i/>
      <w:iCs/>
      <w:color w:val="000000"/>
      <w:sz w:val="20"/>
      <w:szCs w:val="20"/>
      <w:shd w:fill="FFFFCC" w:val="clear"/>
    </w:rPr>
  </w:style>
  <w:style w:type="character" w:styleId="QuoteChar">
    <w:name w:val="Quote Char"/>
    <w:basedOn w:val="DefaultParagraphFont"/>
    <w:link w:val="Citao1"/>
    <w:qFormat/>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qFormat/>
    <w:rPr>
      <w:color w:val="0000FF"/>
      <w:u w:val="single"/>
    </w:rPr>
  </w:style>
  <w:style w:type="character" w:styleId="Nivel4Char">
    <w:name w:val="Nivel 4 Char"/>
    <w:basedOn w:val="DefaultParagraphFont"/>
    <w:link w:val="Nivel4"/>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character" w:styleId="Linkdainternetvisitado">
    <w:name w:val="Link da internet visitado"/>
    <w:basedOn w:val="DefaultParagraphFont"/>
    <w:rPr>
      <w:color w:val="954F72"/>
      <w:u w:val="single"/>
    </w:rPr>
  </w:style>
  <w:style w:type="character" w:styleId="Strong">
    <w:name w:val="Strong"/>
    <w:basedOn w:val="DefaultParagraphFont"/>
    <w:qFormat/>
    <w:rPr>
      <w:b/>
      <w:bCs/>
    </w:rPr>
  </w:style>
  <w:style w:type="character" w:styleId="TtuloChar">
    <w:name w:val="Título Char"/>
    <w:basedOn w:val="DefaultParagraphFont"/>
    <w:link w:val="Ttulo"/>
    <w:qFormat/>
    <w:rPr>
      <w:rFonts w:ascii="Liberation Sans" w:hAnsi="Liberation Sans" w:eastAsia="Noto Sans CJK SC" w:cs="FreeSans"/>
      <w:sz w:val="28"/>
      <w:szCs w:val="28"/>
      <w:lang w:eastAsia="pt-BR"/>
    </w:rPr>
  </w:style>
  <w:style w:type="character" w:styleId="CorpodetextoChar">
    <w:name w:val="Corpo de texto Char"/>
    <w:basedOn w:val="DefaultParagraphFont"/>
    <w:qFormat/>
    <w:rPr>
      <w:rFonts w:ascii="Arial" w:hAnsi="Arial" w:eastAsia="Times New Roman" w:cs="Tahoma"/>
      <w:sz w:val="20"/>
      <w:szCs w:val="24"/>
      <w:lang w:eastAsia="pt-BR"/>
    </w:rPr>
  </w:style>
  <w:style w:type="character" w:styleId="CitaoChar1">
    <w:name w:val="Citação Char1"/>
    <w:basedOn w:val="DefaultParagraphFont"/>
    <w:qFormat/>
    <w:rPr>
      <w:rFonts w:ascii="Arial" w:hAnsi="Arial" w:eastAsia="Times New Roman" w:cs="Tahoma"/>
      <w:i/>
      <w:iCs/>
      <w:color w:val="404040"/>
      <w:sz w:val="20"/>
      <w:szCs w:val="24"/>
      <w:lang w:eastAsia="pt-BR"/>
    </w:rPr>
  </w:style>
  <w:style w:type="character" w:styleId="TextodecomentrioChar1">
    <w:name w:val="Texto de comentário Char1"/>
    <w:basedOn w:val="DefaultParagraphFont"/>
    <w:qFormat/>
    <w:rPr>
      <w:rFonts w:ascii="Arial" w:hAnsi="Arial" w:eastAsia="Times New Roman" w:cs="Tahoma"/>
      <w:sz w:val="20"/>
      <w:szCs w:val="20"/>
      <w:lang w:eastAsia="pt-BR"/>
    </w:rPr>
  </w:style>
  <w:style w:type="character" w:styleId="AssuntodocomentrioChar1">
    <w:name w:val="Assunto do comentário Char1"/>
    <w:basedOn w:val="TextodecomentrioChar1"/>
    <w:qFormat/>
    <w:rPr>
      <w:rFonts w:ascii="Arial" w:hAnsi="Arial" w:eastAsia="Times New Roman" w:cs="Tahoma"/>
      <w:b/>
      <w:bCs/>
      <w:sz w:val="20"/>
      <w:szCs w:val="20"/>
      <w:lang w:eastAsia="pt-BR"/>
    </w:rPr>
  </w:style>
  <w:style w:type="character" w:styleId="TextodebaloChar1">
    <w:name w:val="Texto de balão Char1"/>
    <w:basedOn w:val="DefaultParagraphFont"/>
    <w:qFormat/>
    <w:rPr>
      <w:rFonts w:ascii="Segoe UI" w:hAnsi="Segoe UI" w:eastAsia="Times New Roman" w:cs="Segoe UI"/>
      <w:sz w:val="18"/>
      <w:szCs w:val="18"/>
      <w:lang w:eastAsia="pt-BR"/>
    </w:rPr>
  </w:style>
  <w:style w:type="character" w:styleId="CabealhoChar1">
    <w:name w:val="Cabeçalho Char1"/>
    <w:basedOn w:val="DefaultParagraphFont"/>
    <w:qFormat/>
    <w:rPr>
      <w:rFonts w:ascii="Arial" w:hAnsi="Arial" w:eastAsia="Times New Roman" w:cs="Tahoma"/>
      <w:sz w:val="20"/>
      <w:szCs w:val="24"/>
      <w:lang w:eastAsia="pt-BR"/>
    </w:rPr>
  </w:style>
  <w:style w:type="character" w:styleId="RodapChar1">
    <w:name w:val="Rodapé Char1"/>
    <w:basedOn w:val="DefaultParagraphFont"/>
    <w:qFormat/>
    <w:rPr>
      <w:rFonts w:ascii="Arial" w:hAnsi="Arial" w:eastAsia="Times New Roman" w:cs="Tahoma"/>
      <w:sz w:val="20"/>
      <w:szCs w:val="24"/>
      <w:lang w:eastAsia="pt-BR"/>
    </w:rPr>
  </w:style>
  <w:style w:type="character" w:styleId="Cf01">
    <w:name w:val="cf01"/>
    <w:basedOn w:val="DefaultParagraphFont"/>
    <w:qFormat/>
    <w:rPr>
      <w:rFonts w:ascii="Segoe UI" w:hAnsi="Segoe UI" w:cs="Segoe UI"/>
      <w:color w:val="555555"/>
      <w:sz w:val="18"/>
      <w:szCs w:val="18"/>
      <w:shd w:fill="FFFFFF" w:val="clear"/>
    </w:rPr>
  </w:style>
  <w:style w:type="character" w:styleId="MenoPendente1">
    <w:name w:val="Menção Pendente1"/>
    <w:basedOn w:val="DefaultParagraphFont"/>
    <w:qFormat/>
    <w:rPr>
      <w:color w:val="605E5C"/>
      <w:shd w:fill="E1DFDD" w:val="clear"/>
    </w:rPr>
  </w:style>
  <w:style w:type="character" w:styleId="PlaceholderText">
    <w:name w:val="Placeholder Text"/>
    <w:basedOn w:val="DefaultParagraphFont"/>
    <w:qFormat/>
    <w:rPr>
      <w:color w:val="808080"/>
    </w:rPr>
  </w:style>
  <w:style w:type="character" w:styleId="Estilo1">
    <w:name w:val="Estilo1"/>
    <w:basedOn w:val="DefaultParagraphFont"/>
    <w:qFormat/>
    <w:rPr>
      <w:rFonts w:ascii="Arial" w:hAnsi="Arial"/>
      <w:b/>
      <w:color w:val="538135"/>
      <w:sz w:val="24"/>
    </w:rPr>
  </w:style>
  <w:style w:type="character" w:styleId="UnresolvedMention">
    <w:name w:val="Unresolved Mention"/>
    <w:basedOn w:val="DefaultParagraphFont"/>
    <w:qFormat/>
    <w:rPr>
      <w:color w:val="605E5C"/>
      <w:shd w:fill="E1DFDD" w:val="clear"/>
    </w:rPr>
  </w:style>
  <w:style w:type="character" w:styleId="Nivel2Char">
    <w:name w:val="Nivel 2 Char"/>
    <w:basedOn w:val="DefaultParagraphFont"/>
    <w:link w:val="Nivel2"/>
    <w:qFormat/>
    <w:rPr>
      <w:rFonts w:ascii="Ecofont_Spranq_eco_Sans" w:hAnsi="Ecofont_Spranq_eco_Sans" w:eastAsia="Arial Unicode MS" w:cs="Times New Roman"/>
      <w:sz w:val="20"/>
      <w:szCs w:val="20"/>
      <w:lang w:eastAsia="pt-BR"/>
    </w:rPr>
  </w:style>
  <w:style w:type="character" w:styleId="Nvel3RChar">
    <w:name w:val="Nível 3-R Char"/>
    <w:basedOn w:val="DefaultParagraphFont"/>
    <w:qFormat/>
    <w:rPr>
      <w:rFonts w:ascii="Arial" w:hAnsi="Arial" w:eastAsia="Calibri" w:cs="Arial"/>
      <w:i/>
      <w:iCs/>
      <w:color w:val="FF0000"/>
      <w:sz w:val="20"/>
      <w:szCs w:val="20"/>
      <w:lang w:eastAsia="pt-BR"/>
    </w:rPr>
  </w:style>
  <w:style w:type="character" w:styleId="Nvel4RChar">
    <w:name w:val="Nível 4-R Char"/>
    <w:basedOn w:val="Nivel4Char"/>
    <w:qFormat/>
    <w:rPr>
      <w:rFonts w:ascii="Arial" w:hAnsi="Arial" w:eastAsia="Calibri" w:cs="Arial"/>
      <w:i/>
      <w:iCs/>
      <w:color w:val="FF0000"/>
      <w:sz w:val="20"/>
      <w:szCs w:val="20"/>
      <w:lang w:eastAsia="pt-BR"/>
    </w:rPr>
  </w:style>
  <w:style w:type="character" w:styleId="Vnculodendice">
    <w:name w:val="Vínculo de índice"/>
    <w:qFormat/>
    <w:rPr/>
  </w:style>
  <w:style w:type="character" w:styleId="Fontepargpadro1">
    <w:name w:val="Fonte parág. padrão1"/>
    <w:qFormat/>
    <w:rPr/>
  </w:style>
  <w:style w:type="character" w:styleId="Fontepargpadro">
    <w:name w:val="Fonte parág. padrão"/>
    <w:qFormat/>
    <w:rPr/>
  </w:style>
  <w:style w:type="character" w:styleId="Nfaseforte">
    <w:name w:val="Ênfase forte"/>
    <w:qFormat/>
    <w:rPr>
      <w:b/>
      <w:bCs/>
    </w:rPr>
  </w:style>
  <w:style w:type="character" w:styleId="WW8Num4z0">
    <w:name w:val="WW8Num4z0"/>
    <w:qFormat/>
    <w:rPr>
      <w:b/>
    </w:rPr>
  </w:style>
  <w:style w:type="character" w:styleId="WW8Num4z1">
    <w:name w:val="WW8Num4z1"/>
    <w:qFormat/>
    <w:rPr>
      <w:b/>
      <w:bCs/>
      <w:i w:val="false"/>
      <w:strike w:val="false"/>
      <w:dstrike w:val="false"/>
      <w:color w:val="000000"/>
      <w:sz w:val="20"/>
      <w:szCs w:val="20"/>
      <w:u w:val="none"/>
    </w:rPr>
  </w:style>
  <w:style w:type="character" w:styleId="WW8Num4z2">
    <w:name w:val="WW8Num4z2"/>
    <w:qFormat/>
    <w:rPr>
      <w:b w:val="false"/>
      <w:i w:val="false"/>
      <w:strike w:val="false"/>
      <w:dstrike w:val="false"/>
      <w:color w:val="000000"/>
      <w:sz w:val="20"/>
      <w:szCs w:val="20"/>
    </w:rPr>
  </w:style>
  <w:style w:type="character" w:styleId="WW8Num8z0">
    <w:name w:val="WW8Num8z0"/>
    <w:qFormat/>
    <w:rPr>
      <w:rFonts w:ascii="Symbol" w:hAnsi="Symbol" w:cs="OpenSymbol;Arial Unicode MS"/>
    </w:rPr>
  </w:style>
  <w:style w:type="character" w:styleId="WW8Num8z1">
    <w:name w:val="WW8Num8z1"/>
    <w:qFormat/>
    <w:rPr>
      <w:rFonts w:ascii="OpenSymbol;Arial Unicode MS" w:hAnsi="OpenSymbol;Arial Unicode MS" w:cs="OpenSymbol;Arial Unicode MS"/>
    </w:rPr>
  </w:style>
  <w:style w:type="character" w:styleId="WW8Num7z0">
    <w:name w:val="WW8Num7z0"/>
    <w:qFormat/>
    <w:rPr>
      <w:rFonts w:ascii="Symbol" w:hAnsi="Symbol" w:cs="OpenSymbol;Arial Unicode MS"/>
      <w:color w:val="auto"/>
      <w:kern w:val="2"/>
      <w:sz w:val="21"/>
      <w:szCs w:val="21"/>
      <w:lang w:val="pt-BR" w:eastAsia="zh-CN" w:bidi="hi-IN"/>
    </w:rPr>
  </w:style>
  <w:style w:type="character" w:styleId="WW8Num7z1">
    <w:name w:val="WW8Num7z1"/>
    <w:qFormat/>
    <w:rPr>
      <w:rFonts w:ascii="OpenSymbol;Arial Unicode MS" w:hAnsi="OpenSymbol;Arial Unicode MS" w:cs="OpenSymbol;Arial Unicode MS"/>
    </w:rPr>
  </w:style>
  <w:style w:type="character" w:styleId="DefaultParagraphFontWW">
    <w:name w:val="Default Paragraph Font (WW)"/>
    <w:qFormat/>
    <w:rPr/>
  </w:style>
  <w:style w:type="character" w:styleId="Normaltextrun">
    <w:name w:val="normaltextrun"/>
    <w:basedOn w:val="DefaultParagraphFontWW"/>
    <w:qFormat/>
    <w:rPr/>
  </w:style>
  <w:style w:type="character" w:styleId="Ttulo2Char">
    <w:name w:val="Título 2 Char"/>
    <w:qFormat/>
    <w:rPr>
      <w:b/>
      <w:color w:val="000000"/>
      <w:sz w:val="24"/>
    </w:rPr>
  </w:style>
  <w:style w:type="character" w:styleId="Findhit">
    <w:name w:val="findhit"/>
    <w:basedOn w:val="DefaultParagraphFontWW"/>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pPr>
      <w:spacing w:lineRule="auto" w:line="276" w:before="0" w:after="140"/>
    </w:pPr>
    <w:rPr/>
  </w:style>
  <w:style w:type="paragraph" w:styleId="Lista">
    <w:name w:val="List"/>
    <w:basedOn w:val="Corpodotexto"/>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FreeSans"/>
    </w:rPr>
  </w:style>
  <w:style w:type="paragraph" w:styleId="Ttulododocumento">
    <w:name w:val="Title"/>
    <w:basedOn w:val="Normal"/>
    <w:next w:val="Corpodotexto"/>
    <w:link w:val="TtuloChar"/>
    <w:qFormat/>
    <w:pPr>
      <w:keepNext w:val="true"/>
      <w:spacing w:before="240" w:after="120"/>
    </w:pPr>
    <w:rPr>
      <w:rFonts w:ascii="Liberation Sans" w:hAnsi="Liberation Sans" w:eastAsia="Noto Sans CJK SC" w:cs="FreeSans"/>
      <w:sz w:val="28"/>
      <w:szCs w:val="28"/>
    </w:rPr>
  </w:style>
  <w:style w:type="paragraph" w:styleId="Caption">
    <w:name w:val="caption"/>
    <w:basedOn w:val="Normal"/>
    <w:qFormat/>
    <w:pPr>
      <w:suppressLineNumbers/>
      <w:spacing w:before="120" w:after="120"/>
    </w:pPr>
    <w:rPr>
      <w:rFonts w:cs="FreeSans"/>
      <w:i/>
      <w:iCs/>
      <w:sz w:val="24"/>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link w:val="Nivel01Char"/>
    <w:qFormat/>
    <w:pPr>
      <w:numPr>
        <w:ilvl w:val="0"/>
        <w:numId w:val="0"/>
      </w:numPr>
      <w:spacing w:before="480" w:after="120"/>
      <w:ind w:left="0" w:right="-15" w:hanging="0"/>
    </w:pPr>
    <w:rPr>
      <w:rFonts w:cs="Times New Roman"/>
      <w:b w:val="false"/>
      <w:bCs/>
      <w:color w:val="000000"/>
      <w:szCs w:val="20"/>
    </w:rPr>
  </w:style>
  <w:style w:type="paragraph" w:styleId="PADRO">
    <w:name w:val="PADRÃO"/>
    <w:qFormat/>
    <w:pPr>
      <w:keepNext w:val="true"/>
      <w:widowControl w:val="false"/>
      <w:shd w:val="clear" w:fill="FFFFFF"/>
      <w:suppressAutoHyphens w:val="true"/>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qFormat/>
    <w:pPr/>
    <w:rPr>
      <w:szCs w:val="20"/>
    </w:rPr>
  </w:style>
  <w:style w:type="paragraph" w:styleId="Annotationsubject">
    <w:name w:val="annotation subject"/>
    <w:basedOn w:val="Annotationtext"/>
    <w:next w:val="Annotationtext"/>
    <w:link w:val="AssuntodocomentrioChar"/>
    <w:qFormat/>
    <w:pPr/>
    <w:rPr>
      <w:b/>
      <w:bCs/>
    </w:rPr>
  </w:style>
  <w:style w:type="paragraph" w:styleId="Nivel1">
    <w:name w:val="Nivel1"/>
    <w:basedOn w:val="Ttulo1"/>
    <w:qFormat/>
    <w:pPr>
      <w:numPr>
        <w:ilvl w:val="0"/>
        <w:numId w:val="0"/>
      </w:numPr>
      <w:spacing w:before="480" w:after="120"/>
      <w:ind w:left="644" w:right="0" w:hanging="0"/>
    </w:pPr>
    <w:rPr>
      <w:rFonts w:cs="Times New Roman"/>
      <w:b w:val="false"/>
      <w:color w:val="000000"/>
      <w:szCs w:val="20"/>
    </w:rPr>
  </w:style>
  <w:style w:type="paragraph" w:styleId="Nivel2">
    <w:name w:val="Nivel 2"/>
    <w:link w:val="Nivel2Char"/>
    <w:qFormat/>
    <w:pPr>
      <w:widowControl/>
      <w:suppressAutoHyphens w:val="true"/>
      <w:overflowPunct w:val="fals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name w:val="Nivel 1"/>
    <w:basedOn w:val="Nivel2"/>
    <w:next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link w:val="Nivel4Char"/>
    <w:qFormat/>
    <w:pPr/>
    <w:rPr>
      <w:color w:val="auto"/>
    </w:rPr>
  </w:style>
  <w:style w:type="paragraph" w:styleId="Nivel5">
    <w:name w:val="Nivel 5"/>
    <w:basedOn w:val="Nivel4"/>
    <w:qFormat/>
    <w:pPr>
      <w:tabs>
        <w:tab w:val="clear" w:pos="708"/>
        <w:tab w:val="left" w:pos="360" w:leader="none"/>
      </w:tabs>
    </w:pPr>
    <w:rPr/>
  </w:style>
  <w:style w:type="paragraph" w:styleId="BalloonText">
    <w:name w:val="Balloon Text"/>
    <w:basedOn w:val="Normal"/>
    <w:link w:val="TextodebaloChar"/>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pPr>
      <w:tabs>
        <w:tab w:val="clear" w:pos="708"/>
        <w:tab w:val="center" w:pos="4252" w:leader="none"/>
        <w:tab w:val="right" w:pos="8504" w:leader="none"/>
      </w:tabs>
    </w:pPr>
    <w:rPr/>
  </w:style>
  <w:style w:type="paragraph" w:styleId="Rodap">
    <w:name w:val="Footer"/>
    <w:basedOn w:val="Normal"/>
    <w:link w:val="RodapChar"/>
    <w:pPr>
      <w:tabs>
        <w:tab w:val="clear" w:pos="708"/>
        <w:tab w:val="center" w:pos="4252" w:leader="none"/>
        <w:tab w:val="right" w:pos="8504" w:leader="none"/>
      </w:tabs>
    </w:pPr>
    <w:rPr/>
  </w:style>
  <w:style w:type="paragraph" w:styleId="Nivel01Titulo">
    <w:name w:val="Nivel_01_Titulo"/>
    <w:basedOn w:val="Ttulo1"/>
    <w:next w:val="Normal"/>
    <w:qFormat/>
    <w:pPr>
      <w:numPr>
        <w:ilvl w:val="0"/>
        <w:numId w:val="0"/>
      </w:numPr>
      <w:tabs>
        <w:tab w:val="clear" w:pos="708"/>
        <w:tab w:val="left" w:pos="360" w:leader="none"/>
        <w:tab w:val="left" w:pos="567" w:leader="none"/>
      </w:tabs>
      <w:ind w:left="0" w:right="0" w:firstLine="567"/>
    </w:pPr>
    <w:rPr>
      <w:rFonts w:cs="Times New Roman"/>
      <w:b w:val="false"/>
      <w:bCs/>
      <w:szCs w:val="20"/>
    </w:rPr>
  </w:style>
  <w:style w:type="paragraph" w:styleId="Revision">
    <w:name w:val="Revision"/>
    <w:qFormat/>
    <w:pPr>
      <w:widowControl/>
      <w:suppressAutoHyphens w:val="true"/>
      <w:overflowPunct w:val="fals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dondicealfabtico">
    <w:name w:val="Index Heading"/>
    <w:basedOn w:val="Ttulo"/>
    <w:pPr/>
    <w:rPr/>
  </w:style>
  <w:style w:type="paragraph" w:styleId="Ttulodosumrio">
    <w:name w:val="TOC Heading"/>
    <w:basedOn w:val="Ttulo1"/>
    <w:next w:val="Normal"/>
    <w:qFormat/>
    <w:pPr>
      <w:keepNext w:val="true"/>
      <w:keepLines/>
      <w:numPr>
        <w:ilvl w:val="0"/>
        <w:numId w:val="0"/>
      </w:numPr>
      <w:suppressAutoHyphens w:val="false"/>
      <w:spacing w:lineRule="auto" w:line="259" w:before="240" w:after="0"/>
      <w:ind w:left="0" w:right="0" w:firstLine="567"/>
      <w:jc w:val="left"/>
      <w:textAlignment w:val="auto"/>
    </w:pPr>
    <w:rPr>
      <w:rFonts w:ascii="Calibri Light" w:hAnsi="Calibri Light" w:eastAsia="Calibri" w:cs="Times New Roman"/>
      <w:b w:val="false"/>
      <w:color w:val="2E74B5"/>
      <w:sz w:val="32"/>
      <w:szCs w:val="32"/>
      <w:lang w:eastAsia="pt-BR" w:bidi="ar-SA"/>
    </w:rPr>
  </w:style>
  <w:style w:type="paragraph" w:styleId="Sumrio1">
    <w:name w:val="TOC 1"/>
    <w:basedOn w:val="Normal"/>
    <w:next w:val="Normal"/>
    <w:autoRedefine/>
    <w:pPr>
      <w:tabs>
        <w:tab w:val="clear" w:pos="708"/>
        <w:tab w:val="left" w:pos="440" w:leader="none"/>
        <w:tab w:val="right" w:pos="8494" w:leader="dot"/>
      </w:tabs>
      <w:spacing w:before="0" w:after="100"/>
    </w:pPr>
    <w:rPr/>
  </w:style>
  <w:style w:type="paragraph" w:styleId="Nvel3R">
    <w:name w:val="Nível 3-R"/>
    <w:basedOn w:val="Nivel3"/>
    <w:qFormat/>
    <w:pPr>
      <w:suppressAutoHyphens w:val="false"/>
      <w:ind w:left="284" w:right="0" w:hanging="0"/>
    </w:pPr>
    <w:rPr>
      <w:rFonts w:ascii="Arial" w:hAnsi="Arial" w:eastAsia="Calibri"/>
      <w:i/>
      <w:iCs/>
      <w:color w:val="FF0000"/>
    </w:rPr>
  </w:style>
  <w:style w:type="paragraph" w:styleId="Nvel4R">
    <w:name w:val="Nível 4-R"/>
    <w:basedOn w:val="Nivel4"/>
    <w:qFormat/>
    <w:pPr>
      <w:suppressAutoHyphens w:val="false"/>
      <w:ind w:left="567" w:right="0" w:hanging="0"/>
    </w:pPr>
    <w:rPr>
      <w:rFonts w:ascii="Arial" w:hAnsi="Arial" w:eastAsia="Calibri"/>
      <w:i/>
      <w:iCs/>
      <w:color w:val="FF0000"/>
    </w:rPr>
  </w:style>
  <w:style w:type="paragraph" w:styleId="LONormal">
    <w:name w:val="LO-Normal"/>
    <w:qFormat/>
    <w:pPr>
      <w:widowControl/>
      <w:suppressAutoHyphens w:val="true"/>
      <w:overflowPunct w:val="false"/>
      <w:bidi w:val="0"/>
      <w:spacing w:before="0" w:after="0"/>
      <w:jc w:val="left"/>
      <w:textAlignment w:val="baseline"/>
    </w:pPr>
    <w:rPr>
      <w:rFonts w:ascii="Arial" w:hAnsi="Arial" w:eastAsia="Arial" w:cs="Tahoma"/>
      <w:color w:val="auto"/>
      <w:kern w:val="0"/>
      <w:sz w:val="24"/>
      <w:szCs w:val="24"/>
      <w:lang w:val="pt-BR" w:eastAsia="zh-CN" w:bidi="ar-SA"/>
    </w:rPr>
  </w:style>
  <w:style w:type="paragraph" w:styleId="Contedodatabela">
    <w:name w:val="Conteúdo da tabela"/>
    <w:basedOn w:val="Standard"/>
    <w:qFormat/>
    <w:pPr>
      <w:suppressLineNumbers/>
    </w:pPr>
    <w:rPr/>
  </w:style>
  <w:style w:type="paragraph" w:styleId="Ttulodetabela">
    <w:name w:val="Título de tabela"/>
    <w:basedOn w:val="Contedodatabela"/>
    <w:qFormat/>
    <w:pPr>
      <w:suppressLineNumbers/>
      <w:jc w:val="center"/>
    </w:pPr>
    <w:rPr>
      <w:b/>
      <w:bCs/>
    </w:rPr>
  </w:style>
  <w:style w:type="paragraph" w:styleId="Western">
    <w:name w:val="western"/>
    <w:basedOn w:val="Normal"/>
    <w:qFormat/>
    <w:pPr>
      <w:spacing w:lineRule="auto" w:line="276" w:before="280" w:after="142"/>
    </w:pPr>
    <w:rPr>
      <w:rFonts w:ascii="Calibri" w:hAnsi="Calibri"/>
      <w:color w:val="000000"/>
    </w:rPr>
  </w:style>
  <w:style w:type="paragraph" w:styleId="Standard">
    <w:name w:val="Standard"/>
    <w:qFormat/>
    <w:pPr>
      <w:widowControl w:val="false"/>
      <w:suppressAutoHyphens w:val="true"/>
      <w:overflowPunct w:val="false"/>
      <w:bidi w:val="0"/>
      <w:spacing w:before="0" w:after="0"/>
      <w:jc w:val="left"/>
      <w:textAlignment w:val="baseline"/>
    </w:pPr>
    <w:rPr>
      <w:rFonts w:ascii="Times New Roman" w:hAnsi="Times New Roman" w:eastAsia="Arial Unicode MS" w:cs="Times New Roman"/>
      <w:color w:val="auto"/>
      <w:kern w:val="2"/>
      <w:sz w:val="24"/>
      <w:szCs w:val="20"/>
      <w:lang w:val="pt-BR" w:eastAsia="zh-CN" w:bidi="ar-SA"/>
    </w:rPr>
  </w:style>
  <w:style w:type="paragraph" w:styleId="LONormal1">
    <w:name w:val="LO-Normal1"/>
    <w:qFormat/>
    <w:pPr>
      <w:widowControl w:val="false"/>
      <w:suppressAutoHyphens w:val="true"/>
      <w:overflowPunct w:val="false"/>
      <w:bidi w:val="0"/>
      <w:spacing w:before="0" w:after="0"/>
      <w:jc w:val="left"/>
    </w:pPr>
    <w:rPr>
      <w:rFonts w:ascii="Arial" w:hAnsi="Arial" w:eastAsia="Arial" w:cs="Arial"/>
      <w:color w:val="auto"/>
      <w:kern w:val="0"/>
      <w:sz w:val="20"/>
      <w:szCs w:val="20"/>
      <w:lang w:val="pt-BR" w:eastAsia="pt-BR" w:bidi="ar-SA"/>
    </w:rPr>
  </w:style>
  <w:style w:type="paragraph" w:styleId="LONormal3">
    <w:name w:val="LO-Normal3"/>
    <w:qFormat/>
    <w:pPr>
      <w:widowControl/>
      <w:suppressAutoHyphens w:val="true"/>
      <w:overflowPunct w:val="false"/>
      <w:bidi w:val="0"/>
      <w:spacing w:before="0" w:after="0"/>
      <w:jc w:val="left"/>
    </w:pPr>
    <w:rPr>
      <w:rFonts w:ascii="Calibri" w:hAnsi="Calibri" w:eastAsia="Arial" w:cs="Arial"/>
      <w:color w:val="auto"/>
      <w:kern w:val="0"/>
      <w:sz w:val="20"/>
      <w:szCs w:val="22"/>
      <w:lang w:val="pt-BR" w:eastAsia="en-US" w:bidi="ar-SA"/>
    </w:rPr>
  </w:style>
  <w:style w:type="paragraph" w:styleId="PargrafodaLista">
    <w:name w:val="Parágrafo da Lista"/>
    <w:basedOn w:val="Normal"/>
    <w:qFormat/>
    <w:pPr>
      <w:tabs>
        <w:tab w:val="clear" w:pos="708"/>
      </w:tabs>
      <w:suppressAutoHyphens w:val="true"/>
      <w:ind w:left="720" w:right="0" w:hanging="0"/>
    </w:pPr>
    <w:rPr>
      <w:rFonts w:ascii="Calibri" w:hAnsi="Calibri" w:eastAsia="Arial" w:cs="Arial"/>
      <w:sz w:val="20"/>
    </w:rPr>
  </w:style>
  <w:style w:type="paragraph" w:styleId="Textbody">
    <w:name w:val="Text body"/>
    <w:basedOn w:val="Standard"/>
    <w:qFormat/>
    <w:pPr>
      <w:spacing w:before="280" w:after="280"/>
    </w:pPr>
    <w:rPr>
      <w:rFonts w:ascii="Times New Roman" w:hAnsi="Times New Roman" w:eastAsia="Times New Roman" w:cs="Times New Roman"/>
    </w:rPr>
  </w:style>
  <w:style w:type="paragraph" w:styleId="Nvel2Red">
    <w:name w:val="Nível 2 -Red"/>
    <w:basedOn w:val="Nivel2"/>
    <w:qFormat/>
    <w:pPr/>
    <w:rPr>
      <w:i/>
      <w:iCs/>
      <w:color w:val="FF0000"/>
    </w:rPr>
  </w:style>
  <w:style w:type="numbering" w:styleId="WW8Num4">
    <w:name w:val="WW8Num4"/>
    <w:qFormat/>
  </w:style>
  <w:style w:type="numbering" w:styleId="WW8Num8">
    <w:name w:val="WW8Num8"/>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image" Target="media/image1.png"/><Relationship Id="rId16" Type="http://schemas.openxmlformats.org/officeDocument/2006/relationships/hyperlink" Target="mailto:marcio.cardoso@marinha.mil.br" TargetMode="External"/><Relationship Id="rId17" Type="http://schemas.openxmlformats.org/officeDocument/2006/relationships/hyperlink" Target="mailto:rafaella.leao@marinha.mil.br" TargetMode="External"/><Relationship Id="rId18" Type="http://schemas.openxmlformats.org/officeDocument/2006/relationships/hyperlink" Target="mailto:rafaela.vargas@marinha.mil.br" TargetMode="External"/><Relationship Id="rId19" Type="http://schemas.openxmlformats.org/officeDocument/2006/relationships/hyperlink" Target="mailto:diego.eduardo@marinha.mil.br" TargetMode="External"/><Relationship Id="rId20" Type="http://schemas.openxmlformats.org/officeDocument/2006/relationships/hyperlink" Target="https://in.gov.br/en/web/dou/-/instrucao-normativa-seges/me-n-77-de-4-de-novembro-de-2022-441681061" TargetMode="External"/><Relationship Id="rId21" Type="http://schemas.openxmlformats.org/officeDocument/2006/relationships/hyperlink" Target="https://www.planalto.gov.br/ccivil_03/leis/lcp/lcp123.htm" TargetMode="External"/><Relationship Id="rId22" Type="http://schemas.openxmlformats.org/officeDocument/2006/relationships/hyperlink" Target="https://www.gov.br/compras/pt-br/acesso-a-informacao/legislacao/instrucoes-normativas/instrucao-normativa-no-53-de-8-de-julho-de-2020" TargetMode="External"/><Relationship Id="rId23" Type="http://schemas.openxmlformats.org/officeDocument/2006/relationships/hyperlink" Target="http://www.planalto.gov.br/ccivil_03/AGU/Pareceres/2019-2022/PRC-JL-01-2020.htm" TargetMode="External"/><Relationship Id="rId24" Type="http://schemas.openxmlformats.org/officeDocument/2006/relationships/hyperlink" Target="http://www.portaldatransparencia.gov.br/ceis" TargetMode="External"/><Relationship Id="rId25" Type="http://schemas.openxmlformats.org/officeDocument/2006/relationships/hyperlink" Target="https://www.portaltransparencia.gov.br/sancoes/cnep" TargetMode="External"/><Relationship Id="rId26" Type="http://schemas.openxmlformats.org/officeDocument/2006/relationships/hyperlink" Target="https://www.gov.br/empresas-e-negocios/pt-br/empreendedor" TargetMode="External"/><Relationship Id="rId27"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s://www.gov.br/trabalho-e-previdencia/pt-br/servicos/empregador/programa-de-alimentacao-do-trabalhador-pat/arquivos-legislacao/instrucoes-normativas/pat_in_971_2009.pdf" TargetMode="External"/><Relationship Id="rId29" Type="http://schemas.openxmlformats.org/officeDocument/2006/relationships/header" Target="header3.xml"/><Relationship Id="rId30" Type="http://schemas.openxmlformats.org/officeDocument/2006/relationships/footer" Target="footer2.xml"/><Relationship Id="rId31" Type="http://schemas.openxmlformats.org/officeDocument/2006/relationships/numbering" Target="numbering.xml"/><Relationship Id="rId32" Type="http://schemas.openxmlformats.org/officeDocument/2006/relationships/fontTable" Target="fontTable.xml"/><Relationship Id="rId33" Type="http://schemas.openxmlformats.org/officeDocument/2006/relationships/settings" Target="settings.xml"/>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docProps/app.xml><?xml version="1.0" encoding="utf-8"?>
<Properties xmlns="http://schemas.openxmlformats.org/officeDocument/2006/extended-properties" xmlns:vt="http://schemas.openxmlformats.org/officeDocument/2006/docPropsVTypes">
  <Template>Normal</Template>
  <TotalTime>518</TotalTime>
  <Application>LibreOffice/7.3.7.2$Linux_X86_64 LibreOffice_project/30$Build-2</Application>
  <AppVersion>15.0000</AppVersion>
  <Pages>33</Pages>
  <Words>12245</Words>
  <Characters>69362</Characters>
  <CharactersWithSpaces>81003</CharactersWithSpaces>
  <Paragraphs>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2023-08-30T14:09:00Z</dcterms:created>
  <dc:creator/>
  <dc:description/>
  <dc:language>pt-BR</dc:language>
  <cp:lastModifiedBy/>
  <dcterms:modified xsi:type="dcterms:W3CDTF">2024-11-06T15:43:05Z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