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pacing w:lineRule="auto" w:line="276"/>
        <w:ind w:firstLine="709"/>
        <w:jc w:val="center"/>
        <w:rPr>
          <w:rFonts w:ascii="Calibri" w:hAnsi="Calibri" w:cs="Calibri"/>
          <w:b/>
          <w:b/>
          <w:sz w:val="24"/>
        </w:rPr>
      </w:pPr>
      <w:r>
        <w:rPr>
          <w:rFonts w:cs="Calibri" w:ascii="Calibri" w:hAnsi="Calibri"/>
          <w:b/>
          <w:sz w:val="24"/>
        </w:rPr>
        <w:drawing>
          <wp:anchor behindDoc="1" distT="0" distB="0" distL="0" distR="0" simplePos="0" locked="0" layoutInCell="0" allowOverlap="1" relativeHeight="2">
            <wp:simplePos x="0" y="0"/>
            <wp:positionH relativeFrom="column">
              <wp:posOffset>2945765</wp:posOffset>
            </wp:positionH>
            <wp:positionV relativeFrom="paragraph">
              <wp:posOffset>-232410</wp:posOffset>
            </wp:positionV>
            <wp:extent cx="812800" cy="79756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rcRect l="-80" t="-80" r="-80" b="-80"/>
                    <a:stretch>
                      <a:fillRect/>
                    </a:stretch>
                  </pic:blipFill>
                  <pic:spPr bwMode="auto">
                    <a:xfrm>
                      <a:off x="0" y="0"/>
                      <a:ext cx="812800" cy="797560"/>
                    </a:xfrm>
                    <a:prstGeom prst="rect">
                      <a:avLst/>
                    </a:prstGeom>
                  </pic:spPr>
                </pic:pic>
              </a:graphicData>
            </a:graphic>
          </wp:anchor>
        </w:drawing>
      </w:r>
    </w:p>
    <w:p>
      <w:pPr>
        <w:pStyle w:val="Normal"/>
        <w:widowControl w:val="false"/>
        <w:spacing w:lineRule="auto" w:line="276"/>
        <w:ind w:firstLine="709"/>
        <w:rPr>
          <w:rFonts w:ascii="Calibri" w:hAnsi="Calibri" w:cs="Calibri"/>
          <w:b/>
          <w:b/>
          <w:sz w:val="24"/>
        </w:rPr>
      </w:pPr>
      <w:r>
        <w:rPr>
          <w:rFonts w:cs="Calibri" w:ascii="Calibri" w:hAnsi="Calibri"/>
          <w:b/>
          <w:sz w:val="24"/>
        </w:rPr>
        <w:drawing>
          <wp:anchor behindDoc="1" distT="0" distB="0" distL="0" distR="0" simplePos="0" locked="0" layoutInCell="0" allowOverlap="1" relativeHeight="3">
            <wp:simplePos x="0" y="0"/>
            <wp:positionH relativeFrom="page">
              <wp:posOffset>6134100</wp:posOffset>
            </wp:positionH>
            <wp:positionV relativeFrom="page">
              <wp:posOffset>109855</wp:posOffset>
            </wp:positionV>
            <wp:extent cx="1080135" cy="1080135"/>
            <wp:effectExtent l="0" t="0" r="0" b="0"/>
            <wp:wrapNone/>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3"/>
                    <a:stretch>
                      <a:fillRect/>
                    </a:stretch>
                  </pic:blipFill>
                  <pic:spPr bwMode="auto">
                    <a:xfrm>
                      <a:off x="0" y="0"/>
                      <a:ext cx="1080135" cy="1080135"/>
                    </a:xfrm>
                    <a:prstGeom prst="rect">
                      <a:avLst/>
                    </a:prstGeom>
                  </pic:spPr>
                </pic:pic>
              </a:graphicData>
            </a:graphic>
          </wp:anchor>
        </w:drawing>
      </w:r>
    </w:p>
    <w:p>
      <w:pPr>
        <w:pStyle w:val="Normal"/>
        <w:widowControl w:val="false"/>
        <w:spacing w:lineRule="auto" w:line="276"/>
        <w:ind w:firstLine="709"/>
        <w:jc w:val="center"/>
        <w:rPr>
          <w:rFonts w:ascii="Calibri" w:hAnsi="Calibri" w:cs="Calibri"/>
          <w:b/>
          <w:b/>
          <w:sz w:val="24"/>
        </w:rPr>
      </w:pPr>
      <w:r>
        <w:rPr>
          <w:rFonts w:cs="Calibri" w:ascii="Calibri" w:hAnsi="Calibri"/>
          <w:b/>
          <w:sz w:val="24"/>
        </w:rPr>
      </w:r>
    </w:p>
    <w:p>
      <w:pPr>
        <w:pStyle w:val="Normal"/>
        <w:widowControl w:val="false"/>
        <w:spacing w:lineRule="auto" w:line="276"/>
        <w:ind w:firstLine="709"/>
        <w:jc w:val="center"/>
        <w:rPr>
          <w:rFonts w:ascii="Calibri" w:hAnsi="Calibri"/>
        </w:rPr>
      </w:pPr>
      <w:r>
        <w:rPr>
          <w:rFonts w:cs="Calibri" w:ascii="Calibri" w:hAnsi="Calibri"/>
          <w:b/>
          <w:sz w:val="24"/>
        </w:rPr>
        <w:t>MINISTÉRIO DA DEFESA</w:t>
      </w:r>
    </w:p>
    <w:p>
      <w:pPr>
        <w:pStyle w:val="Ttulododocumento"/>
        <w:tabs>
          <w:tab w:val="clear" w:pos="720"/>
          <w:tab w:val="left" w:pos="3300" w:leader="none"/>
          <w:tab w:val="left" w:pos="4110" w:leader="none"/>
          <w:tab w:val="center" w:pos="4677" w:leader="none"/>
        </w:tabs>
        <w:spacing w:lineRule="auto" w:line="276" w:before="0" w:after="0"/>
        <w:ind w:firstLine="709"/>
        <w:jc w:val="center"/>
        <w:rPr>
          <w:rFonts w:ascii="Calibri" w:hAnsi="Calibri"/>
        </w:rPr>
      </w:pPr>
      <w:r>
        <w:rPr>
          <w:rFonts w:cs="Calibri" w:ascii="Calibri" w:hAnsi="Calibri"/>
          <w:b/>
          <w:sz w:val="24"/>
          <w:szCs w:val="24"/>
        </w:rPr>
        <w:t>MARINHA DO BRASIL</w:t>
      </w:r>
    </w:p>
    <w:p>
      <w:pPr>
        <w:pStyle w:val="Normal"/>
        <w:spacing w:lineRule="auto" w:line="276"/>
        <w:ind w:firstLine="709"/>
        <w:jc w:val="center"/>
        <w:rPr>
          <w:rFonts w:ascii="Calibri" w:hAnsi="Calibri"/>
        </w:rPr>
      </w:pPr>
      <w:r>
        <w:rPr>
          <w:rFonts w:cs="Calibri" w:ascii="Calibri" w:hAnsi="Calibri"/>
          <w:b/>
          <w:sz w:val="24"/>
        </w:rPr>
        <w:t>HOSPITAL NAVAL MARCÍLIO DIAS</w:t>
      </w:r>
    </w:p>
    <w:p>
      <w:pPr>
        <w:pStyle w:val="Normal"/>
        <w:spacing w:lineRule="auto" w:line="276"/>
        <w:ind w:firstLine="709"/>
        <w:jc w:val="center"/>
        <w:rPr>
          <w:rFonts w:ascii="Calibri" w:hAnsi="Calibri" w:cs="Calibri"/>
          <w:b/>
          <w:b/>
          <w:bCs/>
          <w:sz w:val="24"/>
        </w:rPr>
      </w:pPr>
      <w:r>
        <w:rPr>
          <w:rFonts w:cs="Calibri" w:ascii="Calibri" w:hAnsi="Calibri"/>
          <w:b/>
          <w:bCs/>
          <w:sz w:val="24"/>
        </w:rPr>
      </w:r>
    </w:p>
    <w:p>
      <w:pPr>
        <w:pStyle w:val="Normal"/>
        <w:spacing w:lineRule="auto" w:line="276"/>
        <w:ind w:firstLine="709"/>
        <w:jc w:val="center"/>
        <w:rPr>
          <w:rFonts w:ascii="Calibri" w:hAnsi="Calibri"/>
        </w:rPr>
      </w:pPr>
      <w:r>
        <w:rPr>
          <w:rFonts w:cs="Calibri" w:ascii="Calibri" w:hAnsi="Calibri"/>
          <w:b/>
          <w:bCs/>
          <w:sz w:val="24"/>
        </w:rPr>
        <w:t>Anexo A</w:t>
      </w:r>
    </w:p>
    <w:p>
      <w:pPr>
        <w:pStyle w:val="Normal"/>
        <w:spacing w:lineRule="auto" w:line="276"/>
        <w:ind w:firstLine="709"/>
        <w:jc w:val="center"/>
        <w:rPr>
          <w:rFonts w:ascii="Calibri" w:hAnsi="Calibri"/>
        </w:rPr>
      </w:pPr>
      <w:r>
        <w:rPr>
          <w:rFonts w:cs="Calibri" w:ascii="Calibri" w:hAnsi="Calibri"/>
          <w:b/>
          <w:bCs/>
          <w:sz w:val="24"/>
        </w:rPr>
        <w:t>TERMO DE REFERÊNCIA</w:t>
      </w:r>
    </w:p>
    <w:p>
      <w:pPr>
        <w:pStyle w:val="Normal"/>
        <w:spacing w:lineRule="auto" w:line="276"/>
        <w:ind w:firstLine="709"/>
        <w:jc w:val="center"/>
        <w:rPr>
          <w:rFonts w:ascii="Calibri" w:hAnsi="Calibri"/>
        </w:rPr>
      </w:pPr>
      <w:r>
        <w:rPr>
          <w:rFonts w:cs="Calibri" w:ascii="Calibri" w:hAnsi="Calibri"/>
          <w:b/>
          <w:bCs/>
          <w:sz w:val="24"/>
        </w:rPr>
        <w:t>Lei nº 14.133, de 1º de abril de 2021</w:t>
      </w:r>
    </w:p>
    <w:p>
      <w:pPr>
        <w:pStyle w:val="Normal"/>
        <w:spacing w:lineRule="auto" w:line="276"/>
        <w:ind w:firstLine="709"/>
        <w:jc w:val="center"/>
        <w:rPr>
          <w:rFonts w:ascii="Calibri" w:hAnsi="Calibri" w:cs="Calibri"/>
          <w:b/>
          <w:b/>
          <w:bCs/>
          <w:iCs/>
          <w:sz w:val="24"/>
        </w:rPr>
      </w:pPr>
      <w:r>
        <w:rPr>
          <w:rFonts w:cs="Calibri" w:ascii="Calibri" w:hAnsi="Calibri"/>
          <w:b/>
          <w:bCs/>
          <w:iCs/>
          <w:sz w:val="24"/>
        </w:rPr>
      </w:r>
    </w:p>
    <w:p>
      <w:pPr>
        <w:pStyle w:val="Normal"/>
        <w:spacing w:lineRule="auto" w:line="276"/>
        <w:ind w:firstLine="709"/>
        <w:jc w:val="center"/>
        <w:rPr>
          <w:rFonts w:ascii="Calibri" w:hAnsi="Calibri"/>
        </w:rPr>
      </w:pPr>
      <w:r>
        <w:rPr>
          <w:rFonts w:cs="Calibri" w:ascii="Calibri" w:hAnsi="Calibri"/>
          <w:b/>
          <w:bCs/>
          <w:iCs/>
          <w:sz w:val="24"/>
        </w:rPr>
        <w:t>SERVIÇO SEM DEDICAÇÃO EXCLUSIVA DE MÃO DE OBRA</w:t>
      </w:r>
    </w:p>
    <w:p>
      <w:pPr>
        <w:pStyle w:val="Normal"/>
        <w:spacing w:lineRule="auto" w:line="276"/>
        <w:ind w:firstLine="709"/>
        <w:jc w:val="center"/>
        <w:rPr/>
      </w:pPr>
      <w:r>
        <w:rPr>
          <w:rFonts w:cs="Calibri" w:ascii="Calibri" w:hAnsi="Calibri"/>
          <w:b w:val="false"/>
          <w:bCs w:val="false"/>
          <w:color w:val="000000"/>
          <w:sz w:val="24"/>
        </w:rPr>
        <w:t xml:space="preserve">(Processo Administrativo NUP </w:t>
      </w:r>
      <w:r>
        <w:rPr>
          <w:rStyle w:val="Nfaseforte"/>
          <w:rFonts w:cs="Calibri" w:ascii="Calibri" w:hAnsi="Calibri"/>
          <w:b w:val="false"/>
          <w:bCs w:val="false"/>
          <w:color w:val="000000"/>
          <w:sz w:val="24"/>
        </w:rPr>
        <w:t>63148.023059/2024-05)</w:t>
      </w:r>
    </w:p>
    <w:p>
      <w:pPr>
        <w:pStyle w:val="Normal"/>
        <w:spacing w:lineRule="auto" w:line="276"/>
        <w:ind w:firstLine="709"/>
        <w:jc w:val="center"/>
        <w:rPr>
          <w:rFonts w:ascii="Calibri" w:hAnsi="Calibri" w:cs="Calibri"/>
          <w:color w:val="000000"/>
          <w:sz w:val="24"/>
        </w:rPr>
      </w:pPr>
      <w:r>
        <w:rPr>
          <w:rFonts w:cs="Calibri" w:ascii="Calibri" w:hAnsi="Calibri"/>
          <w:color w:val="000000"/>
          <w:sz w:val="24"/>
        </w:rPr>
      </w:r>
    </w:p>
    <w:p>
      <w:pPr>
        <w:pStyle w:val="Normal"/>
        <w:spacing w:lineRule="auto" w:line="276"/>
        <w:ind w:firstLine="709"/>
        <w:jc w:val="center"/>
        <w:rPr>
          <w:rFonts w:ascii="Calibri" w:hAnsi="Calibri" w:cs="Calibri"/>
          <w:bCs/>
          <w:sz w:val="24"/>
        </w:rPr>
      </w:pPr>
      <w:r>
        <w:rPr>
          <w:rFonts w:cs="Calibri" w:ascii="Calibri" w:hAnsi="Calibri"/>
          <w:bCs/>
          <w:sz w:val="24"/>
        </w:rPr>
      </w:r>
    </w:p>
    <w:p>
      <w:pPr>
        <w:pStyle w:val="Nivel1"/>
        <w:numPr>
          <w:ilvl w:val="0"/>
          <w:numId w:val="1"/>
        </w:numPr>
        <w:spacing w:before="0" w:after="0"/>
        <w:ind w:left="0" w:firstLine="709"/>
        <w:rPr>
          <w:rFonts w:ascii="Calibri" w:hAnsi="Calibri"/>
        </w:rPr>
      </w:pPr>
      <w:r>
        <w:rPr>
          <w:rFonts w:cs="Calibri" w:ascii="Calibri" w:hAnsi="Calibri"/>
          <w:sz w:val="24"/>
          <w:szCs w:val="24"/>
        </w:rPr>
        <w:t>CONDIÇÕES GERAIS DA CONTRATAÇÃO</w:t>
      </w:r>
    </w:p>
    <w:p>
      <w:pPr>
        <w:pStyle w:val="Normal"/>
        <w:widowControl w:val="false"/>
        <w:numPr>
          <w:ilvl w:val="1"/>
          <w:numId w:val="1"/>
        </w:numPr>
        <w:spacing w:lineRule="auto" w:line="276"/>
        <w:ind w:left="0" w:firstLine="709"/>
        <w:jc w:val="both"/>
        <w:rPr>
          <w:rFonts w:ascii="Calibri" w:hAnsi="Calibri"/>
        </w:rPr>
      </w:pPr>
      <w:r>
        <w:rPr>
          <w:rFonts w:ascii="Calibri" w:hAnsi="Calibri"/>
          <w:bCs/>
          <w:sz w:val="24"/>
        </w:rPr>
        <w:t>O objeto consiste na Contratação de Organização de Saúde Extra Marinha do Brasil (MB) OSE para Prestação de Serviço de Assistência Médico-Hospitalar aos usuários na faixa etária pediátrica (0 a 17 anos, 11 meses e 29 dias) do Sistema de Saúde da Marinha (SSM), em caráter complementar, nas especialidades de Cirurgia Cardiovascular Pediátrica e Hemodinâmica em Pediatria, e para prestação de Serviço de Diárias de Internação para assistência hospitalar aos pacientes da Clínica de Pediatria do Hospital Naval Marcílio Dias (HNMD).</w:t>
      </w:r>
    </w:p>
    <w:p>
      <w:pPr>
        <w:pStyle w:val="Normal"/>
        <w:widowControl w:val="false"/>
        <w:numPr>
          <w:ilvl w:val="1"/>
          <w:numId w:val="1"/>
        </w:numPr>
        <w:spacing w:lineRule="auto" w:line="276"/>
        <w:ind w:left="0" w:firstLine="709"/>
        <w:jc w:val="both"/>
        <w:rPr>
          <w:rFonts w:ascii="Calibri" w:hAnsi="Calibri"/>
        </w:rPr>
      </w:pPr>
      <w:r>
        <w:rPr>
          <w:rFonts w:ascii="Calibri" w:hAnsi="Calibri"/>
          <w:bCs/>
          <w:sz w:val="24"/>
        </w:rPr>
        <w:t>C</w:t>
      </w:r>
      <w:r>
        <w:rPr>
          <w:rFonts w:ascii="Calibri" w:hAnsi="Calibri"/>
          <w:sz w:val="24"/>
        </w:rPr>
        <w:t xml:space="preserve">onsiste também em prestação de serviço de Diária para internação clínica para pacientes com necessidade de internação em Unidades de Terapia Cardiointensiva e Apartamento para assistência por doença cardíaca congênita ou não, com ou sem necessidade de correção cirúrgica ou procedimento de hemodinâmica, para pacientes com doenças cardíacas primárias ou secundárias a complicações por outros agravos ou secundária a complicações pós-cirúrgicas ou pós-cateterismo, e também para pacientes pediátricos com quaisquer outras complicações cardiológicas ou não decorrentes de cirurgias cardíacas ou procedimentos de hemodinâmica realizados na OSE credenciada. </w:t>
      </w:r>
    </w:p>
    <w:p>
      <w:pPr>
        <w:pStyle w:val="Normal"/>
        <w:widowControl w:val="false"/>
        <w:numPr>
          <w:ilvl w:val="1"/>
          <w:numId w:val="1"/>
        </w:numPr>
        <w:spacing w:lineRule="auto" w:line="276"/>
        <w:ind w:left="0" w:firstLine="709"/>
        <w:jc w:val="both"/>
        <w:rPr>
          <w:rFonts w:ascii="Calibri" w:hAnsi="Calibri"/>
        </w:rPr>
      </w:pPr>
      <w:r>
        <w:rPr>
          <w:rFonts w:ascii="Calibri" w:hAnsi="Calibri"/>
          <w:sz w:val="24"/>
        </w:rPr>
        <w:t xml:space="preserve">Os encaminhamentos para internação também poderão corresponder a quaisquer outros diagnósticos ou patologias de pacientes pediátricos usuários do Sistema de Saúde da Marinha, aos quais necessitarem de internação para assistência hospitalar em caráter intensivo, semi-intensivo ou apartamento. Todas as internações serão realizadas somente após autorização do fiscal do contrato com emissão da respectiva </w:t>
      </w:r>
      <w:r>
        <w:rPr>
          <w:rFonts w:cs="Calibri" w:ascii="Calibri" w:hAnsi="Calibri"/>
          <w:sz w:val="24"/>
        </w:rPr>
        <w:t>Guia de Apresentação do Usuário (GAU)</w:t>
      </w:r>
      <w:r>
        <w:rPr>
          <w:rFonts w:ascii="Calibri" w:hAnsi="Calibri"/>
          <w:sz w:val="24"/>
        </w:rPr>
        <w:t>,</w:t>
      </w:r>
      <w:r>
        <w:rPr>
          <w:rFonts w:cs="Calibri" w:ascii="Calibri" w:hAnsi="Calibri"/>
          <w:sz w:val="24"/>
        </w:rPr>
        <w:t xml:space="preserve"> conforme condições, quantidades e exigências estabelecidas neste Termo de Referências e Apêndices, bem como no Edital</w:t>
      </w:r>
      <w:r>
        <w:rPr>
          <w:rFonts w:cs="Calibri" w:ascii="Calibri" w:hAnsi="Calibri"/>
          <w:iCs/>
          <w:sz w:val="24"/>
        </w:rPr>
        <w:t xml:space="preserve"> e seus anexos.</w:t>
      </w:r>
    </w:p>
    <w:p>
      <w:pPr>
        <w:sectPr>
          <w:headerReference w:type="default" r:id="rId4"/>
          <w:footerReference w:type="default" r:id="rId5"/>
          <w:type w:val="nextPage"/>
          <w:pgSz w:w="11906" w:h="16838"/>
          <w:pgMar w:left="1134" w:right="851" w:gutter="0" w:header="709" w:top="1701" w:footer="709" w:bottom="851"/>
          <w:pgNumType w:fmt="decimal"/>
          <w:formProt w:val="false"/>
          <w:textDirection w:val="lrTb"/>
          <w:docGrid w:type="default" w:linePitch="360" w:charSpace="57344"/>
        </w:sectPr>
        <w:pStyle w:val="Normal"/>
        <w:numPr>
          <w:ilvl w:val="1"/>
          <w:numId w:val="1"/>
        </w:numPr>
        <w:spacing w:lineRule="auto" w:line="276"/>
        <w:ind w:left="0" w:firstLine="709"/>
        <w:jc w:val="both"/>
        <w:rPr>
          <w:rFonts w:ascii="Calibri" w:hAnsi="Calibri"/>
        </w:rPr>
      </w:pPr>
      <w:r>
        <w:rPr>
          <w:rFonts w:cs="Calibri" w:ascii="Calibri" w:hAnsi="Calibri"/>
          <w:sz w:val="24"/>
        </w:rPr>
        <w:t>A presente contratação adotará o regime de execução por Tarefa (demanda).</w:t>
      </w:r>
    </w:p>
    <w:p>
      <w:pPr>
        <w:pStyle w:val="Normal"/>
        <w:numPr>
          <w:ilvl w:val="1"/>
          <w:numId w:val="1"/>
        </w:numPr>
        <w:spacing w:lineRule="auto" w:line="276"/>
        <w:ind w:left="0" w:firstLine="709"/>
        <w:jc w:val="both"/>
        <w:rPr>
          <w:rFonts w:ascii="Calibri" w:hAnsi="Calibri"/>
        </w:rPr>
      </w:pPr>
      <w:r>
        <w:rPr>
          <w:rFonts w:cs="Calibri" w:ascii="Calibri" w:hAnsi="Calibri"/>
          <w:b/>
          <w:sz w:val="24"/>
        </w:rPr>
        <w:t>O prazo de vigência inicial da contratação será de 05 (cinco) anos</w:t>
      </w:r>
      <w:r>
        <w:rPr>
          <w:rFonts w:cs="Calibri" w:ascii="Calibri" w:hAnsi="Calibri"/>
          <w:sz w:val="24"/>
        </w:rPr>
        <w:t>, contados a partir da data da assinatura do Contrato por credenciamento, sendo prorrogável em até 120 meses na forma dos arts. 106 e 107 da Lei  14.133/2021.</w:t>
      </w:r>
    </w:p>
    <w:p>
      <w:pPr>
        <w:pStyle w:val="Normal"/>
        <w:numPr>
          <w:ilvl w:val="1"/>
          <w:numId w:val="1"/>
        </w:numPr>
        <w:spacing w:lineRule="auto" w:line="276"/>
        <w:ind w:left="0" w:firstLine="709"/>
        <w:jc w:val="both"/>
        <w:rPr>
          <w:rFonts w:ascii="Calibri" w:hAnsi="Calibri"/>
        </w:rPr>
      </w:pPr>
      <w:r>
        <w:rPr>
          <w:rFonts w:cs="Calibri" w:ascii="Calibri" w:hAnsi="Calibri"/>
          <w:sz w:val="24"/>
        </w:rPr>
        <w:t>O serviço é enquadrado como continuado, tendo em vista a necessidade complementar, em manter o atendimento aos usuários do SSM. Assim a execução do serviço, conforme demanda será por contratação mediante Credenciamento, sem necessidade de mão de obra em regime de dedicação exclusiva.</w:t>
      </w:r>
    </w:p>
    <w:p>
      <w:pPr>
        <w:pStyle w:val="Normal"/>
        <w:spacing w:lineRule="auto" w:line="276"/>
        <w:ind w:left="1142" w:hanging="0"/>
        <w:jc w:val="both"/>
        <w:rPr>
          <w:rFonts w:ascii="Calibri" w:hAnsi="Calibri"/>
        </w:rPr>
      </w:pPr>
      <w:r>
        <w:rPr>
          <w:rFonts w:ascii="Calibri" w:hAnsi="Calibri"/>
        </w:rPr>
      </w:r>
    </w:p>
    <w:p>
      <w:pPr>
        <w:pStyle w:val="Normal"/>
        <w:numPr>
          <w:ilvl w:val="0"/>
          <w:numId w:val="1"/>
        </w:numPr>
        <w:shd w:val="clear" w:color="auto" w:fill="FFFFFF" w:themeFill="background1"/>
        <w:spacing w:lineRule="auto" w:line="276"/>
        <w:ind w:left="0" w:firstLine="709"/>
        <w:jc w:val="both"/>
        <w:rPr>
          <w:rFonts w:ascii="Calibri" w:hAnsi="Calibri"/>
        </w:rPr>
      </w:pPr>
      <w:r>
        <w:rPr>
          <w:rFonts w:cs="Calibri" w:ascii="Calibri" w:hAnsi="Calibri"/>
          <w:b/>
          <w:sz w:val="24"/>
        </w:rPr>
        <w:t>FUNDAMENTAÇÃO E DESCRIÇÃO DA NECESSIDADE DA CONTRATAÇÃO</w:t>
      </w:r>
    </w:p>
    <w:p>
      <w:pPr>
        <w:pStyle w:val="Normal"/>
        <w:numPr>
          <w:ilvl w:val="1"/>
          <w:numId w:val="1"/>
        </w:numPr>
        <w:shd w:val="clear" w:color="auto" w:fill="FFFFFF" w:themeFill="background1"/>
        <w:spacing w:lineRule="auto" w:line="276"/>
        <w:ind w:left="0" w:firstLine="709"/>
        <w:jc w:val="both"/>
        <w:rPr>
          <w:rFonts w:ascii="Calibri" w:hAnsi="Calibri"/>
        </w:rPr>
      </w:pPr>
      <w:r>
        <w:rPr>
          <w:rFonts w:cs="Calibri" w:ascii="Calibri" w:hAnsi="Calibri"/>
          <w:sz w:val="24"/>
        </w:rPr>
        <w:t xml:space="preserve">A Fundamentação da Contratação </w:t>
      </w:r>
      <w:r>
        <w:rPr>
          <w:rFonts w:cs="Calibri" w:ascii="Calibri" w:hAnsi="Calibri"/>
          <w:strike/>
          <w:sz w:val="24"/>
        </w:rPr>
        <w:t>e</w:t>
      </w:r>
      <w:r>
        <w:rPr>
          <w:rFonts w:cs="Calibri" w:ascii="Calibri" w:hAnsi="Calibri"/>
          <w:sz w:val="24"/>
        </w:rPr>
        <w:t xml:space="preserve"> de seus quantitativos encontra-se pormenorizada em tópico específico dos Estudos Técnicos Preliminares, apêndice deste Termo de Referência (TR).</w:t>
      </w:r>
    </w:p>
    <w:p>
      <w:pPr>
        <w:pStyle w:val="Normal"/>
        <w:numPr>
          <w:ilvl w:val="1"/>
          <w:numId w:val="1"/>
        </w:numPr>
        <w:spacing w:lineRule="auto" w:line="276"/>
        <w:ind w:left="0" w:firstLine="709"/>
        <w:jc w:val="both"/>
        <w:rPr>
          <w:rFonts w:ascii="Calibri" w:hAnsi="Calibri"/>
        </w:rPr>
      </w:pPr>
      <w:r>
        <w:rPr>
          <w:rFonts w:cs="Calibri" w:ascii="Calibri" w:hAnsi="Calibri"/>
          <w:sz w:val="24"/>
        </w:rPr>
        <w:t xml:space="preserve">A pretensa contratação é a título de complementação de serviços na Clínica de Pediatria, </w:t>
      </w:r>
      <w:r>
        <w:rPr>
          <w:rFonts w:cs="Calibri" w:ascii="Calibri" w:hAnsi="Calibri"/>
          <w:color w:val="000000"/>
          <w:sz w:val="24"/>
        </w:rPr>
        <w:t>à qual não dispõe de Cirurgiões especializados em Cirurgia Cardiovascular Pediátrica para a realização de procedimentos cirúrgicos incluindo médicos especializados em pós-operatório e pessoal especializado em Circulação Extracorpórea e de apoio, como instrumentadores cirúrgicos habilitados na especialidade. Também não dispõe de médicos com formação em procedimentos Hemodinâmicos no paciente pediátrico com cardiopatia congênita.</w:t>
      </w:r>
    </w:p>
    <w:p>
      <w:pPr>
        <w:pStyle w:val="Normal"/>
        <w:numPr>
          <w:ilvl w:val="1"/>
          <w:numId w:val="1"/>
        </w:numPr>
        <w:spacing w:lineRule="auto" w:line="276"/>
        <w:ind w:left="0" w:firstLine="709"/>
        <w:jc w:val="both"/>
        <w:rPr>
          <w:rFonts w:ascii="Calibri" w:hAnsi="Calibri" w:cs="Calibri"/>
          <w:sz w:val="24"/>
        </w:rPr>
      </w:pPr>
      <w:r>
        <w:rPr>
          <w:rFonts w:cs="Calibri" w:ascii="Calibri" w:hAnsi="Calibri"/>
          <w:color w:val="000000"/>
          <w:sz w:val="24"/>
        </w:rPr>
        <w:t>A contratação do serviço deverá suprir a necessidade de assistência Médico-Hospitalar, visando o atendimento aos usuários do Sistema de Saúde da Marinha, evitando assim descontinuidade do serviço com prejuízo à saúde dos pacientes.</w:t>
      </w:r>
    </w:p>
    <w:p>
      <w:pPr>
        <w:pStyle w:val="Normal"/>
        <w:numPr>
          <w:ilvl w:val="1"/>
          <w:numId w:val="1"/>
        </w:numPr>
        <w:spacing w:lineRule="auto" w:line="276"/>
        <w:ind w:left="0" w:firstLine="709"/>
        <w:jc w:val="both"/>
        <w:rPr>
          <w:rFonts w:ascii="Calibri" w:hAnsi="Calibri" w:cs="Calibri"/>
          <w:sz w:val="24"/>
        </w:rPr>
      </w:pPr>
      <w:r>
        <w:rPr>
          <w:rFonts w:eastAsia="Calibri" w:cs="Calibri" w:ascii="Calibri" w:hAnsi="Calibri"/>
          <w:b w:val="false"/>
          <w:bCs w:val="false"/>
          <w:color w:val="auto"/>
          <w:sz w:val="24"/>
          <w:szCs w:val="24"/>
          <w:lang w:val="pt-BR" w:eastAsia="zh-CN" w:bidi="ar-SA"/>
        </w:rPr>
        <w:t xml:space="preserve">Anualmente, observa-se abertura de vagas em concursos públicos para a área de Pediatria, conforme Editais publicados anualmente (até 2024) no sítio eletrônico da Marinha do Brasil, disponível em: </w:t>
      </w:r>
      <w:hyperlink r:id="rId6">
        <w:r>
          <w:rPr>
            <w:rStyle w:val="LinkdaInternet"/>
            <w:rFonts w:eastAsia="Calibri" w:cs="Calibri" w:ascii="Calibri" w:hAnsi="Calibri"/>
            <w:b w:val="false"/>
            <w:bCs w:val="false"/>
            <w:color w:val="auto"/>
            <w:sz w:val="24"/>
            <w:szCs w:val="24"/>
            <w:lang w:val="pt-BR" w:eastAsia="zh-CN" w:bidi="ar-SA"/>
          </w:rPr>
          <w:t>https://www.marinha.mil.br/sspm/csm-quadro-medicos/quadro-medicos_princ</w:t>
        </w:r>
      </w:hyperlink>
      <w:r>
        <w:rPr>
          <w:rFonts w:eastAsia="Calibri" w:cs="Calibri" w:ascii="Calibri" w:hAnsi="Calibri"/>
          <w:b w:val="false"/>
          <w:bCs w:val="false"/>
          <w:color w:val="auto"/>
          <w:sz w:val="24"/>
          <w:szCs w:val="24"/>
          <w:lang w:val="pt-BR" w:eastAsia="zh-CN" w:bidi="ar-SA"/>
        </w:rPr>
        <w:t xml:space="preserve">; </w:t>
      </w:r>
      <w:hyperlink r:id="rId7">
        <w:r>
          <w:rPr>
            <w:rStyle w:val="LinkdaInternet"/>
            <w:rFonts w:eastAsia="Calibri" w:cs="Calibri" w:ascii="Calibri" w:hAnsi="Calibri"/>
            <w:b w:val="false"/>
            <w:bCs w:val="false"/>
            <w:color w:val="auto"/>
            <w:sz w:val="24"/>
            <w:szCs w:val="24"/>
            <w:u w:val="none"/>
            <w:lang w:val="pt-BR" w:eastAsia="zh-CN" w:bidi="ar-SA"/>
          </w:rPr>
          <w:t>Corpo de Saúde - Quadro de Médicos - Edital</w:t>
        </w:r>
      </w:hyperlink>
      <w:r>
        <w:rPr>
          <w:rFonts w:eastAsia="Calibri" w:cs="Calibri" w:ascii="Calibri" w:hAnsi="Calibri"/>
          <w:b w:val="false"/>
          <w:bCs w:val="false"/>
          <w:color w:val="auto"/>
          <w:sz w:val="24"/>
          <w:szCs w:val="24"/>
          <w:u w:val="none"/>
          <w:lang w:val="pt-BR" w:eastAsia="zh-CN" w:bidi="ar-SA"/>
        </w:rPr>
        <w:t xml:space="preserve"> – anos anteriores. Entretanto, não são abertas vagas específicas para Cardiologia Pediátrica assim como não são abertas inscrições específicas para Cirurgia Cardíaca. </w:t>
      </w:r>
    </w:p>
    <w:p>
      <w:pPr>
        <w:pStyle w:val="Normal"/>
        <w:numPr>
          <w:ilvl w:val="1"/>
          <w:numId w:val="1"/>
        </w:numPr>
        <w:spacing w:lineRule="auto" w:line="276"/>
        <w:ind w:left="0" w:firstLine="709"/>
        <w:jc w:val="both"/>
        <w:rPr>
          <w:rFonts w:ascii="Calibri" w:hAnsi="Calibri" w:cs="Calibri"/>
          <w:sz w:val="24"/>
        </w:rPr>
      </w:pPr>
      <w:r>
        <w:rPr>
          <w:rFonts w:eastAsia="Times New Roman" w:cs="Calibri" w:ascii="Calibri" w:hAnsi="Calibri"/>
          <w:color w:val="000000"/>
          <w:kern w:val="0"/>
          <w:sz w:val="24"/>
          <w:szCs w:val="24"/>
          <w:lang w:val="pt-BR" w:eastAsia="pt-BR" w:bidi="ar-SA"/>
        </w:rPr>
        <w:t>Em 2023 foram abertas 02 vagas para oficiais do CORM na especialidade de neonatologia, no entanto, não houve inscritos, sendo estas vagas redirecionadas para a Pediatria geral, totalizando 8 vagas, com previsão de formação destes militares, caso ocorra, em outubro de 2024. Não houve abertura de vagas específicas para subespecialidade de Cardiologia Pediátrica assim como não foram abertas vagas para  a especialidade de Cirurgia Cardíaca.</w:t>
      </w:r>
    </w:p>
    <w:p>
      <w:pPr>
        <w:pStyle w:val="Normal"/>
        <w:numPr>
          <w:ilvl w:val="2"/>
          <w:numId w:val="1"/>
        </w:numPr>
        <w:spacing w:lineRule="auto" w:line="276"/>
        <w:ind w:left="0" w:firstLine="709"/>
        <w:jc w:val="both"/>
        <w:rPr>
          <w:rFonts w:ascii="Calibri" w:hAnsi="Calibri" w:eastAsia="Times New Roman" w:cs="Calibri"/>
          <w:color w:val="000000"/>
          <w:kern w:val="0"/>
          <w:sz w:val="24"/>
          <w:szCs w:val="24"/>
          <w:lang w:val="pt-BR" w:eastAsia="pt-BR" w:bidi="ar-SA"/>
        </w:rPr>
      </w:pPr>
      <w:r>
        <w:rPr>
          <w:rFonts w:eastAsia="Times New Roman" w:cs="Calibri" w:ascii="Calibri" w:hAnsi="Calibri"/>
          <w:color w:val="000000"/>
          <w:kern w:val="0"/>
          <w:sz w:val="24"/>
          <w:szCs w:val="24"/>
          <w:lang w:val="pt-BR" w:eastAsia="pt-BR" w:bidi="ar-SA"/>
        </w:rPr>
        <w:t>Ressaltando que, para a plena instalação do serviço de Cirurgia Cardíaca Pediátrica no HNMD, é necessário não somente a existência de profissionais formados nas especialidades de Cardiologia Pediátrica com experiência em Terapia cardiointensiva e Cirurgia Cardíaca Pediátrica. É necessária a presença na instituição dos referidos profissionais já com ampla experiência profissional, tendo em vista o elevado grau de complexidade dos casos apresentados pelos pacientes pediátricos portadores de cardiopatias. Sejam elas congênitas ou não. Além dos referidos profissionais, o Hospital Naval Marcílio Dias também carece de profissionais de Enfermagem de nível superior e de técnicos de enfermagem com experiência em pré e pós-operatório de cirurgia Cardíaca Pediátrica, já que este hospital nunca possuiu este serviço.</w:t>
      </w:r>
    </w:p>
    <w:p>
      <w:pPr>
        <w:pStyle w:val="Normal"/>
        <w:numPr>
          <w:ilvl w:val="2"/>
          <w:numId w:val="1"/>
        </w:numPr>
        <w:spacing w:lineRule="auto" w:line="276"/>
        <w:ind w:left="0" w:firstLine="709"/>
        <w:jc w:val="both"/>
        <w:rPr>
          <w:rFonts w:ascii="Calibri" w:hAnsi="Calibri" w:eastAsia="Times New Roman" w:cs="Calibri"/>
          <w:color w:val="000000"/>
          <w:kern w:val="0"/>
          <w:sz w:val="24"/>
          <w:szCs w:val="24"/>
          <w:lang w:val="pt-BR" w:eastAsia="pt-BR" w:bidi="ar-SA"/>
        </w:rPr>
      </w:pPr>
      <w:r>
        <w:rPr>
          <w:rFonts w:eastAsia="Times New Roman" w:cs="Calibri" w:ascii="Calibri" w:hAnsi="Calibri"/>
          <w:color w:val="000000"/>
          <w:kern w:val="0"/>
          <w:sz w:val="24"/>
          <w:szCs w:val="24"/>
          <w:lang w:val="pt-BR" w:eastAsia="pt-BR" w:bidi="ar-SA"/>
        </w:rPr>
        <w:t xml:space="preserve">Observa-se também a carência de anestesiologistas com experiência em cirurgia cardíaca pediátrica. Especialidade esta fundamental para que o serviço possa ser implementado. O HNMD também não possui profissional perfusionista com experiência em pacientes pediátricos que possam atuar em Cirurgia Cardíaca Pediátrica. O Hospital Naval Marcílio Dias também não dispõem em seu corpo clínico de profissionais que realizem e forneçam laudos de exames radiológicos de fundamental importância para avaliação de alguns pacientes cardiopatas como a angiotomografia. </w:t>
      </w:r>
    </w:p>
    <w:p>
      <w:pPr>
        <w:pStyle w:val="Normal"/>
        <w:numPr>
          <w:ilvl w:val="2"/>
          <w:numId w:val="1"/>
        </w:numPr>
        <w:spacing w:lineRule="auto" w:line="276"/>
        <w:ind w:left="0" w:firstLine="709"/>
        <w:jc w:val="both"/>
        <w:rPr>
          <w:rFonts w:ascii="Calibri" w:hAnsi="Calibri" w:eastAsia="Times New Roman" w:cs="Calibri"/>
          <w:color w:val="000000"/>
          <w:kern w:val="0"/>
          <w:sz w:val="24"/>
          <w:szCs w:val="24"/>
          <w:lang w:val="pt-BR" w:eastAsia="pt-BR" w:bidi="ar-SA"/>
        </w:rPr>
      </w:pPr>
      <w:r>
        <w:rPr>
          <w:rFonts w:eastAsia="Times New Roman" w:cs="Calibri" w:ascii="Calibri" w:hAnsi="Calibri"/>
          <w:color w:val="000000"/>
          <w:kern w:val="0"/>
          <w:sz w:val="24"/>
          <w:szCs w:val="24"/>
          <w:lang w:val="pt-BR" w:eastAsia="pt-BR" w:bidi="ar-SA"/>
        </w:rPr>
        <w:t xml:space="preserve">O Centro Cirúrgico do HNMD não dispõe de equipamentos de Circulação extracorpórea específicos para a realização de </w:t>
      </w:r>
      <w:r>
        <w:rPr>
          <w:rFonts w:eastAsia="Calibri" w:cs="Calibri" w:ascii="Calibri" w:hAnsi="Calibri"/>
          <w:color w:val="auto"/>
          <w:kern w:val="0"/>
          <w:sz w:val="24"/>
          <w:szCs w:val="24"/>
          <w:lang w:val="pt-BR" w:eastAsia="pt-BR" w:bidi="ar-SA"/>
        </w:rPr>
        <w:t>cirurgia</w:t>
      </w:r>
      <w:r>
        <w:rPr>
          <w:rFonts w:eastAsia="Times New Roman" w:cs="Calibri" w:ascii="Calibri" w:hAnsi="Calibri"/>
          <w:color w:val="000000"/>
          <w:kern w:val="0"/>
          <w:sz w:val="24"/>
          <w:szCs w:val="24"/>
          <w:lang w:val="pt-BR" w:eastAsia="pt-BR" w:bidi="ar-SA"/>
        </w:rPr>
        <w:t xml:space="preserve"> cardíaca pediátrica. A Clínica de Pediatria não dispõe de Unidade de Terapia Cardiointensiva para admissão de pacientes graves em pré operatório ou para atendimento a pacientes com cardiopatias congênitas ou não que necessitem de monitorização e cuidados cardiointensivos assim como para a adequada assistência aos pacientes em pós-operatório. A existência de uma Unidade de Terapia Cardiointensiva é fundamental para o funcionamento de um Serviço de Cirurgia Cardíaca pediátrica.</w:t>
      </w:r>
    </w:p>
    <w:p>
      <w:pPr>
        <w:pStyle w:val="Normal"/>
        <w:numPr>
          <w:ilvl w:val="1"/>
          <w:numId w:val="1"/>
        </w:numPr>
        <w:spacing w:lineRule="auto" w:line="276"/>
        <w:ind w:left="0" w:firstLine="709"/>
        <w:jc w:val="both"/>
        <w:rPr>
          <w:rFonts w:ascii="Calibri" w:hAnsi="Calibri" w:cs="Calibri"/>
          <w:sz w:val="24"/>
        </w:rPr>
      </w:pPr>
      <w:r>
        <w:rPr>
          <w:rFonts w:cs="Calibri" w:ascii="Calibri" w:hAnsi="Calibri"/>
          <w:color w:val="000000"/>
          <w:sz w:val="24"/>
        </w:rPr>
        <w:t>A definição dos procedimentos foram baseadas em demandas de anos anteriores, demonstradas no Estudo Técnico Preliminar (ETP), apêndice deste TR.</w:t>
      </w:r>
    </w:p>
    <w:p>
      <w:pPr>
        <w:pStyle w:val="Normal"/>
        <w:numPr>
          <w:ilvl w:val="1"/>
          <w:numId w:val="1"/>
        </w:numPr>
        <w:spacing w:lineRule="auto" w:line="276"/>
        <w:ind w:left="0" w:firstLine="709"/>
        <w:jc w:val="both"/>
        <w:rPr>
          <w:rFonts w:ascii="Calibri" w:hAnsi="Calibri" w:cs="Calibri"/>
          <w:sz w:val="24"/>
        </w:rPr>
      </w:pPr>
      <w:r>
        <w:rPr>
          <w:rFonts w:cs="Calibri" w:ascii="Calibri" w:hAnsi="Calibri"/>
          <w:sz w:val="24"/>
        </w:rPr>
        <w:t>As regras gerais e específicas dos procedimentos, bem como respectivos valores estão descritos no Item 5 – MODELO DE EXECUÇÃO DO OBJETO, deste Termo de Referência.</w:t>
      </w:r>
    </w:p>
    <w:p>
      <w:pPr>
        <w:pStyle w:val="Normal"/>
        <w:spacing w:lineRule="auto" w:line="276"/>
        <w:ind w:firstLine="709"/>
        <w:jc w:val="both"/>
        <w:rPr>
          <w:rFonts w:ascii="Calibri" w:hAnsi="Calibri" w:cs="Calibri"/>
          <w:sz w:val="24"/>
        </w:rPr>
      </w:pPr>
      <w:r>
        <w:rPr>
          <w:rFonts w:cs="Calibri" w:ascii="Calibri" w:hAnsi="Calibri"/>
          <w:sz w:val="24"/>
        </w:rPr>
      </w:r>
    </w:p>
    <w:p>
      <w:pPr>
        <w:pStyle w:val="Normal"/>
        <w:numPr>
          <w:ilvl w:val="0"/>
          <w:numId w:val="1"/>
        </w:numPr>
        <w:spacing w:lineRule="auto" w:line="276"/>
        <w:ind w:left="0" w:firstLine="709"/>
        <w:rPr>
          <w:rFonts w:ascii="Calibri" w:hAnsi="Calibri"/>
        </w:rPr>
      </w:pPr>
      <w:r>
        <w:rPr>
          <w:rFonts w:cs="Calibri" w:ascii="Calibri" w:hAnsi="Calibri"/>
          <w:b/>
          <w:sz w:val="24"/>
        </w:rPr>
        <w:t>DESCRIÇÃO DA SOLUÇÃO COMO UM TODO CONSIDERADO O CICLO DE VIDA DO OBJETO</w:t>
      </w:r>
    </w:p>
    <w:p>
      <w:pPr>
        <w:pStyle w:val="Normal"/>
        <w:numPr>
          <w:ilvl w:val="1"/>
          <w:numId w:val="1"/>
        </w:numPr>
        <w:tabs>
          <w:tab w:val="clear" w:pos="720"/>
          <w:tab w:val="left" w:pos="567" w:leader="none"/>
        </w:tabs>
        <w:spacing w:lineRule="auto" w:line="276"/>
        <w:ind w:left="0" w:firstLine="709"/>
        <w:jc w:val="both"/>
        <w:rPr>
          <w:rFonts w:ascii="Calibri" w:hAnsi="Calibri" w:cs="Calibri"/>
          <w:sz w:val="24"/>
        </w:rPr>
      </w:pPr>
      <w:r>
        <w:rPr>
          <w:rFonts w:cs="Calibri" w:ascii="Calibri" w:hAnsi="Calibri"/>
          <w:sz w:val="24"/>
        </w:rPr>
        <w:t>O presente credenciamento converge com a Missão do Hospital Naval Marcílio Dias: “</w:t>
      </w:r>
      <w:r>
        <w:rPr>
          <w:rFonts w:cs="Calibri" w:ascii="Calibri" w:hAnsi="Calibri"/>
          <w:color w:val="222222"/>
          <w:sz w:val="24"/>
          <w:shd w:fill="FFFFFF" w:val="clear"/>
        </w:rPr>
        <w:t xml:space="preserve">Contribuir para a eficácia do Sistema de Saúde da Marinha, prestando atendimento médico-hospitalar de média e alta complexidade, especializando o pessoal com a aplicação de cursos na área de saúde, planejando e executando a pesquisa biomédica de interesse para a Marinha”. </w:t>
      </w:r>
    </w:p>
    <w:p>
      <w:pPr>
        <w:pStyle w:val="Normal"/>
        <w:numPr>
          <w:ilvl w:val="1"/>
          <w:numId w:val="1"/>
        </w:numPr>
        <w:tabs>
          <w:tab w:val="clear" w:pos="720"/>
          <w:tab w:val="left" w:pos="567" w:leader="none"/>
        </w:tabs>
        <w:spacing w:lineRule="auto" w:line="276"/>
        <w:ind w:left="0" w:firstLine="709"/>
        <w:jc w:val="both"/>
        <w:rPr>
          <w:rFonts w:ascii="Calibri" w:hAnsi="Calibri" w:cs="Calibri"/>
          <w:sz w:val="24"/>
        </w:rPr>
      </w:pPr>
      <w:r>
        <w:rPr>
          <w:rFonts w:cs="Calibri" w:ascii="Calibri" w:hAnsi="Calibri"/>
          <w:sz w:val="24"/>
        </w:rPr>
        <w:t>Segundo o Tribunal de Contas da União, entre as vantagens advindas do credenciamento, encontramos a contratação da Administração Pública de uma melhor qualidade dos serviços e o menor preço obtido.</w:t>
      </w:r>
      <w:r>
        <w:rPr>
          <w:rFonts w:cs="Calibri" w:ascii="Calibri" w:hAnsi="Calibri"/>
          <w:i/>
          <w:iCs/>
          <w:sz w:val="24"/>
        </w:rPr>
        <w:t xml:space="preserve"> (Decisão 104/95 – Plenário).</w:t>
      </w:r>
    </w:p>
    <w:p>
      <w:pPr>
        <w:pStyle w:val="Normal"/>
        <w:numPr>
          <w:ilvl w:val="1"/>
          <w:numId w:val="1"/>
        </w:numPr>
        <w:tabs>
          <w:tab w:val="clear" w:pos="720"/>
          <w:tab w:val="left" w:pos="567" w:leader="none"/>
        </w:tabs>
        <w:spacing w:lineRule="auto" w:line="276"/>
        <w:ind w:left="0" w:firstLine="709"/>
        <w:jc w:val="both"/>
        <w:rPr>
          <w:rFonts w:ascii="Calibri" w:hAnsi="Calibri"/>
        </w:rPr>
      </w:pPr>
      <w:r>
        <w:rPr>
          <w:rFonts w:cs="Calibri" w:ascii="Calibri" w:hAnsi="Calibri"/>
          <w:sz w:val="24"/>
        </w:rPr>
        <w:t>O credenciamento externo viabiliza possibilidade de “escoamento” da demanda reprimida quando o aprazamento do procedimento ultrapassar tempo razoável para investigação e tratamento de patologias. Dessa forma, a contratação pretendida objetiva atender aquelas necessidades, assegurando o direito constitucional à vida e à saúde dos usuários do Sistema de Saúde da Marinha.</w:t>
      </w:r>
    </w:p>
    <w:p>
      <w:pPr>
        <w:pStyle w:val="Normal"/>
        <w:numPr>
          <w:ilvl w:val="1"/>
          <w:numId w:val="1"/>
        </w:numPr>
        <w:tabs>
          <w:tab w:val="clear" w:pos="720"/>
          <w:tab w:val="left" w:pos="567" w:leader="none"/>
        </w:tabs>
        <w:spacing w:lineRule="auto" w:line="276"/>
        <w:ind w:left="0" w:firstLine="709"/>
        <w:jc w:val="both"/>
        <w:rPr>
          <w:rFonts w:ascii="Calibri" w:hAnsi="Calibri"/>
        </w:rPr>
      </w:pPr>
      <w:r>
        <w:rPr>
          <w:rFonts w:cs="Calibri" w:ascii="Calibri" w:hAnsi="Calibri"/>
          <w:iCs/>
          <w:sz w:val="24"/>
        </w:rPr>
        <w:t>A descrição da solução como um todo, encontra-se pormenorizada em Tópico específico dos Estudos Técnicos Preliminares, apêndice do TR.</w:t>
      </w:r>
    </w:p>
    <w:p>
      <w:pPr>
        <w:pStyle w:val="Normal"/>
        <w:spacing w:lineRule="auto" w:line="276"/>
        <w:ind w:firstLine="709"/>
        <w:jc w:val="both"/>
        <w:rPr>
          <w:rFonts w:ascii="Calibri" w:hAnsi="Calibri" w:cs="Calibri"/>
          <w:sz w:val="24"/>
        </w:rPr>
      </w:pPr>
      <w:r>
        <w:rPr>
          <w:rFonts w:cs="Calibri" w:ascii="Calibri" w:hAnsi="Calibri"/>
          <w:sz w:val="24"/>
        </w:rPr>
      </w:r>
    </w:p>
    <w:p>
      <w:pPr>
        <w:pStyle w:val="Nivel01"/>
        <w:numPr>
          <w:ilvl w:val="0"/>
          <w:numId w:val="1"/>
        </w:numPr>
        <w:tabs>
          <w:tab w:val="clear" w:pos="720"/>
          <w:tab w:val="left" w:pos="567" w:leader="none"/>
        </w:tabs>
        <w:suppressAutoHyphens w:val="false"/>
        <w:spacing w:before="0" w:after="0"/>
        <w:ind w:left="0" w:right="0" w:firstLine="709"/>
        <w:outlineLvl w:val="0"/>
        <w:rPr>
          <w:rFonts w:ascii="Calibri" w:hAnsi="Calibri"/>
        </w:rPr>
      </w:pPr>
      <w:r>
        <w:drawing>
          <wp:anchor behindDoc="1" distT="0" distB="0" distL="0" distR="0" simplePos="0" locked="0" layoutInCell="0" allowOverlap="1" relativeHeight="5">
            <wp:simplePos x="0" y="0"/>
            <wp:positionH relativeFrom="page">
              <wp:posOffset>6134100</wp:posOffset>
            </wp:positionH>
            <wp:positionV relativeFrom="page">
              <wp:posOffset>109855</wp:posOffset>
            </wp:positionV>
            <wp:extent cx="1080135" cy="1080135"/>
            <wp:effectExtent l="0" t="0" r="0" b="0"/>
            <wp:wrapNone/>
            <wp:docPr id="3"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descr=""/>
                    <pic:cNvPicPr>
                      <a:picLocks noChangeAspect="1" noChangeArrowheads="1"/>
                    </pic:cNvPicPr>
                  </pic:nvPicPr>
                  <pic:blipFill>
                    <a:blip r:embed="rId8"/>
                    <a:stretch>
                      <a:fillRect/>
                    </a:stretch>
                  </pic:blipFill>
                  <pic:spPr bwMode="auto">
                    <a:xfrm>
                      <a:off x="0" y="0"/>
                      <a:ext cx="1080135" cy="1080135"/>
                    </a:xfrm>
                    <a:prstGeom prst="rect">
                      <a:avLst/>
                    </a:prstGeom>
                  </pic:spPr>
                </pic:pic>
              </a:graphicData>
            </a:graphic>
          </wp:anchor>
        </w:drawing>
      </w:r>
      <w:r>
        <w:rPr>
          <w:rFonts w:cs="Calibri" w:ascii="Calibri" w:hAnsi="Calibri"/>
          <w:color w:val="auto"/>
          <w:sz w:val="24"/>
          <w:szCs w:val="24"/>
        </w:rPr>
        <w:t>REQUISITOS DA CONTRATAÇÃO</w:t>
      </w:r>
    </w:p>
    <w:p>
      <w:pPr>
        <w:pStyle w:val="Nvel01SemNumerao"/>
        <w:rPr/>
      </w:pPr>
      <w:r>
        <w:rPr/>
        <w:t>Sustentabilidade</w:t>
      </w:r>
    </w:p>
    <w:p>
      <w:pPr>
        <w:pStyle w:val="Normal"/>
        <w:numPr>
          <w:ilvl w:val="1"/>
          <w:numId w:val="1"/>
        </w:numPr>
        <w:spacing w:lineRule="auto" w:line="276"/>
        <w:ind w:left="0" w:firstLine="709"/>
        <w:jc w:val="both"/>
        <w:rPr>
          <w:rFonts w:ascii="Calibri" w:hAnsi="Calibri" w:cs="Calibri"/>
          <w:iCs/>
          <w:sz w:val="24"/>
        </w:rPr>
      </w:pPr>
      <w:r>
        <w:rPr>
          <w:rFonts w:cs="Calibri" w:ascii="Calibri" w:hAnsi="Calibri"/>
          <w:iCs/>
          <w:sz w:val="24"/>
        </w:rPr>
        <w:t>Conforme Estudos Preliminares, além de outros descritos, os requisitos da contratação abrangem o seguinte:</w:t>
      </w:r>
    </w:p>
    <w:p>
      <w:pPr>
        <w:pStyle w:val="Normal"/>
        <w:numPr>
          <w:ilvl w:val="2"/>
          <w:numId w:val="1"/>
        </w:numPr>
        <w:tabs>
          <w:tab w:val="clear" w:pos="720"/>
          <w:tab w:val="left" w:pos="851" w:leader="none"/>
        </w:tabs>
        <w:spacing w:lineRule="auto" w:line="276"/>
        <w:ind w:left="0" w:firstLine="709"/>
        <w:jc w:val="both"/>
        <w:rPr>
          <w:rFonts w:ascii="Calibri" w:hAnsi="Calibri" w:cs="Calibri"/>
          <w:iCs/>
          <w:sz w:val="24"/>
        </w:rPr>
      </w:pPr>
      <w:r>
        <w:rPr>
          <w:rFonts w:cs="Calibri" w:ascii="Calibri" w:hAnsi="Calibri"/>
          <w:bCs/>
          <w:iCs/>
          <w:sz w:val="24"/>
        </w:rPr>
        <w:t>Este TR observará em todas as fases do procedimento as orientações e normas voltadas para a sustentabilidade ambiental, prevendo, inclusive, as recomendações quanto à responsabilidade da OSE pelo recolhimento e descarte dos materiais, bem como a apresentação de documentos físicos, copiados ou impressos;</w:t>
      </w:r>
    </w:p>
    <w:p>
      <w:pPr>
        <w:pStyle w:val="Normal"/>
        <w:numPr>
          <w:ilvl w:val="2"/>
          <w:numId w:val="1"/>
        </w:numPr>
        <w:tabs>
          <w:tab w:val="clear" w:pos="720"/>
          <w:tab w:val="left" w:pos="851" w:leader="none"/>
        </w:tabs>
        <w:spacing w:lineRule="auto" w:line="276"/>
        <w:ind w:left="0" w:firstLine="709"/>
        <w:jc w:val="both"/>
        <w:rPr>
          <w:rFonts w:ascii="Calibri" w:hAnsi="Calibri"/>
        </w:rPr>
      </w:pPr>
      <w:r>
        <w:rPr>
          <w:rFonts w:cs="Calibri" w:ascii="Calibri" w:hAnsi="Calibri"/>
          <w:bCs/>
          <w:sz w:val="24"/>
        </w:rPr>
        <w:t>D</w:t>
      </w:r>
      <w:r>
        <w:rPr>
          <w:rFonts w:cs="Calibri" w:ascii="Calibri" w:hAnsi="Calibri"/>
          <w:bCs/>
          <w:iCs/>
          <w:sz w:val="24"/>
        </w:rPr>
        <w:t>entre as recomendações voltadas para a sustentabilidade ambiental, a presente licitação observará também os seguintes critérios elencados na Instrução Normativa n° 1 de 19 de janeiro de 2010 da Secretaria de Logística e Tecnologia da Informação do Ministério do Planejamento, Orçamento e Gestão:</w:t>
      </w:r>
    </w:p>
    <w:p>
      <w:pPr>
        <w:pStyle w:val="Normal"/>
        <w:numPr>
          <w:ilvl w:val="3"/>
          <w:numId w:val="1"/>
        </w:numPr>
        <w:spacing w:lineRule="auto" w:line="276"/>
        <w:ind w:left="0" w:firstLine="709"/>
        <w:jc w:val="both"/>
        <w:rPr>
          <w:rFonts w:ascii="Calibri" w:hAnsi="Calibri"/>
        </w:rPr>
      </w:pPr>
      <w:r>
        <w:rPr>
          <w:rFonts w:cs="Calibri" w:ascii="Calibri" w:hAnsi="Calibri"/>
          <w:bCs/>
          <w:sz w:val="24"/>
        </w:rPr>
        <w:t>Q</w:t>
      </w:r>
      <w:r>
        <w:rPr>
          <w:rFonts w:cs="Calibri" w:ascii="Calibri" w:hAnsi="Calibri"/>
          <w:bCs/>
          <w:iCs/>
          <w:sz w:val="24"/>
        </w:rPr>
        <w:t>uando o caso, que os bens sejam constituídos, no todo ou em parte, por material reciclado, atóxico, biodegradável, conforme ABNT NBR 15448-1 e 15448-2;</w:t>
      </w:r>
    </w:p>
    <w:p>
      <w:pPr>
        <w:pStyle w:val="Normal"/>
        <w:numPr>
          <w:ilvl w:val="3"/>
          <w:numId w:val="1"/>
        </w:numPr>
        <w:spacing w:lineRule="auto" w:line="276"/>
        <w:ind w:left="0" w:firstLine="709"/>
        <w:jc w:val="both"/>
        <w:rPr>
          <w:rFonts w:ascii="Calibri" w:hAnsi="Calibri" w:cs="Calibri"/>
          <w:iCs/>
          <w:sz w:val="24"/>
        </w:rPr>
      </w:pPr>
      <w:r>
        <w:rPr>
          <w:rFonts w:cs="Calibri" w:ascii="Calibri" w:hAnsi="Calibri"/>
          <w:bCs/>
          <w:iCs/>
          <w:sz w:val="24"/>
        </w:rPr>
        <w:t>Que sejam observados os requisitos ambientais para a obtenção de certificação do Instituto Nacional de Metrologia, Normalização e Qualidade Industrial – INMETRO como produtos sustentáveis ou de menor impacto ambiental em relação aos seus similares;</w:t>
      </w:r>
    </w:p>
    <w:p>
      <w:pPr>
        <w:pStyle w:val="Normal"/>
        <w:numPr>
          <w:ilvl w:val="3"/>
          <w:numId w:val="1"/>
        </w:numPr>
        <w:spacing w:lineRule="auto" w:line="276"/>
        <w:ind w:left="0" w:firstLine="709"/>
        <w:jc w:val="both"/>
        <w:rPr>
          <w:rFonts w:ascii="Calibri" w:hAnsi="Calibri" w:cs="Calibri"/>
          <w:iCs/>
          <w:sz w:val="24"/>
        </w:rPr>
      </w:pPr>
      <w:r>
        <w:rPr>
          <w:rFonts w:cs="Calibri" w:ascii="Calibri" w:hAnsi="Calibri"/>
          <w:bCs/>
          <w:iCs/>
          <w:sz w:val="24"/>
        </w:rPr>
        <w:t>Que os bens devam ser, preferencialmente, acondicionados em embalagem individual adequada, com o menor volume possível, que utilize materiais recicláveis, de forma a garantir a máxima proteção durante o transporte e o armazenamento;</w:t>
      </w:r>
    </w:p>
    <w:p>
      <w:pPr>
        <w:pStyle w:val="Normal"/>
        <w:numPr>
          <w:ilvl w:val="1"/>
          <w:numId w:val="1"/>
        </w:numPr>
        <w:spacing w:lineRule="auto" w:line="276"/>
        <w:ind w:left="0" w:firstLine="709"/>
        <w:jc w:val="both"/>
        <w:rPr>
          <w:rFonts w:ascii="Calibri" w:hAnsi="Calibri" w:cs="Calibri"/>
          <w:iCs/>
          <w:sz w:val="24"/>
        </w:rPr>
      </w:pPr>
      <w:r>
        <w:rPr>
          <w:rFonts w:cs="Calibri" w:ascii="Calibri" w:hAnsi="Calibri"/>
          <w:iCs/>
          <w:sz w:val="24"/>
        </w:rPr>
        <w:t>Declaração do licitante de que tem pleno conhecimento das condições necessárias para a prestação do serviço;</w:t>
      </w:r>
    </w:p>
    <w:p>
      <w:pPr>
        <w:pStyle w:val="Normal"/>
        <w:numPr>
          <w:ilvl w:val="1"/>
          <w:numId w:val="1"/>
        </w:numPr>
        <w:spacing w:lineRule="auto" w:line="276"/>
        <w:ind w:left="0" w:firstLine="709"/>
        <w:jc w:val="both"/>
        <w:rPr>
          <w:rFonts w:ascii="Calibri" w:hAnsi="Calibri"/>
        </w:rPr>
      </w:pPr>
      <w:r>
        <w:rPr>
          <w:rFonts w:cs="Calibri" w:ascii="Calibri" w:hAnsi="Calibri"/>
          <w:sz w:val="24"/>
        </w:rPr>
        <w:t>R</w:t>
      </w:r>
      <w:r>
        <w:rPr>
          <w:rFonts w:cs="Calibri" w:ascii="Calibri" w:hAnsi="Calibri"/>
          <w:iCs/>
          <w:sz w:val="24"/>
        </w:rPr>
        <w:t>egistro no Cadastro Nacional de Estabelecimentos de Saúde (CNES), documento público e sistema de informação oficial de cadastramento de informação acerca de todos os estabelecimentos de saúde do país;</w:t>
      </w:r>
    </w:p>
    <w:p>
      <w:pPr>
        <w:pStyle w:val="Normal"/>
        <w:numPr>
          <w:ilvl w:val="1"/>
          <w:numId w:val="1"/>
        </w:numPr>
        <w:spacing w:lineRule="auto" w:line="276"/>
        <w:ind w:left="0" w:firstLine="709"/>
        <w:jc w:val="both"/>
        <w:rPr>
          <w:rFonts w:ascii="Calibri" w:hAnsi="Calibri"/>
        </w:rPr>
      </w:pPr>
      <w:r>
        <w:rPr>
          <w:rFonts w:cs="Calibri" w:ascii="Calibri" w:hAnsi="Calibri"/>
          <w:iCs/>
          <w:sz w:val="24"/>
        </w:rPr>
        <w:t>As obrigações da Contratada e Contratante estão previstas em Edital.</w:t>
      </w:r>
    </w:p>
    <w:p>
      <w:pPr>
        <w:pStyle w:val="Normal"/>
        <w:spacing w:lineRule="auto" w:line="276"/>
        <w:jc w:val="both"/>
        <w:rPr>
          <w:rFonts w:ascii="Calibri" w:hAnsi="Calibri" w:cs="Calibri"/>
          <w:b/>
          <w:b/>
          <w:sz w:val="24"/>
        </w:rPr>
      </w:pPr>
      <w:r>
        <w:rPr>
          <w:rFonts w:cs="Calibri" w:ascii="Calibri" w:hAnsi="Calibri"/>
          <w:b/>
          <w:sz w:val="24"/>
        </w:rPr>
      </w:r>
    </w:p>
    <w:p>
      <w:pPr>
        <w:pStyle w:val="Normal"/>
        <w:spacing w:lineRule="auto" w:line="276"/>
        <w:jc w:val="both"/>
        <w:rPr>
          <w:rFonts w:ascii="Calibri" w:hAnsi="Calibri"/>
        </w:rPr>
      </w:pPr>
      <w:r>
        <w:rPr>
          <w:rFonts w:cs="Calibri" w:ascii="Calibri" w:hAnsi="Calibri"/>
          <w:b/>
          <w:sz w:val="24"/>
        </w:rPr>
        <w:t>Indicação de marcas/modelos; e Das vedações</w:t>
      </w:r>
    </w:p>
    <w:p>
      <w:pPr>
        <w:pStyle w:val="ListParagraph"/>
        <w:numPr>
          <w:ilvl w:val="1"/>
          <w:numId w:val="1"/>
        </w:numPr>
        <w:spacing w:lineRule="auto" w:line="276"/>
        <w:ind w:left="0" w:firstLine="709"/>
        <w:jc w:val="both"/>
        <w:rPr>
          <w:rFonts w:ascii="Calibri" w:hAnsi="Calibri" w:cs="Calibri"/>
          <w:iCs/>
          <w:sz w:val="24"/>
        </w:rPr>
      </w:pPr>
      <w:r>
        <w:rPr>
          <w:rFonts w:cs="Calibri" w:ascii="Calibri" w:hAnsi="Calibri"/>
          <w:iCs/>
          <w:sz w:val="24"/>
        </w:rPr>
        <w:t>Não se aplica a presente contratação.</w:t>
      </w:r>
    </w:p>
    <w:p>
      <w:pPr>
        <w:pStyle w:val="ListParagraph"/>
        <w:spacing w:lineRule="auto" w:line="276"/>
        <w:ind w:left="709" w:hanging="0"/>
        <w:jc w:val="both"/>
        <w:rPr>
          <w:rFonts w:ascii="Calibri" w:hAnsi="Calibri" w:cs="Calibri"/>
          <w:sz w:val="24"/>
        </w:rPr>
      </w:pPr>
      <w:r>
        <w:rPr>
          <w:rFonts w:cs="Calibri" w:ascii="Calibri" w:hAnsi="Calibri"/>
          <w:sz w:val="24"/>
        </w:rPr>
      </w:r>
    </w:p>
    <w:p>
      <w:pPr>
        <w:pStyle w:val="Nvel1SemNum"/>
        <w:rPr/>
      </w:pPr>
      <w:r>
        <w:rPr/>
        <w:t>Da exigência de carta de solidariedade</w:t>
      </w:r>
    </w:p>
    <w:p>
      <w:pPr>
        <w:pStyle w:val="ListParagraph"/>
        <w:numPr>
          <w:ilvl w:val="1"/>
          <w:numId w:val="1"/>
        </w:numPr>
        <w:spacing w:lineRule="auto" w:line="276"/>
        <w:ind w:left="0" w:firstLine="709"/>
        <w:jc w:val="both"/>
        <w:rPr>
          <w:rFonts w:ascii="Calibri" w:hAnsi="Calibri"/>
        </w:rPr>
      </w:pPr>
      <w:r>
        <w:rPr>
          <w:rFonts w:cs="Calibri" w:ascii="Calibri" w:hAnsi="Calibri"/>
          <w:sz w:val="24"/>
        </w:rPr>
        <w:t>Não se aplica a presente contratação.</w:t>
      </w:r>
    </w:p>
    <w:p>
      <w:pPr>
        <w:pStyle w:val="Normal"/>
        <w:spacing w:lineRule="auto" w:line="276"/>
        <w:jc w:val="both"/>
        <w:rPr>
          <w:rFonts w:ascii="Calibri" w:hAnsi="Calibri"/>
        </w:rPr>
      </w:pPr>
      <w:r>
        <w:rPr>
          <w:rFonts w:cs="Calibri" w:ascii="Calibri" w:hAnsi="Calibri"/>
          <w:b/>
          <w:sz w:val="24"/>
        </w:rPr>
        <w:t>Da Subcontratação</w:t>
      </w:r>
    </w:p>
    <w:p>
      <w:pPr>
        <w:pStyle w:val="Normal"/>
        <w:numPr>
          <w:ilvl w:val="1"/>
          <w:numId w:val="1"/>
        </w:numPr>
        <w:spacing w:lineRule="auto" w:line="276"/>
        <w:ind w:left="0" w:firstLine="709"/>
        <w:jc w:val="both"/>
        <w:rPr>
          <w:rFonts w:ascii="Calibri" w:hAnsi="Calibri"/>
        </w:rPr>
      </w:pPr>
      <w:r>
        <w:rPr>
          <w:rFonts w:cs="Calibri" w:ascii="Calibri" w:hAnsi="Calibri"/>
          <w:sz w:val="24"/>
        </w:rPr>
        <w:t>Não será admitida a subcontratação.</w:t>
      </w:r>
    </w:p>
    <w:p>
      <w:pPr>
        <w:pStyle w:val="Normal"/>
        <w:numPr>
          <w:ilvl w:val="0"/>
          <w:numId w:val="0"/>
        </w:numPr>
        <w:spacing w:lineRule="auto" w:line="276"/>
        <w:ind w:left="1142" w:hanging="0"/>
        <w:jc w:val="both"/>
        <w:rPr>
          <w:rFonts w:ascii="Calibri" w:hAnsi="Calibri"/>
        </w:rPr>
      </w:pPr>
      <w:r>
        <w:rPr>
          <w:rFonts w:ascii="Calibri" w:hAnsi="Calibri"/>
        </w:rPr>
      </w:r>
    </w:p>
    <w:p>
      <w:pPr>
        <w:pStyle w:val="Normal"/>
        <w:spacing w:lineRule="auto" w:line="276"/>
        <w:jc w:val="both"/>
        <w:rPr>
          <w:rFonts w:ascii="Calibri" w:hAnsi="Calibri"/>
        </w:rPr>
      </w:pPr>
      <w:r>
        <w:rPr>
          <w:rFonts w:cs="Calibri" w:ascii="Calibri" w:hAnsi="Calibri"/>
          <w:b/>
          <w:bCs/>
          <w:sz w:val="24"/>
        </w:rPr>
        <w:t>Da Garantia da Execução</w:t>
      </w:r>
    </w:p>
    <w:p>
      <w:pPr>
        <w:pStyle w:val="Normal"/>
        <w:numPr>
          <w:ilvl w:val="1"/>
          <w:numId w:val="1"/>
        </w:numPr>
        <w:tabs>
          <w:tab w:val="clear" w:pos="720"/>
          <w:tab w:val="left" w:pos="567" w:leader="none"/>
        </w:tabs>
        <w:spacing w:lineRule="auto" w:line="276"/>
        <w:ind w:left="0" w:firstLine="709"/>
        <w:jc w:val="both"/>
        <w:rPr>
          <w:rFonts w:ascii="Calibri" w:hAnsi="Calibri"/>
        </w:rPr>
      </w:pPr>
      <w:r>
        <w:rPr>
          <w:rFonts w:cs="Calibri" w:ascii="Calibri" w:hAnsi="Calibri"/>
          <w:sz w:val="24"/>
        </w:rPr>
        <w:t>Não haverá exigência de garantia contratual dos artigos 96 e seguintes da Lei 14.133/21 pelas razões dos serviços serem executados em local de responsabilidade da contratada e o pagamento ser pago apenas em contrapartida do serviço executado, quando solicitado pela administração, e o pagamento após a execução, verificação e convalidação do mesmo.</w:t>
      </w:r>
    </w:p>
    <w:p>
      <w:pPr>
        <w:pStyle w:val="ListParagraph"/>
        <w:tabs>
          <w:tab w:val="clear" w:pos="720"/>
          <w:tab w:val="left" w:pos="567" w:leader="none"/>
        </w:tabs>
        <w:spacing w:lineRule="auto" w:line="276"/>
        <w:ind w:left="0" w:firstLine="709"/>
        <w:jc w:val="both"/>
        <w:rPr>
          <w:rFonts w:ascii="Calibri" w:hAnsi="Calibri"/>
        </w:rPr>
      </w:pPr>
      <w:r>
        <w:rPr>
          <w:rFonts w:cs="Calibri" w:ascii="Calibri" w:hAnsi="Calibri"/>
          <w:b/>
          <w:bCs/>
          <w:sz w:val="24"/>
        </w:rPr>
        <w:tab/>
        <w:t xml:space="preserve">4.8.1 </w:t>
        <w:tab/>
      </w:r>
      <w:r>
        <w:rPr>
          <w:rFonts w:cs="Calibri" w:ascii="Calibri" w:hAnsi="Calibri"/>
          <w:b/>
          <w:color w:val="000000"/>
          <w:sz w:val="24"/>
        </w:rPr>
        <w:t>O credenciamento não obriga a administração pública a contratar.</w:t>
      </w:r>
      <w:r>
        <w:rPr>
          <w:rFonts w:cs="Calibri" w:ascii="Calibri" w:hAnsi="Calibri"/>
          <w:b/>
          <w:sz w:val="24"/>
        </w:rPr>
        <w:t xml:space="preserve"> (Art. 4º do Dec. 11.878/24). </w:t>
      </w:r>
    </w:p>
    <w:p>
      <w:pPr>
        <w:pStyle w:val="Normal"/>
        <w:spacing w:lineRule="auto" w:line="276"/>
        <w:jc w:val="both"/>
        <w:rPr>
          <w:rFonts w:ascii="Calibri" w:hAnsi="Calibri" w:cs="Calibri"/>
          <w:b/>
          <w:b/>
          <w:bCs/>
          <w:sz w:val="24"/>
        </w:rPr>
      </w:pPr>
      <w:r>
        <w:rPr>
          <w:rFonts w:cs="Calibri" w:ascii="Calibri" w:hAnsi="Calibri"/>
          <w:b/>
          <w:bCs/>
          <w:sz w:val="24"/>
        </w:rPr>
      </w:r>
    </w:p>
    <w:p>
      <w:pPr>
        <w:pStyle w:val="Normal"/>
        <w:spacing w:lineRule="auto" w:line="276"/>
        <w:jc w:val="both"/>
        <w:rPr>
          <w:rFonts w:ascii="Calibri" w:hAnsi="Calibri"/>
        </w:rPr>
      </w:pPr>
      <w:r>
        <w:rPr>
          <w:rFonts w:cs="Calibri" w:ascii="Calibri" w:hAnsi="Calibri"/>
          <w:b/>
          <w:bCs/>
          <w:sz w:val="24"/>
        </w:rPr>
        <w:t>Da Vistoria</w:t>
      </w:r>
    </w:p>
    <w:p>
      <w:pPr>
        <w:pStyle w:val="Normal"/>
        <w:numPr>
          <w:ilvl w:val="1"/>
          <w:numId w:val="1"/>
        </w:numPr>
        <w:spacing w:lineRule="auto" w:line="276"/>
        <w:ind w:left="0" w:firstLine="709"/>
        <w:jc w:val="both"/>
        <w:rPr>
          <w:rFonts w:ascii="Calibri" w:hAnsi="Calibri"/>
        </w:rPr>
      </w:pPr>
      <w:r>
        <w:rPr>
          <w:rFonts w:cs="Calibri" w:ascii="Calibri" w:hAnsi="Calibri"/>
          <w:sz w:val="24"/>
        </w:rPr>
        <w:t xml:space="preserve">Para o correto atendimento do previsto neste Termo de Referência, a Contratante </w:t>
      </w:r>
      <w:r>
        <w:rPr>
          <w:rFonts w:cs="Calibri" w:ascii="Calibri" w:hAnsi="Calibri"/>
          <w:iCs/>
          <w:sz w:val="24"/>
        </w:rPr>
        <w:t xml:space="preserve">poderá </w:t>
      </w:r>
      <w:r>
        <w:rPr>
          <w:rFonts w:cs="Calibri" w:ascii="Calibri" w:hAnsi="Calibri"/>
          <w:sz w:val="24"/>
        </w:rPr>
        <w:t>realizar vistoria nas instalações, em geral, e no local de execução dos serviços. A vistoria será previamente agendada por servidor designado para esse fim e em contato com representante legal indicado pela empresa, pretensa ao credenciamento.</w:t>
      </w:r>
    </w:p>
    <w:p>
      <w:pPr>
        <w:pStyle w:val="ListParagraph"/>
        <w:spacing w:lineRule="auto" w:line="276"/>
        <w:ind w:left="0" w:firstLine="709"/>
        <w:jc w:val="both"/>
        <w:rPr>
          <w:rFonts w:ascii="Calibri" w:hAnsi="Calibri"/>
        </w:rPr>
      </w:pPr>
      <w:r>
        <w:rPr>
          <w:rFonts w:cs="Calibri" w:ascii="Calibri" w:hAnsi="Calibri"/>
          <w:b/>
          <w:bCs/>
          <w:sz w:val="24"/>
        </w:rPr>
        <w:t>4.9.1</w:t>
      </w:r>
      <w:r>
        <w:rPr>
          <w:rFonts w:cs="Calibri" w:ascii="Calibri" w:hAnsi="Calibri"/>
          <w:sz w:val="24"/>
        </w:rPr>
        <w:t xml:space="preserve"> A realização prévia de vistoria do local de execução dos procedimentos é imprescindível para o conhecimento pleno das condições e peculiaridades do objeto a ser contratado.</w:t>
      </w:r>
    </w:p>
    <w:p>
      <w:pPr>
        <w:pStyle w:val="Normal"/>
        <w:numPr>
          <w:ilvl w:val="1"/>
          <w:numId w:val="1"/>
        </w:numPr>
        <w:spacing w:lineRule="auto" w:line="276"/>
        <w:ind w:left="0" w:firstLine="709"/>
        <w:jc w:val="both"/>
        <w:rPr>
          <w:rFonts w:ascii="Calibri" w:hAnsi="Calibri"/>
        </w:rPr>
      </w:pPr>
      <w:r>
        <w:rPr>
          <w:rFonts w:cs="Calibri" w:ascii="Calibri" w:hAnsi="Calibri"/>
          <w:b/>
          <w:sz w:val="24"/>
        </w:rPr>
        <w:t>Os critérios de qualificação técnica a serem atendidos pelo fornecedor estão previstos em tópico específico deste Termo de Referência, além daqueles estabelecidos no Edital e demais regulamentos para atividade.</w:t>
      </w:r>
    </w:p>
    <w:p>
      <w:pPr>
        <w:pStyle w:val="Normal"/>
        <w:numPr>
          <w:ilvl w:val="1"/>
          <w:numId w:val="1"/>
        </w:numPr>
        <w:spacing w:lineRule="auto" w:line="276"/>
        <w:ind w:left="0" w:firstLine="709"/>
        <w:jc w:val="both"/>
        <w:rPr>
          <w:rFonts w:ascii="Calibri" w:hAnsi="Calibri"/>
        </w:rPr>
      </w:pPr>
      <w:r>
        <w:rPr>
          <w:rFonts w:cs="Calibri" w:ascii="Calibri" w:hAnsi="Calibri"/>
          <w:sz w:val="24"/>
        </w:rPr>
        <w:t>A qualquer tempo, o CREDENCIANTE, assistido por terceiros ou não, poderá realizar inspeção nas instalações dos CREDENCIADOS para verificação das condições de atendimento, de higiene, de equipamentos e de capacidade técnico- operativa, no que couber.</w:t>
      </w:r>
    </w:p>
    <w:p>
      <w:pPr>
        <w:pStyle w:val="Normal"/>
        <w:numPr>
          <w:ilvl w:val="1"/>
          <w:numId w:val="1"/>
        </w:numPr>
        <w:spacing w:lineRule="auto" w:line="276"/>
        <w:ind w:left="0" w:firstLine="709"/>
        <w:jc w:val="both"/>
        <w:rPr>
          <w:rFonts w:ascii="Calibri" w:hAnsi="Calibri"/>
        </w:rPr>
      </w:pPr>
      <w:r>
        <w:rPr>
          <w:rFonts w:cs="Calibri" w:ascii="Calibri" w:hAnsi="Calibri"/>
          <w:sz w:val="24"/>
        </w:rPr>
        <w:t>No caso de instituições hospitalares, o CREDENCIADO obriga-se a permitir a auditoria técnica no local, nos seguintes termos:</w:t>
      </w:r>
    </w:p>
    <w:p>
      <w:pPr>
        <w:pStyle w:val="ListParagraph"/>
        <w:numPr>
          <w:ilvl w:val="0"/>
          <w:numId w:val="4"/>
        </w:numPr>
        <w:spacing w:lineRule="auto" w:line="276"/>
        <w:jc w:val="both"/>
        <w:rPr>
          <w:rFonts w:ascii="Calibri" w:hAnsi="Calibri"/>
        </w:rPr>
      </w:pPr>
      <w:r>
        <w:rPr>
          <w:rFonts w:cs="Calibri" w:ascii="Calibri" w:hAnsi="Calibri"/>
          <w:sz w:val="24"/>
        </w:rPr>
        <w:t>identificação do usuário no setor de admissão do CREDENCIADO onde estiver sendo assistido;</w:t>
      </w:r>
    </w:p>
    <w:p>
      <w:pPr>
        <w:pStyle w:val="ListParagraph"/>
        <w:numPr>
          <w:ilvl w:val="0"/>
          <w:numId w:val="4"/>
        </w:numPr>
        <w:spacing w:lineRule="auto" w:line="276"/>
        <w:jc w:val="both"/>
        <w:rPr>
          <w:rFonts w:ascii="Calibri" w:hAnsi="Calibri"/>
        </w:rPr>
      </w:pPr>
      <w:r>
        <w:rPr>
          <w:rFonts w:cs="Calibri" w:ascii="Calibri" w:hAnsi="Calibri"/>
          <w:sz w:val="24"/>
        </w:rPr>
        <w:t>análise do Prontuário Médico e demais registros clínicos correspondentes aos pacientes encaminhados ao Credenciado;</w:t>
      </w:r>
    </w:p>
    <w:p>
      <w:pPr>
        <w:pStyle w:val="ListParagraph"/>
        <w:numPr>
          <w:ilvl w:val="0"/>
          <w:numId w:val="4"/>
        </w:numPr>
        <w:spacing w:lineRule="auto" w:line="276"/>
        <w:jc w:val="both"/>
        <w:rPr>
          <w:rFonts w:ascii="Calibri" w:hAnsi="Calibri"/>
        </w:rPr>
      </w:pPr>
      <w:r>
        <w:rPr>
          <w:rFonts w:cs="Calibri" w:ascii="Calibri" w:hAnsi="Calibri"/>
          <w:sz w:val="24"/>
        </w:rPr>
        <w:t>visita ao paciente, com observação crítica de seu estado, correlacionando-o com o Prontuário Médico e com os demais registros clínicos;</w:t>
      </w:r>
    </w:p>
    <w:p>
      <w:pPr>
        <w:pStyle w:val="ListParagraph"/>
        <w:numPr>
          <w:ilvl w:val="0"/>
          <w:numId w:val="4"/>
        </w:numPr>
        <w:spacing w:lineRule="auto" w:line="276"/>
        <w:jc w:val="both"/>
        <w:rPr>
          <w:rFonts w:ascii="Calibri" w:hAnsi="Calibri"/>
        </w:rPr>
      </w:pPr>
      <w:r>
        <w:rPr>
          <w:rFonts w:cs="Calibri" w:ascii="Calibri" w:hAnsi="Calibri"/>
          <w:sz w:val="24"/>
        </w:rPr>
        <w:t>discussão dos casos com a(s) equipe(s) médica(s) assistente(s), sempre que necessário para o satisfatório desempenho das funções de auditoria;</w:t>
      </w:r>
    </w:p>
    <w:p>
      <w:pPr>
        <w:pStyle w:val="ListParagraph"/>
        <w:numPr>
          <w:ilvl w:val="0"/>
          <w:numId w:val="4"/>
        </w:numPr>
        <w:spacing w:lineRule="auto" w:line="276"/>
        <w:jc w:val="both"/>
        <w:rPr>
          <w:rFonts w:ascii="Calibri" w:hAnsi="Calibri"/>
        </w:rPr>
      </w:pPr>
      <w:r>
        <w:rPr>
          <w:rFonts w:cs="Calibri" w:ascii="Calibri" w:hAnsi="Calibri"/>
          <w:sz w:val="24"/>
        </w:rPr>
        <w:t>preenchimento do Relatório de Auditoria Hospitalar; e,</w:t>
      </w:r>
    </w:p>
    <w:p>
      <w:pPr>
        <w:pStyle w:val="ListParagraph"/>
        <w:numPr>
          <w:ilvl w:val="0"/>
          <w:numId w:val="4"/>
        </w:numPr>
        <w:spacing w:lineRule="auto" w:line="276"/>
        <w:jc w:val="both"/>
        <w:rPr>
          <w:rFonts w:ascii="Calibri" w:hAnsi="Calibri"/>
        </w:rPr>
      </w:pPr>
      <w:r>
        <w:rPr>
          <w:rFonts w:cs="Calibri" w:ascii="Calibri" w:hAnsi="Calibri"/>
          <w:sz w:val="24"/>
        </w:rPr>
        <w:t>auditoria das faturas médico-hospitalares, correlacionando Prontuário Médico e Relatório de Auditoria Hospitalar.</w:t>
      </w:r>
    </w:p>
    <w:p>
      <w:pPr>
        <w:pStyle w:val="Normal"/>
        <w:numPr>
          <w:ilvl w:val="1"/>
          <w:numId w:val="1"/>
        </w:numPr>
        <w:spacing w:lineRule="auto" w:line="276"/>
        <w:ind w:left="0" w:firstLine="709"/>
        <w:jc w:val="both"/>
        <w:rPr>
          <w:rFonts w:ascii="Calibri" w:hAnsi="Calibri"/>
        </w:rPr>
      </w:pPr>
      <w:r>
        <w:rPr>
          <w:rFonts w:cs="Calibri" w:ascii="Calibri" w:hAnsi="Calibri"/>
          <w:sz w:val="24"/>
        </w:rPr>
        <w:t>O desatendimento de exigências formais não essenciais não importará no afastamento do CREDENCIADO, desde que seja possível a aferição da sua qualificação e a exata compreensão da sua proposta, bem como, de que mantém às exigências necessárias para execução dos serviços propostos.</w:t>
      </w:r>
    </w:p>
    <w:p>
      <w:pPr>
        <w:pStyle w:val="Normal"/>
        <w:spacing w:lineRule="auto" w:line="276"/>
        <w:ind w:left="1142" w:hanging="0"/>
        <w:jc w:val="both"/>
        <w:rPr>
          <w:rFonts w:cs="Calibri"/>
          <w:sz w:val="24"/>
        </w:rPr>
      </w:pPr>
      <w:r>
        <w:rPr>
          <w:rFonts w:cs="Calibri"/>
          <w:sz w:val="24"/>
        </w:rPr>
        <w:drawing>
          <wp:anchor behindDoc="1" distT="0" distB="0" distL="0" distR="0" simplePos="0" locked="0" layoutInCell="0" allowOverlap="1" relativeHeight="6">
            <wp:simplePos x="0" y="0"/>
            <wp:positionH relativeFrom="page">
              <wp:posOffset>6134100</wp:posOffset>
            </wp:positionH>
            <wp:positionV relativeFrom="page">
              <wp:posOffset>109855</wp:posOffset>
            </wp:positionV>
            <wp:extent cx="1080135" cy="1080135"/>
            <wp:effectExtent l="0" t="0" r="0" b="0"/>
            <wp:wrapNone/>
            <wp:docPr id="4"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descr=""/>
                    <pic:cNvPicPr>
                      <a:picLocks noChangeAspect="1" noChangeArrowheads="1"/>
                    </pic:cNvPicPr>
                  </pic:nvPicPr>
                  <pic:blipFill>
                    <a:blip r:embed="rId9"/>
                    <a:stretch>
                      <a:fillRect/>
                    </a:stretch>
                  </pic:blipFill>
                  <pic:spPr bwMode="auto">
                    <a:xfrm>
                      <a:off x="0" y="0"/>
                      <a:ext cx="1080135" cy="1080135"/>
                    </a:xfrm>
                    <a:prstGeom prst="rect">
                      <a:avLst/>
                    </a:prstGeom>
                  </pic:spPr>
                </pic:pic>
              </a:graphicData>
            </a:graphic>
          </wp:anchor>
        </w:drawing>
      </w:r>
    </w:p>
    <w:p>
      <w:pPr>
        <w:pStyle w:val="Nivel1"/>
        <w:numPr>
          <w:ilvl w:val="0"/>
          <w:numId w:val="1"/>
        </w:numPr>
        <w:tabs>
          <w:tab w:val="clear" w:pos="720"/>
          <w:tab w:val="left" w:pos="426" w:leader="none"/>
        </w:tabs>
        <w:spacing w:before="0" w:after="0"/>
        <w:ind w:left="0" w:firstLine="850"/>
        <w:rPr/>
      </w:pPr>
      <w:r>
        <w:rPr>
          <w:rFonts w:cs="Calibri" w:ascii="Calibri" w:hAnsi="Calibri"/>
          <w:sz w:val="24"/>
          <w:szCs w:val="24"/>
        </w:rPr>
        <w:t>MODELO DE EXECUÇÃO DO OBJETO</w:t>
      </w:r>
    </w:p>
    <w:p>
      <w:pPr>
        <w:pStyle w:val="Nivel1"/>
        <w:tabs>
          <w:tab w:val="clear" w:pos="720"/>
          <w:tab w:val="left" w:pos="426" w:leader="none"/>
        </w:tabs>
        <w:spacing w:before="0" w:after="0"/>
        <w:ind w:left="0" w:firstLine="851"/>
        <w:rPr>
          <w:rFonts w:ascii="Calibri" w:hAnsi="Calibri"/>
        </w:rPr>
      </w:pPr>
      <w:r>
        <w:rPr>
          <w:rFonts w:cs="Calibri" w:ascii="Calibri" w:hAnsi="Calibri"/>
          <w:iCs/>
          <w:sz w:val="24"/>
        </w:rPr>
        <w:t>5.1</w:t>
        <w:tab/>
        <w:t>A execução do objeto seguirá a seguinte dinâmica em regras gerais:</w:t>
      </w:r>
    </w:p>
    <w:p>
      <w:pPr>
        <w:pStyle w:val="Normal"/>
        <w:tabs>
          <w:tab w:val="clear" w:pos="720"/>
          <w:tab w:val="left" w:pos="851" w:leader="none"/>
        </w:tabs>
        <w:spacing w:lineRule="auto" w:line="276"/>
        <w:jc w:val="both"/>
        <w:rPr>
          <w:rFonts w:ascii="Calibri" w:hAnsi="Calibri"/>
        </w:rPr>
      </w:pPr>
      <w:r>
        <w:rPr>
          <w:rFonts w:cs="Calibri" w:ascii="Calibri" w:hAnsi="Calibri"/>
          <w:iCs/>
          <w:sz w:val="24"/>
        </w:rPr>
        <w:tab/>
      </w:r>
      <w:r>
        <w:rPr>
          <w:rFonts w:cs="Calibri" w:ascii="Calibri" w:hAnsi="Calibri"/>
          <w:b/>
          <w:iCs/>
          <w:sz w:val="24"/>
        </w:rPr>
        <w:t>5.1.1</w:t>
      </w:r>
      <w:r>
        <w:rPr>
          <w:rFonts w:cs="Calibri" w:ascii="Calibri" w:hAnsi="Calibri"/>
          <w:iCs/>
          <w:sz w:val="24"/>
        </w:rPr>
        <w:tab/>
        <w:t xml:space="preserve">Os serviços serão realizados conforme demanda, ou seja, conforme necessidade de realização das cirurgias e procedimentos dos pacientes atendidos pela Clínica de Pediatria com encaminhamento do usuário à credenciada por meio da Guia </w:t>
      </w:r>
      <w:r>
        <w:rPr>
          <w:rFonts w:cs="Calibri" w:ascii="Calibri" w:hAnsi="Calibri"/>
          <w:sz w:val="24"/>
        </w:rPr>
        <w:t>de Apresentação do Usuário (GAU), acompanhada do pedido médico, bem como demais orientações e prescrições necessárias.</w:t>
      </w:r>
    </w:p>
    <w:p>
      <w:pPr>
        <w:pStyle w:val="Normal"/>
        <w:tabs>
          <w:tab w:val="clear" w:pos="720"/>
          <w:tab w:val="left" w:pos="851" w:leader="none"/>
        </w:tabs>
        <w:spacing w:lineRule="auto" w:line="276"/>
        <w:jc w:val="both"/>
        <w:rPr>
          <w:rFonts w:ascii="Calibri" w:hAnsi="Calibri"/>
        </w:rPr>
      </w:pPr>
      <w:r>
        <w:rPr>
          <w:rFonts w:cs="Calibri" w:ascii="Calibri" w:hAnsi="Calibri"/>
          <w:b/>
          <w:bCs/>
          <w:iCs/>
          <w:sz w:val="24"/>
        </w:rPr>
        <w:tab/>
        <w:t>5.1.2</w:t>
        <w:tab/>
        <w:t>A escolha da Credenciada para realização do procedimento e demais serviços será definido de acordo com as necessidades clínicas do paciente, e em todo tempo com a aceitação do seu responsável legal.</w:t>
      </w:r>
    </w:p>
    <w:p>
      <w:pPr>
        <w:pStyle w:val="Normal"/>
        <w:tabs>
          <w:tab w:val="clear" w:pos="720"/>
          <w:tab w:val="left" w:pos="851" w:leader="none"/>
        </w:tabs>
        <w:spacing w:lineRule="auto" w:line="276"/>
        <w:jc w:val="both"/>
        <w:rPr>
          <w:rFonts w:ascii="Calibri" w:hAnsi="Calibri"/>
        </w:rPr>
      </w:pPr>
      <w:r>
        <w:rPr>
          <w:rFonts w:cs="Calibri" w:ascii="Calibri" w:hAnsi="Calibri"/>
          <w:b/>
          <w:bCs/>
          <w:sz w:val="24"/>
        </w:rPr>
        <w:tab/>
        <w:t xml:space="preserve">5.1.3 </w:t>
        <w:tab/>
        <w:t>A Credenciada só poderá realizar os procedimentos e cirurgias previstos e autorizados na GAU.</w:t>
      </w:r>
    </w:p>
    <w:p>
      <w:pPr>
        <w:pStyle w:val="ListParagraph"/>
        <w:tabs>
          <w:tab w:val="clear" w:pos="720"/>
          <w:tab w:val="left" w:pos="851" w:leader="none"/>
        </w:tabs>
        <w:spacing w:lineRule="auto" w:line="276"/>
        <w:ind w:left="709" w:hanging="0"/>
        <w:jc w:val="both"/>
        <w:rPr>
          <w:rFonts w:ascii="Calibri" w:hAnsi="Calibri" w:cs="Calibri"/>
          <w:b/>
          <w:b/>
          <w:bCs/>
          <w:sz w:val="24"/>
        </w:rPr>
      </w:pPr>
      <w:r>
        <w:rPr>
          <w:rFonts w:cs="Calibri" w:ascii="Calibri" w:hAnsi="Calibri"/>
          <w:b/>
          <w:bCs/>
          <w:sz w:val="24"/>
        </w:rPr>
      </w:r>
    </w:p>
    <w:p>
      <w:pPr>
        <w:pStyle w:val="ListParagraph"/>
        <w:tabs>
          <w:tab w:val="clear" w:pos="720"/>
          <w:tab w:val="left" w:pos="851" w:leader="none"/>
        </w:tabs>
        <w:spacing w:lineRule="auto" w:line="276"/>
        <w:ind w:left="709" w:hanging="0"/>
        <w:jc w:val="both"/>
        <w:rPr>
          <w:rFonts w:ascii="Calibri" w:hAnsi="Calibri" w:cs="Calibri"/>
          <w:b/>
          <w:b/>
          <w:bCs/>
          <w:sz w:val="24"/>
        </w:rPr>
      </w:pPr>
      <w:r>
        <w:rPr>
          <w:rFonts w:cs="Calibri" w:ascii="Calibri" w:hAnsi="Calibri"/>
          <w:b/>
          <w:bCs/>
          <w:sz w:val="24"/>
        </w:rPr>
      </w:r>
    </w:p>
    <w:p>
      <w:pPr>
        <w:pStyle w:val="Normal"/>
        <w:tabs>
          <w:tab w:val="clear" w:pos="720"/>
          <w:tab w:val="left" w:pos="851" w:leader="none"/>
        </w:tabs>
        <w:spacing w:lineRule="auto" w:line="276"/>
        <w:jc w:val="both"/>
        <w:rPr>
          <w:rFonts w:ascii="Calibri" w:hAnsi="Calibri"/>
        </w:rPr>
      </w:pPr>
      <w:r>
        <w:rPr>
          <w:rFonts w:cs="Calibri" w:ascii="Calibri" w:hAnsi="Calibri"/>
          <w:b/>
          <w:sz w:val="24"/>
        </w:rPr>
        <w:t>Local e horário da prestação dos serviços</w:t>
      </w:r>
    </w:p>
    <w:p>
      <w:pPr>
        <w:pStyle w:val="Normal"/>
        <w:tabs>
          <w:tab w:val="clear" w:pos="720"/>
          <w:tab w:val="left" w:pos="426" w:leader="none"/>
        </w:tabs>
        <w:spacing w:lineRule="auto" w:line="276"/>
        <w:jc w:val="both"/>
        <w:rPr>
          <w:rFonts w:ascii="Calibri" w:hAnsi="Calibri"/>
        </w:rPr>
      </w:pPr>
      <w:r>
        <w:rPr>
          <w:rFonts w:cs="Calibri" w:ascii="Calibri" w:hAnsi="Calibri"/>
          <w:sz w:val="24"/>
        </w:rPr>
        <w:tab/>
        <w:tab/>
        <w:t>5.2</w:t>
        <w:tab/>
        <w:t>As Clínicas Credenciadas indicarão, por ocasião da sua solicitação, os dias, horários e telefones de atendimento, os quais serão disponibilizados ao Fiscal do serviço do HNMD, para que este possa informar aos usuários da SSM a relação de Clínicas Credenciadas, assim os pacientes serão encaminhados pelo Setor Responsável do HNMD para a CONTRATADA, sem serem direcionados, cabendo ao do SSM usuário ou seu responsável legal, a ciência de qual OSE credenciada é mais conveniente para realização do procedimento e ou cirurgia, bem como nos casos de internação.</w:t>
      </w:r>
    </w:p>
    <w:p>
      <w:pPr>
        <w:pStyle w:val="Western"/>
        <w:spacing w:lineRule="auto" w:line="276" w:before="0" w:after="0"/>
        <w:ind w:firstLine="720"/>
        <w:jc w:val="both"/>
        <w:rPr>
          <w:rFonts w:ascii="Calibri" w:hAnsi="Calibri"/>
        </w:rPr>
      </w:pPr>
      <w:r>
        <w:rPr>
          <w:rFonts w:cs="Calibri" w:ascii="Calibri" w:hAnsi="Calibri"/>
          <w:b/>
        </w:rPr>
        <w:t>5.2.1</w:t>
      </w:r>
      <w:r>
        <w:rPr>
          <w:rFonts w:cs="Calibri" w:ascii="Calibri" w:hAnsi="Calibri"/>
        </w:rPr>
        <w:tab/>
        <w:t xml:space="preserve">A </w:t>
      </w:r>
      <w:r>
        <w:rPr>
          <w:rFonts w:cs="Calibri" w:ascii="Calibri" w:hAnsi="Calibri"/>
          <w:b/>
        </w:rPr>
        <w:t>CONTRATADA</w:t>
      </w:r>
      <w:r>
        <w:rPr>
          <w:rFonts w:cs="Calibri" w:ascii="Calibri" w:hAnsi="Calibri"/>
        </w:rPr>
        <w:t xml:space="preserve"> deverá realizar as cirurgias, procedimentos de hemodinâmica e internações clínicas em unidades cardiointensivas ou enfermarias em local próprio, fora das instituições militares de tratamento, aos usuários do Sistema de Saúde da Marinha (SSM).</w:t>
      </w:r>
    </w:p>
    <w:p>
      <w:pPr>
        <w:pStyle w:val="Western"/>
        <w:spacing w:lineRule="auto" w:line="276" w:before="0" w:after="0"/>
        <w:ind w:firstLine="709"/>
        <w:jc w:val="both"/>
        <w:rPr>
          <w:rFonts w:ascii="Calibri" w:hAnsi="Calibri"/>
        </w:rPr>
      </w:pPr>
      <w:r>
        <w:rPr>
          <w:rFonts w:cs="Calibri" w:ascii="Calibri" w:hAnsi="Calibri"/>
          <w:b/>
        </w:rPr>
        <w:t>5.2.2</w:t>
      </w:r>
      <w:r>
        <w:rPr>
          <w:rFonts w:cs="Calibri" w:ascii="Calibri" w:hAnsi="Calibri"/>
        </w:rPr>
        <w:tab/>
        <w:t xml:space="preserve">As cirurgias e os procedimentos serão executados pela </w:t>
      </w:r>
      <w:r>
        <w:rPr>
          <w:rFonts w:cs="Calibri" w:ascii="Calibri" w:hAnsi="Calibri"/>
          <w:b/>
        </w:rPr>
        <w:t>CONTRATADA</w:t>
      </w:r>
      <w:r>
        <w:rPr>
          <w:rFonts w:cs="Calibri" w:ascii="Calibri" w:hAnsi="Calibri"/>
        </w:rPr>
        <w:t xml:space="preserve"> mediante a apresentação pelos beneficiários da Marinha da Guia de Apresentação do Usuário (GAU): este documento será emitido pelo Setor solicitante, emitido pelo sistema da Marinha.</w:t>
      </w:r>
    </w:p>
    <w:p>
      <w:pPr>
        <w:pStyle w:val="Western"/>
        <w:spacing w:lineRule="auto" w:line="276" w:before="0" w:after="0"/>
        <w:ind w:firstLine="709"/>
        <w:jc w:val="both"/>
        <w:rPr>
          <w:rFonts w:ascii="Calibri" w:hAnsi="Calibri"/>
        </w:rPr>
      </w:pPr>
      <w:r>
        <w:rPr>
          <w:rFonts w:cs="Calibri" w:ascii="Calibri" w:hAnsi="Calibri"/>
          <w:b/>
        </w:rPr>
        <w:t>5.2.3</w:t>
      </w:r>
      <w:r>
        <w:rPr>
          <w:rFonts w:cs="Calibri" w:ascii="Calibri" w:hAnsi="Calibri"/>
        </w:rPr>
        <w:tab/>
      </w:r>
      <w:r>
        <w:rPr>
          <w:rFonts w:cs="Calibri" w:ascii="Calibri" w:hAnsi="Calibri"/>
          <w:b/>
        </w:rPr>
        <w:t>A GAU terá validade de 60 (sessenta) dias a contar da data de sua expedição</w:t>
      </w:r>
      <w:r>
        <w:rPr>
          <w:rFonts w:cs="Calibri" w:ascii="Calibri" w:hAnsi="Calibri"/>
        </w:rPr>
        <w:t>.</w:t>
      </w:r>
    </w:p>
    <w:p>
      <w:pPr>
        <w:pStyle w:val="Normal"/>
        <w:tabs>
          <w:tab w:val="clear" w:pos="720"/>
          <w:tab w:val="left" w:pos="426" w:leader="none"/>
        </w:tabs>
        <w:spacing w:lineRule="auto" w:line="276"/>
        <w:ind w:firstLine="709"/>
        <w:jc w:val="both"/>
        <w:rPr>
          <w:rFonts w:ascii="Calibri" w:hAnsi="Calibri"/>
        </w:rPr>
      </w:pPr>
      <w:r>
        <w:rPr>
          <w:rFonts w:cs="Calibri" w:ascii="Calibri" w:hAnsi="Calibri"/>
          <w:b/>
          <w:sz w:val="24"/>
        </w:rPr>
        <w:t>5.2.4</w:t>
      </w:r>
      <w:r>
        <w:rPr>
          <w:rFonts w:cs="Calibri" w:ascii="Calibri" w:hAnsi="Calibri"/>
          <w:sz w:val="24"/>
        </w:rPr>
        <w:tab/>
        <w:t xml:space="preserve">Os serviços serão executados pela </w:t>
      </w:r>
      <w:r>
        <w:rPr>
          <w:rFonts w:cs="Calibri" w:ascii="Calibri" w:hAnsi="Calibri"/>
          <w:b/>
          <w:sz w:val="24"/>
        </w:rPr>
        <w:t>CONTRATADA</w:t>
      </w:r>
      <w:r>
        <w:rPr>
          <w:rFonts w:cs="Calibri" w:ascii="Calibri" w:hAnsi="Calibri"/>
          <w:sz w:val="24"/>
        </w:rPr>
        <w:t xml:space="preserve"> mediante a apresentação dos seguintes documentos pelos beneficiários da Marinha:</w:t>
      </w:r>
    </w:p>
    <w:p>
      <w:pPr>
        <w:pStyle w:val="Normal"/>
        <w:tabs>
          <w:tab w:val="clear" w:pos="720"/>
          <w:tab w:val="left" w:pos="426" w:leader="none"/>
        </w:tabs>
        <w:spacing w:lineRule="auto" w:line="276"/>
        <w:jc w:val="both"/>
        <w:rPr>
          <w:rFonts w:ascii="Calibri" w:hAnsi="Calibri"/>
        </w:rPr>
      </w:pPr>
      <w:r>
        <w:rPr>
          <w:rFonts w:cs="Calibri" w:ascii="Calibri" w:hAnsi="Calibri"/>
          <w:sz w:val="24"/>
        </w:rPr>
        <w:tab/>
        <w:tab/>
      </w:r>
      <w:r>
        <w:rPr>
          <w:rFonts w:cs="Calibri" w:ascii="Calibri" w:hAnsi="Calibri"/>
          <w:b/>
          <w:sz w:val="24"/>
        </w:rPr>
        <w:t>5.2.5</w:t>
      </w:r>
      <w:r>
        <w:rPr>
          <w:rFonts w:cs="Calibri" w:ascii="Calibri" w:hAnsi="Calibri"/>
          <w:sz w:val="24"/>
        </w:rPr>
        <w:tab/>
        <w:t xml:space="preserve">Guia de Apresentação do Usuário (GAU) </w:t>
      </w:r>
      <w:r>
        <w:rPr>
          <w:rFonts w:cs="Calibri" w:ascii="Calibri" w:hAnsi="Calibri"/>
          <w:bCs/>
          <w:sz w:val="24"/>
        </w:rPr>
        <w:t>este documento será entregue pelo responsável da Clínica de Pediatria, e será emitida pelo Sistema de Regulação da Diretoria de Saúde da Marinha (DSM), sempre acompanhada de pedido médico;</w:t>
      </w:r>
    </w:p>
    <w:p>
      <w:pPr>
        <w:pStyle w:val="Normal"/>
        <w:tabs>
          <w:tab w:val="clear" w:pos="720"/>
          <w:tab w:val="left" w:pos="426" w:leader="none"/>
        </w:tabs>
        <w:spacing w:lineRule="auto" w:line="276"/>
        <w:jc w:val="both"/>
        <w:rPr>
          <w:rFonts w:ascii="Calibri" w:hAnsi="Calibri"/>
        </w:rPr>
      </w:pPr>
      <w:r>
        <w:rPr>
          <w:rFonts w:cs="Calibri" w:ascii="Calibri" w:hAnsi="Calibri"/>
          <w:bCs/>
          <w:sz w:val="24"/>
        </w:rPr>
        <w:tab/>
        <w:tab/>
      </w:r>
      <w:r>
        <w:rPr>
          <w:rFonts w:cs="Calibri" w:ascii="Calibri" w:hAnsi="Calibri"/>
          <w:b/>
          <w:sz w:val="24"/>
        </w:rPr>
        <w:t>5.2.6</w:t>
        <w:tab/>
      </w:r>
      <w:r>
        <w:rPr>
          <w:rFonts w:cs="Calibri" w:ascii="Calibri" w:hAnsi="Calibri"/>
          <w:bCs/>
          <w:sz w:val="24"/>
        </w:rPr>
        <w:t>Identidade expedida pelo Comando da Marinha ou outro documento de identidade de Órgão Oficial com foto; e válido;</w:t>
      </w:r>
    </w:p>
    <w:p>
      <w:pPr>
        <w:pStyle w:val="Normal"/>
        <w:tabs>
          <w:tab w:val="clear" w:pos="720"/>
          <w:tab w:val="left" w:pos="426" w:leader="none"/>
        </w:tabs>
        <w:spacing w:lineRule="auto" w:line="276"/>
        <w:jc w:val="both"/>
        <w:rPr>
          <w:rFonts w:ascii="Calibri" w:hAnsi="Calibri"/>
        </w:rPr>
      </w:pPr>
      <w:r>
        <w:rPr>
          <w:rFonts w:cs="Calibri" w:ascii="Calibri" w:hAnsi="Calibri"/>
          <w:sz w:val="24"/>
        </w:rPr>
        <w:tab/>
        <w:tab/>
      </w:r>
      <w:r>
        <w:rPr>
          <w:rFonts w:cs="Calibri" w:ascii="Calibri" w:hAnsi="Calibri"/>
          <w:b/>
          <w:sz w:val="24"/>
        </w:rPr>
        <w:t>5.2.7</w:t>
      </w:r>
      <w:r>
        <w:rPr>
          <w:rFonts w:cs="Calibri" w:ascii="Calibri" w:hAnsi="Calibri"/>
          <w:sz w:val="24"/>
        </w:rPr>
        <w:tab/>
        <w:t xml:space="preserve">Os atendimentos aos Usuários que não tenham sido identificados na forma prevista acima constituirão prestação de serviços de inteira responsabilidade da </w:t>
      </w:r>
      <w:r>
        <w:rPr>
          <w:rFonts w:cs="Calibri" w:ascii="Calibri" w:hAnsi="Calibri"/>
          <w:b/>
          <w:sz w:val="24"/>
        </w:rPr>
        <w:t xml:space="preserve">CONTRATADA, </w:t>
      </w:r>
      <w:r>
        <w:rPr>
          <w:rFonts w:cs="Calibri" w:ascii="Calibri" w:hAnsi="Calibri"/>
          <w:sz w:val="24"/>
        </w:rPr>
        <w:t>ficando o Sistema de Saúde da Marinha (SSM) isento de qualquer pagamento, ônus ou reembolso, salvo nas hipóteses em que esta autorizar previamente tal atendimento;</w:t>
      </w:r>
    </w:p>
    <w:p>
      <w:pPr>
        <w:pStyle w:val="Normal"/>
        <w:tabs>
          <w:tab w:val="clear" w:pos="720"/>
          <w:tab w:val="left" w:pos="426" w:leader="none"/>
        </w:tabs>
        <w:spacing w:lineRule="auto" w:line="276"/>
        <w:jc w:val="both"/>
        <w:rPr>
          <w:rFonts w:ascii="Calibri" w:hAnsi="Calibri"/>
        </w:rPr>
      </w:pPr>
      <w:r>
        <w:rPr>
          <w:rFonts w:cs="Calibri" w:ascii="Calibri" w:hAnsi="Calibri"/>
          <w:sz w:val="24"/>
        </w:rPr>
        <w:tab/>
        <w:tab/>
      </w:r>
      <w:r>
        <w:rPr>
          <w:rFonts w:cs="Calibri" w:ascii="Calibri" w:hAnsi="Calibri"/>
          <w:b/>
          <w:sz w:val="24"/>
        </w:rPr>
        <w:t>5.2.8</w:t>
        <w:tab/>
      </w:r>
      <w:r>
        <w:rPr>
          <w:rFonts w:cs="Calibri" w:ascii="Calibri" w:hAnsi="Calibri"/>
          <w:sz w:val="24"/>
        </w:rPr>
        <w:t>As Guias de Apresentação do Usuário não poderão sofrer nenhuma alteração ou rasura e devem estar todos os campos preenchidos a fim de não haver glosas;</w:t>
      </w:r>
    </w:p>
    <w:p>
      <w:pPr>
        <w:pStyle w:val="Normal"/>
        <w:tabs>
          <w:tab w:val="clear" w:pos="720"/>
          <w:tab w:val="left" w:pos="426" w:leader="none"/>
        </w:tabs>
        <w:spacing w:lineRule="auto" w:line="276"/>
        <w:jc w:val="both"/>
        <w:rPr>
          <w:rFonts w:ascii="Calibri" w:hAnsi="Calibri"/>
        </w:rPr>
      </w:pPr>
      <w:r>
        <w:rPr>
          <w:rFonts w:eastAsia="Calibri" w:cs="Calibri" w:ascii="Calibri" w:hAnsi="Calibri"/>
          <w:color w:val="000000"/>
          <w:spacing w:val="4"/>
          <w:sz w:val="24"/>
        </w:rPr>
        <w:tab/>
        <w:tab/>
      </w:r>
      <w:r>
        <w:rPr>
          <w:rFonts w:cs="Calibri" w:ascii="Calibri" w:hAnsi="Calibri"/>
          <w:b/>
          <w:sz w:val="24"/>
        </w:rPr>
        <w:t>5.2.9</w:t>
        <w:tab/>
      </w:r>
      <w:r>
        <w:rPr>
          <w:rFonts w:eastAsia="Calibri" w:cs="Calibri" w:ascii="Calibri" w:hAnsi="Calibri"/>
          <w:color w:val="000000"/>
          <w:spacing w:val="4"/>
          <w:sz w:val="24"/>
        </w:rPr>
        <w:t>A GAU deve estar devidamente preenchida, com os procedimentos a serem realizados e todos os respectivos campos preenchidos e assinados.</w:t>
      </w:r>
    </w:p>
    <w:p>
      <w:pPr>
        <w:pStyle w:val="Normal"/>
        <w:tabs>
          <w:tab w:val="clear" w:pos="720"/>
          <w:tab w:val="left" w:pos="426" w:leader="none"/>
        </w:tabs>
        <w:spacing w:lineRule="auto" w:line="276"/>
        <w:jc w:val="both"/>
        <w:rPr>
          <w:rFonts w:ascii="Calibri" w:hAnsi="Calibri"/>
        </w:rPr>
      </w:pPr>
      <w:r>
        <w:rPr>
          <w:rFonts w:cs="Calibri" w:ascii="Calibri" w:hAnsi="Calibri"/>
          <w:sz w:val="24"/>
        </w:rPr>
        <w:tab/>
        <w:tab/>
      </w:r>
      <w:r>
        <w:rPr>
          <w:rFonts w:cs="Calibri" w:ascii="Calibri" w:hAnsi="Calibri"/>
          <w:b/>
          <w:sz w:val="24"/>
        </w:rPr>
        <w:t>5.2.10</w:t>
        <w:tab/>
      </w:r>
      <w:r>
        <w:rPr>
          <w:rFonts w:cs="Calibri" w:ascii="Calibri" w:hAnsi="Calibri"/>
          <w:sz w:val="24"/>
        </w:rPr>
        <w:t xml:space="preserve">Em hipótese alguma, a </w:t>
      </w:r>
      <w:r>
        <w:rPr>
          <w:rFonts w:cs="Calibri" w:ascii="Calibri" w:hAnsi="Calibri"/>
          <w:b/>
          <w:sz w:val="24"/>
        </w:rPr>
        <w:t xml:space="preserve">CONTRATADA </w:t>
      </w:r>
      <w:r>
        <w:rPr>
          <w:rFonts w:cs="Calibri" w:ascii="Calibri" w:hAnsi="Calibri"/>
          <w:sz w:val="24"/>
        </w:rPr>
        <w:t>poderá realizar qualquer cobrança, diretamente ao usuário, familiar ou seu responsável legal, ou assinatura de faturas em branco, por serviços cobertos, ou não previstos, por este Credenciamento, bem como orientar o usuário a pleitear o reembolso posterior junto ao HNMD;</w:t>
      </w:r>
    </w:p>
    <w:p>
      <w:pPr>
        <w:pStyle w:val="Normal"/>
        <w:tabs>
          <w:tab w:val="clear" w:pos="720"/>
          <w:tab w:val="left" w:pos="426" w:leader="none"/>
        </w:tabs>
        <w:spacing w:lineRule="auto" w:line="276"/>
        <w:jc w:val="both"/>
        <w:rPr>
          <w:rFonts w:ascii="Calibri" w:hAnsi="Calibri"/>
        </w:rPr>
      </w:pPr>
      <w:r>
        <w:rPr>
          <w:rFonts w:cs="Calibri" w:ascii="Calibri" w:hAnsi="Calibri"/>
          <w:sz w:val="24"/>
        </w:rPr>
        <w:tab/>
        <w:tab/>
      </w:r>
      <w:r>
        <w:rPr>
          <w:rFonts w:cs="Calibri" w:ascii="Calibri" w:hAnsi="Calibri"/>
          <w:b/>
          <w:sz w:val="24"/>
        </w:rPr>
        <w:t>5.2.11</w:t>
        <w:tab/>
      </w:r>
      <w:r>
        <w:rPr>
          <w:rFonts w:cs="Calibri" w:ascii="Calibri" w:hAnsi="Calibri"/>
          <w:sz w:val="24"/>
        </w:rPr>
        <w:t xml:space="preserve">O prestador do serviço, </w:t>
      </w:r>
      <w:r>
        <w:rPr>
          <w:rFonts w:cs="Calibri" w:ascii="Calibri" w:hAnsi="Calibri"/>
          <w:b/>
          <w:sz w:val="24"/>
        </w:rPr>
        <w:t>CONTRATADA</w:t>
      </w:r>
      <w:r>
        <w:rPr>
          <w:rFonts w:cs="Calibri" w:ascii="Calibri" w:hAnsi="Calibri"/>
          <w:sz w:val="24"/>
        </w:rPr>
        <w:t>, deve providenciar a assinatura pelo usuário ou por seu responsável na GAU, para realização da cobrança;</w:t>
      </w:r>
    </w:p>
    <w:p>
      <w:pPr>
        <w:pStyle w:val="Normal"/>
        <w:spacing w:lineRule="auto" w:line="276"/>
        <w:jc w:val="both"/>
        <w:rPr>
          <w:rFonts w:ascii="Calibri" w:hAnsi="Calibri"/>
        </w:rPr>
      </w:pPr>
      <w:r>
        <w:rPr>
          <w:rFonts w:cs="Calibri" w:ascii="Calibri" w:hAnsi="Calibri"/>
          <w:bCs/>
          <w:sz w:val="24"/>
        </w:rPr>
        <w:tab/>
      </w:r>
      <w:r>
        <w:rPr>
          <w:rFonts w:cs="Calibri" w:ascii="Calibri" w:hAnsi="Calibri"/>
          <w:b/>
          <w:bCs/>
          <w:sz w:val="24"/>
        </w:rPr>
        <w:t>5.2.12</w:t>
      </w:r>
      <w:r>
        <w:rPr>
          <w:rFonts w:cs="Calibri" w:ascii="Calibri" w:hAnsi="Calibri"/>
          <w:bCs/>
          <w:sz w:val="24"/>
        </w:rPr>
        <w:tab/>
        <w:t>As empresas deverão estar inscritas nos conselhos pertinentes e diretor técnico com registro válido;</w:t>
      </w:r>
    </w:p>
    <w:p>
      <w:pPr>
        <w:pStyle w:val="Normal"/>
        <w:tabs>
          <w:tab w:val="clear" w:pos="720"/>
          <w:tab w:val="left" w:pos="0" w:leader="none"/>
        </w:tabs>
        <w:spacing w:lineRule="auto" w:line="276"/>
        <w:jc w:val="both"/>
        <w:rPr>
          <w:rFonts w:ascii="Calibri" w:hAnsi="Calibri"/>
        </w:rPr>
      </w:pPr>
      <w:r>
        <w:rPr>
          <w:rFonts w:cs="Calibri" w:ascii="Calibri" w:hAnsi="Calibri"/>
          <w:bCs/>
          <w:sz w:val="24"/>
        </w:rPr>
        <w:tab/>
      </w:r>
      <w:r>
        <w:rPr>
          <w:rFonts w:cs="Calibri" w:ascii="Calibri" w:hAnsi="Calibri"/>
          <w:b/>
          <w:bCs/>
          <w:sz w:val="24"/>
        </w:rPr>
        <w:t>5.2.13</w:t>
        <w:tab/>
      </w:r>
      <w:r>
        <w:rPr>
          <w:rFonts w:cs="Calibri" w:ascii="Calibri" w:hAnsi="Calibri"/>
          <w:bCs/>
          <w:sz w:val="24"/>
        </w:rPr>
        <w:t>Os profissionais deverão estar habilitados ao serviço que se propõe, por meio das especializações exigidas para cada caso, e estarem inscritos nos conselhos pertinentes com registro válido.</w:t>
      </w:r>
    </w:p>
    <w:p>
      <w:pPr>
        <w:pStyle w:val="Normal"/>
        <w:tabs>
          <w:tab w:val="clear" w:pos="720"/>
          <w:tab w:val="left" w:pos="0" w:leader="none"/>
        </w:tabs>
        <w:spacing w:lineRule="auto" w:line="276"/>
        <w:jc w:val="both"/>
        <w:rPr>
          <w:rFonts w:ascii="Calibri" w:hAnsi="Calibri"/>
        </w:rPr>
      </w:pPr>
      <w:r>
        <w:rPr>
          <w:rFonts w:cs="Calibri" w:ascii="Calibri" w:hAnsi="Calibri"/>
          <w:sz w:val="24"/>
        </w:rPr>
        <w:tab/>
      </w:r>
      <w:r>
        <w:rPr>
          <w:rFonts w:cs="Calibri" w:ascii="Calibri" w:hAnsi="Calibri"/>
          <w:b/>
          <w:bCs/>
          <w:sz w:val="24"/>
        </w:rPr>
        <w:t>5.2.14</w:t>
        <w:tab/>
      </w:r>
      <w:r>
        <w:rPr>
          <w:rFonts w:cs="Calibri" w:ascii="Calibri" w:hAnsi="Calibri"/>
          <w:sz w:val="24"/>
        </w:rPr>
        <w:t>Certidão de Anotação de Responsabilidade Técnica e Certificado de Inscrição de Empresa emitido pelo Conselho Regional competente ou documento equivalente dentro do período de validade, atualizado.</w:t>
      </w:r>
    </w:p>
    <w:p>
      <w:pPr>
        <w:pStyle w:val="Normal"/>
        <w:tabs>
          <w:tab w:val="clear" w:pos="720"/>
          <w:tab w:val="left" w:pos="0" w:leader="none"/>
        </w:tabs>
        <w:spacing w:lineRule="auto" w:line="276"/>
        <w:jc w:val="both"/>
        <w:rPr>
          <w:rFonts w:ascii="Calibri" w:hAnsi="Calibri"/>
        </w:rPr>
      </w:pPr>
      <w:r>
        <w:rPr>
          <w:rFonts w:cs="Calibri" w:ascii="Calibri" w:hAnsi="Calibri"/>
          <w:sz w:val="24"/>
        </w:rPr>
        <w:tab/>
      </w:r>
      <w:r>
        <w:rPr>
          <w:rFonts w:cs="Calibri" w:ascii="Calibri" w:hAnsi="Calibri"/>
          <w:b/>
          <w:bCs/>
          <w:sz w:val="24"/>
        </w:rPr>
        <w:t>5.2.15</w:t>
        <w:tab/>
      </w:r>
      <w:r>
        <w:rPr>
          <w:rFonts w:cs="Calibri" w:ascii="Calibri" w:hAnsi="Calibri"/>
          <w:sz w:val="24"/>
        </w:rPr>
        <w:t>Nome do Responsável Técnico pela empresa (Clínicas, Hospitais, etc.) que presta serviço dentro do prazo de validade, atualizado.</w:t>
      </w:r>
    </w:p>
    <w:p>
      <w:pPr>
        <w:pStyle w:val="Normal"/>
        <w:tabs>
          <w:tab w:val="clear" w:pos="720"/>
          <w:tab w:val="left" w:pos="142" w:leader="none"/>
          <w:tab w:val="left" w:pos="567" w:leader="none"/>
          <w:tab w:val="left" w:pos="709" w:leader="none"/>
          <w:tab w:val="left" w:pos="851" w:leader="none"/>
        </w:tabs>
        <w:spacing w:lineRule="auto" w:line="276"/>
        <w:jc w:val="both"/>
        <w:rPr>
          <w:rFonts w:ascii="Calibri" w:hAnsi="Calibri"/>
        </w:rPr>
      </w:pPr>
      <w:r>
        <w:rPr>
          <w:rFonts w:cs="Calibri" w:ascii="Calibri" w:hAnsi="Calibri"/>
          <w:sz w:val="24"/>
        </w:rPr>
        <w:tab/>
        <w:tab/>
        <w:tab/>
      </w:r>
      <w:r>
        <w:rPr>
          <w:rFonts w:cs="Calibri" w:ascii="Calibri" w:hAnsi="Calibri"/>
          <w:b/>
          <w:bCs/>
          <w:sz w:val="24"/>
        </w:rPr>
        <w:t>5.2.16</w:t>
        <w:tab/>
      </w:r>
      <w:r>
        <w:rPr>
          <w:rFonts w:cs="Calibri" w:ascii="Calibri" w:hAnsi="Calibri"/>
          <w:b/>
          <w:sz w:val="24"/>
        </w:rPr>
        <w:t>Em relação às exigências específicas de especialização e comprovação de experiência serão realizadas, para cada profissional, pela análise de documentos comprobatórios pela Comissão destinada a esse fim, conforme constante no Edital e seus Anexos, e tópico específicos de Qualificação Técnica</w:t>
      </w:r>
      <w:r>
        <w:rPr>
          <w:rFonts w:cs="Calibri" w:ascii="Calibri" w:hAnsi="Calibri"/>
          <w:sz w:val="24"/>
        </w:rPr>
        <w:t>.</w:t>
      </w:r>
    </w:p>
    <w:p>
      <w:pPr>
        <w:pStyle w:val="Normal"/>
        <w:tabs>
          <w:tab w:val="clear" w:pos="720"/>
          <w:tab w:val="left" w:pos="0" w:leader="none"/>
          <w:tab w:val="left" w:pos="142" w:leader="none"/>
        </w:tabs>
        <w:spacing w:lineRule="auto" w:line="276"/>
        <w:jc w:val="both"/>
        <w:rPr>
          <w:rFonts w:ascii="Calibri" w:hAnsi="Calibri"/>
        </w:rPr>
      </w:pPr>
      <w:r>
        <w:rPr>
          <w:rFonts w:cs="Calibri" w:ascii="Calibri" w:hAnsi="Calibri"/>
          <w:sz w:val="24"/>
        </w:rPr>
        <w:tab/>
        <w:tab/>
      </w:r>
      <w:r>
        <w:rPr>
          <w:rFonts w:cs="Calibri" w:ascii="Calibri" w:hAnsi="Calibri"/>
          <w:b/>
          <w:bCs/>
          <w:sz w:val="24"/>
        </w:rPr>
        <w:t>5.2.17</w:t>
        <w:tab/>
      </w:r>
      <w:r>
        <w:rPr>
          <w:rFonts w:cs="Calibri" w:ascii="Calibri" w:hAnsi="Calibri"/>
          <w:sz w:val="24"/>
        </w:rPr>
        <w:t>Os equipamentos e respectivas manutenções devem obedecer à legislação vigente, reguladas para este fim.</w:t>
      </w:r>
    </w:p>
    <w:p>
      <w:pPr>
        <w:pStyle w:val="Normal"/>
        <w:tabs>
          <w:tab w:val="clear" w:pos="720"/>
          <w:tab w:val="left" w:pos="-142" w:leader="none"/>
          <w:tab w:val="left" w:pos="0" w:leader="none"/>
          <w:tab w:val="left" w:pos="142" w:leader="none"/>
        </w:tabs>
        <w:spacing w:lineRule="auto" w:line="276"/>
        <w:jc w:val="both"/>
        <w:rPr>
          <w:rFonts w:ascii="Calibri" w:hAnsi="Calibri"/>
        </w:rPr>
      </w:pPr>
      <w:r>
        <w:rPr>
          <w:rFonts w:eastAsia="Calibri" w:cs="Calibri" w:ascii="Calibri" w:hAnsi="Calibri"/>
          <w:color w:val="FF0000"/>
          <w:sz w:val="24"/>
        </w:rPr>
        <w:tab/>
      </w:r>
      <w:r>
        <w:rPr>
          <w:rFonts w:eastAsia="Calibri" w:cs="Calibri" w:ascii="Calibri" w:hAnsi="Calibri"/>
          <w:sz w:val="24"/>
        </w:rPr>
        <w:tab/>
      </w:r>
      <w:r>
        <w:rPr>
          <w:rFonts w:cs="Calibri" w:ascii="Calibri" w:hAnsi="Calibri"/>
          <w:b/>
          <w:bCs/>
          <w:sz w:val="24"/>
        </w:rPr>
        <w:t>5.2.19</w:t>
        <w:tab/>
      </w:r>
      <w:r>
        <w:rPr>
          <w:rFonts w:eastAsia="Calibri" w:cs="Calibri" w:ascii="Calibri" w:hAnsi="Calibri"/>
          <w:sz w:val="24"/>
        </w:rPr>
        <w:t xml:space="preserve">Para as situações descritas em item anterior, a Credenciada deverá comunicar imediatamente o Serviço de Emergência do HNMD quanto à situação de atendimento emergencial e a condição do paciente. </w:t>
      </w:r>
    </w:p>
    <w:p>
      <w:pPr>
        <w:pStyle w:val="Normal"/>
        <w:tabs>
          <w:tab w:val="clear" w:pos="720"/>
          <w:tab w:val="left" w:pos="0" w:leader="none"/>
        </w:tabs>
        <w:spacing w:lineRule="auto" w:line="276"/>
        <w:jc w:val="both"/>
        <w:rPr/>
      </w:pPr>
      <w:r>
        <w:rPr>
          <w:rFonts w:cs="Calibri" w:ascii="Calibri" w:hAnsi="Calibri"/>
          <w:bCs/>
          <w:color w:val="000000"/>
          <w:sz w:val="24"/>
        </w:rPr>
        <w:tab/>
      </w:r>
      <w:r>
        <w:rPr>
          <w:rFonts w:cs="Calibri" w:ascii="Calibri" w:hAnsi="Calibri"/>
          <w:b/>
          <w:bCs/>
          <w:sz w:val="24"/>
        </w:rPr>
        <w:t>5.2.20</w:t>
        <w:tab/>
      </w:r>
      <w:r>
        <w:rPr>
          <w:rFonts w:cs="Calibri" w:ascii="Calibri" w:hAnsi="Calibri"/>
          <w:bCs/>
          <w:color w:val="000000"/>
          <w:sz w:val="24"/>
        </w:rPr>
        <w:t xml:space="preserve">A </w:t>
      </w:r>
      <w:r>
        <w:rPr>
          <w:rFonts w:eastAsia="Calibri" w:cs="Calibri" w:ascii="Calibri" w:hAnsi="Calibri"/>
          <w:bCs/>
          <w:color w:val="000000"/>
          <w:sz w:val="24"/>
        </w:rPr>
        <w:t>CONTRATADA</w:t>
      </w:r>
      <w:r>
        <w:rPr>
          <w:rFonts w:cs="Calibri" w:ascii="Calibri" w:hAnsi="Calibri"/>
          <w:bCs/>
          <w:color w:val="000000"/>
          <w:sz w:val="24"/>
        </w:rPr>
        <w:t xml:space="preserve"> no momento da remoção do paciente por motivo de intercorrência na realização do atendimento deverá apresentar relatório médico que deverá conter todos os procedimentos realizados e medicamentos utilizados durante o atendimento de emergência datado e assinado pelo profissional responsável; </w:t>
      </w:r>
      <w:r>
        <w:rPr>
          <w:rStyle w:val="Fontepargpadro1"/>
          <w:rFonts w:cs="Calibri" w:ascii="Calibri" w:hAnsi="Calibri"/>
          <w:bCs/>
          <w:color w:val="000000"/>
          <w:sz w:val="24"/>
        </w:rPr>
        <w:t>não havendo em nenhum dos casos, qualquer ônus para a Marinha do Brasil.</w:t>
      </w:r>
    </w:p>
    <w:p>
      <w:pPr>
        <w:pStyle w:val="Normal"/>
        <w:tabs>
          <w:tab w:val="clear" w:pos="720"/>
          <w:tab w:val="left" w:pos="0" w:leader="none"/>
        </w:tabs>
        <w:spacing w:lineRule="auto" w:line="276"/>
        <w:jc w:val="both"/>
        <w:rPr/>
      </w:pPr>
      <w:r>
        <w:rPr>
          <w:rStyle w:val="Fontepargpadro1"/>
          <w:rFonts w:cs="Calibri" w:ascii="Calibri" w:hAnsi="Calibri"/>
          <w:bCs/>
          <w:color w:val="000000"/>
          <w:sz w:val="24"/>
        </w:rPr>
        <w:tab/>
      </w:r>
      <w:r>
        <w:rPr>
          <w:rFonts w:cs="Calibri" w:ascii="Calibri" w:hAnsi="Calibri"/>
          <w:b/>
          <w:bCs/>
          <w:sz w:val="24"/>
        </w:rPr>
        <w:t>5.2.21</w:t>
        <w:tab/>
      </w:r>
      <w:r>
        <w:rPr>
          <w:rStyle w:val="Fontepargpadro1"/>
          <w:rFonts w:cs="Calibri" w:ascii="Calibri" w:hAnsi="Calibri"/>
          <w:bCs/>
          <w:color w:val="000000"/>
          <w:sz w:val="24"/>
        </w:rPr>
        <w:t>Para todos os casos, é obrigatório comunicação com o fiscal do contrato ou seu substituto.</w:t>
      </w:r>
    </w:p>
    <w:p>
      <w:pPr>
        <w:pStyle w:val="Normal"/>
        <w:tabs>
          <w:tab w:val="clear" w:pos="720"/>
          <w:tab w:val="left" w:pos="851" w:leader="none"/>
        </w:tabs>
        <w:spacing w:lineRule="auto" w:line="276"/>
        <w:jc w:val="both"/>
        <w:rPr>
          <w:rFonts w:ascii="Calibri" w:hAnsi="Calibri" w:cs="Calibri"/>
          <w:b/>
          <w:b/>
          <w:bCs/>
          <w:sz w:val="24"/>
        </w:rPr>
      </w:pPr>
      <w:r>
        <w:rPr>
          <w:rFonts w:cs="Calibri" w:ascii="Calibri" w:hAnsi="Calibri"/>
          <w:b/>
          <w:bCs/>
          <w:sz w:val="24"/>
        </w:rPr>
      </w:r>
    </w:p>
    <w:p>
      <w:pPr>
        <w:pStyle w:val="ListParagraph"/>
        <w:numPr>
          <w:ilvl w:val="1"/>
          <w:numId w:val="5"/>
        </w:numPr>
        <w:tabs>
          <w:tab w:val="clear" w:pos="720"/>
          <w:tab w:val="left" w:pos="851" w:leader="none"/>
        </w:tabs>
        <w:spacing w:lineRule="auto" w:line="276"/>
        <w:ind w:left="0" w:firstLine="709"/>
        <w:jc w:val="both"/>
        <w:rPr>
          <w:rFonts w:ascii="Calibri" w:hAnsi="Calibri"/>
        </w:rPr>
      </w:pPr>
      <w:r>
        <w:rPr>
          <w:rFonts w:cs="Calibri" w:ascii="Calibri" w:hAnsi="Calibri"/>
          <w:b/>
          <w:bCs/>
          <w:sz w:val="24"/>
        </w:rPr>
        <w:t>DOS PROCEDIMENTOS E VALORES</w:t>
      </w:r>
    </w:p>
    <w:p>
      <w:pPr>
        <w:pStyle w:val="Normal"/>
        <w:tabs>
          <w:tab w:val="clear" w:pos="720"/>
          <w:tab w:val="left" w:pos="0" w:leader="none"/>
        </w:tabs>
        <w:spacing w:lineRule="auto" w:line="276"/>
        <w:jc w:val="both"/>
        <w:rPr>
          <w:rFonts w:ascii="Calibri" w:hAnsi="Calibri"/>
        </w:rPr>
      </w:pPr>
      <w:r>
        <w:rPr>
          <w:rFonts w:cs="Calibri" w:ascii="Calibri" w:hAnsi="Calibri"/>
          <w:b/>
          <w:bCs/>
          <w:sz w:val="24"/>
        </w:rPr>
        <w:tab/>
        <w:t>5.3.1</w:t>
        <w:tab/>
      </w:r>
      <w:r>
        <w:rPr>
          <w:rFonts w:cs="Calibri" w:ascii="Calibri" w:hAnsi="Calibri"/>
          <w:bCs/>
          <w:sz w:val="24"/>
        </w:rPr>
        <w:t>O custo anual estimado demonstrado na tabela está de acordo com a média dos</w:t>
      </w:r>
      <w:r>
        <w:drawing>
          <wp:anchor behindDoc="1" distT="0" distB="0" distL="0" distR="0" simplePos="0" locked="0" layoutInCell="0" allowOverlap="1" relativeHeight="4">
            <wp:simplePos x="0" y="0"/>
            <wp:positionH relativeFrom="page">
              <wp:posOffset>6134100</wp:posOffset>
            </wp:positionH>
            <wp:positionV relativeFrom="page">
              <wp:posOffset>109855</wp:posOffset>
            </wp:positionV>
            <wp:extent cx="1080135" cy="1080135"/>
            <wp:effectExtent l="0" t="0" r="0" b="0"/>
            <wp:wrapNone/>
            <wp:docPr id="5"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3" descr=""/>
                    <pic:cNvPicPr>
                      <a:picLocks noChangeAspect="1" noChangeArrowheads="1"/>
                    </pic:cNvPicPr>
                  </pic:nvPicPr>
                  <pic:blipFill>
                    <a:blip r:embed="rId10"/>
                    <a:stretch>
                      <a:fillRect/>
                    </a:stretch>
                  </pic:blipFill>
                  <pic:spPr bwMode="auto">
                    <a:xfrm>
                      <a:off x="0" y="0"/>
                      <a:ext cx="1080135" cy="1080135"/>
                    </a:xfrm>
                    <a:prstGeom prst="rect">
                      <a:avLst/>
                    </a:prstGeom>
                  </pic:spPr>
                </pic:pic>
              </a:graphicData>
            </a:graphic>
          </wp:anchor>
        </w:drawing>
      </w:r>
      <w:r>
        <w:rPr>
          <w:rFonts w:cs="Calibri" w:ascii="Calibri" w:hAnsi="Calibri"/>
          <w:bCs/>
          <w:sz w:val="24"/>
        </w:rPr>
        <w:t xml:space="preserve"> procedimentos em anos anteriores, apresentado no Documento de Formalização da Demanda (DFD) da Clínica de Pediatria.</w:t>
      </w:r>
    </w:p>
    <w:p>
      <w:pPr>
        <w:pStyle w:val="Normal"/>
        <w:tabs>
          <w:tab w:val="clear" w:pos="720"/>
          <w:tab w:val="left" w:pos="0" w:leader="none"/>
        </w:tabs>
        <w:spacing w:lineRule="auto" w:line="276"/>
        <w:jc w:val="both"/>
        <w:rPr>
          <w:rFonts w:ascii="Calibri" w:hAnsi="Calibri"/>
        </w:rPr>
      </w:pPr>
      <w:r>
        <w:rPr>
          <w:rFonts w:cs="Calibri" w:ascii="Calibri" w:hAnsi="Calibri"/>
          <w:bCs/>
          <w:sz w:val="24"/>
        </w:rPr>
        <w:tab/>
      </w:r>
      <w:r>
        <w:rPr>
          <w:rFonts w:cs="Calibri" w:ascii="Calibri" w:hAnsi="Calibri"/>
          <w:b/>
          <w:bCs/>
          <w:sz w:val="24"/>
        </w:rPr>
        <w:t>5.3.1.1</w:t>
        <w:tab/>
      </w:r>
      <w:r>
        <w:rPr>
          <w:rFonts w:cs="Calibri" w:ascii="Calibri" w:hAnsi="Calibri"/>
          <w:bCs/>
          <w:sz w:val="24"/>
        </w:rPr>
        <w:t>O serviço será realizado por demanda e o pagamento após a execução, verificação e convalidação do mesmo.</w:t>
      </w:r>
    </w:p>
    <w:p>
      <w:pPr>
        <w:pStyle w:val="ListParagraph"/>
        <w:tabs>
          <w:tab w:val="clear" w:pos="720"/>
          <w:tab w:val="left" w:pos="851" w:leader="none"/>
        </w:tabs>
        <w:spacing w:lineRule="auto" w:line="276"/>
        <w:ind w:left="709" w:hanging="0"/>
        <w:jc w:val="both"/>
        <w:rPr>
          <w:rFonts w:ascii="Calibri" w:hAnsi="Calibri" w:cs="Calibri"/>
          <w:b/>
          <w:b/>
          <w:bCs/>
          <w:sz w:val="24"/>
        </w:rPr>
      </w:pPr>
      <w:r>
        <w:rPr>
          <w:rFonts w:cs="Calibri" w:ascii="Calibri" w:hAnsi="Calibri"/>
          <w:b/>
          <w:bCs/>
          <w:sz w:val="24"/>
        </w:rPr>
      </w:r>
    </w:p>
    <w:p>
      <w:pPr>
        <w:pStyle w:val="ListParagraph"/>
        <w:tabs>
          <w:tab w:val="clear" w:pos="720"/>
          <w:tab w:val="left" w:pos="851" w:leader="none"/>
        </w:tabs>
        <w:spacing w:lineRule="auto" w:line="276"/>
        <w:ind w:left="709" w:hanging="0"/>
        <w:jc w:val="both"/>
        <w:rPr>
          <w:rFonts w:ascii="Calibri" w:hAnsi="Calibri"/>
        </w:rPr>
      </w:pPr>
      <w:r>
        <w:rPr>
          <w:rFonts w:cs="Calibri" w:ascii="Calibri" w:hAnsi="Calibri"/>
          <w:b/>
          <w:bCs/>
          <w:sz w:val="24"/>
        </w:rPr>
        <w:t>Tabela 01 – Da Demanda Estimada e do Custo Anual para os Serviços Credenciados</w:t>
      </w:r>
    </w:p>
    <w:tbl>
      <w:tblPr>
        <w:tblStyle w:val="Tabelacomgrade"/>
        <w:tblW w:w="9867" w:type="dxa"/>
        <w:jc w:val="left"/>
        <w:tblInd w:w="107" w:type="dxa"/>
        <w:tblLayout w:type="fixed"/>
        <w:tblCellMar>
          <w:top w:w="0" w:type="dxa"/>
          <w:left w:w="108" w:type="dxa"/>
          <w:bottom w:w="0" w:type="dxa"/>
          <w:right w:w="108" w:type="dxa"/>
        </w:tblCellMar>
        <w:tblLook w:val="04a0"/>
      </w:tblPr>
      <w:tblGrid>
        <w:gridCol w:w="3635"/>
        <w:gridCol w:w="3116"/>
        <w:gridCol w:w="3116"/>
      </w:tblGrid>
      <w:tr>
        <w:trPr/>
        <w:tc>
          <w:tcPr>
            <w:tcW w:w="3635" w:type="dxa"/>
            <w:tcBorders/>
            <w:vAlign w:val="center"/>
          </w:tcPr>
          <w:p>
            <w:pPr>
              <w:pStyle w:val="ListParagraph"/>
              <w:widowControl w:val="false"/>
              <w:tabs>
                <w:tab w:val="clear" w:pos="720"/>
                <w:tab w:val="left" w:pos="851" w:leader="none"/>
              </w:tabs>
              <w:suppressAutoHyphens w:val="true"/>
              <w:spacing w:lineRule="auto" w:line="276" w:before="0" w:after="0"/>
              <w:ind w:left="0" w:hanging="0"/>
              <w:contextualSpacing/>
              <w:jc w:val="center"/>
              <w:rPr>
                <w:rFonts w:ascii="Calibri" w:hAnsi="Calibri" w:cs="Calibri"/>
                <w:b/>
                <w:b/>
                <w:bCs/>
                <w:sz w:val="24"/>
                <w:lang w:eastAsia="en-US"/>
              </w:rPr>
            </w:pPr>
            <w:r>
              <w:rPr>
                <w:rFonts w:eastAsia="" w:cs="Calibri" w:ascii="Calibri" w:hAnsi="Calibri"/>
                <w:b/>
                <w:bCs/>
                <w:kern w:val="0"/>
                <w:sz w:val="24"/>
                <w:lang w:val="pt-BR" w:eastAsia="en-US" w:bidi="ar-SA"/>
              </w:rPr>
              <w:t>Serviços Credenciados</w:t>
            </w:r>
          </w:p>
        </w:tc>
        <w:tc>
          <w:tcPr>
            <w:tcW w:w="3116" w:type="dxa"/>
            <w:tcBorders>
              <w:right w:val="nil"/>
            </w:tcBorders>
            <w:vAlign w:val="center"/>
          </w:tcPr>
          <w:p>
            <w:pPr>
              <w:pStyle w:val="ListParagraph"/>
              <w:widowControl w:val="false"/>
              <w:tabs>
                <w:tab w:val="clear" w:pos="720"/>
                <w:tab w:val="left" w:pos="851" w:leader="none"/>
              </w:tabs>
              <w:suppressAutoHyphens w:val="true"/>
              <w:spacing w:lineRule="auto" w:line="276" w:before="0" w:after="0"/>
              <w:ind w:left="0" w:hanging="0"/>
              <w:contextualSpacing/>
              <w:jc w:val="center"/>
              <w:rPr>
                <w:rFonts w:ascii="Calibri" w:hAnsi="Calibri" w:cs="Calibri"/>
                <w:b/>
                <w:b/>
                <w:bCs/>
                <w:sz w:val="24"/>
                <w:lang w:eastAsia="en-US"/>
              </w:rPr>
            </w:pPr>
            <w:r>
              <w:rPr>
                <w:rFonts w:eastAsia="" w:cs="Calibri" w:ascii="Calibri" w:hAnsi="Calibri"/>
                <w:b/>
                <w:bCs/>
                <w:kern w:val="0"/>
                <w:sz w:val="24"/>
                <w:lang w:val="pt-BR" w:eastAsia="en-US" w:bidi="ar-SA"/>
              </w:rPr>
              <w:t>Demanda Anual</w:t>
            </w:r>
          </w:p>
        </w:tc>
        <w:tc>
          <w:tcPr>
            <w:tcW w:w="3116" w:type="dxa"/>
            <w:tcBorders/>
            <w:vAlign w:val="center"/>
          </w:tcPr>
          <w:p>
            <w:pPr>
              <w:pStyle w:val="ListParagraph"/>
              <w:widowControl w:val="false"/>
              <w:tabs>
                <w:tab w:val="clear" w:pos="720"/>
                <w:tab w:val="left" w:pos="851" w:leader="none"/>
              </w:tabs>
              <w:suppressAutoHyphens w:val="true"/>
              <w:spacing w:lineRule="auto" w:line="276" w:before="0" w:after="0"/>
              <w:ind w:left="0" w:hanging="0"/>
              <w:contextualSpacing/>
              <w:jc w:val="center"/>
              <w:rPr>
                <w:rFonts w:ascii="Calibri" w:hAnsi="Calibri" w:cs="Calibri"/>
                <w:b/>
                <w:b/>
                <w:bCs/>
                <w:sz w:val="24"/>
                <w:lang w:eastAsia="en-US"/>
              </w:rPr>
            </w:pPr>
            <w:r>
              <w:rPr>
                <w:rFonts w:eastAsia="" w:cs="Calibri" w:ascii="Calibri" w:hAnsi="Calibri"/>
                <w:b/>
                <w:bCs/>
                <w:kern w:val="0"/>
                <w:sz w:val="24"/>
                <w:lang w:val="pt-BR" w:eastAsia="en-US" w:bidi="ar-SA"/>
              </w:rPr>
              <w:t>Valor Estimado Total dos Serviços Credenciados</w:t>
            </w:r>
          </w:p>
        </w:tc>
      </w:tr>
      <w:tr>
        <w:trPr/>
        <w:tc>
          <w:tcPr>
            <w:tcW w:w="3635" w:type="dxa"/>
            <w:tcBorders/>
            <w:vAlign w:val="center"/>
          </w:tcPr>
          <w:p>
            <w:pPr>
              <w:pStyle w:val="ListParagraph"/>
              <w:widowControl w:val="false"/>
              <w:tabs>
                <w:tab w:val="clear" w:pos="720"/>
                <w:tab w:val="left" w:pos="851" w:leader="none"/>
              </w:tabs>
              <w:suppressAutoHyphens w:val="true"/>
              <w:spacing w:lineRule="auto" w:line="276" w:before="0" w:after="0"/>
              <w:ind w:left="0" w:hanging="0"/>
              <w:contextualSpacing/>
              <w:jc w:val="center"/>
              <w:rPr>
                <w:rFonts w:ascii="Calibri" w:hAnsi="Calibri" w:cs="Calibri"/>
                <w:sz w:val="24"/>
                <w:lang w:eastAsia="en-US"/>
              </w:rPr>
            </w:pPr>
            <w:r>
              <w:rPr>
                <w:rFonts w:eastAsia="" w:cs="Calibri" w:ascii="Calibri" w:hAnsi="Calibri"/>
                <w:kern w:val="0"/>
                <w:sz w:val="24"/>
                <w:lang w:val="pt-BR" w:eastAsia="en-US" w:bidi="ar-SA"/>
              </w:rPr>
              <w:t xml:space="preserve">Cirurgias e Procedimentos em Cardiologia e Hemodinâmica </w:t>
            </w:r>
            <w:r>
              <w:rPr>
                <w:rFonts w:eastAsia="" w:cs="Calibri" w:ascii="Calibri" w:hAnsi="Calibri"/>
                <w:b/>
                <w:bCs/>
                <w:kern w:val="0"/>
                <w:sz w:val="24"/>
                <w:lang w:val="pt-BR" w:eastAsia="en-US" w:bidi="ar-SA"/>
              </w:rPr>
              <w:t>(conforme Tabela 2)</w:t>
            </w:r>
          </w:p>
        </w:tc>
        <w:tc>
          <w:tcPr>
            <w:tcW w:w="3116" w:type="dxa"/>
            <w:tcBorders>
              <w:right w:val="nil"/>
            </w:tcBorders>
            <w:vAlign w:val="center"/>
          </w:tcPr>
          <w:p>
            <w:pPr>
              <w:pStyle w:val="Normal"/>
              <w:widowControl w:val="false"/>
              <w:suppressAutoHyphens w:val="true"/>
              <w:spacing w:before="0" w:after="0"/>
              <w:jc w:val="center"/>
              <w:rPr>
                <w:rFonts w:ascii="Calibri" w:hAnsi="Calibri" w:cs="Calibri"/>
                <w:sz w:val="28"/>
                <w:szCs w:val="28"/>
                <w:lang w:eastAsia="en-US"/>
              </w:rPr>
            </w:pPr>
            <w:r>
              <w:rPr>
                <w:rFonts w:eastAsia="" w:cs="Calibri" w:ascii="Calibri" w:hAnsi="Calibri"/>
                <w:kern w:val="0"/>
                <w:sz w:val="28"/>
                <w:szCs w:val="28"/>
                <w:lang w:val="pt-BR" w:eastAsia="en-US" w:bidi="ar-SA"/>
              </w:rPr>
              <w:t>12</w:t>
            </w:r>
          </w:p>
        </w:tc>
        <w:tc>
          <w:tcPr>
            <w:tcW w:w="3116" w:type="dxa"/>
            <w:tcBorders/>
            <w:vAlign w:val="center"/>
          </w:tcPr>
          <w:p>
            <w:pPr>
              <w:pStyle w:val="Normal"/>
              <w:widowControl w:val="false"/>
              <w:suppressAutoHyphens w:val="true"/>
              <w:spacing w:before="0" w:after="0"/>
              <w:jc w:val="center"/>
              <w:rPr>
                <w:rFonts w:ascii="Calibri" w:hAnsi="Calibri" w:cs="Calibri"/>
                <w:b/>
                <w:b/>
                <w:bCs/>
                <w:sz w:val="28"/>
                <w:szCs w:val="28"/>
                <w:lang w:eastAsia="en-US"/>
              </w:rPr>
            </w:pPr>
            <w:r>
              <w:rPr>
                <w:rFonts w:eastAsia="" w:cs="Calibri" w:ascii="Calibri" w:hAnsi="Calibri"/>
                <w:b/>
                <w:bCs/>
                <w:color w:val="000000"/>
                <w:kern w:val="0"/>
                <w:sz w:val="28"/>
                <w:szCs w:val="28"/>
                <w:lang w:val="pt-BR" w:eastAsia="en-US" w:bidi="ar-SA"/>
              </w:rPr>
              <w:t>R$ 2.953.460,36</w:t>
            </w:r>
          </w:p>
        </w:tc>
      </w:tr>
      <w:tr>
        <w:trPr/>
        <w:tc>
          <w:tcPr>
            <w:tcW w:w="3635" w:type="dxa"/>
            <w:tcBorders>
              <w:top w:val="nil"/>
            </w:tcBorders>
            <w:vAlign w:val="center"/>
          </w:tcPr>
          <w:p>
            <w:pPr>
              <w:pStyle w:val="ListParagraph"/>
              <w:widowControl w:val="false"/>
              <w:tabs>
                <w:tab w:val="clear" w:pos="720"/>
                <w:tab w:val="left" w:pos="851" w:leader="none"/>
              </w:tabs>
              <w:suppressAutoHyphens w:val="true"/>
              <w:spacing w:lineRule="auto" w:line="276" w:before="0" w:after="0"/>
              <w:ind w:left="0" w:hanging="0"/>
              <w:contextualSpacing/>
              <w:jc w:val="center"/>
              <w:rPr>
                <w:rFonts w:ascii="Calibri" w:hAnsi="Calibri" w:cs="Calibri"/>
                <w:sz w:val="24"/>
                <w:lang w:eastAsia="en-US"/>
              </w:rPr>
            </w:pPr>
            <w:r>
              <w:rPr>
                <w:rFonts w:eastAsia="" w:cs="Calibri" w:ascii="Calibri" w:hAnsi="Calibri"/>
                <w:kern w:val="0"/>
                <w:sz w:val="24"/>
                <w:lang w:val="pt-BR" w:eastAsia="en-US" w:bidi="ar-SA"/>
              </w:rPr>
              <w:t>Diária para Internação Assistencial em NeoPediatria</w:t>
            </w:r>
          </w:p>
          <w:p>
            <w:pPr>
              <w:pStyle w:val="ListParagraph"/>
              <w:widowControl w:val="false"/>
              <w:tabs>
                <w:tab w:val="clear" w:pos="720"/>
                <w:tab w:val="left" w:pos="851" w:leader="none"/>
              </w:tabs>
              <w:suppressAutoHyphens w:val="true"/>
              <w:spacing w:lineRule="auto" w:line="276" w:before="0" w:after="0"/>
              <w:ind w:left="0" w:hanging="0"/>
              <w:contextualSpacing/>
              <w:jc w:val="center"/>
              <w:rPr>
                <w:rFonts w:ascii="Calibri" w:hAnsi="Calibri" w:cs="Calibri"/>
                <w:b/>
                <w:b/>
                <w:bCs/>
                <w:sz w:val="24"/>
                <w:lang w:eastAsia="en-US"/>
              </w:rPr>
            </w:pPr>
            <w:r>
              <w:rPr>
                <w:rFonts w:eastAsia="" w:cs="Calibri" w:ascii="Calibri" w:hAnsi="Calibri"/>
                <w:b/>
                <w:bCs/>
                <w:kern w:val="0"/>
                <w:sz w:val="24"/>
                <w:lang w:val="pt-BR" w:eastAsia="en-US" w:bidi="ar-SA"/>
              </w:rPr>
              <w:t>(conforme Tabela 3)</w:t>
            </w:r>
          </w:p>
        </w:tc>
        <w:tc>
          <w:tcPr>
            <w:tcW w:w="3116" w:type="dxa"/>
            <w:tcBorders>
              <w:top w:val="nil"/>
              <w:right w:val="nil"/>
            </w:tcBorders>
            <w:vAlign w:val="center"/>
          </w:tcPr>
          <w:p>
            <w:pPr>
              <w:pStyle w:val="Normal"/>
              <w:widowControl w:val="false"/>
              <w:suppressAutoHyphens w:val="true"/>
              <w:spacing w:before="0" w:after="0"/>
              <w:jc w:val="center"/>
              <w:rPr>
                <w:rFonts w:ascii="Calibri" w:hAnsi="Calibri" w:cs="Calibri"/>
                <w:color w:val="000000"/>
                <w:sz w:val="28"/>
                <w:szCs w:val="28"/>
                <w:lang w:eastAsia="en-US"/>
              </w:rPr>
            </w:pPr>
            <w:r>
              <w:rPr>
                <w:rFonts w:eastAsia="" w:cs="Calibri" w:ascii="Calibri" w:hAnsi="Calibri"/>
                <w:color w:val="000000"/>
                <w:kern w:val="0"/>
                <w:sz w:val="28"/>
                <w:szCs w:val="28"/>
                <w:lang w:val="pt-BR" w:eastAsia="en-US" w:bidi="ar-SA"/>
              </w:rPr>
              <w:t>40</w:t>
            </w:r>
          </w:p>
        </w:tc>
        <w:tc>
          <w:tcPr>
            <w:tcW w:w="3116" w:type="dxa"/>
            <w:tcBorders>
              <w:top w:val="nil"/>
            </w:tcBorders>
            <w:vAlign w:val="center"/>
          </w:tcPr>
          <w:p>
            <w:pPr>
              <w:pStyle w:val="Normal"/>
              <w:widowControl w:val="false"/>
              <w:suppressAutoHyphens w:val="true"/>
              <w:spacing w:before="0" w:after="0"/>
              <w:jc w:val="center"/>
              <w:rPr>
                <w:rFonts w:ascii="Calibri" w:hAnsi="Calibri"/>
                <w:b/>
                <w:b/>
                <w:bCs/>
                <w:sz w:val="28"/>
                <w:szCs w:val="28"/>
              </w:rPr>
            </w:pPr>
            <w:r>
              <w:rPr>
                <w:rFonts w:eastAsia="" w:cs="Calibri" w:ascii="Calibri" w:hAnsi="Calibri"/>
                <w:b/>
                <w:bCs/>
                <w:color w:val="000000"/>
                <w:kern w:val="0"/>
                <w:sz w:val="28"/>
                <w:szCs w:val="28"/>
                <w:lang w:val="pt-BR" w:eastAsia="en-US" w:bidi="ar-SA"/>
              </w:rPr>
              <w:t xml:space="preserve">R$ </w:t>
            </w:r>
            <w:r>
              <w:rPr>
                <w:rFonts w:eastAsia="" w:ascii="Calibri" w:hAnsi="Calibri"/>
                <w:b/>
                <w:bCs/>
                <w:color w:val="000000"/>
                <w:kern w:val="0"/>
                <w:sz w:val="28"/>
                <w:szCs w:val="28"/>
                <w:lang w:val="pt-BR" w:eastAsia="en-US" w:bidi="ar-SA"/>
              </w:rPr>
              <w:t>251.767,36</w:t>
            </w:r>
          </w:p>
        </w:tc>
      </w:tr>
    </w:tbl>
    <w:p>
      <w:pPr>
        <w:pStyle w:val="ListParagraph"/>
        <w:tabs>
          <w:tab w:val="clear" w:pos="720"/>
          <w:tab w:val="left" w:pos="851" w:leader="none"/>
        </w:tabs>
        <w:spacing w:lineRule="auto" w:line="276"/>
        <w:ind w:left="709" w:hanging="0"/>
        <w:jc w:val="both"/>
        <w:rPr>
          <w:rFonts w:ascii="Calibri" w:hAnsi="Calibri" w:cs="Calibri"/>
          <w:sz w:val="22"/>
          <w:szCs w:val="22"/>
        </w:rPr>
      </w:pPr>
      <w:r>
        <w:rPr>
          <w:rFonts w:cs="Calibri" w:ascii="Calibri" w:hAnsi="Calibri"/>
          <w:sz w:val="22"/>
          <w:szCs w:val="22"/>
        </w:rPr>
        <w:t>Tabela 1 – valores para demanda anual.</w:t>
      </w:r>
    </w:p>
    <w:p>
      <w:pPr>
        <w:pStyle w:val="ListParagraph"/>
        <w:tabs>
          <w:tab w:val="clear" w:pos="720"/>
          <w:tab w:val="left" w:pos="851" w:leader="none"/>
        </w:tabs>
        <w:spacing w:lineRule="auto" w:line="276"/>
        <w:ind w:left="709" w:hanging="0"/>
        <w:jc w:val="both"/>
        <w:rPr>
          <w:rFonts w:ascii="Calibri" w:hAnsi="Calibri" w:cs="Calibri"/>
          <w:b/>
          <w:b/>
          <w:sz w:val="24"/>
        </w:rPr>
      </w:pPr>
      <w:r>
        <w:rPr>
          <w:rFonts w:cs="Calibri" w:ascii="Calibri" w:hAnsi="Calibri"/>
          <w:b/>
          <w:sz w:val="24"/>
        </w:rPr>
      </w:r>
    </w:p>
    <w:p>
      <w:pPr>
        <w:pStyle w:val="Normal"/>
        <w:tabs>
          <w:tab w:val="clear" w:pos="720"/>
          <w:tab w:val="left" w:pos="851" w:leader="none"/>
        </w:tabs>
        <w:spacing w:lineRule="auto" w:line="276"/>
        <w:jc w:val="both"/>
        <w:rPr>
          <w:rFonts w:ascii="Calibri" w:hAnsi="Calibri"/>
        </w:rPr>
      </w:pPr>
      <w:r>
        <w:rPr>
          <w:rFonts w:cs="Calibri" w:ascii="Calibri" w:hAnsi="Calibri"/>
          <w:b/>
          <w:sz w:val="24"/>
        </w:rPr>
        <w:tab/>
        <w:t xml:space="preserve">5.3.2 </w:t>
        <w:tab/>
        <w:t>Os procedimentos n</w:t>
      </w:r>
      <w:r>
        <w:rPr>
          <w:rFonts w:cs="Calibri" w:ascii="Calibri" w:hAnsi="Calibri"/>
          <w:b/>
          <w:bCs/>
          <w:sz w:val="24"/>
        </w:rPr>
        <w:t xml:space="preserve">as especialidades de Cirurgia Cardiovascular Pediátrica e Hemodinâmica em Pediatria, </w:t>
      </w:r>
      <w:r>
        <w:rPr>
          <w:rFonts w:cs="Calibri" w:ascii="Calibri" w:hAnsi="Calibri"/>
          <w:b/>
          <w:sz w:val="24"/>
        </w:rPr>
        <w:t>estão descritos na tabela abaixo, bem como seus valores em custos totais.</w:t>
      </w:r>
    </w:p>
    <w:p>
      <w:pPr>
        <w:pStyle w:val="ListParagraph"/>
        <w:tabs>
          <w:tab w:val="clear" w:pos="720"/>
          <w:tab w:val="left" w:pos="851" w:leader="none"/>
        </w:tabs>
        <w:spacing w:lineRule="auto" w:line="276"/>
        <w:jc w:val="both"/>
        <w:rPr>
          <w:rFonts w:ascii="Calibri" w:hAnsi="Calibri" w:cs="Calibri"/>
          <w:b/>
          <w:b/>
          <w:sz w:val="24"/>
        </w:rPr>
      </w:pPr>
      <w:r>
        <w:rPr>
          <w:rFonts w:cs="Calibri" w:ascii="Calibri" w:hAnsi="Calibri"/>
          <w:b/>
          <w:sz w:val="24"/>
        </w:rPr>
      </w:r>
    </w:p>
    <w:p>
      <w:pPr>
        <w:pStyle w:val="ListParagraph"/>
        <w:tabs>
          <w:tab w:val="clear" w:pos="720"/>
          <w:tab w:val="left" w:pos="851" w:leader="none"/>
        </w:tabs>
        <w:spacing w:lineRule="auto" w:line="276"/>
        <w:ind w:left="709" w:hanging="0"/>
        <w:jc w:val="both"/>
        <w:rPr>
          <w:rFonts w:ascii="Calibri" w:hAnsi="Calibri"/>
        </w:rPr>
      </w:pPr>
      <w:r>
        <w:rPr>
          <w:rFonts w:cs="Calibri" w:ascii="Calibri" w:hAnsi="Calibri"/>
          <w:b/>
          <w:sz w:val="24"/>
        </w:rPr>
        <w:t>Tabela 02 – D</w:t>
      </w:r>
      <w:r>
        <w:rPr>
          <w:rFonts w:cs="Calibri" w:ascii="Calibri" w:hAnsi="Calibri"/>
          <w:b/>
          <w:sz w:val="24"/>
          <w:szCs w:val="24"/>
        </w:rPr>
        <w:t>as</w:t>
      </w:r>
      <w:r>
        <w:rPr>
          <w:rFonts w:cs="Calibri" w:ascii="Calibri" w:hAnsi="Calibri"/>
          <w:b/>
          <w:bCs/>
          <w:sz w:val="24"/>
        </w:rPr>
        <w:t xml:space="preserve"> Cirurgias Cardiovascular Pediátrica e Hemodinâmica em Pediatria.</w:t>
      </w:r>
    </w:p>
    <w:tbl>
      <w:tblPr>
        <w:tblW w:w="9914" w:type="dxa"/>
        <w:jc w:val="left"/>
        <w:tblInd w:w="55" w:type="dxa"/>
        <w:tblLayout w:type="fixed"/>
        <w:tblCellMar>
          <w:top w:w="55" w:type="dxa"/>
          <w:left w:w="51" w:type="dxa"/>
          <w:bottom w:w="55" w:type="dxa"/>
          <w:right w:w="55" w:type="dxa"/>
        </w:tblCellMar>
        <w:tblLook w:val="04a0"/>
      </w:tblPr>
      <w:tblGrid>
        <w:gridCol w:w="573"/>
        <w:gridCol w:w="1867"/>
        <w:gridCol w:w="559"/>
        <w:gridCol w:w="736"/>
        <w:gridCol w:w="2444"/>
        <w:gridCol w:w="1078"/>
        <w:gridCol w:w="1131"/>
        <w:gridCol w:w="1524"/>
      </w:tblGrid>
      <w:tr>
        <w:trPr>
          <w:trHeight w:val="450" w:hRule="atLeast"/>
        </w:trPr>
        <w:tc>
          <w:tcPr>
            <w:tcW w:w="573" w:type="dxa"/>
            <w:vMerge w:val="restart"/>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b/>
                <w:b/>
                <w:bCs/>
                <w:sz w:val="21"/>
                <w:szCs w:val="21"/>
              </w:rPr>
            </w:pPr>
            <w:r>
              <w:rPr>
                <w:rFonts w:ascii="Calibri" w:hAnsi="Calibri"/>
                <w:b/>
                <w:bCs/>
                <w:sz w:val="21"/>
                <w:szCs w:val="21"/>
              </w:rPr>
              <w:t>Item</w:t>
            </w:r>
          </w:p>
        </w:tc>
        <w:tc>
          <w:tcPr>
            <w:tcW w:w="1867" w:type="dxa"/>
            <w:vMerge w:val="restart"/>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Calibri" w:hAnsi="Calibri"/>
                <w:b/>
                <w:b/>
                <w:bCs/>
                <w:sz w:val="21"/>
                <w:szCs w:val="21"/>
              </w:rPr>
            </w:pPr>
            <w:r>
              <w:rPr>
                <w:rFonts w:ascii="Calibri" w:hAnsi="Calibri"/>
                <w:b/>
                <w:bCs/>
                <w:color w:val="000000"/>
                <w:sz w:val="21"/>
                <w:szCs w:val="21"/>
              </w:rPr>
              <w:t>GRUPOS DOS PROCEDIMENTOS</w:t>
            </w:r>
          </w:p>
        </w:tc>
        <w:tc>
          <w:tcPr>
            <w:tcW w:w="3739" w:type="dxa"/>
            <w:gridSpan w:val="3"/>
            <w:tcBorders>
              <w:top w:val="single" w:sz="2" w:space="0" w:color="000000"/>
              <w:left w:val="single" w:sz="2" w:space="0" w:color="000000"/>
              <w:bottom w:val="single" w:sz="2" w:space="0" w:color="000000"/>
            </w:tcBorders>
            <w:shd w:fill="auto" w:val="clear"/>
            <w:tcMar>
              <w:left w:w="55" w:type="dxa"/>
            </w:tcMar>
            <w:vAlign w:val="center"/>
          </w:tcPr>
          <w:p>
            <w:pPr>
              <w:pStyle w:val="Normal"/>
              <w:widowControl w:val="false"/>
              <w:jc w:val="center"/>
              <w:rPr>
                <w:rFonts w:ascii="Calibri" w:hAnsi="Calibri"/>
                <w:b/>
                <w:b/>
                <w:bCs/>
                <w:sz w:val="21"/>
                <w:szCs w:val="21"/>
              </w:rPr>
            </w:pPr>
            <w:r>
              <w:rPr>
                <w:rFonts w:ascii="Calibri" w:hAnsi="Calibri"/>
                <w:b/>
                <w:bCs/>
                <w:sz w:val="21"/>
                <w:szCs w:val="21"/>
              </w:rPr>
              <w:t>COBERTOS NO PACOTE CONTRATADO</w:t>
            </w:r>
          </w:p>
        </w:tc>
        <w:tc>
          <w:tcPr>
            <w:tcW w:w="3733" w:type="dxa"/>
            <w:gridSpan w:val="3"/>
            <w:tcBorders>
              <w:top w:val="single" w:sz="2" w:space="0" w:color="000000"/>
              <w:left w:val="single" w:sz="2" w:space="0" w:color="000000"/>
              <w:bottom w:val="single" w:sz="2" w:space="0" w:color="000000"/>
              <w:right w:val="single" w:sz="2" w:space="0" w:color="000000"/>
            </w:tcBorders>
            <w:shd w:fill="auto" w:val="clear"/>
            <w:tcMar>
              <w:left w:w="55" w:type="dxa"/>
            </w:tcMar>
            <w:vAlign w:val="center"/>
          </w:tcPr>
          <w:p>
            <w:pPr>
              <w:pStyle w:val="Normal"/>
              <w:widowControl w:val="false"/>
              <w:jc w:val="center"/>
              <w:rPr>
                <w:rFonts w:ascii="Calibri" w:hAnsi="Calibri"/>
                <w:b/>
                <w:b/>
                <w:bCs/>
                <w:sz w:val="21"/>
                <w:szCs w:val="21"/>
              </w:rPr>
            </w:pPr>
            <w:r>
              <w:rPr>
                <w:rFonts w:ascii="Calibri" w:hAnsi="Calibri"/>
                <w:b/>
                <w:bCs/>
                <w:sz w:val="21"/>
                <w:szCs w:val="21"/>
              </w:rPr>
              <w:t>VALORES</w:t>
            </w:r>
          </w:p>
        </w:tc>
      </w:tr>
      <w:tr>
        <w:trPr/>
        <w:tc>
          <w:tcPr>
            <w:tcW w:w="573" w:type="dxa"/>
            <w:vMerge w:val="continue"/>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r>
          </w:p>
        </w:tc>
        <w:tc>
          <w:tcPr>
            <w:tcW w:w="1867" w:type="dxa"/>
            <w:vMerge w:val="continue"/>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Calibri" w:hAnsi="Calibri"/>
                <w:b/>
                <w:b/>
                <w:bCs/>
                <w:sz w:val="21"/>
                <w:szCs w:val="21"/>
              </w:rPr>
            </w:pPr>
            <w:r>
              <w:rPr>
                <w:rFonts w:ascii="Calibri" w:hAnsi="Calibri"/>
                <w:b/>
                <w:bCs/>
                <w:sz w:val="21"/>
                <w:szCs w:val="21"/>
              </w:rPr>
            </w:r>
          </w:p>
        </w:tc>
        <w:tc>
          <w:tcPr>
            <w:tcW w:w="559"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Calibri" w:hAnsi="Calibri"/>
                <w:b/>
                <w:b/>
                <w:bCs/>
                <w:sz w:val="21"/>
                <w:szCs w:val="21"/>
              </w:rPr>
            </w:pPr>
            <w:r>
              <w:rPr>
                <w:rFonts w:ascii="Calibri" w:hAnsi="Calibri"/>
                <w:b/>
                <w:bCs/>
                <w:color w:val="000000"/>
                <w:sz w:val="21"/>
                <w:szCs w:val="21"/>
              </w:rPr>
              <w:t>UTI</w:t>
            </w:r>
          </w:p>
        </w:tc>
        <w:tc>
          <w:tcPr>
            <w:tcW w:w="736"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Calibri" w:hAnsi="Calibri"/>
                <w:b/>
                <w:b/>
                <w:bCs/>
                <w:sz w:val="20"/>
                <w:szCs w:val="20"/>
              </w:rPr>
            </w:pPr>
            <w:r>
              <w:rPr>
                <w:rFonts w:ascii="Calibri" w:hAnsi="Calibri"/>
                <w:b/>
                <w:bCs/>
                <w:color w:val="000000"/>
                <w:sz w:val="20"/>
                <w:szCs w:val="20"/>
              </w:rPr>
              <w:t>A</w:t>
            </w:r>
            <w:r>
              <w:rPr>
                <w:rFonts w:eastAsia="Times New Roman" w:cs="Tahoma" w:ascii="Calibri" w:hAnsi="Calibri"/>
                <w:b/>
                <w:bCs/>
                <w:color w:val="000000"/>
                <w:kern w:val="0"/>
                <w:sz w:val="20"/>
                <w:szCs w:val="20"/>
                <w:lang w:val="pt-BR" w:eastAsia="pt-BR" w:bidi="ar-SA"/>
              </w:rPr>
              <w:t>partamento</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Calibri" w:hAnsi="Calibri"/>
                <w:b/>
                <w:b/>
                <w:bCs/>
                <w:sz w:val="21"/>
                <w:szCs w:val="21"/>
              </w:rPr>
            </w:pPr>
            <w:r>
              <w:rPr>
                <w:rFonts w:ascii="Calibri" w:hAnsi="Calibri"/>
                <w:b/>
                <w:bCs/>
                <w:color w:val="333333"/>
                <w:sz w:val="21"/>
                <w:szCs w:val="21"/>
              </w:rPr>
              <w:t>Descrição do Procedimento</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sz w:val="21"/>
                <w:szCs w:val="21"/>
              </w:rPr>
              <w:t>Pacote Hospitalar</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sz w:val="21"/>
                <w:szCs w:val="21"/>
              </w:rPr>
              <w:t>Pacotes de Honorário Médicos</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sz w:val="21"/>
                <w:szCs w:val="21"/>
              </w:rPr>
              <w:t>Total  Procedimento</w:t>
            </w:r>
          </w:p>
        </w:tc>
      </w:tr>
      <w:tr>
        <w:trPr/>
        <w:tc>
          <w:tcPr>
            <w:tcW w:w="573" w:type="dxa"/>
            <w:tcBorders>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w:t>
            </w:r>
          </w:p>
        </w:tc>
        <w:tc>
          <w:tcPr>
            <w:tcW w:w="1867" w:type="dxa"/>
            <w:tcBorders>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1 (Sem Sec)</w:t>
            </w:r>
          </w:p>
        </w:tc>
        <w:tc>
          <w:tcPr>
            <w:tcW w:w="559" w:type="dxa"/>
            <w:tcBorders>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w:t>
            </w:r>
          </w:p>
        </w:tc>
        <w:tc>
          <w:tcPr>
            <w:tcW w:w="736" w:type="dxa"/>
            <w:tcBorders>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4</w:t>
            </w:r>
          </w:p>
        </w:tc>
        <w:tc>
          <w:tcPr>
            <w:tcW w:w="2444" w:type="dxa"/>
            <w:tcBorders>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Persistência do Canal Arterial</w:t>
            </w:r>
          </w:p>
        </w:tc>
        <w:tc>
          <w:tcPr>
            <w:tcW w:w="1078" w:type="dxa"/>
            <w:tcBorders>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R$ 15.600,20</w:t>
            </w:r>
          </w:p>
        </w:tc>
        <w:tc>
          <w:tcPr>
            <w:tcW w:w="1131" w:type="dxa"/>
            <w:tcBorders>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R$ 10.089,85</w:t>
            </w:r>
          </w:p>
        </w:tc>
        <w:tc>
          <w:tcPr>
            <w:tcW w:w="1524" w:type="dxa"/>
            <w:tcBorders>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 xml:space="preserve">R$ </w:t>
            </w:r>
            <w:r>
              <w:rPr>
                <w:rFonts w:ascii="Calibri" w:hAnsi="Calibri"/>
                <w:b/>
                <w:sz w:val="21"/>
                <w:szCs w:val="21"/>
              </w:rPr>
              <w:t>25.690,06</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2</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Cirurgicos Gupo 2 (Com Cec)</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8</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5</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Bandagem de Artéria Pulmonar</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R$ 37.733,15</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R$ 11.891,60</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R$ 49.624,75</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3</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Cirurgicos Gupo 2 (Com Cec)</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8</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5</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CIA</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R$ 37.733,15</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R$ 24.837,25</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R$ 62.570,40</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4</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Cirurgicos Gupo 2 (Com Cec)</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8</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5</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Cirurgia de Blalock-Taussig</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R$ 37.733,15</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R$ 24.837,25</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R$ 62.570,40</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5</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Cirurgicos Gupo 2 (Com Cec)</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8</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5</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CIV</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R$ 38.084,50</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R$ 24.837,25</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R$ 62.921,75</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6</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Cirurgicos Gupo 2 (Com Cec)</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8</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5</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Coarctação de Aorta</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R$ 38.084,50</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R$ 20.418,47</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R$ 58.502,96</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7</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Cirurgicos Gupo 2 (Com Cec)</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8</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5</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Drenagem anômala de veias pulmonares parcial</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R$ 38.084,50</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R$ 24.837,25</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R$ 62.921,75</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8</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Cirurgicos Gupo 2 (Com Cec)</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8</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5</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DSAV parcial</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R$ 38.084,50</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R$ 24.837,25</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R$ 62.921,75</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9</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Cavopulmonar total (glenn + fontan)</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R$ 38.647,79</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R$ 93.118,67</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Cateterismo Terapêutico para Colocação de Stent em Ramo da Artéria Pulomonar</w:t>
            </w:r>
          </w:p>
        </w:tc>
        <w:tc>
          <w:tcPr>
            <w:tcW w:w="2209" w:type="dxa"/>
            <w:gridSpan w:val="2"/>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R$ 26.083,61</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R$ 26.083,61</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11</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Cirurgia de Coronária Anomala</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R$ 38.647,79</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R$ 93.118,67</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12</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Cirurgia de Fontan (Redirecionamento de Fluxo)</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R$ 38.647,79</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R$ 93.118,67</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13</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Cirurgia de Jatene (Switch Arterial)</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R$ 43.557,55</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R$ 98.028,44</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14</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Cirurgia de Norwood</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R$ 43.557,55</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R$ 98.028,44</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15</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 xml:space="preserve"> </w:t>
            </w: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Cirurgia de Rastelli (Redirecionamento de Fluxo)</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R$ 38.647,79</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R$ 93.118,67</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16</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Cirurgia de Ross</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R$ 47.881,83</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R$ 102.352,71</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17</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 xml:space="preserve"> </w:t>
            </w: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Drenagem anômala de veias pulmonares total</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R$ 29.413,74</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R$ 83.884,62</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18</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DSAV total</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R$ 38.647,79</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b/>
                <w:b/>
                <w:color w:val="000000"/>
                <w:sz w:val="21"/>
                <w:szCs w:val="21"/>
              </w:rPr>
            </w:pPr>
            <w:r>
              <w:rPr>
                <w:rFonts w:ascii="Calibri" w:hAnsi="Calibri"/>
                <w:b/>
                <w:color w:val="000000"/>
                <w:sz w:val="21"/>
                <w:szCs w:val="21"/>
              </w:rPr>
            </w:r>
          </w:p>
          <w:p>
            <w:pPr>
              <w:pStyle w:val="Normal"/>
              <w:widowControl w:val="false"/>
              <w:jc w:val="center"/>
              <w:rPr>
                <w:rFonts w:ascii="Calibri" w:hAnsi="Calibri"/>
                <w:sz w:val="21"/>
                <w:szCs w:val="21"/>
              </w:rPr>
            </w:pPr>
            <w:r>
              <w:rPr>
                <w:rFonts w:ascii="Calibri" w:hAnsi="Calibri"/>
                <w:b/>
                <w:color w:val="000000"/>
                <w:sz w:val="21"/>
                <w:szCs w:val="21"/>
              </w:rPr>
              <w:t>R$ 93.118,67</w:t>
            </w:r>
          </w:p>
          <w:p>
            <w:pPr>
              <w:pStyle w:val="Normal"/>
              <w:widowControl w:val="false"/>
              <w:jc w:val="center"/>
              <w:rPr>
                <w:rFonts w:ascii="Calibri" w:hAnsi="Calibri"/>
                <w:b/>
                <w:b/>
                <w:color w:val="000000"/>
                <w:sz w:val="21"/>
                <w:szCs w:val="21"/>
              </w:rPr>
            </w:pPr>
            <w:r>
              <w:rPr>
                <w:rFonts w:ascii="Calibri" w:hAnsi="Calibri"/>
                <w:b/>
                <w:color w:val="000000"/>
                <w:sz w:val="21"/>
                <w:szCs w:val="21"/>
              </w:rPr>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19</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Interrupção de Arco Aórtico; Aortoplastia &lt; 30 dias (Correção de Arco Aórtico e Descendente); Cirurgia de Hipoplasia de Arco aórtico</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R$ 38.647,79</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R$ 93.118,67</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20</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Janela Aortopulmonar</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R$ 29.413,74</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R$ 83.884,62</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21</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Tetralogia de Fallot</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R$ 44.759,97</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R$ 29.413,74</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R$ 74.173,71</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22</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Troca ou Plastia valvar &lt; 30 dias</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R$ 29.413,74</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R$ 83.884,62</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23</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 xml:space="preserve"> </w:t>
            </w: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Troca ou Plastia valvar &gt; 30 dias</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R$ 44.759,97</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R$ 23.238,12</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R$ 67.998,10</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24</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Truncus arteriosus (Tronco Arterial comum)</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R$ 47.881,83</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R$ 102.352,71</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25</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Cirurgia de Translocação (TGA + EP + CIV)</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R$ 47.881,83</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R$ 102.352,71</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26</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Atresia Pulmonar com septo intacto - Correção tipo 1 e 1/2 ventrículo</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R$ 38.647,79</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R$ 93.118,67</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27</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4</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2</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Cirurgia de Blalock-Hanlon</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R$ 21.971,46</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R$ 16.508,63</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R$ 38.480,09</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28</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Cirurgia de Damus Kaye Stansei</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R$ 47.881,83</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R$ 102.352,71</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29</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Cirurgia de Glenn (Redirecionamento de fluxo)</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R$ 44.759,97</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R$ 29.413,74</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R$ 74.173,71</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30</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Cirurgia de Kono</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R$ 38.647,79</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R$ 93.118,67</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31</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Cirurgia de Senning (Switch Atrial) (Transposições)</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R$ 38.647,79</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R$ 93.118,67</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32</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 xml:space="preserve"> </w:t>
            </w: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8</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5</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Correção de Anomalia de Ebstein</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R$ 50.972,47</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R$ 47.881,83</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R$ 93.118,67</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33</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8</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5</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Correção de Fístula Coronária</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R$ 41.246,56</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R$ 24.837,25</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R$ 66.083,81</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34</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Double Switch</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R$ 47.881,83</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R$ 102.352,71</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35</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Troca valvar múltipla</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R$ 44.759,97</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R$ 29.413,74</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R$ 74.173,71</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36</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Procedimentos Cirúrgicos Grupo 3</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10</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Unifocalização de artérias pulmonares</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R$ 54.470,88</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R$ 38.647,79</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R$ 93.118,67</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37</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Cateterismo Diagnóstico</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0</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Cateterismo Pediátrico Diagnóstico</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R$ 3.513,41</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R$ 8.107,86</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R$ 11.621,27</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38</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Cateterismo Terapêutico</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1</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Cateterismo Pediátrico Terapêutico</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R$ 9.134,86</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R$ 10.810,49</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R$ 19.945,36</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39</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Implante De Desfibrilador E Ressincronizador</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2</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2</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Implante de desfibrilador e ressincronizador</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R$ 14.053,64</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R$ 9.008,74</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R$ 23.062,37</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40</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Implante De Marcapasso</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2</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2</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Instalação de Marcapasso em Criança &gt; 30 dias</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R$ 12.086,79</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R$ 7.062,92</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R$ 19.149,71</w:t>
            </w:r>
          </w:p>
        </w:tc>
      </w:tr>
      <w:tr>
        <w:trPr/>
        <w:tc>
          <w:tcPr>
            <w:tcW w:w="573"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41</w:t>
            </w:r>
          </w:p>
        </w:tc>
        <w:tc>
          <w:tcPr>
            <w:tcW w:w="1867" w:type="dxa"/>
            <w:tcBorders>
              <w:top w:val="single" w:sz="2" w:space="0" w:color="000000"/>
              <w:left w:val="single" w:sz="2" w:space="0" w:color="000000"/>
              <w:bottom w:val="single" w:sz="2" w:space="0" w:color="000000"/>
            </w:tcBorders>
            <w:shd w:fill="auto" w:val="clear"/>
            <w:vAlign w:val="center"/>
          </w:tcPr>
          <w:p>
            <w:pPr>
              <w:pStyle w:val="Normal"/>
              <w:widowControl w:val="false"/>
              <w:rPr>
                <w:rFonts w:ascii="Calibri" w:hAnsi="Calibri"/>
                <w:sz w:val="21"/>
                <w:szCs w:val="21"/>
              </w:rPr>
            </w:pPr>
            <w:r>
              <w:rPr>
                <w:rFonts w:ascii="Calibri" w:hAnsi="Calibri"/>
                <w:b/>
                <w:color w:val="000000"/>
                <w:sz w:val="21"/>
                <w:szCs w:val="21"/>
              </w:rPr>
              <w:t>Implante De Marcapasso</w:t>
            </w:r>
          </w:p>
        </w:tc>
        <w:tc>
          <w:tcPr>
            <w:tcW w:w="559"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2</w:t>
            </w:r>
          </w:p>
        </w:tc>
        <w:tc>
          <w:tcPr>
            <w:tcW w:w="736" w:type="dxa"/>
            <w:tcBorders>
              <w:top w:val="single" w:sz="2" w:space="0" w:color="000000"/>
              <w:left w:val="single" w:sz="2" w:space="0" w:color="000000"/>
              <w:bottom w:val="single" w:sz="2" w:space="0" w:color="000000"/>
            </w:tcBorders>
            <w:shd w:fill="auto" w:val="clear"/>
            <w:vAlign w:val="center"/>
          </w:tcPr>
          <w:p>
            <w:pPr>
              <w:pStyle w:val="Contedodatabela"/>
              <w:widowControl w:val="false"/>
              <w:jc w:val="center"/>
              <w:rPr>
                <w:rFonts w:ascii="Calibri" w:hAnsi="Calibri"/>
                <w:sz w:val="21"/>
                <w:szCs w:val="21"/>
              </w:rPr>
            </w:pPr>
            <w:r>
              <w:rPr>
                <w:rFonts w:ascii="Calibri" w:hAnsi="Calibri"/>
                <w:sz w:val="21"/>
                <w:szCs w:val="21"/>
              </w:rPr>
              <w:t>2</w:t>
            </w:r>
          </w:p>
        </w:tc>
        <w:tc>
          <w:tcPr>
            <w:tcW w:w="2444" w:type="dxa"/>
            <w:tcBorders>
              <w:top w:val="single" w:sz="2" w:space="0" w:color="000000"/>
              <w:left w:val="single" w:sz="2" w:space="0" w:color="000000"/>
              <w:bottom w:val="single" w:sz="2" w:space="0" w:color="000000"/>
            </w:tcBorders>
            <w:shd w:fill="auto" w:val="clear"/>
            <w:vAlign w:val="center"/>
          </w:tcPr>
          <w:p>
            <w:pPr>
              <w:pStyle w:val="Normal"/>
              <w:widowControl w:val="false"/>
              <w:jc w:val="both"/>
              <w:rPr>
                <w:rFonts w:ascii="Calibri" w:hAnsi="Calibri"/>
                <w:sz w:val="21"/>
                <w:szCs w:val="21"/>
              </w:rPr>
            </w:pPr>
            <w:r>
              <w:rPr>
                <w:rFonts w:ascii="Calibri" w:hAnsi="Calibri"/>
                <w:color w:val="000000"/>
                <w:sz w:val="21"/>
                <w:szCs w:val="21"/>
              </w:rPr>
              <w:t>Instalação de Marca Passo Epimiocárdico &lt; 30 dias</w:t>
            </w:r>
          </w:p>
        </w:tc>
        <w:tc>
          <w:tcPr>
            <w:tcW w:w="1078"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000000"/>
                <w:sz w:val="21"/>
                <w:szCs w:val="21"/>
                <w:u w:val="none"/>
                <w:em w:val="none"/>
              </w:rPr>
              <w:t>R$ 12.086,79</w:t>
            </w:r>
          </w:p>
        </w:tc>
        <w:tc>
          <w:tcPr>
            <w:tcW w:w="1131" w:type="dxa"/>
            <w:tcBorders>
              <w:top w:val="single" w:sz="2" w:space="0" w:color="000000"/>
              <w:left w:val="single" w:sz="2" w:space="0" w:color="000000"/>
              <w:bottom w:val="single" w:sz="2" w:space="0" w:color="000000"/>
            </w:tcBorders>
            <w:shd w:fill="auto" w:val="clear"/>
            <w:vAlign w:val="center"/>
          </w:tcPr>
          <w:p>
            <w:pPr>
              <w:pStyle w:val="Normal"/>
              <w:widowControl w:val="false"/>
              <w:bidi w:val="0"/>
              <w:jc w:val="center"/>
              <w:rPr>
                <w:rFonts w:ascii="Calibri" w:hAnsi="Calibri"/>
                <w:sz w:val="21"/>
                <w:szCs w:val="21"/>
              </w:rPr>
            </w:pPr>
            <w:r>
              <w:rPr>
                <w:rFonts w:ascii="Calibri" w:hAnsi="Calibri"/>
                <w:b w:val="false"/>
                <w:i w:val="false"/>
                <w:strike w:val="false"/>
                <w:dstrike w:val="false"/>
                <w:outline w:val="false"/>
                <w:shadow w:val="false"/>
                <w:color w:val="333333"/>
                <w:sz w:val="21"/>
                <w:szCs w:val="21"/>
                <w:u w:val="none"/>
                <w:em w:val="none"/>
              </w:rPr>
              <w:t>R$ 9.188,98</w:t>
            </w:r>
          </w:p>
        </w:tc>
        <w:tc>
          <w:tcPr>
            <w:tcW w:w="152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Calibri" w:hAnsi="Calibri"/>
                <w:sz w:val="21"/>
                <w:szCs w:val="21"/>
              </w:rPr>
            </w:pPr>
            <w:r>
              <w:rPr>
                <w:rFonts w:ascii="Calibri" w:hAnsi="Calibri"/>
                <w:b/>
                <w:color w:val="000000"/>
                <w:sz w:val="21"/>
                <w:szCs w:val="21"/>
              </w:rPr>
              <w:t>R$ 21.275,77</w:t>
            </w:r>
          </w:p>
        </w:tc>
      </w:tr>
    </w:tbl>
    <w:p>
      <w:pPr>
        <w:pStyle w:val="Normal"/>
        <w:tabs>
          <w:tab w:val="clear" w:pos="720"/>
          <w:tab w:val="left" w:pos="851" w:leader="none"/>
        </w:tabs>
        <w:spacing w:lineRule="auto" w:line="276"/>
        <w:ind w:left="709" w:hanging="0"/>
        <w:jc w:val="both"/>
        <w:rPr>
          <w:rFonts w:ascii="Calibri" w:hAnsi="Calibri"/>
          <w:sz w:val="22"/>
          <w:szCs w:val="22"/>
        </w:rPr>
      </w:pPr>
      <w:r>
        <w:rPr>
          <w:rFonts w:cs="Calibri" w:ascii="Calibri" w:hAnsi="Calibri"/>
          <w:sz w:val="22"/>
          <w:szCs w:val="22"/>
        </w:rPr>
        <w:t>Tabela 2 - Os valores contemplam todos os custos para o procedimento.</w:t>
      </w:r>
    </w:p>
    <w:p>
      <w:pPr>
        <w:pStyle w:val="Normal"/>
        <w:tabs>
          <w:tab w:val="clear" w:pos="720"/>
          <w:tab w:val="left" w:pos="851" w:leader="none"/>
        </w:tabs>
        <w:spacing w:lineRule="auto" w:line="276"/>
        <w:jc w:val="both"/>
        <w:rPr>
          <w:rFonts w:ascii="Calibri" w:hAnsi="Calibri"/>
        </w:rPr>
      </w:pPr>
      <w:r>
        <w:rPr>
          <w:rFonts w:cs="Calibri" w:ascii="Calibri" w:hAnsi="Calibri"/>
          <w:b/>
          <w:sz w:val="24"/>
        </w:rPr>
        <w:tab/>
      </w:r>
    </w:p>
    <w:p>
      <w:pPr>
        <w:pStyle w:val="Normal"/>
        <w:tabs>
          <w:tab w:val="clear" w:pos="720"/>
          <w:tab w:val="left" w:pos="0" w:leader="none"/>
        </w:tabs>
        <w:spacing w:lineRule="auto" w:line="276"/>
        <w:jc w:val="both"/>
        <w:rPr>
          <w:rFonts w:ascii="Calibri" w:hAnsi="Calibri"/>
        </w:rPr>
      </w:pPr>
      <w:r>
        <w:rPr>
          <w:rFonts w:cs="Calibri" w:ascii="Calibri" w:hAnsi="Calibri"/>
          <w:b/>
          <w:sz w:val="24"/>
        </w:rPr>
        <w:tab/>
        <w:t xml:space="preserve">5.3.4 </w:t>
        <w:tab/>
        <w:t>Na Tabela 2, dos Serviços listados, deverão ser considerados no Pacote:</w:t>
      </w:r>
    </w:p>
    <w:p>
      <w:pPr>
        <w:pStyle w:val="Normal"/>
        <w:tabs>
          <w:tab w:val="clear" w:pos="720"/>
          <w:tab w:val="left" w:pos="0" w:leader="none"/>
        </w:tabs>
        <w:spacing w:lineRule="auto" w:line="276"/>
        <w:jc w:val="both"/>
        <w:rPr>
          <w:rFonts w:ascii="Calibri" w:hAnsi="Calibri"/>
        </w:rPr>
      </w:pPr>
      <w:r>
        <w:rPr>
          <w:rFonts w:cs="Calibri" w:ascii="Calibri" w:hAnsi="Calibri"/>
          <w:b/>
          <w:sz w:val="24"/>
        </w:rPr>
        <w:tab/>
        <w:t>5.3.4.1 Por Grupo, INCLUEM-SE:</w:t>
      </w:r>
    </w:p>
    <w:p>
      <w:pPr>
        <w:pStyle w:val="Normal"/>
        <w:tabs>
          <w:tab w:val="clear" w:pos="720"/>
          <w:tab w:val="left" w:pos="851" w:leader="none"/>
        </w:tabs>
        <w:spacing w:lineRule="auto" w:line="276"/>
        <w:jc w:val="both"/>
        <w:rPr>
          <w:rFonts w:ascii="Calibri" w:hAnsi="Calibri"/>
        </w:rPr>
      </w:pPr>
      <w:r>
        <w:rPr>
          <w:rFonts w:cs="Calibri" w:ascii="Calibri" w:hAnsi="Calibri"/>
          <w:b/>
          <w:sz w:val="24"/>
        </w:rPr>
        <w:tab/>
        <w:t>I) PROCEDIMENTOS CIRÚRGICOS GRUPO 1 - SEM CEC:</w:t>
      </w:r>
    </w:p>
    <w:p>
      <w:pPr>
        <w:pStyle w:val="ListParagraph"/>
        <w:numPr>
          <w:ilvl w:val="0"/>
          <w:numId w:val="6"/>
        </w:numPr>
        <w:tabs>
          <w:tab w:val="clear" w:pos="720"/>
          <w:tab w:val="left" w:pos="851" w:leader="none"/>
        </w:tabs>
        <w:spacing w:lineRule="auto" w:line="276"/>
        <w:ind w:left="1560" w:hanging="360"/>
        <w:jc w:val="both"/>
        <w:rPr>
          <w:rFonts w:ascii="Calibri" w:hAnsi="Calibri"/>
        </w:rPr>
      </w:pPr>
      <w:r>
        <w:rPr>
          <w:rFonts w:cs="Calibri" w:ascii="Calibri" w:hAnsi="Calibri"/>
          <w:sz w:val="24"/>
        </w:rPr>
        <w:t>Persistência do Canal Arterial (PCA).</w:t>
      </w:r>
    </w:p>
    <w:p>
      <w:pPr>
        <w:pStyle w:val="Normal"/>
        <w:tabs>
          <w:tab w:val="clear" w:pos="720"/>
          <w:tab w:val="left" w:pos="851" w:leader="none"/>
        </w:tabs>
        <w:spacing w:lineRule="auto" w:line="276"/>
        <w:jc w:val="both"/>
        <w:rPr>
          <w:rFonts w:ascii="Calibri" w:hAnsi="Calibri"/>
        </w:rPr>
      </w:pPr>
      <w:r>
        <w:rPr>
          <w:rFonts w:cs="Calibri" w:ascii="Calibri" w:hAnsi="Calibri"/>
          <w:b/>
          <w:sz w:val="24"/>
        </w:rPr>
        <w:tab/>
        <w:t>II) PROCEDIMENTOS CIRÚRGICOS GRUPO 2 - COM CEC:</w:t>
      </w:r>
    </w:p>
    <w:p>
      <w:pPr>
        <w:pStyle w:val="ListParagraph"/>
        <w:numPr>
          <w:ilvl w:val="0"/>
          <w:numId w:val="7"/>
        </w:numPr>
        <w:tabs>
          <w:tab w:val="clear" w:pos="720"/>
          <w:tab w:val="left" w:pos="851" w:leader="none"/>
        </w:tabs>
        <w:spacing w:lineRule="auto" w:line="276"/>
        <w:jc w:val="both"/>
        <w:rPr>
          <w:rFonts w:ascii="Calibri" w:hAnsi="Calibri"/>
        </w:rPr>
      </w:pPr>
      <w:r>
        <w:rPr>
          <w:rFonts w:cs="Calibri" w:ascii="Calibri" w:hAnsi="Calibri"/>
          <w:sz w:val="24"/>
        </w:rPr>
        <w:t xml:space="preserve">Coartação da Aorta (COA); </w:t>
      </w:r>
    </w:p>
    <w:p>
      <w:pPr>
        <w:pStyle w:val="ListParagraph"/>
        <w:numPr>
          <w:ilvl w:val="0"/>
          <w:numId w:val="7"/>
        </w:numPr>
        <w:tabs>
          <w:tab w:val="clear" w:pos="720"/>
          <w:tab w:val="left" w:pos="851" w:leader="none"/>
        </w:tabs>
        <w:spacing w:lineRule="auto" w:line="276"/>
        <w:jc w:val="both"/>
        <w:rPr>
          <w:rFonts w:ascii="Calibri" w:hAnsi="Calibri"/>
          <w:sz w:val="24"/>
        </w:rPr>
      </w:pPr>
      <w:r>
        <w:rPr>
          <w:rFonts w:cs="Calibri" w:ascii="Calibri" w:hAnsi="Calibri"/>
          <w:sz w:val="24"/>
        </w:rPr>
        <w:t xml:space="preserve">Redirecionamenro do Fluxo sanguíneo (Cirurgia de Blalok - Taussig); </w:t>
      </w:r>
    </w:p>
    <w:p>
      <w:pPr>
        <w:pStyle w:val="ListParagraph"/>
        <w:numPr>
          <w:ilvl w:val="0"/>
          <w:numId w:val="7"/>
        </w:numPr>
        <w:tabs>
          <w:tab w:val="clear" w:pos="720"/>
          <w:tab w:val="left" w:pos="851" w:leader="none"/>
        </w:tabs>
        <w:spacing w:lineRule="auto" w:line="276"/>
        <w:jc w:val="both"/>
        <w:rPr>
          <w:rFonts w:ascii="Calibri" w:hAnsi="Calibri"/>
          <w:sz w:val="24"/>
        </w:rPr>
      </w:pPr>
      <w:r>
        <w:rPr>
          <w:rFonts w:cs="Calibri" w:ascii="Calibri" w:hAnsi="Calibri"/>
          <w:sz w:val="24"/>
        </w:rPr>
        <w:t xml:space="preserve">Bandagem da Artéria Pulmonar; </w:t>
      </w:r>
    </w:p>
    <w:p>
      <w:pPr>
        <w:pStyle w:val="ListParagraph"/>
        <w:numPr>
          <w:ilvl w:val="0"/>
          <w:numId w:val="7"/>
        </w:numPr>
        <w:tabs>
          <w:tab w:val="clear" w:pos="720"/>
          <w:tab w:val="left" w:pos="851" w:leader="none"/>
        </w:tabs>
        <w:spacing w:lineRule="auto" w:line="276"/>
        <w:jc w:val="both"/>
        <w:rPr>
          <w:rFonts w:ascii="Calibri" w:hAnsi="Calibri"/>
          <w:sz w:val="24"/>
        </w:rPr>
      </w:pPr>
      <w:r>
        <w:rPr>
          <w:rFonts w:cs="Calibri" w:ascii="Calibri" w:hAnsi="Calibri"/>
          <w:sz w:val="24"/>
        </w:rPr>
        <w:t xml:space="preserve">Comunicação Interatrial; </w:t>
      </w:r>
    </w:p>
    <w:p>
      <w:pPr>
        <w:pStyle w:val="ListParagraph"/>
        <w:numPr>
          <w:ilvl w:val="0"/>
          <w:numId w:val="7"/>
        </w:numPr>
        <w:tabs>
          <w:tab w:val="clear" w:pos="720"/>
          <w:tab w:val="left" w:pos="851" w:leader="none"/>
        </w:tabs>
        <w:spacing w:lineRule="auto" w:line="276"/>
        <w:jc w:val="both"/>
        <w:rPr>
          <w:rFonts w:ascii="Calibri" w:hAnsi="Calibri"/>
          <w:sz w:val="24"/>
        </w:rPr>
      </w:pPr>
      <w:r>
        <w:rPr>
          <w:rFonts w:cs="Calibri" w:ascii="Calibri" w:hAnsi="Calibri"/>
          <w:sz w:val="24"/>
        </w:rPr>
        <w:t xml:space="preserve">Defeito parcial do septo Atrioventricular; Defeito Intermediário do Septo Atrioventricular; </w:t>
      </w:r>
    </w:p>
    <w:p>
      <w:pPr>
        <w:pStyle w:val="ListParagraph"/>
        <w:numPr>
          <w:ilvl w:val="0"/>
          <w:numId w:val="7"/>
        </w:numPr>
        <w:tabs>
          <w:tab w:val="clear" w:pos="720"/>
          <w:tab w:val="left" w:pos="851" w:leader="none"/>
        </w:tabs>
        <w:spacing w:lineRule="auto" w:line="276"/>
        <w:jc w:val="both"/>
        <w:rPr>
          <w:rFonts w:ascii="Calibri" w:hAnsi="Calibri"/>
          <w:sz w:val="24"/>
        </w:rPr>
      </w:pPr>
      <w:r>
        <w:rPr>
          <w:rFonts w:cs="Calibri" w:ascii="Calibri" w:hAnsi="Calibri"/>
          <w:sz w:val="24"/>
        </w:rPr>
        <w:t xml:space="preserve">Conexão Anômala parcial das veias pulmonares; e </w:t>
      </w:r>
    </w:p>
    <w:p>
      <w:pPr>
        <w:pStyle w:val="ListParagraph"/>
        <w:numPr>
          <w:ilvl w:val="0"/>
          <w:numId w:val="7"/>
        </w:numPr>
        <w:tabs>
          <w:tab w:val="clear" w:pos="720"/>
          <w:tab w:val="left" w:pos="851" w:leader="none"/>
        </w:tabs>
        <w:spacing w:lineRule="auto" w:line="276"/>
        <w:jc w:val="both"/>
        <w:rPr>
          <w:rFonts w:ascii="Calibri" w:hAnsi="Calibri"/>
          <w:sz w:val="24"/>
        </w:rPr>
      </w:pPr>
      <w:r>
        <w:rPr>
          <w:rFonts w:cs="Calibri" w:ascii="Calibri" w:hAnsi="Calibri"/>
          <w:sz w:val="24"/>
        </w:rPr>
        <w:t>Estenoise Valvar pulmonar.</w:t>
      </w:r>
    </w:p>
    <w:p>
      <w:pPr>
        <w:pStyle w:val="Normal"/>
        <w:tabs>
          <w:tab w:val="clear" w:pos="720"/>
          <w:tab w:val="left" w:pos="851" w:leader="none"/>
        </w:tabs>
        <w:spacing w:lineRule="auto" w:line="276"/>
        <w:jc w:val="both"/>
        <w:rPr>
          <w:rFonts w:ascii="Calibri" w:hAnsi="Calibri"/>
        </w:rPr>
      </w:pPr>
      <w:r>
        <w:rPr>
          <w:rFonts w:cs="Calibri" w:ascii="Calibri" w:hAnsi="Calibri"/>
          <w:b/>
          <w:sz w:val="24"/>
        </w:rPr>
        <w:tab/>
        <w:t>III) PROCEDIMENTOS CIRÚRGICOS GRUPO 3:</w:t>
      </w:r>
    </w:p>
    <w:p>
      <w:pPr>
        <w:pStyle w:val="ListParagraph"/>
        <w:numPr>
          <w:ilvl w:val="0"/>
          <w:numId w:val="8"/>
        </w:numPr>
        <w:tabs>
          <w:tab w:val="clear" w:pos="720"/>
          <w:tab w:val="left" w:pos="851" w:leader="none"/>
        </w:tabs>
        <w:spacing w:lineRule="auto" w:line="276"/>
        <w:ind w:left="1560" w:hanging="360"/>
        <w:jc w:val="both"/>
        <w:rPr>
          <w:rFonts w:ascii="Calibri" w:hAnsi="Calibri"/>
        </w:rPr>
      </w:pPr>
      <w:r>
        <w:rPr>
          <w:rFonts w:cs="Calibri" w:ascii="Calibri" w:hAnsi="Calibri"/>
          <w:sz w:val="24"/>
        </w:rPr>
        <w:t>Tetralogia de Fallot;</w:t>
      </w:r>
    </w:p>
    <w:p>
      <w:pPr>
        <w:pStyle w:val="ListParagraph"/>
        <w:numPr>
          <w:ilvl w:val="0"/>
          <w:numId w:val="8"/>
        </w:numPr>
        <w:tabs>
          <w:tab w:val="clear" w:pos="720"/>
          <w:tab w:val="left" w:pos="851" w:leader="none"/>
        </w:tabs>
        <w:spacing w:lineRule="auto" w:line="276"/>
        <w:ind w:left="1560" w:hanging="360"/>
        <w:jc w:val="both"/>
        <w:rPr>
          <w:rFonts w:ascii="Calibri" w:hAnsi="Calibri"/>
          <w:sz w:val="24"/>
        </w:rPr>
      </w:pPr>
      <w:r>
        <w:rPr>
          <w:rFonts w:cs="Calibri" w:ascii="Calibri" w:hAnsi="Calibri"/>
          <w:sz w:val="24"/>
        </w:rPr>
        <w:t>Defeito total do septo Atrioventricular;</w:t>
      </w:r>
    </w:p>
    <w:p>
      <w:pPr>
        <w:pStyle w:val="ListParagraph"/>
        <w:numPr>
          <w:ilvl w:val="0"/>
          <w:numId w:val="8"/>
        </w:numPr>
        <w:tabs>
          <w:tab w:val="clear" w:pos="720"/>
          <w:tab w:val="left" w:pos="851" w:leader="none"/>
        </w:tabs>
        <w:spacing w:lineRule="auto" w:line="276"/>
        <w:ind w:left="1560" w:hanging="360"/>
        <w:jc w:val="both"/>
        <w:rPr>
          <w:rFonts w:ascii="Calibri" w:hAnsi="Calibri"/>
          <w:sz w:val="24"/>
        </w:rPr>
      </w:pPr>
      <w:r>
        <w:rPr>
          <w:rFonts w:cs="Calibri" w:ascii="Calibri" w:hAnsi="Calibri"/>
          <w:sz w:val="24"/>
        </w:rPr>
        <w:t>Conexão anômala total das veias pulmonares;</w:t>
      </w:r>
    </w:p>
    <w:p>
      <w:pPr>
        <w:pStyle w:val="ListParagraph"/>
        <w:numPr>
          <w:ilvl w:val="0"/>
          <w:numId w:val="8"/>
        </w:numPr>
        <w:tabs>
          <w:tab w:val="clear" w:pos="720"/>
          <w:tab w:val="left" w:pos="851" w:leader="none"/>
        </w:tabs>
        <w:spacing w:lineRule="auto" w:line="276"/>
        <w:ind w:left="1560" w:hanging="360"/>
        <w:jc w:val="both"/>
        <w:rPr>
          <w:rFonts w:ascii="Calibri" w:hAnsi="Calibri"/>
          <w:sz w:val="24"/>
        </w:rPr>
      </w:pPr>
      <w:r>
        <w:rPr>
          <w:rFonts w:cs="Calibri" w:ascii="Calibri" w:hAnsi="Calibri"/>
          <w:sz w:val="24"/>
        </w:rPr>
        <w:t>Troca e Plastia Valvar;</w:t>
      </w:r>
    </w:p>
    <w:p>
      <w:pPr>
        <w:pStyle w:val="ListParagraph"/>
        <w:numPr>
          <w:ilvl w:val="0"/>
          <w:numId w:val="8"/>
        </w:numPr>
        <w:tabs>
          <w:tab w:val="clear" w:pos="720"/>
          <w:tab w:val="left" w:pos="851" w:leader="none"/>
        </w:tabs>
        <w:spacing w:lineRule="auto" w:line="276"/>
        <w:ind w:left="1560" w:hanging="360"/>
        <w:jc w:val="both"/>
        <w:rPr>
          <w:rFonts w:ascii="Calibri" w:hAnsi="Calibri"/>
          <w:sz w:val="24"/>
        </w:rPr>
      </w:pPr>
      <w:r>
        <w:rPr>
          <w:rFonts w:cs="Calibri" w:ascii="Calibri" w:hAnsi="Calibri"/>
          <w:sz w:val="24"/>
        </w:rPr>
        <w:t>Estenose subvalvar aórtica;</w:t>
      </w:r>
    </w:p>
    <w:p>
      <w:pPr>
        <w:pStyle w:val="ListParagraph"/>
        <w:numPr>
          <w:ilvl w:val="0"/>
          <w:numId w:val="8"/>
        </w:numPr>
        <w:tabs>
          <w:tab w:val="clear" w:pos="720"/>
          <w:tab w:val="left" w:pos="851" w:leader="none"/>
        </w:tabs>
        <w:spacing w:lineRule="auto" w:line="276"/>
        <w:ind w:left="1560" w:hanging="360"/>
        <w:jc w:val="both"/>
        <w:rPr>
          <w:rFonts w:ascii="Calibri" w:hAnsi="Calibri"/>
          <w:sz w:val="24"/>
        </w:rPr>
      </w:pPr>
      <w:r>
        <w:rPr>
          <w:rFonts w:cs="Calibri" w:ascii="Calibri" w:hAnsi="Calibri"/>
          <w:sz w:val="24"/>
        </w:rPr>
        <w:t>Cirurgia de Glenn Bidirecional;</w:t>
      </w:r>
    </w:p>
    <w:p>
      <w:pPr>
        <w:pStyle w:val="ListParagraph"/>
        <w:numPr>
          <w:ilvl w:val="0"/>
          <w:numId w:val="8"/>
        </w:numPr>
        <w:tabs>
          <w:tab w:val="clear" w:pos="720"/>
          <w:tab w:val="left" w:pos="851" w:leader="none"/>
        </w:tabs>
        <w:spacing w:lineRule="auto" w:line="276"/>
        <w:ind w:left="1560" w:hanging="360"/>
        <w:jc w:val="both"/>
        <w:rPr>
          <w:rFonts w:ascii="Calibri" w:hAnsi="Calibri"/>
          <w:sz w:val="24"/>
        </w:rPr>
      </w:pPr>
      <w:r>
        <w:rPr>
          <w:rFonts w:cs="Calibri" w:ascii="Calibri" w:hAnsi="Calibri"/>
          <w:sz w:val="24"/>
        </w:rPr>
        <w:t>Cirurgia de Fontan;</w:t>
      </w:r>
    </w:p>
    <w:p>
      <w:pPr>
        <w:pStyle w:val="ListParagraph"/>
        <w:numPr>
          <w:ilvl w:val="0"/>
          <w:numId w:val="8"/>
        </w:numPr>
        <w:tabs>
          <w:tab w:val="clear" w:pos="720"/>
          <w:tab w:val="left" w:pos="851" w:leader="none"/>
        </w:tabs>
        <w:spacing w:lineRule="auto" w:line="276"/>
        <w:ind w:left="1560" w:hanging="360"/>
        <w:jc w:val="both"/>
        <w:rPr>
          <w:rFonts w:ascii="Calibri" w:hAnsi="Calibri"/>
        </w:rPr>
      </w:pPr>
      <w:r>
        <w:rPr>
          <w:rFonts w:cs="Calibri" w:ascii="Calibri" w:hAnsi="Calibri"/>
          <w:sz w:val="24"/>
        </w:rPr>
        <w:t>Cirurgia de Rastelli;</w:t>
      </w:r>
    </w:p>
    <w:p>
      <w:pPr>
        <w:pStyle w:val="ListParagraph"/>
        <w:numPr>
          <w:ilvl w:val="0"/>
          <w:numId w:val="8"/>
        </w:numPr>
        <w:tabs>
          <w:tab w:val="clear" w:pos="720"/>
          <w:tab w:val="left" w:pos="851" w:leader="none"/>
        </w:tabs>
        <w:spacing w:lineRule="auto" w:line="276"/>
        <w:ind w:left="1560" w:hanging="360"/>
        <w:jc w:val="both"/>
        <w:rPr>
          <w:rFonts w:ascii="Calibri" w:hAnsi="Calibri"/>
          <w:sz w:val="24"/>
        </w:rPr>
      </w:pPr>
      <w:r>
        <w:rPr>
          <w:rFonts w:cs="Calibri" w:ascii="Calibri" w:hAnsi="Calibri"/>
          <w:sz w:val="24"/>
        </w:rPr>
        <w:t>Janela aorto – pulmonar;</w:t>
      </w:r>
    </w:p>
    <w:p>
      <w:pPr>
        <w:pStyle w:val="ListParagraph"/>
        <w:numPr>
          <w:ilvl w:val="0"/>
          <w:numId w:val="8"/>
        </w:numPr>
        <w:tabs>
          <w:tab w:val="clear" w:pos="720"/>
          <w:tab w:val="left" w:pos="851" w:leader="none"/>
        </w:tabs>
        <w:spacing w:lineRule="auto" w:line="276"/>
        <w:ind w:left="1560" w:hanging="360"/>
        <w:jc w:val="both"/>
        <w:rPr>
          <w:rFonts w:ascii="Calibri" w:hAnsi="Calibri"/>
          <w:sz w:val="24"/>
        </w:rPr>
      </w:pPr>
      <w:r>
        <w:rPr>
          <w:rFonts w:cs="Calibri" w:ascii="Calibri" w:hAnsi="Calibri"/>
          <w:sz w:val="24"/>
        </w:rPr>
        <w:t>Transposição de grandes vasos (TGA) (Cirurgia de Jatene);</w:t>
      </w:r>
    </w:p>
    <w:p>
      <w:pPr>
        <w:pStyle w:val="ListParagraph"/>
        <w:numPr>
          <w:ilvl w:val="0"/>
          <w:numId w:val="8"/>
        </w:numPr>
        <w:tabs>
          <w:tab w:val="clear" w:pos="720"/>
          <w:tab w:val="left" w:pos="851" w:leader="none"/>
        </w:tabs>
        <w:spacing w:lineRule="auto" w:line="276"/>
        <w:ind w:left="1560" w:hanging="360"/>
        <w:jc w:val="both"/>
        <w:rPr>
          <w:rFonts w:ascii="Calibri" w:hAnsi="Calibri"/>
          <w:sz w:val="24"/>
        </w:rPr>
      </w:pPr>
      <w:r>
        <w:rPr>
          <w:rFonts w:cs="Calibri" w:ascii="Calibri" w:hAnsi="Calibri"/>
          <w:sz w:val="24"/>
        </w:rPr>
        <w:t>Cirurgia de hipoplasia de ventrículo esquerdo (cirurgia de Norwood);</w:t>
      </w:r>
    </w:p>
    <w:p>
      <w:pPr>
        <w:pStyle w:val="ListParagraph"/>
        <w:numPr>
          <w:ilvl w:val="0"/>
          <w:numId w:val="8"/>
        </w:numPr>
        <w:tabs>
          <w:tab w:val="clear" w:pos="720"/>
          <w:tab w:val="left" w:pos="851" w:leader="none"/>
        </w:tabs>
        <w:spacing w:lineRule="auto" w:line="276"/>
        <w:ind w:left="1560" w:hanging="360"/>
        <w:jc w:val="both"/>
        <w:rPr>
          <w:rFonts w:ascii="Calibri" w:hAnsi="Calibri"/>
          <w:sz w:val="24"/>
        </w:rPr>
      </w:pPr>
      <w:r>
        <w:rPr>
          <w:rFonts w:cs="Calibri" w:ascii="Calibri" w:hAnsi="Calibri"/>
          <w:sz w:val="24"/>
        </w:rPr>
        <w:t>Cirurgia e Ross;</w:t>
      </w:r>
    </w:p>
    <w:p>
      <w:pPr>
        <w:pStyle w:val="ListParagraph"/>
        <w:numPr>
          <w:ilvl w:val="0"/>
          <w:numId w:val="8"/>
        </w:numPr>
        <w:tabs>
          <w:tab w:val="clear" w:pos="720"/>
          <w:tab w:val="left" w:pos="851" w:leader="none"/>
        </w:tabs>
        <w:spacing w:lineRule="auto" w:line="276"/>
        <w:ind w:left="1560" w:hanging="360"/>
        <w:jc w:val="both"/>
        <w:rPr>
          <w:rFonts w:ascii="Calibri" w:hAnsi="Calibri"/>
          <w:sz w:val="24"/>
        </w:rPr>
      </w:pPr>
      <w:r>
        <w:rPr>
          <w:rFonts w:cs="Calibri" w:ascii="Calibri" w:hAnsi="Calibri"/>
          <w:sz w:val="24"/>
        </w:rPr>
        <w:t>Cirurgia de Interrupção do Arco Aórtico;</w:t>
      </w:r>
    </w:p>
    <w:p>
      <w:pPr>
        <w:pStyle w:val="ListParagraph"/>
        <w:numPr>
          <w:ilvl w:val="0"/>
          <w:numId w:val="8"/>
        </w:numPr>
        <w:tabs>
          <w:tab w:val="clear" w:pos="720"/>
          <w:tab w:val="left" w:pos="851" w:leader="none"/>
        </w:tabs>
        <w:spacing w:lineRule="auto" w:line="276"/>
        <w:ind w:left="1560" w:hanging="360"/>
        <w:jc w:val="both"/>
        <w:rPr>
          <w:rFonts w:ascii="Calibri" w:hAnsi="Calibri"/>
          <w:sz w:val="24"/>
        </w:rPr>
      </w:pPr>
      <w:r>
        <w:rPr>
          <w:rFonts w:cs="Calibri" w:ascii="Calibri" w:hAnsi="Calibri"/>
          <w:sz w:val="24"/>
        </w:rPr>
        <w:t>Cirurgia de tronco Arterial comum;</w:t>
      </w:r>
    </w:p>
    <w:p>
      <w:pPr>
        <w:pStyle w:val="ListParagraph"/>
        <w:numPr>
          <w:ilvl w:val="0"/>
          <w:numId w:val="8"/>
        </w:numPr>
        <w:tabs>
          <w:tab w:val="clear" w:pos="720"/>
          <w:tab w:val="left" w:pos="851" w:leader="none"/>
        </w:tabs>
        <w:spacing w:lineRule="auto" w:line="276"/>
        <w:ind w:left="1560" w:hanging="360"/>
        <w:jc w:val="both"/>
        <w:rPr>
          <w:rFonts w:ascii="Calibri" w:hAnsi="Calibri"/>
          <w:sz w:val="24"/>
        </w:rPr>
      </w:pPr>
      <w:r>
        <w:rPr>
          <w:rFonts w:cs="Calibri" w:ascii="Calibri" w:hAnsi="Calibri"/>
          <w:sz w:val="24"/>
        </w:rPr>
        <w:t>Cirurgia de coronária anômala;</w:t>
      </w:r>
    </w:p>
    <w:p>
      <w:pPr>
        <w:pStyle w:val="ListParagraph"/>
        <w:numPr>
          <w:ilvl w:val="0"/>
          <w:numId w:val="8"/>
        </w:numPr>
        <w:tabs>
          <w:tab w:val="clear" w:pos="720"/>
          <w:tab w:val="left" w:pos="851" w:leader="none"/>
        </w:tabs>
        <w:spacing w:lineRule="auto" w:line="276"/>
        <w:ind w:left="1560" w:hanging="360"/>
        <w:jc w:val="both"/>
        <w:rPr>
          <w:rFonts w:ascii="Calibri" w:hAnsi="Calibri"/>
          <w:sz w:val="24"/>
        </w:rPr>
      </w:pPr>
      <w:r>
        <w:drawing>
          <wp:anchor behindDoc="1" distT="0" distB="0" distL="0" distR="0" simplePos="0" locked="0" layoutInCell="0" allowOverlap="1" relativeHeight="7">
            <wp:simplePos x="0" y="0"/>
            <wp:positionH relativeFrom="page">
              <wp:posOffset>6134100</wp:posOffset>
            </wp:positionH>
            <wp:positionV relativeFrom="page">
              <wp:posOffset>109855</wp:posOffset>
            </wp:positionV>
            <wp:extent cx="1080135" cy="1080135"/>
            <wp:effectExtent l="0" t="0" r="0" b="0"/>
            <wp:wrapNone/>
            <wp:docPr id="6"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6" descr=""/>
                    <pic:cNvPicPr>
                      <a:picLocks noChangeAspect="1" noChangeArrowheads="1"/>
                    </pic:cNvPicPr>
                  </pic:nvPicPr>
                  <pic:blipFill>
                    <a:blip r:embed="rId11"/>
                    <a:stretch>
                      <a:fillRect/>
                    </a:stretch>
                  </pic:blipFill>
                  <pic:spPr bwMode="auto">
                    <a:xfrm>
                      <a:off x="0" y="0"/>
                      <a:ext cx="1080135" cy="1080135"/>
                    </a:xfrm>
                    <a:prstGeom prst="rect">
                      <a:avLst/>
                    </a:prstGeom>
                  </pic:spPr>
                </pic:pic>
              </a:graphicData>
            </a:graphic>
          </wp:anchor>
        </w:drawing>
      </w:r>
      <w:r>
        <w:rPr>
          <w:rFonts w:cs="Calibri" w:ascii="Calibri" w:hAnsi="Calibri"/>
          <w:sz w:val="24"/>
        </w:rPr>
        <w:t>Cirurgia de cardiopatia complexa (Isomerismo Atrial D e E);</w:t>
      </w:r>
    </w:p>
    <w:p>
      <w:pPr>
        <w:pStyle w:val="ListParagraph"/>
        <w:numPr>
          <w:ilvl w:val="0"/>
          <w:numId w:val="8"/>
        </w:numPr>
        <w:tabs>
          <w:tab w:val="clear" w:pos="720"/>
          <w:tab w:val="left" w:pos="851" w:leader="none"/>
        </w:tabs>
        <w:spacing w:lineRule="auto" w:line="276"/>
        <w:ind w:left="1560" w:hanging="360"/>
        <w:jc w:val="both"/>
        <w:rPr>
          <w:rFonts w:ascii="Calibri" w:hAnsi="Calibri"/>
          <w:sz w:val="24"/>
        </w:rPr>
      </w:pPr>
      <w:r>
        <w:rPr>
          <w:rFonts w:cs="Calibri" w:ascii="Calibri" w:hAnsi="Calibri"/>
          <w:sz w:val="24"/>
        </w:rPr>
        <w:t>Cirurgia de hipoplasia de Arco Aórtico e Defeito intracardíaco; e</w:t>
      </w:r>
    </w:p>
    <w:p>
      <w:pPr>
        <w:pStyle w:val="ListParagraph"/>
        <w:numPr>
          <w:ilvl w:val="0"/>
          <w:numId w:val="8"/>
        </w:numPr>
        <w:tabs>
          <w:tab w:val="clear" w:pos="720"/>
          <w:tab w:val="left" w:pos="851" w:leader="none"/>
        </w:tabs>
        <w:spacing w:lineRule="auto" w:line="276"/>
        <w:ind w:left="1560" w:hanging="360"/>
        <w:jc w:val="both"/>
        <w:rPr>
          <w:rFonts w:ascii="Calibri" w:hAnsi="Calibri"/>
          <w:sz w:val="24"/>
        </w:rPr>
      </w:pPr>
      <w:r>
        <w:rPr>
          <w:rFonts w:cs="Calibri" w:ascii="Calibri" w:hAnsi="Calibri"/>
          <w:sz w:val="24"/>
        </w:rPr>
        <w:t>Correção de dupla via de saída do ventrículo Direito com CIV sub-Aórtica.</w:t>
      </w:r>
    </w:p>
    <w:p>
      <w:pPr>
        <w:pStyle w:val="Normal"/>
        <w:tabs>
          <w:tab w:val="clear" w:pos="720"/>
          <w:tab w:val="left" w:pos="851" w:leader="none"/>
        </w:tabs>
        <w:spacing w:lineRule="auto" w:line="276"/>
        <w:jc w:val="both"/>
        <w:rPr>
          <w:rFonts w:ascii="Calibri" w:hAnsi="Calibri"/>
        </w:rPr>
      </w:pPr>
      <w:r>
        <w:rPr>
          <w:rFonts w:cs="Calibri" w:ascii="Calibri" w:hAnsi="Calibri"/>
          <w:b/>
          <w:sz w:val="24"/>
        </w:rPr>
        <w:tab/>
        <w:t>IV) CATETERISMOS</w:t>
      </w:r>
    </w:p>
    <w:p>
      <w:pPr>
        <w:pStyle w:val="ListParagraph"/>
        <w:tabs>
          <w:tab w:val="clear" w:pos="720"/>
          <w:tab w:val="left" w:pos="0" w:leader="none"/>
        </w:tabs>
        <w:spacing w:lineRule="auto" w:line="276"/>
        <w:ind w:left="0" w:firstLine="1247"/>
        <w:jc w:val="both"/>
        <w:rPr>
          <w:rFonts w:ascii="Calibri" w:hAnsi="Calibri"/>
        </w:rPr>
      </w:pPr>
      <w:r>
        <w:rPr>
          <w:rFonts w:cs="Calibri" w:ascii="Calibri" w:hAnsi="Calibri"/>
          <w:sz w:val="24"/>
        </w:rPr>
        <w:t>1) Cateterismo cardíaco pediátrico – diagnóstico; e</w:t>
      </w:r>
    </w:p>
    <w:p>
      <w:pPr>
        <w:pStyle w:val="ListParagraph"/>
        <w:tabs>
          <w:tab w:val="clear" w:pos="720"/>
          <w:tab w:val="left" w:pos="0" w:leader="none"/>
        </w:tabs>
        <w:spacing w:lineRule="auto" w:line="276"/>
        <w:ind w:left="0" w:firstLine="1247"/>
        <w:jc w:val="both"/>
        <w:rPr>
          <w:rFonts w:ascii="Calibri" w:hAnsi="Calibri"/>
        </w:rPr>
      </w:pPr>
      <w:r>
        <w:rPr>
          <w:rFonts w:cs="Calibri" w:ascii="Calibri" w:hAnsi="Calibri"/>
          <w:sz w:val="24"/>
        </w:rPr>
        <w:t>2) Cateterismo cardíaco pediátrico – terapêutico.</w:t>
      </w:r>
    </w:p>
    <w:p>
      <w:pPr>
        <w:pStyle w:val="Normal"/>
        <w:tabs>
          <w:tab w:val="clear" w:pos="720"/>
          <w:tab w:val="left" w:pos="851" w:leader="none"/>
        </w:tabs>
        <w:spacing w:lineRule="auto" w:line="276"/>
        <w:jc w:val="both"/>
        <w:rPr>
          <w:rFonts w:ascii="Calibri" w:hAnsi="Calibri"/>
        </w:rPr>
      </w:pPr>
      <w:r>
        <w:rPr>
          <w:rFonts w:cs="Calibri" w:ascii="Calibri" w:hAnsi="Calibri"/>
          <w:b/>
          <w:sz w:val="24"/>
        </w:rPr>
        <w:tab/>
        <w:t>V) IMPLANTES</w:t>
      </w:r>
    </w:p>
    <w:p>
      <w:pPr>
        <w:pStyle w:val="Normal"/>
        <w:tabs>
          <w:tab w:val="clear" w:pos="720"/>
          <w:tab w:val="left" w:pos="0" w:leader="none"/>
        </w:tabs>
        <w:spacing w:lineRule="auto" w:line="276"/>
        <w:jc w:val="both"/>
        <w:rPr>
          <w:rFonts w:ascii="Calibri" w:hAnsi="Calibri"/>
        </w:rPr>
      </w:pPr>
      <w:r>
        <w:rPr>
          <w:rFonts w:cs="Calibri" w:ascii="Calibri" w:hAnsi="Calibri"/>
          <w:b/>
          <w:sz w:val="24"/>
        </w:rPr>
        <w:tab/>
        <w:tab/>
      </w:r>
      <w:r>
        <w:rPr>
          <w:rFonts w:cs="Calibri" w:ascii="Calibri" w:hAnsi="Calibri"/>
          <w:sz w:val="24"/>
        </w:rPr>
        <w:t xml:space="preserve">1) Implante de Marcapasso; e </w:t>
      </w:r>
    </w:p>
    <w:p>
      <w:pPr>
        <w:pStyle w:val="ListParagraph"/>
        <w:tabs>
          <w:tab w:val="clear" w:pos="720"/>
          <w:tab w:val="left" w:pos="0" w:leader="none"/>
          <w:tab w:val="left" w:pos="851" w:leader="none"/>
        </w:tabs>
        <w:spacing w:lineRule="auto" w:line="276"/>
        <w:jc w:val="both"/>
        <w:rPr/>
      </w:pPr>
      <w:r>
        <w:rPr>
          <w:rFonts w:cs="Calibri" w:ascii="Calibri" w:hAnsi="Calibri"/>
          <w:sz w:val="24"/>
        </w:rPr>
        <w:tab/>
        <w:tab/>
        <w:t>2) Implante de Desfibrilador e Ressincronizador.</w:t>
      </w:r>
    </w:p>
    <w:p>
      <w:pPr>
        <w:pStyle w:val="Normal"/>
        <w:tabs>
          <w:tab w:val="clear" w:pos="720"/>
          <w:tab w:val="left" w:pos="851" w:leader="none"/>
        </w:tabs>
        <w:spacing w:lineRule="auto" w:line="276"/>
        <w:jc w:val="both"/>
        <w:rPr>
          <w:rFonts w:ascii="Calibri" w:hAnsi="Calibri"/>
        </w:rPr>
      </w:pPr>
      <w:r>
        <w:rPr>
          <w:rFonts w:cs="Calibri" w:ascii="Calibri" w:hAnsi="Calibri"/>
          <w:b/>
          <w:sz w:val="24"/>
        </w:rPr>
        <w:tab/>
      </w:r>
    </w:p>
    <w:p>
      <w:pPr>
        <w:pStyle w:val="Normal"/>
        <w:tabs>
          <w:tab w:val="clear" w:pos="720"/>
          <w:tab w:val="left" w:pos="0" w:leader="none"/>
        </w:tabs>
        <w:spacing w:lineRule="auto" w:line="276"/>
        <w:jc w:val="both"/>
        <w:rPr>
          <w:rFonts w:ascii="Calibri" w:hAnsi="Calibri"/>
        </w:rPr>
      </w:pPr>
      <w:r>
        <w:rPr>
          <w:rFonts w:cs="Calibri" w:ascii="Calibri" w:hAnsi="Calibri"/>
          <w:b/>
          <w:sz w:val="24"/>
        </w:rPr>
        <w:tab/>
      </w:r>
      <w:r>
        <w:rPr>
          <w:rFonts w:cs="Calibri" w:ascii="Calibri" w:hAnsi="Calibri" w:asciiTheme="minorHAnsi" w:cstheme="minorHAnsi" w:hAnsiTheme="minorHAnsi"/>
          <w:b/>
          <w:sz w:val="24"/>
        </w:rPr>
        <w:t>5.3.5 Dos valores apresentados na Tabela 2 CONTEMPLAM ainda</w:t>
      </w:r>
      <w:r>
        <w:rPr>
          <w:rFonts w:ascii="Calibri" w:hAnsi="Calibri"/>
          <w:b/>
        </w:rPr>
        <w:t>:</w:t>
      </w:r>
    </w:p>
    <w:p>
      <w:pPr>
        <w:pStyle w:val="ListParagraph"/>
        <w:numPr>
          <w:ilvl w:val="0"/>
          <w:numId w:val="9"/>
        </w:numPr>
        <w:tabs>
          <w:tab w:val="clear" w:pos="720"/>
          <w:tab w:val="left" w:pos="851" w:leader="none"/>
        </w:tabs>
        <w:spacing w:lineRule="auto" w:line="276"/>
        <w:ind w:left="1560" w:hanging="426"/>
        <w:jc w:val="both"/>
        <w:rPr>
          <w:rFonts w:ascii="Calibri" w:hAnsi="Calibri"/>
        </w:rPr>
      </w:pPr>
      <w:r>
        <w:rPr>
          <w:rFonts w:cs="Calibri" w:ascii="Calibri" w:hAnsi="Calibri"/>
          <w:sz w:val="24"/>
        </w:rPr>
        <w:t>diárias e hotelaria, inclusive do acompanhante quando necessária por exigência legal;</w:t>
      </w:r>
    </w:p>
    <w:p>
      <w:pPr>
        <w:pStyle w:val="ListParagraph"/>
        <w:numPr>
          <w:ilvl w:val="0"/>
          <w:numId w:val="9"/>
        </w:numPr>
        <w:tabs>
          <w:tab w:val="clear" w:pos="720"/>
          <w:tab w:val="left" w:pos="851" w:leader="none"/>
        </w:tabs>
        <w:spacing w:lineRule="auto" w:line="276"/>
        <w:ind w:left="1560" w:hanging="426"/>
        <w:jc w:val="both"/>
        <w:rPr>
          <w:rFonts w:ascii="Calibri" w:hAnsi="Calibri"/>
          <w:sz w:val="24"/>
        </w:rPr>
      </w:pPr>
      <w:r>
        <w:rPr>
          <w:rFonts w:cs="Calibri" w:ascii="Calibri" w:hAnsi="Calibri"/>
          <w:sz w:val="24"/>
        </w:rPr>
        <w:t>honorários da equipe cirúrgica (inclusive anestesista);</w:t>
      </w:r>
    </w:p>
    <w:p>
      <w:pPr>
        <w:pStyle w:val="ListParagraph"/>
        <w:numPr>
          <w:ilvl w:val="0"/>
          <w:numId w:val="9"/>
        </w:numPr>
        <w:tabs>
          <w:tab w:val="clear" w:pos="720"/>
          <w:tab w:val="left" w:pos="851" w:leader="none"/>
        </w:tabs>
        <w:spacing w:lineRule="auto" w:line="276"/>
        <w:ind w:left="1560" w:hanging="426"/>
        <w:jc w:val="both"/>
        <w:rPr>
          <w:rFonts w:ascii="Calibri" w:hAnsi="Calibri"/>
          <w:sz w:val="24"/>
        </w:rPr>
      </w:pPr>
      <w:r>
        <w:rPr>
          <w:rFonts w:cs="Calibri" w:ascii="Calibri" w:hAnsi="Calibri"/>
          <w:sz w:val="24"/>
        </w:rPr>
        <w:t>honorários dos intensivistas, rotina e plantonista;</w:t>
      </w:r>
    </w:p>
    <w:p>
      <w:pPr>
        <w:pStyle w:val="ListParagraph"/>
        <w:numPr>
          <w:ilvl w:val="0"/>
          <w:numId w:val="9"/>
        </w:numPr>
        <w:tabs>
          <w:tab w:val="clear" w:pos="720"/>
          <w:tab w:val="left" w:pos="851" w:leader="none"/>
        </w:tabs>
        <w:spacing w:lineRule="auto" w:line="276"/>
        <w:ind w:left="1560" w:hanging="426"/>
        <w:jc w:val="both"/>
        <w:rPr>
          <w:rFonts w:ascii="Calibri" w:hAnsi="Calibri"/>
          <w:sz w:val="24"/>
        </w:rPr>
      </w:pPr>
      <w:r>
        <w:rPr>
          <w:rFonts w:cs="Calibri" w:ascii="Calibri" w:hAnsi="Calibri"/>
          <w:sz w:val="24"/>
        </w:rPr>
        <w:t>cuidados de enfermagem; Fisioterapia, Fonoaudiologia, Psicologia;</w:t>
      </w:r>
    </w:p>
    <w:p>
      <w:pPr>
        <w:pStyle w:val="ListParagraph"/>
        <w:numPr>
          <w:ilvl w:val="0"/>
          <w:numId w:val="9"/>
        </w:numPr>
        <w:tabs>
          <w:tab w:val="clear" w:pos="720"/>
          <w:tab w:val="left" w:pos="851" w:leader="none"/>
        </w:tabs>
        <w:spacing w:lineRule="auto" w:line="276"/>
        <w:ind w:left="1560" w:hanging="426"/>
        <w:jc w:val="both"/>
        <w:rPr>
          <w:rFonts w:ascii="Calibri" w:hAnsi="Calibri"/>
          <w:sz w:val="24"/>
        </w:rPr>
      </w:pPr>
      <w:r>
        <w:rPr>
          <w:rFonts w:cs="Calibri" w:ascii="Calibri" w:hAnsi="Calibri"/>
          <w:sz w:val="24"/>
        </w:rPr>
        <w:t>avaliação diária de nutrição enteral e parenteral, dieta do paciente;</w:t>
      </w:r>
    </w:p>
    <w:p>
      <w:pPr>
        <w:pStyle w:val="ListParagraph"/>
        <w:numPr>
          <w:ilvl w:val="0"/>
          <w:numId w:val="9"/>
        </w:numPr>
        <w:tabs>
          <w:tab w:val="clear" w:pos="720"/>
          <w:tab w:val="left" w:pos="851" w:leader="none"/>
        </w:tabs>
        <w:spacing w:lineRule="auto" w:line="276"/>
        <w:ind w:left="1560" w:hanging="426"/>
        <w:jc w:val="both"/>
        <w:rPr>
          <w:rFonts w:ascii="Calibri" w:hAnsi="Calibri"/>
          <w:sz w:val="24"/>
        </w:rPr>
      </w:pPr>
      <w:r>
        <w:rPr>
          <w:rFonts w:cs="Calibri" w:ascii="Calibri" w:hAnsi="Calibri"/>
          <w:sz w:val="24"/>
        </w:rPr>
        <w:t>equipamento de proteção individual;</w:t>
      </w:r>
    </w:p>
    <w:p>
      <w:pPr>
        <w:pStyle w:val="ListParagraph"/>
        <w:numPr>
          <w:ilvl w:val="0"/>
          <w:numId w:val="9"/>
        </w:numPr>
        <w:tabs>
          <w:tab w:val="clear" w:pos="720"/>
          <w:tab w:val="left" w:pos="851" w:leader="none"/>
        </w:tabs>
        <w:spacing w:lineRule="auto" w:line="276"/>
        <w:ind w:left="1560" w:hanging="426"/>
        <w:jc w:val="both"/>
        <w:rPr>
          <w:rFonts w:ascii="Calibri" w:hAnsi="Calibri"/>
          <w:sz w:val="24"/>
        </w:rPr>
      </w:pPr>
      <w:r>
        <w:rPr>
          <w:rFonts w:cs="Calibri" w:ascii="Calibri" w:hAnsi="Calibri"/>
          <w:sz w:val="24"/>
        </w:rPr>
        <w:t>serviços auxiliares diagnósticos (com valor unitário até R$500,00);</w:t>
      </w:r>
    </w:p>
    <w:p>
      <w:pPr>
        <w:pStyle w:val="ListParagraph"/>
        <w:numPr>
          <w:ilvl w:val="0"/>
          <w:numId w:val="9"/>
        </w:numPr>
        <w:tabs>
          <w:tab w:val="clear" w:pos="720"/>
          <w:tab w:val="left" w:pos="851" w:leader="none"/>
        </w:tabs>
        <w:spacing w:lineRule="auto" w:line="276"/>
        <w:ind w:left="1560" w:hanging="426"/>
        <w:jc w:val="both"/>
        <w:rPr>
          <w:rFonts w:ascii="Calibri" w:hAnsi="Calibri"/>
          <w:sz w:val="24"/>
        </w:rPr>
      </w:pPr>
      <w:r>
        <w:rPr>
          <w:rFonts w:cs="Calibri" w:ascii="Calibri" w:hAnsi="Calibri"/>
          <w:sz w:val="24"/>
        </w:rPr>
        <w:t>materiais descartáveis (com valor até de R$1.000,00);</w:t>
      </w:r>
    </w:p>
    <w:p>
      <w:pPr>
        <w:pStyle w:val="ListParagraph"/>
        <w:numPr>
          <w:ilvl w:val="0"/>
          <w:numId w:val="9"/>
        </w:numPr>
        <w:tabs>
          <w:tab w:val="clear" w:pos="720"/>
          <w:tab w:val="left" w:pos="851" w:leader="none"/>
        </w:tabs>
        <w:spacing w:lineRule="auto" w:line="276"/>
        <w:ind w:left="1560" w:hanging="426"/>
        <w:jc w:val="both"/>
        <w:rPr>
          <w:rFonts w:ascii="Calibri" w:hAnsi="Calibri"/>
          <w:sz w:val="24"/>
        </w:rPr>
      </w:pPr>
      <w:r>
        <w:rPr>
          <w:rFonts w:cs="Calibri" w:ascii="Calibri" w:hAnsi="Calibri"/>
          <w:sz w:val="24"/>
        </w:rPr>
        <w:t>medicamentos, Gases Medicinais, e OPME (aqueles afins ao procedimento);</w:t>
      </w:r>
    </w:p>
    <w:p>
      <w:pPr>
        <w:pStyle w:val="ListParagraph"/>
        <w:numPr>
          <w:ilvl w:val="0"/>
          <w:numId w:val="9"/>
        </w:numPr>
        <w:tabs>
          <w:tab w:val="clear" w:pos="720"/>
          <w:tab w:val="left" w:pos="851" w:leader="none"/>
        </w:tabs>
        <w:spacing w:lineRule="auto" w:line="276"/>
        <w:ind w:left="1560" w:hanging="426"/>
        <w:jc w:val="both"/>
        <w:rPr>
          <w:rFonts w:ascii="Calibri" w:hAnsi="Calibri"/>
          <w:sz w:val="24"/>
        </w:rPr>
      </w:pPr>
      <w:r>
        <w:rPr>
          <w:rFonts w:cs="Calibri" w:ascii="Calibri" w:hAnsi="Calibri"/>
          <w:sz w:val="24"/>
        </w:rPr>
        <w:t xml:space="preserve">taxas e aluguéis, </w:t>
      </w:r>
    </w:p>
    <w:p>
      <w:pPr>
        <w:pStyle w:val="Normal"/>
        <w:tabs>
          <w:tab w:val="clear" w:pos="720"/>
          <w:tab w:val="left" w:pos="851" w:leader="none"/>
        </w:tabs>
        <w:spacing w:lineRule="auto" w:line="276"/>
        <w:jc w:val="both"/>
        <w:rPr>
          <w:rFonts w:ascii="Calibri" w:hAnsi="Calibri" w:cs="Calibri"/>
          <w:b/>
          <w:b/>
          <w:sz w:val="24"/>
        </w:rPr>
      </w:pPr>
      <w:r>
        <w:rPr>
          <w:rFonts w:cs="Calibri" w:ascii="Calibri" w:hAnsi="Calibri"/>
          <w:b/>
          <w:sz w:val="24"/>
        </w:rPr>
      </w:r>
    </w:p>
    <w:p>
      <w:pPr>
        <w:pStyle w:val="Normal"/>
        <w:tabs>
          <w:tab w:val="clear" w:pos="720"/>
          <w:tab w:val="left" w:pos="851" w:leader="none"/>
        </w:tabs>
        <w:spacing w:lineRule="auto" w:line="276"/>
        <w:jc w:val="both"/>
        <w:rPr>
          <w:rFonts w:ascii="Calibri" w:hAnsi="Calibri"/>
        </w:rPr>
      </w:pPr>
      <w:r>
        <w:rPr>
          <w:rFonts w:cs="Calibri" w:ascii="Calibri" w:hAnsi="Calibri" w:asciiTheme="minorHAnsi" w:cstheme="minorHAnsi" w:hAnsiTheme="minorHAnsi"/>
          <w:b/>
          <w:sz w:val="24"/>
        </w:rPr>
        <w:tab/>
        <w:t xml:space="preserve">5.3.6 </w:t>
      </w:r>
      <w:r>
        <w:rPr>
          <w:rFonts w:cs="Calibri" w:ascii="Calibri" w:hAnsi="Calibri"/>
          <w:b/>
          <w:sz w:val="24"/>
        </w:rPr>
        <w:t>Na Tabela 2, dos Serviços listados, NÃO CONTEMPLAM no valor do Pacote:</w:t>
      </w:r>
    </w:p>
    <w:p>
      <w:pPr>
        <w:pStyle w:val="ListParagraph"/>
        <w:widowControl w:val="false"/>
        <w:numPr>
          <w:ilvl w:val="0"/>
          <w:numId w:val="10"/>
        </w:numPr>
        <w:tabs>
          <w:tab w:val="clear" w:pos="720"/>
          <w:tab w:val="left" w:pos="851" w:leader="none"/>
        </w:tabs>
        <w:spacing w:lineRule="auto" w:line="276"/>
        <w:ind w:left="1418" w:hanging="360"/>
        <w:jc w:val="both"/>
        <w:rPr>
          <w:rFonts w:ascii="Calibri" w:hAnsi="Calibri"/>
        </w:rPr>
      </w:pPr>
      <w:r>
        <w:rPr>
          <w:rFonts w:cs="Calibri" w:ascii="Calibri" w:hAnsi="Calibri"/>
          <w:sz w:val="24"/>
        </w:rPr>
        <w:t>diárias em quantidade acima do acordado para cada procedimento;</w:t>
      </w:r>
    </w:p>
    <w:p>
      <w:pPr>
        <w:pStyle w:val="ListParagraph"/>
        <w:widowControl w:val="false"/>
        <w:numPr>
          <w:ilvl w:val="0"/>
          <w:numId w:val="10"/>
        </w:numPr>
        <w:tabs>
          <w:tab w:val="clear" w:pos="720"/>
          <w:tab w:val="left" w:pos="851" w:leader="none"/>
        </w:tabs>
        <w:spacing w:lineRule="auto" w:line="276"/>
        <w:ind w:left="1418" w:hanging="360"/>
        <w:jc w:val="both"/>
        <w:rPr>
          <w:rFonts w:ascii="Calibri" w:hAnsi="Calibri"/>
          <w:sz w:val="24"/>
        </w:rPr>
      </w:pPr>
      <w:r>
        <w:rPr>
          <w:rFonts w:cs="Calibri" w:ascii="Calibri" w:hAnsi="Calibri"/>
          <w:sz w:val="24"/>
        </w:rPr>
        <w:t xml:space="preserve">marcapasso, desfibriladores, ressincronizadores e ECMO; </w:t>
      </w:r>
    </w:p>
    <w:p>
      <w:pPr>
        <w:pStyle w:val="ListParagraph"/>
        <w:widowControl w:val="false"/>
        <w:numPr>
          <w:ilvl w:val="0"/>
          <w:numId w:val="10"/>
        </w:numPr>
        <w:tabs>
          <w:tab w:val="clear" w:pos="720"/>
          <w:tab w:val="left" w:pos="851" w:leader="none"/>
        </w:tabs>
        <w:spacing w:lineRule="auto" w:line="276"/>
        <w:ind w:left="1418" w:hanging="360"/>
        <w:jc w:val="both"/>
        <w:rPr>
          <w:rFonts w:ascii="Calibri" w:hAnsi="Calibri"/>
          <w:sz w:val="24"/>
        </w:rPr>
      </w:pPr>
      <w:r>
        <w:rPr>
          <w:rFonts w:cs="Calibri" w:ascii="Calibri" w:hAnsi="Calibri"/>
          <w:sz w:val="24"/>
        </w:rPr>
        <w:t>medicamentos de alto custo e/ou valor unitário acima de R$300,00;</w:t>
      </w:r>
    </w:p>
    <w:p>
      <w:pPr>
        <w:pStyle w:val="ListParagraph"/>
        <w:widowControl w:val="false"/>
        <w:numPr>
          <w:ilvl w:val="0"/>
          <w:numId w:val="10"/>
        </w:numPr>
        <w:tabs>
          <w:tab w:val="clear" w:pos="720"/>
          <w:tab w:val="left" w:pos="851" w:leader="none"/>
        </w:tabs>
        <w:spacing w:lineRule="auto" w:line="276"/>
        <w:ind w:left="1418" w:hanging="360"/>
        <w:jc w:val="both"/>
        <w:rPr>
          <w:rFonts w:ascii="Calibri" w:hAnsi="Calibri"/>
          <w:sz w:val="24"/>
        </w:rPr>
      </w:pPr>
      <w:r>
        <w:rPr>
          <w:rFonts w:ascii="Calibri" w:hAnsi="Calibri"/>
          <w:sz w:val="24"/>
        </w:rPr>
        <w:t>exames acima de R$ 500,00;</w:t>
      </w:r>
    </w:p>
    <w:p>
      <w:pPr>
        <w:pStyle w:val="ListParagraph"/>
        <w:widowControl w:val="false"/>
        <w:numPr>
          <w:ilvl w:val="0"/>
          <w:numId w:val="10"/>
        </w:numPr>
        <w:tabs>
          <w:tab w:val="clear" w:pos="720"/>
          <w:tab w:val="left" w:pos="851" w:leader="none"/>
        </w:tabs>
        <w:spacing w:lineRule="auto" w:line="276"/>
        <w:ind w:left="1418" w:hanging="360"/>
        <w:jc w:val="both"/>
        <w:rPr>
          <w:rFonts w:ascii="Calibri" w:hAnsi="Calibri"/>
          <w:sz w:val="24"/>
        </w:rPr>
      </w:pPr>
      <w:r>
        <w:rPr>
          <w:rFonts w:cs="Calibri" w:ascii="Calibri" w:hAnsi="Calibri"/>
          <w:sz w:val="24"/>
        </w:rPr>
        <w:t>materiais descartáveis (com valor acima de R$1.000,00);</w:t>
      </w:r>
    </w:p>
    <w:p>
      <w:pPr>
        <w:pStyle w:val="ListParagraph"/>
        <w:widowControl w:val="false"/>
        <w:numPr>
          <w:ilvl w:val="0"/>
          <w:numId w:val="10"/>
        </w:numPr>
        <w:tabs>
          <w:tab w:val="clear" w:pos="720"/>
          <w:tab w:val="left" w:pos="851" w:leader="none"/>
        </w:tabs>
        <w:spacing w:lineRule="auto" w:line="276"/>
        <w:ind w:left="1418" w:hanging="360"/>
        <w:jc w:val="both"/>
        <w:rPr>
          <w:rFonts w:ascii="Calibri" w:hAnsi="Calibri"/>
          <w:sz w:val="24"/>
        </w:rPr>
      </w:pPr>
      <w:r>
        <w:rPr>
          <w:rFonts w:cs="Calibri" w:ascii="Calibri" w:hAnsi="Calibri"/>
          <w:sz w:val="24"/>
        </w:rPr>
        <w:t>hemocomponentes, hemoderivados;</w:t>
      </w:r>
    </w:p>
    <w:p>
      <w:pPr>
        <w:pStyle w:val="ListParagraph"/>
        <w:widowControl w:val="false"/>
        <w:numPr>
          <w:ilvl w:val="0"/>
          <w:numId w:val="10"/>
        </w:numPr>
        <w:tabs>
          <w:tab w:val="clear" w:pos="720"/>
          <w:tab w:val="left" w:pos="851" w:leader="none"/>
        </w:tabs>
        <w:spacing w:lineRule="auto" w:line="276"/>
        <w:ind w:left="1418" w:hanging="360"/>
        <w:jc w:val="both"/>
        <w:rPr>
          <w:rFonts w:ascii="Calibri" w:hAnsi="Calibri"/>
          <w:sz w:val="24"/>
        </w:rPr>
      </w:pPr>
      <w:r>
        <w:rPr>
          <w:rFonts w:cs="Calibri" w:ascii="Calibri" w:hAnsi="Calibri"/>
          <w:sz w:val="24"/>
        </w:rPr>
        <w:t>demais honorários médicos e auxiliares não correspondentes aos serviços de internação com cuidados intensivos ou semi-intensivos.</w:t>
      </w:r>
    </w:p>
    <w:p>
      <w:pPr>
        <w:pStyle w:val="ListParagraph"/>
        <w:widowControl w:val="false"/>
        <w:numPr>
          <w:ilvl w:val="0"/>
          <w:numId w:val="10"/>
        </w:numPr>
        <w:tabs>
          <w:tab w:val="clear" w:pos="720"/>
          <w:tab w:val="left" w:pos="851" w:leader="none"/>
        </w:tabs>
        <w:spacing w:lineRule="auto" w:line="276"/>
        <w:ind w:left="1418" w:hanging="360"/>
        <w:jc w:val="both"/>
        <w:rPr>
          <w:rFonts w:ascii="Calibri" w:hAnsi="Calibri"/>
          <w:sz w:val="24"/>
        </w:rPr>
      </w:pPr>
      <w:r>
        <w:rPr>
          <w:rFonts w:cs="Calibri" w:ascii="Calibri" w:hAnsi="Calibri"/>
          <w:sz w:val="24"/>
        </w:rPr>
        <w:t>novas tecnologias que venham alterar ou complementar os protocolos praticados na época da negociação dos valores e composição dos pacotes.</w:t>
      </w:r>
    </w:p>
    <w:p>
      <w:pPr>
        <w:pStyle w:val="ListParagraph"/>
        <w:widowControl w:val="false"/>
        <w:tabs>
          <w:tab w:val="clear" w:pos="720"/>
          <w:tab w:val="left" w:pos="851" w:leader="none"/>
        </w:tabs>
        <w:spacing w:lineRule="auto" w:line="276"/>
        <w:ind w:left="1418" w:hanging="0"/>
        <w:jc w:val="both"/>
        <w:rPr>
          <w:rFonts w:ascii="Calibri" w:hAnsi="Calibri" w:cs="Calibri"/>
          <w:sz w:val="24"/>
        </w:rPr>
      </w:pPr>
      <w:r>
        <w:rPr>
          <w:rFonts w:cs="Calibri" w:ascii="Calibri" w:hAnsi="Calibri"/>
          <w:sz w:val="24"/>
        </w:rPr>
      </w:r>
    </w:p>
    <w:p>
      <w:pPr>
        <w:pStyle w:val="Normal"/>
        <w:widowControl w:val="false"/>
        <w:tabs>
          <w:tab w:val="clear" w:pos="720"/>
          <w:tab w:val="left" w:pos="851" w:leader="none"/>
        </w:tabs>
        <w:spacing w:lineRule="auto" w:line="276"/>
        <w:jc w:val="both"/>
        <w:rPr>
          <w:rFonts w:ascii="Calibri" w:hAnsi="Calibri"/>
          <w:sz w:val="24"/>
        </w:rPr>
      </w:pPr>
      <w:r>
        <w:rPr>
          <w:rFonts w:cs="Calibri" w:ascii="Calibri" w:hAnsi="Calibri"/>
          <w:b/>
          <w:sz w:val="24"/>
        </w:rPr>
        <w:tab/>
        <w:t>5.3.7</w:t>
        <w:tab/>
        <w:t>Para os Serviços listados na Tabela 2, aos quais NÃO CONTEMPLAM no valor do pacote, elencados no subitem</w:t>
      </w:r>
      <w:r>
        <w:rPr>
          <w:rFonts w:cs="Calibri" w:ascii="Calibri" w:hAnsi="Calibri"/>
          <w:b/>
          <w:color w:val="0066FF"/>
          <w:sz w:val="24"/>
          <w:shd w:fill="auto" w:val="clear"/>
        </w:rPr>
        <w:t xml:space="preserve"> </w:t>
      </w:r>
      <w:r>
        <w:rPr>
          <w:rFonts w:cs="Calibri" w:ascii="Calibri" w:hAnsi="Calibri" w:asciiTheme="minorHAnsi" w:cstheme="minorHAnsi" w:hAnsiTheme="minorHAnsi"/>
          <w:b/>
          <w:color w:val="0066FF"/>
          <w:sz w:val="24"/>
          <w:shd w:fill="auto" w:val="clear"/>
        </w:rPr>
        <w:t>5.3.</w:t>
      </w:r>
      <w:r>
        <w:rPr>
          <w:rFonts w:cs="Calibri" w:ascii="Calibri" w:hAnsi="Calibri" w:asciiTheme="minorHAnsi" w:cstheme="minorHAnsi" w:hAnsiTheme="minorHAnsi"/>
          <w:b/>
          <w:color w:val="0066FF"/>
          <w:sz w:val="24"/>
          <w:shd w:fill="auto" w:val="clear"/>
        </w:rPr>
        <w:t>6</w:t>
      </w:r>
      <w:r>
        <w:rPr>
          <w:rFonts w:cs="Calibri" w:ascii="Calibri" w:hAnsi="Calibri" w:asciiTheme="minorHAnsi" w:cstheme="minorHAnsi" w:hAnsiTheme="minorHAnsi"/>
          <w:b/>
          <w:color w:val="0066FF"/>
          <w:sz w:val="24"/>
          <w:shd w:fill="auto" w:val="clear"/>
        </w:rPr>
        <w:t xml:space="preserve"> (de “a” a “</w:t>
      </w:r>
      <w:r>
        <w:rPr>
          <w:rFonts w:cs="Calibri" w:ascii="Calibri" w:hAnsi="Calibri" w:asciiTheme="minorHAnsi" w:cstheme="minorHAnsi" w:hAnsiTheme="minorHAnsi"/>
          <w:b/>
          <w:color w:val="0066FF"/>
          <w:sz w:val="24"/>
          <w:shd w:fill="auto" w:val="clear"/>
        </w:rPr>
        <w:t>h</w:t>
      </w:r>
      <w:r>
        <w:rPr>
          <w:rFonts w:cs="Calibri" w:ascii="Calibri" w:hAnsi="Calibri" w:asciiTheme="minorHAnsi" w:cstheme="minorHAnsi" w:hAnsiTheme="minorHAnsi"/>
          <w:b/>
          <w:color w:val="0066FF"/>
          <w:sz w:val="24"/>
          <w:shd w:fill="auto" w:val="clear"/>
        </w:rPr>
        <w:t>”)</w:t>
      </w:r>
      <w:r>
        <w:rPr>
          <w:rFonts w:cs="Calibri" w:ascii="Calibri" w:hAnsi="Calibri" w:asciiTheme="minorHAnsi" w:cstheme="minorHAnsi" w:hAnsiTheme="minorHAnsi"/>
          <w:b/>
          <w:sz w:val="24"/>
        </w:rPr>
        <w:t>, serão cobrados da seguinte maneira:</w:t>
      </w:r>
    </w:p>
    <w:p>
      <w:pPr>
        <w:pStyle w:val="ListParagraph"/>
        <w:widowControl w:val="false"/>
        <w:numPr>
          <w:ilvl w:val="0"/>
          <w:numId w:val="11"/>
        </w:numPr>
        <w:tabs>
          <w:tab w:val="clear" w:pos="720"/>
          <w:tab w:val="left" w:pos="851" w:leader="none"/>
        </w:tabs>
        <w:spacing w:lineRule="auto" w:line="276"/>
        <w:ind w:left="1418" w:hanging="360"/>
        <w:jc w:val="both"/>
        <w:rPr>
          <w:rFonts w:ascii="Calibri" w:hAnsi="Calibri"/>
          <w:sz w:val="24"/>
        </w:rPr>
      </w:pPr>
      <w:r>
        <w:rPr>
          <w:rFonts w:cs="Calibri" w:ascii="Calibri" w:hAnsi="Calibri"/>
          <w:b/>
          <w:sz w:val="24"/>
        </w:rPr>
        <w:t>diárias em quantidade acima do acordado para cada procedimento</w:t>
      </w:r>
      <w:r>
        <w:rPr>
          <w:rFonts w:cs="Calibri" w:ascii="Calibri" w:hAnsi="Calibri"/>
          <w:sz w:val="24"/>
        </w:rPr>
        <w:t xml:space="preserve"> deverão ser pagas conforme valores abaixo, e seguirem TODAS as regras previstas e contempladas anteriormente </w:t>
      </w:r>
      <w:r>
        <w:rPr>
          <w:rFonts w:cs="Calibri" w:ascii="Calibri" w:hAnsi="Calibri"/>
          <w:color w:val="0066FF"/>
          <w:sz w:val="24"/>
        </w:rPr>
        <w:t>no subitem 5.3.5</w:t>
      </w:r>
      <w:r>
        <w:rPr>
          <w:rFonts w:cs="Calibri" w:ascii="Calibri" w:hAnsi="Calibri"/>
          <w:sz w:val="24"/>
        </w:rPr>
        <w:t xml:space="preserve">. As diárias, excedentes pelos serviços, deverão corresponder a permanência mínima de 6 horas, ou deverá ser faturada proporcionalmente. </w:t>
      </w:r>
      <w:r>
        <w:rPr>
          <w:rFonts w:cs="Calibri" w:ascii="Calibri" w:hAnsi="Calibri"/>
          <w:color w:val="0066FF"/>
          <w:sz w:val="24"/>
        </w:rPr>
        <w:t>Os</w:t>
      </w:r>
      <w:r>
        <w:rPr>
          <w:rFonts w:cs="Calibri" w:ascii="Calibri" w:hAnsi="Calibri"/>
          <w:color w:val="0066FF"/>
          <w:sz w:val="24"/>
        </w:rPr>
        <w:t xml:space="preserve"> valores </w:t>
      </w:r>
      <w:r>
        <w:rPr>
          <w:rFonts w:cs="Calibri" w:ascii="Calibri" w:hAnsi="Calibri"/>
          <w:color w:val="0066FF"/>
          <w:sz w:val="24"/>
        </w:rPr>
        <w:t>serão os seguintes:</w:t>
      </w:r>
    </w:p>
    <w:p>
      <w:pPr>
        <w:pStyle w:val="ListParagraph"/>
        <w:widowControl w:val="false"/>
        <w:tabs>
          <w:tab w:val="clear" w:pos="720"/>
          <w:tab w:val="left" w:pos="851" w:leader="none"/>
        </w:tabs>
        <w:spacing w:lineRule="auto" w:line="276"/>
        <w:ind w:left="0" w:firstLine="1077"/>
        <w:jc w:val="both"/>
        <w:rPr>
          <w:rFonts w:ascii="Calibri" w:hAnsi="Calibri"/>
          <w:b/>
          <w:b/>
          <w:bCs/>
        </w:rPr>
      </w:pPr>
      <w:r>
        <w:rPr>
          <w:rFonts w:eastAsia="Microsoft YaHei" w:cs="Calibri" w:ascii="Calibri" w:hAnsi="Calibri"/>
          <w:b/>
          <w:bCs/>
          <w:sz w:val="24"/>
        </w:rPr>
        <w:tab/>
        <w:t>1)</w:t>
        <w:tab/>
        <w:t>UTI PEDIÁTRICA E NEONATAL – R$ 7.191,28</w:t>
      </w:r>
    </w:p>
    <w:p>
      <w:pPr>
        <w:pStyle w:val="ListParagraph"/>
        <w:widowControl w:val="false"/>
        <w:tabs>
          <w:tab w:val="clear" w:pos="720"/>
          <w:tab w:val="left" w:pos="1083" w:leader="none"/>
        </w:tabs>
        <w:spacing w:lineRule="auto" w:line="276"/>
        <w:ind w:left="0" w:hanging="0"/>
        <w:jc w:val="both"/>
        <w:rPr>
          <w:rFonts w:ascii="Calibri" w:hAnsi="Calibri"/>
          <w:b/>
          <w:b/>
          <w:bCs/>
        </w:rPr>
      </w:pPr>
      <w:r>
        <w:rPr>
          <w:rFonts w:eastAsia="Microsoft YaHei" w:cs="Calibri" w:ascii="Calibri" w:hAnsi="Calibri"/>
          <w:b/>
          <w:bCs/>
          <w:color w:val="000000"/>
          <w:sz w:val="24"/>
        </w:rPr>
        <w:tab/>
        <w:tab/>
        <w:t>2)</w:t>
        <w:tab/>
        <w:t>INTERNAÇÃO APARTAMENTO – R$ 3.157,75</w:t>
      </w:r>
    </w:p>
    <w:p>
      <w:pPr>
        <w:pStyle w:val="ListParagraph"/>
        <w:widowControl w:val="false"/>
        <w:tabs>
          <w:tab w:val="clear" w:pos="720"/>
          <w:tab w:val="left" w:pos="1083" w:leader="none"/>
        </w:tabs>
        <w:spacing w:lineRule="auto" w:line="276"/>
        <w:ind w:left="0" w:hanging="0"/>
        <w:jc w:val="both"/>
        <w:rPr>
          <w:rFonts w:eastAsia="Microsoft YaHei" w:cs="Calibri"/>
          <w:color w:val="000000"/>
        </w:rPr>
      </w:pPr>
      <w:r>
        <w:rPr>
          <w:rFonts w:eastAsia="Microsoft YaHei" w:cs="Calibri"/>
          <w:color w:val="000000"/>
        </w:rPr>
      </w:r>
    </w:p>
    <w:p>
      <w:pPr>
        <w:pStyle w:val="ListParagraph"/>
        <w:widowControl w:val="false"/>
        <w:numPr>
          <w:ilvl w:val="0"/>
          <w:numId w:val="11"/>
        </w:numPr>
        <w:tabs>
          <w:tab w:val="clear" w:pos="720"/>
          <w:tab w:val="left" w:pos="851" w:leader="none"/>
        </w:tabs>
        <w:spacing w:lineRule="auto" w:line="276"/>
        <w:ind w:left="1418" w:hanging="360"/>
        <w:jc w:val="both"/>
        <w:rPr>
          <w:rFonts w:ascii="Calibri" w:hAnsi="Calibri"/>
          <w:sz w:val="24"/>
        </w:rPr>
      </w:pPr>
      <w:r>
        <w:rPr>
          <w:rFonts w:cs="Calibri" w:ascii="Calibri" w:hAnsi="Calibri"/>
          <w:b/>
          <w:sz w:val="24"/>
        </w:rPr>
        <w:t>marcapasso, desfibriladores, ressincronizadores; ECMO ou OPME</w:t>
      </w:r>
      <w:r>
        <w:rPr>
          <w:rFonts w:cs="Calibri" w:ascii="Calibri" w:hAnsi="Calibri"/>
          <w:sz w:val="24"/>
        </w:rPr>
        <w:t xml:space="preserve"> considerar</w:t>
      </w:r>
      <w:r>
        <w:rPr>
          <w:rFonts w:ascii="Calibri" w:hAnsi="Calibri"/>
          <w:sz w:val="24"/>
        </w:rPr>
        <w:t xml:space="preserve"> o preço de aquisição acrescido de taxa de administração de 10%. Para todos os casos deverá ser apresentado, no mínimo, 3 (três) cotações de fornecedores diferentes para comparação de valores práticas no mercado; ou ainda nota fiscal de aquisição anterior para o material;</w:t>
      </w:r>
    </w:p>
    <w:p>
      <w:pPr>
        <w:pStyle w:val="ListParagraph"/>
        <w:widowControl w:val="false"/>
        <w:tabs>
          <w:tab w:val="clear" w:pos="720"/>
          <w:tab w:val="left" w:pos="851" w:leader="none"/>
        </w:tabs>
        <w:spacing w:lineRule="auto" w:line="276"/>
        <w:ind w:left="1418" w:hanging="0"/>
        <w:jc w:val="both"/>
        <w:rPr>
          <w:rFonts w:ascii="Calibri" w:hAnsi="Calibri" w:cs="Calibri"/>
          <w:sz w:val="24"/>
        </w:rPr>
      </w:pPr>
      <w:r>
        <w:rPr>
          <w:rFonts w:cs="Calibri" w:ascii="Calibri" w:hAnsi="Calibri"/>
          <w:sz w:val="24"/>
        </w:rPr>
      </w:r>
    </w:p>
    <w:p>
      <w:pPr>
        <w:pStyle w:val="ListParagraph"/>
        <w:widowControl w:val="false"/>
        <w:numPr>
          <w:ilvl w:val="0"/>
          <w:numId w:val="11"/>
        </w:numPr>
        <w:tabs>
          <w:tab w:val="clear" w:pos="720"/>
          <w:tab w:val="left" w:pos="851" w:leader="none"/>
        </w:tabs>
        <w:spacing w:lineRule="auto" w:line="276"/>
        <w:ind w:left="1418" w:hanging="360"/>
        <w:jc w:val="both"/>
        <w:rPr>
          <w:rFonts w:ascii="Calibri" w:hAnsi="Calibri"/>
          <w:sz w:val="24"/>
        </w:rPr>
      </w:pPr>
      <w:r>
        <w:rPr>
          <w:rFonts w:cs="Calibri" w:ascii="Calibri" w:hAnsi="Calibri"/>
          <w:b/>
          <w:sz w:val="24"/>
        </w:rPr>
        <w:t>medicamentos de alto custo e/ou valores unitários acima de R$300,00,</w:t>
      </w:r>
      <w:r>
        <w:rPr>
          <w:rFonts w:cs="Calibri" w:ascii="Calibri" w:hAnsi="Calibri"/>
          <w:sz w:val="24"/>
        </w:rPr>
        <w:t xml:space="preserve"> observar o valor previsto na Brasíndice vigente na data do atendimento (</w:t>
      </w:r>
      <w:r>
        <w:rPr>
          <w:rFonts w:ascii="Calibri" w:hAnsi="Calibri"/>
          <w:sz w:val="24"/>
        </w:rPr>
        <w:t>referência PMC);</w:t>
      </w:r>
    </w:p>
    <w:p>
      <w:pPr>
        <w:pStyle w:val="Normal"/>
        <w:widowControl w:val="false"/>
        <w:tabs>
          <w:tab w:val="clear" w:pos="720"/>
          <w:tab w:val="left" w:pos="851" w:leader="none"/>
        </w:tabs>
        <w:spacing w:lineRule="auto" w:line="276"/>
        <w:jc w:val="both"/>
        <w:rPr>
          <w:rFonts w:ascii="Calibri" w:hAnsi="Calibri" w:cs="Calibri"/>
          <w:sz w:val="24"/>
        </w:rPr>
      </w:pPr>
      <w:r>
        <w:rPr>
          <w:rFonts w:cs="Calibri" w:ascii="Calibri" w:hAnsi="Calibri"/>
          <w:sz w:val="24"/>
        </w:rPr>
      </w:r>
    </w:p>
    <w:p>
      <w:pPr>
        <w:pStyle w:val="ListParagraph"/>
        <w:widowControl w:val="false"/>
        <w:numPr>
          <w:ilvl w:val="0"/>
          <w:numId w:val="11"/>
        </w:numPr>
        <w:tabs>
          <w:tab w:val="clear" w:pos="720"/>
          <w:tab w:val="left" w:pos="851" w:leader="none"/>
        </w:tabs>
        <w:spacing w:lineRule="auto" w:line="276"/>
        <w:ind w:left="1418" w:hanging="360"/>
        <w:jc w:val="both"/>
        <w:rPr>
          <w:rFonts w:ascii="Calibri" w:hAnsi="Calibri"/>
          <w:sz w:val="24"/>
        </w:rPr>
      </w:pPr>
      <w:r>
        <w:rPr>
          <w:rFonts w:ascii="Calibri" w:hAnsi="Calibri"/>
          <w:b/>
          <w:sz w:val="24"/>
        </w:rPr>
        <w:t>exames com valores acima de R$ 500,00</w:t>
      </w:r>
      <w:r>
        <w:rPr>
          <w:rFonts w:ascii="Calibri" w:hAnsi="Calibri"/>
          <w:sz w:val="24"/>
        </w:rPr>
        <w:t xml:space="preserve"> observar os custos da CBHPM 2010 edição plena; e no caso de não haver correspondência, observar a edição seguinte. E para os Filmes Radiológicos observar CBR vigente R$ 38,54 m²;</w:t>
      </w:r>
    </w:p>
    <w:p>
      <w:pPr>
        <w:pStyle w:val="ListParagraph"/>
        <w:widowControl w:val="false"/>
        <w:tabs>
          <w:tab w:val="clear" w:pos="720"/>
          <w:tab w:val="left" w:pos="851" w:leader="none"/>
        </w:tabs>
        <w:spacing w:lineRule="auto" w:line="276"/>
        <w:ind w:left="1418" w:hanging="0"/>
        <w:jc w:val="both"/>
        <w:rPr>
          <w:rFonts w:ascii="Calibri" w:hAnsi="Calibri" w:cs="Calibri"/>
          <w:sz w:val="24"/>
        </w:rPr>
      </w:pPr>
      <w:r>
        <w:rPr>
          <w:rFonts w:cs="Calibri" w:ascii="Calibri" w:hAnsi="Calibri"/>
          <w:sz w:val="24"/>
        </w:rPr>
      </w:r>
    </w:p>
    <w:p>
      <w:pPr>
        <w:pStyle w:val="ListParagraph"/>
        <w:widowControl w:val="false"/>
        <w:numPr>
          <w:ilvl w:val="0"/>
          <w:numId w:val="11"/>
        </w:numPr>
        <w:tabs>
          <w:tab w:val="clear" w:pos="720"/>
          <w:tab w:val="left" w:pos="851" w:leader="none"/>
        </w:tabs>
        <w:spacing w:lineRule="auto" w:line="276"/>
        <w:ind w:left="1418" w:hanging="360"/>
        <w:jc w:val="both"/>
        <w:rPr>
          <w:rFonts w:ascii="Calibri" w:hAnsi="Calibri"/>
          <w:sz w:val="24"/>
        </w:rPr>
      </w:pPr>
      <w:r>
        <w:rPr>
          <w:rFonts w:cs="Calibri" w:ascii="Calibri" w:hAnsi="Calibri"/>
          <w:b/>
          <w:sz w:val="24"/>
        </w:rPr>
        <w:t>materiais descartáveis (com valor acima de R$1.000,00)</w:t>
      </w:r>
      <w:r>
        <w:rPr>
          <w:rFonts w:cs="Calibri" w:ascii="Calibri" w:hAnsi="Calibri"/>
          <w:sz w:val="24"/>
        </w:rPr>
        <w:t xml:space="preserve"> considerar a Tabela Simpro vigente na data do atendimento. </w:t>
      </w:r>
      <w:r>
        <w:rPr>
          <w:rStyle w:val="Nfaseforte"/>
          <w:rFonts w:cs="Calibri" w:ascii="Calibri" w:hAnsi="Calibri" w:cstheme="minorHAnsi"/>
          <w:b w:val="false"/>
          <w:bCs w:val="false"/>
          <w:color w:val="0066FF"/>
          <w:sz w:val="24"/>
          <w:szCs w:val="24"/>
          <w:shd w:fill="auto" w:val="clear"/>
        </w:rPr>
        <w:t>Para os materiais não constantes na SIMPRO, será considerado o preço de aquisição acrescido de taxa de administração de 10%”;</w:t>
      </w:r>
    </w:p>
    <w:p>
      <w:pPr>
        <w:pStyle w:val="Normal"/>
        <w:widowControl w:val="false"/>
        <w:tabs>
          <w:tab w:val="clear" w:pos="720"/>
          <w:tab w:val="left" w:pos="851" w:leader="none"/>
        </w:tabs>
        <w:spacing w:lineRule="auto" w:line="276"/>
        <w:jc w:val="both"/>
        <w:rPr>
          <w:rFonts w:ascii="Calibri" w:hAnsi="Calibri" w:cs="Calibri"/>
          <w:sz w:val="24"/>
        </w:rPr>
      </w:pPr>
      <w:r>
        <w:rPr>
          <w:rFonts w:cs="Calibri" w:ascii="Calibri" w:hAnsi="Calibri"/>
          <w:sz w:val="24"/>
        </w:rPr>
      </w:r>
    </w:p>
    <w:p>
      <w:pPr>
        <w:pStyle w:val="ListParagraph"/>
        <w:widowControl w:val="false"/>
        <w:numPr>
          <w:ilvl w:val="0"/>
          <w:numId w:val="11"/>
        </w:numPr>
        <w:tabs>
          <w:tab w:val="clear" w:pos="720"/>
          <w:tab w:val="left" w:pos="851" w:leader="none"/>
        </w:tabs>
        <w:spacing w:lineRule="auto" w:line="276"/>
        <w:ind w:left="1418" w:hanging="360"/>
        <w:jc w:val="both"/>
        <w:rPr>
          <w:rFonts w:ascii="Calibri" w:hAnsi="Calibri"/>
          <w:sz w:val="24"/>
        </w:rPr>
      </w:pPr>
      <w:r>
        <w:rPr>
          <w:rFonts w:cs="Calibri" w:ascii="Calibri" w:hAnsi="Calibri"/>
          <w:b/>
          <w:sz w:val="24"/>
        </w:rPr>
        <w:t xml:space="preserve">hemocomponentes, hemoderivados </w:t>
      </w:r>
      <w:r>
        <w:rPr>
          <w:rFonts w:ascii="Calibri" w:hAnsi="Calibri"/>
          <w:sz w:val="24"/>
        </w:rPr>
        <w:t>apresentar, no mínimo, 2 (dois) cotações de prestadores de serviços  diferentes para comparação de valores práticas no mercado; ou ainda nota fiscal de contratação anterior para o serviço;</w:t>
      </w:r>
    </w:p>
    <w:p>
      <w:pPr>
        <w:pStyle w:val="ListParagraph"/>
        <w:rPr>
          <w:rFonts w:ascii="Calibri" w:hAnsi="Calibri" w:cs="Calibri"/>
          <w:sz w:val="24"/>
        </w:rPr>
      </w:pPr>
      <w:r>
        <w:rPr>
          <w:rFonts w:cs="Calibri" w:ascii="Calibri" w:hAnsi="Calibri"/>
          <w:sz w:val="24"/>
        </w:rPr>
      </w:r>
    </w:p>
    <w:p>
      <w:pPr>
        <w:pStyle w:val="ListParagraph"/>
        <w:widowControl w:val="false"/>
        <w:numPr>
          <w:ilvl w:val="0"/>
          <w:numId w:val="11"/>
        </w:numPr>
        <w:tabs>
          <w:tab w:val="clear" w:pos="720"/>
          <w:tab w:val="left" w:pos="851" w:leader="none"/>
        </w:tabs>
        <w:spacing w:lineRule="auto" w:line="276"/>
        <w:ind w:left="1418" w:hanging="360"/>
        <w:jc w:val="both"/>
        <w:rPr>
          <w:rFonts w:ascii="Calibri" w:hAnsi="Calibri"/>
          <w:sz w:val="24"/>
        </w:rPr>
      </w:pPr>
      <w:r>
        <w:rPr>
          <w:rFonts w:cs="Calibri" w:ascii="Calibri" w:hAnsi="Calibri"/>
          <w:b/>
          <w:sz w:val="24"/>
        </w:rPr>
        <w:t>demais honorários médicos e auxiliares não correspondentes</w:t>
      </w:r>
      <w:r>
        <w:rPr>
          <w:rFonts w:cs="Calibri" w:ascii="Calibri" w:hAnsi="Calibri"/>
          <w:sz w:val="24"/>
        </w:rPr>
        <w:t xml:space="preserve"> aos serviços de internação com cuidados intensivos ou semi-intensivos, considerar os custos e HM indicados na CBHPM </w:t>
      </w:r>
      <w:r>
        <w:rPr>
          <w:rFonts w:ascii="Calibri" w:hAnsi="Calibri"/>
          <w:sz w:val="24"/>
        </w:rPr>
        <w:t xml:space="preserve">2010 edição plena, ou para as consultas e visitas médicas clínicas e de especialistas, bem como outros procedimentos que couberem aos casos. </w:t>
      </w:r>
    </w:p>
    <w:p>
      <w:pPr>
        <w:pStyle w:val="ListParagraph"/>
        <w:rPr>
          <w:rFonts w:ascii="Calibri" w:hAnsi="Calibri" w:cs="Calibri"/>
          <w:sz w:val="24"/>
        </w:rPr>
      </w:pPr>
      <w:r>
        <w:rPr>
          <w:rFonts w:cs="Calibri" w:ascii="Calibri" w:hAnsi="Calibri"/>
          <w:sz w:val="24"/>
        </w:rPr>
      </w:r>
    </w:p>
    <w:p>
      <w:pPr>
        <w:pStyle w:val="ListParagraph"/>
        <w:widowControl w:val="false"/>
        <w:numPr>
          <w:ilvl w:val="0"/>
          <w:numId w:val="11"/>
        </w:numPr>
        <w:tabs>
          <w:tab w:val="clear" w:pos="720"/>
          <w:tab w:val="left" w:pos="851" w:leader="none"/>
        </w:tabs>
        <w:spacing w:lineRule="auto" w:line="276"/>
        <w:ind w:left="1418" w:hanging="360"/>
        <w:jc w:val="both"/>
        <w:rPr>
          <w:rFonts w:ascii="Calibri" w:hAnsi="Calibri"/>
          <w:sz w:val="24"/>
        </w:rPr>
      </w:pPr>
      <w:r>
        <w:rPr>
          <w:rFonts w:cs="Calibri" w:ascii="Calibri" w:hAnsi="Calibri"/>
          <w:b/>
          <w:sz w:val="24"/>
        </w:rPr>
        <w:t xml:space="preserve">novas tecnologias </w:t>
      </w:r>
      <w:r>
        <w:rPr>
          <w:rFonts w:cs="Calibri" w:ascii="Calibri" w:hAnsi="Calibri"/>
          <w:sz w:val="24"/>
        </w:rPr>
        <w:t>que venham alterar ou complementar os protocolos praticados na época da negociação dos valores e composição dos pacotes, deverão ser negociados caso a caso.</w:t>
      </w:r>
    </w:p>
    <w:p>
      <w:pPr>
        <w:pStyle w:val="ListParagraph"/>
        <w:widowControl w:val="false"/>
        <w:tabs>
          <w:tab w:val="clear" w:pos="720"/>
          <w:tab w:val="left" w:pos="0" w:leader="none"/>
        </w:tabs>
        <w:spacing w:lineRule="auto" w:line="276"/>
        <w:jc w:val="both"/>
        <w:rPr>
          <w:rFonts w:ascii="Calibri" w:hAnsi="Calibri"/>
          <w:sz w:val="24"/>
        </w:rPr>
      </w:pPr>
      <w:r>
        <w:rPr>
          <w:rFonts w:cs="Calibri" w:ascii="Calibri" w:hAnsi="Calibri"/>
          <w:sz w:val="24"/>
        </w:rPr>
        <w:tab/>
      </w:r>
      <w:r>
        <w:rPr>
          <w:rFonts w:cs="Calibri" w:ascii="Calibri" w:hAnsi="Calibri"/>
          <w:b/>
          <w:bCs/>
          <w:sz w:val="24"/>
        </w:rPr>
        <w:t>5.3.8</w:t>
        <w:tab/>
        <w:t>Deverá ser seguido, nas regras de cobrança acima, os exames referentes ao pré-operatório.</w:t>
      </w:r>
    </w:p>
    <w:p>
      <w:pPr>
        <w:pStyle w:val="ListParagraph"/>
        <w:ind w:left="0" w:hanging="0"/>
        <w:jc w:val="both"/>
        <w:rPr>
          <w:rFonts w:ascii="Calibri" w:hAnsi="Calibri"/>
          <w:sz w:val="24"/>
        </w:rPr>
      </w:pPr>
      <w:r>
        <w:rPr>
          <w:rFonts w:cs="Calibri" w:ascii="Calibri" w:hAnsi="Calibri"/>
          <w:b/>
          <w:sz w:val="24"/>
        </w:rPr>
        <w:tab/>
        <w:t xml:space="preserve">5.3.9 Para todos os casos e excepcionalidades, as cobranças deverão ser aprovadas e autorizadas pelo Fiscal do Contrato, que deverá ser comunicado pela OSE imediatamente, à identificação da necessidade, haja vista, correta manutenção do serviço assistencial, integridade e saúde do paciente. </w:t>
      </w:r>
    </w:p>
    <w:p>
      <w:pPr>
        <w:pStyle w:val="Normal"/>
        <w:widowControl w:val="false"/>
        <w:tabs>
          <w:tab w:val="clear" w:pos="720"/>
          <w:tab w:val="left" w:pos="851" w:leader="none"/>
        </w:tabs>
        <w:spacing w:lineRule="auto" w:line="276"/>
        <w:jc w:val="both"/>
        <w:rPr>
          <w:rFonts w:ascii="Calibri" w:hAnsi="Calibri"/>
          <w:sz w:val="24"/>
        </w:rPr>
      </w:pPr>
      <w:r>
        <w:rPr>
          <w:rFonts w:ascii="Calibri" w:hAnsi="Calibri"/>
          <w:sz w:val="24"/>
        </w:rPr>
      </w:r>
    </w:p>
    <w:p>
      <w:pPr>
        <w:pStyle w:val="ListParagraph"/>
        <w:numPr>
          <w:ilvl w:val="1"/>
          <w:numId w:val="5"/>
        </w:numPr>
        <w:tabs>
          <w:tab w:val="clear" w:pos="720"/>
          <w:tab w:val="left" w:pos="851" w:leader="none"/>
        </w:tabs>
        <w:spacing w:lineRule="auto" w:line="276"/>
        <w:ind w:left="0" w:firstLine="709"/>
        <w:jc w:val="both"/>
        <w:rPr>
          <w:rFonts w:ascii="Calibri" w:hAnsi="Calibri"/>
        </w:rPr>
      </w:pPr>
      <w:r>
        <w:drawing>
          <wp:anchor behindDoc="1" distT="0" distB="0" distL="0" distR="0" simplePos="0" locked="0" layoutInCell="0" allowOverlap="1" relativeHeight="8">
            <wp:simplePos x="0" y="0"/>
            <wp:positionH relativeFrom="page">
              <wp:posOffset>6134100</wp:posOffset>
            </wp:positionH>
            <wp:positionV relativeFrom="page">
              <wp:posOffset>109855</wp:posOffset>
            </wp:positionV>
            <wp:extent cx="1080135" cy="1080135"/>
            <wp:effectExtent l="0" t="0" r="0" b="0"/>
            <wp:wrapNone/>
            <wp:docPr id="7" name="Figura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7" descr=""/>
                    <pic:cNvPicPr>
                      <a:picLocks noChangeAspect="1" noChangeArrowheads="1"/>
                    </pic:cNvPicPr>
                  </pic:nvPicPr>
                  <pic:blipFill>
                    <a:blip r:embed="rId12"/>
                    <a:stretch>
                      <a:fillRect/>
                    </a:stretch>
                  </pic:blipFill>
                  <pic:spPr bwMode="auto">
                    <a:xfrm>
                      <a:off x="0" y="0"/>
                      <a:ext cx="1080135" cy="1080135"/>
                    </a:xfrm>
                    <a:prstGeom prst="rect">
                      <a:avLst/>
                    </a:prstGeom>
                  </pic:spPr>
                </pic:pic>
              </a:graphicData>
            </a:graphic>
          </wp:anchor>
        </w:drawing>
      </w:r>
      <w:r>
        <w:rPr>
          <w:rFonts w:cs="Calibri" w:ascii="Calibri" w:hAnsi="Calibri"/>
          <w:b/>
          <w:sz w:val="24"/>
        </w:rPr>
        <w:t>Dos Serviços COMPLEMENTARES para Contratação por Credenciamento</w:t>
      </w:r>
    </w:p>
    <w:p>
      <w:pPr>
        <w:pStyle w:val="Normal"/>
        <w:tabs>
          <w:tab w:val="clear" w:pos="720"/>
          <w:tab w:val="left" w:pos="0" w:leader="none"/>
        </w:tabs>
        <w:spacing w:lineRule="auto" w:line="276"/>
        <w:ind w:firstLine="709"/>
        <w:jc w:val="both"/>
        <w:rPr>
          <w:rFonts w:ascii="Calibri" w:hAnsi="Calibri"/>
          <w:sz w:val="24"/>
        </w:rPr>
      </w:pPr>
      <w:r>
        <w:rPr>
          <w:rFonts w:cs="Calibri" w:ascii="Calibri" w:hAnsi="Calibri"/>
          <w:sz w:val="24"/>
        </w:rPr>
        <w:t>5.4.1</w:t>
      </w:r>
      <w:r>
        <w:rPr>
          <w:rFonts w:cs="Calibri" w:ascii="Calibri" w:hAnsi="Calibri"/>
          <w:b/>
          <w:sz w:val="24"/>
        </w:rPr>
        <w:tab/>
      </w:r>
      <w:r>
        <w:rPr>
          <w:rFonts w:cs="Calibri" w:ascii="Calibri" w:hAnsi="Calibri"/>
          <w:sz w:val="24"/>
        </w:rPr>
        <w:t>Consiste também em prestação de serviço de Diárias para internação clínica de pacientes com necessidade de internação em Unidades de Terapia Cardiointensiva e/ou Enfermaria (unidade Apartamento) por doença cardíaca congênita ou não, com ou sem necessidade de correção cirúrgica ou procedimento de hemodinâmica, para pacientes com doenças cardíacas primárias ou secundárias a complicações por outros agravos ou secundária a complicações pós-cirúrgicas ou pós-cateterismo, e também para pacientes pediátricos com quaisquer outras complicações cardiológicas ou não decorrentes de cirurgias cardíacas ou procedimentos de hemodinâmica realizados na OSE credenciada.</w:t>
      </w:r>
    </w:p>
    <w:p>
      <w:pPr>
        <w:pStyle w:val="Normal"/>
        <w:tabs>
          <w:tab w:val="clear" w:pos="720"/>
          <w:tab w:val="left" w:pos="0" w:leader="none"/>
        </w:tabs>
        <w:spacing w:lineRule="auto" w:line="276"/>
        <w:ind w:firstLine="709"/>
        <w:jc w:val="both"/>
        <w:rPr>
          <w:rFonts w:ascii="Calibri" w:hAnsi="Calibri"/>
          <w:sz w:val="24"/>
        </w:rPr>
      </w:pPr>
      <w:r>
        <w:rPr>
          <w:rFonts w:cs="Calibri" w:ascii="Calibri" w:hAnsi="Calibri"/>
          <w:b/>
          <w:sz w:val="24"/>
        </w:rPr>
        <w:t>5.4.2</w:t>
        <w:tab/>
        <w:t>Na Tabela 3 estão relacionados os Serviços de internação correspondentes à justificativa apresentada no subitem anterior.</w:t>
      </w:r>
    </w:p>
    <w:p>
      <w:pPr>
        <w:pStyle w:val="Normal"/>
        <w:tabs>
          <w:tab w:val="clear" w:pos="720"/>
          <w:tab w:val="left" w:pos="0" w:leader="none"/>
        </w:tabs>
        <w:spacing w:lineRule="auto" w:line="276"/>
        <w:ind w:firstLine="709"/>
        <w:jc w:val="both"/>
        <w:rPr>
          <w:rFonts w:ascii="Calibri" w:hAnsi="Calibri" w:cs="Calibri"/>
          <w:b/>
          <w:b/>
          <w:sz w:val="24"/>
        </w:rPr>
      </w:pPr>
      <w:r>
        <w:rPr>
          <w:rFonts w:cs="Calibri" w:ascii="Calibri" w:hAnsi="Calibri"/>
          <w:b/>
          <w:sz w:val="24"/>
        </w:rPr>
      </w:r>
    </w:p>
    <w:p>
      <w:pPr>
        <w:pStyle w:val="Normal"/>
        <w:tabs>
          <w:tab w:val="clear" w:pos="720"/>
          <w:tab w:val="left" w:pos="0" w:leader="none"/>
        </w:tabs>
        <w:spacing w:lineRule="auto" w:line="276"/>
        <w:ind w:firstLine="709"/>
        <w:jc w:val="both"/>
        <w:rPr>
          <w:rFonts w:ascii="Calibri" w:hAnsi="Calibri"/>
          <w:sz w:val="24"/>
        </w:rPr>
      </w:pPr>
      <w:r>
        <w:rPr>
          <w:rFonts w:cs="Calibri" w:ascii="Calibri" w:hAnsi="Calibri"/>
          <w:b/>
          <w:sz w:val="24"/>
        </w:rPr>
        <w:t>Tabela 3 - Dos Valores Globais por Diárias nas Unidades de Internação por Níveis de Gravidade do Paciente NeoPediatrico</w:t>
      </w:r>
    </w:p>
    <w:tbl>
      <w:tblPr>
        <w:tblW w:w="9921" w:type="dxa"/>
        <w:jc w:val="left"/>
        <w:tblInd w:w="55" w:type="dxa"/>
        <w:tblLayout w:type="fixed"/>
        <w:tblCellMar>
          <w:top w:w="55" w:type="dxa"/>
          <w:left w:w="55" w:type="dxa"/>
          <w:bottom w:w="55" w:type="dxa"/>
          <w:right w:w="55" w:type="dxa"/>
        </w:tblCellMar>
        <w:tblLook w:val="04a0"/>
      </w:tblPr>
      <w:tblGrid>
        <w:gridCol w:w="2500"/>
        <w:gridCol w:w="4577"/>
        <w:gridCol w:w="2844"/>
      </w:tblGrid>
      <w:tr>
        <w:trPr/>
        <w:tc>
          <w:tcPr>
            <w:tcW w:w="2500" w:type="dxa"/>
            <w:tcBorders>
              <w:top w:val="single" w:sz="2" w:space="0" w:color="000000"/>
              <w:left w:val="single" w:sz="2" w:space="0" w:color="000000"/>
              <w:bottom w:val="single" w:sz="2" w:space="0" w:color="000000"/>
            </w:tcBorders>
            <w:vAlign w:val="center"/>
          </w:tcPr>
          <w:p>
            <w:pPr>
              <w:pStyle w:val="Contedodatabela"/>
              <w:widowControl w:val="false"/>
              <w:jc w:val="center"/>
              <w:rPr>
                <w:rFonts w:ascii="Calibri" w:hAnsi="Calibri"/>
                <w:b/>
                <w:b/>
                <w:bCs/>
                <w:sz w:val="24"/>
              </w:rPr>
            </w:pPr>
            <w:r>
              <w:rPr>
                <w:rFonts w:ascii="Calibri" w:hAnsi="Calibri"/>
                <w:b/>
                <w:bCs/>
                <w:sz w:val="24"/>
              </w:rPr>
              <w:t>NÍVEL DE GRAVIDADE PARA INTERNAÇÃO</w:t>
            </w:r>
          </w:p>
        </w:tc>
        <w:tc>
          <w:tcPr>
            <w:tcW w:w="4577" w:type="dxa"/>
            <w:tcBorders>
              <w:top w:val="single" w:sz="2" w:space="0" w:color="000000"/>
              <w:left w:val="single" w:sz="2" w:space="0" w:color="000000"/>
              <w:bottom w:val="single" w:sz="2" w:space="0" w:color="000000"/>
            </w:tcBorders>
            <w:vAlign w:val="center"/>
          </w:tcPr>
          <w:p>
            <w:pPr>
              <w:pStyle w:val="Normal"/>
              <w:widowControl w:val="false"/>
              <w:jc w:val="center"/>
              <w:rPr>
                <w:rFonts w:ascii="Calibri" w:hAnsi="Calibri" w:eastAsia="Calibri"/>
                <w:b/>
                <w:b/>
                <w:bCs/>
                <w:sz w:val="24"/>
                <w:lang w:eastAsia="en-US"/>
              </w:rPr>
            </w:pPr>
            <w:r>
              <w:rPr>
                <w:rFonts w:eastAsia="Calibri" w:ascii="Calibri" w:hAnsi="Calibri"/>
                <w:b/>
                <w:bCs/>
                <w:sz w:val="24"/>
                <w:lang w:eastAsia="en-US"/>
              </w:rPr>
              <w:t>CRITÉRIOS DE INCLUSÃO DE PACIENTES</w:t>
            </w:r>
          </w:p>
        </w:tc>
        <w:tc>
          <w:tcPr>
            <w:tcW w:w="284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jc w:val="center"/>
              <w:rPr>
                <w:rFonts w:ascii="Calibri" w:hAnsi="Calibri" w:eastAsia="Calibri"/>
                <w:b/>
                <w:b/>
                <w:bCs/>
                <w:sz w:val="24"/>
                <w:lang w:eastAsia="en-US"/>
              </w:rPr>
            </w:pPr>
            <w:r>
              <w:rPr>
                <w:rFonts w:eastAsia="Calibri" w:ascii="Calibri" w:hAnsi="Calibri"/>
                <w:b/>
                <w:bCs/>
                <w:sz w:val="24"/>
                <w:lang w:eastAsia="en-US"/>
              </w:rPr>
              <w:t>VALOR GLOBAL DA DIÁRIA</w:t>
            </w:r>
          </w:p>
          <w:p>
            <w:pPr>
              <w:pStyle w:val="Normal"/>
              <w:widowControl w:val="false"/>
              <w:jc w:val="center"/>
              <w:rPr>
                <w:rFonts w:ascii="Calibri" w:hAnsi="Calibri" w:eastAsia="Calibri"/>
                <w:b/>
                <w:b/>
                <w:bCs/>
                <w:sz w:val="24"/>
                <w:lang w:eastAsia="en-US"/>
              </w:rPr>
            </w:pPr>
            <w:r>
              <w:rPr>
                <w:rFonts w:eastAsia="Calibri" w:ascii="Calibri" w:hAnsi="Calibri"/>
                <w:b/>
                <w:bCs/>
                <w:sz w:val="24"/>
                <w:lang w:eastAsia="en-US"/>
              </w:rPr>
              <w:t>(exceto os itens NÃO inclusos)</w:t>
            </w:r>
          </w:p>
        </w:tc>
      </w:tr>
      <w:tr>
        <w:trPr>
          <w:trHeight w:val="1817" w:hRule="atLeast"/>
        </w:trPr>
        <w:tc>
          <w:tcPr>
            <w:tcW w:w="2500" w:type="dxa"/>
            <w:tcBorders>
              <w:left w:val="single" w:sz="2" w:space="0" w:color="000000"/>
              <w:bottom w:val="single" w:sz="2" w:space="0" w:color="000000"/>
            </w:tcBorders>
          </w:tcPr>
          <w:p>
            <w:pPr>
              <w:pStyle w:val="Normal"/>
              <w:widowControl w:val="false"/>
              <w:rPr>
                <w:rFonts w:ascii="Calibri" w:hAnsi="Calibri" w:eastAsia="Calibri"/>
                <w:b/>
                <w:b/>
                <w:bCs/>
                <w:sz w:val="24"/>
                <w:lang w:eastAsia="en-US"/>
              </w:rPr>
            </w:pPr>
            <w:r>
              <w:rPr>
                <w:rFonts w:eastAsia="Calibri" w:ascii="Calibri" w:hAnsi="Calibri"/>
                <w:b/>
                <w:bCs/>
                <w:sz w:val="24"/>
                <w:lang w:eastAsia="en-US"/>
              </w:rPr>
            </w:r>
          </w:p>
          <w:p>
            <w:pPr>
              <w:pStyle w:val="Normal"/>
              <w:widowControl w:val="false"/>
              <w:rPr>
                <w:rFonts w:ascii="Calibri" w:hAnsi="Calibri" w:eastAsia="Calibri"/>
                <w:b/>
                <w:b/>
                <w:bCs/>
                <w:sz w:val="24"/>
                <w:lang w:eastAsia="en-US"/>
              </w:rPr>
            </w:pPr>
            <w:r>
              <w:rPr>
                <w:rFonts w:eastAsia="Calibri" w:ascii="Calibri" w:hAnsi="Calibri"/>
                <w:b/>
                <w:bCs/>
                <w:sz w:val="24"/>
                <w:lang w:eastAsia="en-US"/>
              </w:rPr>
              <w:t>UTI - NÍVEL I</w:t>
            </w:r>
          </w:p>
          <w:p>
            <w:pPr>
              <w:pStyle w:val="Normal"/>
              <w:widowControl w:val="false"/>
              <w:rPr>
                <w:rFonts w:ascii="Calibri" w:hAnsi="Calibri" w:eastAsia="Calibri"/>
                <w:b/>
                <w:b/>
                <w:bCs/>
                <w:sz w:val="24"/>
                <w:lang w:eastAsia="en-US"/>
              </w:rPr>
            </w:pPr>
            <w:r>
              <w:rPr>
                <w:rFonts w:eastAsia="Calibri" w:ascii="Calibri" w:hAnsi="Calibri"/>
                <w:b/>
                <w:bCs/>
                <w:sz w:val="24"/>
                <w:lang w:eastAsia="en-US"/>
              </w:rPr>
              <w:t>PACIENTE GRAVE</w:t>
            </w:r>
          </w:p>
        </w:tc>
        <w:tc>
          <w:tcPr>
            <w:tcW w:w="4577" w:type="dxa"/>
            <w:tcBorders>
              <w:left w:val="single" w:sz="2" w:space="0" w:color="000000"/>
              <w:bottom w:val="single" w:sz="2" w:space="0" w:color="000000"/>
            </w:tcBorders>
          </w:tcPr>
          <w:p>
            <w:pPr>
              <w:pStyle w:val="ListParagraph"/>
              <w:widowControl w:val="false"/>
              <w:numPr>
                <w:ilvl w:val="0"/>
                <w:numId w:val="12"/>
              </w:numPr>
              <w:ind w:left="0" w:hanging="0"/>
              <w:rPr>
                <w:rFonts w:ascii="Calibri" w:hAnsi="Calibri"/>
                <w:color w:val="000000"/>
                <w:sz w:val="24"/>
                <w:lang w:eastAsia="en-US"/>
              </w:rPr>
            </w:pPr>
            <w:r>
              <w:rPr>
                <w:rFonts w:eastAsia="Calibri" w:ascii="Calibri" w:hAnsi="Calibri"/>
                <w:color w:val="000000"/>
                <w:sz w:val="24"/>
                <w:lang w:eastAsia="en-US"/>
              </w:rPr>
              <w:t>Necessidade de Surfactante;</w:t>
            </w:r>
          </w:p>
          <w:p>
            <w:pPr>
              <w:pStyle w:val="ListParagraph"/>
              <w:widowControl w:val="false"/>
              <w:numPr>
                <w:ilvl w:val="0"/>
                <w:numId w:val="12"/>
              </w:numPr>
              <w:ind w:left="0" w:hanging="0"/>
              <w:rPr>
                <w:rFonts w:ascii="Calibri" w:hAnsi="Calibri"/>
                <w:sz w:val="24"/>
                <w:lang w:eastAsia="en-US"/>
              </w:rPr>
            </w:pPr>
            <w:r>
              <w:rPr>
                <w:rFonts w:eastAsia="Calibri" w:ascii="Calibri" w:hAnsi="Calibri"/>
                <w:sz w:val="24"/>
                <w:lang w:eastAsia="en-US"/>
              </w:rPr>
              <w:t>Acesso venoso profundo;</w:t>
            </w:r>
          </w:p>
          <w:p>
            <w:pPr>
              <w:pStyle w:val="ListParagraph"/>
              <w:widowControl w:val="false"/>
              <w:numPr>
                <w:ilvl w:val="0"/>
                <w:numId w:val="12"/>
              </w:numPr>
              <w:ind w:left="0" w:hanging="0"/>
              <w:rPr>
                <w:rFonts w:ascii="Calibri" w:hAnsi="Calibri" w:eastAsia="Calibri"/>
                <w:sz w:val="24"/>
                <w:lang w:eastAsia="en-US"/>
              </w:rPr>
            </w:pPr>
            <w:r>
              <w:rPr>
                <w:rFonts w:eastAsia="Calibri" w:ascii="Calibri" w:hAnsi="Calibri"/>
                <w:sz w:val="24"/>
                <w:lang w:eastAsia="en-US"/>
              </w:rPr>
              <w:t>Cateterismo umbilical (venoso/ arterial);</w:t>
            </w:r>
          </w:p>
          <w:p>
            <w:pPr>
              <w:pStyle w:val="ListParagraph"/>
              <w:widowControl w:val="false"/>
              <w:numPr>
                <w:ilvl w:val="0"/>
                <w:numId w:val="12"/>
              </w:numPr>
              <w:ind w:left="0" w:hanging="0"/>
              <w:rPr>
                <w:rFonts w:ascii="Calibri" w:hAnsi="Calibri" w:eastAsia="Calibri"/>
                <w:sz w:val="24"/>
                <w:lang w:eastAsia="en-US"/>
              </w:rPr>
            </w:pPr>
            <w:r>
              <w:rPr>
                <w:rFonts w:eastAsia="Calibri" w:ascii="Calibri" w:hAnsi="Calibri"/>
                <w:sz w:val="24"/>
                <w:lang w:eastAsia="en-US"/>
              </w:rPr>
              <w:t>NIRS;</w:t>
            </w:r>
          </w:p>
          <w:p>
            <w:pPr>
              <w:pStyle w:val="ListParagraph"/>
              <w:widowControl w:val="false"/>
              <w:numPr>
                <w:ilvl w:val="0"/>
                <w:numId w:val="12"/>
              </w:numPr>
              <w:ind w:left="0" w:hanging="0"/>
              <w:rPr>
                <w:rFonts w:ascii="Calibri" w:hAnsi="Calibri" w:eastAsia="Calibri"/>
                <w:sz w:val="24"/>
                <w:lang w:eastAsia="en-US"/>
              </w:rPr>
            </w:pPr>
            <w:r>
              <w:rPr>
                <w:rFonts w:eastAsia="Calibri" w:ascii="Calibri" w:hAnsi="Calibri"/>
                <w:sz w:val="24"/>
                <w:lang w:eastAsia="en-US"/>
              </w:rPr>
              <w:t>Hipotermia terapêutica;</w:t>
            </w:r>
          </w:p>
          <w:p>
            <w:pPr>
              <w:pStyle w:val="ListParagraph"/>
              <w:widowControl w:val="false"/>
              <w:numPr>
                <w:ilvl w:val="0"/>
                <w:numId w:val="12"/>
              </w:numPr>
              <w:ind w:left="0" w:hanging="0"/>
              <w:rPr>
                <w:rFonts w:ascii="Calibri" w:hAnsi="Calibri" w:eastAsia="Calibri"/>
                <w:sz w:val="24"/>
                <w:lang w:eastAsia="en-US"/>
              </w:rPr>
            </w:pPr>
            <w:r>
              <w:rPr>
                <w:rFonts w:eastAsia="Calibri" w:ascii="Calibri" w:hAnsi="Calibri"/>
                <w:sz w:val="24"/>
                <w:lang w:eastAsia="en-US"/>
              </w:rPr>
              <w:t>Em uso de aminas e nutrição parenteral plena;</w:t>
            </w:r>
          </w:p>
          <w:p>
            <w:pPr>
              <w:pStyle w:val="ListParagraph"/>
              <w:widowControl w:val="false"/>
              <w:numPr>
                <w:ilvl w:val="0"/>
                <w:numId w:val="12"/>
              </w:numPr>
              <w:ind w:left="0" w:hanging="0"/>
              <w:rPr>
                <w:rFonts w:ascii="Calibri" w:hAnsi="Calibri" w:eastAsia="Calibri"/>
                <w:sz w:val="24"/>
                <w:lang w:eastAsia="en-US"/>
              </w:rPr>
            </w:pPr>
            <w:r>
              <w:rPr>
                <w:rFonts w:eastAsia="Calibri" w:ascii="Calibri" w:hAnsi="Calibri"/>
                <w:color w:val="000000"/>
                <w:sz w:val="24"/>
                <w:lang w:eastAsia="en-US"/>
              </w:rPr>
              <w:t>Cateterismo vesical;</w:t>
            </w:r>
          </w:p>
          <w:p>
            <w:pPr>
              <w:pStyle w:val="ListParagraph"/>
              <w:widowControl w:val="false"/>
              <w:numPr>
                <w:ilvl w:val="0"/>
                <w:numId w:val="12"/>
              </w:numPr>
              <w:ind w:left="0" w:hanging="0"/>
              <w:rPr>
                <w:rFonts w:ascii="Calibri" w:hAnsi="Calibri"/>
                <w:sz w:val="24"/>
                <w:lang w:eastAsia="en-US"/>
              </w:rPr>
            </w:pPr>
            <w:r>
              <w:rPr>
                <w:rFonts w:eastAsia="Calibri" w:ascii="Calibri" w:hAnsi="Calibri"/>
                <w:sz w:val="24"/>
                <w:lang w:eastAsia="en-US"/>
              </w:rPr>
              <w:t xml:space="preserve">Em ventilação mecânica invasiva ou BIPAP ou </w:t>
            </w:r>
            <w:r>
              <w:rPr>
                <w:rFonts w:eastAsia="Calibri" w:ascii="Calibri" w:hAnsi="Calibri"/>
                <w:color w:val="000000"/>
                <w:sz w:val="24"/>
                <w:lang w:eastAsia="en-US"/>
              </w:rPr>
              <w:t>cateter nasal de alto fluxo ou ventilação alta frequência;</w:t>
            </w:r>
          </w:p>
          <w:p>
            <w:pPr>
              <w:pStyle w:val="ListParagraph"/>
              <w:widowControl w:val="false"/>
              <w:numPr>
                <w:ilvl w:val="0"/>
                <w:numId w:val="12"/>
              </w:numPr>
              <w:ind w:left="0" w:hanging="0"/>
              <w:rPr>
                <w:rFonts w:ascii="Calibri" w:hAnsi="Calibri" w:eastAsia="Calibri"/>
                <w:sz w:val="24"/>
                <w:lang w:eastAsia="en-US"/>
              </w:rPr>
            </w:pPr>
            <w:r>
              <w:rPr>
                <w:rFonts w:eastAsia="Calibri" w:ascii="Calibri" w:hAnsi="Calibri"/>
                <w:color w:val="000000"/>
                <w:sz w:val="24"/>
                <w:lang w:eastAsia="en-US"/>
              </w:rPr>
              <w:t>Com monitorização multiparamétrica;</w:t>
            </w:r>
          </w:p>
          <w:p>
            <w:pPr>
              <w:pStyle w:val="ListParagraph"/>
              <w:widowControl w:val="false"/>
              <w:numPr>
                <w:ilvl w:val="0"/>
                <w:numId w:val="12"/>
              </w:numPr>
              <w:ind w:left="0" w:hanging="0"/>
              <w:rPr>
                <w:rFonts w:ascii="Calibri" w:hAnsi="Calibri" w:eastAsia="Calibri"/>
                <w:sz w:val="24"/>
                <w:lang w:eastAsia="en-US"/>
              </w:rPr>
            </w:pPr>
            <w:r>
              <w:rPr>
                <w:rFonts w:eastAsia="Calibri" w:ascii="Calibri" w:hAnsi="Calibri"/>
                <w:color w:val="000000"/>
                <w:sz w:val="24"/>
                <w:lang w:eastAsia="en-US"/>
              </w:rPr>
              <w:t>Com monitorização neurológica</w:t>
            </w:r>
          </w:p>
          <w:p>
            <w:pPr>
              <w:pStyle w:val="ListParagraph"/>
              <w:widowControl w:val="false"/>
              <w:numPr>
                <w:ilvl w:val="0"/>
                <w:numId w:val="12"/>
              </w:numPr>
              <w:ind w:left="0" w:hanging="0"/>
              <w:rPr>
                <w:rFonts w:ascii="Calibri" w:hAnsi="Calibri" w:eastAsia="Calibri"/>
                <w:sz w:val="24"/>
                <w:lang w:eastAsia="en-US"/>
              </w:rPr>
            </w:pPr>
            <w:r>
              <w:rPr>
                <w:rFonts w:eastAsia="Calibri" w:ascii="Calibri" w:hAnsi="Calibri"/>
                <w:sz w:val="24"/>
                <w:lang w:eastAsia="en-US"/>
              </w:rPr>
              <w:t>Com monitorização invasiva (PA invasiva/ PIC);</w:t>
            </w:r>
          </w:p>
          <w:p>
            <w:pPr>
              <w:pStyle w:val="ListParagraph"/>
              <w:widowControl w:val="false"/>
              <w:numPr>
                <w:ilvl w:val="0"/>
                <w:numId w:val="12"/>
              </w:numPr>
              <w:ind w:left="0" w:hanging="0"/>
              <w:rPr>
                <w:rFonts w:ascii="Calibri" w:hAnsi="Calibri" w:eastAsia="Calibri"/>
                <w:sz w:val="24"/>
                <w:lang w:eastAsia="en-US"/>
              </w:rPr>
            </w:pPr>
            <w:r>
              <w:rPr>
                <w:rFonts w:eastAsia="Calibri" w:ascii="Calibri" w:hAnsi="Calibri"/>
                <w:sz w:val="24"/>
                <w:lang w:eastAsia="en-US"/>
              </w:rPr>
              <w:t>Em uso de sedação venosa profunda</w:t>
            </w:r>
          </w:p>
          <w:p>
            <w:pPr>
              <w:pStyle w:val="ListParagraph"/>
              <w:widowControl w:val="false"/>
              <w:numPr>
                <w:ilvl w:val="0"/>
                <w:numId w:val="12"/>
              </w:numPr>
              <w:ind w:left="0" w:hanging="0"/>
              <w:rPr>
                <w:rFonts w:ascii="Calibri" w:hAnsi="Calibri" w:eastAsia="Calibri"/>
                <w:sz w:val="24"/>
                <w:lang w:eastAsia="en-US"/>
              </w:rPr>
            </w:pPr>
            <w:r>
              <w:rPr>
                <w:rFonts w:eastAsia="Calibri" w:ascii="Calibri" w:hAnsi="Calibri"/>
                <w:color w:val="000000"/>
                <w:sz w:val="24"/>
                <w:lang w:eastAsia="en-US"/>
              </w:rPr>
              <w:t>Cateterismo vesical</w:t>
            </w:r>
          </w:p>
          <w:p>
            <w:pPr>
              <w:pStyle w:val="ListParagraph"/>
              <w:widowControl w:val="false"/>
              <w:numPr>
                <w:ilvl w:val="0"/>
                <w:numId w:val="12"/>
              </w:numPr>
              <w:ind w:left="0" w:hanging="0"/>
              <w:rPr>
                <w:rFonts w:ascii="Calibri" w:hAnsi="Calibri" w:eastAsia="Calibri"/>
                <w:color w:val="000000"/>
                <w:sz w:val="24"/>
                <w:lang w:eastAsia="en-US"/>
              </w:rPr>
            </w:pPr>
            <w:r>
              <w:rPr>
                <w:rFonts w:eastAsia="Calibri" w:ascii="Calibri" w:hAnsi="Calibri"/>
                <w:color w:val="000000"/>
                <w:sz w:val="24"/>
                <w:lang w:eastAsia="en-US"/>
              </w:rPr>
              <w:t>Necessidade de ECMO  (valor NÃO INCLUSO);</w:t>
            </w:r>
          </w:p>
          <w:p>
            <w:pPr>
              <w:pStyle w:val="ListParagraph"/>
              <w:widowControl w:val="false"/>
              <w:numPr>
                <w:ilvl w:val="0"/>
                <w:numId w:val="12"/>
              </w:numPr>
              <w:ind w:left="0" w:hanging="0"/>
              <w:rPr>
                <w:rFonts w:ascii="Calibri" w:hAnsi="Calibri" w:eastAsia="Calibri"/>
                <w:color w:val="000000"/>
                <w:sz w:val="24"/>
                <w:lang w:eastAsia="en-US"/>
              </w:rPr>
            </w:pPr>
            <w:r>
              <w:rPr>
                <w:rFonts w:eastAsia="Calibri" w:ascii="Calibri" w:hAnsi="Calibri"/>
                <w:color w:val="000000"/>
                <w:sz w:val="24"/>
                <w:lang w:eastAsia="en-US"/>
              </w:rPr>
              <w:t xml:space="preserve">Exsanguíneo transfusão </w:t>
            </w:r>
            <w:r>
              <w:rPr>
                <w:rFonts w:eastAsia="Calibri" w:ascii="Calibri" w:hAnsi="Calibri"/>
                <w:b w:val="false"/>
                <w:bCs w:val="false"/>
                <w:color w:val="000000"/>
                <w:sz w:val="24"/>
                <w:lang w:eastAsia="en-US"/>
              </w:rPr>
              <w:t>(valor NÃO INCLUSO);</w:t>
            </w:r>
          </w:p>
          <w:p>
            <w:pPr>
              <w:pStyle w:val="ListParagraph"/>
              <w:widowControl w:val="false"/>
              <w:numPr>
                <w:ilvl w:val="0"/>
                <w:numId w:val="12"/>
              </w:numPr>
              <w:ind w:left="0" w:hanging="0"/>
              <w:rPr>
                <w:rFonts w:ascii="Calibri" w:hAnsi="Calibri" w:eastAsia="Calibri"/>
                <w:color w:val="FF0000"/>
                <w:sz w:val="24"/>
                <w:lang w:eastAsia="en-US"/>
              </w:rPr>
            </w:pPr>
            <w:r>
              <w:rPr>
                <w:rFonts w:eastAsia="Calibri" w:ascii="Calibri" w:hAnsi="Calibri"/>
                <w:color w:val="000000"/>
                <w:sz w:val="24"/>
                <w:lang w:eastAsia="en-US"/>
              </w:rPr>
              <w:t>Em uso de diálise peritoneal; e hemodiálise (valor NÃO INCLUSO).</w:t>
            </w:r>
          </w:p>
        </w:tc>
        <w:tc>
          <w:tcPr>
            <w:tcW w:w="2844" w:type="dxa"/>
            <w:tcBorders>
              <w:left w:val="single" w:sz="2" w:space="0" w:color="000000"/>
              <w:bottom w:val="single" w:sz="2" w:space="0" w:color="000000"/>
              <w:right w:val="single" w:sz="2" w:space="0" w:color="000000"/>
            </w:tcBorders>
            <w:vAlign w:val="center"/>
          </w:tcPr>
          <w:p>
            <w:pPr>
              <w:pStyle w:val="Normal"/>
              <w:widowControl w:val="false"/>
              <w:spacing w:before="0" w:after="160"/>
              <w:jc w:val="center"/>
              <w:rPr>
                <w:rFonts w:ascii="Calibri" w:hAnsi="Calibri" w:eastAsia="Calibri" w:cs="Calibri"/>
                <w:b/>
                <w:b/>
                <w:bCs/>
                <w:sz w:val="24"/>
                <w:lang w:eastAsia="en-US"/>
              </w:rPr>
            </w:pPr>
            <w:r>
              <w:rPr>
                <w:rFonts w:eastAsia="Calibri" w:cs="Calibri" w:ascii="Calibri" w:hAnsi="Calibri"/>
                <w:b/>
                <w:bCs/>
                <w:sz w:val="24"/>
                <w:lang w:eastAsia="en-US"/>
              </w:rPr>
              <w:t>R$ 6.294,18</w:t>
            </w:r>
          </w:p>
        </w:tc>
      </w:tr>
      <w:tr>
        <w:trPr/>
        <w:tc>
          <w:tcPr>
            <w:tcW w:w="2500" w:type="dxa"/>
            <w:tcBorders>
              <w:top w:val="single" w:sz="2" w:space="0" w:color="000000"/>
              <w:left w:val="single" w:sz="2" w:space="0" w:color="000000"/>
              <w:bottom w:val="single" w:sz="2" w:space="0" w:color="000000"/>
            </w:tcBorders>
          </w:tcPr>
          <w:p>
            <w:pPr>
              <w:pStyle w:val="Normal"/>
              <w:widowControl w:val="false"/>
              <w:rPr>
                <w:rFonts w:ascii="Calibri" w:hAnsi="Calibri" w:eastAsia="Calibri"/>
                <w:b/>
                <w:b/>
                <w:bCs/>
                <w:sz w:val="24"/>
                <w:lang w:eastAsia="en-US"/>
              </w:rPr>
            </w:pPr>
            <w:r>
              <w:rPr>
                <w:rFonts w:eastAsia="Calibri" w:ascii="Calibri" w:hAnsi="Calibri"/>
                <w:b/>
                <w:bCs/>
                <w:sz w:val="24"/>
                <w:lang w:eastAsia="en-US"/>
              </w:rPr>
            </w:r>
          </w:p>
          <w:p>
            <w:pPr>
              <w:pStyle w:val="Normal"/>
              <w:widowControl w:val="false"/>
              <w:rPr>
                <w:rFonts w:ascii="Calibri" w:hAnsi="Calibri" w:eastAsia="Calibri"/>
                <w:b/>
                <w:b/>
                <w:bCs/>
                <w:sz w:val="24"/>
                <w:lang w:eastAsia="en-US"/>
              </w:rPr>
            </w:pPr>
            <w:r>
              <w:rPr>
                <w:rFonts w:eastAsia="Calibri" w:ascii="Calibri" w:hAnsi="Calibri"/>
                <w:b/>
                <w:bCs/>
                <w:sz w:val="24"/>
                <w:lang w:eastAsia="en-US"/>
              </w:rPr>
              <w:t>UTI - NÍVEL II</w:t>
            </w:r>
          </w:p>
          <w:p>
            <w:pPr>
              <w:pStyle w:val="Normal"/>
              <w:widowControl w:val="false"/>
              <w:rPr>
                <w:rFonts w:ascii="Calibri" w:hAnsi="Calibri" w:eastAsia="Calibri"/>
                <w:b/>
                <w:b/>
                <w:bCs/>
                <w:sz w:val="24"/>
                <w:lang w:eastAsia="en-US"/>
              </w:rPr>
            </w:pPr>
            <w:r>
              <w:rPr>
                <w:rFonts w:eastAsia="Calibri" w:ascii="Calibri" w:hAnsi="Calibri"/>
                <w:b/>
                <w:bCs/>
                <w:sz w:val="24"/>
                <w:lang w:eastAsia="en-US"/>
              </w:rPr>
              <w:t>GRAVIDADE MODERADA</w:t>
            </w:r>
          </w:p>
        </w:tc>
        <w:tc>
          <w:tcPr>
            <w:tcW w:w="4577" w:type="dxa"/>
            <w:tcBorders>
              <w:top w:val="single" w:sz="2" w:space="0" w:color="000000"/>
              <w:left w:val="single" w:sz="2" w:space="0" w:color="000000"/>
              <w:bottom w:val="single" w:sz="2" w:space="0" w:color="000000"/>
            </w:tcBorders>
          </w:tcPr>
          <w:p>
            <w:pPr>
              <w:pStyle w:val="ListParagraph"/>
              <w:widowControl w:val="false"/>
              <w:numPr>
                <w:ilvl w:val="0"/>
                <w:numId w:val="13"/>
              </w:numPr>
              <w:ind w:left="0" w:hanging="0"/>
              <w:rPr>
                <w:rFonts w:ascii="Calibri" w:hAnsi="Calibri"/>
                <w:sz w:val="24"/>
                <w:lang w:eastAsia="en-US"/>
              </w:rPr>
            </w:pPr>
            <w:r>
              <w:rPr>
                <w:rFonts w:eastAsia="Calibri" w:ascii="Calibri" w:hAnsi="Calibri"/>
                <w:sz w:val="24"/>
                <w:lang w:eastAsia="en-US"/>
              </w:rPr>
              <w:t>Em ventilação não invasiva (</w:t>
            </w:r>
            <w:r>
              <w:rPr>
                <w:rFonts w:eastAsia="Calibri" w:ascii="Calibri" w:hAnsi="Calibri"/>
                <w:color w:val="000000"/>
                <w:sz w:val="24"/>
                <w:lang w:eastAsia="en-US"/>
              </w:rPr>
              <w:t>CPAP</w:t>
            </w:r>
            <w:r>
              <w:rPr>
                <w:rFonts w:eastAsia="Calibri" w:ascii="Calibri" w:hAnsi="Calibri"/>
                <w:sz w:val="24"/>
                <w:lang w:eastAsia="en-US"/>
              </w:rPr>
              <w:t>, cateter nasal);</w:t>
            </w:r>
          </w:p>
          <w:p>
            <w:pPr>
              <w:pStyle w:val="ListParagraph"/>
              <w:widowControl w:val="false"/>
              <w:numPr>
                <w:ilvl w:val="0"/>
                <w:numId w:val="13"/>
              </w:numPr>
              <w:ind w:left="0" w:hanging="0"/>
              <w:rPr>
                <w:rFonts w:ascii="Calibri" w:hAnsi="Calibri" w:eastAsia="Calibri"/>
                <w:sz w:val="24"/>
                <w:lang w:eastAsia="en-US"/>
              </w:rPr>
            </w:pPr>
            <w:r>
              <w:rPr>
                <w:rFonts w:eastAsia="Calibri" w:ascii="Calibri" w:hAnsi="Calibri"/>
                <w:sz w:val="24"/>
                <w:lang w:eastAsia="en-US"/>
              </w:rPr>
              <w:t>Em nutrição parenteral parcial;</w:t>
            </w:r>
          </w:p>
          <w:p>
            <w:pPr>
              <w:pStyle w:val="ListParagraph"/>
              <w:widowControl w:val="false"/>
              <w:numPr>
                <w:ilvl w:val="0"/>
                <w:numId w:val="13"/>
              </w:numPr>
              <w:ind w:left="0" w:hanging="0"/>
              <w:rPr>
                <w:rFonts w:ascii="Calibri" w:hAnsi="Calibri" w:eastAsia="Calibri"/>
                <w:sz w:val="24"/>
                <w:lang w:eastAsia="en-US"/>
              </w:rPr>
            </w:pPr>
            <w:r>
              <w:rPr>
                <w:rFonts w:eastAsia="Calibri" w:ascii="Calibri" w:hAnsi="Calibri"/>
                <w:sz w:val="24"/>
                <w:lang w:eastAsia="en-US"/>
              </w:rPr>
              <w:t>Com terapêutica intravenosa;</w:t>
            </w:r>
          </w:p>
          <w:p>
            <w:pPr>
              <w:pStyle w:val="ListParagraph"/>
              <w:widowControl w:val="false"/>
              <w:numPr>
                <w:ilvl w:val="0"/>
                <w:numId w:val="13"/>
              </w:numPr>
              <w:ind w:left="0" w:hanging="0"/>
              <w:rPr>
                <w:rFonts w:ascii="Calibri" w:hAnsi="Calibri" w:eastAsia="Calibri"/>
                <w:sz w:val="24"/>
                <w:lang w:eastAsia="en-US"/>
              </w:rPr>
            </w:pPr>
            <w:r>
              <w:rPr>
                <w:rFonts w:eastAsia="Calibri" w:ascii="Calibri" w:hAnsi="Calibri"/>
                <w:sz w:val="24"/>
                <w:lang w:eastAsia="en-US"/>
              </w:rPr>
              <w:t>Com máscara de Venturini e máscara com reservatório não reinalante;</w:t>
            </w:r>
          </w:p>
          <w:p>
            <w:pPr>
              <w:pStyle w:val="ListParagraph"/>
              <w:widowControl w:val="false"/>
              <w:numPr>
                <w:ilvl w:val="0"/>
                <w:numId w:val="13"/>
              </w:numPr>
              <w:ind w:left="0" w:hanging="0"/>
              <w:rPr>
                <w:rFonts w:ascii="Calibri" w:hAnsi="Calibri" w:eastAsia="Calibri"/>
                <w:sz w:val="24"/>
                <w:lang w:eastAsia="en-US"/>
              </w:rPr>
            </w:pPr>
            <w:r>
              <w:rPr>
                <w:rFonts w:eastAsia="Calibri" w:ascii="Calibri" w:hAnsi="Calibri"/>
                <w:sz w:val="24"/>
                <w:lang w:eastAsia="en-US"/>
              </w:rPr>
              <w:t>Com monitorização multiparamétrica;</w:t>
            </w:r>
          </w:p>
          <w:p>
            <w:pPr>
              <w:pStyle w:val="ListParagraph"/>
              <w:widowControl w:val="false"/>
              <w:numPr>
                <w:ilvl w:val="0"/>
                <w:numId w:val="13"/>
              </w:numPr>
              <w:ind w:left="0" w:hanging="0"/>
              <w:rPr>
                <w:rFonts w:ascii="Calibri" w:hAnsi="Calibri" w:eastAsia="Calibri"/>
                <w:sz w:val="24"/>
                <w:lang w:eastAsia="en-US"/>
              </w:rPr>
            </w:pPr>
            <w:r>
              <w:rPr>
                <w:rFonts w:eastAsia="Calibri" w:ascii="Calibri" w:hAnsi="Calibri"/>
                <w:sz w:val="24"/>
                <w:lang w:eastAsia="en-US"/>
              </w:rPr>
              <w:t>Em nutrição parenteral;</w:t>
            </w:r>
          </w:p>
          <w:p>
            <w:pPr>
              <w:pStyle w:val="ListParagraph"/>
              <w:widowControl w:val="false"/>
              <w:numPr>
                <w:ilvl w:val="0"/>
                <w:numId w:val="13"/>
              </w:numPr>
              <w:ind w:left="0" w:hanging="0"/>
              <w:rPr>
                <w:rFonts w:ascii="Calibri" w:hAnsi="Calibri" w:eastAsia="Calibri"/>
                <w:sz w:val="24"/>
                <w:lang w:eastAsia="en-US"/>
              </w:rPr>
            </w:pPr>
            <w:r>
              <w:rPr>
                <w:rFonts w:eastAsia="Calibri" w:ascii="Calibri" w:hAnsi="Calibri"/>
                <w:sz w:val="24"/>
                <w:lang w:eastAsia="en-US"/>
              </w:rPr>
              <w:t>Em uso de aminas vasoativas;</w:t>
            </w:r>
          </w:p>
          <w:p>
            <w:pPr>
              <w:pStyle w:val="ListParagraph"/>
              <w:widowControl w:val="false"/>
              <w:numPr>
                <w:ilvl w:val="0"/>
                <w:numId w:val="13"/>
              </w:numPr>
              <w:ind w:left="0" w:hanging="0"/>
              <w:rPr>
                <w:rFonts w:ascii="Calibri" w:hAnsi="Calibri" w:eastAsia="Calibri"/>
                <w:sz w:val="24"/>
                <w:lang w:eastAsia="en-US"/>
              </w:rPr>
            </w:pPr>
            <w:r>
              <w:rPr>
                <w:rFonts w:eastAsia="Calibri" w:ascii="Calibri" w:hAnsi="Calibri"/>
                <w:color w:val="000000"/>
                <w:sz w:val="24"/>
                <w:lang w:eastAsia="en-US"/>
              </w:rPr>
              <w:t>Cateterismo vesical.</w:t>
            </w:r>
          </w:p>
        </w:tc>
        <w:tc>
          <w:tcPr>
            <w:tcW w:w="284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160"/>
              <w:jc w:val="center"/>
              <w:rPr>
                <w:rFonts w:ascii="Calibri" w:hAnsi="Calibri" w:eastAsia="Calibri" w:cs="Calibri"/>
                <w:b/>
                <w:b/>
                <w:bCs/>
                <w:sz w:val="24"/>
                <w:lang w:eastAsia="en-US"/>
              </w:rPr>
            </w:pPr>
            <w:r>
              <w:rPr>
                <w:rFonts w:eastAsia="Calibri" w:cs="Calibri" w:ascii="Calibri" w:hAnsi="Calibri"/>
                <w:b/>
                <w:bCs/>
                <w:sz w:val="24"/>
                <w:lang w:eastAsia="en-US"/>
              </w:rPr>
              <w:t>R$ 5.077,17</w:t>
            </w:r>
          </w:p>
        </w:tc>
      </w:tr>
      <w:tr>
        <w:trPr/>
        <w:tc>
          <w:tcPr>
            <w:tcW w:w="2500" w:type="dxa"/>
            <w:tcBorders>
              <w:left w:val="single" w:sz="2" w:space="0" w:color="000000"/>
              <w:bottom w:val="single" w:sz="2" w:space="0" w:color="000000"/>
            </w:tcBorders>
          </w:tcPr>
          <w:p>
            <w:pPr>
              <w:pStyle w:val="Normal"/>
              <w:widowControl w:val="false"/>
              <w:rPr>
                <w:rFonts w:ascii="Calibri" w:hAnsi="Calibri" w:eastAsia="Calibri"/>
                <w:b/>
                <w:b/>
                <w:bCs/>
                <w:sz w:val="24"/>
                <w:lang w:eastAsia="en-US"/>
              </w:rPr>
            </w:pPr>
            <w:r>
              <w:rPr>
                <w:rFonts w:eastAsia="Calibri" w:ascii="Calibri" w:hAnsi="Calibri"/>
                <w:b/>
                <w:bCs/>
                <w:sz w:val="24"/>
                <w:lang w:eastAsia="en-US"/>
              </w:rPr>
            </w:r>
          </w:p>
          <w:p>
            <w:pPr>
              <w:pStyle w:val="Normal"/>
              <w:widowControl w:val="false"/>
              <w:rPr>
                <w:rFonts w:ascii="Calibri" w:hAnsi="Calibri" w:eastAsia="Calibri"/>
                <w:b/>
                <w:b/>
                <w:bCs/>
                <w:sz w:val="24"/>
                <w:lang w:eastAsia="en-US"/>
              </w:rPr>
            </w:pPr>
            <w:r>
              <w:rPr>
                <w:rFonts w:eastAsia="Calibri" w:ascii="Calibri" w:hAnsi="Calibri"/>
                <w:b/>
                <w:bCs/>
                <w:sz w:val="24"/>
                <w:lang w:eastAsia="en-US"/>
              </w:rPr>
              <w:t>UTI - NÍVEL III</w:t>
            </w:r>
          </w:p>
          <w:p>
            <w:pPr>
              <w:pStyle w:val="Normal"/>
              <w:widowControl w:val="false"/>
              <w:rPr>
                <w:rFonts w:ascii="Calibri" w:hAnsi="Calibri" w:eastAsia="Calibri"/>
                <w:b/>
                <w:b/>
                <w:bCs/>
                <w:sz w:val="24"/>
                <w:lang w:eastAsia="en-US"/>
              </w:rPr>
            </w:pPr>
            <w:r>
              <w:rPr>
                <w:rFonts w:eastAsia="Calibri" w:ascii="Calibri" w:hAnsi="Calibri"/>
                <w:b/>
                <w:bCs/>
                <w:sz w:val="24"/>
                <w:lang w:eastAsia="en-US"/>
              </w:rPr>
              <w:t>SUPORTE</w:t>
            </w:r>
          </w:p>
        </w:tc>
        <w:tc>
          <w:tcPr>
            <w:tcW w:w="4577" w:type="dxa"/>
            <w:tcBorders>
              <w:left w:val="single" w:sz="2" w:space="0" w:color="000000"/>
              <w:bottom w:val="single" w:sz="2" w:space="0" w:color="000000"/>
            </w:tcBorders>
          </w:tcPr>
          <w:p>
            <w:pPr>
              <w:pStyle w:val="ListParagraph"/>
              <w:widowControl w:val="false"/>
              <w:numPr>
                <w:ilvl w:val="0"/>
                <w:numId w:val="2"/>
              </w:numPr>
              <w:ind w:left="0" w:hanging="0"/>
              <w:rPr>
                <w:rFonts w:ascii="Calibri" w:hAnsi="Calibri" w:eastAsia="Calibri"/>
                <w:sz w:val="24"/>
                <w:lang w:eastAsia="en-US"/>
              </w:rPr>
            </w:pPr>
            <w:r>
              <w:rPr>
                <w:rFonts w:eastAsia="Calibri" w:ascii="Calibri" w:hAnsi="Calibri"/>
                <w:sz w:val="24"/>
                <w:lang w:eastAsia="en-US"/>
              </w:rPr>
              <w:t>Em nutrição enteral plena;</w:t>
            </w:r>
          </w:p>
          <w:p>
            <w:pPr>
              <w:pStyle w:val="ListParagraph"/>
              <w:widowControl w:val="false"/>
              <w:numPr>
                <w:ilvl w:val="0"/>
                <w:numId w:val="2"/>
              </w:numPr>
              <w:ind w:left="0" w:hanging="0"/>
              <w:rPr>
                <w:rFonts w:ascii="Calibri" w:hAnsi="Calibri" w:eastAsia="Calibri"/>
                <w:sz w:val="24"/>
                <w:lang w:eastAsia="en-US"/>
              </w:rPr>
            </w:pPr>
            <w:r>
              <w:rPr>
                <w:rFonts w:eastAsia="Calibri" w:ascii="Calibri" w:hAnsi="Calibri"/>
                <w:sz w:val="24"/>
                <w:lang w:eastAsia="en-US"/>
              </w:rPr>
              <w:t>Sem terapêutica intravenosa;</w:t>
            </w:r>
          </w:p>
          <w:p>
            <w:pPr>
              <w:pStyle w:val="ListParagraph"/>
              <w:widowControl w:val="false"/>
              <w:numPr>
                <w:ilvl w:val="0"/>
                <w:numId w:val="2"/>
              </w:numPr>
              <w:ind w:left="0" w:hanging="0"/>
              <w:rPr>
                <w:rFonts w:ascii="Calibri" w:hAnsi="Calibri" w:eastAsia="Calibri"/>
                <w:sz w:val="24"/>
                <w:lang w:eastAsia="en-US"/>
              </w:rPr>
            </w:pPr>
            <w:r>
              <w:rPr>
                <w:rFonts w:eastAsia="Calibri" w:ascii="Calibri" w:hAnsi="Calibri"/>
                <w:sz w:val="24"/>
                <w:lang w:eastAsia="en-US"/>
              </w:rPr>
              <w:t>Com ou sem fototerapia;</w:t>
            </w:r>
          </w:p>
          <w:p>
            <w:pPr>
              <w:pStyle w:val="ListParagraph"/>
              <w:widowControl w:val="false"/>
              <w:numPr>
                <w:ilvl w:val="0"/>
                <w:numId w:val="2"/>
              </w:numPr>
              <w:ind w:left="0" w:hanging="0"/>
              <w:rPr>
                <w:rFonts w:ascii="Calibri" w:hAnsi="Calibri" w:eastAsia="Calibri"/>
                <w:sz w:val="24"/>
                <w:lang w:eastAsia="en-US"/>
              </w:rPr>
            </w:pPr>
            <w:r>
              <w:rPr>
                <w:rFonts w:eastAsia="Calibri" w:ascii="Calibri" w:hAnsi="Calibri"/>
                <w:sz w:val="24"/>
                <w:lang w:eastAsia="en-US"/>
              </w:rPr>
              <w:t>Em ar ambiente ou oxigenioterapia inalatória até 3L/min;</w:t>
            </w:r>
          </w:p>
          <w:p>
            <w:pPr>
              <w:pStyle w:val="ListParagraph"/>
              <w:widowControl w:val="false"/>
              <w:numPr>
                <w:ilvl w:val="0"/>
                <w:numId w:val="2"/>
              </w:numPr>
              <w:ind w:left="0" w:hanging="0"/>
              <w:rPr>
                <w:rFonts w:ascii="Calibri" w:hAnsi="Calibri" w:eastAsia="Calibri"/>
                <w:sz w:val="24"/>
                <w:lang w:eastAsia="en-US"/>
              </w:rPr>
            </w:pPr>
            <w:r>
              <w:rPr>
                <w:rFonts w:eastAsia="Calibri" w:ascii="Calibri" w:hAnsi="Calibri"/>
                <w:sz w:val="24"/>
                <w:lang w:eastAsia="en-US"/>
              </w:rPr>
              <w:t>Com monitorização multiparamétrica;</w:t>
            </w:r>
          </w:p>
          <w:p>
            <w:pPr>
              <w:pStyle w:val="ListParagraph"/>
              <w:widowControl w:val="false"/>
              <w:numPr>
                <w:ilvl w:val="0"/>
                <w:numId w:val="2"/>
              </w:numPr>
              <w:ind w:left="0" w:hanging="0"/>
              <w:rPr>
                <w:rFonts w:ascii="Calibri" w:hAnsi="Calibri" w:eastAsia="Calibri"/>
                <w:sz w:val="24"/>
                <w:lang w:eastAsia="en-US"/>
              </w:rPr>
            </w:pPr>
            <w:r>
              <w:rPr>
                <w:rFonts w:eastAsia="Calibri" w:ascii="Calibri" w:hAnsi="Calibri"/>
                <w:sz w:val="24"/>
                <w:lang w:eastAsia="en-US"/>
              </w:rPr>
              <w:t>Em uso de medicação sistêmica;</w:t>
            </w:r>
          </w:p>
          <w:p>
            <w:pPr>
              <w:pStyle w:val="ListParagraph"/>
              <w:widowControl w:val="false"/>
              <w:numPr>
                <w:ilvl w:val="0"/>
                <w:numId w:val="2"/>
              </w:numPr>
              <w:ind w:left="0" w:hanging="0"/>
              <w:rPr>
                <w:rFonts w:ascii="Calibri" w:hAnsi="Calibri" w:eastAsia="Calibri"/>
                <w:sz w:val="24"/>
                <w:lang w:eastAsia="en-US"/>
              </w:rPr>
            </w:pPr>
            <w:r>
              <w:rPr>
                <w:rFonts w:eastAsia="Calibri" w:ascii="Calibri" w:hAnsi="Calibri"/>
                <w:sz w:val="24"/>
                <w:lang w:eastAsia="en-US"/>
              </w:rPr>
              <w:t>Em uso de nutrição enteral; e</w:t>
            </w:r>
          </w:p>
          <w:p>
            <w:pPr>
              <w:pStyle w:val="ListParagraph"/>
              <w:widowControl w:val="false"/>
              <w:numPr>
                <w:ilvl w:val="0"/>
                <w:numId w:val="2"/>
              </w:numPr>
              <w:ind w:left="0" w:hanging="0"/>
              <w:rPr>
                <w:rFonts w:ascii="Calibri" w:hAnsi="Calibri" w:eastAsia="Calibri"/>
                <w:sz w:val="24"/>
                <w:lang w:eastAsia="en-US"/>
              </w:rPr>
            </w:pPr>
            <w:r>
              <w:rPr>
                <w:rFonts w:eastAsia="Calibri" w:ascii="Calibri" w:hAnsi="Calibri"/>
                <w:color w:val="000000"/>
                <w:sz w:val="24"/>
                <w:lang w:eastAsia="en-US"/>
              </w:rPr>
              <w:t>Cateterismo vesica.</w:t>
            </w:r>
          </w:p>
        </w:tc>
        <w:tc>
          <w:tcPr>
            <w:tcW w:w="2844" w:type="dxa"/>
            <w:tcBorders>
              <w:left w:val="single" w:sz="2" w:space="0" w:color="000000"/>
              <w:bottom w:val="single" w:sz="2" w:space="0" w:color="000000"/>
              <w:right w:val="single" w:sz="2" w:space="0" w:color="000000"/>
            </w:tcBorders>
            <w:vAlign w:val="center"/>
          </w:tcPr>
          <w:p>
            <w:pPr>
              <w:pStyle w:val="Normal"/>
              <w:widowControl w:val="false"/>
              <w:spacing w:before="0" w:after="160"/>
              <w:jc w:val="center"/>
              <w:rPr>
                <w:rFonts w:ascii="Calibri" w:hAnsi="Calibri" w:eastAsia="Calibri" w:cs="Calibri"/>
                <w:b/>
                <w:b/>
                <w:bCs/>
                <w:sz w:val="24"/>
                <w:lang w:eastAsia="en-US"/>
              </w:rPr>
            </w:pPr>
            <w:r>
              <w:rPr>
                <w:rFonts w:eastAsia="Calibri" w:cs="Calibri" w:ascii="Calibri" w:hAnsi="Calibri"/>
                <w:b/>
                <w:bCs/>
                <w:sz w:val="24"/>
                <w:lang w:eastAsia="en-US"/>
              </w:rPr>
              <w:t>R$ 3.500,00</w:t>
            </w:r>
          </w:p>
        </w:tc>
      </w:tr>
      <w:tr>
        <w:trPr/>
        <w:tc>
          <w:tcPr>
            <w:tcW w:w="2500" w:type="dxa"/>
            <w:tcBorders>
              <w:left w:val="single" w:sz="2" w:space="0" w:color="000000"/>
              <w:bottom w:val="single" w:sz="2" w:space="0" w:color="000000"/>
            </w:tcBorders>
          </w:tcPr>
          <w:p>
            <w:pPr>
              <w:pStyle w:val="Normal"/>
              <w:widowControl w:val="false"/>
              <w:rPr>
                <w:rFonts w:ascii="Calibri" w:hAnsi="Calibri" w:eastAsia="Calibri"/>
                <w:b/>
                <w:b/>
                <w:bCs/>
                <w:sz w:val="24"/>
                <w:lang w:eastAsia="en-US"/>
              </w:rPr>
            </w:pPr>
            <w:r>
              <w:rPr>
                <w:rFonts w:eastAsia="Calibri" w:ascii="Calibri" w:hAnsi="Calibri"/>
                <w:b/>
                <w:bCs/>
                <w:sz w:val="24"/>
                <w:lang w:eastAsia="en-US"/>
              </w:rPr>
            </w:r>
          </w:p>
          <w:p>
            <w:pPr>
              <w:pStyle w:val="Normal"/>
              <w:widowControl w:val="false"/>
              <w:rPr>
                <w:rFonts w:ascii="Calibri" w:hAnsi="Calibri" w:eastAsia="Calibri"/>
                <w:b/>
                <w:b/>
                <w:bCs/>
                <w:sz w:val="24"/>
                <w:lang w:eastAsia="en-US"/>
              </w:rPr>
            </w:pPr>
            <w:r>
              <w:rPr>
                <w:rFonts w:eastAsia="Calibri" w:ascii="Calibri" w:hAnsi="Calibri"/>
                <w:b/>
                <w:bCs/>
                <w:sz w:val="24"/>
                <w:lang w:eastAsia="en-US"/>
              </w:rPr>
              <w:t>INTERNAÇÃO EM APARTAMENTO</w:t>
            </w:r>
          </w:p>
        </w:tc>
        <w:tc>
          <w:tcPr>
            <w:tcW w:w="4577" w:type="dxa"/>
            <w:tcBorders>
              <w:left w:val="single" w:sz="2" w:space="0" w:color="000000"/>
              <w:bottom w:val="single" w:sz="2" w:space="0" w:color="000000"/>
            </w:tcBorders>
          </w:tcPr>
          <w:p>
            <w:pPr>
              <w:pStyle w:val="ListParagraph"/>
              <w:widowControl w:val="false"/>
              <w:numPr>
                <w:ilvl w:val="0"/>
                <w:numId w:val="14"/>
              </w:numPr>
              <w:ind w:left="57" w:hanging="0"/>
              <w:rPr/>
            </w:pPr>
            <w:r>
              <w:rPr>
                <w:rFonts w:eastAsia="Calibri" w:cs="Calibri" w:ascii="Calibri" w:hAnsi="Calibri"/>
                <w:sz w:val="24"/>
                <w:lang w:eastAsia="en-US"/>
              </w:rPr>
              <w:t>Pacientes Neopediátricos com necessidade de internação por doença primária cardíaca ou secundária a complicações por outros agravos ou secundária a complicações pós cirúrgicas ou pós cateterismo; e</w:t>
            </w:r>
          </w:p>
          <w:p>
            <w:pPr>
              <w:pStyle w:val="ListParagraph"/>
              <w:widowControl w:val="false"/>
              <w:numPr>
                <w:ilvl w:val="0"/>
                <w:numId w:val="14"/>
              </w:numPr>
              <w:ind w:left="57" w:hanging="0"/>
              <w:rPr/>
            </w:pPr>
            <w:r>
              <w:rPr>
                <w:rFonts w:eastAsia="Calibri" w:cs="Calibri" w:ascii="Calibri" w:hAnsi="Calibri"/>
                <w:sz w:val="24"/>
                <w:lang w:eastAsia="en-US"/>
              </w:rPr>
              <w:t>Pacientes Neopediátricos com necessidade de assistência hospitalar por internação.</w:t>
            </w:r>
          </w:p>
        </w:tc>
        <w:tc>
          <w:tcPr>
            <w:tcW w:w="2844" w:type="dxa"/>
            <w:tcBorders>
              <w:left w:val="single" w:sz="2" w:space="0" w:color="000000"/>
              <w:bottom w:val="single" w:sz="2" w:space="0" w:color="000000"/>
              <w:right w:val="single" w:sz="2" w:space="0" w:color="000000"/>
            </w:tcBorders>
            <w:vAlign w:val="center"/>
          </w:tcPr>
          <w:p>
            <w:pPr>
              <w:pStyle w:val="Corpodotexto"/>
              <w:widowControl w:val="false"/>
              <w:spacing w:before="0" w:after="140"/>
              <w:jc w:val="center"/>
              <w:rPr>
                <w:rFonts w:ascii="Calibri" w:hAnsi="Calibri"/>
                <w:sz w:val="24"/>
              </w:rPr>
            </w:pPr>
            <w:r>
              <w:rPr>
                <w:rFonts w:eastAsia="Calibri" w:cs="Calibri" w:ascii="Calibri" w:hAnsi="Calibri"/>
                <w:b/>
                <w:bCs/>
                <w:color w:val="000000"/>
                <w:sz w:val="24"/>
                <w:lang w:eastAsia="en-US"/>
              </w:rPr>
              <w:t xml:space="preserve">R$ </w:t>
            </w:r>
            <w:r>
              <w:rPr>
                <w:rFonts w:ascii="Calibri" w:hAnsi="Calibri"/>
                <w:b/>
                <w:color w:val="000000"/>
                <w:sz w:val="24"/>
              </w:rPr>
              <w:t>1.712,15</w:t>
            </w:r>
          </w:p>
        </w:tc>
      </w:tr>
    </w:tbl>
    <w:p>
      <w:pPr>
        <w:pStyle w:val="Normal"/>
        <w:tabs>
          <w:tab w:val="clear" w:pos="720"/>
          <w:tab w:val="left" w:pos="851" w:leader="none"/>
        </w:tabs>
        <w:spacing w:lineRule="auto" w:line="276"/>
        <w:ind w:hanging="0"/>
        <w:jc w:val="both"/>
        <w:rPr/>
      </w:pPr>
      <w:r>
        <w:rPr>
          <w:rFonts w:cs="Calibri" w:ascii="Calibri" w:hAnsi="Calibri"/>
          <w:b/>
          <w:sz w:val="24"/>
          <w:szCs w:val="24"/>
        </w:rPr>
        <w:t xml:space="preserve">Tabela 3 - </w:t>
      </w:r>
      <w:r>
        <w:rPr>
          <w:rStyle w:val="Nfaseforte"/>
          <w:rFonts w:eastAsia="Calibri" w:cs="Calibri" w:ascii="Calibri" w:hAnsi="Calibri"/>
          <w:b w:val="false"/>
          <w:bCs w:val="false"/>
          <w:color w:val="000000"/>
          <w:sz w:val="24"/>
          <w:szCs w:val="24"/>
          <w:shd w:fill="auto" w:val="clear"/>
          <w:lang w:eastAsia="en-US"/>
        </w:rPr>
        <w:t xml:space="preserve"> Os valores contemplam todos os</w:t>
      </w:r>
      <w:r>
        <w:rPr>
          <w:rStyle w:val="Nfaseforte"/>
          <w:rFonts w:eastAsia="Calibri" w:cs="Calibri" w:ascii="Calibri" w:hAnsi="Calibri"/>
          <w:b/>
          <w:bCs/>
          <w:color w:val="000000"/>
          <w:sz w:val="24"/>
          <w:szCs w:val="24"/>
          <w:shd w:fill="auto" w:val="clear"/>
          <w:lang w:eastAsia="en-US"/>
        </w:rPr>
        <w:t xml:space="preserve"> custos, </w:t>
      </w:r>
      <w:r>
        <w:rPr>
          <w:rStyle w:val="Nfaseforte"/>
          <w:rFonts w:eastAsia="Calibri" w:cs="Calibri" w:ascii="Calibri" w:hAnsi="Calibri"/>
          <w:b/>
          <w:bCs/>
          <w:color w:val="0066FF"/>
          <w:sz w:val="24"/>
          <w:szCs w:val="24"/>
          <w:shd w:fill="auto" w:val="clear"/>
          <w:lang w:eastAsia="en-US"/>
        </w:rPr>
        <w:t xml:space="preserve">conforme </w:t>
      </w:r>
      <w:r>
        <w:rPr>
          <w:rStyle w:val="Nfaseforte"/>
          <w:rFonts w:eastAsia="Calibri" w:cs="Calibri" w:ascii="Calibri" w:hAnsi="Calibri"/>
          <w:b/>
          <w:bCs/>
          <w:color w:val="0066FF"/>
          <w:sz w:val="24"/>
          <w:szCs w:val="24"/>
          <w:shd w:fill="auto" w:val="clear"/>
          <w:lang w:eastAsia="en-US"/>
        </w:rPr>
        <w:t>previsto na descrição.</w:t>
      </w:r>
    </w:p>
    <w:p>
      <w:pPr>
        <w:pStyle w:val="Normal"/>
        <w:tabs>
          <w:tab w:val="clear" w:pos="720"/>
          <w:tab w:val="left" w:pos="851" w:leader="none"/>
        </w:tabs>
        <w:spacing w:lineRule="auto" w:line="276"/>
        <w:ind w:left="709" w:hanging="0"/>
        <w:jc w:val="both"/>
        <w:rPr>
          <w:rFonts w:ascii="Calibri" w:hAnsi="Calibri"/>
          <w:sz w:val="22"/>
          <w:szCs w:val="22"/>
        </w:rPr>
      </w:pPr>
      <w:r>
        <w:rPr>
          <w:rFonts w:ascii="Calibri" w:hAnsi="Calibri"/>
          <w:sz w:val="22"/>
          <w:szCs w:val="22"/>
        </w:rPr>
      </w:r>
    </w:p>
    <w:p>
      <w:pPr>
        <w:pStyle w:val="Normal"/>
        <w:tabs>
          <w:tab w:val="clear" w:pos="720"/>
          <w:tab w:val="left" w:pos="0" w:leader="none"/>
        </w:tabs>
        <w:spacing w:lineRule="auto" w:line="276"/>
        <w:ind w:firstLine="709"/>
        <w:jc w:val="both"/>
        <w:rPr>
          <w:rFonts w:ascii="Calibri" w:hAnsi="Calibri" w:cs="Calibri"/>
          <w:b/>
          <w:b/>
          <w:sz w:val="24"/>
        </w:rPr>
      </w:pPr>
      <w:r>
        <w:rPr>
          <w:rStyle w:val="Fontepargpadro1"/>
          <w:rFonts w:cs="Calibri" w:ascii="Calibri" w:hAnsi="Calibri"/>
          <w:b/>
          <w:sz w:val="24"/>
        </w:rPr>
        <w:t>5.4.2</w:t>
        <w:tab/>
        <w:t xml:space="preserve"> Na Tabela 3, dos Serviços de assistência listado no “Critério de Inclusão do Paciente”, CONTEMPLAM-SE ainda conforme o nível de gravidade:</w:t>
      </w:r>
    </w:p>
    <w:p>
      <w:pPr>
        <w:pStyle w:val="ListParagraph"/>
        <w:tabs>
          <w:tab w:val="clear" w:pos="720"/>
          <w:tab w:val="left" w:pos="450" w:leader="none"/>
        </w:tabs>
        <w:spacing w:lineRule="auto" w:line="276"/>
        <w:ind w:left="850" w:hanging="0"/>
        <w:jc w:val="both"/>
        <w:rPr>
          <w:rFonts w:ascii="Calibri" w:hAnsi="Calibri"/>
          <w:sz w:val="24"/>
        </w:rPr>
      </w:pPr>
      <w:r>
        <w:rPr>
          <w:rFonts w:cs="Calibri" w:ascii="Calibri" w:hAnsi="Calibri"/>
          <w:sz w:val="24"/>
        </w:rPr>
        <w:t>a)</w:t>
        <w:tab/>
        <w:t>diárias e hotelaria, inclusive do acompanhante quando necessária por exigência legal;</w:t>
      </w:r>
    </w:p>
    <w:p>
      <w:pPr>
        <w:pStyle w:val="ListParagraph"/>
        <w:tabs>
          <w:tab w:val="clear" w:pos="720"/>
          <w:tab w:val="left" w:pos="450" w:leader="none"/>
        </w:tabs>
        <w:spacing w:lineRule="auto" w:line="276"/>
        <w:ind w:left="850" w:hanging="0"/>
        <w:jc w:val="both"/>
        <w:rPr/>
      </w:pPr>
      <w:r>
        <w:rPr>
          <w:rFonts w:cs="Calibri" w:ascii="Calibri" w:hAnsi="Calibri"/>
          <w:sz w:val="24"/>
        </w:rPr>
        <w:t>b)</w:t>
        <w:tab/>
        <w:t>honorários dos intensivistas, rotina e plantonista (conforme o caso);</w:t>
      </w:r>
    </w:p>
    <w:p>
      <w:pPr>
        <w:pStyle w:val="ListParagraph"/>
        <w:tabs>
          <w:tab w:val="clear" w:pos="720"/>
          <w:tab w:val="left" w:pos="450" w:leader="none"/>
        </w:tabs>
        <w:spacing w:lineRule="auto" w:line="276"/>
        <w:ind w:left="850" w:hanging="0"/>
        <w:jc w:val="both"/>
        <w:rPr/>
      </w:pPr>
      <w:r>
        <w:rPr>
          <w:rFonts w:cs="Calibri" w:ascii="Calibri" w:hAnsi="Calibri"/>
          <w:sz w:val="24"/>
        </w:rPr>
        <w:t>c)</w:t>
        <w:tab/>
        <w:t>cuidados de enfermagem; Fisioterapia, Fonoaudiologia, Psicologia;</w:t>
      </w:r>
    </w:p>
    <w:p>
      <w:pPr>
        <w:pStyle w:val="ListParagraph"/>
        <w:tabs>
          <w:tab w:val="clear" w:pos="720"/>
          <w:tab w:val="left" w:pos="450" w:leader="none"/>
        </w:tabs>
        <w:spacing w:lineRule="auto" w:line="276"/>
        <w:ind w:left="850" w:hanging="0"/>
        <w:jc w:val="both"/>
        <w:rPr/>
      </w:pPr>
      <w:r>
        <w:rPr>
          <w:rFonts w:cs="Calibri" w:ascii="Calibri" w:hAnsi="Calibri"/>
          <w:sz w:val="24"/>
        </w:rPr>
        <w:t>d)</w:t>
        <w:tab/>
        <w:t>avaliação diária de nutrição enteral e parenteral, dieta do paciente (conforme o caso);</w:t>
      </w:r>
    </w:p>
    <w:p>
      <w:pPr>
        <w:pStyle w:val="ListParagraph"/>
        <w:tabs>
          <w:tab w:val="clear" w:pos="720"/>
          <w:tab w:val="left" w:pos="450" w:leader="none"/>
        </w:tabs>
        <w:spacing w:lineRule="auto" w:line="276"/>
        <w:ind w:left="850" w:hanging="0"/>
        <w:jc w:val="both"/>
        <w:rPr/>
      </w:pPr>
      <w:r>
        <w:rPr>
          <w:rFonts w:cs="Calibri" w:ascii="Calibri" w:hAnsi="Calibri"/>
          <w:sz w:val="24"/>
        </w:rPr>
        <w:t>e)</w:t>
        <w:tab/>
        <w:t>equipamento de proteção individual;</w:t>
      </w:r>
    </w:p>
    <w:p>
      <w:pPr>
        <w:pStyle w:val="ListParagraph"/>
        <w:tabs>
          <w:tab w:val="clear" w:pos="720"/>
          <w:tab w:val="left" w:pos="450" w:leader="none"/>
        </w:tabs>
        <w:spacing w:lineRule="auto" w:line="276"/>
        <w:ind w:left="850" w:hanging="0"/>
        <w:jc w:val="both"/>
        <w:rPr/>
      </w:pPr>
      <w:r>
        <w:rPr>
          <w:rFonts w:cs="Calibri" w:ascii="Calibri" w:hAnsi="Calibri"/>
          <w:sz w:val="24"/>
        </w:rPr>
        <w:t>f)</w:t>
        <w:tab/>
        <w:t>serviços auxiliares diagnósticos (com valor unitário até R$300,00);</w:t>
      </w:r>
    </w:p>
    <w:p>
      <w:pPr>
        <w:pStyle w:val="ListParagraph"/>
        <w:tabs>
          <w:tab w:val="clear" w:pos="720"/>
          <w:tab w:val="left" w:pos="450" w:leader="none"/>
        </w:tabs>
        <w:spacing w:lineRule="auto" w:line="276"/>
        <w:ind w:left="850" w:hanging="0"/>
        <w:jc w:val="both"/>
        <w:rPr/>
      </w:pPr>
      <w:r>
        <w:rPr>
          <w:rFonts w:cs="Calibri" w:ascii="Calibri" w:hAnsi="Calibri"/>
          <w:sz w:val="24"/>
        </w:rPr>
        <w:t>g)</w:t>
        <w:tab/>
        <w:t>materiais descartáveis (com valor até de R$500,00);</w:t>
      </w:r>
    </w:p>
    <w:p>
      <w:pPr>
        <w:pStyle w:val="ListParagraph"/>
        <w:tabs>
          <w:tab w:val="clear" w:pos="720"/>
          <w:tab w:val="left" w:pos="450" w:leader="none"/>
        </w:tabs>
        <w:spacing w:lineRule="auto" w:line="276"/>
        <w:ind w:left="850" w:hanging="0"/>
        <w:jc w:val="both"/>
        <w:rPr/>
      </w:pPr>
      <w:r>
        <w:rPr>
          <w:rFonts w:cs="Calibri" w:ascii="Calibri" w:hAnsi="Calibri"/>
          <w:sz w:val="24"/>
        </w:rPr>
        <w:t>h)</w:t>
        <w:tab/>
        <w:t>medicamentos, Gases Medicinais e demais itens afins ao Nível I e II;</w:t>
      </w:r>
    </w:p>
    <w:p>
      <w:pPr>
        <w:pStyle w:val="ListParagraph"/>
        <w:tabs>
          <w:tab w:val="clear" w:pos="720"/>
          <w:tab w:val="left" w:pos="450" w:leader="none"/>
        </w:tabs>
        <w:spacing w:lineRule="auto" w:line="276"/>
        <w:ind w:left="850" w:hanging="0"/>
        <w:jc w:val="both"/>
        <w:rPr>
          <w:rFonts w:ascii="Calibri" w:hAnsi="Calibri" w:cs="Calibri"/>
          <w:b/>
          <w:b/>
          <w:sz w:val="24"/>
        </w:rPr>
      </w:pPr>
      <w:r>
        <w:rPr>
          <w:rStyle w:val="Fontepargpadro1"/>
          <w:rFonts w:cs="Calibri" w:ascii="Calibri" w:hAnsi="Calibri"/>
          <w:sz w:val="24"/>
        </w:rPr>
        <w:t>i)</w:t>
        <w:tab/>
        <w:t>taxas e aluguéis.</w:t>
      </w:r>
    </w:p>
    <w:p>
      <w:pPr>
        <w:pStyle w:val="Normal"/>
        <w:tabs>
          <w:tab w:val="clear" w:pos="720"/>
          <w:tab w:val="left" w:pos="0" w:leader="none"/>
        </w:tabs>
        <w:spacing w:lineRule="auto" w:line="276"/>
        <w:ind w:firstLine="709"/>
        <w:jc w:val="both"/>
        <w:rPr>
          <w:rStyle w:val="Fontepargpadro1"/>
          <w:rFonts w:ascii="Calibri" w:hAnsi="Calibri"/>
        </w:rPr>
      </w:pPr>
      <w:r>
        <w:rPr>
          <w:rFonts w:ascii="Calibri" w:hAnsi="Calibri"/>
        </w:rPr>
      </w:r>
    </w:p>
    <w:p>
      <w:pPr>
        <w:pStyle w:val="Normal"/>
        <w:widowControl w:val="false"/>
        <w:tabs>
          <w:tab w:val="clear" w:pos="720"/>
          <w:tab w:val="left" w:pos="851" w:leader="none"/>
        </w:tabs>
        <w:spacing w:lineRule="auto" w:line="276"/>
        <w:ind w:firstLine="709"/>
        <w:jc w:val="both"/>
        <w:rPr>
          <w:rFonts w:ascii="Calibri" w:hAnsi="Calibri" w:cs="Calibri"/>
          <w:b/>
          <w:b/>
          <w:sz w:val="24"/>
        </w:rPr>
      </w:pPr>
      <w:r>
        <w:rPr>
          <w:rStyle w:val="Fontepargpadro1"/>
          <w:rFonts w:cs="Calibri" w:ascii="Calibri" w:hAnsi="Calibri"/>
          <w:b/>
          <w:sz w:val="24"/>
        </w:rPr>
        <w:t>5.4.3</w:t>
        <w:tab/>
        <w:t xml:space="preserve">Para os Serviços listados na Tabela 3, aos quais “NÃO CONTEMPLAM” no valor do pacote, previsão de acordo com os serviços elencados no subitem </w:t>
      </w:r>
      <w:r>
        <w:drawing>
          <wp:anchor behindDoc="1" distT="0" distB="0" distL="0" distR="0" simplePos="0" locked="0" layoutInCell="0" allowOverlap="1" relativeHeight="9">
            <wp:simplePos x="0" y="0"/>
            <wp:positionH relativeFrom="page">
              <wp:posOffset>6134100</wp:posOffset>
            </wp:positionH>
            <wp:positionV relativeFrom="page">
              <wp:posOffset>109855</wp:posOffset>
            </wp:positionV>
            <wp:extent cx="1080135" cy="1080135"/>
            <wp:effectExtent l="0" t="0" r="0" b="0"/>
            <wp:wrapNone/>
            <wp:docPr id="8" name="Figura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8" descr=""/>
                    <pic:cNvPicPr>
                      <a:picLocks noChangeAspect="1" noChangeArrowheads="1"/>
                    </pic:cNvPicPr>
                  </pic:nvPicPr>
                  <pic:blipFill>
                    <a:blip r:embed="rId13"/>
                    <a:stretch>
                      <a:fillRect/>
                    </a:stretch>
                  </pic:blipFill>
                  <pic:spPr bwMode="auto">
                    <a:xfrm>
                      <a:off x="0" y="0"/>
                      <a:ext cx="1080135" cy="1080135"/>
                    </a:xfrm>
                    <a:prstGeom prst="rect">
                      <a:avLst/>
                    </a:prstGeom>
                  </pic:spPr>
                </pic:pic>
              </a:graphicData>
            </a:graphic>
          </wp:anchor>
        </w:drawing>
      </w:r>
      <w:r>
        <w:rPr>
          <w:rStyle w:val="Fontepargpadro1"/>
          <w:rFonts w:cs="Calibri" w:ascii="Calibri" w:hAnsi="Calibri" w:asciiTheme="minorHAnsi" w:cstheme="minorHAnsi" w:hAnsiTheme="minorHAnsi"/>
          <w:b/>
          <w:sz w:val="24"/>
        </w:rPr>
        <w:t>5.4.2 (de “a” a “h”), deverão ser cobrados da seguinte maneira:</w:t>
      </w:r>
    </w:p>
    <w:p>
      <w:pPr>
        <w:pStyle w:val="Normal"/>
        <w:widowControl w:val="false"/>
        <w:tabs>
          <w:tab w:val="clear" w:pos="720"/>
          <w:tab w:val="left" w:pos="851" w:leader="none"/>
        </w:tabs>
        <w:spacing w:lineRule="auto" w:line="276"/>
        <w:ind w:firstLine="709"/>
        <w:jc w:val="both"/>
        <w:rPr>
          <w:rFonts w:ascii="Calibri" w:hAnsi="Calibri" w:cs="Calibri"/>
          <w:b/>
          <w:b/>
          <w:sz w:val="24"/>
        </w:rPr>
      </w:pPr>
      <w:r>
        <w:rPr>
          <w:rStyle w:val="Fontepargpadro1"/>
          <w:rFonts w:cs="Calibri" w:ascii="Calibri" w:hAnsi="Calibri" w:asciiTheme="minorHAnsi" w:cstheme="minorHAnsi" w:hAnsiTheme="minorHAnsi"/>
          <w:b/>
          <w:sz w:val="24"/>
        </w:rPr>
        <w:tab/>
        <w:t>5.4.3.1</w:t>
        <w:tab/>
        <w:t>Considerar as excepcionalidades e seguir a dinâmica e regras de cobrança de acordo com o previsto no subitem 5.3.6 (de “b” a “h”).</w:t>
        <w:tab/>
      </w:r>
    </w:p>
    <w:p>
      <w:pPr>
        <w:pStyle w:val="Normal"/>
        <w:tabs>
          <w:tab w:val="clear" w:pos="720"/>
          <w:tab w:val="left" w:pos="0" w:leader="none"/>
        </w:tabs>
        <w:spacing w:lineRule="auto" w:line="276"/>
        <w:ind w:firstLine="709"/>
        <w:jc w:val="both"/>
        <w:rPr>
          <w:rFonts w:ascii="Calibri" w:hAnsi="Calibri" w:cs="Calibri"/>
          <w:b/>
          <w:b/>
          <w:sz w:val="24"/>
        </w:rPr>
      </w:pPr>
      <w:r>
        <w:rPr>
          <w:rStyle w:val="Fontepargpadro1"/>
          <w:rFonts w:cs="Calibri" w:ascii="Calibri" w:hAnsi="Calibri"/>
          <w:b/>
          <w:sz w:val="24"/>
        </w:rPr>
        <w:t>5.4.2</w:t>
        <w:tab/>
        <w:t>Em todos os casos para os itens listados na Tabela 3, de Serviço médico-hospitalar de caráter complementar ao atendimento assistencial prestados aos usuários do SSM, pacientes NeoPediatricos, serão encaminhados ou transferidos para a OSE pela Clínica de Pediatria do HNMD.</w:t>
      </w:r>
    </w:p>
    <w:p>
      <w:pPr>
        <w:pStyle w:val="ListParagraph"/>
        <w:numPr>
          <w:ilvl w:val="1"/>
          <w:numId w:val="5"/>
        </w:numPr>
        <w:tabs>
          <w:tab w:val="clear" w:pos="720"/>
          <w:tab w:val="left" w:pos="851" w:leader="none"/>
        </w:tabs>
        <w:spacing w:lineRule="auto" w:line="276"/>
        <w:ind w:left="0" w:firstLine="709"/>
        <w:jc w:val="both"/>
        <w:rPr/>
      </w:pPr>
      <w:r>
        <w:rPr>
          <w:rStyle w:val="Fontepargpadro1"/>
          <w:rFonts w:cs="Calibri" w:ascii="Calibri" w:hAnsi="Calibri"/>
          <w:b/>
          <w:bCs/>
          <w:sz w:val="24"/>
        </w:rPr>
        <w:t>Cada OSE poderá encaminhar documentos para credenciamento para os itens aos quais lhes interessarem, todavia devem comprovar habilitação e qualificação técnica, conforme sua atividade e exigências normativas, cabendo análise e aprovação pela Comissão de Credenciamento.</w:t>
      </w:r>
    </w:p>
    <w:p>
      <w:pPr>
        <w:pStyle w:val="ListParagraph"/>
        <w:numPr>
          <w:ilvl w:val="1"/>
          <w:numId w:val="5"/>
        </w:numPr>
        <w:tabs>
          <w:tab w:val="clear" w:pos="720"/>
          <w:tab w:val="left" w:pos="851" w:leader="none"/>
        </w:tabs>
        <w:spacing w:lineRule="auto" w:line="276"/>
        <w:ind w:left="0" w:firstLine="709"/>
        <w:jc w:val="both"/>
        <w:rPr/>
      </w:pPr>
      <w:r>
        <w:rPr>
          <w:rStyle w:val="Fontepargpadro1"/>
          <w:rFonts w:cs="Calibri" w:ascii="Calibri" w:hAnsi="Calibri"/>
          <w:b/>
          <w:bCs/>
          <w:sz w:val="24"/>
        </w:rPr>
        <w:t>Para todos os serviços já estão previstos todos os custos, com a expressão “CONTEMPLAM” de: materiais, medicamentos e equipamentos, bem como, os custos operacionais, exceto para os serviços aos quais estão identificados como “</w:t>
      </w:r>
      <w:r>
        <w:rPr>
          <w:rFonts w:cs="Calibri" w:ascii="Calibri" w:hAnsi="Calibri"/>
          <w:b/>
          <w:sz w:val="24"/>
        </w:rPr>
        <w:t>NÃO CONTEMPLAM”.</w:t>
      </w:r>
    </w:p>
    <w:p>
      <w:pPr>
        <w:pStyle w:val="ListParagraph"/>
        <w:numPr>
          <w:ilvl w:val="1"/>
          <w:numId w:val="5"/>
        </w:numPr>
        <w:tabs>
          <w:tab w:val="clear" w:pos="720"/>
          <w:tab w:val="left" w:pos="851" w:leader="none"/>
        </w:tabs>
        <w:spacing w:lineRule="auto" w:line="276"/>
        <w:ind w:left="0" w:firstLine="709"/>
        <w:jc w:val="both"/>
        <w:rPr/>
      </w:pPr>
      <w:r>
        <w:rPr>
          <w:rFonts w:cs="Calibri" w:ascii="Calibri" w:hAnsi="Calibri"/>
          <w:b/>
          <w:sz w:val="24"/>
        </w:rPr>
        <w:t>Os serviços de Cirurgia Cardiovascular e procedimentos de Hemodinâmica estão valorados separadamente</w:t>
      </w:r>
      <w:r>
        <w:rPr>
          <w:rFonts w:cs="Calibri" w:ascii="Calibri" w:hAnsi="Calibri"/>
          <w:sz w:val="24"/>
        </w:rPr>
        <w:t>, assim cada serviço deverá ser cobrado conforme execução do procedimento e materiais necessários e obrigatórios para sua realização. sob risco de glosa no pagamento, quando houver irregularidades nas cobranças.</w:t>
      </w:r>
    </w:p>
    <w:p>
      <w:pPr>
        <w:pStyle w:val="ListParagraph"/>
        <w:numPr>
          <w:ilvl w:val="1"/>
          <w:numId w:val="5"/>
        </w:numPr>
        <w:tabs>
          <w:tab w:val="clear" w:pos="720"/>
          <w:tab w:val="left" w:pos="851" w:leader="none"/>
        </w:tabs>
        <w:spacing w:lineRule="auto" w:line="276"/>
        <w:ind w:left="0" w:firstLine="709"/>
        <w:jc w:val="both"/>
        <w:rPr/>
      </w:pPr>
      <w:r>
        <w:rPr>
          <w:rFonts w:cs="Calibri" w:ascii="Calibri" w:hAnsi="Calibri"/>
          <w:sz w:val="24"/>
        </w:rPr>
        <w:t xml:space="preserve">Para os procedimentos com uso de material, aos quais sejam necessários utilização da </w:t>
      </w:r>
      <w:r>
        <w:rPr>
          <w:rFonts w:cs="Calibri" w:ascii="Calibri" w:hAnsi="Calibri"/>
          <w:b/>
          <w:sz w:val="24"/>
        </w:rPr>
        <w:t>segunda unidade</w:t>
      </w:r>
      <w:r>
        <w:rPr>
          <w:rFonts w:cs="Calibri" w:ascii="Calibri" w:hAnsi="Calibri"/>
          <w:sz w:val="24"/>
        </w:rPr>
        <w:t xml:space="preserve"> do mesmo material para a conclusão do procedimento ou para correto atendimento do paciente, a segunda unidade deverá ser cobrada conforme regras previstas:</w:t>
      </w:r>
    </w:p>
    <w:p>
      <w:pPr>
        <w:pStyle w:val="ListParagraph"/>
        <w:tabs>
          <w:tab w:val="clear" w:pos="720"/>
          <w:tab w:val="left" w:pos="851" w:leader="none"/>
        </w:tabs>
        <w:spacing w:lineRule="auto" w:line="276"/>
        <w:ind w:left="0" w:firstLine="709"/>
        <w:jc w:val="both"/>
        <w:rPr/>
      </w:pPr>
      <w:r>
        <w:rPr>
          <w:rFonts w:cs="Calibri" w:ascii="Calibri" w:hAnsi="Calibri"/>
          <w:sz w:val="24"/>
        </w:rPr>
        <w:tab/>
        <w:t>5.8.1</w:t>
        <w:tab/>
        <w:t>Em qualquer caso de incidência de excedentes de material previstos nos pacotes, haverá exigência de relatório médico descrevendo as intercorrências para eventual necessidade.</w:t>
      </w:r>
    </w:p>
    <w:p>
      <w:pPr>
        <w:pStyle w:val="ListParagraph"/>
        <w:numPr>
          <w:ilvl w:val="1"/>
          <w:numId w:val="5"/>
        </w:numPr>
        <w:tabs>
          <w:tab w:val="clear" w:pos="720"/>
          <w:tab w:val="left" w:pos="851" w:leader="none"/>
        </w:tabs>
        <w:spacing w:lineRule="auto" w:line="276"/>
        <w:ind w:left="0" w:firstLine="709"/>
        <w:jc w:val="both"/>
        <w:rPr/>
      </w:pPr>
      <w:r>
        <w:rPr>
          <w:rFonts w:cs="Calibri" w:ascii="Calibri" w:hAnsi="Calibri"/>
          <w:sz w:val="24"/>
        </w:rPr>
        <w:t xml:space="preserve">TODAS OS MATERIAIS MÉDICOS, CIRÚRGICOS ESPECIAIS E MEDICAMENTOS deverão constar na fatura emitida com dados de identificação, de maneira que permitam a </w:t>
      </w:r>
      <w:r>
        <w:rPr>
          <w:rFonts w:cs="Calibri" w:ascii="Calibri" w:hAnsi="Calibri"/>
          <w:b/>
          <w:sz w:val="24"/>
        </w:rPr>
        <w:t>rastreabilidade</w:t>
      </w:r>
      <w:r>
        <w:rPr>
          <w:rFonts w:cs="Calibri" w:ascii="Calibri" w:hAnsi="Calibri"/>
          <w:sz w:val="24"/>
        </w:rPr>
        <w:t xml:space="preserve"> do material (fabricante, nº do lote, validade), bem como demais informações do paciente elencada em tópico específico do Edital e anexos, sob risco de glosa, caso o Fiscal e/ou Divisão de Auditoria do HNMD identifique cobrança abusiva.</w:t>
      </w:r>
    </w:p>
    <w:p>
      <w:pPr>
        <w:pStyle w:val="ListParagraph"/>
        <w:numPr>
          <w:ilvl w:val="1"/>
          <w:numId w:val="5"/>
        </w:numPr>
        <w:tabs>
          <w:tab w:val="clear" w:pos="720"/>
          <w:tab w:val="left" w:pos="851" w:leader="none"/>
        </w:tabs>
        <w:spacing w:lineRule="auto" w:line="276"/>
        <w:ind w:left="0" w:firstLine="709"/>
        <w:jc w:val="both"/>
        <w:rPr/>
      </w:pPr>
      <w:r>
        <w:rPr>
          <w:rFonts w:cs="Calibri" w:ascii="Calibri" w:hAnsi="Calibri"/>
          <w:b/>
          <w:sz w:val="24"/>
        </w:rPr>
        <w:t xml:space="preserve">Da fatura, deverão constar como anexos: </w:t>
      </w:r>
    </w:p>
    <w:p>
      <w:pPr>
        <w:pStyle w:val="ListParagraph"/>
        <w:numPr>
          <w:ilvl w:val="3"/>
          <w:numId w:val="2"/>
        </w:numPr>
        <w:tabs>
          <w:tab w:val="clear" w:pos="720"/>
          <w:tab w:val="left" w:pos="0" w:leader="none"/>
        </w:tabs>
        <w:spacing w:lineRule="auto" w:line="276"/>
        <w:ind w:left="1418" w:hanging="356"/>
        <w:jc w:val="both"/>
        <w:rPr/>
      </w:pPr>
      <w:r>
        <w:rPr>
          <w:rFonts w:cs="Calibri" w:ascii="Calibri" w:hAnsi="Calibri"/>
          <w:b/>
          <w:sz w:val="24"/>
        </w:rPr>
        <w:t>a relação com a identificação nominal dos pacientes e suas respectivas assinaturas confirmando os exames realizados;</w:t>
      </w:r>
    </w:p>
    <w:p>
      <w:pPr>
        <w:pStyle w:val="ListParagraph"/>
        <w:numPr>
          <w:ilvl w:val="3"/>
          <w:numId w:val="2"/>
        </w:numPr>
        <w:tabs>
          <w:tab w:val="clear" w:pos="720"/>
          <w:tab w:val="left" w:pos="0" w:leader="none"/>
        </w:tabs>
        <w:spacing w:lineRule="auto" w:line="276"/>
        <w:ind w:left="1418" w:hanging="356"/>
        <w:jc w:val="both"/>
        <w:rPr/>
      </w:pPr>
      <w:r>
        <w:rPr>
          <w:rFonts w:cs="Calibri" w:ascii="Calibri" w:hAnsi="Calibri"/>
          <w:b/>
          <w:sz w:val="24"/>
        </w:rPr>
        <w:t xml:space="preserve"> </w:t>
      </w:r>
      <w:r>
        <w:rPr>
          <w:rFonts w:cs="Calibri" w:ascii="Calibri" w:hAnsi="Calibri"/>
          <w:b/>
          <w:sz w:val="24"/>
        </w:rPr>
        <w:t>as respectivas GAU;</w:t>
      </w:r>
    </w:p>
    <w:p>
      <w:pPr>
        <w:pStyle w:val="ListParagraph"/>
        <w:numPr>
          <w:ilvl w:val="3"/>
          <w:numId w:val="2"/>
        </w:numPr>
        <w:tabs>
          <w:tab w:val="clear" w:pos="720"/>
          <w:tab w:val="left" w:pos="0" w:leader="none"/>
        </w:tabs>
        <w:spacing w:lineRule="auto" w:line="276"/>
        <w:ind w:left="1418" w:hanging="356"/>
        <w:jc w:val="both"/>
        <w:rPr/>
      </w:pPr>
      <w:r>
        <w:rPr>
          <w:rFonts w:cs="Calibri" w:ascii="Calibri" w:hAnsi="Calibri"/>
          <w:b/>
          <w:sz w:val="24"/>
        </w:rPr>
        <w:t>o Número de Identificação Pessoal (NIP) e Data de Nascimento;</w:t>
      </w:r>
    </w:p>
    <w:p>
      <w:pPr>
        <w:pStyle w:val="ListParagraph"/>
        <w:numPr>
          <w:ilvl w:val="3"/>
          <w:numId w:val="2"/>
        </w:numPr>
        <w:tabs>
          <w:tab w:val="clear" w:pos="720"/>
          <w:tab w:val="left" w:pos="0" w:leader="none"/>
        </w:tabs>
        <w:spacing w:lineRule="auto" w:line="276"/>
        <w:ind w:left="1418" w:hanging="356"/>
        <w:jc w:val="both"/>
        <w:rPr/>
      </w:pPr>
      <w:r>
        <w:rPr>
          <w:rFonts w:cs="Calibri" w:ascii="Calibri" w:hAnsi="Calibri"/>
          <w:b/>
          <w:sz w:val="24"/>
        </w:rPr>
        <w:t xml:space="preserve"> </w:t>
      </w:r>
      <w:r>
        <w:rPr>
          <w:rFonts w:cs="Calibri" w:ascii="Calibri" w:hAnsi="Calibri"/>
          <w:b/>
          <w:sz w:val="24"/>
        </w:rPr>
        <w:t>Data do exame e o laudo médico a fim de uma adequada fiscalização pelos Fiscais do Contrato, e condições de auditorias, já previstas na GAU.</w:t>
      </w:r>
    </w:p>
    <w:p>
      <w:pPr>
        <w:pStyle w:val="ListParagraph"/>
        <w:tabs>
          <w:tab w:val="clear" w:pos="720"/>
          <w:tab w:val="left" w:pos="851" w:leader="none"/>
        </w:tabs>
        <w:spacing w:lineRule="auto" w:line="276"/>
        <w:ind w:left="1142" w:hanging="0"/>
        <w:jc w:val="both"/>
        <w:rPr>
          <w:rFonts w:ascii="Calibri" w:hAnsi="Calibri" w:cs="Calibri"/>
          <w:b/>
          <w:b/>
          <w:sz w:val="24"/>
        </w:rPr>
      </w:pPr>
      <w:r>
        <w:rPr>
          <w:rFonts w:cs="Calibri" w:ascii="Calibri" w:hAnsi="Calibri"/>
          <w:b/>
          <w:sz w:val="24"/>
        </w:rPr>
      </w:r>
    </w:p>
    <w:p>
      <w:pPr>
        <w:pStyle w:val="ListParagraph"/>
        <w:tabs>
          <w:tab w:val="clear" w:pos="720"/>
          <w:tab w:val="left" w:pos="851" w:leader="none"/>
        </w:tabs>
        <w:spacing w:lineRule="auto" w:line="276"/>
        <w:ind w:left="0" w:hanging="0"/>
        <w:jc w:val="both"/>
        <w:rPr>
          <w:b/>
          <w:b/>
          <w:bCs/>
          <w:sz w:val="24"/>
        </w:rPr>
      </w:pPr>
      <w:r>
        <w:rPr>
          <w:rFonts w:ascii="Calibri" w:hAnsi="Calibri"/>
          <w:b/>
          <w:bCs/>
          <w:sz w:val="24"/>
        </w:rPr>
        <w:t>Rotinas a serem cumpridas</w:t>
      </w:r>
    </w:p>
    <w:p>
      <w:pPr>
        <w:pStyle w:val="ListParagraph"/>
        <w:numPr>
          <w:ilvl w:val="1"/>
          <w:numId w:val="2"/>
        </w:numPr>
        <w:tabs>
          <w:tab w:val="clear" w:pos="720"/>
          <w:tab w:val="left" w:pos="851" w:leader="none"/>
        </w:tabs>
        <w:spacing w:lineRule="auto" w:line="276"/>
        <w:ind w:left="0" w:firstLine="709"/>
        <w:jc w:val="both"/>
        <w:rPr/>
      </w:pPr>
      <w:r>
        <w:rPr>
          <w:rFonts w:cs="Calibri" w:ascii="Calibri" w:hAnsi="Calibri"/>
          <w:b/>
          <w:iCs/>
          <w:sz w:val="24"/>
        </w:rPr>
        <w:t>A execução do objeto seguirá a seguinte dinâmica em Regras Especificas:</w:t>
      </w:r>
    </w:p>
    <w:p>
      <w:pPr>
        <w:pStyle w:val="ListParagraph"/>
        <w:tabs>
          <w:tab w:val="clear" w:pos="720"/>
          <w:tab w:val="left" w:pos="851" w:leader="none"/>
        </w:tabs>
        <w:spacing w:lineRule="auto" w:line="276"/>
        <w:ind w:left="0" w:firstLine="709"/>
        <w:jc w:val="both"/>
        <w:rPr/>
      </w:pPr>
      <w:r>
        <w:rPr>
          <w:rFonts w:cs="Calibri" w:ascii="Calibri" w:hAnsi="Calibri"/>
          <w:color w:val="000000"/>
          <w:sz w:val="24"/>
        </w:rPr>
        <w:t>5.11.1</w:t>
        <w:tab/>
        <w:t>A execução se dará em hospital próprio da OSE credenciada. Em caso de pacientes ambulatoriais, o mesmo será, após atendimento no ambulatório de Cardiologia Pediátrica do Hospital Naval Marcílio Dias, encaminhado para avaliação pré operatória em local próprio da OSE credenciada, onde será avaliado com ecocardiograma e eletrocardiograma e fará exames pré-operatórios (exames laboratoriais e radiografia de tórax). Os resultados dos referidos exames deverão ser avaliados por Cirurgião Cardíaco Pediátrico da OSE para fins de ratificação da proposta cirúrgica inicial.</w:t>
      </w:r>
    </w:p>
    <w:p>
      <w:pPr>
        <w:pStyle w:val="ListParagraph"/>
        <w:tabs>
          <w:tab w:val="clear" w:pos="720"/>
          <w:tab w:val="left" w:pos="851" w:leader="none"/>
        </w:tabs>
        <w:spacing w:lineRule="auto" w:line="276"/>
        <w:ind w:left="0" w:firstLine="709"/>
        <w:jc w:val="both"/>
        <w:rPr/>
      </w:pPr>
      <w:r>
        <w:rPr>
          <w:rFonts w:cs="Calibri" w:ascii="Calibri" w:hAnsi="Calibri"/>
          <w:color w:val="000000"/>
          <w:sz w:val="24"/>
        </w:rPr>
        <w:t>5.11.2</w:t>
        <w:tab/>
        <w:t>No caso de pacientes encaminhados para procedimentos de hemodinâmica, os exames pré-operatórios deverão ser encaminhados para avaliação pelo profissional especializado em hemodinâmica da OSE para fins de ratificar o procedimento proposto.</w:t>
      </w:r>
    </w:p>
    <w:p>
      <w:pPr>
        <w:pStyle w:val="ListParagraph"/>
        <w:tabs>
          <w:tab w:val="clear" w:pos="720"/>
          <w:tab w:val="left" w:pos="851" w:leader="none"/>
        </w:tabs>
        <w:spacing w:lineRule="auto" w:line="276"/>
        <w:ind w:left="0" w:firstLine="709"/>
        <w:jc w:val="both"/>
        <w:rPr/>
      </w:pPr>
      <w:r>
        <w:rPr>
          <w:rFonts w:cs="Calibri" w:ascii="Calibri" w:hAnsi="Calibri"/>
          <w:color w:val="000000"/>
          <w:sz w:val="24"/>
        </w:rPr>
        <w:t>5.11.3</w:t>
        <w:tab/>
        <w:t>O procedimento cirúrgico e/ou de hemodinâmica será agendado pela OSE credenciada e esta deverá participar imediatamente ao fiscal deste contrato ou seu substituto.</w:t>
      </w:r>
    </w:p>
    <w:p>
      <w:pPr>
        <w:pStyle w:val="ListParagraph"/>
        <w:tabs>
          <w:tab w:val="clear" w:pos="720"/>
          <w:tab w:val="left" w:pos="851" w:leader="none"/>
        </w:tabs>
        <w:spacing w:lineRule="auto" w:line="276"/>
        <w:ind w:left="0" w:firstLine="709"/>
        <w:jc w:val="both"/>
        <w:rPr/>
      </w:pPr>
      <w:r>
        <w:rPr>
          <w:rFonts w:cs="Calibri" w:ascii="Calibri" w:hAnsi="Calibri"/>
          <w:color w:val="000000"/>
          <w:sz w:val="24"/>
        </w:rPr>
        <w:t>5.11.4</w:t>
        <w:tab/>
        <w:t>Antes da cirurgia e/ou procedimento de hemodinâmica, o responsável legal pelo paciente deverá comparecer ao Hospital Naval Marcílio Dias portando identidade e cópia do documento de identificação do militar responsável pelo paciente assim como original e cópia da identidade e/ou certidão de nascimento do paciente pediátrico e original e cópia do documento de identificação do responsável legal do paciente caso seja diferente do militar responsável. Estes documentos serão entregues ao Fiscal de Contrato ou seu substituto que emitirá a GAU (Guia de Autorização de Usuário) em 02 (duas vias), devidamente assinadas pelo Fiscal do contrato ou seu substituto e pelo responsável pelo paciente. Uma via será arquivada pelo Fiscal do contrato ou seu substituto juntamente com os documentos de identificação do paciente, do militar responsável e do responsável legal caso seja diferente do militar responsável pelo paciente.</w:t>
      </w:r>
    </w:p>
    <w:p>
      <w:pPr>
        <w:pStyle w:val="ListParagraph"/>
        <w:tabs>
          <w:tab w:val="clear" w:pos="720"/>
          <w:tab w:val="left" w:pos="851" w:leader="none"/>
        </w:tabs>
        <w:spacing w:lineRule="auto" w:line="276"/>
        <w:ind w:left="0" w:firstLine="709"/>
        <w:jc w:val="both"/>
        <w:rPr/>
      </w:pPr>
      <w:r>
        <w:rPr>
          <w:rFonts w:cs="Calibri" w:ascii="Calibri" w:hAnsi="Calibri"/>
          <w:color w:val="000000"/>
          <w:sz w:val="24"/>
        </w:rPr>
        <w:t>5.11.5</w:t>
        <w:tab/>
        <w:t>No momento da internação, a primeira via da GAU será entregue pelo responsável legal do paciente na OSE credenciada. Durante a internação do referido paciente, quaisquer esclarecimentos burocráticos deverão ser solicitados ao Fiscal de Contrato ou seu substituto. Em casos de emergências clínicas, o contato deverá ser feito diretamente para plantão da Clínica de Pediatria do Hospital Naval Marcílio Dias e para ao Fiscal de Contrato ou seu substituto.</w:t>
      </w:r>
    </w:p>
    <w:p>
      <w:pPr>
        <w:pStyle w:val="ListParagraph"/>
        <w:tabs>
          <w:tab w:val="clear" w:pos="720"/>
          <w:tab w:val="left" w:pos="851" w:leader="none"/>
        </w:tabs>
        <w:spacing w:lineRule="auto" w:line="276"/>
        <w:ind w:left="0" w:firstLine="709"/>
        <w:jc w:val="both"/>
        <w:rPr>
          <w:b/>
          <w:b/>
          <w:bCs/>
        </w:rPr>
      </w:pPr>
      <w:r>
        <w:rPr>
          <w:rFonts w:cs="Calibri" w:ascii="Calibri" w:hAnsi="Calibri"/>
          <w:b/>
          <w:bCs/>
          <w:color w:val="000000"/>
          <w:sz w:val="24"/>
        </w:rPr>
        <w:t>5.11.6</w:t>
        <w:tab/>
        <w:t>No momento da alta, o Fiscal de contrato deverá ser comunicado imediatamente.</w:t>
      </w:r>
    </w:p>
    <w:p>
      <w:pPr>
        <w:pStyle w:val="ListParagraph"/>
        <w:tabs>
          <w:tab w:val="clear" w:pos="720"/>
          <w:tab w:val="left" w:pos="851" w:leader="none"/>
        </w:tabs>
        <w:spacing w:lineRule="auto" w:line="276"/>
        <w:ind w:left="0" w:firstLine="709"/>
        <w:jc w:val="both"/>
        <w:rPr/>
      </w:pPr>
      <w:r>
        <w:rPr>
          <w:rFonts w:cs="Calibri" w:ascii="Calibri" w:hAnsi="Calibri"/>
          <w:color w:val="000000"/>
          <w:sz w:val="24"/>
        </w:rPr>
        <w:t>5.11.7</w:t>
        <w:tab/>
        <w:t>A OSE credenciada também será responsável pelo acompanhamento ambulatorial do paciente no pós-operatório imediato. Devendo realizar consulta ambulatorial pós-alta hospitalar para retirada de fios de sutura, avaliação clínica, ecocardiográfica e eletrocardiográfica. o acompanhamento deverá ser restrito em até 03 (três) consultas, com ecocardiograma e eletrocardiograma.</w:t>
      </w:r>
    </w:p>
    <w:p>
      <w:pPr>
        <w:pStyle w:val="ListParagraph"/>
        <w:tabs>
          <w:tab w:val="clear" w:pos="720"/>
          <w:tab w:val="left" w:pos="851" w:leader="none"/>
        </w:tabs>
        <w:spacing w:lineRule="auto" w:line="276"/>
        <w:ind w:left="0" w:firstLine="709"/>
        <w:jc w:val="both"/>
        <w:rPr/>
      </w:pPr>
      <w:r>
        <w:rPr>
          <w:rFonts w:cs="Calibri" w:ascii="Calibri" w:hAnsi="Calibri"/>
          <w:color w:val="000000"/>
          <w:sz w:val="24"/>
        </w:rPr>
        <w:tab/>
        <w:tab/>
        <w:t>5.11.7.1</w:t>
        <w:tab/>
        <w:t>Caso seja necessário um número maior de consultas, o Fiscal do Contrato ou seu substituto deverá ser comunicado, via e-mail, com relatório detalhado do tratamento pós-operatório e justificativa da necessidade de consultas.</w:t>
      </w:r>
    </w:p>
    <w:p>
      <w:pPr>
        <w:pStyle w:val="ListParagraph"/>
        <w:tabs>
          <w:tab w:val="clear" w:pos="720"/>
          <w:tab w:val="left" w:pos="851" w:leader="none"/>
        </w:tabs>
        <w:spacing w:lineRule="auto" w:line="276"/>
        <w:ind w:left="0" w:firstLine="709"/>
        <w:jc w:val="both"/>
        <w:rPr>
          <w:rFonts w:ascii="Calibri" w:hAnsi="Calibri" w:cs="Calibri"/>
          <w:sz w:val="24"/>
        </w:rPr>
      </w:pPr>
      <w:r>
        <w:rPr>
          <w:rFonts w:cs="Calibri" w:ascii="Calibri" w:hAnsi="Calibri"/>
          <w:color w:val="000000"/>
          <w:sz w:val="24"/>
        </w:rPr>
        <w:t>5.11.8</w:t>
        <w:tab/>
        <w:t>Todos os pacientes em assistência deverão ter o prazo mínimo de 30 (trinta) dias no retorno para acompanhamento, apenas assim deverá haver cobranças subsequentes de consultas ou visitas de acompanhamentos.</w:t>
      </w:r>
    </w:p>
    <w:p>
      <w:pPr>
        <w:pStyle w:val="ListParagraph"/>
        <w:tabs>
          <w:tab w:val="clear" w:pos="720"/>
          <w:tab w:val="left" w:pos="851" w:leader="none"/>
        </w:tabs>
        <w:spacing w:lineRule="auto" w:line="276"/>
        <w:ind w:left="0" w:firstLine="709"/>
        <w:jc w:val="both"/>
        <w:rPr>
          <w:rFonts w:ascii="Calibri" w:hAnsi="Calibri" w:cs="Calibri"/>
          <w:sz w:val="24"/>
        </w:rPr>
      </w:pPr>
      <w:r>
        <w:rPr>
          <w:rFonts w:cs="Calibri" w:ascii="Calibri" w:hAnsi="Calibri"/>
          <w:color w:val="000000"/>
          <w:sz w:val="24"/>
        </w:rPr>
        <w:t>5.11.9</w:t>
        <w:tab/>
      </w:r>
      <w:r>
        <w:rPr>
          <w:rFonts w:cs="Calibri" w:ascii="Calibri" w:hAnsi="Calibri"/>
          <w:bCs/>
          <w:sz w:val="24"/>
        </w:rPr>
        <w:t>Após estas reavaliações, a OSE credenciada deverá fazer contato telefônico e por e-mail com o Fiscal do referido contrato para encaminhar o paciente para o ambulatório de Car</w:t>
      </w:r>
      <w:r>
        <w:drawing>
          <wp:anchor behindDoc="1" distT="0" distB="0" distL="0" distR="0" simplePos="0" locked="0" layoutInCell="0" allowOverlap="1" relativeHeight="10">
            <wp:simplePos x="0" y="0"/>
            <wp:positionH relativeFrom="page">
              <wp:posOffset>6134100</wp:posOffset>
            </wp:positionH>
            <wp:positionV relativeFrom="page">
              <wp:posOffset>109855</wp:posOffset>
            </wp:positionV>
            <wp:extent cx="1080135" cy="1080135"/>
            <wp:effectExtent l="0" t="0" r="0" b="0"/>
            <wp:wrapNone/>
            <wp:docPr id="9" name="Figura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9" descr=""/>
                    <pic:cNvPicPr>
                      <a:picLocks noChangeAspect="1" noChangeArrowheads="1"/>
                    </pic:cNvPicPr>
                  </pic:nvPicPr>
                  <pic:blipFill>
                    <a:blip r:embed="rId14"/>
                    <a:stretch>
                      <a:fillRect/>
                    </a:stretch>
                  </pic:blipFill>
                  <pic:spPr bwMode="auto">
                    <a:xfrm>
                      <a:off x="0" y="0"/>
                      <a:ext cx="1080135" cy="1080135"/>
                    </a:xfrm>
                    <a:prstGeom prst="rect">
                      <a:avLst/>
                    </a:prstGeom>
                  </pic:spPr>
                </pic:pic>
              </a:graphicData>
            </a:graphic>
          </wp:anchor>
        </w:drawing>
      </w:r>
      <w:r>
        <w:rPr>
          <w:rFonts w:cs="Calibri" w:ascii="Calibri" w:hAnsi="Calibri"/>
          <w:bCs/>
          <w:sz w:val="24"/>
        </w:rPr>
        <w:t xml:space="preserve">diologia Pediátrica do Hospital Naval Marcílio Dias. </w:t>
      </w:r>
    </w:p>
    <w:p>
      <w:pPr>
        <w:pStyle w:val="ListParagraph"/>
        <w:tabs>
          <w:tab w:val="clear" w:pos="720"/>
          <w:tab w:val="left" w:pos="851" w:leader="none"/>
        </w:tabs>
        <w:spacing w:lineRule="auto" w:line="276"/>
        <w:ind w:left="0" w:firstLine="709"/>
        <w:jc w:val="both"/>
        <w:rPr>
          <w:rFonts w:ascii="Calibri" w:hAnsi="Calibri" w:cs="Calibri"/>
          <w:sz w:val="24"/>
        </w:rPr>
      </w:pPr>
      <w:r>
        <w:rPr>
          <w:rFonts w:cs="Calibri" w:ascii="Calibri" w:hAnsi="Calibri"/>
          <w:color w:val="000000"/>
          <w:sz w:val="24"/>
        </w:rPr>
        <w:t>5.11.10</w:t>
        <w:tab/>
        <w:tab/>
        <w:t xml:space="preserve">Em caso de transferência de paciente internado no Hospital Naval Marcílio Dias para OSE credenciada para realização de cirurgia cardíaca e/ou procedimento de hemodinâmica em paciente internado, será feita a solicitação de vaga através de contato médico telefônico e por e-mail. </w:t>
      </w:r>
    </w:p>
    <w:p>
      <w:pPr>
        <w:pStyle w:val="Normal"/>
        <w:tabs>
          <w:tab w:val="clear" w:pos="720"/>
          <w:tab w:val="left" w:pos="851" w:leader="none"/>
        </w:tabs>
        <w:spacing w:lineRule="auto" w:line="276" w:before="120" w:after="120"/>
        <w:jc w:val="both"/>
        <w:rPr>
          <w:rFonts w:ascii="Calibri" w:hAnsi="Calibri" w:cs="Calibri"/>
          <w:sz w:val="24"/>
        </w:rPr>
      </w:pPr>
      <w:r>
        <w:rPr>
          <w:rFonts w:cs="Calibri" w:ascii="Calibri" w:hAnsi="Calibri"/>
          <w:b/>
          <w:bCs/>
          <w:color w:val="000000"/>
          <w:sz w:val="24"/>
        </w:rPr>
        <w:tab/>
      </w:r>
      <w:r>
        <w:rPr>
          <w:rFonts w:cs="Calibri" w:ascii="Calibri" w:hAnsi="Calibri"/>
          <w:color w:val="000000"/>
          <w:sz w:val="24"/>
        </w:rPr>
        <w:t>5.11.11</w:t>
        <w:tab/>
        <w:t>Neste e-mail constará relatório médico com história do paciente e quadro clínico atualizado.</w:t>
      </w:r>
    </w:p>
    <w:p>
      <w:pPr>
        <w:pStyle w:val="Normal"/>
        <w:tabs>
          <w:tab w:val="clear" w:pos="720"/>
          <w:tab w:val="left" w:pos="851" w:leader="none"/>
        </w:tabs>
        <w:spacing w:lineRule="auto" w:line="276" w:before="120" w:after="120"/>
        <w:jc w:val="both"/>
        <w:rPr>
          <w:rFonts w:ascii="Calibri" w:hAnsi="Calibri" w:cs="Calibri"/>
          <w:sz w:val="24"/>
        </w:rPr>
      </w:pPr>
      <w:r>
        <w:rPr>
          <w:rFonts w:cs="Calibri" w:ascii="Calibri" w:hAnsi="Calibri"/>
          <w:color w:val="000000"/>
          <w:sz w:val="24"/>
        </w:rPr>
        <w:tab/>
        <w:t>5.11.12</w:t>
        <w:tab/>
        <w:t xml:space="preserve">Após confirmação da vaga, o paciente será encaminhado para OSE credenciada para realização da cirurgia e/ou procedimento de hemodinâmica em ambulância própria. </w:t>
      </w:r>
    </w:p>
    <w:p>
      <w:pPr>
        <w:pStyle w:val="Normal"/>
        <w:tabs>
          <w:tab w:val="clear" w:pos="720"/>
          <w:tab w:val="left" w:pos="851" w:leader="none"/>
        </w:tabs>
        <w:spacing w:lineRule="auto" w:line="276" w:before="120" w:after="120"/>
        <w:jc w:val="both"/>
        <w:rPr>
          <w:rFonts w:ascii="Calibri" w:hAnsi="Calibri" w:cs="Calibri"/>
          <w:sz w:val="24"/>
        </w:rPr>
      </w:pPr>
      <w:r>
        <w:rPr>
          <w:rFonts w:cs="Calibri" w:ascii="Calibri" w:hAnsi="Calibri"/>
          <w:color w:val="000000"/>
          <w:sz w:val="24"/>
        </w:rPr>
        <w:tab/>
        <w:t>5.11.13</w:t>
        <w:tab/>
        <w:t xml:space="preserve">Antes da cirurgia, o responsável legal pelo paciente deverá comparecer ao Hospital Naval Marcílio Dias portando identidade e cópia do documento de identificação do militar responsável pelo paciente assim como original e cópia da identidade e/ou certidão de nascimento do paciente pediátrico e original e cópia do documento de identificação do responsável legal do paciente caso seja diferente do militar responsável. Estes documentos serão entregues ao Fiscal de contrato ou seu substituto que emitirá a GAU (Guia de Autorização de Usuário) em duas vias, devidamente assinadas pelo fiscal do contrato ou seu substituto e pelo responsável pelo paciente. </w:t>
        <w:tab/>
        <w:t>5.11.13</w:t>
        <w:tab/>
        <w:t xml:space="preserve">Uma via será arquivada pelo fiscal do contrato ou seu substituto juntamente. com os documentos de identificação do paciente, do militar responsável e do responsável legal caso seja diferente do militar responsável pelo paciente. No momento da internação, a primeira via da GAU será entregue na OSE credenciada pelo médico responsável pelo transporte do paciente. </w:t>
      </w:r>
    </w:p>
    <w:p>
      <w:pPr>
        <w:pStyle w:val="Normal"/>
        <w:tabs>
          <w:tab w:val="clear" w:pos="720"/>
          <w:tab w:val="left" w:pos="851" w:leader="none"/>
        </w:tabs>
        <w:spacing w:lineRule="auto" w:line="276" w:before="120" w:after="120"/>
        <w:jc w:val="both"/>
        <w:rPr>
          <w:rFonts w:ascii="Calibri" w:hAnsi="Calibri" w:cs="Calibri"/>
          <w:sz w:val="24"/>
        </w:rPr>
      </w:pPr>
      <w:r>
        <w:rPr>
          <w:rFonts w:cs="Calibri" w:ascii="Calibri" w:hAnsi="Calibri"/>
          <w:color w:val="000000"/>
          <w:sz w:val="24"/>
        </w:rPr>
        <w:tab/>
        <w:t>5.11.14</w:t>
        <w:tab/>
        <w:t xml:space="preserve">Durante a internação do referido paciente, quaisquer esclarecimentos burocráticos deverão ser solicitados ao Fiscal de contrato ou seu substituto. </w:t>
      </w:r>
    </w:p>
    <w:p>
      <w:pPr>
        <w:pStyle w:val="Normal"/>
        <w:tabs>
          <w:tab w:val="clear" w:pos="720"/>
          <w:tab w:val="left" w:pos="851" w:leader="none"/>
        </w:tabs>
        <w:spacing w:lineRule="auto" w:line="276" w:before="120" w:after="120"/>
        <w:jc w:val="both"/>
        <w:rPr>
          <w:rFonts w:ascii="Calibri" w:hAnsi="Calibri" w:cs="Calibri"/>
          <w:sz w:val="24"/>
        </w:rPr>
      </w:pPr>
      <w:r>
        <w:rPr>
          <w:rFonts w:cs="Calibri" w:ascii="Calibri" w:hAnsi="Calibri"/>
          <w:color w:val="000000"/>
          <w:sz w:val="24"/>
        </w:rPr>
        <w:tab/>
        <w:t>5.11.15</w:t>
        <w:tab/>
        <w:t xml:space="preserve">Em casos de emergências clínicas, o contato deverá ser feito diretamente para plantão da Clínica de Pediatria do Hospital Naval Marcílio Dias e para o Fiscal de contrato e seu substituto. </w:t>
      </w:r>
    </w:p>
    <w:p>
      <w:pPr>
        <w:pStyle w:val="Normal"/>
        <w:tabs>
          <w:tab w:val="clear" w:pos="720"/>
          <w:tab w:val="left" w:pos="851" w:leader="none"/>
        </w:tabs>
        <w:spacing w:lineRule="auto" w:line="276" w:before="120" w:after="120"/>
        <w:jc w:val="both"/>
        <w:rPr>
          <w:rFonts w:ascii="Calibri" w:hAnsi="Calibri" w:cs="Calibri"/>
          <w:color w:val="000000"/>
          <w:sz w:val="24"/>
        </w:rPr>
      </w:pPr>
      <w:r>
        <w:rPr>
          <w:rFonts w:cs="Calibri" w:ascii="Calibri" w:hAnsi="Calibri"/>
          <w:color w:val="000000"/>
          <w:sz w:val="24"/>
        </w:rPr>
        <w:tab/>
        <w:t>5.11.16</w:t>
        <w:tab/>
        <w:t>A OSE credenciada também será responsável pelo acompanhamento do paciente no pós-operatório imediato, devendo, além da assistência própria da internação, realizar retirada de fios de sutura e avaliação clínica, ecocardiográfica e eletrocardiográfica, o acompanhamento deverá ser restrito em até 03 (três) consultas, com ecocardiograma e eletrocardiograma.</w:t>
      </w:r>
    </w:p>
    <w:p>
      <w:pPr>
        <w:pStyle w:val="Normal"/>
        <w:tabs>
          <w:tab w:val="clear" w:pos="720"/>
          <w:tab w:val="left" w:pos="851" w:leader="none"/>
        </w:tabs>
        <w:spacing w:lineRule="auto" w:line="276" w:before="120" w:after="120"/>
        <w:jc w:val="both"/>
        <w:rPr>
          <w:rFonts w:ascii="Calibri" w:hAnsi="Calibri" w:cs="Calibri"/>
          <w:color w:val="000000"/>
          <w:sz w:val="24"/>
        </w:rPr>
      </w:pPr>
      <w:r>
        <w:rPr>
          <w:rFonts w:cs="Calibri" w:ascii="Calibri" w:hAnsi="Calibri"/>
          <w:color w:val="000000"/>
          <w:sz w:val="24"/>
        </w:rPr>
        <w:tab/>
        <w:tab/>
        <w:t>5.11.16.1</w:t>
        <w:tab/>
        <w:t>Caso seja necessário um número maior de consultas, o Fiscal do Contrato ou seu substituto deverá ser comunicado, via e-mail, com relatório detalhado do tratamento pós-operatório e justificativa da necessidade de consultas.</w:t>
      </w:r>
    </w:p>
    <w:p>
      <w:pPr>
        <w:pStyle w:val="Normal"/>
        <w:tabs>
          <w:tab w:val="clear" w:pos="720"/>
          <w:tab w:val="left" w:pos="851" w:leader="none"/>
        </w:tabs>
        <w:spacing w:lineRule="auto" w:line="276" w:before="120" w:after="120"/>
        <w:jc w:val="both"/>
        <w:rPr>
          <w:rFonts w:ascii="Calibri" w:hAnsi="Calibri" w:cs="Calibri"/>
          <w:sz w:val="24"/>
        </w:rPr>
      </w:pPr>
      <w:r>
        <w:rPr>
          <w:rFonts w:cs="Calibri" w:ascii="Calibri" w:hAnsi="Calibri"/>
          <w:color w:val="000000"/>
          <w:sz w:val="24"/>
        </w:rPr>
        <w:tab/>
        <w:t>5.11.17</w:t>
        <w:tab/>
        <w:t>Todos os pacientes em assistência deverão ter o prazo mínimo de 30 (trinta) dias no retorno para acompanhamento, apenas assim deverá haver cobranças subsequentes de consultas ou visitas de acompanhamentos.</w:t>
      </w:r>
    </w:p>
    <w:p>
      <w:pPr>
        <w:pStyle w:val="Normal"/>
        <w:tabs>
          <w:tab w:val="clear" w:pos="720"/>
          <w:tab w:val="left" w:pos="851" w:leader="none"/>
        </w:tabs>
        <w:spacing w:lineRule="auto" w:line="276" w:before="120" w:after="120"/>
        <w:jc w:val="both"/>
        <w:rPr>
          <w:rFonts w:ascii="Calibri" w:hAnsi="Calibri" w:cs="Calibri"/>
          <w:sz w:val="24"/>
        </w:rPr>
      </w:pPr>
      <w:r>
        <w:rPr>
          <w:rFonts w:cs="Calibri" w:ascii="Calibri" w:hAnsi="Calibri"/>
          <w:color w:val="000000"/>
          <w:sz w:val="24"/>
        </w:rPr>
        <w:tab/>
      </w:r>
      <w:r>
        <w:rPr>
          <w:rFonts w:cs="Calibri" w:ascii="Calibri" w:hAnsi="Calibri"/>
          <w:sz w:val="24"/>
        </w:rPr>
        <w:t>5.12</w:t>
        <w:tab/>
        <w:t xml:space="preserve">No momento da alta, o fiscal de contrato deverá ser comunicado imediatamente para fins de programação do retorno do paciente em ambulância própria para o Hospital Naval Marcílio Dias. </w:t>
      </w:r>
    </w:p>
    <w:p>
      <w:pPr>
        <w:pStyle w:val="Normal"/>
        <w:tabs>
          <w:tab w:val="clear" w:pos="720"/>
          <w:tab w:val="left" w:pos="851" w:leader="none"/>
        </w:tabs>
        <w:spacing w:lineRule="auto" w:line="276" w:before="120" w:after="120"/>
        <w:jc w:val="both"/>
        <w:rPr>
          <w:rFonts w:ascii="Calibri" w:hAnsi="Calibri" w:cs="Calibri"/>
          <w:sz w:val="24"/>
        </w:rPr>
      </w:pPr>
      <w:r>
        <w:rPr>
          <w:rFonts w:cs="Calibri" w:ascii="Calibri" w:hAnsi="Calibri"/>
          <w:sz w:val="24"/>
        </w:rPr>
        <w:tab/>
        <w:t>5.13</w:t>
        <w:tab/>
        <w:t xml:space="preserve">Em caso de internação clínica por agravos cardiológicos congênitos ou não em UTI e/ou Enfermaria, a internação em OSE credenciada será feita exclusivamente através de transferência inter-hospitalar do Hospital Naval Marcílio Dias por meio de ambulância própria para a unidade de internação (UTI ou enfermaria) da OSE credenciada. Para tanto será feito contato telefônico e por e-mail para o responsável médico da OSE credenciada solicitando a vaga de UTI ou enfermaria. Com a vaga confirmada, será emitida a GAU nos mesmos moldes da emissão para transferência inter-hospitalar por ocasião de realização de cirurgia cardíaca e/ou procedimento de hemodinâmica em pediatria. </w:t>
      </w:r>
    </w:p>
    <w:p>
      <w:pPr>
        <w:pStyle w:val="Normal"/>
        <w:tabs>
          <w:tab w:val="clear" w:pos="720"/>
          <w:tab w:val="left" w:pos="851" w:leader="none"/>
        </w:tabs>
        <w:spacing w:lineRule="auto" w:line="276" w:before="120" w:after="120"/>
        <w:jc w:val="both"/>
        <w:rPr>
          <w:rFonts w:ascii="Calibri" w:hAnsi="Calibri" w:cs="Calibri"/>
          <w:sz w:val="24"/>
        </w:rPr>
      </w:pPr>
      <w:r>
        <w:rPr>
          <w:rFonts w:cs="Calibri" w:ascii="Calibri" w:hAnsi="Calibri"/>
          <w:sz w:val="24"/>
        </w:rPr>
        <w:tab/>
        <w:t>5.14</w:t>
        <w:tab/>
        <w:t xml:space="preserve">No momento da alta, o fiscal de contrato deverá ser comunicado imediatamente para fins de programação do retorno do paciente em ambulância própria para o Hospital Naval Marcílio Dias. </w:t>
      </w:r>
    </w:p>
    <w:p>
      <w:pPr>
        <w:pStyle w:val="Normal"/>
        <w:tabs>
          <w:tab w:val="clear" w:pos="720"/>
          <w:tab w:val="left" w:pos="851" w:leader="none"/>
        </w:tabs>
        <w:spacing w:lineRule="auto" w:line="276" w:before="120" w:after="120"/>
        <w:jc w:val="both"/>
        <w:rPr>
          <w:rFonts w:ascii="Calibri" w:hAnsi="Calibri" w:cs="Calibri"/>
          <w:sz w:val="24"/>
        </w:rPr>
      </w:pPr>
      <w:r>
        <w:rPr>
          <w:rFonts w:cs="Calibri" w:ascii="Calibri" w:hAnsi="Calibri"/>
          <w:sz w:val="24"/>
        </w:rPr>
        <w:tab/>
        <w:t>5.15</w:t>
        <w:tab/>
        <w:t xml:space="preserve">Em todas as situações expostas, em caso da ocorrência de óbito do paciente durante a permanência do mesmo em OSE credenciada, o óbito deverá ser comunicado imediatamente para o Fiscal do referido contrato ou seu substituto. </w:t>
      </w:r>
    </w:p>
    <w:p>
      <w:pPr>
        <w:pStyle w:val="Normal"/>
        <w:tabs>
          <w:tab w:val="clear" w:pos="720"/>
          <w:tab w:val="left" w:pos="1313" w:leader="none"/>
          <w:tab w:val="left" w:pos="1369" w:leader="none"/>
        </w:tabs>
        <w:spacing w:lineRule="auto" w:line="276"/>
        <w:ind w:firstLine="709"/>
        <w:jc w:val="both"/>
        <w:rPr>
          <w:rFonts w:ascii="Calibri" w:hAnsi="Calibri" w:cs="Calibri"/>
          <w:sz w:val="24"/>
        </w:rPr>
      </w:pPr>
      <w:r>
        <w:rPr>
          <w:rFonts w:cs="Calibri" w:ascii="Calibri" w:hAnsi="Calibri"/>
          <w:sz w:val="24"/>
        </w:rPr>
      </w:r>
    </w:p>
    <w:p>
      <w:pPr>
        <w:pStyle w:val="ListParagraph"/>
        <w:keepNext w:val="true"/>
        <w:keepLines/>
        <w:numPr>
          <w:ilvl w:val="0"/>
          <w:numId w:val="0"/>
        </w:numPr>
        <w:spacing w:lineRule="auto" w:line="276"/>
        <w:ind w:left="0" w:hanging="0"/>
        <w:jc w:val="both"/>
        <w:outlineLvl w:val="0"/>
        <w:rPr>
          <w:rFonts w:ascii="Calibri" w:hAnsi="Calibri"/>
        </w:rPr>
      </w:pPr>
      <w:r>
        <w:rPr>
          <w:rFonts w:cs="Calibri" w:ascii="Calibri" w:hAnsi="Calibri"/>
          <w:b/>
          <w:sz w:val="24"/>
        </w:rPr>
        <w:tab/>
        <w:t>6.</w:t>
        <w:tab/>
        <w:t>MATERIAIS A SEREM DISPONIBILIZADOS</w:t>
      </w:r>
    </w:p>
    <w:p>
      <w:pPr>
        <w:pStyle w:val="Normal"/>
        <w:spacing w:lineRule="auto" w:line="276"/>
        <w:ind w:firstLine="709"/>
        <w:jc w:val="both"/>
        <w:rPr>
          <w:rFonts w:ascii="Calibri" w:hAnsi="Calibri"/>
        </w:rPr>
      </w:pPr>
      <w:r>
        <w:rPr>
          <w:rFonts w:cs="Calibri" w:ascii="Calibri" w:hAnsi="Calibri"/>
          <w:bCs/>
          <w:sz w:val="24"/>
        </w:rPr>
        <w:t>6.1</w:t>
        <w:tab/>
        <w:t>Para a perfeita execução dos serviços, a Contratada deverá disponibilizar os materiais, equipamentos, ferramentas e utensílios necessários, nas quantidades estimadas e qualidades a seguir estabelecidas, promovendo sua substituição quando necessário, conforme previsto no item 05 deste TR.</w:t>
      </w:r>
    </w:p>
    <w:p>
      <w:pPr>
        <w:pStyle w:val="Normal"/>
        <w:spacing w:lineRule="auto" w:line="276"/>
        <w:ind w:firstLine="709"/>
        <w:jc w:val="both"/>
        <w:rPr>
          <w:rFonts w:ascii="Calibri" w:hAnsi="Calibri"/>
        </w:rPr>
      </w:pPr>
      <w:r>
        <w:rPr>
          <w:rFonts w:ascii="Calibri" w:hAnsi="Calibri"/>
        </w:rPr>
      </w:r>
    </w:p>
    <w:p>
      <w:pPr>
        <w:pStyle w:val="Nvel01SemNumerao"/>
        <w:rPr/>
      </w:pPr>
      <w:r>
        <w:rPr/>
        <w:tab/>
        <w:t>7.</w:t>
        <w:tab/>
        <w:t>INFORMAÇÕES RELEVANTES PARA O DIMENSIONAMENTO DA PROPOSTA</w:t>
      </w:r>
    </w:p>
    <w:p>
      <w:pPr>
        <w:pStyle w:val="Normal"/>
        <w:spacing w:lineRule="auto" w:line="276"/>
        <w:ind w:firstLine="709"/>
        <w:jc w:val="both"/>
        <w:rPr>
          <w:rFonts w:ascii="Calibri" w:hAnsi="Calibri"/>
        </w:rPr>
      </w:pPr>
      <w:r>
        <w:rPr>
          <w:rFonts w:cs="Calibri" w:ascii="Calibri" w:hAnsi="Calibri"/>
          <w:sz w:val="24"/>
        </w:rPr>
        <w:t>7.1</w:t>
        <w:tab/>
        <w:t xml:space="preserve">Considerando que o atendimento aos beneficiários do SSM é uma demanda variável não sendo previsível em termos definitivos de tempo e quantidade e, de modo à somente estimar os quantitativos que poderão ser contratados, conforme demanda indicada na tabela deste TR. </w:t>
      </w:r>
    </w:p>
    <w:p>
      <w:pPr>
        <w:pStyle w:val="Normal"/>
        <w:spacing w:lineRule="auto" w:line="276"/>
        <w:ind w:firstLine="709"/>
        <w:jc w:val="both"/>
        <w:rPr/>
      </w:pPr>
      <w:r>
        <w:rPr>
          <w:rFonts w:cs="Calibri" w:ascii="Calibri" w:hAnsi="Calibri"/>
          <w:sz w:val="24"/>
        </w:rPr>
        <w:t>7.2</w:t>
        <w:tab/>
        <w:t>Esses poderão sofrer supressão ou adição, conforme necessidade e dentro das previsões contratuais, sendo sempre descritos e valorados conforme o mercado, buscando o melhor custo para Administração Pública.</w:t>
      </w:r>
    </w:p>
    <w:p>
      <w:pPr>
        <w:pStyle w:val="ListParagraph"/>
        <w:spacing w:lineRule="auto" w:line="276"/>
        <w:ind w:left="0" w:firstLine="709"/>
        <w:jc w:val="both"/>
        <w:rPr>
          <w:rFonts w:ascii="Calibri" w:hAnsi="Calibri"/>
        </w:rPr>
      </w:pPr>
      <w:r>
        <w:rPr>
          <w:rFonts w:cs="Calibri" w:ascii="Calibri" w:hAnsi="Calibri"/>
          <w:sz w:val="24"/>
        </w:rPr>
        <w:t>7.3</w:t>
        <w:tab/>
        <w:t>Especificação da garantia do serviço (art. 40, §1º, inciso III, da Lei nº 14.133, de 2021), e demais legislação de acordo com o Ministério da Saúde (MS).</w:t>
      </w:r>
    </w:p>
    <w:p>
      <w:pPr>
        <w:pStyle w:val="Normal"/>
        <w:spacing w:lineRule="auto" w:line="276"/>
        <w:ind w:firstLine="709"/>
        <w:jc w:val="both"/>
        <w:rPr>
          <w:rFonts w:ascii="Calibri" w:hAnsi="Calibri"/>
        </w:rPr>
      </w:pPr>
      <w:r>
        <w:rPr>
          <w:rFonts w:cs="Calibri" w:ascii="Calibri" w:hAnsi="Calibri"/>
          <w:sz w:val="24"/>
        </w:rPr>
        <w:t>7.4</w:t>
        <w:tab/>
        <w:t>O prazo de garantia contratual dos serviços é aquele estabelecido na Lei nº 8.078, de 11 de setembro de 1990 (Código de Defesa do Consumidor).</w:t>
      </w:r>
    </w:p>
    <w:p>
      <w:pPr>
        <w:pStyle w:val="Normal"/>
        <w:spacing w:lineRule="auto" w:line="276"/>
        <w:jc w:val="both"/>
        <w:rPr>
          <w:rFonts w:ascii="Calibri" w:hAnsi="Calibri"/>
        </w:rPr>
      </w:pPr>
      <w:r>
        <w:rPr>
          <w:rFonts w:cs="Calibri" w:ascii="Calibri" w:hAnsi="Calibri"/>
          <w:b/>
          <w:sz w:val="24"/>
        </w:rPr>
        <w:t>Procedimentos de transição e finalização do contrato</w:t>
      </w:r>
    </w:p>
    <w:p>
      <w:pPr>
        <w:pStyle w:val="Normal"/>
        <w:spacing w:lineRule="auto" w:line="276"/>
        <w:ind w:firstLine="709"/>
        <w:jc w:val="both"/>
        <w:rPr/>
      </w:pPr>
      <w:r>
        <w:rPr>
          <w:rFonts w:cs="Calibri" w:ascii="Calibri" w:hAnsi="Calibri"/>
          <w:sz w:val="24"/>
        </w:rPr>
        <w:t>7.5</w:t>
        <w:tab/>
        <w:t>Os procedimentos de transição e finalização do contrato seguirão as etapas previstas</w:t>
      </w:r>
      <w:r>
        <w:drawing>
          <wp:anchor behindDoc="1" distT="0" distB="0" distL="0" distR="0" simplePos="0" locked="0" layoutInCell="0" allowOverlap="1" relativeHeight="11">
            <wp:simplePos x="0" y="0"/>
            <wp:positionH relativeFrom="page">
              <wp:posOffset>6134100</wp:posOffset>
            </wp:positionH>
            <wp:positionV relativeFrom="page">
              <wp:posOffset>109855</wp:posOffset>
            </wp:positionV>
            <wp:extent cx="1080135" cy="1080135"/>
            <wp:effectExtent l="0" t="0" r="0" b="0"/>
            <wp:wrapNone/>
            <wp:docPr id="10" name="Figura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10" descr=""/>
                    <pic:cNvPicPr>
                      <a:picLocks noChangeAspect="1" noChangeArrowheads="1"/>
                    </pic:cNvPicPr>
                  </pic:nvPicPr>
                  <pic:blipFill>
                    <a:blip r:embed="rId15"/>
                    <a:stretch>
                      <a:fillRect/>
                    </a:stretch>
                  </pic:blipFill>
                  <pic:spPr bwMode="auto">
                    <a:xfrm>
                      <a:off x="0" y="0"/>
                      <a:ext cx="1080135" cy="1080135"/>
                    </a:xfrm>
                    <a:prstGeom prst="rect">
                      <a:avLst/>
                    </a:prstGeom>
                  </pic:spPr>
                </pic:pic>
              </a:graphicData>
            </a:graphic>
          </wp:anchor>
        </w:drawing>
      </w:r>
      <w:r>
        <w:rPr>
          <w:rFonts w:cs="Calibri" w:ascii="Calibri" w:hAnsi="Calibri"/>
          <w:sz w:val="24"/>
        </w:rPr>
        <w:t xml:space="preserve"> no Contrato.</w:t>
      </w:r>
    </w:p>
    <w:p>
      <w:pPr>
        <w:pStyle w:val="Normal"/>
        <w:spacing w:lineRule="auto" w:line="276"/>
        <w:ind w:firstLine="709"/>
        <w:jc w:val="both"/>
        <w:rPr>
          <w:rFonts w:ascii="Calibri" w:hAnsi="Calibri"/>
        </w:rPr>
      </w:pPr>
      <w:r>
        <w:rPr>
          <w:rFonts w:cs="Calibri" w:ascii="Calibri" w:hAnsi="Calibri" w:cstheme="minorHAnsi"/>
          <w:bCs/>
          <w:sz w:val="24"/>
        </w:rPr>
        <w:t>7.8</w:t>
        <w:tab/>
        <w:t>Em qualquer caso de encerramento contratual, os tratamentos em curso deverão ser concluídos por parte do CREDENCIADO, salvo nos casos de expressa manifestação técnica ou administrativa do CREDENCIANTE.</w:t>
      </w:r>
    </w:p>
    <w:p>
      <w:pPr>
        <w:pStyle w:val="Normal"/>
        <w:spacing w:lineRule="auto" w:line="276"/>
        <w:ind w:firstLine="709"/>
        <w:jc w:val="both"/>
        <w:rPr>
          <w:rFonts w:ascii="Calibri" w:hAnsi="Calibri" w:cs="Calibri"/>
          <w:sz w:val="24"/>
        </w:rPr>
      </w:pPr>
      <w:r>
        <w:rPr>
          <w:rFonts w:cs="Calibri" w:ascii="Calibri" w:hAnsi="Calibri"/>
          <w:sz w:val="24"/>
        </w:rPr>
      </w:r>
    </w:p>
    <w:p>
      <w:pPr>
        <w:pStyle w:val="ListParagraph"/>
        <w:keepNext w:val="true"/>
        <w:keepLines/>
        <w:numPr>
          <w:ilvl w:val="0"/>
          <w:numId w:val="0"/>
        </w:numPr>
        <w:spacing w:lineRule="auto" w:line="276"/>
        <w:ind w:left="0" w:firstLine="709"/>
        <w:jc w:val="both"/>
        <w:outlineLvl w:val="0"/>
        <w:rPr/>
      </w:pPr>
      <w:r>
        <w:rPr>
          <w:rFonts w:cs="Calibri" w:ascii="Calibri" w:hAnsi="Calibri"/>
          <w:b/>
          <w:sz w:val="24"/>
        </w:rPr>
        <w:t>8.</w:t>
        <w:tab/>
        <w:t>MODELO DE GESTÃO DO CONTRATO</w:t>
      </w:r>
    </w:p>
    <w:p>
      <w:pPr>
        <w:pStyle w:val="Normal"/>
        <w:spacing w:lineRule="auto" w:line="276"/>
        <w:ind w:firstLine="709"/>
        <w:jc w:val="both"/>
        <w:rPr>
          <w:rFonts w:ascii="Calibri" w:hAnsi="Calibri"/>
        </w:rPr>
      </w:pPr>
      <w:r>
        <w:rPr>
          <w:rFonts w:cs="Calibri" w:ascii="Calibri" w:hAnsi="Calibri"/>
          <w:sz w:val="24"/>
        </w:rPr>
        <w:t>8.1</w:t>
        <w:tab/>
        <w:t>O contrato deverá ser executado fielmente pelas partes, de acordo com as cláusulas avençadas e as normas da Lei nº 14.133, de 2021, e cada parte responderá pelas consequências de sua inexecução total ou parcial.</w:t>
      </w:r>
    </w:p>
    <w:p>
      <w:pPr>
        <w:pStyle w:val="Normal"/>
        <w:spacing w:lineRule="auto" w:line="276"/>
        <w:ind w:firstLine="709"/>
        <w:jc w:val="both"/>
        <w:rPr>
          <w:rFonts w:ascii="Calibri" w:hAnsi="Calibri"/>
        </w:rPr>
      </w:pPr>
      <w:r>
        <w:rPr>
          <w:rFonts w:cs="Calibri" w:ascii="Calibri" w:hAnsi="Calibri"/>
          <w:sz w:val="24"/>
        </w:rPr>
        <w:t>8.2</w:t>
        <w:tab/>
        <w:t>Em caso de impedimento, ordem de paralisação ou suspensão do contrato, o cronograma de execução será prorrogado automaticamente pelo tempo correspondente, anotadas tais circunstâncias mediante simples apostila.</w:t>
      </w:r>
    </w:p>
    <w:p>
      <w:pPr>
        <w:pStyle w:val="Normal"/>
        <w:spacing w:lineRule="auto" w:line="276"/>
        <w:ind w:firstLine="709"/>
        <w:jc w:val="both"/>
        <w:rPr>
          <w:rFonts w:ascii="Calibri" w:hAnsi="Calibri"/>
        </w:rPr>
      </w:pPr>
      <w:r>
        <w:rPr>
          <w:rFonts w:cs="Calibri" w:ascii="Calibri" w:hAnsi="Calibri"/>
          <w:sz w:val="24"/>
        </w:rPr>
        <w:t>8.3</w:t>
        <w:tab/>
        <w:t>As comunicações entre o Contratante e o Contratado devem ser realizadas por escrito sempre que o ato exigir tal formalidade, admitindo-se o uso de mensagem eletrônica para esse fim.</w:t>
      </w:r>
    </w:p>
    <w:p>
      <w:pPr>
        <w:pStyle w:val="Nivel2"/>
        <w:suppressAutoHyphens w:val="false"/>
        <w:spacing w:before="0" w:after="0"/>
        <w:ind w:left="0" w:firstLine="709"/>
        <w:rPr>
          <w:rFonts w:ascii="Calibri" w:hAnsi="Calibri"/>
        </w:rPr>
      </w:pPr>
      <w:r>
        <w:rPr>
          <w:rFonts w:cs="Calibri" w:ascii="Calibri" w:hAnsi="Calibri"/>
          <w:sz w:val="24"/>
          <w:szCs w:val="24"/>
        </w:rPr>
        <w:t>8.4</w:t>
        <w:tab/>
        <w:t>O Contratante poderá convocar representante formalmente indicado da empresa para adoção de providências que devam ser cumpridas de imediato.</w:t>
      </w:r>
    </w:p>
    <w:p>
      <w:pPr>
        <w:pStyle w:val="Nivel2"/>
        <w:suppressAutoHyphens w:val="false"/>
        <w:spacing w:before="0" w:after="0"/>
        <w:ind w:left="0" w:firstLine="709"/>
        <w:rPr>
          <w:rFonts w:ascii="Calibri" w:hAnsi="Calibri"/>
        </w:rPr>
      </w:pPr>
      <w:r>
        <w:rPr>
          <w:rFonts w:cs="Calibri" w:ascii="Calibri" w:hAnsi="Calibri"/>
          <w:sz w:val="24"/>
          <w:szCs w:val="24"/>
        </w:rPr>
        <w:t>8.5</w:t>
        <w:tab/>
        <w:t>Após a assinatura do contrato ou instrumento equivalente,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ivel2"/>
        <w:suppressAutoHyphens w:val="false"/>
        <w:spacing w:before="0" w:after="0"/>
        <w:ind w:left="0" w:firstLine="709"/>
        <w:rPr>
          <w:rFonts w:ascii="Calibri" w:hAnsi="Calibri" w:cs="Calibri"/>
          <w:sz w:val="24"/>
          <w:szCs w:val="24"/>
        </w:rPr>
      </w:pPr>
      <w:r>
        <w:rPr>
          <w:rFonts w:cs="Calibri" w:ascii="Calibri" w:hAnsi="Calibri"/>
          <w:sz w:val="24"/>
          <w:szCs w:val="24"/>
        </w:rPr>
      </w:r>
    </w:p>
    <w:p>
      <w:pPr>
        <w:pStyle w:val="Nivel2"/>
        <w:suppressAutoHyphens w:val="false"/>
        <w:spacing w:before="0" w:after="0"/>
        <w:ind w:left="0" w:hanging="0"/>
        <w:rPr>
          <w:rFonts w:ascii="Calibri" w:hAnsi="Calibri"/>
        </w:rPr>
      </w:pPr>
      <w:r>
        <w:rPr>
          <w:rFonts w:cs="Calibri" w:ascii="Calibri" w:hAnsi="Calibri"/>
          <w:b/>
          <w:sz w:val="24"/>
          <w:szCs w:val="24"/>
        </w:rPr>
        <w:t>Representante</w:t>
      </w:r>
    </w:p>
    <w:p>
      <w:pPr>
        <w:pStyle w:val="Nvel01SemNumerao"/>
        <w:ind w:firstLine="709"/>
        <w:rPr/>
      </w:pPr>
      <w:r>
        <w:rPr/>
        <w:t>8.6</w:t>
        <w:tab/>
        <w:t>A Contratada designará formalmente o Representante da empresa, antes do início da prestação dos serviços, indicando no instrumento os poderes e deveres em relação à execução do objeto contratado.</w:t>
      </w:r>
    </w:p>
    <w:p>
      <w:pPr>
        <w:pStyle w:val="Normal"/>
        <w:tabs>
          <w:tab w:val="clear" w:pos="720"/>
          <w:tab w:val="left" w:pos="567" w:leader="none"/>
        </w:tabs>
        <w:spacing w:lineRule="auto" w:line="276"/>
        <w:ind w:firstLine="709"/>
        <w:jc w:val="both"/>
        <w:rPr>
          <w:rFonts w:ascii="Calibri" w:hAnsi="Calibri"/>
        </w:rPr>
      </w:pPr>
      <w:r>
        <w:rPr>
          <w:rFonts w:cs="Calibri" w:ascii="Calibri" w:hAnsi="Calibri"/>
          <w:sz w:val="24"/>
          <w:lang w:eastAsia="en-US"/>
        </w:rPr>
        <w:t>8.7</w:t>
        <w:tab/>
        <w:t>O Representante da Credenciada deverá ter a qualificação necessária para o acompanhamento e controle da execução dos serviços e do contrato;</w:t>
      </w:r>
    </w:p>
    <w:p>
      <w:pPr>
        <w:pStyle w:val="Normal"/>
        <w:tabs>
          <w:tab w:val="clear" w:pos="720"/>
          <w:tab w:val="left" w:pos="567" w:leader="none"/>
        </w:tabs>
        <w:spacing w:lineRule="auto" w:line="276"/>
        <w:ind w:firstLine="709"/>
        <w:jc w:val="both"/>
        <w:rPr>
          <w:rFonts w:ascii="Calibri" w:hAnsi="Calibri"/>
        </w:rPr>
      </w:pPr>
      <w:r>
        <w:rPr>
          <w:rFonts w:cs="Calibri" w:ascii="Calibri" w:hAnsi="Calibri"/>
          <w:sz w:val="24"/>
        </w:rPr>
        <w:t>8.8</w:t>
        <w:tab/>
        <w:t>A Contratante poderá recusar, desde que justificadamente, a indicação ou a manutenção do preposto da empresa, hipótese em que a Contratada designará outro para o exercício da atividade.</w:t>
      </w:r>
    </w:p>
    <w:p>
      <w:pPr>
        <w:pStyle w:val="Nvel01SemNumerao"/>
        <w:rPr/>
      </w:pPr>
      <w:r>
        <w:rPr/>
      </w:r>
    </w:p>
    <w:p>
      <w:pPr>
        <w:pStyle w:val="Nvel01SemNumerao"/>
        <w:rPr/>
      </w:pPr>
      <w:r>
        <w:rPr/>
        <w:t>Fiscalização</w:t>
      </w:r>
    </w:p>
    <w:p>
      <w:pPr>
        <w:pStyle w:val="Nivel2"/>
        <w:suppressAutoHyphens w:val="false"/>
        <w:spacing w:before="0" w:after="0"/>
        <w:ind w:left="0" w:firstLine="709"/>
        <w:rPr>
          <w:rFonts w:ascii="Calibri" w:hAnsi="Calibri"/>
        </w:rPr>
      </w:pPr>
      <w:r>
        <w:rPr>
          <w:rFonts w:cs="Calibri" w:ascii="Calibri" w:hAnsi="Calibri"/>
          <w:sz w:val="24"/>
          <w:szCs w:val="24"/>
          <w:lang w:eastAsia="en-US"/>
        </w:rPr>
        <w:t>8.9</w:t>
        <w:tab/>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como</w:t>
      </w:r>
      <w:r>
        <w:rPr>
          <w:rFonts w:cs="Calibri" w:ascii="Calibri" w:hAnsi="Calibri"/>
          <w:sz w:val="24"/>
          <w:szCs w:val="24"/>
        </w:rPr>
        <w:t xml:space="preserve"> fiscal(is) do contrato, ou pelos respectivos substitutos (Lei nº 14.133, de 2021, art. 117, caput).</w:t>
      </w:r>
    </w:p>
    <w:p>
      <w:pPr>
        <w:pStyle w:val="Nivel2"/>
        <w:suppressAutoHyphens w:val="false"/>
        <w:spacing w:before="0" w:after="0"/>
        <w:ind w:left="0" w:hanging="0"/>
        <w:rPr>
          <w:rFonts w:ascii="Calibri" w:hAnsi="Calibri" w:cs="Calibri"/>
          <w:sz w:val="24"/>
          <w:szCs w:val="24"/>
        </w:rPr>
      </w:pPr>
      <w:r>
        <w:rPr>
          <w:rFonts w:cs="Calibri" w:ascii="Calibri" w:hAnsi="Calibri"/>
          <w:sz w:val="24"/>
          <w:szCs w:val="24"/>
        </w:rPr>
      </w:r>
    </w:p>
    <w:p>
      <w:pPr>
        <w:pStyle w:val="Nivel2"/>
        <w:suppressAutoHyphens w:val="false"/>
        <w:spacing w:before="0" w:after="0"/>
        <w:ind w:left="0" w:hanging="0"/>
        <w:rPr>
          <w:rFonts w:ascii="Calibri" w:hAnsi="Calibri"/>
        </w:rPr>
      </w:pPr>
      <w:r>
        <w:rPr>
          <w:rFonts w:cs="Calibri" w:ascii="Calibri" w:hAnsi="Calibri"/>
          <w:b/>
          <w:sz w:val="24"/>
          <w:szCs w:val="24"/>
        </w:rPr>
        <w:t>O fiscal técnico do contrato</w:t>
      </w:r>
    </w:p>
    <w:p>
      <w:pPr>
        <w:pStyle w:val="Nivel2"/>
        <w:suppressAutoHyphens w:val="false"/>
        <w:spacing w:before="0" w:after="0"/>
        <w:ind w:left="0" w:firstLine="709"/>
        <w:rPr>
          <w:rFonts w:ascii="Calibri" w:hAnsi="Calibri"/>
        </w:rPr>
      </w:pPr>
      <w:r>
        <w:rPr>
          <w:rFonts w:cs="Calibri" w:ascii="Calibri" w:hAnsi="Calibri"/>
          <w:sz w:val="24"/>
          <w:szCs w:val="24"/>
        </w:rPr>
        <w:t>8.9.1</w:t>
        <w:tab/>
        <w:t xml:space="preserve">acompanhará a execução do contrato, para que sejam cumpridas todas as condições estabelecidas no </w:t>
      </w:r>
      <w:r>
        <w:rPr>
          <w:rFonts w:cs="Calibri" w:ascii="Calibri" w:hAnsi="Calibri"/>
          <w:b/>
          <w:sz w:val="24"/>
          <w:szCs w:val="24"/>
        </w:rPr>
        <w:t>Edital e seus anexos,</w:t>
      </w:r>
      <w:r>
        <w:rPr>
          <w:rFonts w:cs="Calibri" w:ascii="Calibri" w:hAnsi="Calibri"/>
          <w:sz w:val="24"/>
          <w:szCs w:val="24"/>
        </w:rPr>
        <w:t xml:space="preserve"> bem como no contrato, de modo a assegurar os melhores resultados para a Administração. (Decreto nº 11.246, de 2022, art. 22, VI);</w:t>
      </w:r>
    </w:p>
    <w:p>
      <w:pPr>
        <w:pStyle w:val="Nivel2"/>
        <w:suppressAutoHyphens w:val="false"/>
        <w:spacing w:before="0" w:after="0"/>
        <w:ind w:left="0" w:firstLine="709"/>
        <w:rPr>
          <w:rFonts w:ascii="Calibri" w:hAnsi="Calibri"/>
        </w:rPr>
      </w:pPr>
      <w:r>
        <w:rPr>
          <w:rFonts w:cs="Calibri" w:ascii="Calibri" w:hAnsi="Calibri"/>
          <w:sz w:val="24"/>
          <w:szCs w:val="24"/>
        </w:rPr>
        <w:t>8.9.2</w:t>
        <w:tab/>
        <w:t>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pPr>
        <w:pStyle w:val="Nivel2"/>
        <w:suppressAutoHyphens w:val="false"/>
        <w:spacing w:before="0" w:after="0"/>
        <w:ind w:left="0" w:firstLine="709"/>
        <w:rPr>
          <w:rFonts w:ascii="Calibri" w:hAnsi="Calibri"/>
        </w:rPr>
      </w:pPr>
      <w:r>
        <w:rPr>
          <w:rFonts w:cs="Calibri" w:ascii="Calibri" w:hAnsi="Calibri"/>
          <w:sz w:val="24"/>
          <w:szCs w:val="24"/>
        </w:rPr>
        <w:t>8.9.3</w:t>
        <w:tab/>
        <w:t xml:space="preserve">Identificada qualquer inexatidão ou irregularidade, o fiscal técnico do contrato emitirá notificações para a correção da execução do contrato, determinando prazo para a correção. (Decreto nº 11.246, de 2022, art. 22, III); </w:t>
      </w:r>
    </w:p>
    <w:p>
      <w:pPr>
        <w:pStyle w:val="Nivel2"/>
        <w:suppressAutoHyphens w:val="false"/>
        <w:spacing w:before="0" w:after="0"/>
        <w:ind w:left="0" w:firstLine="709"/>
        <w:rPr>
          <w:rFonts w:ascii="Calibri" w:hAnsi="Calibri"/>
        </w:rPr>
      </w:pPr>
      <w:r>
        <w:rPr>
          <w:rFonts w:cs="Calibri" w:ascii="Calibri" w:hAnsi="Calibri"/>
          <w:sz w:val="24"/>
          <w:szCs w:val="24"/>
        </w:rPr>
        <w:t>8.9.4</w:t>
        <w:tab/>
        <w:t>informará ao gestor do contato, em tempo hábil, a situação que demandar decisão ou adoção de medidas que ultrapassem sua competência, para que adote as medidas necessárias e saneadoras, se for o caso. (Decreto nº 11.246, de 2022, art. 22, IV);</w:t>
      </w:r>
    </w:p>
    <w:p>
      <w:pPr>
        <w:pStyle w:val="Nivel2"/>
        <w:suppressAutoHyphens w:val="false"/>
        <w:spacing w:before="0" w:after="0"/>
        <w:ind w:left="0" w:firstLine="709"/>
        <w:rPr>
          <w:rFonts w:ascii="Calibri" w:hAnsi="Calibri"/>
        </w:rPr>
      </w:pPr>
      <w:r>
        <w:rPr>
          <w:rFonts w:cs="Calibri" w:ascii="Calibri" w:hAnsi="Calibri"/>
          <w:sz w:val="24"/>
          <w:szCs w:val="24"/>
        </w:rPr>
        <w:t>8.9.5</w:t>
        <w:tab/>
        <w:t xml:space="preserve">No caso de ocorrências que possam inviabilizar a execução do contrato nas datas aprazadas, o fiscal técnico do contrato comunicará o fato imediatamente ao gestor do contrato, </w:t>
      </w:r>
      <w:r>
        <w:rPr>
          <w:rFonts w:cs="Calibri" w:ascii="Calibri" w:hAnsi="Calibri"/>
          <w:b/>
          <w:sz w:val="24"/>
          <w:szCs w:val="24"/>
        </w:rPr>
        <w:t>para ações conjuntas com a Seção de Credenciamento quanto ao fato concreto</w:t>
      </w:r>
      <w:r>
        <w:rPr>
          <w:rFonts w:cs="Calibri" w:ascii="Calibri" w:hAnsi="Calibri"/>
          <w:sz w:val="24"/>
          <w:szCs w:val="24"/>
        </w:rPr>
        <w:t>. (Decreto nº 11.246, de 2022, art. 22, V</w:t>
      </w:r>
      <w:r>
        <w:rPr>
          <w:rFonts w:eastAsia="Times New Roman" w:cs="Calibri" w:ascii="Calibri" w:hAnsi="Calibri"/>
          <w:sz w:val="24"/>
          <w:szCs w:val="24"/>
        </w:rPr>
        <w:t>);</w:t>
      </w:r>
    </w:p>
    <w:p>
      <w:pPr>
        <w:pStyle w:val="Nivel2"/>
        <w:suppressAutoHyphens w:val="false"/>
        <w:spacing w:before="0" w:after="0"/>
        <w:ind w:left="0" w:firstLine="709"/>
        <w:rPr/>
      </w:pPr>
      <w:r>
        <w:rPr>
          <w:rFonts w:cs="Calibri" w:ascii="Calibri" w:hAnsi="Calibri"/>
          <w:sz w:val="24"/>
          <w:szCs w:val="24"/>
          <w:u w:val="none"/>
        </w:rPr>
        <w:t>8.9.6</w:t>
        <w:tab/>
        <w:t xml:space="preserve">O fiscal técnico do contrato comunicará à Seção de Credenciamento, em tempo hábil, o término do contrato sob sua responsabilidade, com vistas à tempestiva </w:t>
      </w:r>
      <w:r>
        <w:rPr>
          <w:rFonts w:eastAsia="Times New Roman" w:cs="Calibri" w:ascii="Calibri" w:hAnsi="Calibri"/>
          <w:sz w:val="24"/>
          <w:szCs w:val="24"/>
          <w:u w:val="none"/>
        </w:rPr>
        <w:t xml:space="preserve">renovação </w:t>
      </w:r>
      <w:r>
        <w:rPr>
          <w:rFonts w:cs="Calibri" w:ascii="Calibri" w:hAnsi="Calibri"/>
          <w:sz w:val="24"/>
          <w:szCs w:val="24"/>
          <w:u w:val="none"/>
        </w:rPr>
        <w:t>ou à prorrogação contratual (</w:t>
      </w:r>
      <w:r>
        <w:fldChar w:fldCharType="begin"/>
      </w:r>
      <w:r>
        <w:rPr>
          <w:rStyle w:val="LinkdaInternet"/>
          <w:sz w:val="24"/>
          <w:u w:val="none"/>
          <w:szCs w:val="24"/>
          <w:rFonts w:cs="Calibri" w:ascii="Calibri" w:hAnsi="Calibri"/>
          <w:color w:val="auto"/>
        </w:rPr>
        <w:instrText> HYPERLINK "http://www.planalto.gov.br/ccivil_03/_ato2019-2022/2022/decreto/D11246.htm" \l "art22"</w:instrText>
      </w:r>
      <w:r>
        <w:rPr>
          <w:rStyle w:val="LinkdaInternet"/>
          <w:sz w:val="24"/>
          <w:u w:val="none"/>
          <w:szCs w:val="24"/>
          <w:rFonts w:cs="Calibri" w:ascii="Calibri" w:hAnsi="Calibri"/>
          <w:color w:val="auto"/>
        </w:rPr>
        <w:fldChar w:fldCharType="separate"/>
      </w:r>
      <w:r>
        <w:rPr>
          <w:rStyle w:val="LinkdaInternet"/>
          <w:rFonts w:cs="Calibri" w:ascii="Calibri" w:hAnsi="Calibri"/>
          <w:color w:val="auto"/>
          <w:sz w:val="24"/>
          <w:szCs w:val="24"/>
          <w:u w:val="none"/>
        </w:rPr>
        <w:t>Decreto nº 11.246, de 2022, art. 22, VII</w:t>
      </w:r>
      <w:r>
        <w:rPr>
          <w:rStyle w:val="LinkdaInternet"/>
          <w:sz w:val="24"/>
          <w:u w:val="none"/>
          <w:szCs w:val="24"/>
          <w:rFonts w:cs="Calibri" w:ascii="Calibri" w:hAnsi="Calibri"/>
          <w:color w:val="auto"/>
        </w:rPr>
        <w:fldChar w:fldCharType="end"/>
      </w:r>
      <w:r>
        <w:rPr>
          <w:rFonts w:cs="Calibri" w:ascii="Calibri" w:hAnsi="Calibri"/>
          <w:sz w:val="24"/>
          <w:szCs w:val="24"/>
          <w:u w:val="none"/>
        </w:rPr>
        <w:t>).</w:t>
      </w:r>
    </w:p>
    <w:p>
      <w:pPr>
        <w:pStyle w:val="Nivel2"/>
        <w:suppressAutoHyphens w:val="false"/>
        <w:spacing w:before="0" w:after="0"/>
        <w:ind w:left="0" w:firstLine="709"/>
        <w:rPr>
          <w:rFonts w:ascii="Calibri" w:hAnsi="Calibri" w:cs="Calibri"/>
          <w:sz w:val="24"/>
          <w:szCs w:val="24"/>
          <w:u w:val="none"/>
        </w:rPr>
      </w:pPr>
      <w:r>
        <w:rPr>
          <w:rFonts w:cs="Calibri" w:ascii="Calibri" w:hAnsi="Calibri"/>
          <w:sz w:val="24"/>
          <w:szCs w:val="24"/>
          <w:u w:val="none"/>
        </w:rPr>
      </w:r>
    </w:p>
    <w:p>
      <w:pPr>
        <w:pStyle w:val="Nivel2"/>
        <w:suppressAutoHyphens w:val="false"/>
        <w:spacing w:before="0" w:after="0"/>
        <w:ind w:left="0" w:hanging="0"/>
        <w:rPr>
          <w:rFonts w:ascii="Calibri" w:hAnsi="Calibri"/>
        </w:rPr>
      </w:pPr>
      <w:r>
        <w:rPr>
          <w:rFonts w:cs="Calibri" w:ascii="Calibri" w:hAnsi="Calibri"/>
          <w:b/>
          <w:sz w:val="24"/>
          <w:szCs w:val="24"/>
        </w:rPr>
        <w:t>Fiscalização Administrativa</w:t>
      </w:r>
    </w:p>
    <w:p>
      <w:pPr>
        <w:pStyle w:val="Nivel2"/>
        <w:suppressAutoHyphens w:val="false"/>
        <w:spacing w:before="0" w:after="0"/>
        <w:ind w:left="0" w:firstLine="709"/>
        <w:rPr>
          <w:rFonts w:ascii="Calibri" w:hAnsi="Calibri"/>
        </w:rPr>
      </w:pPr>
      <w:r>
        <w:rPr>
          <w:rFonts w:cs="Calibri" w:ascii="Calibri" w:hAnsi="Calibri"/>
          <w:sz w:val="24"/>
          <w:szCs w:val="24"/>
        </w:rPr>
        <w:t>8.9.7</w:t>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pPr>
        <w:pStyle w:val="Nivel2"/>
        <w:suppressAutoHyphens w:val="false"/>
        <w:spacing w:before="0" w:after="0"/>
        <w:ind w:left="0" w:firstLine="709"/>
        <w:rPr>
          <w:rFonts w:ascii="Calibri" w:hAnsi="Calibri"/>
        </w:rPr>
      </w:pPr>
      <w:r>
        <w:rPr>
          <w:rFonts w:cs="Calibri" w:ascii="Calibri" w:hAnsi="Calibri"/>
          <w:sz w:val="24"/>
          <w:szCs w:val="24"/>
        </w:rPr>
        <w:t>8.9.8</w:t>
        <w:tab/>
        <w:t>Caso ocorra descumprimento das obrigações contratuais, o fiscal administrativo do contrato atuará tempestivamente na solução do problema, reportando ao Gerente de Contrato para que tome as providências cabíveis, quando ultrapassar a sua competência; (Decreto nº 11.246, de 2022, art. 23, IV).</w:t>
      </w:r>
    </w:p>
    <w:p>
      <w:pPr>
        <w:pStyle w:val="Nivel2"/>
        <w:suppressAutoHyphens w:val="false"/>
        <w:spacing w:before="0" w:after="0"/>
        <w:ind w:left="0" w:hanging="0"/>
        <w:rPr>
          <w:sz w:val="24"/>
          <w:szCs w:val="24"/>
        </w:rPr>
      </w:pPr>
      <w:r>
        <w:rPr>
          <w:rFonts w:ascii="Calibri" w:hAnsi="Calibri"/>
          <w:sz w:val="24"/>
          <w:szCs w:val="24"/>
        </w:rPr>
        <w:tab/>
        <w:t>8.10</w:t>
        <w:tab/>
        <w:t>Além do disposto acima, a fiscalização contratual obedecerá às seguintes rotinas:</w:t>
      </w:r>
    </w:p>
    <w:p>
      <w:pPr>
        <w:pStyle w:val="Nvel2Red"/>
        <w:rPr/>
      </w:pPr>
      <w:r>
        <w:rPr>
          <w:rFonts w:eastAsia="Arial" w:cs="Calibri"/>
          <w:bCs/>
          <w:color w:val="auto"/>
          <w:kern w:val="0"/>
          <w:sz w:val="24"/>
          <w:szCs w:val="24"/>
          <w:lang w:val="pt-BR" w:eastAsia="en-US" w:bidi="ar-SA"/>
        </w:rPr>
        <w:tab/>
      </w:r>
      <w:r>
        <w:rPr>
          <w:szCs w:val="24"/>
        </w:rPr>
        <w:t>8.10.1</w:t>
        <w:tab/>
        <w:t>O fiscal designado para cada contrato deverá manter o controle de todas as Organizações de Saúde Extra Marinha credenciadas; e:</w:t>
      </w:r>
    </w:p>
    <w:p>
      <w:pPr>
        <w:pStyle w:val="ListParagraph"/>
        <w:numPr>
          <w:ilvl w:val="0"/>
          <w:numId w:val="3"/>
        </w:numPr>
        <w:tabs>
          <w:tab w:val="clear" w:pos="720"/>
          <w:tab w:val="left" w:pos="567" w:leader="none"/>
        </w:tabs>
        <w:spacing w:lineRule="auto" w:line="276"/>
        <w:ind w:left="709" w:hanging="0"/>
        <w:jc w:val="both"/>
        <w:rPr>
          <w:sz w:val="24"/>
        </w:rPr>
      </w:pPr>
      <w:r>
        <w:rPr>
          <w:rFonts w:cs="Calibri" w:ascii="Calibri" w:hAnsi="Calibri"/>
          <w:sz w:val="24"/>
          <w:lang w:eastAsia="en-US"/>
        </w:rPr>
        <w:t>controlar em planilha própria todos os serviços realizados aos usuários do Sistema de Saúde da Marinha, mantendo controle dos pacientes encaminhados, os atendimentos ou procedimentos realizados, e internações;</w:t>
      </w:r>
    </w:p>
    <w:p>
      <w:pPr>
        <w:pStyle w:val="ListParagraph"/>
        <w:tabs>
          <w:tab w:val="clear" w:pos="720"/>
          <w:tab w:val="left" w:pos="567" w:leader="none"/>
        </w:tabs>
        <w:spacing w:lineRule="auto" w:line="276"/>
        <w:ind w:left="709" w:hanging="0"/>
        <w:jc w:val="both"/>
        <w:rPr>
          <w:sz w:val="24"/>
        </w:rPr>
      </w:pPr>
      <w:r>
        <w:drawing>
          <wp:anchor behindDoc="1" distT="0" distB="0" distL="0" distR="0" simplePos="0" locked="0" layoutInCell="0" allowOverlap="1" relativeHeight="12">
            <wp:simplePos x="0" y="0"/>
            <wp:positionH relativeFrom="page">
              <wp:posOffset>6134100</wp:posOffset>
            </wp:positionH>
            <wp:positionV relativeFrom="page">
              <wp:posOffset>109855</wp:posOffset>
            </wp:positionV>
            <wp:extent cx="1080135" cy="1080135"/>
            <wp:effectExtent l="0" t="0" r="0" b="0"/>
            <wp:wrapNone/>
            <wp:docPr id="11" name="Figura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11" descr=""/>
                    <pic:cNvPicPr>
                      <a:picLocks noChangeAspect="1" noChangeArrowheads="1"/>
                    </pic:cNvPicPr>
                  </pic:nvPicPr>
                  <pic:blipFill>
                    <a:blip r:embed="rId16"/>
                    <a:stretch>
                      <a:fillRect/>
                    </a:stretch>
                  </pic:blipFill>
                  <pic:spPr bwMode="auto">
                    <a:xfrm>
                      <a:off x="0" y="0"/>
                      <a:ext cx="1080135" cy="1080135"/>
                    </a:xfrm>
                    <a:prstGeom prst="rect">
                      <a:avLst/>
                    </a:prstGeom>
                  </pic:spPr>
                </pic:pic>
              </a:graphicData>
            </a:graphic>
          </wp:anchor>
        </w:drawing>
      </w:r>
      <w:r>
        <w:rPr>
          <w:rFonts w:cs="Calibri" w:ascii="Calibri" w:hAnsi="Calibri"/>
          <w:sz w:val="24"/>
          <w:lang w:eastAsia="en-US"/>
        </w:rPr>
        <w:t>b) elaborar documento circunstanciado, mensalmente, atestando os principais acontecimentos durante a fiscalização contratual e os custos envolvidos nas credenciadas as quais fiscaliza;</w:t>
      </w:r>
    </w:p>
    <w:p>
      <w:pPr>
        <w:pStyle w:val="ListParagraph"/>
        <w:tabs>
          <w:tab w:val="clear" w:pos="720"/>
          <w:tab w:val="left" w:pos="567" w:leader="none"/>
        </w:tabs>
        <w:spacing w:lineRule="auto" w:line="276"/>
        <w:ind w:left="709" w:hanging="0"/>
        <w:jc w:val="both"/>
        <w:rPr>
          <w:sz w:val="24"/>
        </w:rPr>
      </w:pPr>
      <w:r>
        <w:rPr>
          <w:rFonts w:cs="Calibri" w:ascii="Calibri" w:hAnsi="Calibri"/>
          <w:sz w:val="24"/>
          <w:lang w:eastAsia="en-US"/>
        </w:rPr>
        <w:t>c)</w:t>
        <w:tab/>
        <w:t xml:space="preserve">estabelecer contato com a OSE </w:t>
      </w:r>
      <w:r>
        <w:rPr>
          <w:rFonts w:cs="Calibri" w:ascii="Calibri" w:hAnsi="Calibri"/>
          <w:b/>
          <w:sz w:val="24"/>
          <w:lang w:eastAsia="en-US"/>
        </w:rPr>
        <w:t>por meio do Representante indicado</w:t>
      </w:r>
      <w:r>
        <w:rPr>
          <w:rFonts w:cs="Calibri" w:ascii="Calibri" w:hAnsi="Calibri"/>
          <w:sz w:val="24"/>
          <w:lang w:eastAsia="en-US"/>
        </w:rPr>
        <w:t>, a fim de dirimir quaisquer dúvidas e/ou agendar auditorias concorrentes no que tange à realização de atendimentos ou procedimentos em usuários do Sistema de Saúde da Marinha.</w:t>
      </w:r>
    </w:p>
    <w:p>
      <w:pPr>
        <w:pStyle w:val="Normal"/>
        <w:spacing w:lineRule="auto" w:line="276"/>
        <w:ind w:hanging="0"/>
        <w:jc w:val="both"/>
        <w:rPr>
          <w:sz w:val="24"/>
        </w:rPr>
      </w:pPr>
      <w:r>
        <w:rPr>
          <w:rFonts w:cs="Calibri" w:ascii="Calibri" w:hAnsi="Calibri"/>
          <w:sz w:val="24"/>
        </w:rPr>
        <w:tab/>
        <w:t>8.11</w:t>
        <w:tab/>
        <w:t xml:space="preserve">A fiscalização técnica dos contratos avaliará constantemente a execução do objeto e da qualidade da prestação dos serviços, podendo utilizar ferramenta auxiliar como a de </w:t>
      </w:r>
      <w:r>
        <w:rPr>
          <w:rFonts w:cs="Calibri" w:ascii="Calibri" w:hAnsi="Calibri"/>
          <w:b/>
          <w:bCs/>
          <w:sz w:val="24"/>
        </w:rPr>
        <w:t>Pesquisa de Satisfação do atendimento pelo usuário do SSM,</w:t>
      </w:r>
      <w:r>
        <w:rPr>
          <w:rFonts w:cs="Calibri" w:ascii="Calibri" w:hAnsi="Calibri"/>
          <w:sz w:val="24"/>
        </w:rPr>
        <w:t xml:space="preserve"> devendo haver o redimensionamento no pagamento com base nos indicadores estabelecidos, sempre que a CONTRATADA:</w:t>
      </w:r>
    </w:p>
    <w:p>
      <w:pPr>
        <w:pStyle w:val="ListParagraph"/>
        <w:spacing w:lineRule="auto" w:line="276"/>
        <w:ind w:left="0" w:firstLine="709"/>
        <w:jc w:val="both"/>
        <w:rPr>
          <w:sz w:val="24"/>
        </w:rPr>
      </w:pPr>
      <w:r>
        <w:rPr>
          <w:rFonts w:cs="Calibri" w:ascii="Calibri" w:hAnsi="Calibri"/>
          <w:sz w:val="24"/>
        </w:rPr>
        <w:t>a)</w:t>
        <w:tab/>
        <w:t>não produzir os resultados, deixar de executar, ou não executar com a qualidade mínima exigida as atividades contratadas; ou</w:t>
      </w:r>
    </w:p>
    <w:p>
      <w:pPr>
        <w:pStyle w:val="ListParagraph"/>
        <w:spacing w:lineRule="auto" w:line="276"/>
        <w:ind w:left="0" w:firstLine="709"/>
        <w:jc w:val="both"/>
        <w:rPr>
          <w:sz w:val="24"/>
        </w:rPr>
      </w:pPr>
      <w:r>
        <w:rPr>
          <w:rFonts w:cs="Calibri" w:ascii="Calibri" w:hAnsi="Calibri"/>
          <w:sz w:val="24"/>
        </w:rPr>
        <w:t>b)</w:t>
        <w:tab/>
        <w:t>deixar de utilizar materiais e recursos humanos exigidos para a execução do serviço, ou utilizá-los com qualidade ou quantidade inferior à demandada;</w:t>
      </w:r>
    </w:p>
    <w:p>
      <w:pPr>
        <w:pStyle w:val="Normal"/>
        <w:spacing w:lineRule="auto" w:line="276"/>
        <w:ind w:firstLine="709"/>
        <w:jc w:val="both"/>
        <w:rPr>
          <w:sz w:val="24"/>
        </w:rPr>
      </w:pPr>
      <w:r>
        <w:rPr>
          <w:rFonts w:cs="Calibri" w:ascii="Calibri" w:hAnsi="Calibri"/>
          <w:sz w:val="24"/>
        </w:rPr>
        <w:t>8.12</w:t>
        <w:tab/>
        <w:t>Em hipótese alguma, será admitido que a própria CONTRATADA materialize a avaliação de desempenho e qualidade da prestação dos serviços realizada;</w:t>
      </w:r>
    </w:p>
    <w:p>
      <w:pPr>
        <w:pStyle w:val="Normal"/>
        <w:spacing w:lineRule="auto" w:line="276"/>
        <w:ind w:firstLine="709"/>
        <w:jc w:val="both"/>
        <w:rPr>
          <w:sz w:val="24"/>
        </w:rPr>
      </w:pPr>
      <w:r>
        <w:rPr>
          <w:rFonts w:cs="Calibri" w:ascii="Calibri" w:hAnsi="Calibri"/>
          <w:sz w:val="24"/>
        </w:rPr>
        <w:t>8.13</w:t>
        <w:tab/>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pPr>
        <w:pStyle w:val="Normal"/>
        <w:spacing w:lineRule="auto" w:line="276"/>
        <w:ind w:firstLine="709"/>
        <w:jc w:val="both"/>
        <w:rPr>
          <w:sz w:val="24"/>
        </w:rPr>
      </w:pPr>
      <w:r>
        <w:rPr>
          <w:rFonts w:cs="Calibri" w:ascii="Calibri" w:hAnsi="Calibri"/>
          <w:sz w:val="24"/>
        </w:rPr>
        <w:t>8.14</w:t>
        <w:tab/>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pPr>
        <w:pStyle w:val="Normal"/>
        <w:spacing w:lineRule="auto" w:line="276"/>
        <w:ind w:firstLine="709"/>
        <w:jc w:val="both"/>
        <w:rPr>
          <w:sz w:val="24"/>
        </w:rPr>
      </w:pPr>
      <w:r>
        <w:rPr>
          <w:rFonts w:cs="Calibri" w:ascii="Calibri" w:hAnsi="Calibri"/>
          <w:sz w:val="24"/>
        </w:rPr>
        <w:t>8.15</w:t>
        <w:tab/>
        <w:t>O fiscal técnico poderá realizar avaliação diária, semanal ou mensal, desde que o período escolhido seja suficiente para avaliar ou, se for o caso, aferir o desempenho e qualidade da prestação dos serviços;</w:t>
      </w:r>
    </w:p>
    <w:p>
      <w:pPr>
        <w:pStyle w:val="Normal"/>
        <w:tabs>
          <w:tab w:val="clear" w:pos="720"/>
          <w:tab w:val="left" w:pos="993" w:leader="none"/>
        </w:tabs>
        <w:spacing w:lineRule="auto" w:line="276"/>
        <w:ind w:firstLine="709"/>
        <w:jc w:val="both"/>
        <w:rPr>
          <w:sz w:val="24"/>
        </w:rPr>
      </w:pPr>
      <w:bookmarkStart w:id="0" w:name="_GoBack"/>
      <w:bookmarkEnd w:id="0"/>
      <w:r>
        <w:rPr>
          <w:rFonts w:cs="Calibri" w:ascii="Calibri" w:hAnsi="Calibri"/>
          <w:sz w:val="24"/>
        </w:rPr>
        <w:t>8.16</w:t>
        <w:tab/>
        <w:t xml:space="preserve">Ao Fiscal do contrato será assegurado livre acesso às dependências, protocolos e documentos da </w:t>
      </w:r>
      <w:r>
        <w:rPr>
          <w:rFonts w:cs="Calibri" w:ascii="Calibri" w:hAnsi="Calibri"/>
          <w:b/>
          <w:sz w:val="24"/>
        </w:rPr>
        <w:t>Contratada</w:t>
      </w:r>
      <w:r>
        <w:rPr>
          <w:rFonts w:cs="Calibri" w:ascii="Calibri" w:hAnsi="Calibri"/>
          <w:sz w:val="24"/>
        </w:rPr>
        <w:t>, preservados os princípios da ética e sigilo profissionais, para conhecimento e acompanhamento de realização do tratamento dos usuários do SSM;</w:t>
      </w:r>
    </w:p>
    <w:p>
      <w:pPr>
        <w:pStyle w:val="Normal"/>
        <w:tabs>
          <w:tab w:val="clear" w:pos="720"/>
          <w:tab w:val="left" w:pos="567" w:leader="none"/>
        </w:tabs>
        <w:suppressAutoHyphens w:val="false"/>
        <w:spacing w:lineRule="auto" w:line="276"/>
        <w:ind w:firstLine="709"/>
        <w:jc w:val="both"/>
        <w:rPr>
          <w:rFonts w:ascii="Calibri" w:hAnsi="Calibri" w:cs="Calibri"/>
          <w:sz w:val="24"/>
        </w:rPr>
      </w:pPr>
      <w:r>
        <w:rPr>
          <w:rFonts w:cs="Calibri" w:ascii="Calibri" w:hAnsi="Calibri"/>
          <w:sz w:val="24"/>
        </w:rPr>
      </w:r>
    </w:p>
    <w:p>
      <w:pPr>
        <w:pStyle w:val="Nvel01SemNumerao"/>
        <w:rPr/>
      </w:pPr>
      <w:r>
        <w:rPr/>
        <w:t>Gestor do Contrato</w:t>
      </w:r>
    </w:p>
    <w:p>
      <w:pPr>
        <w:pStyle w:val="Nivel2"/>
        <w:suppressAutoHyphens w:val="false"/>
        <w:spacing w:before="0" w:after="0"/>
        <w:ind w:left="0" w:firstLine="709"/>
        <w:rPr>
          <w:rFonts w:ascii="Calibri" w:hAnsi="Calibri"/>
        </w:rPr>
      </w:pPr>
      <w:r>
        <w:rPr>
          <w:rFonts w:cs="Calibri" w:ascii="Calibri" w:hAnsi="Calibri"/>
          <w:sz w:val="24"/>
          <w:szCs w:val="24"/>
        </w:rPr>
        <w:t>8.17</w:t>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pPr>
        <w:pStyle w:val="Nivel2"/>
        <w:suppressAutoHyphens w:val="false"/>
        <w:spacing w:before="0" w:after="0"/>
        <w:ind w:left="0" w:hanging="0"/>
        <w:rPr>
          <w:rFonts w:ascii="Calibri" w:hAnsi="Calibri"/>
        </w:rPr>
      </w:pPr>
      <w:r>
        <w:rPr>
          <w:rFonts w:cs="Calibri" w:ascii="Calibri" w:hAnsi="Calibri"/>
          <w:sz w:val="24"/>
          <w:szCs w:val="24"/>
        </w:rPr>
        <w:tab/>
        <w:t>8.18</w:t>
        <w:ta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pPr>
        <w:pStyle w:val="Nivel2"/>
        <w:suppressAutoHyphens w:val="false"/>
        <w:spacing w:before="0" w:after="0"/>
        <w:ind w:left="0" w:firstLine="709"/>
        <w:rPr>
          <w:rFonts w:ascii="Calibri" w:hAnsi="Calibri"/>
        </w:rPr>
      </w:pPr>
      <w:r>
        <w:rPr>
          <w:rFonts w:cs="Calibri" w:ascii="Calibri" w:hAnsi="Calibri"/>
          <w:sz w:val="24"/>
          <w:szCs w:val="24"/>
        </w:rPr>
        <w:t>8.19</w:t>
        <w:ta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pPr>
        <w:pStyle w:val="Nivel2"/>
        <w:suppressAutoHyphens w:val="false"/>
        <w:spacing w:before="0" w:after="0"/>
        <w:ind w:left="0" w:firstLine="709"/>
        <w:rPr>
          <w:rFonts w:ascii="Calibri" w:hAnsi="Calibri"/>
        </w:rPr>
      </w:pPr>
      <w:r>
        <w:rPr>
          <w:rFonts w:cs="Calibri" w:ascii="Calibri" w:hAnsi="Calibri"/>
          <w:sz w:val="24"/>
          <w:szCs w:val="24"/>
        </w:rPr>
        <w:t>8.20</w:t>
        <w:ta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pPr>
        <w:pStyle w:val="Nivel2"/>
        <w:suppressAutoHyphens w:val="false"/>
        <w:spacing w:before="0" w:after="0"/>
        <w:ind w:left="0" w:firstLine="709"/>
        <w:rPr>
          <w:rFonts w:ascii="Calibri" w:hAnsi="Calibri"/>
        </w:rPr>
      </w:pPr>
      <w:r>
        <w:rPr>
          <w:rFonts w:cs="Calibri" w:ascii="Calibri" w:hAnsi="Calibri"/>
          <w:sz w:val="24"/>
          <w:szCs w:val="24"/>
        </w:rPr>
        <w:t>8.21</w:t>
        <w:tab/>
        <w:t xml:space="preserve">O gestor do contrato tomará providências para a formalização de processo administrativo de responsabilização para fins de aplicação de sanções, a ser conduzido </w:t>
      </w:r>
      <w:r>
        <w:rPr>
          <w:rFonts w:cs="Calibri" w:ascii="Calibri" w:hAnsi="Calibri"/>
          <w:strike/>
          <w:sz w:val="24"/>
          <w:szCs w:val="24"/>
        </w:rPr>
        <w:t>pela comissão de que trata o art. 158 da Lei nº 14.133, de 2021, ou pelo agente ou</w:t>
      </w:r>
      <w:r>
        <w:rPr>
          <w:rFonts w:cs="Calibri" w:ascii="Calibri" w:hAnsi="Calibri"/>
          <w:b/>
          <w:sz w:val="24"/>
          <w:szCs w:val="24"/>
        </w:rPr>
        <w:t>pela Gerência de Contratos (216)</w:t>
      </w:r>
      <w:r>
        <w:rPr>
          <w:rFonts w:cs="Calibri" w:ascii="Calibri" w:hAnsi="Calibri"/>
          <w:sz w:val="24"/>
          <w:szCs w:val="24"/>
        </w:rPr>
        <w:t xml:space="preserve">, setor com competência para tal, conforme o caso. (Decreto nº 11.246, de 2022, art. 21, X). </w:t>
      </w:r>
    </w:p>
    <w:p>
      <w:pPr>
        <w:pStyle w:val="Nivel2"/>
        <w:suppressAutoHyphens w:val="false"/>
        <w:spacing w:before="0" w:after="0"/>
        <w:ind w:left="0" w:firstLine="709"/>
        <w:rPr>
          <w:rFonts w:ascii="Calibri" w:hAnsi="Calibri"/>
        </w:rPr>
      </w:pPr>
      <w:r>
        <w:rPr>
          <w:rFonts w:cs="Calibri" w:ascii="Calibri" w:hAnsi="Calibri"/>
          <w:sz w:val="24"/>
          <w:szCs w:val="24"/>
        </w:rPr>
        <w:t>8.22</w:t>
        <w:ta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pPr>
        <w:pStyle w:val="Nivel2"/>
        <w:spacing w:before="0" w:after="0"/>
        <w:ind w:left="0" w:firstLine="709"/>
        <w:rPr>
          <w:rFonts w:ascii="Calibri" w:hAnsi="Calibri"/>
        </w:rPr>
      </w:pPr>
      <w:r>
        <w:rPr>
          <w:rFonts w:cs="Calibri" w:ascii="Calibri" w:hAnsi="Calibri"/>
          <w:sz w:val="24"/>
          <w:szCs w:val="24"/>
        </w:rPr>
        <w:t>8.23</w:t>
        <w:tab/>
        <w:t xml:space="preserve">O gestor do contrato deverá enviar a documentação pertinente </w:t>
      </w:r>
      <w:r>
        <w:rPr>
          <w:rFonts w:cs="Calibri" w:ascii="Calibri" w:hAnsi="Calibri"/>
          <w:b/>
          <w:sz w:val="24"/>
          <w:szCs w:val="24"/>
        </w:rPr>
        <w:t>à Divisão de Finanças</w:t>
      </w:r>
      <w:r>
        <w:rPr>
          <w:rFonts w:cs="Calibri" w:ascii="Calibri" w:hAnsi="Calibri"/>
          <w:sz w:val="24"/>
          <w:szCs w:val="24"/>
        </w:rPr>
        <w:t xml:space="preserve"> para a formalização dos procedimentos de liquidação e pagamento, no valor dimensionado pela fiscalização e gestão nos termos do contrato, após análise e auditoria das contas.  </w:t>
      </w:r>
    </w:p>
    <w:p>
      <w:pPr>
        <w:pStyle w:val="Nivel2"/>
        <w:spacing w:before="0" w:after="0"/>
        <w:ind w:left="0" w:firstLine="709"/>
        <w:rPr>
          <w:rFonts w:ascii="Calibri" w:hAnsi="Calibri"/>
        </w:rPr>
      </w:pPr>
      <w:r>
        <w:rPr>
          <w:rFonts w:cs="Calibri" w:ascii="Calibri" w:hAnsi="Calibri"/>
          <w:b/>
          <w:sz w:val="24"/>
          <w:szCs w:val="24"/>
        </w:rPr>
        <w:tab/>
        <w:tab/>
        <w:t>8.231</w:t>
        <w:tab/>
        <w:t xml:space="preserve">Para todas as ações atribuídas ao Fiscal e Gestor, caberá a Divisão de Gerência de Contratos/Seção de Credenciamento atuar como setor de apoio administrativo, conforme definido em Ordem interna do HNMD. </w:t>
      </w:r>
    </w:p>
    <w:p>
      <w:pPr>
        <w:pStyle w:val="Nivel2"/>
        <w:spacing w:before="0" w:after="0"/>
        <w:ind w:left="0" w:firstLine="709"/>
        <w:rPr>
          <w:rFonts w:ascii="Calibri" w:hAnsi="Calibri"/>
        </w:rPr>
      </w:pPr>
      <w:r>
        <w:rPr>
          <w:rFonts w:ascii="Calibri" w:hAnsi="Calibri"/>
        </w:rPr>
      </w:r>
    </w:p>
    <w:p>
      <w:pPr>
        <w:pStyle w:val="Nivel2"/>
        <w:spacing w:before="0" w:after="0"/>
        <w:ind w:left="0" w:firstLine="709"/>
        <w:rPr>
          <w:b/>
          <w:b/>
          <w:bCs/>
        </w:rPr>
      </w:pPr>
      <w:r>
        <w:rPr>
          <w:rFonts w:cs="Calibri" w:ascii="Calibri" w:hAnsi="Calibri"/>
          <w:b/>
          <w:bCs/>
          <w:sz w:val="24"/>
          <w:szCs w:val="24"/>
        </w:rPr>
        <w:t>9.</w:t>
        <w:tab/>
        <w:t>CRITÉRIOS DE MEDIÇÃO E PAGAMENTO</w:t>
      </w:r>
    </w:p>
    <w:p>
      <w:pPr>
        <w:pStyle w:val="Nivel2"/>
        <w:spacing w:before="0" w:after="0"/>
        <w:ind w:left="0" w:firstLine="709"/>
        <w:rPr>
          <w:rFonts w:ascii="Calibri" w:hAnsi="Calibri"/>
        </w:rPr>
      </w:pPr>
      <w:r>
        <w:rPr>
          <w:rFonts w:cs="Calibri" w:ascii="Calibri" w:hAnsi="Calibri"/>
          <w:b w:val="false"/>
          <w:sz w:val="24"/>
          <w:szCs w:val="24"/>
        </w:rPr>
        <w:t>9.1</w:t>
        <w:tab/>
      </w:r>
      <w:r>
        <w:rPr>
          <w:rFonts w:cs="Calibri" w:ascii="Calibri" w:hAnsi="Calibri"/>
          <w:b w:val="false"/>
          <w:color w:val="000000" w:themeColor="text1"/>
          <w:sz w:val="24"/>
          <w:szCs w:val="24"/>
        </w:rPr>
        <w:t>Para avaliação da execução do serviço o fiscal poderá utilizar um</w:t>
      </w:r>
      <w:r>
        <w:rPr>
          <w:rFonts w:cs="Calibri" w:ascii="Calibri" w:hAnsi="Calibri"/>
          <w:b w:val="false"/>
          <w:sz w:val="24"/>
          <w:szCs w:val="24"/>
        </w:rPr>
        <w:t xml:space="preserve"> Instrumento de medição de resultado (IMR), ou outro instrumento substituto para aferição da qualidade da prestação dos serviços, em topo tempo, com conhecimento da Contratada. E ainda o disposto no item abaixo, onde:</w:t>
      </w:r>
    </w:p>
    <w:p>
      <w:pPr>
        <w:pStyle w:val="Nivel01"/>
        <w:spacing w:before="0" w:after="0"/>
        <w:ind w:left="0" w:right="0" w:firstLine="709"/>
        <w:rPr>
          <w:rFonts w:ascii="Calibri" w:hAnsi="Calibri"/>
        </w:rPr>
      </w:pPr>
      <w:r>
        <w:rPr>
          <w:rFonts w:cs="Calibri" w:ascii="Calibri" w:hAnsi="Calibri"/>
          <w:b w:val="false"/>
          <w:sz w:val="24"/>
          <w:szCs w:val="24"/>
        </w:rPr>
        <w:t>9.1.1</w:t>
        <w:tab/>
        <w:t>Será indicada a retenção ou glosa no pagamento, proporcional à irregularidade verificada, sem prejuízo das sanções cabíveis, caso se constate que a Contratada:</w:t>
      </w:r>
    </w:p>
    <w:p>
      <w:pPr>
        <w:pStyle w:val="Nivel4"/>
        <w:numPr>
          <w:ilvl w:val="3"/>
          <w:numId w:val="2"/>
        </w:numPr>
        <w:spacing w:before="0" w:after="0"/>
        <w:ind w:left="0" w:firstLine="709"/>
        <w:rPr>
          <w:rFonts w:ascii="Calibri" w:hAnsi="Calibri"/>
        </w:rPr>
      </w:pPr>
      <w:r>
        <w:rPr>
          <w:rFonts w:cs="Calibri" w:ascii="Calibri" w:hAnsi="Calibri"/>
          <w:sz w:val="24"/>
          <w:szCs w:val="24"/>
        </w:rPr>
        <w:t>não produzir os resultados acordados;</w:t>
      </w:r>
    </w:p>
    <w:p>
      <w:pPr>
        <w:pStyle w:val="Nivel4"/>
        <w:numPr>
          <w:ilvl w:val="3"/>
          <w:numId w:val="2"/>
        </w:numPr>
        <w:spacing w:before="0" w:after="0"/>
        <w:ind w:left="0" w:firstLine="709"/>
        <w:rPr>
          <w:rFonts w:ascii="Calibri" w:hAnsi="Calibri"/>
        </w:rPr>
      </w:pPr>
      <w:r>
        <w:rPr>
          <w:rFonts w:cs="Calibri" w:ascii="Calibri" w:hAnsi="Calibri"/>
          <w:sz w:val="24"/>
          <w:szCs w:val="24"/>
        </w:rPr>
        <w:t>deixar de executar, ou não executar com a qualidade mínima exigida as atividades contratadas; ou</w:t>
      </w:r>
    </w:p>
    <w:p>
      <w:pPr>
        <w:pStyle w:val="Nivel4"/>
        <w:numPr>
          <w:ilvl w:val="3"/>
          <w:numId w:val="2"/>
        </w:numPr>
        <w:spacing w:before="0" w:after="0"/>
        <w:ind w:left="0" w:firstLine="709"/>
        <w:rPr>
          <w:rFonts w:ascii="Calibri" w:hAnsi="Calibri"/>
        </w:rPr>
      </w:pPr>
      <w:r>
        <w:rPr>
          <w:rFonts w:cs="Calibri" w:ascii="Calibri" w:hAnsi="Calibri"/>
          <w:sz w:val="24"/>
          <w:szCs w:val="24"/>
        </w:rPr>
        <w:t>deixar de utilizar materiais e recursos humanos exigidos para a execução do serviço, ou utilizá-los com qualidade ou quantidade inferior à demandada, ou exigida por legislação especifica.</w:t>
      </w:r>
    </w:p>
    <w:p>
      <w:pPr>
        <w:pStyle w:val="Nvel2Red"/>
        <w:ind w:left="0" w:right="0" w:firstLine="709"/>
        <w:rPr/>
      </w:pPr>
      <w:r>
        <w:rPr/>
        <w:t>9.2</w:t>
        <w:tab/>
        <w:t>A utilização do IMR (</w:t>
      </w:r>
      <w:r>
        <w:rPr>
          <w:rFonts w:eastAsia="" w:eastAsiaTheme="majorEastAsia"/>
        </w:rPr>
        <w:t>Anexo V-B da IN 05/2017)</w:t>
      </w:r>
      <w:r>
        <w:drawing>
          <wp:anchor behindDoc="1" distT="0" distB="0" distL="0" distR="0" simplePos="0" locked="0" layoutInCell="0" allowOverlap="1" relativeHeight="13">
            <wp:simplePos x="0" y="0"/>
            <wp:positionH relativeFrom="page">
              <wp:posOffset>6134100</wp:posOffset>
            </wp:positionH>
            <wp:positionV relativeFrom="page">
              <wp:posOffset>109855</wp:posOffset>
            </wp:positionV>
            <wp:extent cx="1080135" cy="1080135"/>
            <wp:effectExtent l="0" t="0" r="0" b="0"/>
            <wp:wrapNone/>
            <wp:docPr id="12" name="Figura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a12" descr=""/>
                    <pic:cNvPicPr>
                      <a:picLocks noChangeAspect="1" noChangeArrowheads="1"/>
                    </pic:cNvPicPr>
                  </pic:nvPicPr>
                  <pic:blipFill>
                    <a:blip r:embed="rId17"/>
                    <a:stretch>
                      <a:fillRect/>
                    </a:stretch>
                  </pic:blipFill>
                  <pic:spPr bwMode="auto">
                    <a:xfrm>
                      <a:off x="0" y="0"/>
                      <a:ext cx="1080135" cy="1080135"/>
                    </a:xfrm>
                    <a:prstGeom prst="rect">
                      <a:avLst/>
                    </a:prstGeom>
                  </pic:spPr>
                </pic:pic>
              </a:graphicData>
            </a:graphic>
          </wp:anchor>
        </w:drawing>
      </w:r>
      <w:r>
        <w:rPr/>
        <w:t xml:space="preserve"> poderá ser aplicada concomitante a outros mecanismos para a avaliação da prestação dos serviços.</w:t>
      </w:r>
    </w:p>
    <w:p>
      <w:pPr>
        <w:pStyle w:val="Nvel2Red"/>
        <w:ind w:left="0" w:right="0" w:firstLine="709"/>
        <w:rPr/>
      </w:pPr>
      <w:r>
        <w:rPr/>
        <w:t>9.3</w:t>
        <w:tab/>
        <w:t>A aferição da execução contratual para fins de pagamento considerará os seguintes critérios:</w:t>
      </w:r>
    </w:p>
    <w:p>
      <w:pPr>
        <w:pStyle w:val="Nvel2Red"/>
        <w:ind w:left="0" w:right="0" w:firstLine="709"/>
        <w:rPr/>
      </w:pPr>
      <w:r>
        <w:rPr/>
        <w:t>a)</w:t>
        <w:tab/>
        <w:t>realização dos procedimentos e prestação do serviço em estrita consonância com a regulação vigente, quanto à utilização de profissionais especializados (aptos) para o atendimento, bem como nas quantidades previstas (auxiliares), e locais adequados ao procedimento;</w:t>
      </w:r>
    </w:p>
    <w:p>
      <w:pPr>
        <w:pStyle w:val="Nvel2Red"/>
        <w:ind w:left="0" w:right="0" w:firstLine="709"/>
        <w:rPr/>
      </w:pPr>
      <w:r>
        <w:rPr/>
        <w:t>b)</w:t>
        <w:tab/>
        <w:t>utilização de Equipamentos adequados conforme estabelecidas em exigências regulamentares quanto à vida útil, validades e prazos de manutenção,, os quais devem estar sempre visíveis para confiabilidade do usuário e nos casos de Vistoria pelo Fiscal do HNMD;</w:t>
      </w:r>
    </w:p>
    <w:p>
      <w:pPr>
        <w:pStyle w:val="Nvel2Red"/>
        <w:ind w:left="0" w:right="0" w:firstLine="709"/>
        <w:rPr/>
      </w:pPr>
      <w:r>
        <w:rPr/>
        <w:t>c)</w:t>
        <w:tab/>
        <w:t>execução do atendimento de acordo com os estabelecidos no item 05, ao que se refere para: agendamento do paciente para realização do procedimento ou internação; relatório médico do paciente ao Fiscal; utilização de materiais e medicamentos “estranhos” à execução do procedimento; ou ainda de maneira “abusiva” às necessidades reais e previsões estabelecidas neste Termo de referência;</w:t>
      </w:r>
    </w:p>
    <w:p>
      <w:pPr>
        <w:pStyle w:val="Normal"/>
        <w:tabs>
          <w:tab w:val="clear" w:pos="720"/>
          <w:tab w:val="left" w:pos="851" w:leader="none"/>
        </w:tabs>
        <w:spacing w:lineRule="auto" w:line="276"/>
        <w:ind w:firstLine="709"/>
        <w:jc w:val="both"/>
        <w:rPr>
          <w:rFonts w:ascii="Calibri" w:hAnsi="Calibri"/>
        </w:rPr>
      </w:pPr>
      <w:r>
        <w:rPr>
          <w:rFonts w:cs="Calibri" w:ascii="Calibri" w:hAnsi="Calibri"/>
          <w:bCs/>
          <w:sz w:val="24"/>
        </w:rPr>
        <w:t>9.4</w:t>
        <w:tab/>
        <w:t>A CONTRATANTE deverá manter registro atualizado de todas as OSE/PSA credenciadas.</w:t>
      </w:r>
    </w:p>
    <w:p>
      <w:pPr>
        <w:pStyle w:val="Normal"/>
        <w:tabs>
          <w:tab w:val="clear" w:pos="720"/>
          <w:tab w:val="left" w:pos="851" w:leader="none"/>
        </w:tabs>
        <w:spacing w:lineRule="auto" w:line="276"/>
        <w:ind w:firstLine="709"/>
        <w:jc w:val="both"/>
        <w:rPr>
          <w:rFonts w:ascii="Calibri" w:hAnsi="Calibri"/>
        </w:rPr>
      </w:pPr>
      <w:r>
        <w:rPr>
          <w:rFonts w:cs="Calibri" w:ascii="Calibri" w:hAnsi="Calibri"/>
          <w:bCs/>
          <w:sz w:val="24"/>
        </w:rPr>
        <w:t>9.5</w:t>
        <w:tab/>
        <w:t>A Contratada deverá fornecer todas as informações, atinentes aos serviços já realizados pelos usuários do sistema de Saúde da Marinha, a qualquer tempo, possibilitando a realização de auditorias periódicas.</w:t>
      </w:r>
    </w:p>
    <w:p>
      <w:pPr>
        <w:pStyle w:val="Normal"/>
        <w:tabs>
          <w:tab w:val="clear" w:pos="720"/>
          <w:tab w:val="left" w:pos="709" w:leader="none"/>
        </w:tabs>
        <w:suppressAutoHyphens w:val="false"/>
        <w:spacing w:lineRule="auto" w:line="276"/>
        <w:ind w:firstLine="709"/>
        <w:jc w:val="both"/>
        <w:rPr>
          <w:rFonts w:ascii="Calibri" w:hAnsi="Calibri" w:cs="Calibri"/>
          <w:b/>
          <w:b/>
          <w:bCs/>
          <w:sz w:val="24"/>
        </w:rPr>
      </w:pPr>
      <w:r>
        <w:rPr>
          <w:rFonts w:cs="Calibri" w:ascii="Calibri" w:hAnsi="Calibri"/>
          <w:b/>
          <w:bCs/>
          <w:sz w:val="24"/>
        </w:rPr>
        <w:t>9.5.1</w:t>
        <w:tab/>
        <w:t>Os serviços serão remunerados com base nos valores definidos no Termo de Referência e seus apensos.</w:t>
      </w:r>
    </w:p>
    <w:p>
      <w:pPr>
        <w:pStyle w:val="Normal"/>
        <w:tabs>
          <w:tab w:val="clear" w:pos="720"/>
          <w:tab w:val="left" w:pos="709" w:leader="none"/>
        </w:tabs>
        <w:suppressAutoHyphens w:val="false"/>
        <w:spacing w:lineRule="auto" w:line="276"/>
        <w:ind w:firstLine="709"/>
        <w:jc w:val="both"/>
        <w:rPr>
          <w:rFonts w:ascii="Calibri" w:hAnsi="Calibri"/>
        </w:rPr>
      </w:pPr>
      <w:r>
        <w:rPr>
          <w:rFonts w:cs="Calibri" w:ascii="Calibri" w:hAnsi="Calibri"/>
          <w:b/>
          <w:bCs/>
          <w:sz w:val="24"/>
        </w:rPr>
        <w:t>9.5.2</w:t>
        <w:tab/>
        <w:t>Em qualquer caso, APENAS serão pagos os materiais previstos no Pacote mas que foram fielmente utilizados/empregados na execução do serviço.</w:t>
      </w:r>
    </w:p>
    <w:p>
      <w:pPr>
        <w:pStyle w:val="Normal"/>
        <w:tabs>
          <w:tab w:val="clear" w:pos="720"/>
          <w:tab w:val="left" w:pos="709" w:leader="none"/>
        </w:tabs>
        <w:suppressAutoHyphens w:val="false"/>
        <w:spacing w:lineRule="auto" w:line="276"/>
        <w:ind w:firstLine="709"/>
        <w:jc w:val="both"/>
        <w:rPr>
          <w:rFonts w:ascii="Calibri" w:hAnsi="Calibri" w:cs="Calibri"/>
          <w:b/>
          <w:b/>
          <w:bCs/>
          <w:sz w:val="24"/>
        </w:rPr>
      </w:pPr>
      <w:r>
        <w:rPr>
          <w:rFonts w:cs="Calibri" w:ascii="Calibri" w:hAnsi="Calibri"/>
          <w:b/>
          <w:bCs/>
          <w:sz w:val="24"/>
        </w:rPr>
      </w:r>
    </w:p>
    <w:p>
      <w:pPr>
        <w:pStyle w:val="Normal"/>
        <w:tabs>
          <w:tab w:val="clear" w:pos="720"/>
          <w:tab w:val="left" w:pos="709" w:leader="none"/>
        </w:tabs>
        <w:suppressAutoHyphens w:val="false"/>
        <w:spacing w:lineRule="auto" w:line="276"/>
        <w:jc w:val="both"/>
        <w:rPr>
          <w:rFonts w:ascii="Calibri" w:hAnsi="Calibri"/>
        </w:rPr>
      </w:pPr>
      <w:r>
        <w:rPr>
          <w:rFonts w:cs="Calibri" w:ascii="Calibri" w:hAnsi="Calibri"/>
          <w:b/>
          <w:sz w:val="24"/>
          <w:lang w:eastAsia="en-US"/>
        </w:rPr>
        <w:t>Do recebimento</w:t>
      </w:r>
    </w:p>
    <w:p>
      <w:pPr>
        <w:pStyle w:val="Normal"/>
        <w:tabs>
          <w:tab w:val="clear" w:pos="720"/>
          <w:tab w:val="left" w:pos="567" w:leader="none"/>
        </w:tabs>
        <w:spacing w:lineRule="auto" w:line="276"/>
        <w:ind w:firstLine="709"/>
        <w:jc w:val="both"/>
        <w:rPr>
          <w:rFonts w:ascii="Calibri" w:hAnsi="Calibri"/>
        </w:rPr>
      </w:pPr>
      <w:r>
        <w:rPr>
          <w:rFonts w:cs="Calibri" w:ascii="Calibri" w:hAnsi="Calibri"/>
          <w:sz w:val="24"/>
        </w:rPr>
        <w:t>9.6</w:t>
        <w:tab/>
        <w:t>Deverão ser observados os seguintes aspectos gerais referentes aos Procedimentos Administrativos:</w:t>
      </w:r>
    </w:p>
    <w:p>
      <w:pPr>
        <w:pStyle w:val="Normal"/>
        <w:tabs>
          <w:tab w:val="clear" w:pos="720"/>
          <w:tab w:val="left" w:pos="567" w:leader="none"/>
        </w:tabs>
        <w:spacing w:lineRule="auto" w:line="276"/>
        <w:ind w:firstLine="709"/>
        <w:jc w:val="both"/>
        <w:rPr>
          <w:rFonts w:ascii="Calibri" w:hAnsi="Calibri"/>
        </w:rPr>
      </w:pPr>
      <w:r>
        <w:rPr>
          <w:rFonts w:cs="Calibri" w:ascii="Calibri" w:hAnsi="Calibri"/>
          <w:sz w:val="24"/>
        </w:rPr>
        <w:tab/>
        <w:tab/>
        <w:t>9.6.1</w:t>
        <w:tab/>
        <w:t>Os modelos dos relatórios de glosa e contraglosa poderão compor os instrumentos contratuais. As glosas administrativas deverão considerar:</w:t>
      </w:r>
    </w:p>
    <w:p>
      <w:pPr>
        <w:pStyle w:val="Normal"/>
        <w:spacing w:lineRule="auto" w:line="276"/>
        <w:ind w:firstLine="709"/>
        <w:jc w:val="both"/>
        <w:rPr>
          <w:rFonts w:ascii="Calibri" w:hAnsi="Calibri"/>
        </w:rPr>
      </w:pPr>
      <w:r>
        <w:rPr>
          <w:rFonts w:cs="Calibri" w:ascii="Calibri" w:hAnsi="Calibri"/>
          <w:sz w:val="24"/>
        </w:rPr>
        <w:t>a)</w:t>
        <w:tab/>
        <w:t>os valores acordados, os prazos definidos, as autorizações dos eventos,</w:t>
      </w:r>
    </w:p>
    <w:p>
      <w:pPr>
        <w:pStyle w:val="Normal"/>
        <w:spacing w:lineRule="auto" w:line="276"/>
        <w:ind w:firstLine="709"/>
        <w:jc w:val="both"/>
        <w:rPr>
          <w:rFonts w:ascii="Calibri" w:hAnsi="Calibri"/>
        </w:rPr>
      </w:pPr>
      <w:r>
        <w:rPr>
          <w:rFonts w:cs="Calibri" w:ascii="Calibri" w:hAnsi="Calibri"/>
          <w:sz w:val="24"/>
        </w:rPr>
        <w:t>b)</w:t>
        <w:tab/>
        <w:t>identificação dos usuários, os preenchimentos dos formulários e dos documentos exigidos; e</w:t>
      </w:r>
    </w:p>
    <w:p>
      <w:pPr>
        <w:pStyle w:val="Normal"/>
        <w:spacing w:lineRule="auto" w:line="276"/>
        <w:ind w:firstLine="709"/>
        <w:jc w:val="both"/>
        <w:rPr>
          <w:rFonts w:ascii="Calibri" w:hAnsi="Calibri"/>
        </w:rPr>
      </w:pPr>
      <w:r>
        <w:rPr>
          <w:rFonts w:cs="Calibri" w:ascii="Calibri" w:hAnsi="Calibri"/>
          <w:sz w:val="24"/>
        </w:rPr>
        <w:t>c)</w:t>
        <w:tab/>
        <w:t>os prazos para o recebimento das faturas para a realização de auditoria e para a apresentação da contraglosa.</w:t>
      </w:r>
    </w:p>
    <w:p>
      <w:pPr>
        <w:pStyle w:val="Normal"/>
        <w:widowControl w:val="false"/>
        <w:tabs>
          <w:tab w:val="clear" w:pos="720"/>
          <w:tab w:val="left" w:pos="567" w:leader="none"/>
        </w:tabs>
        <w:spacing w:lineRule="auto" w:line="276"/>
        <w:ind w:firstLine="709"/>
        <w:jc w:val="both"/>
        <w:rPr>
          <w:rFonts w:ascii="Calibri" w:hAnsi="Calibri"/>
        </w:rPr>
      </w:pPr>
      <w:r>
        <w:rPr>
          <w:rFonts w:cs="Calibri" w:ascii="Calibri" w:hAnsi="Calibri"/>
          <w:sz w:val="24"/>
        </w:rPr>
        <w:t>9.7</w:t>
        <w:tab/>
        <w:t>As faturas deverão ser entregues até o dia 10 (dez) do mês subsequente ao atendimento, ou seja, para aos serviços prestados até o dia 30 (trinta) do mês de referência.</w:t>
      </w:r>
    </w:p>
    <w:p>
      <w:pPr>
        <w:pStyle w:val="Normal"/>
        <w:widowControl w:val="false"/>
        <w:tabs>
          <w:tab w:val="clear" w:pos="720"/>
          <w:tab w:val="left" w:pos="567" w:leader="none"/>
        </w:tabs>
        <w:spacing w:lineRule="auto" w:line="276"/>
        <w:ind w:firstLine="709"/>
        <w:jc w:val="both"/>
        <w:rPr>
          <w:rFonts w:ascii="Calibri" w:hAnsi="Calibri"/>
        </w:rPr>
      </w:pPr>
      <w:r>
        <w:rPr>
          <w:rFonts w:cs="Calibri" w:ascii="Calibri" w:hAnsi="Calibri"/>
          <w:sz w:val="24"/>
        </w:rPr>
        <w:t>9.8</w:t>
        <w:tab/>
        <w:t>O procedimento de aferição as faturas dar-se-á da seguinte forma:</w:t>
      </w:r>
    </w:p>
    <w:p>
      <w:pPr>
        <w:pStyle w:val="Normal"/>
        <w:widowControl w:val="false"/>
        <w:tabs>
          <w:tab w:val="clear" w:pos="720"/>
          <w:tab w:val="left" w:pos="993" w:leader="none"/>
        </w:tabs>
        <w:spacing w:lineRule="auto" w:line="276"/>
        <w:ind w:firstLine="709"/>
        <w:jc w:val="both"/>
        <w:rPr>
          <w:rFonts w:ascii="Calibri" w:hAnsi="Calibri"/>
          <w:b/>
          <w:b/>
          <w:bCs/>
        </w:rPr>
      </w:pPr>
      <w:r>
        <w:rPr>
          <w:rFonts w:cs="Calibri" w:ascii="Calibri" w:hAnsi="Calibri"/>
          <w:b/>
          <w:bCs/>
          <w:sz w:val="24"/>
        </w:rPr>
        <w:tab/>
        <w:t>9.8.1</w:t>
        <w:tab/>
        <w:t>Somente serão aceitas faturas com as guias originais.</w:t>
      </w:r>
    </w:p>
    <w:p>
      <w:pPr>
        <w:pStyle w:val="Normal"/>
        <w:widowControl w:val="false"/>
        <w:tabs>
          <w:tab w:val="clear" w:pos="720"/>
          <w:tab w:val="left" w:pos="993" w:leader="none"/>
        </w:tabs>
        <w:spacing w:lineRule="auto" w:line="276"/>
        <w:ind w:firstLine="709"/>
        <w:jc w:val="both"/>
        <w:rPr>
          <w:rFonts w:ascii="Calibri" w:hAnsi="Calibri"/>
        </w:rPr>
      </w:pPr>
      <w:r>
        <w:rPr>
          <w:rFonts w:cs="Calibri" w:ascii="Calibri" w:hAnsi="Calibri"/>
          <w:sz w:val="24"/>
        </w:rPr>
        <w:tab/>
        <w:t>9.8.2</w:t>
        <w:tab/>
        <w:t>As faturas serão auditadas a fim de verificar eventuais inconformidades e os valores, parcial ou totalmente glosados, serão informados à CREDENCIADA, no prazo de 30 (trinta) dias, com as razões das glosas efetuadas, discriminando o item e o valor destas, através do Relatório de Glosas;</w:t>
      </w:r>
    </w:p>
    <w:p>
      <w:pPr>
        <w:pStyle w:val="Normal"/>
        <w:widowControl w:val="false"/>
        <w:tabs>
          <w:tab w:val="clear" w:pos="720"/>
          <w:tab w:val="left" w:pos="993" w:leader="none"/>
        </w:tabs>
        <w:spacing w:lineRule="auto" w:line="276"/>
        <w:ind w:firstLine="709"/>
        <w:jc w:val="both"/>
        <w:rPr>
          <w:rFonts w:ascii="Calibri" w:hAnsi="Calibri"/>
        </w:rPr>
      </w:pPr>
      <w:r>
        <w:rPr>
          <w:rFonts w:cs="Calibri" w:ascii="Calibri" w:hAnsi="Calibri"/>
          <w:sz w:val="24"/>
        </w:rPr>
        <w:tab/>
        <w:t>9.8.3</w:t>
        <w:tab/>
        <w:t>A CREDENCIADA deverá notificar o recebimento do Relatório de Glosas, por meio do correio eletrônico, podendo ser enviado o relatório fisicamente, caso seja necessário;</w:t>
      </w:r>
    </w:p>
    <w:p>
      <w:pPr>
        <w:pStyle w:val="Normal"/>
        <w:widowControl w:val="false"/>
        <w:tabs>
          <w:tab w:val="clear" w:pos="720"/>
          <w:tab w:val="left" w:pos="993" w:leader="none"/>
        </w:tabs>
        <w:spacing w:lineRule="auto" w:line="276"/>
        <w:ind w:firstLine="709"/>
        <w:jc w:val="both"/>
        <w:rPr>
          <w:rFonts w:ascii="Calibri" w:hAnsi="Calibri"/>
        </w:rPr>
      </w:pPr>
      <w:r>
        <w:rPr>
          <w:rFonts w:cs="Calibri" w:ascii="Calibri" w:hAnsi="Calibri"/>
          <w:color w:val="0066FF"/>
          <w:sz w:val="24"/>
        </w:rPr>
        <w:tab/>
        <w:t>9.8.4</w:t>
      </w:r>
      <w:r>
        <w:rPr>
          <w:rFonts w:cs="Calibri" w:ascii="Calibri" w:hAnsi="Calibri"/>
          <w:sz w:val="24"/>
        </w:rPr>
        <w:tab/>
        <w:t xml:space="preserve">O recurso de glosa poderá ser apresentado em até </w:t>
      </w:r>
      <w:r>
        <w:rPr>
          <w:rFonts w:cs="Calibri" w:ascii="Calibri" w:hAnsi="Calibri"/>
          <w:color w:val="0066FF"/>
          <w:sz w:val="24"/>
        </w:rPr>
        <w:t>03</w:t>
      </w:r>
      <w:r>
        <w:rPr>
          <w:rFonts w:cs="Calibri" w:ascii="Calibri" w:hAnsi="Calibri"/>
          <w:color w:val="0066FF"/>
          <w:sz w:val="24"/>
        </w:rPr>
        <w:t xml:space="preserve"> (</w:t>
      </w:r>
      <w:r>
        <w:rPr>
          <w:rFonts w:eastAsia="Times New Roman" w:cs="Calibri" w:ascii="Calibri" w:hAnsi="Calibri"/>
          <w:color w:val="0066FF"/>
          <w:kern w:val="0"/>
          <w:sz w:val="24"/>
          <w:szCs w:val="24"/>
          <w:lang w:val="pt-BR" w:eastAsia="pt-BR" w:bidi="ar-SA"/>
        </w:rPr>
        <w:t>três</w:t>
      </w:r>
      <w:r>
        <w:rPr>
          <w:rFonts w:cs="Calibri" w:ascii="Calibri" w:hAnsi="Calibri"/>
          <w:color w:val="0066FF"/>
          <w:sz w:val="24"/>
        </w:rPr>
        <w:t xml:space="preserve">) dias </w:t>
      </w:r>
      <w:r>
        <w:rPr>
          <w:rFonts w:cs="Calibri" w:ascii="Calibri" w:hAnsi="Calibri"/>
          <w:color w:val="0066FF"/>
          <w:sz w:val="24"/>
        </w:rPr>
        <w:t>úteis</w:t>
      </w:r>
      <w:r>
        <w:rPr>
          <w:rFonts w:cs="Calibri" w:ascii="Calibri" w:hAnsi="Calibri"/>
          <w:sz w:val="24"/>
        </w:rPr>
        <w:t>; após a autorização para emissão da Nota Fiscal;</w:t>
      </w:r>
    </w:p>
    <w:p>
      <w:pPr>
        <w:pStyle w:val="Normal"/>
        <w:widowControl w:val="false"/>
        <w:tabs>
          <w:tab w:val="clear" w:pos="720"/>
          <w:tab w:val="left" w:pos="993" w:leader="none"/>
        </w:tabs>
        <w:spacing w:lineRule="auto" w:line="276"/>
        <w:ind w:firstLine="709"/>
        <w:jc w:val="both"/>
        <w:rPr>
          <w:rFonts w:ascii="Calibri" w:hAnsi="Calibri"/>
        </w:rPr>
      </w:pPr>
      <w:r>
        <w:rPr>
          <w:rFonts w:cs="Calibri" w:ascii="Calibri" w:hAnsi="Calibri"/>
          <w:sz w:val="24"/>
        </w:rPr>
        <w:tab/>
        <w:t>9.8.5</w:t>
        <w:tab/>
        <w:t>A CONTRATANTE terá o prazo máximo de 15 (quinze) dias para julgar o recurso de glosa apresentado pela CREDENCIADA.</w:t>
      </w:r>
    </w:p>
    <w:p>
      <w:pPr>
        <w:pStyle w:val="Normal"/>
        <w:widowControl w:val="false"/>
        <w:tabs>
          <w:tab w:val="clear" w:pos="720"/>
          <w:tab w:val="left" w:pos="993" w:leader="none"/>
        </w:tabs>
        <w:spacing w:lineRule="auto" w:line="276"/>
        <w:ind w:firstLine="709"/>
        <w:jc w:val="both"/>
        <w:rPr>
          <w:rFonts w:ascii="Calibri" w:hAnsi="Calibri"/>
        </w:rPr>
      </w:pPr>
      <w:r>
        <w:rPr>
          <w:rFonts w:cs="Calibri" w:ascii="Calibri" w:hAnsi="Calibri"/>
          <w:sz w:val="24"/>
        </w:rPr>
        <w:tab/>
        <w:t>9.8.6</w:t>
        <w:tab/>
        <w:t>Uma vez procedente o recurso da glosa, a CONTRATANTE efetuará o pagamento. Caso contrário, a CONTRATANTE informará o resultado à CREDENCIADA e arquivará a documentação.</w:t>
      </w:r>
    </w:p>
    <w:p>
      <w:pPr>
        <w:pStyle w:val="Normal"/>
        <w:widowControl w:val="false"/>
        <w:tabs>
          <w:tab w:val="clear" w:pos="720"/>
          <w:tab w:val="left" w:pos="567" w:leader="none"/>
        </w:tabs>
        <w:spacing w:lineRule="auto" w:line="276"/>
        <w:ind w:firstLine="709"/>
        <w:jc w:val="both"/>
        <w:rPr>
          <w:rFonts w:ascii="Calibri" w:hAnsi="Calibri"/>
        </w:rPr>
      </w:pPr>
      <w:r>
        <w:rPr>
          <w:rFonts w:cs="Calibri" w:ascii="Calibri" w:hAnsi="Calibri"/>
          <w:sz w:val="24"/>
        </w:rPr>
        <w:t>9.9</w:t>
        <w:tab/>
        <w:t>Toda situação anormal, que impossibilite ou prejudique o pagamento das despesas, será imediatamente informada ao CONTRATADO.</w:t>
      </w:r>
    </w:p>
    <w:p>
      <w:pPr>
        <w:pStyle w:val="Normal"/>
        <w:widowControl w:val="false"/>
        <w:tabs>
          <w:tab w:val="clear" w:pos="720"/>
          <w:tab w:val="left" w:pos="993" w:leader="none"/>
        </w:tabs>
        <w:spacing w:lineRule="auto" w:line="276"/>
        <w:ind w:firstLine="709"/>
        <w:jc w:val="both"/>
        <w:rPr>
          <w:rFonts w:ascii="Calibri" w:hAnsi="Calibri"/>
        </w:rPr>
      </w:pPr>
      <w:r>
        <w:rPr>
          <w:rFonts w:cs="Calibri" w:ascii="Calibri" w:hAnsi="Calibri"/>
          <w:sz w:val="24"/>
        </w:rPr>
        <w:t>9.10</w:t>
        <w:tab/>
        <w:t>O desconto de qualquer valor no pagamento devido ao CONTRATADO será precedido de processo administrativo em que será garantido o contraditório e a ampla defesa, com os recursos e meios que lhes são inerentes.</w:t>
      </w:r>
    </w:p>
    <w:p>
      <w:pPr>
        <w:pStyle w:val="Normal"/>
        <w:widowControl w:val="false"/>
        <w:tabs>
          <w:tab w:val="clear" w:pos="720"/>
          <w:tab w:val="left" w:pos="709" w:leader="none"/>
        </w:tabs>
        <w:spacing w:lineRule="auto" w:line="276"/>
        <w:ind w:firstLine="709"/>
        <w:jc w:val="both"/>
        <w:rPr>
          <w:rFonts w:ascii="Calibri" w:hAnsi="Calibri"/>
        </w:rPr>
      </w:pPr>
      <w:r>
        <w:rPr>
          <w:rFonts w:cs="Calibri" w:ascii="Calibri" w:hAnsi="Calibri"/>
          <w:sz w:val="24"/>
        </w:rPr>
        <w:t>9.11</w:t>
        <w:tab/>
        <w:t>É vedado ao CONTRATADO transferir a terceiros os direitos ou créditos decorrentes do contrato.</w:t>
      </w:r>
    </w:p>
    <w:p>
      <w:pPr>
        <w:pStyle w:val="Normal"/>
        <w:spacing w:lineRule="auto" w:line="276"/>
        <w:ind w:firstLine="709"/>
        <w:jc w:val="both"/>
        <w:rPr>
          <w:rFonts w:ascii="Calibri" w:hAnsi="Calibri"/>
        </w:rPr>
      </w:pPr>
      <w:r>
        <w:rPr>
          <w:rFonts w:cs="Calibri" w:ascii="Calibri" w:hAnsi="Calibri"/>
          <w:sz w:val="24"/>
        </w:rPr>
        <w:t>9.12</w:t>
        <w:tab/>
        <w:t xml:space="preserve">É imprescindível que conste no contrato, o prazo para comunicação e solicitação de Guias de Apresentação do Usuário (GAU) para as internações de urgência e de emergência. Neste caso, </w:t>
      </w:r>
      <w:r>
        <w:rPr>
          <w:rFonts w:cs="Calibri" w:ascii="Calibri" w:hAnsi="Calibri"/>
          <w:b/>
          <w:sz w:val="24"/>
        </w:rPr>
        <w:t>o contato entre a OSE com a OMH/OMFM</w:t>
      </w:r>
      <w:r>
        <w:rPr>
          <w:rFonts w:cs="Calibri" w:ascii="Calibri" w:hAnsi="Calibri"/>
          <w:sz w:val="24"/>
        </w:rPr>
        <w:t xml:space="preserve"> não poderá ultrapassar o período de 48 horas, sendo preferencialmente no período de 24 horas. Sempre com notificação inicial ao Fiscal do contrato.</w:t>
      </w:r>
    </w:p>
    <w:p>
      <w:pPr>
        <w:pStyle w:val="Normal"/>
        <w:tabs>
          <w:tab w:val="clear" w:pos="720"/>
          <w:tab w:val="left" w:pos="567" w:leader="none"/>
        </w:tabs>
        <w:spacing w:lineRule="auto" w:line="276"/>
        <w:ind w:firstLine="709"/>
        <w:jc w:val="both"/>
        <w:rPr>
          <w:rFonts w:ascii="Calibri" w:hAnsi="Calibri"/>
        </w:rPr>
      </w:pPr>
      <w:r>
        <w:rPr>
          <w:rFonts w:cs="Calibri" w:ascii="Calibri" w:hAnsi="Calibri"/>
          <w:b/>
          <w:iCs/>
          <w:sz w:val="24"/>
        </w:rPr>
        <w:t>9.13</w:t>
        <w:tab/>
        <w:t>A emissão da Fatura deve ser precedida do recebimento definitivo dos serviços, nos termos abaixo.</w:t>
      </w:r>
    </w:p>
    <w:p>
      <w:pPr>
        <w:pStyle w:val="Normal"/>
        <w:tabs>
          <w:tab w:val="clear" w:pos="720"/>
          <w:tab w:val="left" w:pos="683" w:leader="none"/>
        </w:tabs>
        <w:spacing w:lineRule="auto" w:line="276"/>
        <w:ind w:firstLine="709"/>
        <w:jc w:val="both"/>
        <w:rPr>
          <w:rFonts w:ascii="Calibri" w:hAnsi="Calibri"/>
        </w:rPr>
      </w:pPr>
      <w:r>
        <w:rPr>
          <w:rFonts w:cs="Calibri" w:ascii="Calibri" w:hAnsi="Calibri"/>
          <w:sz w:val="24"/>
        </w:rPr>
        <w:t>9.14</w:t>
        <w:tab/>
        <w:t>O recebimento provisório será realizado pelo fiscal técnico e setorial ou pela equipe de fiscalização após a entrega da documentação acima, da seguinte forma:</w:t>
      </w:r>
    </w:p>
    <w:p>
      <w:pPr>
        <w:pStyle w:val="Normal"/>
        <w:tabs>
          <w:tab w:val="clear" w:pos="720"/>
          <w:tab w:val="left" w:pos="0" w:leader="none"/>
        </w:tabs>
        <w:spacing w:lineRule="auto" w:line="276"/>
        <w:jc w:val="both"/>
        <w:rPr>
          <w:rFonts w:ascii="Calibri" w:hAnsi="Calibri"/>
        </w:rPr>
      </w:pPr>
      <w:r>
        <w:rPr>
          <w:rFonts w:cs="Calibri" w:ascii="Calibri" w:hAnsi="Calibri"/>
          <w:sz w:val="24"/>
        </w:rPr>
        <w:tab/>
        <w:tab/>
        <w:t>9.14.1</w:t>
        <w:tab/>
        <w:t xml:space="preserve">A contratante realizará conferência, mediante elaboração de termo detalhado pelo fiscal e gestor de contratos, referente ao cumprimento das exigências contratuais na prestação do serviço. </w:t>
      </w:r>
    </w:p>
    <w:p>
      <w:pPr>
        <w:pStyle w:val="Normal"/>
        <w:tabs>
          <w:tab w:val="clear" w:pos="720"/>
          <w:tab w:val="left" w:pos="0" w:leader="none"/>
        </w:tabs>
        <w:spacing w:lineRule="auto" w:line="276"/>
        <w:jc w:val="both"/>
        <w:rPr>
          <w:rFonts w:ascii="Calibri" w:hAnsi="Calibri"/>
        </w:rPr>
      </w:pPr>
      <w:r>
        <w:rPr>
          <w:rFonts w:cs="Calibri" w:ascii="Calibri" w:hAnsi="Calibri"/>
          <w:sz w:val="24"/>
        </w:rPr>
        <w:tab/>
        <w:tab/>
        <w:t>9.14.2</w:t>
        <w:tab/>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 se for o caso.</w:t>
      </w:r>
    </w:p>
    <w:p>
      <w:pPr>
        <w:pStyle w:val="Nivel3"/>
        <w:suppressAutoHyphens w:val="false"/>
        <w:spacing w:before="0" w:after="0"/>
        <w:ind w:left="0" w:firstLine="709"/>
        <w:rPr>
          <w:rFonts w:ascii="Calibri" w:hAnsi="Calibri"/>
        </w:rPr>
      </w:pPr>
      <w:r>
        <w:drawing>
          <wp:anchor behindDoc="1" distT="0" distB="0" distL="0" distR="0" simplePos="0" locked="0" layoutInCell="0" allowOverlap="1" relativeHeight="14">
            <wp:simplePos x="0" y="0"/>
            <wp:positionH relativeFrom="page">
              <wp:posOffset>6134100</wp:posOffset>
            </wp:positionH>
            <wp:positionV relativeFrom="page">
              <wp:posOffset>109855</wp:posOffset>
            </wp:positionV>
            <wp:extent cx="1080135" cy="1080135"/>
            <wp:effectExtent l="0" t="0" r="0" b="0"/>
            <wp:wrapNone/>
            <wp:docPr id="13" name="Figura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a13" descr=""/>
                    <pic:cNvPicPr>
                      <a:picLocks noChangeAspect="1" noChangeArrowheads="1"/>
                    </pic:cNvPicPr>
                  </pic:nvPicPr>
                  <pic:blipFill>
                    <a:blip r:embed="rId18"/>
                    <a:stretch>
                      <a:fillRect/>
                    </a:stretch>
                  </pic:blipFill>
                  <pic:spPr bwMode="auto">
                    <a:xfrm>
                      <a:off x="0" y="0"/>
                      <a:ext cx="1080135" cy="1080135"/>
                    </a:xfrm>
                    <a:prstGeom prst="rect">
                      <a:avLst/>
                    </a:prstGeom>
                  </pic:spPr>
                </pic:pic>
              </a:graphicData>
            </a:graphic>
          </wp:anchor>
        </w:drawing>
      </w:r>
      <w:r>
        <w:rPr>
          <w:rFonts w:cs="Calibri" w:ascii="Calibri" w:hAnsi="Calibri"/>
          <w:sz w:val="24"/>
          <w:szCs w:val="24"/>
          <w:lang w:eastAsia="en-US"/>
        </w:rPr>
        <w:tab/>
        <w:tab/>
        <w:t>9.14.3</w:t>
        <w:tab/>
        <w:t>Será considerado como ocorrido o recebimento provisório com a entrega do termo detalhado ou, em havendo mais de um a ser feito, com a entrega do último.</w:t>
      </w:r>
    </w:p>
    <w:p>
      <w:pPr>
        <w:pStyle w:val="Normal"/>
        <w:tabs>
          <w:tab w:val="clear" w:pos="720"/>
          <w:tab w:val="left" w:pos="1276" w:leader="none"/>
        </w:tabs>
        <w:spacing w:lineRule="auto" w:line="276"/>
        <w:ind w:firstLine="709"/>
        <w:jc w:val="both"/>
        <w:rPr>
          <w:rFonts w:ascii="Calibri" w:hAnsi="Calibri"/>
        </w:rPr>
      </w:pPr>
      <w:r>
        <w:rPr>
          <w:rFonts w:cs="Calibri" w:ascii="Calibri" w:hAnsi="Calibri"/>
          <w:sz w:val="24"/>
          <w:lang w:eastAsia="en-US"/>
        </w:rPr>
        <w:t>9.15</w:t>
        <w:tab/>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w:t>
      </w:r>
      <w:r>
        <w:rPr>
          <w:rFonts w:cs="Calibri" w:ascii="Calibri" w:hAnsi="Calibri"/>
          <w:color w:val="auto"/>
          <w:sz w:val="24"/>
          <w:u w:val="none"/>
          <w:lang w:eastAsia="en-US"/>
        </w:rPr>
        <w:t>ntadas no Recebimento Provisório;</w:t>
      </w:r>
    </w:p>
    <w:p>
      <w:pPr>
        <w:pStyle w:val="Nivel3"/>
        <w:suppressAutoHyphens w:val="false"/>
        <w:spacing w:before="0" w:after="0"/>
        <w:ind w:left="0" w:firstLine="709"/>
        <w:rPr/>
      </w:pPr>
      <w:r>
        <w:rPr>
          <w:rFonts w:cs="Calibri" w:ascii="Calibri" w:hAnsi="Calibri"/>
          <w:color w:val="auto"/>
          <w:sz w:val="24"/>
          <w:szCs w:val="24"/>
          <w:u w:val="none"/>
          <w:lang w:eastAsia="en-US"/>
        </w:rPr>
        <w:t>9.16</w:t>
        <w:tab/>
        <w:t>A fiscalização não efetuará o ateste da última e/ou única medição de serviços até que sejam sanadas todas as eventuais pendências que possam vir a ser apontadas no Recebimento Provisório. (</w:t>
      </w:r>
      <w:r>
        <w:fldChar w:fldCharType="begin"/>
      </w:r>
      <w:r>
        <w:rPr>
          <w:rStyle w:val="LinkdaInternet"/>
          <w:sz w:val="24"/>
          <w:u w:val="none"/>
          <w:szCs w:val="24"/>
          <w:rFonts w:cs="Calibri" w:ascii="Calibri" w:hAnsi="Calibri"/>
          <w:color w:val="auto"/>
          <w:lang w:eastAsia="en-US"/>
        </w:rPr>
        <w:instrText> HYPERLINK "http://www.planalto.gov.br/ccivil_03/_ato2019-2022/2021/lei/L14133.htm" \l "art119"</w:instrText>
      </w:r>
      <w:r>
        <w:rPr>
          <w:rStyle w:val="LinkdaInternet"/>
          <w:sz w:val="24"/>
          <w:u w:val="none"/>
          <w:szCs w:val="24"/>
          <w:rFonts w:cs="Calibri" w:ascii="Calibri" w:hAnsi="Calibri"/>
          <w:color w:val="auto"/>
          <w:lang w:eastAsia="en-US"/>
        </w:rPr>
        <w:fldChar w:fldCharType="separate"/>
      </w:r>
      <w:r>
        <w:rPr>
          <w:rStyle w:val="LinkdaInternet"/>
          <w:rFonts w:cs="Calibri" w:ascii="Calibri" w:hAnsi="Calibri"/>
          <w:color w:val="auto"/>
          <w:sz w:val="24"/>
          <w:szCs w:val="24"/>
          <w:u w:val="none"/>
          <w:lang w:eastAsia="en-US"/>
        </w:rPr>
        <w:t>Art. 119 c/c art. 140 da Lei nº 14133, de 2021</w:t>
      </w:r>
      <w:r>
        <w:rPr>
          <w:rStyle w:val="LinkdaInternet"/>
          <w:sz w:val="24"/>
          <w:u w:val="none"/>
          <w:szCs w:val="24"/>
          <w:rFonts w:cs="Calibri" w:ascii="Calibri" w:hAnsi="Calibri"/>
          <w:color w:val="auto"/>
          <w:lang w:eastAsia="en-US"/>
        </w:rPr>
        <w:fldChar w:fldCharType="end"/>
      </w:r>
      <w:r>
        <w:rPr>
          <w:rFonts w:cs="Calibri" w:ascii="Calibri" w:hAnsi="Calibri"/>
          <w:color w:val="auto"/>
          <w:sz w:val="24"/>
          <w:szCs w:val="24"/>
          <w:u w:val="none"/>
          <w:lang w:eastAsia="en-US"/>
        </w:rPr>
        <w:t>)</w:t>
      </w:r>
    </w:p>
    <w:p>
      <w:pPr>
        <w:pStyle w:val="Nivel3"/>
        <w:suppressAutoHyphens w:val="false"/>
        <w:spacing w:before="0" w:after="0"/>
        <w:ind w:left="0" w:firstLine="709"/>
        <w:rPr>
          <w:color w:val="auto"/>
          <w:u w:val="none"/>
        </w:rPr>
      </w:pPr>
      <w:r>
        <w:drawing>
          <wp:anchor behindDoc="1" distT="0" distB="0" distL="0" distR="0" simplePos="0" locked="0" layoutInCell="0" allowOverlap="1" relativeHeight="15">
            <wp:simplePos x="0" y="0"/>
            <wp:positionH relativeFrom="page">
              <wp:posOffset>6134100</wp:posOffset>
            </wp:positionH>
            <wp:positionV relativeFrom="page">
              <wp:posOffset>109855</wp:posOffset>
            </wp:positionV>
            <wp:extent cx="1080135" cy="1080135"/>
            <wp:effectExtent l="0" t="0" r="0" b="0"/>
            <wp:wrapNone/>
            <wp:docPr id="14" name="Figura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14" descr=""/>
                    <pic:cNvPicPr>
                      <a:picLocks noChangeAspect="1" noChangeArrowheads="1"/>
                    </pic:cNvPicPr>
                  </pic:nvPicPr>
                  <pic:blipFill>
                    <a:blip r:embed="rId19"/>
                    <a:stretch>
                      <a:fillRect/>
                    </a:stretch>
                  </pic:blipFill>
                  <pic:spPr bwMode="auto">
                    <a:xfrm>
                      <a:off x="0" y="0"/>
                      <a:ext cx="1080135" cy="1080135"/>
                    </a:xfrm>
                    <a:prstGeom prst="rect">
                      <a:avLst/>
                    </a:prstGeom>
                  </pic:spPr>
                </pic:pic>
              </a:graphicData>
            </a:graphic>
          </wp:anchor>
        </w:drawing>
      </w:r>
      <w:r>
        <w:rPr>
          <w:rFonts w:cs="Calibri" w:ascii="Calibri" w:hAnsi="Calibri"/>
          <w:color w:val="auto"/>
          <w:sz w:val="24"/>
          <w:szCs w:val="24"/>
          <w:u w:val="none"/>
          <w:lang w:eastAsia="en-US"/>
        </w:rPr>
        <w:t>9.17</w:t>
        <w:tab/>
        <w:t>O recebimento provisório também ficará sujeito, quando cabível, à conclusão de todos os testes de campo e à entrega  Manuais e Instruções exigíveis, que poderá ser realizado pelo Fiscal ou servidor civil ou Militar designado.</w:t>
      </w:r>
    </w:p>
    <w:p>
      <w:pPr>
        <w:pStyle w:val="Nivel3"/>
        <w:suppressAutoHyphens w:val="false"/>
        <w:spacing w:before="0" w:after="0"/>
        <w:ind w:left="0" w:firstLine="709"/>
        <w:rPr>
          <w:rFonts w:ascii="Calibri" w:hAnsi="Calibri" w:cs="Calibri"/>
          <w:sz w:val="24"/>
          <w:szCs w:val="24"/>
          <w:lang w:eastAsia="en-US"/>
        </w:rPr>
      </w:pPr>
      <w:r>
        <w:rPr>
          <w:rFonts w:cs="Calibri" w:ascii="Calibri" w:hAnsi="Calibri"/>
          <w:color w:val="auto"/>
          <w:sz w:val="24"/>
          <w:szCs w:val="24"/>
          <w:u w:val="none"/>
          <w:lang w:eastAsia="en-US"/>
        </w:rPr>
        <w:t>9.18</w:t>
        <w:tab/>
        <w:t>Os serviços poderão ser rejeitados, no todo ou em par</w:t>
      </w:r>
      <w:r>
        <w:rPr>
          <w:rFonts w:cs="Calibri" w:ascii="Calibri" w:hAnsi="Calibri"/>
          <w:sz w:val="24"/>
          <w:szCs w:val="24"/>
          <w:lang w:eastAsia="en-US"/>
        </w:rPr>
        <w:t>te, quando em desacordo com as especificações constantes neste Termo de Referência e na proposta, sem prejuízo da aplicação das penalidades.</w:t>
      </w:r>
    </w:p>
    <w:p>
      <w:pPr>
        <w:pStyle w:val="Nivel3"/>
        <w:suppressAutoHyphens w:val="false"/>
        <w:spacing w:before="0" w:after="0"/>
        <w:ind w:left="0" w:firstLine="709"/>
        <w:rPr>
          <w:rFonts w:ascii="Calibri" w:hAnsi="Calibri"/>
        </w:rPr>
      </w:pPr>
      <w:r>
        <w:rPr>
          <w:rFonts w:cs="Calibri" w:ascii="Calibri" w:hAnsi="Calibri"/>
          <w:sz w:val="24"/>
          <w:szCs w:val="24"/>
          <w:lang w:eastAsia="en-US"/>
        </w:rPr>
        <w:t xml:space="preserve">9.18.1 </w:t>
      </w:r>
      <w:r>
        <w:rPr>
          <w:rFonts w:cs="Calibri" w:ascii="Calibri" w:hAnsi="Calibri"/>
          <w:b/>
          <w:bCs/>
          <w:sz w:val="24"/>
        </w:rPr>
        <w:t>Em qualquer caso, APENAS serão pagos os materiais previstos no Pacote mas que foram fielmente utilizados/empregados na execução do serviço.</w:t>
      </w:r>
    </w:p>
    <w:p>
      <w:pPr>
        <w:pStyle w:val="Nivel2"/>
        <w:suppressAutoHyphens w:val="false"/>
        <w:spacing w:before="0" w:after="0"/>
        <w:ind w:left="0" w:firstLine="709"/>
        <w:rPr>
          <w:rFonts w:ascii="Calibri" w:hAnsi="Calibri"/>
        </w:rPr>
      </w:pPr>
      <w:r>
        <w:rPr>
          <w:rFonts w:cs="Calibri" w:ascii="Calibri" w:hAnsi="Calibri"/>
          <w:sz w:val="24"/>
          <w:szCs w:val="24"/>
          <w:lang w:eastAsia="en-US"/>
        </w:rPr>
        <w:t>9.19</w:t>
        <w:tab/>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pPr>
        <w:pStyle w:val="Nivel2"/>
        <w:suppressAutoHyphens w:val="false"/>
        <w:spacing w:before="0" w:after="0"/>
        <w:ind w:left="0" w:firstLine="709"/>
        <w:rPr>
          <w:rFonts w:ascii="Calibri" w:hAnsi="Calibri"/>
        </w:rPr>
      </w:pPr>
      <w:r>
        <w:rPr>
          <w:rFonts w:cs="Calibri" w:ascii="Calibri" w:hAnsi="Calibri"/>
          <w:sz w:val="24"/>
          <w:szCs w:val="24"/>
          <w:lang w:eastAsia="en-US"/>
        </w:rPr>
        <w:t>9.20</w:t>
        <w:tab/>
        <w:t>Os serviços serão recebidos definitivamente após a verificação da qualidade e quantidade do serviço e consequente aceitação mediante termo detalhado, obedecendo os seguintes procedimentos:</w:t>
      </w:r>
    </w:p>
    <w:p>
      <w:pPr>
        <w:pStyle w:val="Nivel3"/>
        <w:suppressAutoHyphens w:val="false"/>
        <w:spacing w:before="0" w:after="0"/>
        <w:ind w:left="0" w:firstLine="709"/>
        <w:rPr/>
      </w:pPr>
      <w:r>
        <w:rPr>
          <w:rFonts w:cs="Calibri" w:ascii="Calibri" w:hAnsi="Calibri"/>
          <w:color w:val="auto"/>
          <w:sz w:val="24"/>
          <w:szCs w:val="24"/>
          <w:u w:val="none"/>
          <w:lang w:eastAsia="en-US"/>
        </w:rPr>
        <w:t>9.20.1</w:t>
        <w:tab/>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r>
        <w:fldChar w:fldCharType="begin"/>
      </w:r>
      <w:r>
        <w:rPr>
          <w:rStyle w:val="LinkdaInternet"/>
          <w:sz w:val="24"/>
          <w:u w:val="none"/>
          <w:szCs w:val="24"/>
          <w:rFonts w:cs="Calibri" w:ascii="Calibri" w:hAnsi="Calibri"/>
          <w:color w:val="auto"/>
          <w:lang w:eastAsia="en-US"/>
        </w:rPr>
        <w:instrText> HYPERLINK "http://www.planalto.gov.br/ccivil_03/_ato2019-2022/2022/decreto/D11246.htm" \l "art21"</w:instrText>
      </w:r>
      <w:r>
        <w:rPr>
          <w:rStyle w:val="LinkdaInternet"/>
          <w:sz w:val="24"/>
          <w:u w:val="none"/>
          <w:szCs w:val="24"/>
          <w:rFonts w:cs="Calibri" w:ascii="Calibri" w:hAnsi="Calibri"/>
          <w:color w:val="auto"/>
          <w:lang w:eastAsia="en-US"/>
        </w:rPr>
        <w:fldChar w:fldCharType="separate"/>
      </w:r>
      <w:r>
        <w:rPr>
          <w:rStyle w:val="LinkdaInternet"/>
          <w:rFonts w:cs="Calibri" w:ascii="Calibri" w:hAnsi="Calibri"/>
          <w:color w:val="auto"/>
          <w:sz w:val="24"/>
          <w:szCs w:val="24"/>
          <w:u w:val="none"/>
          <w:lang w:eastAsia="en-US"/>
        </w:rPr>
        <w:t>art. 21, VIII, Decreto nº 11.246, de 2022</w:t>
      </w:r>
      <w:r>
        <w:rPr>
          <w:rStyle w:val="LinkdaInternet"/>
          <w:sz w:val="24"/>
          <w:u w:val="none"/>
          <w:szCs w:val="24"/>
          <w:rFonts w:cs="Calibri" w:ascii="Calibri" w:hAnsi="Calibri"/>
          <w:color w:val="auto"/>
          <w:lang w:eastAsia="en-US"/>
        </w:rPr>
        <w:fldChar w:fldCharType="end"/>
      </w:r>
      <w:r>
        <w:rPr>
          <w:rFonts w:cs="Calibri" w:ascii="Calibri" w:hAnsi="Calibri"/>
          <w:color w:val="auto"/>
          <w:sz w:val="24"/>
          <w:szCs w:val="24"/>
          <w:u w:val="none"/>
          <w:lang w:eastAsia="en-US"/>
        </w:rPr>
        <w:t>).</w:t>
      </w:r>
    </w:p>
    <w:p>
      <w:pPr>
        <w:pStyle w:val="Nivel3"/>
        <w:suppressAutoHyphens w:val="false"/>
        <w:spacing w:before="0" w:after="0"/>
        <w:ind w:left="0" w:firstLine="709"/>
        <w:rPr>
          <w:color w:val="auto"/>
          <w:u w:val="none"/>
        </w:rPr>
      </w:pPr>
      <w:r>
        <w:rPr>
          <w:rFonts w:cs="Calibri" w:ascii="Calibri" w:hAnsi="Calibri"/>
          <w:color w:val="auto"/>
          <w:sz w:val="24"/>
          <w:szCs w:val="24"/>
          <w:u w:val="none"/>
          <w:lang w:eastAsia="en-US"/>
        </w:rPr>
        <w:t>9.20.2</w:t>
        <w:tab/>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pPr>
        <w:pStyle w:val="Nivel3"/>
        <w:suppressAutoHyphens w:val="false"/>
        <w:spacing w:before="0" w:after="0"/>
        <w:ind w:left="0" w:firstLine="709"/>
        <w:rPr>
          <w:color w:val="auto"/>
          <w:u w:val="none"/>
        </w:rPr>
      </w:pPr>
      <w:r>
        <w:rPr>
          <w:rFonts w:cs="Calibri" w:ascii="Calibri" w:hAnsi="Calibri"/>
          <w:color w:val="auto"/>
          <w:sz w:val="24"/>
          <w:szCs w:val="24"/>
          <w:u w:val="none"/>
          <w:lang w:eastAsia="en-US"/>
        </w:rPr>
        <w:t>9.20.3</w:t>
        <w:tab/>
        <w:t>Emitir Termo Detalhado para efeito de recebimento definitivo dos serviços prestados, com base nos relatórios e documentações apresentadas; e</w:t>
      </w:r>
    </w:p>
    <w:p>
      <w:pPr>
        <w:pStyle w:val="Nivel3"/>
        <w:suppressAutoHyphens w:val="false"/>
        <w:spacing w:before="0" w:after="0"/>
        <w:ind w:left="0" w:firstLine="709"/>
        <w:rPr>
          <w:color w:val="auto"/>
          <w:u w:val="none"/>
        </w:rPr>
      </w:pPr>
      <w:r>
        <w:rPr>
          <w:rFonts w:cs="Calibri" w:ascii="Calibri" w:hAnsi="Calibri"/>
          <w:color w:val="auto"/>
          <w:sz w:val="24"/>
          <w:szCs w:val="24"/>
          <w:u w:val="none"/>
          <w:lang w:eastAsia="en-US"/>
        </w:rPr>
        <w:t>9.20.3</w:t>
        <w:tab/>
        <w:t>Comunicar a empresa para que emita a Nota Fiscal ou Fatura, com o valor exato dimensionado pela fiscalização.</w:t>
      </w:r>
    </w:p>
    <w:p>
      <w:pPr>
        <w:pStyle w:val="Nivel3"/>
        <w:suppressAutoHyphens w:val="false"/>
        <w:spacing w:before="0" w:after="0"/>
        <w:ind w:left="0" w:firstLine="709"/>
        <w:rPr>
          <w:color w:val="auto"/>
          <w:u w:val="none"/>
        </w:rPr>
      </w:pPr>
      <w:r>
        <w:rPr>
          <w:rFonts w:cs="Calibri" w:ascii="Calibri" w:hAnsi="Calibri"/>
          <w:color w:val="auto"/>
          <w:sz w:val="24"/>
          <w:szCs w:val="24"/>
          <w:u w:val="none"/>
          <w:lang w:eastAsia="en-US"/>
        </w:rPr>
        <w:t>9.21</w:t>
        <w:tab/>
        <w:t>Enviar a documentação pertinente à Divisão de Finanças para a formalização dos procedimentos de liquidação e pagamento, no valor dimensionado pela fiscalização e gestão.</w:t>
      </w:r>
    </w:p>
    <w:p>
      <w:pPr>
        <w:pStyle w:val="Nivel2"/>
        <w:suppressAutoHyphens w:val="false"/>
        <w:spacing w:before="0" w:after="0"/>
        <w:ind w:left="0" w:firstLine="709"/>
        <w:rPr/>
      </w:pPr>
      <w:r>
        <w:rPr>
          <w:rFonts w:cs="Calibri" w:ascii="Calibri" w:hAnsi="Calibri"/>
          <w:color w:val="auto"/>
          <w:sz w:val="24"/>
          <w:szCs w:val="24"/>
          <w:u w:val="none"/>
          <w:lang w:eastAsia="en-US"/>
        </w:rPr>
        <w:t>9.22</w:t>
        <w:tab/>
        <w:t xml:space="preserve">No caso de controvérsia sobre a execução do objeto, quanto à dimensão, qualidade e quantidade, deverá ser observado o teor do </w:t>
      </w:r>
      <w:r>
        <w:fldChar w:fldCharType="begin"/>
      </w:r>
      <w:r>
        <w:rPr>
          <w:rStyle w:val="LinkdaInternet"/>
          <w:sz w:val="24"/>
          <w:u w:val="none"/>
          <w:szCs w:val="24"/>
          <w:rFonts w:cs="Calibri" w:ascii="Calibri" w:hAnsi="Calibri"/>
          <w:color w:val="auto"/>
          <w:lang w:eastAsia="en-US"/>
        </w:rPr>
        <w:instrText> HYPERLINK "http://www.planalto.gov.br/ccivil_03/_ato2019-2022/2021/lei/L14133.htm" \l "art143"</w:instrText>
      </w:r>
      <w:r>
        <w:rPr>
          <w:rStyle w:val="LinkdaInternet"/>
          <w:sz w:val="24"/>
          <w:u w:val="none"/>
          <w:szCs w:val="24"/>
          <w:rFonts w:cs="Calibri" w:ascii="Calibri" w:hAnsi="Calibri"/>
          <w:color w:val="auto"/>
          <w:lang w:eastAsia="en-US"/>
        </w:rPr>
        <w:fldChar w:fldCharType="separate"/>
      </w:r>
      <w:r>
        <w:rPr>
          <w:rStyle w:val="LinkdaInternet"/>
          <w:rFonts w:cs="Calibri" w:ascii="Calibri" w:hAnsi="Calibri"/>
          <w:color w:val="auto"/>
          <w:sz w:val="24"/>
          <w:szCs w:val="24"/>
          <w:u w:val="none"/>
          <w:lang w:eastAsia="en-US"/>
        </w:rPr>
        <w:t>art. 143 da Lei nº 14.133, de 2021</w:t>
      </w:r>
      <w:r>
        <w:rPr>
          <w:rStyle w:val="LinkdaInternet"/>
          <w:sz w:val="24"/>
          <w:u w:val="none"/>
          <w:szCs w:val="24"/>
          <w:rFonts w:cs="Calibri" w:ascii="Calibri" w:hAnsi="Calibri"/>
          <w:color w:val="auto"/>
          <w:lang w:eastAsia="en-US"/>
        </w:rPr>
        <w:fldChar w:fldCharType="end"/>
      </w:r>
      <w:r>
        <w:rPr>
          <w:rFonts w:cs="Calibri" w:ascii="Calibri" w:hAnsi="Calibri"/>
          <w:color w:val="auto"/>
          <w:sz w:val="24"/>
          <w:szCs w:val="24"/>
          <w:u w:val="none"/>
          <w:lang w:eastAsia="en-US"/>
        </w:rPr>
        <w:t>, comunicando-se à empresa para emissão de Nota Fiscal no que pertine à parcela incontroversa da execução do objeto, para efeito de liquidação e pagamento.</w:t>
      </w:r>
    </w:p>
    <w:p>
      <w:pPr>
        <w:pStyle w:val="Nivel2"/>
        <w:suppressAutoHyphens w:val="false"/>
        <w:spacing w:before="0" w:after="0"/>
        <w:ind w:left="0" w:firstLine="709"/>
        <w:rPr>
          <w:rFonts w:ascii="Calibri" w:hAnsi="Calibri"/>
        </w:rPr>
      </w:pPr>
      <w:r>
        <w:rPr>
          <w:rFonts w:cs="Calibri" w:ascii="Calibri" w:hAnsi="Calibri"/>
          <w:sz w:val="24"/>
          <w:szCs w:val="24"/>
          <w:lang w:eastAsia="en-US"/>
        </w:rPr>
        <w:t>9.23</w:t>
        <w:tab/>
        <w:t>Nenhum prazo de recebimento ocorrerá enquanto pendente a solução, pelo contratado, de inconsistências verificadas na execução do objeto ou no instrumento de cobrança.</w:t>
      </w:r>
    </w:p>
    <w:p>
      <w:pPr>
        <w:pStyle w:val="Nivel2"/>
        <w:suppressAutoHyphens w:val="false"/>
        <w:spacing w:before="0" w:after="0"/>
        <w:ind w:left="0" w:firstLine="709"/>
        <w:rPr>
          <w:rFonts w:ascii="Calibri" w:hAnsi="Calibri"/>
        </w:rPr>
      </w:pPr>
      <w:r>
        <w:rPr>
          <w:rFonts w:cs="Calibri" w:ascii="Calibri" w:hAnsi="Calibri"/>
          <w:sz w:val="24"/>
          <w:szCs w:val="24"/>
          <w:lang w:eastAsia="en-US"/>
        </w:rPr>
        <w:tab/>
        <w:tab/>
        <w:t>9.23.1</w:t>
        <w:tab/>
        <w:t>O recebimento provisório ou definitivo não excluirá a responsabilidade civil pela solidez e pela segurança do serviço nem a responsabilidade ético-profissional pela perfeita execução do contrato.</w:t>
      </w:r>
    </w:p>
    <w:p>
      <w:pPr>
        <w:pStyle w:val="Nivel2"/>
        <w:suppressAutoHyphens w:val="false"/>
        <w:spacing w:before="0" w:after="0"/>
        <w:ind w:left="709" w:hanging="0"/>
        <w:rPr>
          <w:rFonts w:ascii="Calibri" w:hAnsi="Calibri" w:cs="Calibri"/>
          <w:sz w:val="24"/>
          <w:szCs w:val="24"/>
          <w:lang w:eastAsia="en-US"/>
        </w:rPr>
      </w:pPr>
      <w:r>
        <w:rPr>
          <w:rFonts w:cs="Calibri" w:ascii="Calibri" w:hAnsi="Calibri"/>
          <w:sz w:val="24"/>
          <w:szCs w:val="24"/>
          <w:lang w:eastAsia="en-US"/>
        </w:rPr>
      </w:r>
    </w:p>
    <w:p>
      <w:pPr>
        <w:pStyle w:val="Nvel01SemNumerao"/>
        <w:rPr/>
      </w:pPr>
      <w:r>
        <w:rPr/>
        <w:t>Liquidação</w:t>
      </w:r>
    </w:p>
    <w:p>
      <w:pPr>
        <w:pStyle w:val="Normal"/>
        <w:spacing w:lineRule="auto" w:line="276"/>
        <w:ind w:firstLine="709"/>
        <w:jc w:val="both"/>
        <w:rPr>
          <w:rFonts w:ascii="Calibri" w:hAnsi="Calibri"/>
        </w:rPr>
      </w:pPr>
      <w:r>
        <w:rPr>
          <w:rFonts w:cs="Calibri" w:ascii="Calibri" w:hAnsi="Calibri"/>
          <w:b/>
          <w:sz w:val="24"/>
        </w:rPr>
        <w:t>9.24</w:t>
        <w:tab/>
        <w:t>A nota fiscal deverá ser expedida em nome do Hospital Naval Marcílio Dias, CNPJ: 00.394.502/0148-70, localizado na Rua Cezar Zama n. 185, Lins de Vasconcelos, que deverá ser entregue no 4°andar – Secretaria Geral;</w:t>
      </w:r>
    </w:p>
    <w:p>
      <w:pPr>
        <w:pStyle w:val="Normal"/>
        <w:spacing w:lineRule="auto" w:line="276"/>
        <w:ind w:firstLine="709"/>
        <w:jc w:val="both"/>
        <w:rPr>
          <w:rFonts w:ascii="Calibri" w:hAnsi="Calibri"/>
        </w:rPr>
      </w:pPr>
      <w:r>
        <w:rPr>
          <w:rFonts w:cs="Calibri" w:ascii="Calibri" w:hAnsi="Calibri"/>
          <w:sz w:val="24"/>
        </w:rPr>
        <w:t>9.24.1</w:t>
        <w:tab/>
        <w:t>Dela deverá constar como anexos:</w:t>
      </w:r>
    </w:p>
    <w:p>
      <w:pPr>
        <w:pStyle w:val="Normal"/>
        <w:tabs>
          <w:tab w:val="clear" w:pos="720"/>
          <w:tab w:val="left" w:pos="1134" w:leader="none"/>
        </w:tabs>
        <w:spacing w:lineRule="auto" w:line="276"/>
        <w:ind w:firstLine="709"/>
        <w:jc w:val="both"/>
        <w:rPr>
          <w:rFonts w:ascii="Calibri" w:hAnsi="Calibri"/>
        </w:rPr>
      </w:pPr>
      <w:r>
        <w:rPr>
          <w:rFonts w:cs="Calibri" w:ascii="Calibri" w:hAnsi="Calibri"/>
          <w:sz w:val="24"/>
        </w:rPr>
        <w:t>9.24.2</w:t>
        <w:tab/>
        <w:t>Relação com a identificação nominal dos pacientes, GAU, Número de Identificação Pessoal (NIP), nome do profissional (médico) responsável e a data da realização do procedimento e os códigos de rastreio/identificação dos materiais especiais utilizados.</w:t>
      </w:r>
    </w:p>
    <w:p>
      <w:pPr>
        <w:pStyle w:val="Nivel2"/>
        <w:suppressAutoHyphens w:val="false"/>
        <w:spacing w:before="0" w:after="0"/>
        <w:ind w:left="0" w:firstLine="709"/>
        <w:rPr/>
      </w:pPr>
      <w:r>
        <w:rPr>
          <w:rFonts w:cs="Calibri" w:ascii="Calibri" w:hAnsi="Calibri"/>
          <w:sz w:val="24"/>
          <w:szCs w:val="24"/>
        </w:rPr>
        <w:t>9.25</w:t>
        <w:tab/>
      </w:r>
      <w:r>
        <w:rPr>
          <w:rFonts w:cs="Calibri" w:ascii="Calibri" w:hAnsi="Calibri"/>
          <w:color w:val="auto"/>
          <w:sz w:val="24"/>
          <w:szCs w:val="24"/>
          <w:u w:val="none"/>
        </w:rPr>
        <w:t xml:space="preserve">Recebida a Nota Fiscal ou documento de cobrança equivalente, correrá o prazo de dez dias úteis para fins de liquidação, na forma desta seção, prorrogáveis por igual período, nos termos do </w:t>
      </w:r>
      <w:hyperlink r:id="rId20">
        <w:r>
          <w:rPr>
            <w:rStyle w:val="LinkdaInternet"/>
            <w:rFonts w:cs="Calibri" w:ascii="Calibri" w:hAnsi="Calibri"/>
            <w:color w:val="auto"/>
            <w:sz w:val="24"/>
            <w:szCs w:val="24"/>
            <w:u w:val="none"/>
          </w:rPr>
          <w:t>art. 7º, §2º da Instrução Normativa SEGES/ME nº 77/2022.</w:t>
        </w:r>
      </w:hyperlink>
      <w:r>
        <w:rPr>
          <w:rFonts w:cs="Calibri" w:ascii="Calibri" w:hAnsi="Calibri"/>
          <w:color w:val="auto"/>
          <w:sz w:val="24"/>
          <w:szCs w:val="24"/>
          <w:u w:val="none"/>
        </w:rPr>
        <w:t>. O recebimento será contado a partir da data de protocolo das faturas na Secretaria Geral do Hospital Naval Marcílio Dias e após a aferição da respectiva lisura</w:t>
      </w:r>
    </w:p>
    <w:p>
      <w:pPr>
        <w:pStyle w:val="Nivel2"/>
        <w:suppressAutoHyphens w:val="false"/>
        <w:spacing w:before="0" w:after="0"/>
        <w:ind w:left="0" w:firstLine="709"/>
        <w:rPr/>
      </w:pPr>
      <w:r>
        <w:rPr>
          <w:rFonts w:cs="Calibri" w:ascii="Calibri" w:hAnsi="Calibri"/>
          <w:color w:val="auto"/>
          <w:sz w:val="24"/>
          <w:szCs w:val="24"/>
          <w:u w:val="none"/>
        </w:rPr>
        <w:t>9.26</w:t>
        <w:tab/>
        <w:t xml:space="preserve">O prazo de que trata o item anterior será reduzido à metade, mantendo-se a possibilidade de prorrogação, nos casos de contratações decorrentes de despesas cujos valores não ultrapassem o limite de que trata o </w:t>
      </w:r>
      <w:r>
        <w:fldChar w:fldCharType="begin"/>
      </w:r>
      <w:r>
        <w:rPr>
          <w:rStyle w:val="LinkdaInternet"/>
          <w:sz w:val="24"/>
          <w:u w:val="none"/>
          <w:szCs w:val="24"/>
          <w:rFonts w:cs="Calibri" w:ascii="Calibri" w:hAnsi="Calibri"/>
          <w:color w:val="auto"/>
        </w:rPr>
        <w:instrText> HYPERLINK "http://www.planalto.gov.br/ccivil_03/_ato2019-2022/2021/lei/L14133.htm" \l "art75"</w:instrText>
      </w:r>
      <w:r>
        <w:rPr>
          <w:rStyle w:val="LinkdaInternet"/>
          <w:sz w:val="24"/>
          <w:u w:val="none"/>
          <w:szCs w:val="24"/>
          <w:rFonts w:cs="Calibri" w:ascii="Calibri" w:hAnsi="Calibri"/>
          <w:color w:val="auto"/>
        </w:rPr>
        <w:fldChar w:fldCharType="separate"/>
      </w:r>
      <w:r>
        <w:rPr>
          <w:rStyle w:val="LinkdaInternet"/>
          <w:rFonts w:cs="Calibri" w:ascii="Calibri" w:hAnsi="Calibri"/>
          <w:color w:val="auto"/>
          <w:sz w:val="24"/>
          <w:szCs w:val="24"/>
          <w:u w:val="none"/>
        </w:rPr>
        <w:t>inciso II do art. 75 da Lei nº 14.133, de 2021</w:t>
      </w:r>
      <w:r>
        <w:rPr>
          <w:rStyle w:val="LinkdaInternet"/>
          <w:sz w:val="24"/>
          <w:u w:val="none"/>
          <w:szCs w:val="24"/>
          <w:rFonts w:cs="Calibri" w:ascii="Calibri" w:hAnsi="Calibri"/>
          <w:color w:val="auto"/>
        </w:rPr>
        <w:fldChar w:fldCharType="end"/>
      </w:r>
    </w:p>
    <w:p>
      <w:pPr>
        <w:pStyle w:val="Nivel2"/>
        <w:suppressAutoHyphens w:val="false"/>
        <w:spacing w:before="0" w:after="0"/>
        <w:ind w:left="0" w:firstLine="709"/>
        <w:rPr>
          <w:color w:val="auto"/>
          <w:u w:val="none"/>
        </w:rPr>
      </w:pPr>
      <w:r>
        <w:rPr>
          <w:rFonts w:cs="Calibri" w:ascii="Calibri" w:hAnsi="Calibri"/>
          <w:color w:val="auto"/>
          <w:sz w:val="24"/>
          <w:szCs w:val="24"/>
          <w:u w:val="none"/>
        </w:rPr>
        <w:t>9.27</w:t>
        <w:tab/>
        <w:t>Para fins de liquidação, o setor competente deve verificar se a Nota Fiscal ou Fatura apresentada expressa os elementos necessários e essenciais do documento, tais como:</w:t>
      </w:r>
    </w:p>
    <w:p>
      <w:pPr>
        <w:pStyle w:val="Nivel3"/>
        <w:numPr>
          <w:ilvl w:val="0"/>
          <w:numId w:val="15"/>
        </w:numPr>
        <w:suppressAutoHyphens w:val="false"/>
        <w:spacing w:before="0" w:after="0"/>
        <w:ind w:left="0" w:firstLine="907"/>
        <w:rPr>
          <w:color w:val="auto"/>
          <w:u w:val="none"/>
        </w:rPr>
      </w:pPr>
      <w:r>
        <w:rPr>
          <w:rFonts w:cs="Calibri" w:ascii="Calibri" w:hAnsi="Calibri"/>
          <w:color w:val="auto"/>
          <w:sz w:val="24"/>
          <w:szCs w:val="24"/>
          <w:u w:val="none"/>
          <w:lang w:eastAsia="en-US"/>
        </w:rPr>
        <w:t>o prazo de validade;</w:t>
      </w:r>
    </w:p>
    <w:p>
      <w:pPr>
        <w:pStyle w:val="Nivel3"/>
        <w:numPr>
          <w:ilvl w:val="0"/>
          <w:numId w:val="15"/>
        </w:numPr>
        <w:suppressAutoHyphens w:val="false"/>
        <w:spacing w:before="0" w:after="0"/>
        <w:ind w:left="0" w:firstLine="907"/>
        <w:rPr>
          <w:color w:val="auto"/>
          <w:u w:val="none"/>
        </w:rPr>
      </w:pPr>
      <w:r>
        <w:rPr>
          <w:rFonts w:cs="Calibri" w:ascii="Calibri" w:hAnsi="Calibri"/>
          <w:color w:val="auto"/>
          <w:sz w:val="24"/>
          <w:szCs w:val="24"/>
          <w:u w:val="none"/>
          <w:lang w:eastAsia="en-US"/>
        </w:rPr>
        <w:t>a data da emissão;</w:t>
      </w:r>
    </w:p>
    <w:p>
      <w:pPr>
        <w:pStyle w:val="Nivel3"/>
        <w:numPr>
          <w:ilvl w:val="0"/>
          <w:numId w:val="15"/>
        </w:numPr>
        <w:suppressAutoHyphens w:val="false"/>
        <w:spacing w:before="0" w:after="0"/>
        <w:ind w:left="0" w:firstLine="907"/>
        <w:rPr>
          <w:color w:val="auto"/>
          <w:u w:val="none"/>
        </w:rPr>
      </w:pPr>
      <w:r>
        <w:rPr>
          <w:rFonts w:cs="Calibri" w:ascii="Calibri" w:hAnsi="Calibri"/>
          <w:color w:val="auto"/>
          <w:sz w:val="24"/>
          <w:szCs w:val="24"/>
          <w:u w:val="none"/>
          <w:lang w:eastAsia="en-US"/>
        </w:rPr>
        <w:t>os dados do contrato e do órgão contratante;</w:t>
      </w:r>
    </w:p>
    <w:p>
      <w:pPr>
        <w:pStyle w:val="Nivel3"/>
        <w:numPr>
          <w:ilvl w:val="0"/>
          <w:numId w:val="15"/>
        </w:numPr>
        <w:suppressAutoHyphens w:val="false"/>
        <w:spacing w:before="0" w:after="0"/>
        <w:ind w:left="0" w:firstLine="907"/>
        <w:rPr>
          <w:color w:val="auto"/>
          <w:u w:val="none"/>
        </w:rPr>
      </w:pPr>
      <w:r>
        <w:rPr>
          <w:rFonts w:cs="Calibri" w:ascii="Calibri" w:hAnsi="Calibri"/>
          <w:color w:val="auto"/>
          <w:sz w:val="24"/>
          <w:szCs w:val="24"/>
          <w:u w:val="none"/>
          <w:lang w:eastAsia="en-US"/>
        </w:rPr>
        <w:t>o período respectivo de execução do contrato;</w:t>
      </w:r>
    </w:p>
    <w:p>
      <w:pPr>
        <w:pStyle w:val="Nivel3"/>
        <w:numPr>
          <w:ilvl w:val="0"/>
          <w:numId w:val="15"/>
        </w:numPr>
        <w:suppressAutoHyphens w:val="false"/>
        <w:spacing w:before="0" w:after="0"/>
        <w:ind w:left="0" w:firstLine="907"/>
        <w:rPr>
          <w:color w:val="auto"/>
          <w:u w:val="none"/>
        </w:rPr>
      </w:pPr>
      <w:r>
        <w:rPr>
          <w:rFonts w:cs="Calibri" w:ascii="Calibri" w:hAnsi="Calibri"/>
          <w:color w:val="auto"/>
          <w:sz w:val="24"/>
          <w:szCs w:val="24"/>
          <w:u w:val="none"/>
          <w:lang w:eastAsia="en-US"/>
        </w:rPr>
        <w:t>o valor a pagar; e</w:t>
      </w:r>
    </w:p>
    <w:p>
      <w:pPr>
        <w:pStyle w:val="Nivel3"/>
        <w:numPr>
          <w:ilvl w:val="0"/>
          <w:numId w:val="15"/>
        </w:numPr>
        <w:suppressAutoHyphens w:val="false"/>
        <w:spacing w:before="0" w:after="0"/>
        <w:ind w:left="0" w:firstLine="907"/>
        <w:rPr>
          <w:color w:val="auto"/>
          <w:u w:val="none"/>
        </w:rPr>
      </w:pPr>
      <w:r>
        <w:rPr>
          <w:rFonts w:cs="Calibri" w:ascii="Calibri" w:hAnsi="Calibri"/>
          <w:color w:val="auto"/>
          <w:sz w:val="24"/>
          <w:szCs w:val="24"/>
          <w:u w:val="none"/>
          <w:lang w:eastAsia="en-US"/>
        </w:rPr>
        <w:t>eventual destaque do valor de retenções tributárias cabíveis.</w:t>
      </w:r>
    </w:p>
    <w:p>
      <w:pPr>
        <w:pStyle w:val="Nivel2"/>
        <w:suppressAutoHyphens w:val="false"/>
        <w:spacing w:before="0" w:after="0"/>
        <w:ind w:left="0" w:firstLine="850"/>
        <w:rPr/>
      </w:pPr>
      <w:r>
        <w:rPr>
          <w:rFonts w:cs="Calibri" w:ascii="Calibri" w:hAnsi="Calibri"/>
          <w:color w:val="auto"/>
          <w:sz w:val="24"/>
          <w:szCs w:val="24"/>
          <w:u w:val="none"/>
        </w:rPr>
        <w:t>9.28</w:t>
        <w:tab/>
        <w:t>Havendo erro na apresentação da N</w:t>
      </w:r>
      <w:r>
        <w:rPr>
          <w:rFonts w:cs="Calibri" w:ascii="Calibri" w:hAnsi="Calibri"/>
          <w:sz w:val="24"/>
          <w:szCs w:val="24"/>
        </w:rPr>
        <w:t>ota Fiscal/Fatura, ou circunstância que impeça a liquidação da despesa, esta ficará sobrestada até que o contratado providencie as medidas saneadoras, reiniciando-se o prazo após a comprovação da regularização da situação, sem ônus à contratante;</w:t>
      </w:r>
    </w:p>
    <w:p>
      <w:pPr>
        <w:pStyle w:val="Nivel2"/>
        <w:suppressAutoHyphens w:val="false"/>
        <w:spacing w:before="0" w:after="0"/>
        <w:ind w:left="0" w:firstLine="709"/>
        <w:rPr/>
      </w:pPr>
      <w:r>
        <w:rPr>
          <w:rFonts w:cs="Calibri" w:ascii="Calibri" w:hAnsi="Calibri"/>
          <w:sz w:val="24"/>
          <w:szCs w:val="24"/>
        </w:rPr>
        <w:t>9.28.1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pPr>
        <w:pStyle w:val="Nivel2"/>
        <w:suppressAutoHyphens w:val="false"/>
        <w:spacing w:before="0" w:after="0"/>
        <w:ind w:left="0" w:firstLine="720"/>
        <w:rPr/>
      </w:pPr>
      <w:r>
        <w:rPr>
          <w:rFonts w:cs="Calibri" w:ascii="Calibri" w:hAnsi="Calibri"/>
          <w:sz w:val="24"/>
          <w:szCs w:val="24"/>
        </w:rPr>
        <w:t>9.29</w:t>
        <w:tab/>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bookmarkStart w:id="1" w:name="_Int_T4XqlsQA"/>
      <w:r>
        <w:rPr>
          <w:rFonts w:cs="Calibri" w:ascii="Calibri" w:hAnsi="Calibri"/>
          <w:sz w:val="24"/>
          <w:szCs w:val="24"/>
        </w:rPr>
        <w:t>).</w:t>
      </w:r>
      <w:bookmarkEnd w:id="1"/>
    </w:p>
    <w:p>
      <w:pPr>
        <w:pStyle w:val="Nivel2"/>
        <w:suppressAutoHyphens w:val="false"/>
        <w:spacing w:before="0" w:after="0"/>
        <w:ind w:left="0" w:firstLine="720"/>
        <w:rPr/>
      </w:pPr>
      <w:r>
        <w:rPr>
          <w:rFonts w:cs="Calibri" w:ascii="Calibri" w:hAnsi="Calibri"/>
          <w:sz w:val="24"/>
          <w:szCs w:val="24"/>
        </w:rPr>
        <w:t>9.30</w:t>
        <w:tab/>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ivel2"/>
        <w:suppressAutoHyphens w:val="false"/>
        <w:spacing w:before="0" w:after="0"/>
        <w:ind w:left="0" w:hanging="0"/>
        <w:rPr/>
      </w:pPr>
      <w:r>
        <w:drawing>
          <wp:anchor behindDoc="1" distT="0" distB="0" distL="0" distR="0" simplePos="0" locked="0" layoutInCell="0" allowOverlap="1" relativeHeight="16">
            <wp:simplePos x="0" y="0"/>
            <wp:positionH relativeFrom="page">
              <wp:posOffset>6134100</wp:posOffset>
            </wp:positionH>
            <wp:positionV relativeFrom="page">
              <wp:posOffset>109855</wp:posOffset>
            </wp:positionV>
            <wp:extent cx="1080135" cy="1080135"/>
            <wp:effectExtent l="0" t="0" r="0" b="0"/>
            <wp:wrapNone/>
            <wp:docPr id="15" name="Figura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a15" descr=""/>
                    <pic:cNvPicPr>
                      <a:picLocks noChangeAspect="1" noChangeArrowheads="1"/>
                    </pic:cNvPicPr>
                  </pic:nvPicPr>
                  <pic:blipFill>
                    <a:blip r:embed="rId21"/>
                    <a:stretch>
                      <a:fillRect/>
                    </a:stretch>
                  </pic:blipFill>
                  <pic:spPr bwMode="auto">
                    <a:xfrm>
                      <a:off x="0" y="0"/>
                      <a:ext cx="1080135" cy="1080135"/>
                    </a:xfrm>
                    <a:prstGeom prst="rect">
                      <a:avLst/>
                    </a:prstGeom>
                  </pic:spPr>
                </pic:pic>
              </a:graphicData>
            </a:graphic>
          </wp:anchor>
        </w:drawing>
      </w:r>
      <w:r>
        <w:rPr>
          <w:rFonts w:cs="Calibri" w:ascii="Calibri" w:hAnsi="Calibri"/>
          <w:sz w:val="24"/>
          <w:szCs w:val="24"/>
        </w:rPr>
        <w:tab/>
        <w:t>9.31</w:t>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ivel2"/>
        <w:suppressAutoHyphens w:val="false"/>
        <w:spacing w:before="0" w:after="0"/>
        <w:ind w:left="0" w:hanging="0"/>
        <w:rPr/>
      </w:pPr>
      <w:r>
        <w:rPr>
          <w:rFonts w:cs="Calibri" w:ascii="Calibri" w:hAnsi="Calibri"/>
          <w:sz w:val="24"/>
          <w:szCs w:val="24"/>
        </w:rPr>
        <w:tab/>
        <w:t>9.32</w:t>
        <w:tab/>
        <w:t>Persistindo a irregularidade, o contratante deverá adotar as medidas necessárias à rescisão contratual nos autos do processo administrativo correspondente, assegurada ao contratado a ampla defesa.</w:t>
      </w:r>
    </w:p>
    <w:p>
      <w:pPr>
        <w:pStyle w:val="Nivel2"/>
        <w:suppressAutoHyphens w:val="false"/>
        <w:spacing w:before="0" w:after="0"/>
        <w:ind w:left="0" w:hanging="0"/>
        <w:rPr/>
      </w:pPr>
      <w:r>
        <w:rPr>
          <w:rFonts w:cs="Calibri" w:ascii="Calibri" w:hAnsi="Calibri"/>
          <w:sz w:val="24"/>
          <w:szCs w:val="24"/>
        </w:rPr>
        <w:tab/>
        <w:t>9.32.1</w:t>
        <w:tab/>
        <w:t>Havendo a efetiva execução do objeto, os pagamentos serão realizados normalmente, até que se decida pela rescisão do contrato, caso o contratado não regularize sua situação junto ao SICAF.</w:t>
      </w:r>
    </w:p>
    <w:p>
      <w:pPr>
        <w:pStyle w:val="Nivel2"/>
        <w:suppressAutoHyphens w:val="false"/>
        <w:spacing w:before="0" w:after="0"/>
        <w:ind w:left="0" w:hanging="0"/>
        <w:rPr>
          <w:rFonts w:ascii="Calibri" w:hAnsi="Calibri" w:cs="Calibri"/>
        </w:rPr>
      </w:pPr>
      <w:r>
        <w:rPr>
          <w:rFonts w:cs="Calibri" w:ascii="Calibri" w:hAnsi="Calibri"/>
        </w:rPr>
      </w:r>
    </w:p>
    <w:p>
      <w:pPr>
        <w:pStyle w:val="Nivel2"/>
        <w:suppressAutoHyphens w:val="false"/>
        <w:spacing w:before="0" w:after="0"/>
        <w:ind w:left="0" w:hanging="0"/>
        <w:rPr>
          <w:b/>
          <w:b/>
          <w:bCs/>
          <w:sz w:val="24"/>
          <w:szCs w:val="24"/>
        </w:rPr>
      </w:pPr>
      <w:r>
        <w:rPr>
          <w:rFonts w:ascii="Calibri" w:hAnsi="Calibri"/>
          <w:b/>
          <w:bCs/>
          <w:sz w:val="24"/>
          <w:szCs w:val="24"/>
        </w:rPr>
        <w:t xml:space="preserve">Prazo de pagamento </w:t>
      </w:r>
    </w:p>
    <w:p>
      <w:pPr>
        <w:pStyle w:val="Nivel2"/>
        <w:suppressAutoHyphens w:val="false"/>
        <w:spacing w:before="0" w:after="0"/>
        <w:ind w:left="0" w:hanging="0"/>
        <w:rPr/>
      </w:pPr>
      <w:r>
        <w:rPr>
          <w:rFonts w:cs="Calibri" w:ascii="Calibri" w:hAnsi="Calibri"/>
          <w:sz w:val="24"/>
          <w:szCs w:val="24"/>
        </w:rPr>
        <w:tab/>
        <w:t>9.33</w:t>
        <w:tab/>
        <w:t>O pagamento será efetuado no prazo máximo de até dez dias úteis, contados da finalização da liquidação da despesa, conforme seção anterior, nos termos da Instrução Normativa SEGES/ME nº 77, de 2022.</w:t>
      </w:r>
    </w:p>
    <w:p>
      <w:pPr>
        <w:pStyle w:val="Nvel01SemNumerao"/>
        <w:rPr/>
      </w:pPr>
      <w:r>
        <w:rPr/>
        <w:tab/>
        <w:t>9.34</w:t>
        <w:tab/>
        <w:t>No caso de atraso pelo Contratante, os valores devidos ao contratado serão atualizados monetariamente entre o termo final do prazo de pagamento até a data de sua efetiva realização, mediante aplicação do O Índice de Preços ao Consumidor Amplo (IPCA) de correção monetária.</w:t>
      </w:r>
    </w:p>
    <w:p>
      <w:pPr>
        <w:pStyle w:val="Nivel2"/>
        <w:suppressAutoHyphens w:val="false"/>
        <w:spacing w:before="0" w:after="0"/>
        <w:ind w:left="0" w:firstLine="709"/>
        <w:rPr>
          <w:rFonts w:ascii="Calibri" w:hAnsi="Calibri" w:cs="Calibri"/>
          <w:sz w:val="24"/>
          <w:szCs w:val="24"/>
        </w:rPr>
      </w:pPr>
      <w:r>
        <w:rPr>
          <w:rFonts w:cs="Calibri" w:ascii="Calibri" w:hAnsi="Calibri"/>
          <w:sz w:val="24"/>
          <w:szCs w:val="24"/>
        </w:rPr>
      </w:r>
    </w:p>
    <w:p>
      <w:pPr>
        <w:pStyle w:val="Nvel01SemNumerao"/>
        <w:rPr/>
      </w:pPr>
      <w:r>
        <w:rPr/>
        <w:t>Forma de pagamento</w:t>
      </w:r>
    </w:p>
    <w:p>
      <w:pPr>
        <w:pStyle w:val="Normal"/>
        <w:tabs>
          <w:tab w:val="clear" w:pos="720"/>
          <w:tab w:val="left" w:pos="567" w:leader="none"/>
        </w:tabs>
        <w:spacing w:lineRule="auto" w:line="276"/>
        <w:ind w:firstLine="709"/>
        <w:jc w:val="both"/>
        <w:rPr>
          <w:rFonts w:ascii="Calibri" w:hAnsi="Calibri"/>
        </w:rPr>
      </w:pPr>
      <w:r>
        <w:rPr>
          <w:rFonts w:cs="Calibri" w:ascii="Calibri" w:hAnsi="Calibri"/>
          <w:sz w:val="24"/>
        </w:rPr>
        <w:t>9.35</w:t>
        <w:tab/>
        <w:t>Os pagamentos serão efetuados mediante Ordem Bancária, em favor do CONTRATADO, na Conta Corrente, Agência e Banco informados, após a apresentação de Nota Fiscal dos serviços e lisura das faturas devidamente discriminadas. Deverá constar no corpo das respectivas faturas o período de competência do faturamento.</w:t>
      </w:r>
    </w:p>
    <w:p>
      <w:pPr>
        <w:pStyle w:val="Normal"/>
        <w:tabs>
          <w:tab w:val="clear" w:pos="720"/>
          <w:tab w:val="left" w:pos="567" w:leader="none"/>
        </w:tabs>
        <w:spacing w:lineRule="auto" w:line="276"/>
        <w:ind w:firstLine="709"/>
        <w:jc w:val="both"/>
        <w:rPr>
          <w:rFonts w:ascii="Calibri" w:hAnsi="Calibri" w:cs="Calibri"/>
          <w:sz w:val="24"/>
        </w:rPr>
      </w:pPr>
      <w:r>
        <w:rPr>
          <w:rFonts w:cs="Calibri" w:ascii="Calibri" w:hAnsi="Calibri"/>
          <w:sz w:val="24"/>
        </w:rPr>
        <w:t>9.36</w:t>
        <w:tab/>
        <w:t>Será considerada data do pagamento o dia em que constar como emitida a ordem bancária para pagamento.</w:t>
      </w:r>
    </w:p>
    <w:p>
      <w:pPr>
        <w:pStyle w:val="Nivel2"/>
        <w:suppressAutoHyphens w:val="false"/>
        <w:spacing w:before="0" w:after="0"/>
        <w:ind w:left="0" w:hanging="0"/>
        <w:rPr>
          <w:rFonts w:ascii="Calibri" w:hAnsi="Calibri" w:eastAsia="Times New Roman" w:cs="Calibri"/>
          <w:sz w:val="24"/>
          <w:szCs w:val="24"/>
        </w:rPr>
      </w:pPr>
      <w:r>
        <w:rPr>
          <w:rFonts w:eastAsia="Times New Roman" w:cs="Calibri" w:ascii="Calibri" w:hAnsi="Calibri"/>
          <w:sz w:val="24"/>
          <w:szCs w:val="24"/>
        </w:rPr>
        <w:tab/>
        <w:tab/>
        <w:t>9.36.1</w:t>
        <w:tab/>
        <w:t>Quando do pagamento, será efetuada a retenção tributária prevista na legislação aplicável.</w:t>
      </w:r>
    </w:p>
    <w:p>
      <w:pPr>
        <w:pStyle w:val="Nivel3"/>
        <w:suppressAutoHyphens w:val="false"/>
        <w:spacing w:before="0" w:after="0"/>
        <w:ind w:left="0" w:firstLine="709"/>
        <w:rPr>
          <w:rFonts w:ascii="Calibri" w:hAnsi="Calibri" w:eastAsia="Times New Roman" w:cs="Calibri"/>
          <w:color w:val="auto"/>
          <w:sz w:val="24"/>
          <w:szCs w:val="24"/>
        </w:rPr>
      </w:pPr>
      <w:r>
        <w:rPr>
          <w:rFonts w:eastAsia="Times New Roman" w:cs="Calibri" w:ascii="Calibri" w:hAnsi="Calibri"/>
          <w:color w:val="auto"/>
          <w:sz w:val="24"/>
          <w:szCs w:val="24"/>
        </w:rPr>
        <w:tab/>
        <w:tab/>
        <w:t>9.36.2</w:t>
        <w:tab/>
        <w:t>Independentemente do percentual de tributo inserido na planilha, quando houver, serão retidos na fonte, quando da realização do pagamento, os percentuais estabelecidos na legislação vigente.</w:t>
      </w:r>
    </w:p>
    <w:p>
      <w:pPr>
        <w:pStyle w:val="Nivel2"/>
        <w:suppressAutoHyphens w:val="false"/>
        <w:spacing w:before="0" w:after="0"/>
        <w:ind w:left="0" w:firstLine="709"/>
        <w:rPr>
          <w:rFonts w:ascii="Calibri" w:hAnsi="Calibri" w:eastAsia="Times New Roman" w:cs="Calibri"/>
          <w:sz w:val="24"/>
          <w:szCs w:val="24"/>
        </w:rPr>
      </w:pPr>
      <w:r>
        <w:rPr>
          <w:rFonts w:eastAsia="Times New Roman" w:cs="Calibri" w:ascii="Calibri" w:hAnsi="Calibri"/>
          <w:sz w:val="24"/>
          <w:szCs w:val="24"/>
        </w:rPr>
        <w:t>9.37</w:t>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ivel2"/>
        <w:suppressAutoHyphens w:val="false"/>
        <w:spacing w:before="0" w:after="0"/>
        <w:ind w:left="709" w:hanging="0"/>
        <w:rPr>
          <w:rFonts w:ascii="Calibri" w:hAnsi="Calibri" w:cs="Calibri"/>
          <w:sz w:val="24"/>
          <w:szCs w:val="24"/>
          <w:lang w:eastAsia="en-US"/>
        </w:rPr>
      </w:pPr>
      <w:r>
        <w:rPr>
          <w:rFonts w:cs="Calibri" w:ascii="Calibri" w:hAnsi="Calibri"/>
          <w:sz w:val="24"/>
          <w:szCs w:val="24"/>
          <w:lang w:eastAsia="en-US"/>
        </w:rPr>
      </w:r>
    </w:p>
    <w:p>
      <w:pPr>
        <w:pStyle w:val="Nvel1SemNum"/>
        <w:rPr/>
      </w:pPr>
      <w:r>
        <w:rPr/>
        <w:t>Antecipação de pagamento</w:t>
      </w:r>
    </w:p>
    <w:p>
      <w:pPr>
        <w:pStyle w:val="ListParagraph"/>
        <w:tabs>
          <w:tab w:val="clear" w:pos="720"/>
          <w:tab w:val="left" w:pos="567" w:leader="none"/>
        </w:tabs>
        <w:spacing w:lineRule="auto" w:line="276"/>
        <w:ind w:left="709" w:hanging="0"/>
        <w:jc w:val="both"/>
        <w:rPr>
          <w:rFonts w:ascii="Calibri" w:hAnsi="Calibri"/>
        </w:rPr>
      </w:pPr>
      <w:r>
        <w:rPr>
          <w:rFonts w:cs="Calibri" w:ascii="Calibri" w:hAnsi="Calibri"/>
          <w:sz w:val="24"/>
        </w:rPr>
        <w:t>9.38</w:t>
        <w:tab/>
        <w:t>A presente contratação não permite a antecipação de pagamento.</w:t>
      </w:r>
    </w:p>
    <w:p>
      <w:pPr>
        <w:pStyle w:val="Normal"/>
        <w:spacing w:lineRule="auto" w:line="276"/>
        <w:ind w:firstLine="709"/>
        <w:rPr>
          <w:rFonts w:ascii="Calibri" w:hAnsi="Calibri" w:cs="Calibri"/>
          <w:sz w:val="24"/>
        </w:rPr>
      </w:pPr>
      <w:r>
        <w:rPr>
          <w:rFonts w:cs="Calibri" w:ascii="Calibri" w:hAnsi="Calibri"/>
          <w:sz w:val="24"/>
        </w:rPr>
      </w:r>
    </w:p>
    <w:p>
      <w:pPr>
        <w:pStyle w:val="Nvel01SemNumerao"/>
        <w:rPr/>
      </w:pPr>
      <w:r>
        <w:rPr/>
        <w:t>Cessão de crédito</w:t>
      </w:r>
    </w:p>
    <w:p>
      <w:pPr>
        <w:pStyle w:val="Nivel2"/>
        <w:suppressAutoHyphens w:val="false"/>
        <w:spacing w:before="0" w:after="0"/>
        <w:ind w:left="0" w:firstLine="709"/>
        <w:rPr>
          <w:rFonts w:ascii="Calibri" w:hAnsi="Calibri"/>
        </w:rPr>
      </w:pPr>
      <w:r>
        <w:rPr>
          <w:rFonts w:cs="Calibri" w:ascii="Calibri" w:hAnsi="Calibri"/>
          <w:sz w:val="24"/>
          <w:szCs w:val="24"/>
        </w:rPr>
        <w:t>9.39</w:t>
        <w:tab/>
      </w:r>
      <w:bookmarkStart w:id="2" w:name="_Ref154079654"/>
      <w:r>
        <w:rPr>
          <w:rFonts w:cs="Calibri" w:ascii="Calibri" w:hAnsi="Calibri"/>
          <w:sz w:val="24"/>
          <w:szCs w:val="24"/>
        </w:rPr>
        <w:t>É admitida a cessão fiduciária de direitos creditícios com instituição financeira, nos termos e de acordo com os procedimentos previstos na Instrução Normativa SEGES/ME nº 53, de 8 de julho de 2020, conforme as regras deste presente tópico.</w:t>
      </w:r>
      <w:bookmarkEnd w:id="2"/>
    </w:p>
    <w:p>
      <w:pPr>
        <w:pStyle w:val="Nvel3R"/>
        <w:rPr/>
      </w:pPr>
      <w:r>
        <w:rPr/>
        <w:t>9.40</w:t>
        <w:tab/>
      </w:r>
      <w:r>
        <w:rPr>
          <w:i w:val="false"/>
          <w:iCs w:val="false"/>
        </w:rPr>
        <w:t xml:space="preserve">As cessões de crédito </w:t>
      </w:r>
      <w:r>
        <w:rPr>
          <w:rStyle w:val="Normaltextrun"/>
          <w:i w:val="false"/>
          <w:iCs w:val="false"/>
        </w:rPr>
        <w:t xml:space="preserve">não abrangidas pela Instrução Normativa SEGES/ME nº 53, de 8 de julho de 2020, </w:t>
      </w:r>
      <w:r>
        <w:rPr>
          <w:i w:val="false"/>
          <w:iCs w:val="false"/>
        </w:rPr>
        <w:t>dependerão de prévia aprovação do contratante.</w:t>
      </w:r>
    </w:p>
    <w:p>
      <w:pPr>
        <w:pStyle w:val="Nivel2"/>
        <w:suppressAutoHyphens w:val="false"/>
        <w:spacing w:before="0" w:after="0"/>
        <w:ind w:left="0" w:firstLine="709"/>
        <w:rPr/>
      </w:pPr>
      <w:r>
        <w:rPr>
          <w:rFonts w:cs="Calibri" w:ascii="Calibri" w:hAnsi="Calibri"/>
          <w:sz w:val="24"/>
          <w:szCs w:val="24"/>
          <w:lang w:eastAsia="en-US"/>
        </w:rPr>
        <w:t>9.41</w:t>
        <w:tab/>
        <w:t xml:space="preserve">A eficácia da cessão de crédito </w:t>
      </w:r>
      <w:r>
        <w:rPr>
          <w:rStyle w:val="Normaltextrun"/>
          <w:rFonts w:cs="Calibri" w:ascii="Calibri" w:hAnsi="Calibri"/>
          <w:sz w:val="24"/>
          <w:szCs w:val="24"/>
        </w:rPr>
        <w:t>não abrangida pela Instrução Normativa SEGES/ME nº 53, de 8 de julho de 2020,</w:t>
      </w:r>
      <w:r>
        <w:rPr>
          <w:rFonts w:cs="Calibri" w:ascii="Calibri" w:hAnsi="Calibri"/>
          <w:sz w:val="24"/>
          <w:szCs w:val="24"/>
          <w:lang w:eastAsia="en-US"/>
        </w:rPr>
        <w:t xml:space="preserve"> em relação à Administração, está condicionada à celebração de termo aditivo ao contrato administrativo.</w:t>
      </w:r>
    </w:p>
    <w:p>
      <w:pPr>
        <w:pStyle w:val="Nivel2"/>
        <w:suppressAutoHyphens w:val="false"/>
        <w:spacing w:before="0" w:after="0"/>
        <w:ind w:left="0" w:firstLine="709"/>
        <w:rPr/>
      </w:pPr>
      <w:r>
        <w:rPr>
          <w:rFonts w:cs="Calibri" w:ascii="Calibri" w:hAnsi="Calibri"/>
          <w:sz w:val="24"/>
          <w:szCs w:val="24"/>
          <w:lang w:eastAsia="en-US"/>
        </w:rPr>
        <w:t>9.42</w:t>
        <w:tab/>
        <w:t>Sem prejuízo do regular atendimento da obrigação contratual de cumprimento de todas as c</w:t>
      </w:r>
      <w:r>
        <w:rPr>
          <w:rFonts w:cs="Calibri" w:ascii="Calibri" w:hAnsi="Calibri"/>
          <w:color w:val="auto"/>
          <w:sz w:val="24"/>
          <w:szCs w:val="24"/>
          <w:u w:val="none"/>
          <w:lang w:eastAsia="en-US"/>
        </w:rPr>
        <w:t xml:space="preserve">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r>
        <w:fldChar w:fldCharType="begin"/>
      </w:r>
      <w:r>
        <w:rPr>
          <w:rStyle w:val="LinkdaInternet"/>
          <w:sz w:val="24"/>
          <w:u w:val="none"/>
          <w:szCs w:val="24"/>
          <w:rFonts w:cs="Calibri" w:ascii="Calibri" w:hAnsi="Calibri"/>
          <w:color w:val="auto"/>
          <w:lang w:eastAsia="en-US"/>
        </w:rPr>
        <w:instrText> HYPERLINK "https://www.planalto.gov.br/ccivil_03/leis/l8429.htm" \l "art12"</w:instrText>
      </w:r>
      <w:r>
        <w:rPr>
          <w:rStyle w:val="LinkdaInternet"/>
          <w:sz w:val="24"/>
          <w:u w:val="none"/>
          <w:szCs w:val="24"/>
          <w:rFonts w:cs="Calibri" w:ascii="Calibri" w:hAnsi="Calibri"/>
          <w:color w:val="auto"/>
          <w:lang w:eastAsia="en-US"/>
        </w:rPr>
        <w:fldChar w:fldCharType="separate"/>
      </w:r>
      <w:r>
        <w:rPr>
          <w:rStyle w:val="LinkdaInternet"/>
          <w:rFonts w:cs="Calibri" w:ascii="Calibri" w:hAnsi="Calibri"/>
          <w:color w:val="auto"/>
          <w:sz w:val="24"/>
          <w:szCs w:val="24"/>
          <w:u w:val="none"/>
          <w:lang w:eastAsia="en-US"/>
        </w:rPr>
        <w:t>art. 12 da Lei nº 8.429, de 1992</w:t>
      </w:r>
      <w:r>
        <w:rPr>
          <w:rStyle w:val="LinkdaInternet"/>
          <w:sz w:val="24"/>
          <w:u w:val="none"/>
          <w:szCs w:val="24"/>
          <w:rFonts w:cs="Calibri" w:ascii="Calibri" w:hAnsi="Calibri"/>
          <w:color w:val="auto"/>
          <w:lang w:eastAsia="en-US"/>
        </w:rPr>
        <w:fldChar w:fldCharType="end"/>
      </w:r>
      <w:r>
        <w:rPr>
          <w:rFonts w:cs="Calibri" w:ascii="Calibri" w:hAnsi="Calibri"/>
          <w:color w:val="auto"/>
          <w:sz w:val="24"/>
          <w:szCs w:val="24"/>
          <w:u w:val="none"/>
          <w:lang w:eastAsia="en-US"/>
        </w:rPr>
        <w:t xml:space="preserve">, nos termos do </w:t>
      </w:r>
      <w:hyperlink r:id="rId22">
        <w:r>
          <w:rPr>
            <w:rStyle w:val="LinkdaInternet"/>
            <w:rFonts w:cs="Calibri" w:ascii="Calibri" w:hAnsi="Calibri"/>
            <w:color w:val="auto"/>
            <w:sz w:val="24"/>
            <w:szCs w:val="24"/>
            <w:u w:val="none"/>
            <w:lang w:eastAsia="en-US"/>
          </w:rPr>
          <w:t>Parecer JL-01, de 18 de maio de 2020.</w:t>
        </w:r>
      </w:hyperlink>
    </w:p>
    <w:p>
      <w:pPr>
        <w:pStyle w:val="Nivel2"/>
        <w:suppressAutoHyphens w:val="false"/>
        <w:spacing w:before="0" w:after="0"/>
        <w:ind w:left="0" w:firstLine="709"/>
        <w:rPr>
          <w:rFonts w:ascii="Calibri" w:hAnsi="Calibri"/>
        </w:rPr>
      </w:pPr>
      <w:r>
        <w:rPr>
          <w:rFonts w:cs="Calibri" w:ascii="Calibri" w:hAnsi="Calibri"/>
          <w:color w:val="auto"/>
          <w:sz w:val="24"/>
          <w:szCs w:val="24"/>
          <w:u w:val="none"/>
          <w:lang w:eastAsia="en-US"/>
        </w:rPr>
        <w:t>9.43</w:t>
        <w:tab/>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w:t>
      </w:r>
      <w:r>
        <w:rPr>
          <w:rFonts w:cs="Calibri" w:ascii="Calibri" w:hAnsi="Calibri"/>
          <w:sz w:val="24"/>
          <w:szCs w:val="24"/>
          <w:lang w:eastAsia="en-US"/>
        </w:rPr>
        <w:t>do a possibilidade de pagamento em conta vinculada ou de pagamento pela efetiva comprovação do fato gerador, quando for o caso, e o desconto de multas, glosas e prejuízos causados à Administração.</w:t>
      </w:r>
      <w:r>
        <w:rPr>
          <w:rFonts w:cs="Calibri" w:ascii="Calibri" w:hAnsi="Calibri"/>
          <w:sz w:val="24"/>
          <w:szCs w:val="24"/>
        </w:rPr>
        <w:t xml:space="preserve"> (INSTRUÇÃO NORMATIVA Nº 53, DE 8 DE JULHO DE 2020 e Anexos)</w:t>
      </w:r>
    </w:p>
    <w:p>
      <w:pPr>
        <w:pStyle w:val="Nivel2"/>
        <w:suppressAutoHyphens w:val="false"/>
        <w:spacing w:before="0" w:after="0"/>
        <w:ind w:left="0" w:firstLine="709"/>
        <w:rPr>
          <w:rFonts w:ascii="Calibri" w:hAnsi="Calibri"/>
        </w:rPr>
      </w:pPr>
      <w:r>
        <w:rPr>
          <w:rFonts w:cs="Calibri" w:ascii="Calibri" w:hAnsi="Calibri"/>
          <w:sz w:val="24"/>
          <w:szCs w:val="24"/>
          <w:lang w:eastAsia="en-US"/>
        </w:rPr>
        <w:t>9.50</w:t>
        <w:tab/>
        <w:t>A cessão de crédito não afetará a execução do objeto contratado, que continuará sob a integral responsabilidade do contratado.</w:t>
      </w:r>
    </w:p>
    <w:p>
      <w:pPr>
        <w:pStyle w:val="Normal"/>
        <w:tabs>
          <w:tab w:val="clear" w:pos="720"/>
          <w:tab w:val="left" w:pos="567" w:leader="none"/>
        </w:tabs>
        <w:spacing w:lineRule="auto" w:line="276"/>
        <w:ind w:firstLine="709"/>
        <w:jc w:val="both"/>
        <w:rPr>
          <w:rFonts w:ascii="Calibri" w:hAnsi="Calibri" w:cs="Calibri"/>
          <w:sz w:val="24"/>
        </w:rPr>
      </w:pPr>
      <w:r>
        <w:rPr>
          <w:rFonts w:cs="Calibri" w:ascii="Calibri" w:hAnsi="Calibri"/>
          <w:sz w:val="24"/>
        </w:rPr>
      </w:r>
    </w:p>
    <w:p>
      <w:pPr>
        <w:pStyle w:val="Nivel01"/>
        <w:numPr>
          <w:ilvl w:val="0"/>
          <w:numId w:val="0"/>
        </w:numPr>
        <w:tabs>
          <w:tab w:val="clear" w:pos="720"/>
          <w:tab w:val="left" w:pos="567" w:leader="none"/>
        </w:tabs>
        <w:suppressAutoHyphens w:val="false"/>
        <w:spacing w:before="0" w:after="0"/>
        <w:ind w:left="0" w:right="0" w:firstLine="709"/>
        <w:outlineLvl w:val="0"/>
        <w:rPr>
          <w:rFonts w:ascii="Calibri" w:hAnsi="Calibri"/>
        </w:rPr>
      </w:pPr>
      <w:r>
        <w:rPr>
          <w:rFonts w:cs="Calibri" w:ascii="Calibri" w:hAnsi="Calibri"/>
          <w:sz w:val="24"/>
          <w:szCs w:val="24"/>
        </w:rPr>
        <w:t>10</w:t>
        <w:tab/>
        <w:t>FORMA E CRITÉRIOS DE SELEÇÃO E REGIME DE EXECUÇÃO</w:t>
      </w:r>
    </w:p>
    <w:p>
      <w:pPr>
        <w:pStyle w:val="Nvel01SemNumerao"/>
        <w:rPr/>
      </w:pPr>
      <w:r>
        <w:rPr/>
        <w:t>Forma de seleção e critério de julgamento da proposta</w:t>
      </w:r>
    </w:p>
    <w:p>
      <w:pPr>
        <w:pStyle w:val="Normal"/>
        <w:tabs>
          <w:tab w:val="clear" w:pos="720"/>
          <w:tab w:val="left" w:pos="567" w:leader="none"/>
        </w:tabs>
        <w:spacing w:lineRule="auto" w:line="276"/>
        <w:ind w:firstLine="709"/>
        <w:jc w:val="both"/>
        <w:rPr>
          <w:rFonts w:ascii="Calibri" w:hAnsi="Calibri"/>
        </w:rPr>
      </w:pPr>
      <w:r>
        <w:rPr>
          <w:rFonts w:cs="Calibri" w:ascii="Calibri" w:hAnsi="Calibri"/>
          <w:b/>
          <w:sz w:val="24"/>
        </w:rPr>
        <w:t>10.1</w:t>
        <w:tab/>
        <w:t xml:space="preserve">A escolha pela contratação atende aos pressupostos para enquadramento na contratação direta, por inexigibilidade, conforme previsto no inciso IV do caput do art. 74 da Lei nº 14.133, de 2021. </w:t>
      </w:r>
    </w:p>
    <w:p>
      <w:pPr>
        <w:pStyle w:val="Normal"/>
        <w:tabs>
          <w:tab w:val="clear" w:pos="720"/>
          <w:tab w:val="left" w:pos="567" w:leader="none"/>
        </w:tabs>
        <w:spacing w:lineRule="auto" w:line="276"/>
        <w:ind w:firstLine="709"/>
        <w:jc w:val="both"/>
        <w:rPr>
          <w:rFonts w:ascii="Calibri" w:hAnsi="Calibri"/>
        </w:rPr>
      </w:pPr>
      <w:r>
        <w:rPr>
          <w:rFonts w:cs="Calibri" w:ascii="Calibri" w:hAnsi="Calibri"/>
          <w:b/>
          <w:sz w:val="24"/>
        </w:rPr>
        <w:t>10.2</w:t>
        <w:tab/>
        <w:t>A elaboração do processo administrativo para contratação seguirá em todas as fases, o preconizado pelo Dec. 11.878/2024, que regulamenta o art. 79 da Lei nº 14.133/2021, para dispor sobre o procedimento auxiliar de Credenciamento para a contratação de bens e serviços, observadas as orientações gerais do Art. 6º do referido decreto.</w:t>
      </w:r>
    </w:p>
    <w:p>
      <w:pPr>
        <w:pStyle w:val="Normal"/>
        <w:tabs>
          <w:tab w:val="clear" w:pos="720"/>
          <w:tab w:val="left" w:pos="567" w:leader="none"/>
        </w:tabs>
        <w:spacing w:lineRule="auto" w:line="276"/>
        <w:ind w:firstLine="709"/>
        <w:jc w:val="both"/>
        <w:rPr>
          <w:rFonts w:ascii="Calibri" w:hAnsi="Calibri"/>
        </w:rPr>
      </w:pPr>
      <w:r>
        <w:rPr>
          <w:rFonts w:cs="Calibri" w:ascii="Calibri" w:hAnsi="Calibri"/>
          <w:bCs/>
          <w:sz w:val="24"/>
        </w:rPr>
        <w:t>10.3</w:t>
        <w:tab/>
        <w:t>Assim serão Credenciadas todas as empresas que cumprirem as exigências de habilitações e qualificação técnica, conforme verificação documental e aprovação por comissão designada para esse fim. (</w:t>
      </w:r>
      <w:r>
        <w:rPr>
          <w:rFonts w:cs="Calibri" w:ascii="Calibri" w:hAnsi="Calibri"/>
          <w:sz w:val="24"/>
        </w:rPr>
        <w:t>Art. 17,  IV do Decreto nº 11.246, de 2022).</w:t>
      </w:r>
    </w:p>
    <w:p>
      <w:pPr>
        <w:pStyle w:val="Normal"/>
        <w:tabs>
          <w:tab w:val="clear" w:pos="720"/>
          <w:tab w:val="left" w:pos="567" w:leader="none"/>
        </w:tabs>
        <w:spacing w:lineRule="auto" w:line="276"/>
        <w:ind w:firstLine="709"/>
        <w:jc w:val="both"/>
        <w:rPr/>
      </w:pPr>
      <w:r>
        <w:rPr>
          <w:rStyle w:val="Darkmodecolorblack"/>
          <w:rFonts w:cs="Calibri" w:ascii="Calibri" w:hAnsi="Calibri"/>
          <w:color w:val="000000"/>
          <w:sz w:val="24"/>
          <w:shd w:fill="FFFFFF" w:val="clear"/>
        </w:rPr>
        <w:t>10.4</w:t>
        <w:tab/>
        <w:t>A convocação dos credenciados para contratação será realizada de acordo com as regras do edital.</w:t>
      </w:r>
    </w:p>
    <w:p>
      <w:pPr>
        <w:pStyle w:val="Normal"/>
        <w:tabs>
          <w:tab w:val="clear" w:pos="720"/>
          <w:tab w:val="left" w:pos="567" w:leader="none"/>
        </w:tabs>
        <w:spacing w:lineRule="auto" w:line="276"/>
        <w:ind w:firstLine="709"/>
        <w:jc w:val="both"/>
        <w:rPr>
          <w:rStyle w:val="Darkmodecolorblack"/>
          <w:rFonts w:ascii="Calibri" w:hAnsi="Calibri" w:cs="Calibri"/>
          <w:color w:val="000000"/>
          <w:sz w:val="24"/>
          <w:shd w:fill="FFFFFF" w:val="clear"/>
        </w:rPr>
      </w:pPr>
      <w:r>
        <w:rPr>
          <w:rFonts w:cs="Calibri" w:ascii="Calibri" w:hAnsi="Calibri"/>
          <w:color w:val="000000"/>
          <w:sz w:val="24"/>
          <w:shd w:fill="FFFFFF" w:val="clear"/>
        </w:rPr>
      </w:r>
    </w:p>
    <w:p>
      <w:pPr>
        <w:pStyle w:val="Nvel01SemNumerao"/>
        <w:rPr/>
      </w:pPr>
      <w:r>
        <w:drawing>
          <wp:anchor behindDoc="1" distT="0" distB="0" distL="0" distR="0" simplePos="0" locked="0" layoutInCell="0" allowOverlap="1" relativeHeight="17">
            <wp:simplePos x="0" y="0"/>
            <wp:positionH relativeFrom="page">
              <wp:posOffset>6134100</wp:posOffset>
            </wp:positionH>
            <wp:positionV relativeFrom="page">
              <wp:posOffset>109855</wp:posOffset>
            </wp:positionV>
            <wp:extent cx="1080135" cy="1080135"/>
            <wp:effectExtent l="0" t="0" r="0" b="0"/>
            <wp:wrapNone/>
            <wp:docPr id="16" name="Figura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a16" descr=""/>
                    <pic:cNvPicPr>
                      <a:picLocks noChangeAspect="1" noChangeArrowheads="1"/>
                    </pic:cNvPicPr>
                  </pic:nvPicPr>
                  <pic:blipFill>
                    <a:blip r:embed="rId23"/>
                    <a:stretch>
                      <a:fillRect/>
                    </a:stretch>
                  </pic:blipFill>
                  <pic:spPr bwMode="auto">
                    <a:xfrm>
                      <a:off x="0" y="0"/>
                      <a:ext cx="1080135" cy="1080135"/>
                    </a:xfrm>
                    <a:prstGeom prst="rect">
                      <a:avLst/>
                    </a:prstGeom>
                  </pic:spPr>
                </pic:pic>
              </a:graphicData>
            </a:graphic>
          </wp:anchor>
        </w:drawing>
      </w:r>
      <w:r>
        <w:rPr/>
        <w:t>Regime de execução</w:t>
      </w:r>
    </w:p>
    <w:p>
      <w:pPr>
        <w:pStyle w:val="ListParagraph"/>
        <w:spacing w:lineRule="auto" w:line="276"/>
        <w:ind w:left="0" w:firstLine="709"/>
        <w:jc w:val="both"/>
        <w:rPr>
          <w:rFonts w:ascii="Calibri" w:hAnsi="Calibri"/>
        </w:rPr>
      </w:pPr>
      <w:r>
        <w:rPr>
          <w:rFonts w:cs="Calibri" w:ascii="Calibri" w:hAnsi="Calibri"/>
          <w:sz w:val="24"/>
        </w:rPr>
        <w:t>10.5</w:t>
        <w:tab/>
        <w:t xml:space="preserve">A presente contratação adotará o regime de execução por Tarefa (demanda). Assim </w:t>
      </w:r>
      <w:r>
        <w:rPr>
          <w:rFonts w:eastAsia="" w:cs="Calibri" w:ascii="Calibri" w:hAnsi="Calibri" w:eastAsiaTheme="majorEastAsia"/>
          <w:bCs/>
          <w:sz w:val="24"/>
        </w:rPr>
        <w:t>será empregado o preço unitário na execução dos serviços, à qual deverá ser devidamente comprovado, quando solicitado pelo Fiscal ou Gestor do Contrato, bem como nas situações de Auditoria.</w:t>
      </w:r>
    </w:p>
    <w:p>
      <w:pPr>
        <w:pStyle w:val="Nvel3R"/>
        <w:rPr/>
      </w:pPr>
      <w:r>
        <w:rPr/>
        <w:t>10.6</w:t>
        <w:tab/>
        <w:t>As condições de execução dos serviços constam no contrato, observadas as regras gerais, e específicas constantes no Termo de Referência (TR) e seus Apêndices.</w:t>
      </w:r>
    </w:p>
    <w:p>
      <w:pPr>
        <w:pStyle w:val="Nvel3R"/>
        <w:rPr/>
      </w:pPr>
      <w:r>
        <w:rPr>
          <w:rFonts w:cs="Calibri" w:cstheme="minorHAnsi"/>
          <w:b/>
        </w:rPr>
        <w:t>10.7</w:t>
        <w:tab/>
        <w:t>A qualquer momento, após Análise Técnico- Financeira pela Diretoria de Saúde da MB, e previamente acordado pelas partes, poderão ser estabelecidos novos pacotes de prestação de serviços com a condição de que os valores individuais dos itens inclusos em cada pacote correspondem aos valores estabelecidos neste TR, Edital e seus anexos.</w:t>
      </w:r>
    </w:p>
    <w:p>
      <w:pPr>
        <w:pStyle w:val="Nvel3R"/>
        <w:rPr/>
      </w:pPr>
      <w:r>
        <w:rPr>
          <w:rFonts w:cs="Calibri" w:cstheme="minorHAnsi"/>
          <w:b/>
        </w:rPr>
        <w:t>10.8</w:t>
        <w:tab/>
        <w:t>Caso seja estabelecido um novo pacote, este deverá ser estendido aos demais CREDENCIADOS.</w:t>
      </w:r>
    </w:p>
    <w:p>
      <w:pPr>
        <w:pStyle w:val="Nvel3R"/>
        <w:rPr/>
      </w:pPr>
      <w:r>
        <w:rPr/>
        <w:t>10.9</w:t>
        <w:tab/>
        <w:t>Qualquer material, equipamento, utilizado por parte do CREDENCIADO na execução do contrato, será providenciado, cobertos estes custos por conta do mesmo, com observância das regras postas no Edital, em seus anexos e no contrato.</w:t>
      </w:r>
    </w:p>
    <w:p>
      <w:pPr>
        <w:pStyle w:val="ListParagraph"/>
        <w:spacing w:lineRule="auto" w:line="276"/>
        <w:ind w:left="0" w:firstLine="709"/>
        <w:jc w:val="both"/>
        <w:rPr>
          <w:rFonts w:ascii="Calibri" w:hAnsi="Calibri"/>
        </w:rPr>
      </w:pPr>
      <w:r>
        <w:rPr>
          <w:rFonts w:cs="Calibri" w:ascii="Calibri" w:hAnsi="Calibri" w:cstheme="minorHAnsi"/>
          <w:sz w:val="24"/>
        </w:rPr>
        <w:t>10.10</w:t>
        <w:tab/>
        <w:t>O CREDENCIADO é responsável pelos encargos trabalhistas, fiscais, previdenciários e comerciais resultantes da execução do contrato.</w:t>
      </w:r>
    </w:p>
    <w:p>
      <w:pPr>
        <w:pStyle w:val="ListParagraph"/>
        <w:spacing w:lineRule="auto" w:line="276"/>
        <w:ind w:left="0" w:firstLine="709"/>
        <w:jc w:val="both"/>
        <w:rPr>
          <w:rFonts w:ascii="Calibri" w:hAnsi="Calibri"/>
        </w:rPr>
      </w:pPr>
      <w:r>
        <w:rPr>
          <w:rFonts w:cs="Calibri" w:ascii="Calibri" w:hAnsi="Calibri" w:cstheme="minorHAnsi"/>
          <w:sz w:val="24"/>
        </w:rPr>
        <w:t>10.11</w:t>
        <w:tab/>
        <w:t>O CREDENCIADO deverá considerar o prazo de 30 (trinta) dias para os casos de RETORNO DE CONSULTAS ambulatoriais e REEXAMES, quando houver.</w:t>
      </w:r>
    </w:p>
    <w:p>
      <w:pPr>
        <w:pStyle w:val="Nvel3R"/>
        <w:rPr/>
      </w:pPr>
      <w:r>
        <w:rPr/>
        <w:t>10.12</w:t>
        <w:tab/>
        <w:t>A execução e controle dos serviços contratados serão avaliados pela CREDENCIANTE, mediante supervisão direta ou indireta dos procedimentos realizados.</w:t>
      </w:r>
    </w:p>
    <w:p>
      <w:pPr>
        <w:pStyle w:val="ListParagraph"/>
        <w:spacing w:lineRule="auto" w:line="276"/>
        <w:ind w:left="709" w:hanging="0"/>
        <w:jc w:val="both"/>
        <w:rPr>
          <w:rFonts w:ascii="Calibri" w:hAnsi="Calibri" w:eastAsia="" w:cs="Calibri" w:eastAsiaTheme="majorEastAsia"/>
          <w:bCs/>
          <w:sz w:val="24"/>
        </w:rPr>
      </w:pPr>
      <w:r>
        <w:rPr>
          <w:rFonts w:eastAsia="" w:cs="Calibri" w:eastAsiaTheme="majorEastAsia" w:ascii="Calibri" w:hAnsi="Calibri"/>
          <w:bCs/>
          <w:sz w:val="24"/>
        </w:rPr>
      </w:r>
    </w:p>
    <w:p>
      <w:pPr>
        <w:pStyle w:val="Nvel01SemNumerao"/>
        <w:rPr/>
      </w:pPr>
      <w:r>
        <w:rPr/>
        <w:t>Exigências de habilitação (jurídica, fiscal, social e trabalhista)</w:t>
      </w:r>
    </w:p>
    <w:p>
      <w:pPr>
        <w:pStyle w:val="ListParagraph"/>
        <w:spacing w:lineRule="auto" w:line="276"/>
        <w:ind w:left="0" w:firstLine="709"/>
        <w:jc w:val="both"/>
        <w:rPr>
          <w:rFonts w:ascii="Calibri" w:hAnsi="Calibri"/>
        </w:rPr>
      </w:pPr>
      <w:r>
        <w:rPr>
          <w:rFonts w:eastAsia="" w:cs="Calibri" w:ascii="Calibri" w:hAnsi="Calibri" w:eastAsiaTheme="majorEastAsia"/>
          <w:bCs/>
          <w:sz w:val="24"/>
        </w:rPr>
        <w:t>10.13</w:t>
        <w:tab/>
        <w:t>As exigências de Habilitação, conforme cada caso são as constantes no Edital e seus anexos.</w:t>
      </w:r>
    </w:p>
    <w:p>
      <w:pPr>
        <w:pStyle w:val="ListParagraph"/>
        <w:spacing w:lineRule="auto" w:line="276"/>
        <w:ind w:left="0" w:hanging="0"/>
        <w:jc w:val="both"/>
        <w:rPr>
          <w:rFonts w:ascii="Calibri" w:hAnsi="Calibri"/>
        </w:rPr>
      </w:pPr>
      <w:r>
        <w:rPr>
          <w:rFonts w:ascii="Calibri" w:hAnsi="Calibri"/>
        </w:rPr>
      </w:r>
    </w:p>
    <w:p>
      <w:pPr>
        <w:pStyle w:val="ListParagraph"/>
        <w:spacing w:lineRule="auto" w:line="276"/>
        <w:ind w:left="0" w:hanging="0"/>
        <w:jc w:val="both"/>
        <w:rPr/>
      </w:pPr>
      <w:r>
        <w:rPr>
          <w:rFonts w:eastAsia="" w:cs="Calibri" w:ascii="Calibri" w:hAnsi="Calibri" w:eastAsiaTheme="minorEastAsia"/>
          <w:b/>
          <w:bCs/>
          <w:iCs/>
          <w:sz w:val="24"/>
        </w:rPr>
        <w:t>Qualificação Econômico-Financeira</w:t>
      </w:r>
    </w:p>
    <w:p>
      <w:pPr>
        <w:pStyle w:val="ListParagraph"/>
        <w:spacing w:lineRule="auto" w:line="276"/>
        <w:ind w:left="0" w:hanging="0"/>
        <w:jc w:val="both"/>
        <w:rPr>
          <w:sz w:val="24"/>
        </w:rPr>
      </w:pPr>
      <w:r>
        <w:rPr>
          <w:rFonts w:ascii="Calibri" w:hAnsi="Calibri"/>
          <w:sz w:val="24"/>
        </w:rPr>
        <w:tab/>
        <w:t>10.14</w:t>
        <w:tab/>
        <w:t>As exigências de Habilitação, conforme cada caso são as constantes no Edital e seus anexos.</w:t>
      </w:r>
    </w:p>
    <w:p>
      <w:pPr>
        <w:pStyle w:val="ListParagraph"/>
        <w:spacing w:lineRule="auto" w:line="276"/>
        <w:ind w:left="0" w:hanging="0"/>
        <w:jc w:val="both"/>
        <w:rPr>
          <w:rFonts w:ascii="Calibri" w:hAnsi="Calibri"/>
        </w:rPr>
      </w:pPr>
      <w:r>
        <w:rPr>
          <w:rFonts w:ascii="Calibri" w:hAnsi="Calibri"/>
        </w:rPr>
      </w:r>
    </w:p>
    <w:p>
      <w:pPr>
        <w:pStyle w:val="ListParagraph"/>
        <w:spacing w:lineRule="auto" w:line="276"/>
        <w:ind w:left="0" w:hanging="0"/>
        <w:jc w:val="both"/>
        <w:rPr>
          <w:rFonts w:ascii="Calibri" w:hAnsi="Calibri" w:eastAsia="" w:cs="Calibri" w:eastAsiaTheme="minorEastAsia"/>
          <w:iCs/>
          <w:sz w:val="24"/>
        </w:rPr>
      </w:pPr>
      <w:r>
        <w:rPr>
          <w:rFonts w:eastAsia="" w:cs="Calibri" w:ascii="Calibri" w:hAnsi="Calibri" w:eastAsiaTheme="minorEastAsia"/>
          <w:b/>
          <w:bCs/>
          <w:iCs/>
          <w:sz w:val="24"/>
        </w:rPr>
        <w:t>Qualificação Técnica</w:t>
      </w:r>
    </w:p>
    <w:p>
      <w:pPr>
        <w:pStyle w:val="ListParagraph"/>
        <w:spacing w:lineRule="auto" w:line="276"/>
        <w:ind w:left="0" w:hanging="0"/>
        <w:jc w:val="both"/>
        <w:rPr>
          <w:rFonts w:ascii="Calibri" w:hAnsi="Calibri" w:cs="Calibri"/>
          <w:bCs/>
          <w:iCs/>
          <w:sz w:val="24"/>
        </w:rPr>
      </w:pPr>
      <w:r>
        <w:rPr>
          <w:rFonts w:cs="Calibri" w:ascii="Calibri" w:hAnsi="Calibri"/>
          <w:bCs/>
          <w:iCs/>
          <w:sz w:val="24"/>
        </w:rPr>
        <w:tab/>
        <w:t>10.15</w:t>
        <w:tab/>
        <w:t>As regras estabelecidas para qualificação técnica são aquelas estabelecidas no Edital e seus anexos. Com observância ao contido no item 05 deste Termo de Referência (TR):</w:t>
      </w:r>
    </w:p>
    <w:p>
      <w:pPr>
        <w:pStyle w:val="ListParagraph"/>
        <w:spacing w:lineRule="auto" w:line="276"/>
        <w:ind w:left="0" w:hanging="0"/>
        <w:jc w:val="both"/>
        <w:rPr>
          <w:rFonts w:ascii="Calibri" w:hAnsi="Calibri" w:cs="Calibri"/>
          <w:iCs/>
          <w:sz w:val="24"/>
        </w:rPr>
      </w:pPr>
      <w:r>
        <w:rPr>
          <w:rFonts w:cs="Calibri" w:ascii="Calibri" w:hAnsi="Calibri"/>
          <w:bCs/>
          <w:iCs/>
          <w:sz w:val="24"/>
        </w:rPr>
        <w:tab/>
        <w:tab/>
        <w:t>10.15.1</w:t>
        <w:tab/>
        <w:t>Os profissionais cirurgiões cardíacos da OSE credenciada deverão estar habilitados ao serviço de Cirurgia Cardíaca por meio da especialização e/ou Título de Especialista expedido pelo órgão da especialidade ou Certificado de Residência Médica na especialidade de Cirurgia Cardíaca e Registro do Conselho Regional de Medicina na Especialidade afim (Cirurgia Cardíaca).</w:t>
      </w:r>
    </w:p>
    <w:p>
      <w:pPr>
        <w:pStyle w:val="ListParagraph"/>
        <w:spacing w:lineRule="auto" w:line="276"/>
        <w:ind w:left="0" w:hanging="0"/>
        <w:jc w:val="both"/>
        <w:rPr>
          <w:rFonts w:ascii="Calibri" w:hAnsi="Calibri" w:cs="Calibri"/>
          <w:iCs/>
          <w:sz w:val="24"/>
        </w:rPr>
      </w:pPr>
      <w:r>
        <w:rPr>
          <w:rFonts w:cs="Calibri" w:ascii="Calibri" w:hAnsi="Calibri" w:cstheme="minorHAnsi"/>
          <w:bCs/>
          <w:iCs/>
          <w:sz w:val="24"/>
        </w:rPr>
        <w:tab/>
        <w:tab/>
        <w:t>10.15.2</w:t>
        <w:tab/>
      </w:r>
      <w:r>
        <w:rPr>
          <w:rFonts w:cs="Calibri" w:ascii="Calibri" w:hAnsi="Calibri" w:cstheme="minorHAnsi"/>
          <w:iCs/>
          <w:sz w:val="24"/>
        </w:rPr>
        <w:t>O profissional cirurgião cardíaco também deverá comprovar experiência na área de Cirurgia Cardíaca Pediátrica.</w:t>
      </w:r>
    </w:p>
    <w:p>
      <w:pPr>
        <w:pStyle w:val="ListParagraph"/>
        <w:spacing w:lineRule="auto" w:line="276"/>
        <w:ind w:left="0" w:hanging="0"/>
        <w:jc w:val="both"/>
        <w:rPr>
          <w:rFonts w:ascii="Calibri" w:hAnsi="Calibri" w:cs="Calibri"/>
          <w:iCs/>
          <w:sz w:val="24"/>
        </w:rPr>
      </w:pPr>
      <w:r>
        <w:rPr>
          <w:rFonts w:cs="Calibri" w:ascii="Calibri" w:hAnsi="Calibri" w:cstheme="minorHAnsi"/>
          <w:iCs/>
          <w:sz w:val="24"/>
        </w:rPr>
        <w:tab/>
        <w:t>10.16</w:t>
        <w:tab/>
        <w:t xml:space="preserve">Os profissionais especializados em Hemodinâmica em Pediatria deverão estar habilitados ao serviço de Hemodinâmica por meio de especialização e/ou Título de Especialista expedido pelo órgão da área de candidatura ou Certificado de Residência Médica na especialidade de Hemodinâmica e Registro do Conselho Regional de Medicina na Especialidade afim (Hemodinâmica). </w:t>
        <w:tab/>
        <w:t>10.17</w:t>
        <w:tab/>
        <w:t xml:space="preserve">O profissional hemodinamicista também deverá comprovar experiência na área de Hemodinâmica em Pediatria. </w:t>
      </w:r>
    </w:p>
    <w:p>
      <w:pPr>
        <w:pStyle w:val="ListParagraph"/>
        <w:spacing w:lineRule="auto" w:line="276"/>
        <w:ind w:left="0" w:hanging="0"/>
        <w:jc w:val="both"/>
        <w:rPr>
          <w:sz w:val="24"/>
        </w:rPr>
      </w:pPr>
      <w:r>
        <w:rPr>
          <w:rFonts w:cs="Calibri" w:ascii="Calibri" w:hAnsi="Calibri" w:cstheme="minorHAnsi"/>
          <w:iCs/>
          <w:sz w:val="24"/>
        </w:rPr>
        <w:tab/>
        <w:tab/>
        <w:t>10.17.1</w:t>
        <w:tab/>
        <w:t>Em relação às exigências específicas de especialização e/ou comprovação de experiência será feita, para cada profissional, pela análise de documentos comprobatórios pela Comissão destinada a esse fim.</w:t>
      </w:r>
    </w:p>
    <w:p>
      <w:pPr>
        <w:pStyle w:val="ListParagraph"/>
        <w:spacing w:lineRule="auto" w:line="276"/>
        <w:ind w:left="0" w:hanging="0"/>
        <w:jc w:val="both"/>
        <w:rPr>
          <w:rFonts w:ascii="Calibri" w:hAnsi="Calibri" w:cs="Calibri"/>
        </w:rPr>
      </w:pPr>
      <w:r>
        <w:rPr>
          <w:rFonts w:cs="Calibri" w:ascii="Calibri" w:hAnsi="Calibri"/>
        </w:rPr>
      </w:r>
    </w:p>
    <w:p>
      <w:pPr>
        <w:pStyle w:val="ListParagraph"/>
        <w:spacing w:lineRule="auto" w:line="276"/>
        <w:ind w:left="0" w:hanging="0"/>
        <w:jc w:val="both"/>
        <w:rPr>
          <w:sz w:val="24"/>
        </w:rPr>
      </w:pPr>
      <w:r>
        <w:rPr>
          <w:rFonts w:cs="Calibri" w:ascii="Calibri" w:hAnsi="Calibri"/>
          <w:sz w:val="24"/>
        </w:rPr>
        <w:tab/>
      </w:r>
      <w:r>
        <w:rPr>
          <w:rFonts w:cs="Calibri" w:ascii="Calibri" w:hAnsi="Calibri"/>
          <w:b/>
          <w:bCs/>
          <w:sz w:val="24"/>
        </w:rPr>
        <w:t>11.</w:t>
        <w:tab/>
        <w:t>ESTIMATIVAS DO VALOR DA CONTRATAÇÃO</w:t>
      </w:r>
    </w:p>
    <w:p>
      <w:pPr>
        <w:pStyle w:val="ListParagraph"/>
        <w:spacing w:lineRule="auto" w:line="276"/>
        <w:ind w:left="0" w:hanging="0"/>
        <w:jc w:val="both"/>
        <w:rPr>
          <w:sz w:val="24"/>
        </w:rPr>
      </w:pPr>
      <w:r>
        <w:rPr>
          <w:rFonts w:ascii="Calibri" w:hAnsi="Calibri"/>
          <w:sz w:val="24"/>
        </w:rPr>
        <w:tab/>
      </w:r>
      <w:r>
        <w:rPr>
          <w:rFonts w:ascii="Calibri" w:hAnsi="Calibri"/>
          <w:b/>
          <w:bCs/>
          <w:sz w:val="24"/>
        </w:rPr>
        <w:t>11.1</w:t>
        <w:tab/>
        <w:t>O custo anual estimado da contratação para o Edital de Credenciamento nº 216-04/2024 é de R$ 3.205.222,72 (três milhões duzentos e cinco mil duzentos e vinte e dois reais e setenta e dois centavos).</w:t>
      </w:r>
    </w:p>
    <w:p>
      <w:pPr>
        <w:pStyle w:val="ListParagraph"/>
        <w:spacing w:lineRule="auto" w:line="276"/>
        <w:ind w:left="0" w:hanging="0"/>
        <w:jc w:val="both"/>
        <w:rPr/>
      </w:pPr>
      <w:r>
        <w:rPr>
          <w:rFonts w:ascii="Calibri" w:hAnsi="Calibri"/>
          <w:sz w:val="24"/>
        </w:rPr>
        <w:tab/>
        <w:t>11.2</w:t>
        <w:tab/>
        <w:t xml:space="preserve">Deverá ser </w:t>
      </w:r>
      <w:r>
        <w:rPr>
          <w:rFonts w:eastAsia="" w:cs="Calibri" w:ascii="Calibri" w:hAnsi="Calibri" w:eastAsiaTheme="majorEastAsia"/>
          <w:sz w:val="24"/>
        </w:rPr>
        <w:t>executado</w:t>
      </w:r>
      <w:r>
        <w:rPr>
          <w:rFonts w:ascii="Calibri" w:hAnsi="Calibri"/>
          <w:sz w:val="24"/>
        </w:rPr>
        <w:t xml:space="preserve"> de acordo com </w:t>
      </w:r>
      <w:r>
        <w:rPr>
          <w:rFonts w:eastAsia="" w:cs="Calibri" w:ascii="Calibri" w:hAnsi="Calibri" w:eastAsiaTheme="majorEastAsia"/>
          <w:sz w:val="24"/>
        </w:rPr>
        <w:t xml:space="preserve">os </w:t>
      </w:r>
      <w:r>
        <w:rPr>
          <w:rFonts w:ascii="Calibri" w:hAnsi="Calibri"/>
          <w:sz w:val="24"/>
        </w:rPr>
        <w:t>custos apostos nas tabelas indicadas no TR.</w:t>
      </w:r>
    </w:p>
    <w:p>
      <w:pPr>
        <w:pStyle w:val="ListParagraph"/>
        <w:spacing w:lineRule="auto" w:line="276"/>
        <w:ind w:left="0" w:hanging="0"/>
        <w:jc w:val="both"/>
        <w:rPr/>
      </w:pPr>
      <w:r>
        <w:rPr>
          <w:rStyle w:val="Fontepargpadro1"/>
          <w:rFonts w:ascii="Calibri" w:hAnsi="Calibri"/>
          <w:sz w:val="24"/>
        </w:rPr>
        <w:tab/>
        <w:t>11.</w:t>
      </w:r>
      <w:r>
        <w:rPr>
          <w:rStyle w:val="Fontepargpadro1"/>
          <w:rFonts w:eastAsia="" w:cs="Calibri" w:ascii="Calibri" w:hAnsi="Calibri" w:eastAsiaTheme="majorEastAsia"/>
          <w:sz w:val="24"/>
        </w:rPr>
        <w:t>3</w:t>
      </w:r>
      <w:r>
        <w:rPr>
          <w:rStyle w:val="Fontepargpadro1"/>
          <w:rFonts w:ascii="Calibri" w:hAnsi="Calibri"/>
          <w:sz w:val="24"/>
        </w:rPr>
        <w:tab/>
        <w:t xml:space="preserve">Na Tabela 01 </w:t>
      </w:r>
      <w:r>
        <w:rPr>
          <w:rStyle w:val="Fontepargpadro1"/>
          <w:rFonts w:cs="Calibri" w:ascii="Calibri" w:hAnsi="Calibri"/>
          <w:sz w:val="24"/>
        </w:rPr>
        <w:t>– Da Demanda Estimada e do Custo Anual para os Serviços Credenciados:</w:t>
      </w:r>
    </w:p>
    <w:p>
      <w:pPr>
        <w:pStyle w:val="ListParagraph"/>
        <w:spacing w:lineRule="auto" w:line="276"/>
        <w:ind w:left="0" w:hanging="0"/>
        <w:jc w:val="both"/>
        <w:rPr/>
      </w:pPr>
      <w:r>
        <w:rPr>
          <w:rFonts w:ascii="Calibri" w:hAnsi="Calibri"/>
          <w:sz w:val="24"/>
        </w:rPr>
        <w:tab/>
        <w:tab/>
        <w:t>11.3.1</w:t>
        <w:tab/>
      </w:r>
      <w:r>
        <w:rPr>
          <w:rFonts w:cs="Calibri" w:ascii="Calibri" w:hAnsi="Calibri"/>
          <w:sz w:val="24"/>
        </w:rPr>
        <w:t>Tabela 02 – Das Cirurgias Cardiovasculares e Hemodinâmicas em Pediatria;</w:t>
      </w:r>
    </w:p>
    <w:p>
      <w:pPr>
        <w:pStyle w:val="Nvel01SemNumerao"/>
        <w:rPr>
          <w:b w:val="false"/>
          <w:b w:val="false"/>
          <w:bCs w:val="false"/>
        </w:rPr>
      </w:pPr>
      <w:r>
        <w:rPr>
          <w:b w:val="false"/>
          <w:bCs w:val="false"/>
        </w:rPr>
        <w:tab/>
        <w:tab/>
        <w:t>11.3.2</w:t>
        <w:tab/>
        <w:t>Tabela 03 - Dos Valores Globais por Diárias nas Unidades de Internação por Níveis de Gravidade do Paciente NeoPediatrico.</w:t>
      </w:r>
    </w:p>
    <w:p>
      <w:pPr>
        <w:pStyle w:val="Nvel01SemNumerao"/>
        <w:rPr/>
      </w:pPr>
      <w:r>
        <w:rPr/>
      </w:r>
    </w:p>
    <w:p>
      <w:pPr>
        <w:pStyle w:val="Nivel01"/>
        <w:spacing w:before="0" w:after="0"/>
        <w:ind w:left="0" w:right="0" w:firstLine="709"/>
        <w:rPr>
          <w:sz w:val="24"/>
          <w:szCs w:val="24"/>
        </w:rPr>
      </w:pPr>
      <w:r>
        <w:rPr>
          <w:rFonts w:cs="Calibri" w:ascii="Calibri" w:hAnsi="Calibri"/>
          <w:sz w:val="24"/>
          <w:szCs w:val="24"/>
        </w:rPr>
        <w:t>12</w:t>
        <w:tab/>
        <w:t>ADEQUAÇÃO ORÇAMENTÁRIA</w:t>
      </w:r>
    </w:p>
    <w:p>
      <w:pPr>
        <w:pStyle w:val="Normal"/>
        <w:widowControl w:val="false"/>
        <w:spacing w:lineRule="auto" w:line="276"/>
        <w:ind w:left="709" w:hanging="0"/>
        <w:jc w:val="both"/>
        <w:rPr>
          <w:rFonts w:ascii="Calibri" w:hAnsi="Calibri" w:cs="Calibri"/>
          <w:sz w:val="24"/>
        </w:rPr>
      </w:pPr>
      <w:r>
        <w:rPr>
          <w:rFonts w:cs="Calibri" w:ascii="Calibri" w:hAnsi="Calibri"/>
          <w:sz w:val="24"/>
        </w:rPr>
        <w:t>12.1</w:t>
        <w:tab/>
        <w:t>As despesas para atender a este credenciamento estão programadas em dotação orçamentária, prevista no orçamento da União para o exercício de 2024/2025:</w:t>
      </w:r>
    </w:p>
    <w:p>
      <w:pPr>
        <w:pStyle w:val="Normal"/>
        <w:widowControl w:val="false"/>
        <w:spacing w:lineRule="auto" w:line="276"/>
        <w:ind w:left="709" w:hanging="0"/>
        <w:jc w:val="both"/>
        <w:rPr/>
      </w:pPr>
      <w:r>
        <w:rPr>
          <w:rFonts w:cs="Calibri" w:ascii="Calibri" w:hAnsi="Calibri"/>
          <w:sz w:val="24"/>
        </w:rPr>
        <w:t>PTRES 216820;</w:t>
      </w:r>
    </w:p>
    <w:p>
      <w:pPr>
        <w:pStyle w:val="Normal"/>
        <w:widowControl w:val="false"/>
        <w:spacing w:lineRule="auto" w:line="276"/>
        <w:ind w:left="709" w:hanging="0"/>
        <w:jc w:val="both"/>
        <w:rPr/>
      </w:pPr>
      <w:r>
        <w:rPr>
          <w:rFonts w:cs="Calibri" w:ascii="Calibri" w:hAnsi="Calibri"/>
          <w:sz w:val="24"/>
        </w:rPr>
        <w:t>Fonte de Recursos 1005000144;</w:t>
      </w:r>
    </w:p>
    <w:p>
      <w:pPr>
        <w:pStyle w:val="Normal"/>
        <w:widowControl w:val="false"/>
        <w:spacing w:lineRule="auto" w:line="276"/>
        <w:ind w:left="709" w:hanging="0"/>
        <w:jc w:val="both"/>
        <w:rPr/>
      </w:pPr>
      <w:r>
        <w:rPr>
          <w:rFonts w:cs="Calibri" w:ascii="Calibri" w:hAnsi="Calibri"/>
          <w:sz w:val="24"/>
        </w:rPr>
        <w:t>ND 339039;</w:t>
      </w:r>
    </w:p>
    <w:p>
      <w:pPr>
        <w:pStyle w:val="Normal"/>
        <w:widowControl w:val="false"/>
        <w:spacing w:lineRule="auto" w:line="276"/>
        <w:ind w:left="709" w:hanging="0"/>
        <w:jc w:val="both"/>
        <w:rPr/>
      </w:pPr>
      <w:r>
        <w:rPr>
          <w:rFonts w:cs="Calibri" w:ascii="Calibri" w:hAnsi="Calibri"/>
          <w:sz w:val="24"/>
        </w:rPr>
        <w:t>PI B406DV0Z2DU.</w:t>
      </w:r>
    </w:p>
    <w:p>
      <w:pPr>
        <w:pStyle w:val="Nivel2"/>
        <w:suppressAutoHyphens w:val="false"/>
        <w:spacing w:before="0" w:after="0"/>
        <w:ind w:left="0" w:firstLine="709"/>
        <w:rPr>
          <w:rFonts w:ascii="Calibri" w:hAnsi="Calibri" w:eastAsia="Times New Roman" w:cs="Calibri"/>
          <w:color w:val="000000"/>
          <w:sz w:val="24"/>
          <w:szCs w:val="24"/>
          <w:lang w:eastAsia="ar-SA"/>
        </w:rPr>
      </w:pPr>
      <w:r>
        <w:rPr>
          <w:rFonts w:eastAsia="Times New Roman" w:cs="Calibri" w:ascii="Calibri" w:hAnsi="Calibri"/>
          <w:color w:val="000000"/>
          <w:sz w:val="24"/>
          <w:szCs w:val="24"/>
          <w:lang w:eastAsia="ar-SA"/>
        </w:rPr>
        <w:t>12.2</w:t>
        <w:tab/>
        <w:t>A dotação relativa aos exercícios financeiros subsequentes será indicada após aprovação da Lei Orçamentária respectiva e liberação dos créditos correspondentes.</w:t>
      </w:r>
    </w:p>
    <w:p>
      <w:pPr>
        <w:pStyle w:val="ListParagraph"/>
        <w:spacing w:lineRule="auto" w:line="276"/>
        <w:ind w:left="709" w:hanging="0"/>
        <w:jc w:val="right"/>
        <w:rPr>
          <w:sz w:val="24"/>
        </w:rPr>
      </w:pPr>
      <w:r>
        <w:rPr>
          <w:sz w:val="24"/>
        </w:rPr>
      </w:r>
    </w:p>
    <w:p>
      <w:pPr>
        <w:pStyle w:val="ListParagraph"/>
        <w:spacing w:lineRule="auto" w:line="276"/>
        <w:ind w:left="709" w:hanging="0"/>
        <w:jc w:val="right"/>
        <w:rPr>
          <w:sz w:val="24"/>
        </w:rPr>
      </w:pPr>
      <w:r>
        <w:rPr>
          <w:rFonts w:cs="Calibri" w:ascii="Calibri" w:hAnsi="Calibri"/>
          <w:sz w:val="24"/>
        </w:rPr>
        <w:t xml:space="preserve">Rio de Janeiro, RJ, </w:t>
      </w:r>
      <w:r>
        <w:rPr>
          <w:rFonts w:eastAsia="Times New Roman" w:cs="Calibri" w:ascii="Calibri" w:hAnsi="Calibri"/>
          <w:color w:val="auto"/>
          <w:kern w:val="0"/>
          <w:sz w:val="24"/>
          <w:szCs w:val="24"/>
          <w:lang w:val="pt-BR" w:eastAsia="pt-BR" w:bidi="ar-SA"/>
        </w:rPr>
        <w:t>08</w:t>
      </w:r>
      <w:r>
        <w:rPr>
          <w:rFonts w:cs="Calibri" w:ascii="Calibri" w:hAnsi="Calibri"/>
          <w:sz w:val="24"/>
        </w:rPr>
        <w:t xml:space="preserve"> de </w:t>
      </w:r>
      <w:r>
        <w:rPr>
          <w:rFonts w:eastAsia="Times New Roman" w:cs="Calibri" w:ascii="Calibri" w:hAnsi="Calibri"/>
          <w:color w:val="auto"/>
          <w:kern w:val="0"/>
          <w:sz w:val="24"/>
          <w:szCs w:val="24"/>
          <w:lang w:val="pt-BR" w:eastAsia="pt-BR" w:bidi="ar-SA"/>
        </w:rPr>
        <w:t>agosto</w:t>
      </w:r>
      <w:r>
        <w:rPr>
          <w:rFonts w:cs="Calibri" w:ascii="Calibri" w:hAnsi="Calibri"/>
          <w:sz w:val="24"/>
        </w:rPr>
        <w:t xml:space="preserve"> de 2024.</w:t>
      </w:r>
    </w:p>
    <w:p>
      <w:pPr>
        <w:pStyle w:val="Normal"/>
        <w:tabs>
          <w:tab w:val="clear" w:pos="720"/>
          <w:tab w:val="left" w:pos="-12292" w:leader="none"/>
        </w:tabs>
        <w:spacing w:lineRule="auto" w:line="276"/>
        <w:ind w:firstLine="709"/>
        <w:jc w:val="center"/>
        <w:rPr>
          <w:rFonts w:ascii="Calibri" w:hAnsi="Calibri" w:cs="Calibri"/>
          <w:sz w:val="24"/>
        </w:rPr>
      </w:pPr>
      <w:r>
        <w:rPr>
          <w:rFonts w:cs="Calibri" w:ascii="Calibri" w:hAnsi="Calibri"/>
          <w:sz w:val="24"/>
        </w:rPr>
      </w:r>
    </w:p>
    <w:p>
      <w:pPr>
        <w:pStyle w:val="Normal"/>
        <w:tabs>
          <w:tab w:val="clear" w:pos="720"/>
          <w:tab w:val="left" w:pos="-12292" w:leader="none"/>
        </w:tabs>
        <w:spacing w:lineRule="auto" w:line="276"/>
        <w:ind w:firstLine="709"/>
        <w:jc w:val="center"/>
        <w:rPr>
          <w:rFonts w:ascii="Calibri" w:hAnsi="Calibri" w:cs="Calibri"/>
          <w:sz w:val="24"/>
        </w:rPr>
      </w:pPr>
      <w:r>
        <w:rPr>
          <w:rFonts w:cs="Calibri" w:ascii="Calibri" w:hAnsi="Calibri"/>
          <w:sz w:val="24"/>
        </w:rPr>
      </w:r>
    </w:p>
    <w:p>
      <w:pPr>
        <w:pStyle w:val="Normal"/>
        <w:tabs>
          <w:tab w:val="clear" w:pos="720"/>
          <w:tab w:val="left" w:pos="426" w:leader="none"/>
        </w:tabs>
        <w:jc w:val="center"/>
        <w:rPr>
          <w:rFonts w:ascii="Calibri" w:hAnsi="Calibri" w:cs="Calibri"/>
          <w:sz w:val="24"/>
        </w:rPr>
      </w:pPr>
      <w:r>
        <w:rPr>
          <w:rFonts w:cs="Calibri" w:ascii="Calibri" w:hAnsi="Calibri"/>
          <w:sz w:val="24"/>
        </w:rPr>
        <w:t>VALÉRIA RODRIGUES FERREIRA DE SÁ FIGUEIREDO</w:t>
      </w:r>
    </w:p>
    <w:p>
      <w:pPr>
        <w:pStyle w:val="Normal"/>
        <w:tabs>
          <w:tab w:val="clear" w:pos="720"/>
          <w:tab w:val="left" w:pos="426" w:leader="none"/>
          <w:tab w:val="left" w:pos="9072" w:leader="none"/>
          <w:tab w:val="left" w:pos="9214" w:leader="none"/>
        </w:tabs>
        <w:jc w:val="center"/>
        <w:rPr>
          <w:sz w:val="24"/>
        </w:rPr>
      </w:pPr>
      <w:r>
        <w:rPr>
          <w:rFonts w:cs="Calibri" w:ascii="Calibri" w:hAnsi="Calibri"/>
          <w:sz w:val="24"/>
        </w:rPr>
        <w:t>Capitão de Fragata (Md)</w:t>
      </w:r>
    </w:p>
    <w:p>
      <w:pPr>
        <w:pStyle w:val="Normal"/>
        <w:tabs>
          <w:tab w:val="clear" w:pos="720"/>
          <w:tab w:val="left" w:pos="426" w:leader="none"/>
        </w:tabs>
        <w:jc w:val="center"/>
        <w:rPr>
          <w:sz w:val="24"/>
        </w:rPr>
      </w:pPr>
      <w:r>
        <w:rPr>
          <w:rFonts w:cs="Calibri" w:ascii="Calibri" w:hAnsi="Calibri"/>
          <w:sz w:val="24"/>
        </w:rPr>
        <w:t>Médica Assistente da Clínica de Pediatria</w:t>
      </w:r>
    </w:p>
    <w:p>
      <w:pPr>
        <w:pStyle w:val="Normal"/>
        <w:tabs>
          <w:tab w:val="clear" w:pos="720"/>
          <w:tab w:val="left" w:pos="426" w:leader="none"/>
        </w:tabs>
        <w:spacing w:lineRule="auto" w:line="276"/>
        <w:ind w:firstLine="709"/>
        <w:jc w:val="center"/>
        <w:rPr>
          <w:rFonts w:ascii="Calibri" w:hAnsi="Calibri" w:cs="Calibri"/>
          <w:sz w:val="24"/>
        </w:rPr>
      </w:pPr>
      <w:r>
        <w:rPr>
          <w:rFonts w:cs="Calibri" w:ascii="Calibri" w:hAnsi="Calibri"/>
          <w:sz w:val="24"/>
        </w:rPr>
      </w:r>
    </w:p>
    <w:p>
      <w:pPr>
        <w:pStyle w:val="Normal"/>
        <w:tabs>
          <w:tab w:val="clear" w:pos="720"/>
          <w:tab w:val="left" w:pos="426" w:leader="none"/>
        </w:tabs>
        <w:spacing w:lineRule="auto" w:line="276"/>
        <w:ind w:firstLine="709"/>
        <w:jc w:val="center"/>
        <w:rPr>
          <w:rFonts w:ascii="Calibri" w:hAnsi="Calibri" w:cs="Calibri"/>
          <w:sz w:val="24"/>
        </w:rPr>
      </w:pPr>
      <w:r>
        <w:rPr>
          <w:rFonts w:cs="Calibri" w:ascii="Calibri" w:hAnsi="Calibri"/>
          <w:sz w:val="24"/>
        </w:rPr>
      </w:r>
    </w:p>
    <w:p>
      <w:pPr>
        <w:pStyle w:val="Normal"/>
        <w:tabs>
          <w:tab w:val="clear" w:pos="720"/>
          <w:tab w:val="left" w:pos="426" w:leader="none"/>
        </w:tabs>
        <w:spacing w:lineRule="auto" w:line="276"/>
        <w:ind w:firstLine="709"/>
        <w:jc w:val="center"/>
        <w:rPr>
          <w:rFonts w:ascii="Calibri" w:hAnsi="Calibri" w:cs="Calibri"/>
          <w:sz w:val="24"/>
        </w:rPr>
      </w:pPr>
      <w:r>
        <w:rPr>
          <w:rFonts w:cs="Calibri" w:ascii="Calibri" w:hAnsi="Calibri"/>
          <w:sz w:val="24"/>
        </w:rPr>
      </w:r>
    </w:p>
    <w:p>
      <w:pPr>
        <w:pStyle w:val="Normal"/>
        <w:tabs>
          <w:tab w:val="clear" w:pos="720"/>
          <w:tab w:val="left" w:pos="426" w:leader="none"/>
        </w:tabs>
        <w:spacing w:lineRule="auto" w:line="276"/>
        <w:ind w:firstLine="709"/>
        <w:jc w:val="center"/>
        <w:rPr>
          <w:rFonts w:ascii="Calibri" w:hAnsi="Calibri" w:cs="Calibri"/>
          <w:sz w:val="24"/>
        </w:rPr>
      </w:pPr>
      <w:r>
        <w:rPr>
          <w:rFonts w:cs="Calibri" w:ascii="Calibri" w:hAnsi="Calibri"/>
          <w:sz w:val="24"/>
        </w:rPr>
      </w:r>
    </w:p>
    <w:p>
      <w:pPr>
        <w:pStyle w:val="Normal"/>
        <w:tabs>
          <w:tab w:val="clear" w:pos="720"/>
          <w:tab w:val="left" w:pos="426" w:leader="none"/>
        </w:tabs>
        <w:spacing w:lineRule="auto" w:line="276"/>
        <w:ind w:firstLine="709"/>
        <w:jc w:val="center"/>
        <w:rPr>
          <w:rFonts w:ascii="Calibri" w:hAnsi="Calibri" w:cs="Calibri"/>
          <w:sz w:val="24"/>
        </w:rPr>
      </w:pPr>
      <w:r>
        <w:rPr>
          <w:rFonts w:cs="Calibri" w:ascii="Calibri" w:hAnsi="Calibri"/>
          <w:sz w:val="24"/>
        </w:rPr>
      </w:r>
    </w:p>
    <w:p>
      <w:pPr>
        <w:pStyle w:val="Normal"/>
        <w:tabs>
          <w:tab w:val="clear" w:pos="720"/>
          <w:tab w:val="left" w:pos="426" w:leader="none"/>
        </w:tabs>
        <w:spacing w:lineRule="auto" w:line="276"/>
        <w:ind w:firstLine="709"/>
        <w:jc w:val="center"/>
        <w:rPr>
          <w:rFonts w:ascii="Calibri" w:hAnsi="Calibri" w:cs="Calibri"/>
          <w:sz w:val="24"/>
        </w:rPr>
      </w:pPr>
      <w:r>
        <w:rPr>
          <w:rFonts w:cs="Calibri" w:ascii="Calibri" w:hAnsi="Calibri"/>
          <w:sz w:val="24"/>
        </w:rPr>
      </w:r>
    </w:p>
    <w:p>
      <w:pPr>
        <w:pStyle w:val="ListParagraph"/>
        <w:spacing w:lineRule="auto" w:line="276"/>
        <w:ind w:left="600" w:hanging="0"/>
        <w:jc w:val="both"/>
        <w:rPr>
          <w:sz w:val="24"/>
        </w:rPr>
      </w:pPr>
      <w:r>
        <w:rPr>
          <w:rFonts w:cs="Calibri" w:ascii="Calibri" w:hAnsi="Calibri"/>
          <w:b/>
          <w:sz w:val="24"/>
        </w:rPr>
        <w:t>Ato de ratificação.</w:t>
      </w:r>
    </w:p>
    <w:p>
      <w:pPr>
        <w:pStyle w:val="ListParagraph"/>
        <w:spacing w:lineRule="auto" w:line="276"/>
        <w:ind w:left="0" w:firstLine="709"/>
        <w:jc w:val="both"/>
        <w:rPr>
          <w:sz w:val="24"/>
        </w:rPr>
      </w:pPr>
      <w:r>
        <w:rPr>
          <w:rFonts w:cs="Calibri" w:ascii="Calibri" w:hAnsi="Calibri"/>
          <w:sz w:val="24"/>
        </w:rPr>
        <w:t>Tendo em vista as justificativas e os elementos técnicos apresentados neste Termo de Referência e por demais documentos que lhe dão suporte, ratifico a necessidade da contratação do serviço pelos prazos indicados e totais definidos.</w:t>
      </w:r>
    </w:p>
    <w:p>
      <w:pPr>
        <w:pStyle w:val="Normal"/>
        <w:tabs>
          <w:tab w:val="clear" w:pos="720"/>
          <w:tab w:val="left" w:pos="426" w:leader="none"/>
        </w:tabs>
        <w:spacing w:lineRule="auto" w:line="276"/>
        <w:ind w:firstLine="709"/>
        <w:jc w:val="both"/>
        <w:rPr>
          <w:rFonts w:ascii="Calibri" w:hAnsi="Calibri" w:cs="Calibri"/>
          <w:sz w:val="24"/>
        </w:rPr>
      </w:pPr>
      <w:r>
        <w:rPr>
          <w:rFonts w:cs="Calibri" w:ascii="Calibri" w:hAnsi="Calibri"/>
          <w:sz w:val="24"/>
        </w:rPr>
      </w:r>
    </w:p>
    <w:p>
      <w:pPr>
        <w:pStyle w:val="ListParagraph"/>
        <w:spacing w:lineRule="auto" w:line="276"/>
        <w:ind w:left="709" w:hanging="0"/>
        <w:jc w:val="right"/>
        <w:rPr>
          <w:sz w:val="24"/>
        </w:rPr>
      </w:pPr>
      <w:r>
        <w:rPr>
          <w:rFonts w:cs="Calibri" w:ascii="Calibri" w:hAnsi="Calibri"/>
          <w:sz w:val="24"/>
        </w:rPr>
        <w:t xml:space="preserve">Rio de Janeiro, RJ, </w:t>
      </w:r>
      <w:r>
        <w:rPr>
          <w:rFonts w:eastAsia="Times New Roman" w:cs="Calibri" w:ascii="Calibri" w:hAnsi="Calibri"/>
          <w:color w:val="auto"/>
          <w:kern w:val="0"/>
          <w:sz w:val="24"/>
          <w:szCs w:val="24"/>
          <w:lang w:val="pt-BR" w:eastAsia="pt-BR" w:bidi="ar-SA"/>
        </w:rPr>
        <w:t>08</w:t>
      </w:r>
      <w:r>
        <w:rPr>
          <w:rFonts w:cs="Calibri" w:ascii="Calibri" w:hAnsi="Calibri"/>
          <w:sz w:val="24"/>
        </w:rPr>
        <w:t xml:space="preserve"> de </w:t>
      </w:r>
      <w:r>
        <w:rPr>
          <w:rFonts w:eastAsia="Times New Roman" w:cs="Calibri" w:ascii="Calibri" w:hAnsi="Calibri"/>
          <w:color w:val="auto"/>
          <w:kern w:val="0"/>
          <w:sz w:val="24"/>
          <w:szCs w:val="24"/>
          <w:lang w:val="pt-BR" w:eastAsia="pt-BR" w:bidi="ar-SA"/>
        </w:rPr>
        <w:t>agosto</w:t>
      </w:r>
      <w:r>
        <w:rPr>
          <w:rFonts w:cs="Calibri" w:ascii="Calibri" w:hAnsi="Calibri"/>
          <w:sz w:val="24"/>
        </w:rPr>
        <w:t xml:space="preserve"> de 2024.</w:t>
      </w:r>
    </w:p>
    <w:p>
      <w:pPr>
        <w:pStyle w:val="Normal"/>
        <w:tabs>
          <w:tab w:val="clear" w:pos="720"/>
          <w:tab w:val="left" w:pos="-12292" w:leader="none"/>
        </w:tabs>
        <w:spacing w:lineRule="auto" w:line="276"/>
        <w:ind w:firstLine="709"/>
        <w:jc w:val="center"/>
        <w:rPr>
          <w:rFonts w:ascii="Calibri" w:hAnsi="Calibri" w:cs="Calibri"/>
          <w:sz w:val="24"/>
        </w:rPr>
      </w:pPr>
      <w:r>
        <w:rPr>
          <w:rFonts w:cs="Calibri" w:ascii="Calibri" w:hAnsi="Calibri"/>
          <w:sz w:val="24"/>
        </w:rPr>
      </w:r>
    </w:p>
    <w:p>
      <w:pPr>
        <w:pStyle w:val="Normal"/>
        <w:tabs>
          <w:tab w:val="clear" w:pos="720"/>
          <w:tab w:val="left" w:pos="426" w:leader="none"/>
        </w:tabs>
        <w:spacing w:lineRule="auto" w:line="276"/>
        <w:jc w:val="center"/>
        <w:rPr>
          <w:sz w:val="24"/>
        </w:rPr>
      </w:pPr>
      <w:r>
        <w:rPr>
          <w:rFonts w:cs="Calibri" w:ascii="Calibri" w:hAnsi="Calibri"/>
          <w:sz w:val="24"/>
        </w:rPr>
        <w:t>ROBERTO JUN NISHIHARA</w:t>
      </w:r>
    </w:p>
    <w:p>
      <w:pPr>
        <w:pStyle w:val="Normal"/>
        <w:tabs>
          <w:tab w:val="clear" w:pos="720"/>
          <w:tab w:val="left" w:pos="426" w:leader="none"/>
          <w:tab w:val="left" w:pos="9072" w:leader="none"/>
          <w:tab w:val="left" w:pos="9214" w:leader="none"/>
        </w:tabs>
        <w:spacing w:lineRule="auto" w:line="276"/>
        <w:jc w:val="center"/>
        <w:rPr>
          <w:sz w:val="24"/>
        </w:rPr>
      </w:pPr>
      <w:r>
        <w:rPr>
          <w:rFonts w:cs="Calibri" w:ascii="Calibri" w:hAnsi="Calibri"/>
          <w:sz w:val="24"/>
        </w:rPr>
        <w:t>Capitão de Mar e Guerra (Md)</w:t>
      </w:r>
    </w:p>
    <w:p>
      <w:pPr>
        <w:pStyle w:val="Normal"/>
        <w:tabs>
          <w:tab w:val="clear" w:pos="720"/>
          <w:tab w:val="left" w:pos="426" w:leader="none"/>
        </w:tabs>
        <w:spacing w:lineRule="auto" w:line="276"/>
        <w:jc w:val="center"/>
        <w:rPr>
          <w:sz w:val="24"/>
        </w:rPr>
      </w:pPr>
      <w:r>
        <w:rPr>
          <w:rFonts w:cs="Calibri" w:ascii="Calibri" w:hAnsi="Calibri"/>
          <w:sz w:val="24"/>
        </w:rPr>
        <w:t>Chefe do Departamento de Medicina Clínica</w:t>
      </w:r>
    </w:p>
    <w:p>
      <w:pPr>
        <w:pStyle w:val="Normal"/>
        <w:tabs>
          <w:tab w:val="clear" w:pos="720"/>
          <w:tab w:val="left" w:pos="426" w:leader="none"/>
        </w:tabs>
        <w:spacing w:lineRule="auto" w:line="276"/>
        <w:ind w:firstLine="709"/>
        <w:jc w:val="center"/>
        <w:rPr>
          <w:rFonts w:ascii="Calibri" w:hAnsi="Calibri" w:cs="Calibri"/>
          <w:sz w:val="24"/>
        </w:rPr>
      </w:pPr>
      <w:r>
        <w:rPr>
          <w:rFonts w:cs="Calibri" w:ascii="Calibri" w:hAnsi="Calibri"/>
          <w:sz w:val="24"/>
        </w:rPr>
      </w:r>
    </w:p>
    <w:p>
      <w:pPr>
        <w:pStyle w:val="ListParagraph"/>
        <w:spacing w:lineRule="auto" w:line="276"/>
        <w:ind w:left="0" w:hanging="0"/>
        <w:jc w:val="both"/>
        <w:rPr>
          <w:sz w:val="24"/>
        </w:rPr>
      </w:pPr>
      <w:r>
        <w:rPr>
          <w:rFonts w:cs="Calibri" w:ascii="Calibri" w:hAnsi="Calibri"/>
          <w:b/>
          <w:sz w:val="24"/>
        </w:rPr>
        <w:t>Ato de aprovação.</w:t>
      </w:r>
    </w:p>
    <w:p>
      <w:pPr>
        <w:pStyle w:val="Normal"/>
        <w:tabs>
          <w:tab w:val="clear" w:pos="720"/>
          <w:tab w:val="left" w:pos="1417" w:leader="none"/>
          <w:tab w:val="left" w:pos="2268" w:leader="none"/>
        </w:tabs>
        <w:spacing w:lineRule="auto" w:line="276"/>
        <w:ind w:left="0" w:firstLine="652"/>
        <w:jc w:val="both"/>
        <w:rPr>
          <w:rFonts w:ascii="Calibri" w:hAnsi="Calibri"/>
          <w:sz w:val="24"/>
          <w:szCs w:val="24"/>
        </w:rPr>
      </w:pPr>
      <w:r>
        <w:rPr>
          <w:rFonts w:eastAsia="Arial" w:cs="Calibri" w:ascii="Calibri" w:hAnsi="Calibri"/>
          <w:color w:val="000000"/>
          <w:sz w:val="24"/>
          <w:szCs w:val="24"/>
          <w:shd w:fill="auto" w:val="clear"/>
        </w:rPr>
        <w:t xml:space="preserve">Em cumprimento ao disposto no </w:t>
      </w:r>
      <w:r>
        <w:rPr>
          <w:rFonts w:eastAsia="Arial" w:cs="Tahoma" w:ascii="Calibri" w:hAnsi="Calibri"/>
          <w:color w:val="000000"/>
          <w:sz w:val="24"/>
          <w:szCs w:val="24"/>
          <w:shd w:fill="auto" w:val="clear"/>
          <w:lang w:eastAsia="pt-BR"/>
        </w:rPr>
        <w:t>inciso XXIII, do art. 6º e art. 18, inciso II, da Lei nº 14.133/2021</w:t>
      </w:r>
      <w:r>
        <w:rPr>
          <w:rFonts w:eastAsia="Arial" w:cs="Calibri" w:ascii="Calibri" w:hAnsi="Calibri"/>
          <w:color w:val="000000"/>
          <w:sz w:val="24"/>
          <w:szCs w:val="24"/>
          <w:shd w:fill="auto" w:val="clear"/>
        </w:rPr>
        <w:t>, aprovo o Termo de Referência, com amparo nas justificativas e nos elementos técnicos apresentados.</w:t>
      </w:r>
    </w:p>
    <w:p>
      <w:pPr>
        <w:pStyle w:val="Normal"/>
        <w:spacing w:lineRule="auto" w:line="276"/>
        <w:ind w:firstLine="709"/>
        <w:jc w:val="both"/>
        <w:rPr>
          <w:rFonts w:ascii="Calibri" w:hAnsi="Calibri" w:cs="Calibri"/>
          <w:sz w:val="24"/>
        </w:rPr>
      </w:pPr>
      <w:r>
        <w:rPr>
          <w:rFonts w:cs="Calibri" w:ascii="Calibri" w:hAnsi="Calibri"/>
          <w:sz w:val="24"/>
        </w:rPr>
      </w:r>
    </w:p>
    <w:p>
      <w:pPr>
        <w:pStyle w:val="ListParagraph"/>
        <w:spacing w:lineRule="auto" w:line="276"/>
        <w:ind w:left="709" w:hanging="0"/>
        <w:jc w:val="right"/>
        <w:rPr>
          <w:rFonts w:ascii="Calibri" w:hAnsi="Calibri"/>
        </w:rPr>
      </w:pPr>
      <w:r>
        <w:rPr>
          <w:rFonts w:cs="Calibri" w:ascii="Calibri" w:hAnsi="Calibri"/>
          <w:sz w:val="24"/>
        </w:rPr>
        <w:t xml:space="preserve">Rio de Janeiro, RJ, </w:t>
      </w:r>
      <w:r>
        <w:rPr>
          <w:rFonts w:eastAsia="Times New Roman" w:cs="Calibri" w:ascii="Calibri" w:hAnsi="Calibri"/>
          <w:color w:val="auto"/>
          <w:kern w:val="0"/>
          <w:sz w:val="24"/>
          <w:szCs w:val="24"/>
          <w:lang w:val="pt-BR" w:eastAsia="pt-BR" w:bidi="ar-SA"/>
        </w:rPr>
        <w:t>08</w:t>
      </w:r>
      <w:r>
        <w:rPr>
          <w:rFonts w:cs="Calibri" w:ascii="Calibri" w:hAnsi="Calibri"/>
          <w:sz w:val="24"/>
        </w:rPr>
        <w:t xml:space="preserve"> de </w:t>
      </w:r>
      <w:r>
        <w:rPr>
          <w:rFonts w:eastAsia="Times New Roman" w:cs="Calibri" w:ascii="Calibri" w:hAnsi="Calibri"/>
          <w:color w:val="auto"/>
          <w:kern w:val="0"/>
          <w:sz w:val="24"/>
          <w:szCs w:val="24"/>
          <w:lang w:val="pt-BR" w:eastAsia="pt-BR" w:bidi="ar-SA"/>
        </w:rPr>
        <w:t>agosto</w:t>
      </w:r>
      <w:r>
        <w:rPr>
          <w:rFonts w:cs="Calibri" w:ascii="Calibri" w:hAnsi="Calibri"/>
          <w:sz w:val="24"/>
        </w:rPr>
        <w:t xml:space="preserve"> de 2024.</w:t>
      </w:r>
    </w:p>
    <w:p>
      <w:pPr>
        <w:pStyle w:val="Normal"/>
        <w:spacing w:lineRule="auto" w:line="276"/>
        <w:ind w:firstLine="709"/>
        <w:jc w:val="both"/>
        <w:rPr>
          <w:rFonts w:ascii="Calibri" w:hAnsi="Calibri" w:cs="Calibri"/>
          <w:sz w:val="24"/>
        </w:rPr>
      </w:pPr>
      <w:r>
        <w:rPr>
          <w:rFonts w:cs="Calibri" w:ascii="Calibri" w:hAnsi="Calibri"/>
          <w:sz w:val="24"/>
        </w:rPr>
      </w:r>
    </w:p>
    <w:p>
      <w:pPr>
        <w:pStyle w:val="Normal"/>
        <w:tabs>
          <w:tab w:val="clear" w:pos="720"/>
          <w:tab w:val="left" w:pos="851" w:leader="none"/>
        </w:tabs>
        <w:spacing w:lineRule="auto" w:line="240"/>
        <w:jc w:val="center"/>
        <w:rPr/>
      </w:pPr>
      <w:r>
        <w:rPr>
          <w:rFonts w:cs="Calibri" w:ascii="Calibri" w:hAnsi="Calibri"/>
          <w:sz w:val="24"/>
        </w:rPr>
        <w:t>PAULO HENRIQUE DIAS VEIGA</w:t>
      </w:r>
    </w:p>
    <w:p>
      <w:pPr>
        <w:pStyle w:val="Normal"/>
        <w:tabs>
          <w:tab w:val="clear" w:pos="720"/>
          <w:tab w:val="left" w:pos="851" w:leader="none"/>
        </w:tabs>
        <w:spacing w:lineRule="auto" w:line="240"/>
        <w:jc w:val="center"/>
        <w:rPr/>
      </w:pPr>
      <w:r>
        <w:rPr>
          <w:rFonts w:cs="Calibri" w:ascii="Calibri" w:hAnsi="Calibri"/>
          <w:sz w:val="24"/>
        </w:rPr>
        <w:t>Capitão de Mar e Guerra (IM)</w:t>
      </w:r>
    </w:p>
    <w:p>
      <w:pPr>
        <w:pStyle w:val="Normal"/>
        <w:tabs>
          <w:tab w:val="clear" w:pos="720"/>
          <w:tab w:val="left" w:pos="851" w:leader="none"/>
        </w:tabs>
        <w:spacing w:lineRule="auto" w:line="240"/>
        <w:jc w:val="center"/>
        <w:rPr/>
      </w:pPr>
      <w:r>
        <w:rPr>
          <w:rFonts w:cs="Calibri" w:ascii="Calibri" w:hAnsi="Calibri"/>
          <w:sz w:val="24"/>
        </w:rPr>
        <w:t>Ordenador de Despesa</w:t>
      </w:r>
    </w:p>
    <w:sectPr>
      <w:headerReference w:type="default" r:id="rId24"/>
      <w:footerReference w:type="default" r:id="rId25"/>
      <w:type w:val="nextPage"/>
      <w:pgSz w:w="11906" w:h="16838"/>
      <w:pgMar w:left="1134" w:right="851" w:gutter="0" w:header="709" w:top="1163" w:footer="709" w:bottom="851"/>
      <w:pgNumType w:fmt="decimal"/>
      <w:formProt w:val="false"/>
      <w:textDirection w:val="lrTb"/>
      <w:docGrid w:type="default" w:linePitch="36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ambria">
    <w:charset w:val="00"/>
    <w:family w:val="roman"/>
    <w:pitch w:val="variable"/>
  </w:font>
  <w:font w:name="Tahoma">
    <w:charset w:val="00"/>
    <w:family w:val="roman"/>
    <w:pitch w:val="variable"/>
  </w:font>
  <w:font w:name="Ecofont_Spranq_eco_Sans">
    <w:charset w:val="00"/>
    <w:family w:val="roman"/>
    <w:pitch w:val="variable"/>
  </w:font>
  <w:font w:name="Calibri">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Calibri">
    <w:charset w:val="0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913618724"/>
    </w:sdtPr>
    <w:sdtContent>
      <w:p>
        <w:pPr>
          <w:pStyle w:val="Rodap"/>
          <w:shd w:val="clear" w:color="auto" w:fill="FFFFFF" w:themeFill="background1"/>
          <w:rPr>
            <w:rFonts w:cs="Arial"/>
            <w:sz w:val="14"/>
            <w:szCs w:val="14"/>
          </w:rPr>
        </w:pPr>
        <w:r>
          <w:rPr>
            <w:rFonts w:cs="Arial"/>
            <w:sz w:val="14"/>
            <w:szCs w:val="14"/>
          </w:rPr>
          <w:t>Câmara Nacional de Modelos de Licitações e Contratos da Consultoria-Geral da União</w:t>
        </w:r>
      </w:p>
      <w:p>
        <w:pPr>
          <w:pStyle w:val="Rodap"/>
          <w:shd w:val="clear" w:color="auto" w:fill="FFFFFF" w:themeFill="background1"/>
          <w:rPr>
            <w:rFonts w:cs="Arial"/>
            <w:sz w:val="14"/>
            <w:szCs w:val="14"/>
          </w:rPr>
        </w:pPr>
        <w:r>
          <w:rPr>
            <w:rFonts w:cs="Arial"/>
            <w:sz w:val="14"/>
            <w:szCs w:val="14"/>
          </w:rPr>
          <w:t>Atualização: Dezembro/2023</w:t>
        </w:r>
      </w:p>
      <w:p>
        <w:pPr>
          <w:pStyle w:val="Rodap"/>
          <w:shd w:val="clear" w:color="auto" w:fill="FFFFFF" w:themeFill="background1"/>
          <w:rPr>
            <w:rFonts w:cs="Arial"/>
            <w:color w:val="0F243E" w:themeColor="text2" w:themeShade="80"/>
            <w:sz w:val="14"/>
            <w:szCs w:val="14"/>
          </w:rPr>
        </w:pPr>
        <w:r>
          <w:rPr>
            <w:rFonts w:cs="Arial"/>
            <w:sz w:val="14"/>
            <w:szCs w:val="14"/>
          </w:rPr>
          <w:t xml:space="preserve">Termo de Referência contratação de Serviços – </w:t>
        </w:r>
        <w:r>
          <w:rPr>
            <w:rFonts w:cs="Arial"/>
            <w:sz w:val="14"/>
            <w:szCs w:val="14"/>
            <w:shd w:fill="FFFFFF" w:val="clear"/>
          </w:rPr>
          <w:t>Contratação Direta</w:t>
        </w:r>
        <w:r>
          <w:rPr>
            <w:rFonts w:cs="Arial"/>
            <w:sz w:val="14"/>
            <w:szCs w:val="14"/>
          </w:rPr>
          <w:tab/>
          <w:tab/>
        </w:r>
      </w:p>
      <w:p>
        <w:pPr>
          <w:pStyle w:val="Rodap"/>
          <w:shd w:val="clear" w:color="auto" w:fill="FFFFFF" w:themeFill="background1"/>
          <w:rPr>
            <w:rFonts w:cs="Arial"/>
            <w:sz w:val="14"/>
            <w:szCs w:val="14"/>
          </w:rPr>
        </w:pPr>
        <w:r>
          <w:rPr>
            <w:rFonts w:cs="Arial"/>
            <w:sz w:val="14"/>
            <w:szCs w:val="14"/>
          </w:rPr>
          <w:t>Aprovado pela Secretaria de Gestão.</w:t>
        </w:r>
      </w:p>
      <w:p>
        <w:pPr>
          <w:pStyle w:val="Rodap"/>
          <w:shd w:val="clear" w:color="auto" w:fill="FFFFFF" w:themeFill="background1"/>
          <w:rPr/>
        </w:pPr>
        <w:r>
          <w:rPr>
            <w:rFonts w:cs="Arial"/>
            <w:sz w:val="14"/>
            <w:szCs w:val="14"/>
          </w:rPr>
          <w:t>Identidade visual pela Secretaria de Gestão</w:t>
        </w:r>
      </w:p>
      <w:p>
        <w:pPr>
          <w:pStyle w:val="Rodap"/>
          <w:jc w:val="center"/>
          <w:rPr/>
        </w:pPr>
        <w:r>
          <w:rPr/>
          <w:t xml:space="preserve">Página </w:t>
        </w:r>
        <w:r>
          <w:rPr>
            <w:b/>
            <w:sz w:val="24"/>
          </w:rPr>
          <w:fldChar w:fldCharType="begin"/>
        </w:r>
        <w:r>
          <w:rPr>
            <w:sz w:val="24"/>
            <w:b/>
          </w:rPr>
          <w:instrText> PAGE </w:instrText>
        </w:r>
        <w:r>
          <w:rPr>
            <w:sz w:val="24"/>
            <w:b/>
          </w:rPr>
          <w:fldChar w:fldCharType="separate"/>
        </w:r>
        <w:r>
          <w:rPr>
            <w:sz w:val="24"/>
            <w:b/>
          </w:rPr>
          <w:t>1</w:t>
        </w:r>
        <w:r>
          <w:rPr>
            <w:sz w:val="24"/>
            <w:b/>
          </w:rPr>
          <w:fldChar w:fldCharType="end"/>
        </w:r>
        <w:r>
          <w:rPr/>
          <w:t xml:space="preserve"> de </w:t>
        </w:r>
        <w:r>
          <w:rPr>
            <w:b/>
            <w:sz w:val="24"/>
          </w:rPr>
          <w:fldChar w:fldCharType="begin"/>
        </w:r>
        <w:r>
          <w:rPr>
            <w:sz w:val="24"/>
            <w:b/>
          </w:rPr>
          <w:instrText> NUMPAGES </w:instrText>
        </w:r>
        <w:r>
          <w:rPr>
            <w:sz w:val="24"/>
            <w:b/>
          </w:rPr>
          <w:fldChar w:fldCharType="separate"/>
        </w:r>
        <w:r>
          <w:rPr>
            <w:sz w:val="24"/>
            <w:b/>
          </w:rPr>
          <w:t>31</w:t>
        </w:r>
        <w:r>
          <w:rPr>
            <w:sz w:val="24"/>
            <w:b/>
          </w:rPr>
          <w:fldChar w:fldCharType="end"/>
        </w:r>
      </w:p>
    </w:sdtContent>
  </w:sdt>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588553799"/>
    </w:sdtPr>
    <w:sdtContent>
      <w:p>
        <w:pPr>
          <w:pStyle w:val="Rodap"/>
          <w:shd w:val="clear" w:color="auto" w:fill="FFFFFF" w:themeFill="background1"/>
          <w:rPr>
            <w:rFonts w:cs="Arial"/>
            <w:sz w:val="14"/>
            <w:szCs w:val="14"/>
          </w:rPr>
        </w:pPr>
        <w:r>
          <w:rPr>
            <w:rFonts w:cs="Arial"/>
            <w:sz w:val="14"/>
            <w:szCs w:val="14"/>
          </w:rPr>
          <w:t>Câmara Nacional de Modelos de Licitações e Contratos da Consultoria-Geral da União</w:t>
        </w:r>
      </w:p>
      <w:p>
        <w:pPr>
          <w:pStyle w:val="Rodap"/>
          <w:shd w:val="clear" w:color="auto" w:fill="FFFFFF" w:themeFill="background1"/>
          <w:rPr>
            <w:rFonts w:cs="Arial"/>
            <w:sz w:val="14"/>
            <w:szCs w:val="14"/>
          </w:rPr>
        </w:pPr>
        <w:r>
          <w:rPr>
            <w:rFonts w:cs="Arial"/>
            <w:sz w:val="14"/>
            <w:szCs w:val="14"/>
          </w:rPr>
          <w:t>Atualização: Dezembro/2023</w:t>
        </w:r>
      </w:p>
      <w:p>
        <w:pPr>
          <w:pStyle w:val="Rodap"/>
          <w:shd w:val="clear" w:color="auto" w:fill="FFFFFF" w:themeFill="background1"/>
          <w:rPr>
            <w:rFonts w:cs="Arial"/>
            <w:color w:val="0F243E" w:themeColor="text2" w:themeShade="80"/>
            <w:sz w:val="14"/>
            <w:szCs w:val="14"/>
          </w:rPr>
        </w:pPr>
        <w:r>
          <w:rPr>
            <w:rFonts w:cs="Arial"/>
            <w:sz w:val="14"/>
            <w:szCs w:val="14"/>
          </w:rPr>
          <w:t xml:space="preserve">Termo de Referência contratação de Serviços – </w:t>
        </w:r>
        <w:r>
          <w:rPr>
            <w:rFonts w:cs="Arial"/>
            <w:sz w:val="14"/>
            <w:szCs w:val="14"/>
            <w:shd w:fill="FFFFFF" w:val="clear"/>
          </w:rPr>
          <w:t>Contratação Direta</w:t>
        </w:r>
        <w:r>
          <w:rPr>
            <w:rFonts w:cs="Arial"/>
            <w:sz w:val="14"/>
            <w:szCs w:val="14"/>
          </w:rPr>
          <w:tab/>
          <w:tab/>
        </w:r>
      </w:p>
      <w:p>
        <w:pPr>
          <w:pStyle w:val="Rodap"/>
          <w:shd w:val="clear" w:color="auto" w:fill="FFFFFF" w:themeFill="background1"/>
          <w:rPr>
            <w:rFonts w:cs="Arial"/>
            <w:sz w:val="14"/>
            <w:szCs w:val="14"/>
          </w:rPr>
        </w:pPr>
        <w:r>
          <w:rPr>
            <w:rFonts w:cs="Arial"/>
            <w:sz w:val="14"/>
            <w:szCs w:val="14"/>
          </w:rPr>
          <w:t>Aprovado pela Secretaria de Gestão.</w:t>
        </w:r>
      </w:p>
      <w:p>
        <w:pPr>
          <w:pStyle w:val="Rodap"/>
          <w:shd w:val="clear" w:color="auto" w:fill="FFFFFF" w:themeFill="background1"/>
          <w:rPr/>
        </w:pPr>
        <w:r>
          <w:rPr>
            <w:rFonts w:cs="Arial"/>
            <w:sz w:val="14"/>
            <w:szCs w:val="14"/>
          </w:rPr>
          <w:t>Identidade visual pela Secretaria de Gestão</w:t>
        </w:r>
      </w:p>
      <w:p>
        <w:pPr>
          <w:pStyle w:val="Rodap"/>
          <w:jc w:val="center"/>
          <w:rPr/>
        </w:pPr>
        <w:r>
          <w:rPr/>
          <w:t xml:space="preserve">Página </w:t>
        </w:r>
        <w:r>
          <w:rPr>
            <w:b/>
            <w:sz w:val="24"/>
          </w:rPr>
          <w:fldChar w:fldCharType="begin"/>
        </w:r>
        <w:r>
          <w:rPr>
            <w:sz w:val="24"/>
            <w:b/>
          </w:rPr>
          <w:instrText> PAGE </w:instrText>
        </w:r>
        <w:r>
          <w:rPr>
            <w:sz w:val="24"/>
            <w:b/>
          </w:rPr>
          <w:fldChar w:fldCharType="separate"/>
        </w:r>
        <w:r>
          <w:rPr>
            <w:sz w:val="24"/>
            <w:b/>
          </w:rPr>
          <w:t>2</w:t>
        </w:r>
        <w:r>
          <w:rPr>
            <w:sz w:val="24"/>
            <w:b/>
          </w:rPr>
          <w:fldChar w:fldCharType="end"/>
        </w:r>
        <w:r>
          <w:rPr/>
          <w:t xml:space="preserve"> de </w:t>
        </w:r>
        <w:r>
          <w:rPr>
            <w:b/>
            <w:sz w:val="24"/>
          </w:rPr>
          <w:fldChar w:fldCharType="begin"/>
        </w:r>
        <w:r>
          <w:rPr>
            <w:sz w:val="24"/>
            <w:b/>
          </w:rPr>
          <w:instrText> NUMPAGES </w:instrText>
        </w:r>
        <w:r>
          <w:rPr>
            <w:sz w:val="24"/>
            <w:b/>
          </w:rPr>
          <w:fldChar w:fldCharType="separate"/>
        </w:r>
        <w:r>
          <w:rPr>
            <w:sz w:val="24"/>
            <w:b/>
          </w:rPr>
          <w:t>31</w:t>
        </w:r>
        <w:r>
          <w:rPr>
            <w:sz w:val="24"/>
            <w:b/>
          </w:rPr>
          <w:fldChar w:fldCharType="end"/>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rFonts w:ascii="Calibri" w:hAnsi="Calibri" w:cs="Calibri"/>
        <w:sz w:val="24"/>
      </w:rPr>
    </w:pPr>
    <w:r>
      <w:rPr>
        <w:rFonts w:cs="Calibri" w:ascii="Calibri" w:hAnsi="Calibri"/>
        <w:sz w:val="24"/>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rFonts w:ascii="Calibri" w:hAnsi="Calibri" w:cs="Calibri"/>
        <w:sz w:val="24"/>
      </w:rPr>
    </w:pPr>
    <w:r>
      <w:rPr>
        <w:rFonts w:cs="Calibri" w:ascii="Calibri" w:hAnsi="Calibri"/>
        <w:sz w:val="24"/>
      </w:rPr>
      <w:t xml:space="preserve">Termo de Referência - Anexo A do Edital nº 216-004/2024, HNMD.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644" w:hanging="360"/>
      </w:pPr>
      <w:rPr>
        <w:sz w:val="24"/>
        <w:b w:val="false"/>
        <w:szCs w:val="24"/>
        <w:bCs w:val="false"/>
        <w:rFonts w:ascii="Calibri" w:hAnsi="Calibri"/>
      </w:rPr>
    </w:lvl>
    <w:lvl w:ilvl="1">
      <w:start w:val="1"/>
      <w:numFmt w:val="decimal"/>
      <w:lvlText w:val="%1.%2."/>
      <w:lvlJc w:val="left"/>
      <w:pPr>
        <w:tabs>
          <w:tab w:val="num" w:pos="0"/>
        </w:tabs>
        <w:ind w:left="1142" w:hanging="432"/>
      </w:pPr>
      <w:rPr>
        <w:sz w:val="24"/>
        <w:i w:val="false"/>
        <w:b w:val="false"/>
        <w:szCs w:val="24"/>
        <w:rFonts w:cs="Calibri"/>
        <w:color w:val="auto"/>
      </w:rPr>
    </w:lvl>
    <w:lvl w:ilvl="2">
      <w:start w:val="1"/>
      <w:numFmt w:val="decimal"/>
      <w:lvlText w:val="%1.%2.%3."/>
      <w:lvlJc w:val="left"/>
      <w:pPr>
        <w:tabs>
          <w:tab w:val="num" w:pos="0"/>
        </w:tabs>
        <w:ind w:left="930" w:hanging="504"/>
      </w:pPr>
      <w:rPr>
        <w:sz w:val="24"/>
        <w:b/>
        <w:rFonts w:ascii="Calibri" w:hAnsi="Calibri"/>
      </w:rPr>
    </w:lvl>
    <w:lvl w:ilvl="3">
      <w:start w:val="1"/>
      <w:numFmt w:val="decimal"/>
      <w:lvlText w:val="%1.%2.%3.%4."/>
      <w:lvlJc w:val="left"/>
      <w:pPr>
        <w:tabs>
          <w:tab w:val="num" w:pos="0"/>
        </w:tabs>
        <w:ind w:left="1500" w:hanging="648"/>
      </w:pPr>
      <w:rPr>
        <w:sz w:val="24"/>
        <w:i w:val="false"/>
        <w:b/>
      </w:rPr>
    </w:lvl>
    <w:lvl w:ilvl="4">
      <w:start w:val="1"/>
      <w:numFmt w:val="decimal"/>
      <w:lvlText w:val="%1.%2.%3.%4.%5."/>
      <w:lvlJc w:val="left"/>
      <w:pPr>
        <w:tabs>
          <w:tab w:val="num" w:pos="0"/>
        </w:tabs>
        <w:ind w:left="3485"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1"/>
      <w:numFmt w:val="decimal"/>
      <w:lvlText w:val="%1."/>
      <w:lvlJc w:val="left"/>
      <w:pPr>
        <w:tabs>
          <w:tab w:val="num" w:pos="0"/>
        </w:tabs>
        <w:ind w:left="600" w:hanging="600"/>
      </w:pPr>
      <w:rPr>
        <w:sz w:val="24"/>
        <w:b w:val="false"/>
        <w:szCs w:val="24"/>
        <w:bCs w:val="false"/>
        <w:rFonts w:ascii="Calibri" w:hAnsi="Calibri"/>
      </w:rPr>
    </w:lvl>
    <w:lvl w:ilvl="1">
      <w:start w:val="6"/>
      <w:numFmt w:val="decimal"/>
      <w:lvlText w:val="%1.%2"/>
      <w:lvlJc w:val="left"/>
      <w:pPr>
        <w:tabs>
          <w:tab w:val="num" w:pos="0"/>
        </w:tabs>
        <w:ind w:left="954" w:hanging="600"/>
      </w:pPr>
    </w:lvl>
    <w:lvl w:ilvl="2">
      <w:start w:val="1"/>
      <w:numFmt w:val="decimal"/>
      <w:lvlText w:val="%1.%2.%3"/>
      <w:lvlJc w:val="left"/>
      <w:pPr>
        <w:tabs>
          <w:tab w:val="num" w:pos="0"/>
        </w:tabs>
        <w:ind w:left="1428" w:hanging="720"/>
      </w:pPr>
      <w:rPr>
        <w:dstrike w:val="false"/>
        <w:strike w:val="false"/>
        <w:b/>
      </w:rPr>
    </w:lvl>
    <w:lvl w:ilvl="3">
      <w:start w:val="1"/>
      <w:numFmt w:val="lowerLetter"/>
      <w:lvlText w:val="%4)"/>
      <w:lvlJc w:val="left"/>
      <w:pPr>
        <w:tabs>
          <w:tab w:val="num" w:pos="0"/>
        </w:tabs>
        <w:ind w:left="1782" w:hanging="720"/>
      </w:pPr>
      <w:rPr>
        <w:rFonts w:ascii="Calibri" w:hAnsi="Calibri" w:eastAsia="Arial Unicode MS" w:cs="Calibri"/>
      </w:r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564" w:hanging="144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632" w:hanging="1800"/>
      </w:pPr>
    </w:lvl>
  </w:abstractNum>
  <w:abstractNum w:abstractNumId="3">
    <w:lvl w:ilvl="0">
      <w:start w:val="1"/>
      <w:numFmt w:val="lowerLetter"/>
      <w:lvlText w:val="%1)"/>
      <w:lvlJc w:val="left"/>
      <w:pPr>
        <w:tabs>
          <w:tab w:val="num" w:pos="0"/>
        </w:tabs>
        <w:ind w:left="1069" w:hanging="360"/>
      </w:pPr>
      <w:rPr>
        <w:rFonts w:ascii="Calibri" w:hAnsi="Calibri" w:cs="Calibri" w:asciiTheme="minorHAnsi" w:cstheme="minorHAnsi" w:hAnsiTheme="minorHAnsi"/>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4">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5">
    <w:lvl w:ilvl="0">
      <w:start w:val="5"/>
      <w:numFmt w:val="decimal"/>
      <w:lvlText w:val="%1."/>
      <w:lvlJc w:val="left"/>
      <w:pPr>
        <w:tabs>
          <w:tab w:val="num" w:pos="0"/>
        </w:tabs>
        <w:ind w:left="644" w:hanging="360"/>
      </w:pPr>
      <w:rPr>
        <w:sz w:val="24"/>
        <w:b/>
      </w:rPr>
    </w:lvl>
    <w:lvl w:ilvl="1">
      <w:start w:val="3"/>
      <w:numFmt w:val="decimal"/>
      <w:lvlText w:val="%1.%2."/>
      <w:lvlJc w:val="left"/>
      <w:pPr>
        <w:tabs>
          <w:tab w:val="num" w:pos="0"/>
        </w:tabs>
        <w:ind w:left="1142" w:hanging="432"/>
      </w:pPr>
      <w:rPr>
        <w:sz w:val="24"/>
        <w:b/>
        <w:szCs w:val="24"/>
        <w:bCs/>
        <w:rFonts w:ascii="Calibri" w:hAnsi="Calibri"/>
      </w:rPr>
    </w:lvl>
    <w:lvl w:ilvl="2">
      <w:start w:val="1"/>
      <w:numFmt w:val="decimal"/>
      <w:lvlText w:val="%1.%2.%3."/>
      <w:lvlJc w:val="left"/>
      <w:pPr>
        <w:tabs>
          <w:tab w:val="num" w:pos="0"/>
        </w:tabs>
        <w:ind w:left="930" w:hanging="504"/>
      </w:pPr>
      <w:rPr>
        <w:sz w:val="24"/>
        <w:b/>
        <w:rFonts w:ascii="Calibri" w:hAnsi="Calibri"/>
      </w:rPr>
    </w:lvl>
    <w:lvl w:ilvl="3">
      <w:start w:val="1"/>
      <w:numFmt w:val="decimal"/>
      <w:lvlText w:val="%1.%2.%3.%4."/>
      <w:lvlJc w:val="left"/>
      <w:pPr>
        <w:tabs>
          <w:tab w:val="num" w:pos="0"/>
        </w:tabs>
        <w:ind w:left="1500" w:hanging="648"/>
      </w:pPr>
      <w:rPr>
        <w:sz w:val="24"/>
        <w:i w:val="false"/>
        <w:b/>
      </w:rPr>
    </w:lvl>
    <w:lvl w:ilvl="4">
      <w:start w:val="1"/>
      <w:numFmt w:val="decimal"/>
      <w:lvlText w:val="%1.%2.%3.%4.%5."/>
      <w:lvlJc w:val="left"/>
      <w:pPr>
        <w:tabs>
          <w:tab w:val="num" w:pos="0"/>
        </w:tabs>
        <w:ind w:left="3485"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decimal"/>
      <w:lvlText w:val="%1)"/>
      <w:lvlJc w:val="left"/>
      <w:pPr>
        <w:tabs>
          <w:tab w:val="num" w:pos="0"/>
        </w:tabs>
        <w:ind w:left="1215" w:hanging="360"/>
      </w:pPr>
    </w:lvl>
    <w:lvl w:ilvl="1">
      <w:start w:val="1"/>
      <w:numFmt w:val="lowerLetter"/>
      <w:lvlText w:val="%2."/>
      <w:lvlJc w:val="left"/>
      <w:pPr>
        <w:tabs>
          <w:tab w:val="num" w:pos="0"/>
        </w:tabs>
        <w:ind w:left="1935" w:hanging="360"/>
      </w:pPr>
    </w:lvl>
    <w:lvl w:ilvl="2">
      <w:start w:val="1"/>
      <w:numFmt w:val="lowerRoman"/>
      <w:lvlText w:val="%3."/>
      <w:lvlJc w:val="right"/>
      <w:pPr>
        <w:tabs>
          <w:tab w:val="num" w:pos="0"/>
        </w:tabs>
        <w:ind w:left="2655" w:hanging="180"/>
      </w:pPr>
    </w:lvl>
    <w:lvl w:ilvl="3">
      <w:start w:val="1"/>
      <w:numFmt w:val="decimal"/>
      <w:lvlText w:val="%4."/>
      <w:lvlJc w:val="left"/>
      <w:pPr>
        <w:tabs>
          <w:tab w:val="num" w:pos="0"/>
        </w:tabs>
        <w:ind w:left="3375" w:hanging="360"/>
      </w:pPr>
    </w:lvl>
    <w:lvl w:ilvl="4">
      <w:start w:val="1"/>
      <w:numFmt w:val="lowerLetter"/>
      <w:lvlText w:val="%5."/>
      <w:lvlJc w:val="left"/>
      <w:pPr>
        <w:tabs>
          <w:tab w:val="num" w:pos="0"/>
        </w:tabs>
        <w:ind w:left="4095" w:hanging="360"/>
      </w:pPr>
    </w:lvl>
    <w:lvl w:ilvl="5">
      <w:start w:val="1"/>
      <w:numFmt w:val="lowerRoman"/>
      <w:lvlText w:val="%6."/>
      <w:lvlJc w:val="right"/>
      <w:pPr>
        <w:tabs>
          <w:tab w:val="num" w:pos="0"/>
        </w:tabs>
        <w:ind w:left="4815" w:hanging="180"/>
      </w:pPr>
    </w:lvl>
    <w:lvl w:ilvl="6">
      <w:start w:val="1"/>
      <w:numFmt w:val="decimal"/>
      <w:lvlText w:val="%7."/>
      <w:lvlJc w:val="left"/>
      <w:pPr>
        <w:tabs>
          <w:tab w:val="num" w:pos="0"/>
        </w:tabs>
        <w:ind w:left="5535" w:hanging="360"/>
      </w:pPr>
    </w:lvl>
    <w:lvl w:ilvl="7">
      <w:start w:val="1"/>
      <w:numFmt w:val="lowerLetter"/>
      <w:lvlText w:val="%8."/>
      <w:lvlJc w:val="left"/>
      <w:pPr>
        <w:tabs>
          <w:tab w:val="num" w:pos="0"/>
        </w:tabs>
        <w:ind w:left="6255" w:hanging="360"/>
      </w:pPr>
    </w:lvl>
    <w:lvl w:ilvl="8">
      <w:start w:val="1"/>
      <w:numFmt w:val="lowerRoman"/>
      <w:lvlText w:val="%9."/>
      <w:lvlJc w:val="right"/>
      <w:pPr>
        <w:tabs>
          <w:tab w:val="num" w:pos="0"/>
        </w:tabs>
        <w:ind w:left="6975" w:hanging="180"/>
      </w:pPr>
    </w:lvl>
  </w:abstractNum>
  <w:abstractNum w:abstractNumId="7">
    <w:lvl w:ilvl="0">
      <w:start w:val="1"/>
      <w:numFmt w:val="decimal"/>
      <w:lvlText w:val="%1)"/>
      <w:lvlJc w:val="left"/>
      <w:pPr>
        <w:tabs>
          <w:tab w:val="num" w:pos="0"/>
        </w:tabs>
        <w:ind w:left="1571" w:hanging="360"/>
      </w:pPr>
    </w:lvl>
    <w:lvl w:ilvl="1">
      <w:start w:val="1"/>
      <w:numFmt w:val="lowerLetter"/>
      <w:lvlText w:val="%2."/>
      <w:lvlJc w:val="left"/>
      <w:pPr>
        <w:tabs>
          <w:tab w:val="num" w:pos="0"/>
        </w:tabs>
        <w:ind w:left="2291" w:hanging="360"/>
      </w:pPr>
    </w:lvl>
    <w:lvl w:ilvl="2">
      <w:start w:val="1"/>
      <w:numFmt w:val="lowerRoman"/>
      <w:lvlText w:val="%3."/>
      <w:lvlJc w:val="right"/>
      <w:pPr>
        <w:tabs>
          <w:tab w:val="num" w:pos="0"/>
        </w:tabs>
        <w:ind w:left="3011" w:hanging="180"/>
      </w:pPr>
    </w:lvl>
    <w:lvl w:ilvl="3">
      <w:start w:val="1"/>
      <w:numFmt w:val="decimal"/>
      <w:lvlText w:val="%4."/>
      <w:lvlJc w:val="left"/>
      <w:pPr>
        <w:tabs>
          <w:tab w:val="num" w:pos="0"/>
        </w:tabs>
        <w:ind w:left="3731" w:hanging="360"/>
      </w:pPr>
    </w:lvl>
    <w:lvl w:ilvl="4">
      <w:start w:val="1"/>
      <w:numFmt w:val="lowerLetter"/>
      <w:lvlText w:val="%5."/>
      <w:lvlJc w:val="left"/>
      <w:pPr>
        <w:tabs>
          <w:tab w:val="num" w:pos="0"/>
        </w:tabs>
        <w:ind w:left="4451" w:hanging="360"/>
      </w:pPr>
    </w:lvl>
    <w:lvl w:ilvl="5">
      <w:start w:val="1"/>
      <w:numFmt w:val="lowerRoman"/>
      <w:lvlText w:val="%6."/>
      <w:lvlJc w:val="right"/>
      <w:pPr>
        <w:tabs>
          <w:tab w:val="num" w:pos="0"/>
        </w:tabs>
        <w:ind w:left="5171" w:hanging="180"/>
      </w:pPr>
    </w:lvl>
    <w:lvl w:ilvl="6">
      <w:start w:val="1"/>
      <w:numFmt w:val="decimal"/>
      <w:lvlText w:val="%7."/>
      <w:lvlJc w:val="left"/>
      <w:pPr>
        <w:tabs>
          <w:tab w:val="num" w:pos="0"/>
        </w:tabs>
        <w:ind w:left="5891" w:hanging="360"/>
      </w:pPr>
    </w:lvl>
    <w:lvl w:ilvl="7">
      <w:start w:val="1"/>
      <w:numFmt w:val="lowerLetter"/>
      <w:lvlText w:val="%8."/>
      <w:lvlJc w:val="left"/>
      <w:pPr>
        <w:tabs>
          <w:tab w:val="num" w:pos="0"/>
        </w:tabs>
        <w:ind w:left="6611" w:hanging="360"/>
      </w:pPr>
    </w:lvl>
    <w:lvl w:ilvl="8">
      <w:start w:val="1"/>
      <w:numFmt w:val="lowerRoman"/>
      <w:lvlText w:val="%9."/>
      <w:lvlJc w:val="right"/>
      <w:pPr>
        <w:tabs>
          <w:tab w:val="num" w:pos="0"/>
        </w:tabs>
        <w:ind w:left="7331" w:hanging="180"/>
      </w:pPr>
    </w:lvl>
  </w:abstractNum>
  <w:abstractNum w:abstractNumId="8">
    <w:lvl w:ilvl="0">
      <w:start w:val="1"/>
      <w:numFmt w:val="decimal"/>
      <w:lvlText w:val="%1)"/>
      <w:lvlJc w:val="left"/>
      <w:pPr>
        <w:tabs>
          <w:tab w:val="num" w:pos="0"/>
        </w:tabs>
        <w:ind w:left="720" w:hanging="360"/>
      </w:pPr>
      <w:rPr>
        <w:sz w:val="24"/>
        <w:b w:val="false"/>
        <w:szCs w:val="24"/>
        <w:rFonts w:ascii="Calibri" w:hAnsi="Calibr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lvl w:ilvl="0">
      <w:start w:val="1"/>
      <w:numFmt w:val="lowerLetter"/>
      <w:lvlText w:val="%1)"/>
      <w:lvlJc w:val="left"/>
      <w:pPr>
        <w:tabs>
          <w:tab w:val="num" w:pos="0"/>
        </w:tabs>
        <w:ind w:left="720" w:hanging="360"/>
      </w:pPr>
      <w:rPr>
        <w:sz w:val="24"/>
        <w:b w:val="false"/>
        <w:szCs w:val="24"/>
        <w:bCs w:val="false"/>
        <w:rFonts w:ascii="Calibri" w:hAnsi="Calibr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lvl w:ilvl="0">
      <w:start w:val="1"/>
      <w:numFmt w:val="lowerLetter"/>
      <w:lvlText w:val="%1)"/>
      <w:lvlJc w:val="left"/>
      <w:pPr>
        <w:tabs>
          <w:tab w:val="num" w:pos="0"/>
        </w:tabs>
        <w:ind w:left="720" w:hanging="360"/>
      </w:pPr>
      <w:rPr>
        <w:sz w:val="24"/>
        <w:szCs w:val="24"/>
        <w:rFonts w:ascii="Calibri" w:hAnsi="Calibri" w:eastAsia="Times New Roman" w:cs="Calibr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lvl w:ilvl="0">
      <w:start w:val="1"/>
      <w:numFmt w:val="decimal"/>
      <w:lvlText w:val="%1."/>
      <w:lvlJc w:val="left"/>
      <w:pPr>
        <w:tabs>
          <w:tab w:val="num" w:pos="720"/>
        </w:tabs>
        <w:ind w:left="720" w:hanging="360"/>
      </w:pPr>
      <w:rPr>
        <w:sz w:val="24"/>
        <w:b w:val="false"/>
        <w:szCs w:val="24"/>
        <w:bCs w:val="false"/>
        <w:rFonts w:ascii="Calibri" w:hAnsi="Calibri"/>
        <w:color w:val="auto"/>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3">
    <w:lvl w:ilvl="0">
      <w:start w:val="1"/>
      <w:numFmt w:val="decimal"/>
      <w:lvlText w:val="%1."/>
      <w:lvlJc w:val="left"/>
      <w:pPr>
        <w:tabs>
          <w:tab w:val="num" w:pos="720"/>
        </w:tabs>
        <w:ind w:left="720" w:hanging="360"/>
      </w:pPr>
      <w:rPr>
        <w:sz w:val="24"/>
        <w:b w:val="false"/>
        <w:szCs w:val="24"/>
        <w:bCs w:val="false"/>
        <w:rFonts w:ascii="Calibri" w:hAnsi="Calibri"/>
      </w:rPr>
    </w:lvl>
    <w:lvl w:ilvl="1">
      <w:start w:val="1"/>
      <w:numFmt w:val="decimal"/>
      <w:lvlText w:val="%2."/>
      <w:lvlJc w:val="left"/>
      <w:pPr>
        <w:tabs>
          <w:tab w:val="num" w:pos="1080"/>
        </w:tabs>
        <w:ind w:left="1080" w:hanging="360"/>
      </w:pPr>
      <w:rPr>
        <w:sz w:val="24"/>
        <w:b w:val="false"/>
        <w:szCs w:val="24"/>
        <w:bCs w:val="false"/>
        <w:rFonts w:ascii="Calibri" w:hAnsi="Calibri"/>
      </w:rPr>
    </w:lvl>
    <w:lvl w:ilvl="2">
      <w:start w:val="1"/>
      <w:numFmt w:val="decimal"/>
      <w:lvlText w:val="%3."/>
      <w:lvlJc w:val="left"/>
      <w:pPr>
        <w:tabs>
          <w:tab w:val="num" w:pos="1440"/>
        </w:tabs>
        <w:ind w:left="1440" w:hanging="360"/>
      </w:pPr>
      <w:rPr>
        <w:sz w:val="24"/>
        <w:b w:val="false"/>
        <w:szCs w:val="24"/>
        <w:bCs w:val="false"/>
        <w:rFonts w:ascii="Calibri" w:hAnsi="Calibri"/>
      </w:rPr>
    </w:lvl>
    <w:lvl w:ilvl="3">
      <w:start w:val="1"/>
      <w:numFmt w:val="decimal"/>
      <w:lvlText w:val="%4."/>
      <w:lvlJc w:val="left"/>
      <w:pPr>
        <w:tabs>
          <w:tab w:val="num" w:pos="1800"/>
        </w:tabs>
        <w:ind w:left="1800" w:hanging="360"/>
      </w:pPr>
      <w:rPr>
        <w:sz w:val="24"/>
        <w:b w:val="false"/>
        <w:szCs w:val="24"/>
        <w:bCs w:val="false"/>
        <w:rFonts w:ascii="Calibri" w:hAnsi="Calibri"/>
      </w:rPr>
    </w:lvl>
    <w:lvl w:ilvl="4">
      <w:start w:val="1"/>
      <w:numFmt w:val="decimal"/>
      <w:lvlText w:val="%5."/>
      <w:lvlJc w:val="left"/>
      <w:pPr>
        <w:tabs>
          <w:tab w:val="num" w:pos="2160"/>
        </w:tabs>
        <w:ind w:left="2160" w:hanging="360"/>
      </w:pPr>
      <w:rPr>
        <w:sz w:val="24"/>
        <w:b w:val="false"/>
        <w:szCs w:val="24"/>
        <w:bCs w:val="false"/>
        <w:rFonts w:ascii="Calibri" w:hAnsi="Calibri"/>
      </w:rPr>
    </w:lvl>
    <w:lvl w:ilvl="5">
      <w:start w:val="1"/>
      <w:numFmt w:val="decimal"/>
      <w:lvlText w:val="%6."/>
      <w:lvlJc w:val="left"/>
      <w:pPr>
        <w:tabs>
          <w:tab w:val="num" w:pos="2520"/>
        </w:tabs>
        <w:ind w:left="2520" w:hanging="360"/>
      </w:pPr>
      <w:rPr>
        <w:sz w:val="24"/>
        <w:b w:val="false"/>
        <w:szCs w:val="24"/>
        <w:bCs w:val="false"/>
        <w:rFonts w:ascii="Calibri" w:hAnsi="Calibri"/>
      </w:rPr>
    </w:lvl>
    <w:lvl w:ilvl="6">
      <w:start w:val="1"/>
      <w:numFmt w:val="decimal"/>
      <w:lvlText w:val="%7."/>
      <w:lvlJc w:val="left"/>
      <w:pPr>
        <w:tabs>
          <w:tab w:val="num" w:pos="2880"/>
        </w:tabs>
        <w:ind w:left="2880" w:hanging="360"/>
      </w:pPr>
      <w:rPr>
        <w:sz w:val="24"/>
        <w:b w:val="false"/>
        <w:szCs w:val="24"/>
        <w:bCs w:val="false"/>
        <w:rFonts w:ascii="Calibri" w:hAnsi="Calibri"/>
      </w:rPr>
    </w:lvl>
    <w:lvl w:ilvl="7">
      <w:start w:val="1"/>
      <w:numFmt w:val="decimal"/>
      <w:lvlText w:val="%8."/>
      <w:lvlJc w:val="left"/>
      <w:pPr>
        <w:tabs>
          <w:tab w:val="num" w:pos="3240"/>
        </w:tabs>
        <w:ind w:left="3240" w:hanging="360"/>
      </w:pPr>
      <w:rPr>
        <w:sz w:val="24"/>
        <w:b w:val="false"/>
        <w:szCs w:val="24"/>
        <w:bCs w:val="false"/>
        <w:rFonts w:ascii="Calibri" w:hAnsi="Calibri"/>
      </w:rPr>
    </w:lvl>
    <w:lvl w:ilvl="8">
      <w:start w:val="1"/>
      <w:numFmt w:val="decimal"/>
      <w:lvlText w:val="%9."/>
      <w:lvlJc w:val="left"/>
      <w:pPr>
        <w:tabs>
          <w:tab w:val="num" w:pos="3600"/>
        </w:tabs>
        <w:ind w:left="3600" w:hanging="360"/>
      </w:pPr>
      <w:rPr>
        <w:sz w:val="24"/>
        <w:b w:val="false"/>
        <w:szCs w:val="24"/>
        <w:bCs w:val="false"/>
        <w:rFonts w:ascii="Calibri" w:hAnsi="Calibri"/>
      </w:rPr>
    </w:lvl>
  </w:abstractNum>
  <w:abstractNum w:abstractNumId="14">
    <w:lvl w:ilvl="0">
      <w:start w:val="1"/>
      <w:numFmt w:val="decimal"/>
      <w:lvlText w:val="%1."/>
      <w:lvlJc w:val="left"/>
      <w:pPr>
        <w:tabs>
          <w:tab w:val="num" w:pos="720"/>
        </w:tabs>
        <w:ind w:left="720" w:hanging="360"/>
      </w:pPr>
      <w:rPr>
        <w:sz w:val="24"/>
        <w:b w:val="false"/>
        <w:szCs w:val="24"/>
        <w:bCs w:val="false"/>
        <w:rFonts w:ascii="Calibri" w:hAnsi="Calibri"/>
      </w:rPr>
    </w:lvl>
    <w:lvl w:ilvl="1">
      <w:start w:val="1"/>
      <w:numFmt w:val="decimal"/>
      <w:lvlText w:val="%2."/>
      <w:lvlJc w:val="left"/>
      <w:pPr>
        <w:tabs>
          <w:tab w:val="num" w:pos="1080"/>
        </w:tabs>
        <w:ind w:left="1080" w:hanging="360"/>
      </w:pPr>
      <w:rPr>
        <w:sz w:val="24"/>
        <w:b w:val="false"/>
        <w:szCs w:val="24"/>
        <w:bCs w:val="false"/>
        <w:rFonts w:ascii="Calibri" w:hAnsi="Calibri"/>
      </w:rPr>
    </w:lvl>
    <w:lvl w:ilvl="2">
      <w:start w:val="1"/>
      <w:numFmt w:val="decimal"/>
      <w:lvlText w:val="%3."/>
      <w:lvlJc w:val="left"/>
      <w:pPr>
        <w:tabs>
          <w:tab w:val="num" w:pos="1440"/>
        </w:tabs>
        <w:ind w:left="1440" w:hanging="360"/>
      </w:pPr>
      <w:rPr>
        <w:sz w:val="24"/>
        <w:b w:val="false"/>
        <w:szCs w:val="24"/>
        <w:bCs w:val="false"/>
        <w:rFonts w:ascii="Calibri" w:hAnsi="Calibri"/>
      </w:rPr>
    </w:lvl>
    <w:lvl w:ilvl="3">
      <w:start w:val="1"/>
      <w:numFmt w:val="decimal"/>
      <w:lvlText w:val="%4."/>
      <w:lvlJc w:val="left"/>
      <w:pPr>
        <w:tabs>
          <w:tab w:val="num" w:pos="1800"/>
        </w:tabs>
        <w:ind w:left="1800" w:hanging="360"/>
      </w:pPr>
      <w:rPr>
        <w:sz w:val="24"/>
        <w:b w:val="false"/>
        <w:szCs w:val="24"/>
        <w:bCs w:val="false"/>
        <w:rFonts w:ascii="Calibri" w:hAnsi="Calibri"/>
      </w:rPr>
    </w:lvl>
    <w:lvl w:ilvl="4">
      <w:start w:val="1"/>
      <w:numFmt w:val="decimal"/>
      <w:lvlText w:val="%5."/>
      <w:lvlJc w:val="left"/>
      <w:pPr>
        <w:tabs>
          <w:tab w:val="num" w:pos="2160"/>
        </w:tabs>
        <w:ind w:left="2160" w:hanging="360"/>
      </w:pPr>
      <w:rPr>
        <w:sz w:val="24"/>
        <w:b w:val="false"/>
        <w:szCs w:val="24"/>
        <w:bCs w:val="false"/>
        <w:rFonts w:ascii="Calibri" w:hAnsi="Calibri"/>
      </w:rPr>
    </w:lvl>
    <w:lvl w:ilvl="5">
      <w:start w:val="1"/>
      <w:numFmt w:val="decimal"/>
      <w:lvlText w:val="%6."/>
      <w:lvlJc w:val="left"/>
      <w:pPr>
        <w:tabs>
          <w:tab w:val="num" w:pos="2520"/>
        </w:tabs>
        <w:ind w:left="2520" w:hanging="360"/>
      </w:pPr>
      <w:rPr>
        <w:sz w:val="24"/>
        <w:b w:val="false"/>
        <w:szCs w:val="24"/>
        <w:bCs w:val="false"/>
        <w:rFonts w:ascii="Calibri" w:hAnsi="Calibri"/>
      </w:rPr>
    </w:lvl>
    <w:lvl w:ilvl="6">
      <w:start w:val="1"/>
      <w:numFmt w:val="decimal"/>
      <w:lvlText w:val="%7."/>
      <w:lvlJc w:val="left"/>
      <w:pPr>
        <w:tabs>
          <w:tab w:val="num" w:pos="2880"/>
        </w:tabs>
        <w:ind w:left="2880" w:hanging="360"/>
      </w:pPr>
      <w:rPr>
        <w:sz w:val="24"/>
        <w:b w:val="false"/>
        <w:szCs w:val="24"/>
        <w:bCs w:val="false"/>
        <w:rFonts w:ascii="Calibri" w:hAnsi="Calibri"/>
      </w:rPr>
    </w:lvl>
    <w:lvl w:ilvl="7">
      <w:start w:val="1"/>
      <w:numFmt w:val="decimal"/>
      <w:lvlText w:val="%8."/>
      <w:lvlJc w:val="left"/>
      <w:pPr>
        <w:tabs>
          <w:tab w:val="num" w:pos="3240"/>
        </w:tabs>
        <w:ind w:left="3240" w:hanging="360"/>
      </w:pPr>
      <w:rPr>
        <w:sz w:val="24"/>
        <w:b w:val="false"/>
        <w:szCs w:val="24"/>
        <w:bCs w:val="false"/>
        <w:rFonts w:ascii="Calibri" w:hAnsi="Calibri"/>
      </w:rPr>
    </w:lvl>
    <w:lvl w:ilvl="8">
      <w:start w:val="1"/>
      <w:numFmt w:val="decimal"/>
      <w:lvlText w:val="%9."/>
      <w:lvlJc w:val="left"/>
      <w:pPr>
        <w:tabs>
          <w:tab w:val="num" w:pos="3600"/>
        </w:tabs>
        <w:ind w:left="3600" w:hanging="360"/>
      </w:pPr>
      <w:rPr>
        <w:sz w:val="24"/>
        <w:b w:val="false"/>
        <w:szCs w:val="24"/>
        <w:bCs w:val="false"/>
        <w:rFonts w:ascii="Calibri" w:hAnsi="Calibri"/>
      </w:rPr>
    </w:lvl>
  </w:abstractNum>
  <w:abstractNum w:abstractNumId="15">
    <w:lvl w:ilvl="0">
      <w:start w:val="1"/>
      <w:numFmt w:val="lowerLetter"/>
      <w:lvlText w:val="%1)"/>
      <w:lvlJc w:val="left"/>
      <w:pPr>
        <w:tabs>
          <w:tab w:val="num" w:pos="720"/>
        </w:tabs>
        <w:ind w:left="720" w:hanging="360"/>
      </w:pPr>
      <w:rPr>
        <w:sz w:val="24"/>
        <w:b w:val="false"/>
        <w:szCs w:val="24"/>
        <w:bCs w:val="false"/>
        <w:rFonts w:ascii="Calibri" w:hAnsi="Calibri"/>
      </w:rPr>
    </w:lvl>
    <w:lvl w:ilvl="1">
      <w:start w:val="1"/>
      <w:numFmt w:val="lowerLetter"/>
      <w:lvlText w:val="%2)"/>
      <w:lvlJc w:val="left"/>
      <w:pPr>
        <w:tabs>
          <w:tab w:val="num" w:pos="1080"/>
        </w:tabs>
        <w:ind w:left="1080" w:hanging="360"/>
      </w:pPr>
      <w:rPr>
        <w:sz w:val="24"/>
        <w:b w:val="false"/>
        <w:szCs w:val="24"/>
        <w:bCs w:val="false"/>
        <w:rFonts w:ascii="Calibri" w:hAnsi="Calibri"/>
      </w:rPr>
    </w:lvl>
    <w:lvl w:ilvl="2">
      <w:start w:val="1"/>
      <w:numFmt w:val="lowerLetter"/>
      <w:lvlText w:val="%3)"/>
      <w:lvlJc w:val="left"/>
      <w:pPr>
        <w:tabs>
          <w:tab w:val="num" w:pos="1440"/>
        </w:tabs>
        <w:ind w:left="1440" w:hanging="360"/>
      </w:pPr>
      <w:rPr>
        <w:sz w:val="24"/>
        <w:b w:val="false"/>
        <w:szCs w:val="24"/>
        <w:bCs w:val="false"/>
        <w:rFonts w:ascii="Calibri" w:hAnsi="Calibri"/>
      </w:rPr>
    </w:lvl>
    <w:lvl w:ilvl="3">
      <w:start w:val="1"/>
      <w:numFmt w:val="lowerLetter"/>
      <w:lvlText w:val="%4)"/>
      <w:lvlJc w:val="left"/>
      <w:pPr>
        <w:tabs>
          <w:tab w:val="num" w:pos="1800"/>
        </w:tabs>
        <w:ind w:left="1800" w:hanging="360"/>
      </w:pPr>
      <w:rPr>
        <w:sz w:val="24"/>
        <w:b w:val="false"/>
        <w:szCs w:val="24"/>
        <w:bCs w:val="false"/>
        <w:rFonts w:ascii="Calibri" w:hAnsi="Calibri"/>
      </w:rPr>
    </w:lvl>
    <w:lvl w:ilvl="4">
      <w:start w:val="1"/>
      <w:numFmt w:val="lowerLetter"/>
      <w:lvlText w:val="%5)"/>
      <w:lvlJc w:val="left"/>
      <w:pPr>
        <w:tabs>
          <w:tab w:val="num" w:pos="2160"/>
        </w:tabs>
        <w:ind w:left="2160" w:hanging="360"/>
      </w:pPr>
      <w:rPr>
        <w:sz w:val="24"/>
        <w:b w:val="false"/>
        <w:szCs w:val="24"/>
        <w:bCs w:val="false"/>
        <w:rFonts w:ascii="Calibri" w:hAnsi="Calibri"/>
      </w:rPr>
    </w:lvl>
    <w:lvl w:ilvl="5">
      <w:start w:val="1"/>
      <w:numFmt w:val="lowerLetter"/>
      <w:lvlText w:val="%6)"/>
      <w:lvlJc w:val="left"/>
      <w:pPr>
        <w:tabs>
          <w:tab w:val="num" w:pos="2520"/>
        </w:tabs>
        <w:ind w:left="2520" w:hanging="360"/>
      </w:pPr>
      <w:rPr>
        <w:sz w:val="24"/>
        <w:b w:val="false"/>
        <w:szCs w:val="24"/>
        <w:bCs w:val="false"/>
        <w:rFonts w:ascii="Calibri" w:hAnsi="Calibri"/>
      </w:rPr>
    </w:lvl>
    <w:lvl w:ilvl="6">
      <w:start w:val="1"/>
      <w:numFmt w:val="lowerLetter"/>
      <w:lvlText w:val="%7)"/>
      <w:lvlJc w:val="left"/>
      <w:pPr>
        <w:tabs>
          <w:tab w:val="num" w:pos="2880"/>
        </w:tabs>
        <w:ind w:left="2880" w:hanging="360"/>
      </w:pPr>
      <w:rPr>
        <w:sz w:val="24"/>
        <w:b w:val="false"/>
        <w:szCs w:val="24"/>
        <w:bCs w:val="false"/>
        <w:rFonts w:ascii="Calibri" w:hAnsi="Calibri"/>
      </w:rPr>
    </w:lvl>
    <w:lvl w:ilvl="7">
      <w:start w:val="1"/>
      <w:numFmt w:val="lowerLetter"/>
      <w:lvlText w:val="%8)"/>
      <w:lvlJc w:val="left"/>
      <w:pPr>
        <w:tabs>
          <w:tab w:val="num" w:pos="3240"/>
        </w:tabs>
        <w:ind w:left="3240" w:hanging="360"/>
      </w:pPr>
      <w:rPr>
        <w:sz w:val="24"/>
        <w:b w:val="false"/>
        <w:szCs w:val="24"/>
        <w:bCs w:val="false"/>
        <w:rFonts w:ascii="Calibri" w:hAnsi="Calibri"/>
      </w:rPr>
    </w:lvl>
    <w:lvl w:ilvl="8">
      <w:start w:val="1"/>
      <w:numFmt w:val="lowerLetter"/>
      <w:lvlText w:val="%9)"/>
      <w:lvlJc w:val="left"/>
      <w:pPr>
        <w:tabs>
          <w:tab w:val="num" w:pos="3600"/>
        </w:tabs>
        <w:ind w:left="3600" w:hanging="360"/>
      </w:pPr>
      <w:rPr>
        <w:sz w:val="24"/>
        <w:b w:val="false"/>
        <w:szCs w:val="24"/>
        <w:bCs w:val="false"/>
        <w:rFonts w:ascii="Calibri" w:hAnsi="Calibri"/>
      </w:rPr>
    </w:lvl>
  </w:abstractNum>
  <w:abstractNum w:abstractNumId="1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85"/>
  <w:mirrorMargins/>
  <w:defaultTabStop w:val="720"/>
  <w:autoHyphenation w:val="true"/>
  <w:compat>
    <w:compatSetting w:name="compatibilityMode" w:uri="http://schemas.microsoft.com/office/word" w:val="12"/>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uiPriority="22" w:semiHidden="0" w:unhideWhenUsed="0" w:qFormat="1"/>
    <w:lsdException w:name="Emphasis" w:uiPriority="20" w:semiHidden="0" w:unhideWhenUsed="0" w:qFormat="1"/>
    <w:lsdException w:name="No List" w:uiPriority="99"/>
    <w:lsdException w:name="Table Grid" w:uiPriority="39" w:semiHidden="0" w:unhideWhenUsed="0"/>
    <w:lsdException w:name="Placeholder Text" w:uiPriority="99"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iPriority="99"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390a"/>
    <w:pPr>
      <w:widowControl/>
      <w:suppressAutoHyphens w:val="true"/>
      <w:bidi w:val="0"/>
      <w:spacing w:before="0" w:after="0"/>
      <w:jc w:val="left"/>
    </w:pPr>
    <w:rPr>
      <w:rFonts w:ascii="Arial" w:hAnsi="Arial" w:eastAsia="Times New Roman" w:cs="Tahoma"/>
      <w:color w:val="auto"/>
      <w:kern w:val="0"/>
      <w:sz w:val="20"/>
      <w:szCs w:val="24"/>
      <w:lang w:val="pt-BR" w:eastAsia="pt-BR" w:bidi="ar-SA"/>
    </w:rPr>
  </w:style>
  <w:style w:type="paragraph" w:styleId="Ttulo1" w:customStyle="1">
    <w:name w:val="Heading 1"/>
    <w:basedOn w:val="Normal"/>
    <w:next w:val="Normal"/>
    <w:link w:val="Ttulo1Char"/>
    <w:qFormat/>
    <w:rsid w:val="000d390a"/>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Ttulo2" w:customStyle="1">
    <w:name w:val="Heading 2"/>
    <w:basedOn w:val="Normal"/>
    <w:next w:val="Normal"/>
    <w:link w:val="Ttulo2Char"/>
    <w:qFormat/>
    <w:rsid w:val="004b460a"/>
    <w:pPr>
      <w:keepNext w:val="true"/>
      <w:tabs>
        <w:tab w:val="clear" w:pos="720"/>
        <w:tab w:val="left" w:pos="1701" w:leader="none"/>
      </w:tabs>
      <w:ind w:right="-1" w:hanging="0"/>
      <w:jc w:val="center"/>
      <w:outlineLvl w:val="1"/>
    </w:pPr>
    <w:rPr>
      <w:rFonts w:ascii="Times New Roman" w:hAnsi="Times New Roman" w:cs="Times New Roman"/>
      <w:b/>
      <w:color w:val="000000"/>
      <w:szCs w:val="20"/>
    </w:rPr>
  </w:style>
  <w:style w:type="paragraph" w:styleId="Ttulo5" w:customStyle="1">
    <w:name w:val="Heading 5"/>
    <w:basedOn w:val="Normal"/>
    <w:next w:val="Normal"/>
    <w:link w:val="Ttulo5Char"/>
    <w:semiHidden/>
    <w:unhideWhenUsed/>
    <w:qFormat/>
    <w:rsid w:val="0011795e"/>
    <w:pPr>
      <w:keepNext w:val="true"/>
      <w:keepLines/>
      <w:spacing w:before="200" w:after="0"/>
      <w:outlineLvl w:val="4"/>
    </w:pPr>
    <w:rPr>
      <w:rFonts w:ascii="Cambria" w:hAnsi="Cambria" w:eastAsia="" w:cs="" w:asciiTheme="majorHAnsi" w:cstheme="majorBidi" w:eastAsiaTheme="majorEastAsia" w:hAnsiTheme="majorHAnsi"/>
      <w:color w:val="243F60" w:themeColor="accent1" w:themeShade="7f"/>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link w:val="Heading1"/>
    <w:qFormat/>
    <w:rsid w:val="000d390a"/>
    <w:rPr>
      <w:rFonts w:ascii="Cambria" w:hAnsi="Cambria" w:eastAsia="" w:cs="" w:asciiTheme="majorHAnsi" w:cstheme="majorBidi" w:eastAsiaTheme="majorEastAsia" w:hAnsiTheme="majorHAnsi"/>
      <w:color w:val="365F91" w:themeColor="accent1" w:themeShade="bf"/>
      <w:sz w:val="32"/>
      <w:szCs w:val="32"/>
    </w:rPr>
  </w:style>
  <w:style w:type="character" w:styleId="Ttulo2Char" w:customStyle="1">
    <w:name w:val="Título 2 Char"/>
    <w:link w:val="Heading2"/>
    <w:qFormat/>
    <w:rsid w:val="004b460a"/>
    <w:rPr>
      <w:b/>
      <w:color w:val="000000"/>
      <w:sz w:val="24"/>
    </w:rPr>
  </w:style>
  <w:style w:type="character" w:styleId="Ttulo5Char" w:customStyle="1">
    <w:name w:val="Título 5 Char"/>
    <w:basedOn w:val="DefaultParagraphFont"/>
    <w:link w:val="Heading5"/>
    <w:semiHidden/>
    <w:qFormat/>
    <w:rsid w:val="0011795e"/>
    <w:rPr>
      <w:rFonts w:ascii="Cambria" w:hAnsi="Cambria" w:eastAsia="" w:cs="" w:asciiTheme="majorHAnsi" w:cstheme="majorBidi" w:eastAsiaTheme="majorEastAsia" w:hAnsiTheme="majorHAnsi"/>
      <w:color w:val="243F60" w:themeColor="accent1" w:themeShade="7f"/>
      <w:szCs w:val="24"/>
    </w:rPr>
  </w:style>
  <w:style w:type="character" w:styleId="TextodebaloChar" w:customStyle="1">
    <w:name w:val="Texto de balão Char"/>
    <w:link w:val="Textodebalo"/>
    <w:qFormat/>
    <w:rsid w:val="003a73c1"/>
    <w:rPr>
      <w:rFonts w:ascii="Tahoma" w:hAnsi="Tahoma" w:cs="Tahoma"/>
      <w:sz w:val="16"/>
      <w:szCs w:val="16"/>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Hyperlink1" w:customStyle="1">
    <w:name w:val="Hyperlink1"/>
    <w:uiPriority w:val="99"/>
    <w:qFormat/>
    <w:rsid w:val="00bf1a7f"/>
    <w:rPr>
      <w:color w:val="000080"/>
      <w:u w:val="single"/>
    </w:rPr>
  </w:style>
  <w:style w:type="character" w:styleId="CitaoChar" w:customStyle="1">
    <w:name w:val="Citação Char"/>
    <w:link w:val="Citao"/>
    <w:uiPriority w:val="29"/>
    <w:qFormat/>
    <w:rsid w:val="00c322f1"/>
    <w:rPr>
      <w:rFonts w:ascii="Ecofont_Spranq_eco_Sans" w:hAnsi="Ecofont_Spranq_eco_Sans" w:eastAsia="Calibri" w:cs="Tahoma"/>
      <w:i/>
      <w:iCs/>
      <w:color w:val="000000"/>
      <w:szCs w:val="24"/>
      <w:shd w:fill="FFFFCC" w:val="clear"/>
      <w:lang w:eastAsia="en-US"/>
    </w:rPr>
  </w:style>
  <w:style w:type="character" w:styleId="Citao2Char" w:customStyle="1">
    <w:name w:val="citação 2 Char"/>
    <w:basedOn w:val="CitaoChar"/>
    <w:qFormat/>
    <w:rsid w:val="000a23da"/>
    <w:rPr>
      <w:rFonts w:ascii="Ecofont_Spranq_eco_Sans" w:hAnsi="Ecofont_Spranq_eco_Sans" w:eastAsia="Calibri" w:cs="Tahoma"/>
      <w:i/>
      <w:iCs/>
      <w:color w:val="000000"/>
      <w:szCs w:val="24"/>
      <w:shd w:fill="FFFFCC" w:val="clear"/>
      <w:lang w:eastAsia="en-US"/>
    </w:rPr>
  </w:style>
  <w:style w:type="character" w:styleId="Annotationreference">
    <w:name w:val="annotation reference"/>
    <w:basedOn w:val="DefaultParagraphFont"/>
    <w:unhideWhenUsed/>
    <w:qFormat/>
    <w:rsid w:val="0015519e"/>
    <w:rPr>
      <w:sz w:val="16"/>
      <w:szCs w:val="16"/>
    </w:rPr>
  </w:style>
  <w:style w:type="character" w:styleId="TextodecomentrioChar" w:customStyle="1">
    <w:name w:val="Texto de comentário Char"/>
    <w:basedOn w:val="DefaultParagraphFont"/>
    <w:link w:val="Textodecomentrio"/>
    <w:uiPriority w:val="99"/>
    <w:qFormat/>
    <w:rsid w:val="0015519e"/>
    <w:rPr>
      <w:rFonts w:ascii="Ecofont_Spranq_eco_Sans" w:hAnsi="Ecofont_Spranq_eco_Sans" w:cs="Tahoma"/>
    </w:rPr>
  </w:style>
  <w:style w:type="character" w:styleId="AssuntodocomentrioChar" w:customStyle="1">
    <w:name w:val="Assunto do comentário Char"/>
    <w:basedOn w:val="TextodecomentrioChar"/>
    <w:link w:val="Assuntodocomentrio"/>
    <w:semiHidden/>
    <w:qFormat/>
    <w:rsid w:val="0015519e"/>
    <w:rPr>
      <w:rFonts w:ascii="Ecofont_Spranq_eco_Sans" w:hAnsi="Ecofont_Spranq_eco_Sans" w:cs="Tahoma"/>
      <w:b/>
      <w:bCs/>
    </w:rPr>
  </w:style>
  <w:style w:type="character" w:styleId="PlaceholderText">
    <w:name w:val="Placeholder Text"/>
    <w:basedOn w:val="DefaultParagraphFont"/>
    <w:uiPriority w:val="99"/>
    <w:semiHidden/>
    <w:qFormat/>
    <w:rsid w:val="00dd3355"/>
    <w:rPr>
      <w:color w:val="808080"/>
    </w:rPr>
  </w:style>
  <w:style w:type="character" w:styleId="CabealhoChar" w:customStyle="1">
    <w:name w:val="Cabeçalho Char"/>
    <w:basedOn w:val="DefaultParagraphFont"/>
    <w:qFormat/>
    <w:rsid w:val="00db64ef"/>
    <w:rPr>
      <w:rFonts w:ascii="Ecofont_Spranq_eco_Sans" w:hAnsi="Ecofont_Spranq_eco_Sans" w:cs="Tahoma"/>
      <w:sz w:val="24"/>
      <w:szCs w:val="24"/>
    </w:rPr>
  </w:style>
  <w:style w:type="character" w:styleId="RodapChar" w:customStyle="1">
    <w:name w:val="Rodapé Char"/>
    <w:basedOn w:val="DefaultParagraphFont"/>
    <w:uiPriority w:val="99"/>
    <w:qFormat/>
    <w:rsid w:val="00db64ef"/>
    <w:rPr>
      <w:rFonts w:ascii="Ecofont_Spranq_eco_Sans" w:hAnsi="Ecofont_Spranq_eco_Sans" w:cs="Tahoma"/>
      <w:sz w:val="24"/>
      <w:szCs w:val="24"/>
    </w:rPr>
  </w:style>
  <w:style w:type="character" w:styleId="Nivel1Char" w:customStyle="1">
    <w:name w:val="Nivel1 Char"/>
    <w:basedOn w:val="Ttulo1Char"/>
    <w:link w:val="Nivel1"/>
    <w:qFormat/>
    <w:rsid w:val="000d390a"/>
    <w:rPr>
      <w:rFonts w:ascii="Arial" w:hAnsi="Arial"/>
      <w:b/>
      <w:color w:val="000000"/>
    </w:rPr>
  </w:style>
  <w:style w:type="character" w:styleId="QuoteChar" w:customStyle="1">
    <w:name w:val="Quote Char"/>
    <w:link w:val="Citao1"/>
    <w:uiPriority w:val="99"/>
    <w:qFormat/>
    <w:rsid w:val="00b222ee"/>
    <w:rPr>
      <w:rFonts w:ascii="Ecofont_Spranq_eco_Sans" w:hAnsi="Ecofont_Spranq_eco_Sans" w:cs="Ecofont_Spranq_eco_Sans"/>
      <w:i/>
      <w:iCs/>
      <w:color w:val="000000"/>
      <w:sz w:val="24"/>
      <w:szCs w:val="24"/>
      <w:shd w:fill="FFFFCC" w:val="clear"/>
      <w:lang w:eastAsia="en-US"/>
    </w:rPr>
  </w:style>
  <w:style w:type="character" w:styleId="Appleconvertedspace" w:customStyle="1">
    <w:name w:val="apple-converted-space"/>
    <w:basedOn w:val="DefaultParagraphFont"/>
    <w:qFormat/>
    <w:rsid w:val="00e014b9"/>
    <w:rPr/>
  </w:style>
  <w:style w:type="character" w:styleId="Nivel01Char" w:customStyle="1">
    <w:name w:val="Nivel 01 Char"/>
    <w:basedOn w:val="DefaultParagraphFont"/>
    <w:link w:val="Nivel01"/>
    <w:qFormat/>
    <w:locked/>
    <w:rsid w:val="0085196b"/>
    <w:rPr>
      <w:rFonts w:ascii="Arial" w:hAnsi="Arial" w:eastAsia="" w:cs="" w:cstheme="majorBidi" w:eastAsiaTheme="majorEastAsia"/>
      <w:b/>
      <w:bCs/>
      <w:color w:val="000000"/>
      <w:sz w:val="32"/>
      <w:szCs w:val="32"/>
    </w:rPr>
  </w:style>
  <w:style w:type="character" w:styleId="Strong">
    <w:name w:val="Strong"/>
    <w:basedOn w:val="DefaultParagraphFont"/>
    <w:uiPriority w:val="22"/>
    <w:qFormat/>
    <w:rsid w:val="0085196b"/>
    <w:rPr>
      <w:b/>
      <w:bCs/>
    </w:rPr>
  </w:style>
  <w:style w:type="character" w:styleId="GradeColoridanfase1Char" w:customStyle="1">
    <w:name w:val="Grade Colorida - Ênfase 1 Char"/>
    <w:qFormat/>
    <w:rsid w:val="00dd3603"/>
    <w:rPr>
      <w:rFonts w:ascii="Ecofont_Spranq_eco_Sans" w:hAnsi="Ecofont_Spranq_eco_Sans" w:eastAsia="Calibri" w:cs="Ecofont_Spranq_eco_Sans"/>
      <w:i/>
      <w:iCs/>
      <w:color w:val="000000"/>
      <w:szCs w:val="24"/>
      <w:shd w:fill="FFFFCC" w:val="clear"/>
    </w:rPr>
  </w:style>
  <w:style w:type="character" w:styleId="WW8Num2z1" w:customStyle="1">
    <w:name w:val="WW8Num2z1"/>
    <w:qFormat/>
    <w:rsid w:val="007b7e1c"/>
    <w:rPr>
      <w:i w:val="false"/>
    </w:rPr>
  </w:style>
  <w:style w:type="character" w:styleId="Nivel2Char" w:customStyle="1">
    <w:name w:val="Nivel 2 Char"/>
    <w:basedOn w:val="DefaultParagraphFont"/>
    <w:link w:val="Nivel2"/>
    <w:qFormat/>
    <w:rsid w:val="00bb7bce"/>
    <w:rPr>
      <w:rFonts w:ascii="Ecofont_Spranq_eco_Sans" w:hAnsi="Ecofont_Spranq_eco_Sans" w:eastAsia="Arial Unicode MS"/>
    </w:rPr>
  </w:style>
  <w:style w:type="character" w:styleId="Nfase">
    <w:name w:val="Ênfase"/>
    <w:basedOn w:val="DefaultParagraphFont"/>
    <w:uiPriority w:val="20"/>
    <w:qFormat/>
    <w:rsid w:val="005f6dad"/>
    <w:rPr>
      <w:i/>
      <w:iCs/>
    </w:rPr>
  </w:style>
  <w:style w:type="character" w:styleId="Fontepargpadro1" w:customStyle="1">
    <w:name w:val="Fonte parág. padrão1"/>
    <w:qFormat/>
    <w:rsid w:val="00e45537"/>
    <w:rPr/>
  </w:style>
  <w:style w:type="character" w:styleId="MapadoDocumentoChar" w:customStyle="1">
    <w:name w:val="Mapa do Documento Char"/>
    <w:basedOn w:val="DefaultParagraphFont"/>
    <w:link w:val="MapadoDocumento"/>
    <w:semiHidden/>
    <w:qFormat/>
    <w:rsid w:val="00a17da0"/>
    <w:rPr>
      <w:rFonts w:ascii="Tahoma" w:hAnsi="Tahoma" w:cs="Tahoma"/>
      <w:sz w:val="16"/>
      <w:szCs w:val="16"/>
    </w:rPr>
  </w:style>
  <w:style w:type="character" w:styleId="CabealhoChar1" w:customStyle="1">
    <w:name w:val="Cabeçalho Char1"/>
    <w:basedOn w:val="DefaultParagraphFont"/>
    <w:semiHidden/>
    <w:qFormat/>
    <w:rsid w:val="00ef39bd"/>
    <w:rPr>
      <w:rFonts w:ascii="Arial" w:hAnsi="Arial" w:cs="Tahoma"/>
      <w:szCs w:val="24"/>
    </w:rPr>
  </w:style>
  <w:style w:type="character" w:styleId="RodapChar1" w:customStyle="1">
    <w:name w:val="Rodapé Char1"/>
    <w:basedOn w:val="DefaultParagraphFont"/>
    <w:uiPriority w:val="99"/>
    <w:semiHidden/>
    <w:qFormat/>
    <w:rsid w:val="00ef39bd"/>
    <w:rPr>
      <w:rFonts w:ascii="Arial" w:hAnsi="Arial" w:cs="Tahoma"/>
      <w:szCs w:val="24"/>
    </w:rPr>
  </w:style>
  <w:style w:type="character" w:styleId="Nfaseforte" w:customStyle="1">
    <w:name w:val="Ênfase forte"/>
    <w:qFormat/>
    <w:rsid w:val="00d63056"/>
    <w:rPr>
      <w:b/>
      <w:bCs/>
    </w:rPr>
  </w:style>
  <w:style w:type="character" w:styleId="Nvel01SemNumeraoChar" w:customStyle="1">
    <w:name w:val="Nível 01-Sem Numeração Char"/>
    <w:basedOn w:val="DefaultParagraphFont"/>
    <w:uiPriority w:val="1"/>
    <w:qFormat/>
    <w:rsid w:val="00e7094f"/>
    <w:rPr>
      <w:rFonts w:ascii="Arial" w:hAnsi="Arial" w:eastAsia="" w:cs="Arial" w:eastAsiaTheme="majorEastAsia"/>
      <w:b/>
      <w:bCs/>
      <w:color w:val="FF0000"/>
    </w:rPr>
  </w:style>
  <w:style w:type="character" w:styleId="LinkdaInternet" w:customStyle="1">
    <w:name w:val="Link da Internet"/>
    <w:rsid w:val="00f866eb"/>
    <w:rPr>
      <w:color w:val="000080"/>
      <w:u w:val="single"/>
    </w:rPr>
  </w:style>
  <w:style w:type="character" w:styleId="Em0020ementachar1" w:customStyle="1">
    <w:name w:val="em_0020ementa__char1"/>
    <w:qFormat/>
    <w:rsid w:val="00cc13cb"/>
    <w:rPr>
      <w:rFonts w:ascii="Times New Roman" w:hAnsi="Times New Roman" w:cs="Times New Roman"/>
      <w:strike w:val="false"/>
      <w:dstrike w:val="false"/>
      <w:sz w:val="28"/>
      <w:szCs w:val="28"/>
      <w:u w:val="none"/>
      <w:effect w:val="none"/>
    </w:rPr>
  </w:style>
  <w:style w:type="character" w:styleId="Nvel2RedChar" w:customStyle="1">
    <w:name w:val="Nível 2 -Red Char"/>
    <w:basedOn w:val="Nivel2Char"/>
    <w:qFormat/>
    <w:rsid w:val="00cc13cb"/>
    <w:rPr>
      <w:rFonts w:eastAsia="Arial" w:cs="Arial"/>
      <w:b/>
      <w:bCs/>
      <w:i/>
      <w:color w:val="FF0000"/>
    </w:rPr>
  </w:style>
  <w:style w:type="character" w:styleId="NotaexplicativaChar" w:customStyle="1">
    <w:name w:val="Nota explicativa Char"/>
    <w:basedOn w:val="DefaultParagraphFont"/>
    <w:link w:val="Notaexplicativa"/>
    <w:qFormat/>
    <w:rsid w:val="003655c7"/>
    <w:rPr>
      <w:rFonts w:ascii="Arial" w:hAnsi="Arial" w:eastAsia="Calibri" w:cs="Tahoma"/>
      <w:i/>
      <w:iCs/>
      <w:color w:val="000000"/>
      <w:shd w:fill="FFFFCC" w:val="clear"/>
      <w:lang w:eastAsia="en-US"/>
    </w:rPr>
  </w:style>
  <w:style w:type="character" w:styleId="Darkmodecolorblack" w:customStyle="1">
    <w:name w:val="dark-mode-color-black"/>
    <w:basedOn w:val="DefaultParagraphFont"/>
    <w:qFormat/>
    <w:rsid w:val="002a571d"/>
    <w:rPr/>
  </w:style>
  <w:style w:type="character" w:styleId="Nvel1SemNumChar" w:customStyle="1">
    <w:name w:val="Nível 1-Sem Num Char"/>
    <w:basedOn w:val="Nivel01Char"/>
    <w:qFormat/>
    <w:rsid w:val="002a571d"/>
    <w:rPr>
      <w:rFonts w:cs="Arial"/>
      <w:b/>
      <w:bCs/>
      <w:color w:val="FF0000"/>
    </w:rPr>
  </w:style>
  <w:style w:type="character" w:styleId="Nivel01TituloChar" w:customStyle="1">
    <w:name w:val="Nivel_01_Titulo Char"/>
    <w:basedOn w:val="Nivel01Char"/>
    <w:link w:val="Nivel01Titulo"/>
    <w:qFormat/>
    <w:rsid w:val="00126b0b"/>
    <w:rPr>
      <w:b/>
      <w:bCs/>
      <w:color w:val="000000" w:themeColor="text1"/>
      <w:spacing w:val="5"/>
      <w:kern w:val="2"/>
      <w:sz w:val="52"/>
      <w:szCs w:val="52"/>
    </w:rPr>
  </w:style>
  <w:style w:type="character" w:styleId="CabealhoChar2" w:customStyle="1">
    <w:name w:val="Cabeçalho Char2"/>
    <w:basedOn w:val="DefaultParagraphFont"/>
    <w:semiHidden/>
    <w:qFormat/>
    <w:rsid w:val="00126b0b"/>
    <w:rPr>
      <w:rFonts w:ascii="Arial" w:hAnsi="Arial" w:cs="Tahoma"/>
      <w:szCs w:val="24"/>
    </w:rPr>
  </w:style>
  <w:style w:type="character" w:styleId="RodapChar2" w:customStyle="1">
    <w:name w:val="Rodapé Char2"/>
    <w:basedOn w:val="DefaultParagraphFont"/>
    <w:uiPriority w:val="99"/>
    <w:semiHidden/>
    <w:qFormat/>
    <w:rsid w:val="00126b0b"/>
    <w:rPr>
      <w:rFonts w:ascii="Arial" w:hAnsi="Arial" w:cs="Tahoma"/>
      <w:szCs w:val="24"/>
    </w:rPr>
  </w:style>
  <w:style w:type="character" w:styleId="CabealhoChar3" w:customStyle="1">
    <w:name w:val="Cabeçalho Char3"/>
    <w:basedOn w:val="DefaultParagraphFont"/>
    <w:semiHidden/>
    <w:qFormat/>
    <w:rsid w:val="007a71e7"/>
    <w:rPr>
      <w:rFonts w:ascii="Arial" w:hAnsi="Arial" w:cs="Tahoma"/>
      <w:szCs w:val="24"/>
    </w:rPr>
  </w:style>
  <w:style w:type="character" w:styleId="RodapChar3" w:customStyle="1">
    <w:name w:val="Rodapé Char3"/>
    <w:basedOn w:val="DefaultParagraphFont"/>
    <w:uiPriority w:val="99"/>
    <w:semiHidden/>
    <w:qFormat/>
    <w:rsid w:val="007a71e7"/>
    <w:rPr>
      <w:rFonts w:ascii="Arial" w:hAnsi="Arial" w:cs="Tahoma"/>
      <w:szCs w:val="24"/>
    </w:rPr>
  </w:style>
  <w:style w:type="character" w:styleId="Nivel3Char" w:customStyle="1">
    <w:name w:val="Nivel 3 Char"/>
    <w:basedOn w:val="DefaultParagraphFont"/>
    <w:link w:val="Nivel3"/>
    <w:qFormat/>
    <w:rsid w:val="002b341a"/>
    <w:rPr>
      <w:rFonts w:ascii="Ecofont_Spranq_eco_Sans" w:hAnsi="Ecofont_Spranq_eco_Sans" w:eastAsia="Arial Unicode MS" w:cs="Arial"/>
      <w:color w:val="000000"/>
    </w:rPr>
  </w:style>
  <w:style w:type="character" w:styleId="Normaltextrun" w:customStyle="1">
    <w:name w:val="normaltextrun"/>
    <w:basedOn w:val="DefaultParagraphFont"/>
    <w:qFormat/>
    <w:rsid w:val="00163e5b"/>
    <w:rPr/>
  </w:style>
  <w:style w:type="character" w:styleId="Nvel3RChar" w:customStyle="1">
    <w:name w:val="Nível 3-R Char"/>
    <w:basedOn w:val="Nivel3Char"/>
    <w:qFormat/>
    <w:rsid w:val="007a37af"/>
    <w:rPr>
      <w:rFonts w:ascii="Calibri" w:hAnsi="Calibri" w:eastAsia="" w:cs="Calibri" w:eastAsiaTheme="minorEastAsia"/>
      <w:iCs/>
      <w:sz w:val="24"/>
      <w:szCs w:val="24"/>
    </w:rPr>
  </w:style>
  <w:style w:type="character" w:styleId="CabealhoChar4" w:customStyle="1">
    <w:name w:val="Cabeçalho Char4"/>
    <w:basedOn w:val="DefaultParagraphFont"/>
    <w:link w:val="Header"/>
    <w:semiHidden/>
    <w:qFormat/>
    <w:rsid w:val="00a035c8"/>
    <w:rPr>
      <w:rFonts w:ascii="Arial" w:hAnsi="Arial" w:cs="Tahoma"/>
      <w:szCs w:val="24"/>
    </w:rPr>
  </w:style>
  <w:style w:type="character" w:styleId="RodapChar4" w:customStyle="1">
    <w:name w:val="Rodapé Char4"/>
    <w:basedOn w:val="DefaultParagraphFont"/>
    <w:link w:val="Footer"/>
    <w:uiPriority w:val="99"/>
    <w:semiHidden/>
    <w:qFormat/>
    <w:rsid w:val="00a035c8"/>
    <w:rPr>
      <w:rFonts w:ascii="Arial" w:hAnsi="Arial" w:cs="Tahoma"/>
      <w:szCs w:val="24"/>
    </w:rPr>
  </w:style>
  <w:style w:type="character" w:styleId="Marcadores" w:customStyle="1">
    <w:name w:val="Marcadores"/>
    <w:qFormat/>
    <w:rsid w:val="009d3d6e"/>
    <w:rPr>
      <w:rFonts w:ascii="OpenSymbol" w:hAnsi="OpenSymbol" w:eastAsia="OpenSymbol" w:cs="OpenSymbol"/>
    </w:rPr>
  </w:style>
  <w:style w:type="character" w:styleId="Smbolosdenumerao" w:customStyle="1">
    <w:name w:val="Símbolos de numeração"/>
    <w:qFormat/>
    <w:rsid w:val="009d3d6e"/>
    <w:rPr>
      <w:rFonts w:ascii="Calibri" w:hAnsi="Calibri"/>
      <w:b w:val="false"/>
      <w:bCs w:val="false"/>
      <w:sz w:val="24"/>
      <w:szCs w:val="24"/>
    </w:rPr>
  </w:style>
  <w:style w:type="character" w:styleId="CabealhoChar5" w:customStyle="1">
    <w:name w:val="Cabeçalho Char5"/>
    <w:basedOn w:val="DefaultParagraphFont"/>
    <w:link w:val="Cabealho"/>
    <w:semiHidden/>
    <w:qFormat/>
    <w:rsid w:val="00452cb1"/>
    <w:rPr>
      <w:rFonts w:ascii="Arial" w:hAnsi="Arial" w:cs="Tahoma"/>
      <w:szCs w:val="24"/>
    </w:rPr>
  </w:style>
  <w:style w:type="character" w:styleId="RodapChar5" w:customStyle="1">
    <w:name w:val="Rodapé Char5"/>
    <w:basedOn w:val="DefaultParagraphFont"/>
    <w:link w:val="Rodap"/>
    <w:uiPriority w:val="99"/>
    <w:semiHidden/>
    <w:qFormat/>
    <w:rsid w:val="00452cb1"/>
    <w:rPr>
      <w:rFonts w:ascii="Arial" w:hAnsi="Arial" w:cs="Tahoma"/>
      <w:szCs w:val="24"/>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rsid w:val="00b36c67"/>
    <w:pPr>
      <w:spacing w:lineRule="auto" w:line="276" w:before="0" w:after="140"/>
    </w:pPr>
    <w:rPr/>
  </w:style>
  <w:style w:type="paragraph" w:styleId="Lista">
    <w:name w:val="List"/>
    <w:basedOn w:val="Corpodotexto"/>
    <w:rsid w:val="00b36c67"/>
    <w:pPr/>
    <w:rPr>
      <w:rFonts w:cs="Lohit Devanagari"/>
    </w:rPr>
  </w:style>
  <w:style w:type="paragraph" w:styleId="Legenda" w:customStyle="1">
    <w:name w:val="Caption"/>
    <w:basedOn w:val="Normal"/>
    <w:qFormat/>
    <w:rsid w:val="00b36c67"/>
    <w:pPr>
      <w:suppressLineNumbers/>
      <w:spacing w:before="120" w:after="120"/>
    </w:pPr>
    <w:rPr>
      <w:rFonts w:cs="Lohit Devanagari"/>
      <w:i/>
      <w:iCs/>
      <w:sz w:val="24"/>
    </w:rPr>
  </w:style>
  <w:style w:type="paragraph" w:styleId="Ndice" w:customStyle="1">
    <w:name w:val="Índice"/>
    <w:basedOn w:val="Normal"/>
    <w:qFormat/>
    <w:rsid w:val="00b36c67"/>
    <w:pPr>
      <w:suppressLineNumbers/>
    </w:pPr>
    <w:rPr>
      <w:rFonts w:cs="Lohit Devanagari"/>
    </w:rPr>
  </w:style>
  <w:style w:type="paragraph" w:styleId="Ttulododocumento">
    <w:name w:val="Title"/>
    <w:basedOn w:val="Normal"/>
    <w:next w:val="Corpodotexto"/>
    <w:qFormat/>
    <w:rsid w:val="00b36c67"/>
    <w:pPr>
      <w:keepNext w:val="true"/>
      <w:spacing w:before="240" w:after="120"/>
    </w:pPr>
    <w:rPr>
      <w:rFonts w:ascii="Liberation Sans" w:hAnsi="Liberation Sans" w:eastAsia="Noto Sans CJK SC" w:cs="Lohit Devanagari"/>
      <w:sz w:val="28"/>
      <w:szCs w:val="28"/>
    </w:rPr>
  </w:style>
  <w:style w:type="paragraph" w:styleId="ListParagraph">
    <w:name w:val="List Paragraph"/>
    <w:basedOn w:val="Normal"/>
    <w:uiPriority w:val="34"/>
    <w:qFormat/>
    <w:rsid w:val="004773fc"/>
    <w:pPr>
      <w:spacing w:before="0" w:after="0"/>
      <w:ind w:left="720" w:hanging="0"/>
      <w:contextualSpacing/>
    </w:pPr>
    <w:rPr/>
  </w:style>
  <w:style w:type="paragraph" w:styleId="NormalWeb">
    <w:name w:val="Normal (Web)"/>
    <w:basedOn w:val="Normal"/>
    <w:qFormat/>
    <w:rsid w:val="006b156a"/>
    <w:pPr>
      <w:spacing w:beforeAutospacing="1" w:afterAutospacing="1"/>
    </w:pPr>
    <w:rPr>
      <w:rFonts w:ascii="Times New Roman" w:hAnsi="Times New Roman" w:cs="Times New Roman"/>
    </w:rPr>
  </w:style>
  <w:style w:type="paragraph" w:styleId="BalloonText">
    <w:name w:val="Balloon Text"/>
    <w:basedOn w:val="Normal"/>
    <w:link w:val="TextodebaloChar"/>
    <w:qFormat/>
    <w:rsid w:val="003a73c1"/>
    <w:pPr/>
    <w:rPr>
      <w:rFonts w:ascii="Tahoma" w:hAnsi="Tahoma" w:cs="Times New Roman"/>
      <w:sz w:val="16"/>
      <w:szCs w:val="16"/>
    </w:rPr>
  </w:style>
  <w:style w:type="paragraph" w:styleId="Nvel2" w:customStyle="1">
    <w:name w:val="Nível 2"/>
    <w:basedOn w:val="Normal"/>
    <w:next w:val="Normal"/>
    <w:qFormat/>
    <w:rsid w:val="004b460a"/>
    <w:pPr>
      <w:spacing w:before="0" w:after="120"/>
      <w:jc w:val="both"/>
    </w:pPr>
    <w:rPr>
      <w:rFonts w:cs="Times New Roman"/>
      <w:b/>
      <w:szCs w:val="20"/>
    </w:rPr>
  </w:style>
  <w:style w:type="paragraph" w:styleId="Quote">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cs="Times New Roman"/>
      <w:i/>
      <w:iCs/>
      <w:color w:val="000000"/>
      <w:lang w:eastAsia="en-US"/>
    </w:rPr>
  </w:style>
  <w:style w:type="paragraph" w:styleId="ListBullet5">
    <w:name w:val="List Bullet 5"/>
    <w:basedOn w:val="Normal"/>
    <w:qFormat/>
    <w:rsid w:val="001a3a05"/>
    <w:pPr>
      <w:tabs>
        <w:tab w:val="clear" w:pos="720"/>
        <w:tab w:val="left" w:pos="1492" w:leader="none"/>
      </w:tabs>
      <w:spacing w:before="0" w:after="0"/>
      <w:ind w:left="1492" w:hanging="360"/>
      <w:contextualSpacing/>
    </w:pPr>
    <w:rPr/>
  </w:style>
  <w:style w:type="paragraph" w:styleId="Citao2" w:customStyle="1">
    <w:name w:val="citação 2"/>
    <w:basedOn w:val="Quote"/>
    <w:qFormat/>
    <w:rsid w:val="000a23da"/>
    <w:pPr/>
    <w:rPr>
      <w:szCs w:val="20"/>
    </w:rPr>
  </w:style>
  <w:style w:type="paragraph" w:styleId="Annotationtext">
    <w:name w:val="annotation text"/>
    <w:basedOn w:val="Normal"/>
    <w:link w:val="TextodecomentrioChar"/>
    <w:uiPriority w:val="99"/>
    <w:unhideWhenUsed/>
    <w:qFormat/>
    <w:rsid w:val="0015519e"/>
    <w:pPr/>
    <w:rPr>
      <w:szCs w:val="20"/>
    </w:rPr>
  </w:style>
  <w:style w:type="paragraph" w:styleId="Annotationsubject">
    <w:name w:val="annotation subject"/>
    <w:basedOn w:val="Annotationtext"/>
    <w:link w:val="AssuntodocomentrioChar"/>
    <w:semiHidden/>
    <w:unhideWhenUsed/>
    <w:qFormat/>
    <w:rsid w:val="0015519e"/>
    <w:pPr/>
    <w:rPr>
      <w:b/>
      <w:bCs/>
    </w:rPr>
  </w:style>
  <w:style w:type="paragraph" w:styleId="CabealhoeRodap" w:customStyle="1">
    <w:name w:val="Cabeçalho e Rodapé"/>
    <w:basedOn w:val="Normal"/>
    <w:qFormat/>
    <w:rsid w:val="00ee6299"/>
    <w:pPr/>
    <w:rPr/>
  </w:style>
  <w:style w:type="paragraph" w:styleId="Cabealho">
    <w:name w:val="Header"/>
    <w:basedOn w:val="Normal"/>
    <w:link w:val="CabealhoChar5"/>
    <w:semiHidden/>
    <w:unhideWhenUsed/>
    <w:rsid w:val="00452cb1"/>
    <w:pPr>
      <w:tabs>
        <w:tab w:val="clear" w:pos="720"/>
        <w:tab w:val="center" w:pos="4252" w:leader="none"/>
        <w:tab w:val="right" w:pos="8504" w:leader="none"/>
      </w:tabs>
    </w:pPr>
    <w:rPr/>
  </w:style>
  <w:style w:type="paragraph" w:styleId="Rodap">
    <w:name w:val="Footer"/>
    <w:basedOn w:val="Normal"/>
    <w:link w:val="RodapChar5"/>
    <w:uiPriority w:val="99"/>
    <w:semiHidden/>
    <w:unhideWhenUsed/>
    <w:rsid w:val="00452cb1"/>
    <w:pPr>
      <w:tabs>
        <w:tab w:val="clear" w:pos="720"/>
        <w:tab w:val="center" w:pos="4252" w:leader="none"/>
        <w:tab w:val="right" w:pos="8504" w:leader="none"/>
      </w:tabs>
    </w:pPr>
    <w:rPr/>
  </w:style>
  <w:style w:type="paragraph" w:styleId="Nivel1" w:customStyle="1">
    <w:name w:val="Nivel1"/>
    <w:basedOn w:val="Ttulo1"/>
    <w:link w:val="Nivel1Char"/>
    <w:qFormat/>
    <w:rsid w:val="000d390a"/>
    <w:pPr>
      <w:spacing w:lineRule="auto" w:line="276" w:before="480" w:after="0"/>
      <w:ind w:left="644" w:hanging="360"/>
      <w:jc w:val="both"/>
      <w:outlineLvl w:val="9"/>
    </w:pPr>
    <w:rPr>
      <w:rFonts w:ascii="Arial" w:hAnsi="Arial" w:cs="Times New Roman"/>
      <w:b/>
      <w:color w:val="000000"/>
      <w:sz w:val="20"/>
      <w:szCs w:val="20"/>
    </w:rPr>
  </w:style>
  <w:style w:type="paragraph" w:styleId="Revision">
    <w:name w:val="Revision"/>
    <w:uiPriority w:val="99"/>
    <w:semiHidden/>
    <w:qFormat/>
    <w:rsid w:val="00656f07"/>
    <w:pPr>
      <w:widowControl/>
      <w:suppressAutoHyphens w:val="true"/>
      <w:bidi w:val="0"/>
      <w:spacing w:before="0" w:after="0"/>
      <w:jc w:val="left"/>
    </w:pPr>
    <w:rPr>
      <w:rFonts w:ascii="Arial" w:hAnsi="Arial" w:eastAsia="Times New Roman" w:cs="Tahoma"/>
      <w:color w:val="auto"/>
      <w:kern w:val="0"/>
      <w:sz w:val="20"/>
      <w:szCs w:val="24"/>
      <w:lang w:val="pt-BR" w:eastAsia="pt-BR" w:bidi="ar-SA"/>
    </w:rPr>
  </w:style>
  <w:style w:type="paragraph" w:styleId="PargrafodaLista1" w:customStyle="1">
    <w:name w:val="Parágrafo da Lista1"/>
    <w:basedOn w:val="Normal"/>
    <w:qFormat/>
    <w:rsid w:val="00b222ee"/>
    <w:pPr>
      <w:ind w:left="720" w:hanging="0"/>
    </w:pPr>
    <w:rPr>
      <w:rFonts w:ascii="Ecofont_Spranq_eco_Sans" w:hAnsi="Ecofont_Spranq_eco_Sans" w:cs="Ecofont_Spranq_eco_Sans"/>
      <w:sz w:val="24"/>
    </w:rPr>
  </w:style>
  <w:style w:type="paragraph" w:styleId="Citao1" w:customStyle="1">
    <w:name w:val="Citação1"/>
    <w:basedOn w:val="Normal"/>
    <w:next w:val="Normal"/>
    <w:link w:val="QuoteChar"/>
    <w:qFormat/>
    <w:rsid w:val="00b222ee"/>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cs="Ecofont_Spranq_eco_Sans"/>
      <w:i/>
      <w:iCs/>
      <w:color w:val="000000"/>
      <w:sz w:val="24"/>
      <w:shd w:fill="FFFFCC" w:val="clear"/>
      <w:lang w:eastAsia="en-US"/>
    </w:rPr>
  </w:style>
  <w:style w:type="paragraph" w:styleId="SombreamentoMdio1nfase31" w:customStyle="1">
    <w:name w:val="Sombreamento Médio 1 - Ênfase 31"/>
    <w:basedOn w:val="Normal"/>
    <w:next w:val="Normal"/>
    <w:qFormat/>
    <w:rsid w:val="00e014b9"/>
    <w:pPr>
      <w:pBdr>
        <w:top w:val="single" w:sz="4" w:space="1" w:color="000080"/>
        <w:left w:val="single" w:sz="4" w:space="4" w:color="000080"/>
        <w:bottom w:val="single" w:sz="4" w:space="1" w:color="000080"/>
        <w:right w:val="single" w:sz="4" w:space="4" w:color="000080"/>
      </w:pBdr>
      <w:shd w:val="clear" w:color="auto" w:fill="FFFFCC"/>
      <w:spacing w:before="120" w:after="0"/>
      <w:jc w:val="both"/>
    </w:pPr>
    <w:rPr>
      <w:rFonts w:ascii="Ecofont_Spranq_eco_Sans" w:hAnsi="Ecofont_Spranq_eco_Sans" w:eastAsia="Calibri"/>
      <w:i/>
      <w:iCs/>
      <w:color w:val="000000"/>
      <w:lang w:eastAsia="zh-CN"/>
    </w:rPr>
  </w:style>
  <w:style w:type="paragraph" w:styleId="Nivel01" w:customStyle="1">
    <w:name w:val="Nivel 01"/>
    <w:basedOn w:val="Ttulo1"/>
    <w:next w:val="Normal"/>
    <w:link w:val="Nivel01Char"/>
    <w:qFormat/>
    <w:rsid w:val="0085196b"/>
    <w:pPr>
      <w:spacing w:lineRule="auto" w:line="276" w:before="480" w:after="120"/>
      <w:ind w:left="360" w:right="-15" w:hanging="360"/>
      <w:jc w:val="both"/>
      <w:outlineLvl w:val="9"/>
    </w:pPr>
    <w:rPr>
      <w:rFonts w:ascii="Arial" w:hAnsi="Arial"/>
      <w:b/>
      <w:bCs/>
      <w:color w:val="000000"/>
    </w:rPr>
  </w:style>
  <w:style w:type="paragraph" w:styleId="Textojustificado" w:customStyle="1">
    <w:name w:val="texto_justificado"/>
    <w:basedOn w:val="Normal"/>
    <w:qFormat/>
    <w:rsid w:val="0085196b"/>
    <w:pPr>
      <w:spacing w:beforeAutospacing="1" w:afterAutospacing="1"/>
    </w:pPr>
    <w:rPr>
      <w:rFonts w:ascii="Times New Roman" w:hAnsi="Times New Roman" w:cs="Times New Roman"/>
      <w:sz w:val="24"/>
    </w:rPr>
  </w:style>
  <w:style w:type="paragraph" w:styleId="Nivel011" w:customStyle="1">
    <w:name w:val="Nivel_01"/>
    <w:basedOn w:val="Ttulo1"/>
    <w:qFormat/>
    <w:rsid w:val="00b75c3f"/>
    <w:pPr>
      <w:tabs>
        <w:tab w:val="clear" w:pos="720"/>
        <w:tab w:val="left" w:pos="360" w:leader="none"/>
        <w:tab w:val="left" w:pos="567" w:leader="none"/>
      </w:tabs>
      <w:jc w:val="both"/>
      <w:outlineLvl w:val="9"/>
    </w:pPr>
    <w:rPr>
      <w:rFonts w:ascii="Ecofont_Spranq_eco_Sans" w:hAnsi="Ecofont_Spranq_eco_Sans" w:cs="Times New Roman"/>
      <w:b/>
      <w:bCs/>
      <w:color w:val="auto"/>
      <w:sz w:val="20"/>
      <w:szCs w:val="20"/>
    </w:rPr>
  </w:style>
  <w:style w:type="paragraph" w:styleId="GradeColoridanfase11" w:customStyle="1">
    <w:name w:val="Grade Colorida - Ênfase 11"/>
    <w:basedOn w:val="Normal"/>
    <w:next w:val="Normal"/>
    <w:uiPriority w:val="29"/>
    <w:qFormat/>
    <w:rsid w:val="00dd360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cs="Ecofont_Spranq_eco_Sans"/>
      <w:i/>
      <w:iCs/>
      <w:color w:val="000000"/>
    </w:rPr>
  </w:style>
  <w:style w:type="paragraph" w:styleId="PargrafodaLista2" w:customStyle="1">
    <w:name w:val="Parágrafo da Lista2"/>
    <w:basedOn w:val="Normal"/>
    <w:qFormat/>
    <w:rsid w:val="001c3ab6"/>
    <w:pPr>
      <w:ind w:left="720" w:hanging="0"/>
    </w:pPr>
    <w:rPr>
      <w:rFonts w:ascii="Ecofont_Spranq_eco_Sans" w:hAnsi="Ecofont_Spranq_eco_Sans"/>
      <w:sz w:val="24"/>
    </w:rPr>
  </w:style>
  <w:style w:type="paragraph" w:styleId="GradeColoridanfase110" w:customStyle="1">
    <w:name w:val="Grade Colorida - Ênfase 110"/>
    <w:basedOn w:val="Normal"/>
    <w:next w:val="Normal"/>
    <w:qFormat/>
    <w:rsid w:val="006f426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i/>
      <w:color w:val="000000"/>
      <w:sz w:val="24"/>
      <w:lang w:eastAsia="en-US"/>
    </w:rPr>
  </w:style>
  <w:style w:type="paragraph" w:styleId="Nivel2" w:customStyle="1">
    <w:name w:val="Nivel 2"/>
    <w:link w:val="Nivel2Char"/>
    <w:qFormat/>
    <w:rsid w:val="00bb7bce"/>
    <w:pPr>
      <w:widowControl/>
      <w:suppressAutoHyphens w:val="true"/>
      <w:bidi w:val="0"/>
      <w:spacing w:lineRule="auto" w:line="276" w:before="120" w:after="120"/>
      <w:ind w:left="858" w:hanging="432"/>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qFormat/>
    <w:rsid w:val="00bb7bce"/>
    <w:pPr>
      <w:ind w:left="644" w:hanging="432"/>
    </w:pPr>
    <w:rPr>
      <w:rFonts w:cs="Arial"/>
      <w:b/>
    </w:rPr>
  </w:style>
  <w:style w:type="paragraph" w:styleId="Nivel3" w:customStyle="1">
    <w:name w:val="Nivel 3"/>
    <w:basedOn w:val="Nivel2"/>
    <w:link w:val="Nivel3Char"/>
    <w:qFormat/>
    <w:rsid w:val="00bb7bce"/>
    <w:pPr>
      <w:ind w:left="1922" w:hanging="432"/>
    </w:pPr>
    <w:rPr>
      <w:rFonts w:cs="Arial"/>
      <w:color w:val="000000"/>
    </w:rPr>
  </w:style>
  <w:style w:type="paragraph" w:styleId="Nivel4" w:customStyle="1">
    <w:name w:val="Nivel 4"/>
    <w:basedOn w:val="Nivel3"/>
    <w:qFormat/>
    <w:rsid w:val="00bb7bce"/>
    <w:pPr>
      <w:ind w:left="2491" w:hanging="432"/>
    </w:pPr>
    <w:rPr>
      <w:color w:val="auto"/>
    </w:rPr>
  </w:style>
  <w:style w:type="paragraph" w:styleId="Nivel5" w:customStyle="1">
    <w:name w:val="Nivel 5"/>
    <w:basedOn w:val="Nivel4"/>
    <w:qFormat/>
    <w:rsid w:val="00bb7bce"/>
    <w:pPr>
      <w:ind w:left="3485" w:hanging="432"/>
    </w:pPr>
    <w:rPr/>
  </w:style>
  <w:style w:type="paragraph" w:styleId="Default" w:customStyle="1">
    <w:name w:val="Default"/>
    <w:qFormat/>
    <w:rsid w:val="00a2225b"/>
    <w:pPr>
      <w:widowControl/>
      <w:suppressAutoHyphens w:val="true"/>
      <w:bidi w:val="0"/>
      <w:spacing w:before="0" w:after="0"/>
      <w:jc w:val="left"/>
    </w:pPr>
    <w:rPr>
      <w:rFonts w:ascii="Arial" w:hAnsi="Arial" w:eastAsia="Times New Roman" w:cs="Arial"/>
      <w:color w:val="000000"/>
      <w:kern w:val="0"/>
      <w:sz w:val="24"/>
      <w:szCs w:val="24"/>
      <w:lang w:val="pt-BR" w:eastAsia="pt-BR" w:bidi="ar-SA"/>
    </w:rPr>
  </w:style>
  <w:style w:type="paragraph" w:styleId="DocumentMap">
    <w:name w:val="Document Map"/>
    <w:basedOn w:val="Normal"/>
    <w:link w:val="MapadoDocumentoChar"/>
    <w:semiHidden/>
    <w:unhideWhenUsed/>
    <w:qFormat/>
    <w:rsid w:val="00a17da0"/>
    <w:pPr/>
    <w:rPr>
      <w:rFonts w:ascii="Tahoma" w:hAnsi="Tahoma"/>
      <w:sz w:val="16"/>
      <w:szCs w:val="16"/>
    </w:rPr>
  </w:style>
  <w:style w:type="paragraph" w:styleId="Contedodoquadro" w:customStyle="1">
    <w:name w:val="Conteúdo do quadro"/>
    <w:basedOn w:val="Normal"/>
    <w:qFormat/>
    <w:rsid w:val="00b36c67"/>
    <w:pPr/>
    <w:rPr/>
  </w:style>
  <w:style w:type="paragraph" w:styleId="Contedodatabela" w:customStyle="1">
    <w:name w:val="Conteúdo da tabela"/>
    <w:basedOn w:val="Normal"/>
    <w:qFormat/>
    <w:rsid w:val="00ee6299"/>
    <w:pPr>
      <w:widowControl w:val="false"/>
      <w:suppressLineNumbers/>
    </w:pPr>
    <w:rPr/>
  </w:style>
  <w:style w:type="paragraph" w:styleId="Ttulodetabela" w:customStyle="1">
    <w:name w:val="Título de tabela"/>
    <w:basedOn w:val="Contedodatabela"/>
    <w:qFormat/>
    <w:rsid w:val="00ee6299"/>
    <w:pPr>
      <w:jc w:val="center"/>
    </w:pPr>
    <w:rPr>
      <w:b/>
      <w:bCs/>
    </w:rPr>
  </w:style>
  <w:style w:type="paragraph" w:styleId="Western" w:customStyle="1">
    <w:name w:val="western"/>
    <w:basedOn w:val="Normal"/>
    <w:qFormat/>
    <w:rsid w:val="00ee6299"/>
    <w:pPr>
      <w:spacing w:before="280" w:after="119"/>
    </w:pPr>
    <w:rPr>
      <w:rFonts w:ascii="Times New Roman" w:hAnsi="Times New Roman" w:cs="Times New Roman"/>
      <w:color w:val="00000A"/>
      <w:sz w:val="24"/>
    </w:rPr>
  </w:style>
  <w:style w:type="paragraph" w:styleId="Nvel01SemNumerao" w:customStyle="1">
    <w:name w:val="Nível 01-Sem Numeração"/>
    <w:basedOn w:val="Normal"/>
    <w:autoRedefine/>
    <w:uiPriority w:val="1"/>
    <w:qFormat/>
    <w:rsid w:val="00c95dde"/>
    <w:pPr>
      <w:keepNext w:val="true"/>
      <w:keepLines/>
      <w:suppressAutoHyphens w:val="false"/>
      <w:spacing w:lineRule="auto" w:line="276"/>
      <w:jc w:val="both"/>
      <w:outlineLvl w:val="1"/>
    </w:pPr>
    <w:rPr>
      <w:rFonts w:ascii="Calibri" w:hAnsi="Calibri" w:eastAsia="" w:cs="Calibri" w:eastAsiaTheme="majorEastAsia"/>
      <w:b/>
      <w:bCs/>
      <w:sz w:val="24"/>
    </w:rPr>
  </w:style>
  <w:style w:type="paragraph" w:styleId="Nvel2Red" w:customStyle="1">
    <w:name w:val="Nível 2 -Red"/>
    <w:basedOn w:val="Nivel2"/>
    <w:autoRedefine/>
    <w:qFormat/>
    <w:rsid w:val="00bc6c7c"/>
    <w:pPr>
      <w:widowControl/>
      <w:suppressAutoHyphens w:val="false"/>
      <w:bidi w:val="0"/>
      <w:spacing w:lineRule="auto" w:line="276" w:before="0" w:after="0"/>
      <w:ind w:left="0" w:right="0" w:hanging="0"/>
      <w:jc w:val="both"/>
    </w:pPr>
    <w:rPr>
      <w:rFonts w:ascii="Calibri" w:hAnsi="Calibri" w:eastAsia="Arial" w:cs="Calibri"/>
      <w:bCs/>
      <w:sz w:val="24"/>
      <w:lang w:eastAsia="en-US"/>
    </w:rPr>
  </w:style>
  <w:style w:type="paragraph" w:styleId="Notaexplicativa" w:customStyle="1">
    <w:name w:val="Nota explicativa"/>
    <w:basedOn w:val="Quote"/>
    <w:link w:val="NotaexplicativaChar"/>
    <w:qFormat/>
    <w:rsid w:val="003655c7"/>
    <w:pPr>
      <w:suppressAutoHyphens w:val="false"/>
    </w:pPr>
    <w:rPr>
      <w:rFonts w:cs="Tahoma"/>
      <w:szCs w:val="20"/>
    </w:rPr>
  </w:style>
  <w:style w:type="paragraph" w:styleId="Nvel1SemNum" w:customStyle="1">
    <w:name w:val="Nível 1-Sem Num"/>
    <w:basedOn w:val="Nivel01"/>
    <w:autoRedefine/>
    <w:qFormat/>
    <w:rsid w:val="009c7b4c"/>
    <w:pPr>
      <w:tabs>
        <w:tab w:val="clear" w:pos="720"/>
        <w:tab w:val="left" w:pos="567" w:leader="none"/>
      </w:tabs>
      <w:suppressAutoHyphens w:val="false"/>
      <w:spacing w:before="0" w:after="0"/>
      <w:ind w:left="0" w:right="0" w:hanging="0"/>
      <w:outlineLvl w:val="1"/>
    </w:pPr>
    <w:rPr>
      <w:rFonts w:ascii="Calibri" w:hAnsi="Calibri" w:cs="Calibri"/>
      <w:color w:val="auto"/>
      <w:sz w:val="24"/>
      <w:szCs w:val="24"/>
    </w:rPr>
  </w:style>
  <w:style w:type="paragraph" w:styleId="Nivel01Titulo" w:customStyle="1">
    <w:name w:val="Nivel_01_Titulo"/>
    <w:basedOn w:val="Nivel01"/>
    <w:link w:val="Nivel01TituloChar"/>
    <w:qFormat/>
    <w:rsid w:val="00126b0b"/>
    <w:pPr>
      <w:tabs>
        <w:tab w:val="clear" w:pos="720"/>
        <w:tab w:val="left" w:pos="567" w:leader="none"/>
      </w:tabs>
      <w:suppressAutoHyphens w:val="false"/>
      <w:spacing w:before="240" w:after="120"/>
      <w:ind w:left="0" w:right="0" w:hanging="0"/>
      <w:jc w:val="left"/>
      <w:outlineLvl w:val="0"/>
    </w:pPr>
    <w:rPr>
      <w:color w:val="000000" w:themeColor="text1"/>
      <w:spacing w:val="5"/>
      <w:kern w:val="2"/>
      <w:sz w:val="52"/>
      <w:szCs w:val="52"/>
    </w:rPr>
  </w:style>
  <w:style w:type="paragraph" w:styleId="Normal1" w:customStyle="1">
    <w:name w:val="Normal_1"/>
    <w:qFormat/>
    <w:rsid w:val="002b25cb"/>
    <w:pPr>
      <w:widowControl/>
      <w:suppressAutoHyphens w:val="fals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Nvel3R" w:customStyle="1">
    <w:name w:val="Nível 3-R"/>
    <w:basedOn w:val="Nivel3"/>
    <w:autoRedefine/>
    <w:qFormat/>
    <w:rsid w:val="007a37af"/>
    <w:pPr>
      <w:tabs>
        <w:tab w:val="clear" w:pos="720"/>
        <w:tab w:val="left" w:pos="0" w:leader="none"/>
      </w:tabs>
      <w:suppressAutoHyphens w:val="false"/>
      <w:spacing w:before="0" w:after="0"/>
      <w:ind w:left="0" w:firstLine="709"/>
    </w:pPr>
    <w:rPr>
      <w:rFonts w:ascii="Calibri" w:hAnsi="Calibri" w:eastAsia="" w:cs="Calibri" w:eastAsiaTheme="minorEastAsia"/>
      <w:iCs/>
      <w:color w:val="auto"/>
      <w:sz w:val="24"/>
      <w:szCs w:val="24"/>
    </w:rPr>
  </w:style>
  <w:style w:type="paragraph" w:styleId="Parag">
    <w:name w:val="Parag"/>
    <w:basedOn w:val="Normal"/>
    <w:qFormat/>
    <w:pPr>
      <w:spacing w:lineRule="auto" w:line="252" w:before="0" w:after="160"/>
      <w:ind w:left="0" w:right="0" w:firstLine="1134"/>
      <w:jc w:val="both"/>
      <w:textAlignment w:val="baseline"/>
    </w:pPr>
    <w:rPr>
      <w:rFonts w:ascii="Calibri" w:hAnsi="Calibri" w:eastAsia="Calibri" w:cs="Tahoma"/>
      <w:sz w:val="22"/>
      <w:szCs w:val="22"/>
    </w:rPr>
  </w:style>
  <w:style w:type="numbering" w:styleId="NoList" w:default="1">
    <w:name w:val="No List"/>
    <w:uiPriority w:val="99"/>
    <w:semiHidden/>
    <w:unhideWhenUsed/>
    <w:qFormat/>
  </w:style>
  <w:style w:type="numbering" w:styleId="Estilo5" w:customStyle="1">
    <w:name w:val="Estilo5"/>
    <w:uiPriority w:val="99"/>
    <w:qFormat/>
    <w:rsid w:val="002b25cb"/>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styleId="Tabelacomgrade">
    <w:name w:val="Table Grid"/>
    <w:basedOn w:val="Tabelanormal"/>
    <w:uiPriority w:val="39"/>
    <w:rsid w:val="0085196b"/>
    <w:rPr>
      <w:rFonts w:eastAsiaTheme="minorEastAsia"/>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yperlink" Target="https://www.marinha.mil.br/sspm/csm-quadro-medicos/quadro-medicos_princ" TargetMode="External"/><Relationship Id="rId7" Type="http://schemas.openxmlformats.org/officeDocument/2006/relationships/hyperlink" Target="https://www.marinha.mil.br/sspm/?q=csm/a-cms-quadro-medicos-edital" TargetMode="External"/><Relationship Id="rId8" Type="http://schemas.openxmlformats.org/officeDocument/2006/relationships/image" Target="media/image2.png"/><Relationship Id="rId9" Type="http://schemas.openxmlformats.org/officeDocument/2006/relationships/image" Target="media/image2.png"/><Relationship Id="rId10" Type="http://schemas.openxmlformats.org/officeDocument/2006/relationships/image" Target="media/image2.png"/><Relationship Id="rId11" Type="http://schemas.openxmlformats.org/officeDocument/2006/relationships/image" Target="media/image2.png"/><Relationship Id="rId12" Type="http://schemas.openxmlformats.org/officeDocument/2006/relationships/image" Target="media/image2.png"/><Relationship Id="rId13" Type="http://schemas.openxmlformats.org/officeDocument/2006/relationships/image" Target="media/image2.png"/><Relationship Id="rId14" Type="http://schemas.openxmlformats.org/officeDocument/2006/relationships/image" Target="media/image2.png"/><Relationship Id="rId15" Type="http://schemas.openxmlformats.org/officeDocument/2006/relationships/image" Target="media/image2.png"/><Relationship Id="rId16" Type="http://schemas.openxmlformats.org/officeDocument/2006/relationships/image" Target="media/image2.png"/><Relationship Id="rId17" Type="http://schemas.openxmlformats.org/officeDocument/2006/relationships/image" Target="media/image2.png"/><Relationship Id="rId18" Type="http://schemas.openxmlformats.org/officeDocument/2006/relationships/image" Target="media/image2.png"/><Relationship Id="rId19" Type="http://schemas.openxmlformats.org/officeDocument/2006/relationships/image" Target="media/image2.png"/><Relationship Id="rId20" Type="http://schemas.openxmlformats.org/officeDocument/2006/relationships/hyperlink" Target="https://www.gov.br/compras/pt-br/acesso-a-informacao/legislacao/instrucoes-normativas/instrucao-normativa-seges-me-no-77-de-4-de-novembro-de-2022" TargetMode="External"/><Relationship Id="rId21" Type="http://schemas.openxmlformats.org/officeDocument/2006/relationships/image" Target="media/image2.png"/><Relationship Id="rId22" Type="http://schemas.openxmlformats.org/officeDocument/2006/relationships/hyperlink" Target="http://www.planalto.gov.br/ccivil_03/AGU/Pareceres/2019-2022/PRC-JL-01-2020.htm" TargetMode="External"/><Relationship Id="rId23" Type="http://schemas.openxmlformats.org/officeDocument/2006/relationships/image" Target="media/image2.png"/><Relationship Id="rId24" Type="http://schemas.openxmlformats.org/officeDocument/2006/relationships/header" Target="header2.xml"/><Relationship Id="rId25" Type="http://schemas.openxmlformats.org/officeDocument/2006/relationships/footer" Target="footer2.xml"/><Relationship Id="rId26" Type="http://schemas.openxmlformats.org/officeDocument/2006/relationships/numbering" Target="numbering.xml"/><Relationship Id="rId27" Type="http://schemas.openxmlformats.org/officeDocument/2006/relationships/fontTable" Target="fontTable.xml"/><Relationship Id="rId28" Type="http://schemas.openxmlformats.org/officeDocument/2006/relationships/settings" Target="settings.xml"/><Relationship Id="rId29" Type="http://schemas.openxmlformats.org/officeDocument/2006/relationships/theme" Target="theme/theme1.xml"/><Relationship Id="rId30" Type="http://schemas.openxmlformats.org/officeDocument/2006/relationships/customXml" Target="../customXml/item1.xml"/><Relationship Id="rId31" Type="http://schemas.openxmlformats.org/officeDocument/2006/relationships/customXml" Target="../customXml/item2.xml"/><Relationship Id="rId32" Type="http://schemas.openxmlformats.org/officeDocument/2006/relationships/customXml" Target="../customXml/item3.xml"/><Relationship Id="rId33" Type="http://schemas.openxmlformats.org/officeDocument/2006/relationships/customXml" Target="../customXml/item4.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50AF8D-FA7F-4421-83F2-1DEE7390EB09}">
  <ds:schemaRefs>
    <ds:schemaRef ds:uri="http://schemas.microsoft.com/sharepoint/v3/contenttype/forms"/>
  </ds:schemaRefs>
</ds:datastoreItem>
</file>

<file path=customXml/itemProps2.xml><?xml version="1.0" encoding="utf-8"?>
<ds:datastoreItem xmlns:ds="http://schemas.openxmlformats.org/officeDocument/2006/customXml" ds:itemID="{30C62F13-4153-4ABE-B8D6-EA6748462646}">
  <ds:schemaRefs>
    <ds:schemaRef ds:uri="http://schemas.openxmlformats.org/officeDocument/2006/bibliography"/>
  </ds:schemaRefs>
</ds:datastoreItem>
</file>

<file path=customXml/itemProps3.xml><?xml version="1.0" encoding="utf-8"?>
<ds:datastoreItem xmlns:ds="http://schemas.openxmlformats.org/officeDocument/2006/customXml" ds:itemID="{95B6A0C5-2230-4911-B334-8B1FF6D7A0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0ED5EA-B1F6-495E-8F62-059CE9401A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522</TotalTime>
  <Application>LibreOffice/7.2.1.2$Windows_X86_64 LibreOffice_project/87b77fad49947c1441b67c559c339af8f3517e22</Application>
  <AppVersion>15.0000</AppVersion>
  <Pages>31</Pages>
  <Words>11721</Words>
  <Characters>67502</Characters>
  <CharactersWithSpaces>78444</CharactersWithSpaces>
  <Paragraphs>833</Paragraphs>
  <Company>EDUARDO DOTTI</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2024-08-06T03:56:00Z</dcterms:created>
  <dc:creator>Adriano</dc:creator>
  <dc:description/>
  <dc:language>pt-BR</dc:language>
  <cp:lastModifiedBy/>
  <cp:lastPrinted>2024-10-23T18:18:51Z</cp:lastPrinted>
  <dcterms:modified xsi:type="dcterms:W3CDTF">2025-03-20T15:39:13Z</dcterms:modified>
  <cp:revision>18</cp:revision>
  <dc:subject/>
  <dc:title>NOTAS EXPLICATIVAS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