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2.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header2.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_rels/.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_rels/item4.xml.rels" ContentType="application/vnd.openxmlformats-package.relationships+xml"/>
  <Override PartName="/customXml/_rels/item3.xml.rels" ContentType="application/vnd.openxmlformats-package.relationships+xml"/>
  <Override PartName="/customXml/_rels/item2.xml.rels" ContentType="application/vnd.openxmlformats-package.relationships+xml"/>
  <Override PartName="/customXml/_rels/item1.xml.rels" ContentType="application/vnd.openxmlformats-package.relationships+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rPr>
          <w:rFonts w:cs="Arial"/>
          <w:b/>
          <w:b/>
          <w:bCs/>
          <w:i/>
          <w:i/>
          <w:iCs/>
          <w:color w:val="FF0000"/>
          <w:szCs w:val="18"/>
        </w:rPr>
      </w:pPr>
      <w:r>
        <w:rPr>
          <w:rFonts w:cs="Arial"/>
          <w:color w:val="5B5B5F"/>
          <w:sz w:val="36"/>
          <w:szCs w:val="36"/>
        </w:rPr>
        <w:t>Aviso de</w:t>
      </w:r>
      <w:r>
        <w:rPr>
          <w:rFonts w:cs="Arial"/>
          <w:color w:val="FF0000"/>
          <w:szCs w:val="18"/>
        </w:rPr>
        <w:t xml:space="preserve"> </w:t>
      </w:r>
    </w:p>
    <w:p>
      <w:pPr>
        <w:pStyle w:val="Normal"/>
        <w:rPr>
          <w:rFonts w:cs="Arial"/>
          <w:color w:val="405CA1"/>
          <w:sz w:val="56"/>
          <w:szCs w:val="56"/>
        </w:rPr>
      </w:pPr>
      <w:r>
        <w:rPr>
          <w:rFonts w:cs="Arial"/>
          <w:color w:val="405CA1"/>
          <w:sz w:val="56"/>
          <w:szCs w:val="56"/>
        </w:rPr>
        <w:t>CONTRATAÇÃO</w:t>
      </w:r>
    </w:p>
    <w:p>
      <w:pPr>
        <w:pStyle w:val="Normal"/>
        <w:rPr>
          <w:rFonts w:cs="Arial"/>
          <w:color w:val="405CA1"/>
          <w:sz w:val="56"/>
          <w:szCs w:val="56"/>
        </w:rPr>
      </w:pPr>
      <w:r>
        <w:rPr>
          <w:rFonts w:cs="Arial"/>
          <w:color w:val="405CA1"/>
          <w:sz w:val="56"/>
          <w:szCs w:val="56"/>
        </w:rPr>
        <w:t>DIRETA</w:t>
      </w:r>
    </w:p>
    <w:p>
      <w:pPr>
        <w:pStyle w:val="Normal"/>
        <w:rPr>
          <w:rFonts w:cs="Arial"/>
          <w:b/>
          <w:b/>
          <w:bCs/>
          <w:color w:val="5B5B5F"/>
          <w:sz w:val="28"/>
          <w:szCs w:val="28"/>
        </w:rPr>
      </w:pPr>
      <w:r>
        <w:rPr>
          <w:rFonts w:cs="Arial"/>
          <w:bCs/>
          <w:color w:val="5B5B5F"/>
          <w:sz w:val="28"/>
          <w:szCs w:val="28"/>
        </w:rPr>
        <w:t>055/2024</w:t>
      </w:r>
    </w:p>
    <w:p>
      <w:pPr>
        <w:pStyle w:val="Normal"/>
        <w:spacing w:lineRule="auto" w:line="259"/>
        <w:rPr>
          <w:rFonts w:cs="Arial"/>
          <w:b/>
          <w:b/>
          <w:bCs/>
          <w:color w:val="405CA1"/>
          <w:sz w:val="32"/>
          <w:szCs w:val="32"/>
        </w:rPr>
      </w:pPr>
      <w:r>
        <w:rPr>
          <w:rFonts w:cs="Arial"/>
          <w:b/>
          <w:bCs/>
          <w:color w:val="405CA1"/>
          <w:sz w:val="32"/>
          <w:szCs w:val="32"/>
        </w:rPr>
      </w:r>
    </w:p>
    <w:p>
      <w:pPr>
        <w:pStyle w:val="Normal"/>
        <w:spacing w:lineRule="auto" w:line="259"/>
        <w:rPr>
          <w:rFonts w:cs="Arial"/>
          <w:b/>
          <w:b/>
          <w:bCs/>
          <w:color w:val="405CA1"/>
          <w:sz w:val="32"/>
          <w:szCs w:val="32"/>
        </w:rPr>
      </w:pPr>
      <w:r>
        <w:rPr>
          <w:rFonts w:cs="Arial"/>
          <w:b/>
          <w:bCs/>
          <w:color w:val="405CA1"/>
          <w:sz w:val="32"/>
          <w:szCs w:val="32"/>
        </w:rPr>
        <w:t>CONTRATANTE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
          <w:bCs/>
          <w:color w:val="405CA1"/>
          <w:sz w:val="32"/>
          <w:szCs w:val="32"/>
        </w:rPr>
      </w:pPr>
      <w:r>
        <w:rPr>
          <w:rFonts w:cs="Arial"/>
          <w:b/>
          <w:bCs/>
          <w:color w:val="405CA1"/>
          <w:sz w:val="32"/>
          <w:szCs w:val="32"/>
        </w:rPr>
      </w:r>
    </w:p>
    <w:p>
      <w:pPr>
        <w:pStyle w:val="Normal"/>
        <w:rPr>
          <w:rFonts w:cs="Arial"/>
          <w:b/>
          <w:b/>
          <w:bCs/>
          <w:color w:val="5B5B5F"/>
          <w:szCs w:val="20"/>
        </w:rPr>
      </w:pPr>
      <w:r>
        <w:rPr>
          <w:rFonts w:cs="Arial"/>
          <w:b/>
          <w:bCs/>
          <w:color w:val="405CA1"/>
          <w:sz w:val="32"/>
          <w:szCs w:val="32"/>
        </w:rPr>
        <w:t>OBJETO</w:t>
      </w:r>
    </w:p>
    <w:p>
      <w:pPr>
        <w:pStyle w:val="Normal"/>
        <w:jc w:val="both"/>
        <w:rPr>
          <w:color w:themeColor="text1" w:themeTint="a6"/>
          <w:highlight w:val="white"/>
        </w:rPr>
      </w:pPr>
      <w:r>
        <w:rPr>
          <w:rFonts w:cs="Arial"/>
          <w:color w:val="595959" w:themeColor="text1" w:themeTint="a6"/>
          <w:sz w:val="28"/>
          <w:szCs w:val="28"/>
          <w:highlight w:val="white"/>
        </w:rPr>
        <w:t>AQUISIÇÃO DE ITENS PARA O FUNCIONAMENTO DA POLICLÍNICA NAVAL NOSSA SENHORA DA GLÓRIA</w:t>
      </w:r>
    </w:p>
    <w:p>
      <w:pPr>
        <w:pStyle w:val="Normal"/>
        <w:rPr>
          <w:rFonts w:cs="Arial"/>
          <w:color w:val="5B5B5F"/>
          <w:sz w:val="28"/>
          <w:szCs w:val="28"/>
        </w:rPr>
      </w:pPr>
      <w:r>
        <w:rPr>
          <w:rFonts w:cs="Arial"/>
          <w:color w:val="5B5B5F"/>
          <w:sz w:val="28"/>
          <w:szCs w:val="28"/>
        </w:rPr>
      </w:r>
    </w:p>
    <w:p>
      <w:pPr>
        <w:pStyle w:val="Normal"/>
        <w:rPr>
          <w:rFonts w:cs="Arial"/>
          <w:b/>
          <w:b/>
          <w:bCs/>
          <w:color w:val="405CA1"/>
          <w:sz w:val="32"/>
          <w:szCs w:val="32"/>
        </w:rPr>
      </w:pPr>
      <w:r>
        <w:rPr>
          <w:rFonts w:cs="Arial"/>
          <w:b/>
          <w:bCs/>
          <w:color w:val="405CA1"/>
          <w:sz w:val="32"/>
          <w:szCs w:val="32"/>
        </w:rPr>
        <w:t>VALOR TOTAL DA CONTRATAÇÃO</w:t>
      </w:r>
    </w:p>
    <w:p>
      <w:pPr>
        <w:pStyle w:val="Normal"/>
        <w:rPr>
          <w:rFonts w:cs="Arial"/>
          <w:b/>
          <w:b/>
          <w:bCs/>
          <w:color w:val="5B5B5F"/>
          <w:sz w:val="28"/>
          <w:szCs w:val="28"/>
        </w:rPr>
      </w:pPr>
      <w:r>
        <w:rPr>
          <w:rFonts w:cs="Arial"/>
          <w:b/>
          <w:bCs/>
          <w:color w:val="5B5B5F"/>
          <w:sz w:val="28"/>
          <w:szCs w:val="28"/>
        </w:rPr>
        <w:t xml:space="preserve">R$ </w:t>
      </w:r>
      <w:r>
        <w:rPr>
          <w:rFonts w:cs="Arial"/>
          <w:b/>
          <w:bCs/>
          <w:color w:val="5B5B5F"/>
          <w:sz w:val="28"/>
          <w:szCs w:val="28"/>
        </w:rPr>
        <w:t>43.752,10</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 xml:space="preserve">DATA DA SESSÃO </w:t>
      </w:r>
    </w:p>
    <w:p>
      <w:pPr>
        <w:pStyle w:val="Normal"/>
        <w:rPr>
          <w:b/>
          <w:b/>
          <w:bCs/>
        </w:rPr>
      </w:pPr>
      <w:r>
        <w:rPr>
          <w:rFonts w:cs="Arial"/>
          <w:b/>
          <w:bCs/>
          <w:color w:val="5B5B5F"/>
          <w:sz w:val="28"/>
          <w:szCs w:val="28"/>
        </w:rPr>
        <w:t>De 29/11/2024</w:t>
      </w:r>
    </w:p>
    <w:p>
      <w:pPr>
        <w:pStyle w:val="Normal"/>
        <w:rPr>
          <w:rFonts w:cs="Arial"/>
          <w:color w:val="5B5B5F"/>
          <w:sz w:val="32"/>
          <w:szCs w:val="32"/>
        </w:rPr>
      </w:pPr>
      <w:r>
        <w:rPr>
          <w:rFonts w:cs="Arial"/>
          <w:color w:val="5B5B5F"/>
          <w:sz w:val="32"/>
          <w:szCs w:val="32"/>
        </w:rPr>
      </w:r>
    </w:p>
    <w:p>
      <w:pPr>
        <w:pStyle w:val="Normal"/>
        <w:rPr>
          <w:rFonts w:cs="Arial"/>
          <w:b/>
          <w:b/>
          <w:bCs/>
          <w:color w:val="405CA1"/>
          <w:sz w:val="32"/>
          <w:szCs w:val="32"/>
        </w:rPr>
      </w:pPr>
      <w:r>
        <w:rPr>
          <w:rFonts w:cs="Arial"/>
          <w:b/>
          <w:bCs/>
          <w:color w:val="405CA1"/>
          <w:sz w:val="32"/>
          <w:szCs w:val="32"/>
        </w:rPr>
        <w:t>HORÁRIO DA FASE DE LANCES</w:t>
      </w:r>
    </w:p>
    <w:p>
      <w:pPr>
        <w:pStyle w:val="Normal"/>
        <w:rPr>
          <w:rFonts w:cs="Arial"/>
          <w:color w:val="5B5B5F"/>
          <w:sz w:val="28"/>
          <w:szCs w:val="28"/>
        </w:rPr>
      </w:pPr>
      <w:r>
        <w:rPr>
          <w:rFonts w:cs="Arial"/>
          <w:color w:val="5B5B5F"/>
          <w:sz w:val="28"/>
          <w:szCs w:val="28"/>
        </w:rPr>
        <w:t>Das 08h até 16h</w:t>
      </w:r>
    </w:p>
    <w:p>
      <w:pPr>
        <w:pStyle w:val="Normal"/>
        <w:rPr>
          <w:rFonts w:cs="Arial"/>
          <w:b/>
          <w:b/>
          <w:bCs/>
          <w:color w:val="405CA1"/>
          <w:sz w:val="32"/>
          <w:szCs w:val="32"/>
        </w:rPr>
      </w:pPr>
      <w:r>
        <w:rPr>
          <w:rFonts w:cs="Arial"/>
          <w:b/>
          <w:bCs/>
          <w:color w:val="405CA1"/>
          <w:sz w:val="32"/>
          <w:szCs w:val="32"/>
        </w:rPr>
      </w:r>
    </w:p>
    <w:p>
      <w:pPr>
        <w:pStyle w:val="Normal"/>
        <w:suppressAutoHyphens w:val="false"/>
        <w:spacing w:lineRule="auto" w:line="259" w:before="0" w:after="160"/>
        <w:rPr>
          <w:rFonts w:cs="Arial"/>
          <w:b/>
          <w:b/>
          <w:bCs/>
          <w:color w:val="405CA1"/>
          <w:sz w:val="32"/>
          <w:szCs w:val="32"/>
        </w:rPr>
      </w:pPr>
      <w:r>
        <w:rPr>
          <w:rFonts w:cs="Arial"/>
          <w:b/>
          <w:bCs/>
          <w:color w:val="405CA1"/>
          <w:sz w:val="32"/>
          <w:szCs w:val="32"/>
        </w:rPr>
        <w:t>CRITÉRIO DE JULGAMENTO:</w:t>
      </w:r>
    </w:p>
    <w:p>
      <w:pPr>
        <w:pStyle w:val="Normal"/>
        <w:suppressAutoHyphens w:val="false"/>
        <w:spacing w:lineRule="auto" w:line="259" w:before="0" w:after="160"/>
        <w:rPr>
          <w:rFonts w:cs="Arial"/>
          <w:b/>
          <w:b/>
          <w:bCs/>
          <w:color w:val="405CA1"/>
          <w:sz w:val="32"/>
          <w:szCs w:val="32"/>
        </w:rPr>
      </w:pPr>
      <w:r>
        <w:rPr>
          <w:rFonts w:cs="Arial"/>
          <w:b/>
          <w:bCs/>
          <w:color w:val="405CA1"/>
          <w:sz w:val="32"/>
          <w:szCs w:val="32"/>
        </w:rPr>
        <w:t>menor preço por item</w:t>
      </w:r>
    </w:p>
    <w:p>
      <w:pPr>
        <w:pStyle w:val="Normal"/>
        <w:suppressAutoHyphens w:val="false"/>
        <w:spacing w:lineRule="auto" w:line="259" w:before="0" w:after="160"/>
        <w:rPr>
          <w:rFonts w:cs="Arial"/>
          <w:b/>
          <w:b/>
          <w:bCs/>
          <w:color w:val="405CA1"/>
          <w:sz w:val="32"/>
          <w:szCs w:val="32"/>
        </w:rPr>
      </w:pPr>
      <w:r>
        <w:rPr>
          <w:rFonts w:cs="Arial"/>
          <w:b/>
          <w:bCs/>
          <w:color w:val="405CA1"/>
          <w:sz w:val="32"/>
          <w:szCs w:val="32"/>
        </w:rPr>
        <w:t>PREFERÊNCIA ME/EPP/EQUIPARADAS</w:t>
        <w:br/>
      </w:r>
      <w:r>
        <w:rPr>
          <w:rFonts w:cs="Arial"/>
          <w:b/>
          <w:bCs/>
          <w:color w:val="5B5B5F"/>
          <w:sz w:val="28"/>
          <w:szCs w:val="28"/>
        </w:rPr>
        <w:t>SIM</w:t>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r>
        <w:br w:type="page"/>
      </w:r>
    </w:p>
    <w:p>
      <w:pPr>
        <w:pStyle w:val="Normal"/>
        <w:spacing w:lineRule="auto" w:line="276"/>
        <w:jc w:val="center"/>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p>
    <w:sdt>
      <w:sdtPr>
        <w:docPartObj>
          <w:docPartGallery w:val="Table of Contents"/>
          <w:docPartUnique w:val="true"/>
        </w:docPartObj>
      </w:sdtPr>
      <w:sdtContent>
        <w:p>
          <w:pPr>
            <w:pStyle w:val="Ttulodosumrio"/>
            <w:ind w:left="0" w:firstLine="567"/>
            <w:rPr/>
          </w:pPr>
          <w:r>
            <w:rPr/>
            <w:t>Sumário</w:t>
          </w:r>
        </w:p>
        <w:p>
          <w:pPr>
            <w:pStyle w:val="Sumrio1"/>
            <w:rPr/>
          </w:pPr>
          <w:r>
            <w:fldChar w:fldCharType="begin"/>
          </w:r>
          <w:r>
            <w:rPr>
              <w:webHidden/>
              <w:rStyle w:val="Vnculodendice"/>
              <w:vanish w:val="false"/>
              <w:rFonts w:eastAsia="Arial Unicode MS"/>
              <w:color w:val="auto"/>
              <w:lang w:bidi="hi-IN"/>
            </w:rPr>
            <w:instrText xml:space="preserve"> TOC \z \o "1-3" \u \h</w:instrText>
          </w:r>
          <w:r>
            <w:rPr>
              <w:webHidden/>
              <w:rStyle w:val="Vnculodendice"/>
              <w:vanish w:val="false"/>
              <w:rFonts w:eastAsia="Arial Unicode MS"/>
              <w:color w:val="auto"/>
              <w:lang w:bidi="hi-IN"/>
            </w:rPr>
            <w:fldChar w:fldCharType="separate"/>
          </w:r>
          <w:hyperlink w:anchor="_Toc142925860">
            <w:r>
              <w:rPr>
                <w:webHidden/>
                <w:rStyle w:val="Vnculodendice"/>
                <w:rFonts w:eastAsia="Arial Unicode MS"/>
                <w:vanish w:val="false"/>
                <w:color w:val="auto"/>
                <w:lang w:bidi="hi-IN"/>
              </w:rPr>
              <w:t>1.</w:t>
            </w:r>
            <w:r>
              <w:rPr>
                <w:rStyle w:val="Vnculodendice"/>
                <w:rFonts w:eastAsia="" w:cs="" w:ascii="Calibri" w:hAnsi="Calibri" w:asciiTheme="minorHAnsi" w:cstheme="minorBidi" w:eastAsiaTheme="minorEastAsia" w:hAnsiTheme="minorHAnsi"/>
                <w:sz w:val="22"/>
                <w:szCs w:val="22"/>
              </w:rPr>
              <w:tab/>
            </w:r>
            <w:r>
              <w:rPr>
                <w:rStyle w:val="Vnculodendice"/>
                <w:rFonts w:eastAsia="Arial Unicode MS"/>
                <w:color w:val="auto"/>
                <w:lang w:bidi="hi-IN"/>
              </w:rPr>
              <w:t>OBJETO DA CONTRATAÇÃO DIRETA</w:t>
            </w:r>
            <w:r>
              <w:rPr>
                <w:webHidden/>
              </w:rPr>
              <w:fldChar w:fldCharType="begin"/>
            </w:r>
            <w:r>
              <w:rPr>
                <w:webHidden/>
              </w:rPr>
              <w:instrText xml:space="preserve">PAGEREF _Toc142925860 \h</w:instrText>
            </w:r>
            <w:r>
              <w:rPr>
                <w:webHidden/>
              </w:rPr>
              <w:fldChar w:fldCharType="separate"/>
            </w:r>
            <w:r>
              <w:rPr>
                <w:rStyle w:val="Vnculodendice"/>
                <w:vanish w:val="false"/>
              </w:rPr>
              <w:tab/>
              <w:t>4</w:t>
            </w:r>
            <w:r>
              <w:rPr>
                <w:webHidden/>
              </w:rPr>
              <w:fldChar w:fldCharType="end"/>
            </w:r>
          </w:hyperlink>
        </w:p>
        <w:p>
          <w:pPr>
            <w:pStyle w:val="Sumrio1"/>
            <w:rPr/>
          </w:pPr>
          <w:hyperlink w:anchor="_Toc142925861">
            <w:r>
              <w:rPr>
                <w:webHidden/>
                <w:rStyle w:val="Vnculodendice"/>
                <w:rFonts w:eastAsia="Arial Unicode MS"/>
                <w:vanish w:val="false"/>
                <w:color w:val="auto"/>
                <w:lang w:bidi="hi-IN"/>
              </w:rPr>
              <w:t>2.</w:t>
            </w:r>
            <w:r>
              <w:rPr>
                <w:rStyle w:val="Vnculodendice"/>
                <w:rFonts w:eastAsia="" w:cs="" w:ascii="Calibri" w:hAnsi="Calibri" w:asciiTheme="minorHAnsi" w:cstheme="minorBidi" w:eastAsiaTheme="minorEastAsia" w:hAnsiTheme="minorHAnsi"/>
                <w:sz w:val="22"/>
                <w:szCs w:val="22"/>
              </w:rPr>
              <w:tab/>
            </w:r>
            <w:r>
              <w:rPr>
                <w:rStyle w:val="Vnculodendice"/>
                <w:rFonts w:eastAsia="Arial Unicode MS"/>
                <w:color w:val="auto"/>
                <w:highlight w:val="cyan"/>
                <w:lang w:bidi="hi-IN"/>
              </w:rPr>
              <w:t>REGISTRO DE PREÇOS</w:t>
            </w:r>
            <w:r>
              <w:rPr>
                <w:rStyle w:val="Vnculodendice"/>
                <w:rFonts w:eastAsia="Arial Unicode MS"/>
                <w:color w:val="auto"/>
                <w:lang w:bidi="hi-IN"/>
              </w:rPr>
              <w:t xml:space="preserve"> </w:t>
            </w:r>
            <w:r>
              <w:rPr>
                <w:webHidden/>
              </w:rPr>
              <w:fldChar w:fldCharType="begin"/>
            </w:r>
            <w:r>
              <w:rPr>
                <w:webHidden/>
              </w:rPr>
              <w:instrText xml:space="preserve">PAGEREF _Toc142925861 \h</w:instrText>
            </w:r>
            <w:r>
              <w:rPr>
                <w:webHidden/>
              </w:rPr>
              <w:fldChar w:fldCharType="separate"/>
            </w:r>
            <w:r>
              <w:rPr>
                <w:rStyle w:val="Vnculodendice"/>
                <w:vanish w:val="false"/>
              </w:rPr>
              <w:tab/>
              <w:t>5</w:t>
            </w:r>
            <w:r>
              <w:rPr>
                <w:webHidden/>
              </w:rPr>
              <w:fldChar w:fldCharType="end"/>
            </w:r>
          </w:hyperlink>
        </w:p>
        <w:p>
          <w:pPr>
            <w:pStyle w:val="Sumrio1"/>
            <w:rPr/>
          </w:pPr>
          <w:hyperlink w:anchor="_Toc142925862">
            <w:r>
              <w:rPr>
                <w:webHidden/>
                <w:rStyle w:val="Vnculodendice"/>
                <w:rFonts w:eastAsia="Arial Unicode MS"/>
                <w:vanish w:val="false"/>
                <w:color w:val="auto"/>
                <w:lang w:bidi="hi-IN"/>
              </w:rPr>
              <w:t>3.</w:t>
            </w:r>
            <w:r>
              <w:rPr>
                <w:rStyle w:val="Vnculodendice"/>
                <w:rFonts w:eastAsia="" w:cs="" w:ascii="Calibri" w:hAnsi="Calibri" w:asciiTheme="minorHAnsi" w:cstheme="minorBidi" w:eastAsiaTheme="minorEastAsia" w:hAnsiTheme="minorHAnsi"/>
                <w:sz w:val="22"/>
                <w:szCs w:val="22"/>
              </w:rPr>
              <w:tab/>
            </w:r>
            <w:r>
              <w:rPr>
                <w:rStyle w:val="Vnculodendice"/>
                <w:rFonts w:eastAsia="Arial Unicode MS"/>
                <w:color w:val="auto"/>
                <w:lang w:bidi="hi-IN"/>
              </w:rPr>
              <w:t>PARTICIPAÇÃO NA DISPENSA ELETRÔNICA.</w:t>
            </w:r>
            <w:r>
              <w:rPr>
                <w:webHidden/>
              </w:rPr>
              <w:fldChar w:fldCharType="begin"/>
            </w:r>
            <w:r>
              <w:rPr>
                <w:webHidden/>
              </w:rPr>
              <w:instrText xml:space="preserve">PAGEREF _Toc142925862 \h</w:instrText>
            </w:r>
            <w:r>
              <w:rPr>
                <w:webHidden/>
              </w:rPr>
              <w:fldChar w:fldCharType="separate"/>
            </w:r>
            <w:r>
              <w:rPr>
                <w:rStyle w:val="Vnculodendice"/>
                <w:vanish w:val="false"/>
              </w:rPr>
              <w:tab/>
              <w:t>5</w:t>
            </w:r>
            <w:r>
              <w:rPr>
                <w:webHidden/>
              </w:rPr>
              <w:fldChar w:fldCharType="end"/>
            </w:r>
          </w:hyperlink>
        </w:p>
        <w:p>
          <w:pPr>
            <w:pStyle w:val="Sumrio1"/>
            <w:rPr/>
          </w:pPr>
          <w:hyperlink w:anchor="_Toc142925863">
            <w:r>
              <w:rPr>
                <w:webHidden/>
                <w:rStyle w:val="Vnculodendice"/>
                <w:rFonts w:eastAsia="Arial Unicode MS"/>
                <w:vanish w:val="false"/>
                <w:color w:val="auto"/>
                <w:lang w:bidi="hi-IN"/>
              </w:rPr>
              <w:t>4.</w:t>
            </w:r>
            <w:r>
              <w:rPr>
                <w:rStyle w:val="Vnculodendice"/>
                <w:rFonts w:eastAsia="" w:cs="" w:ascii="Calibri" w:hAnsi="Calibri" w:asciiTheme="minorHAnsi" w:cstheme="minorBidi" w:eastAsiaTheme="minorEastAsia" w:hAnsiTheme="minorHAnsi"/>
                <w:sz w:val="22"/>
                <w:szCs w:val="22"/>
              </w:rPr>
              <w:tab/>
            </w:r>
            <w:r>
              <w:rPr>
                <w:rStyle w:val="Vnculodendice"/>
                <w:rFonts w:eastAsia="Arial Unicode MS"/>
                <w:color w:val="auto"/>
                <w:lang w:bidi="hi-IN"/>
              </w:rPr>
              <w:t>INGRESSO NA DISPENSA ELETRÔNICA E CADASTRAMENTO DA PROPOSTA INICIAL</w:t>
            </w:r>
            <w:r>
              <w:rPr>
                <w:webHidden/>
              </w:rPr>
              <w:fldChar w:fldCharType="begin"/>
            </w:r>
            <w:r>
              <w:rPr>
                <w:webHidden/>
              </w:rPr>
              <w:instrText xml:space="preserve">PAGEREF _Toc142925863 \h</w:instrText>
            </w:r>
            <w:r>
              <w:rPr>
                <w:webHidden/>
              </w:rPr>
              <w:fldChar w:fldCharType="separate"/>
            </w:r>
            <w:r>
              <w:rPr>
                <w:rStyle w:val="Vnculodendice"/>
                <w:vanish w:val="false"/>
              </w:rPr>
              <w:tab/>
              <w:t>6</w:t>
            </w:r>
            <w:r>
              <w:rPr>
                <w:webHidden/>
              </w:rPr>
              <w:fldChar w:fldCharType="end"/>
            </w:r>
          </w:hyperlink>
        </w:p>
        <w:p>
          <w:pPr>
            <w:pStyle w:val="Sumrio1"/>
            <w:rPr/>
          </w:pPr>
          <w:hyperlink w:anchor="_Toc142925864">
            <w:r>
              <w:rPr>
                <w:webHidden/>
                <w:rStyle w:val="Vnculodendice"/>
                <w:rFonts w:eastAsia="Arial Unicode MS"/>
                <w:vanish w:val="false"/>
                <w:color w:val="auto"/>
                <w:lang w:bidi="hi-IN"/>
              </w:rPr>
              <w:t>5.</w:t>
            </w:r>
            <w:r>
              <w:rPr>
                <w:rStyle w:val="Vnculodendice"/>
                <w:rFonts w:eastAsia="" w:cs="" w:ascii="Calibri" w:hAnsi="Calibri" w:asciiTheme="minorHAnsi" w:cstheme="minorBidi" w:eastAsiaTheme="minorEastAsia" w:hAnsiTheme="minorHAnsi"/>
                <w:sz w:val="22"/>
                <w:szCs w:val="22"/>
              </w:rPr>
              <w:tab/>
            </w:r>
            <w:r>
              <w:rPr>
                <w:rStyle w:val="Vnculodendice"/>
                <w:rFonts w:eastAsia="Arial Unicode MS"/>
                <w:color w:val="auto"/>
                <w:lang w:bidi="hi-IN"/>
              </w:rPr>
              <w:t>FASE DE LANCES</w:t>
            </w:r>
            <w:r>
              <w:rPr>
                <w:webHidden/>
              </w:rPr>
              <w:fldChar w:fldCharType="begin"/>
            </w:r>
            <w:r>
              <w:rPr>
                <w:webHidden/>
              </w:rPr>
              <w:instrText xml:space="preserve">PAGEREF _Toc142925864 \h</w:instrText>
            </w:r>
            <w:r>
              <w:rPr>
                <w:webHidden/>
              </w:rPr>
              <w:fldChar w:fldCharType="separate"/>
            </w:r>
            <w:r>
              <w:rPr>
                <w:rStyle w:val="Vnculodendice"/>
                <w:vanish w:val="false"/>
              </w:rPr>
              <w:tab/>
              <w:t>8</w:t>
            </w:r>
            <w:r>
              <w:rPr>
                <w:webHidden/>
              </w:rPr>
              <w:fldChar w:fldCharType="end"/>
            </w:r>
          </w:hyperlink>
        </w:p>
        <w:p>
          <w:pPr>
            <w:pStyle w:val="Sumrio1"/>
            <w:rPr/>
          </w:pPr>
          <w:hyperlink w:anchor="_Toc142925865">
            <w:r>
              <w:rPr>
                <w:webHidden/>
                <w:rStyle w:val="Vnculodendice"/>
                <w:rFonts w:eastAsia="Arial Unicode MS"/>
                <w:vanish w:val="false"/>
                <w:color w:val="auto"/>
                <w:lang w:bidi="hi-IN"/>
              </w:rPr>
              <w:t>6.</w:t>
            </w:r>
            <w:r>
              <w:rPr>
                <w:rStyle w:val="Vnculodendice"/>
                <w:rFonts w:eastAsia="" w:cs="" w:ascii="Calibri" w:hAnsi="Calibri" w:asciiTheme="minorHAnsi" w:cstheme="minorBidi" w:eastAsiaTheme="minorEastAsia" w:hAnsiTheme="minorHAnsi"/>
                <w:sz w:val="22"/>
                <w:szCs w:val="22"/>
              </w:rPr>
              <w:tab/>
            </w:r>
            <w:r>
              <w:rPr>
                <w:rStyle w:val="Vnculodendice"/>
              </w:rPr>
              <w:t xml:space="preserve">JULGAMENTO E ACEITAÇÃO DAS PROPOSTAS </w:t>
            </w:r>
            <w:r>
              <w:rPr>
                <w:webHidden/>
              </w:rPr>
              <w:fldChar w:fldCharType="begin"/>
            </w:r>
            <w:r>
              <w:rPr>
                <w:webHidden/>
              </w:rPr>
              <w:instrText xml:space="preserve">PAGEREF _Toc142925865 \h</w:instrText>
            </w:r>
            <w:r>
              <w:rPr>
                <w:webHidden/>
              </w:rPr>
              <w:fldChar w:fldCharType="separate"/>
            </w:r>
            <w:r>
              <w:rPr>
                <w:rStyle w:val="Vnculodendice"/>
                <w:vanish w:val="false"/>
              </w:rPr>
              <w:tab/>
              <w:t>9</w:t>
            </w:r>
            <w:r>
              <w:rPr>
                <w:webHidden/>
              </w:rPr>
              <w:fldChar w:fldCharType="end"/>
            </w:r>
          </w:hyperlink>
        </w:p>
        <w:p>
          <w:pPr>
            <w:pStyle w:val="Sumrio1"/>
            <w:rPr/>
          </w:pPr>
          <w:hyperlink w:anchor="_Toc142925866">
            <w:r>
              <w:rPr>
                <w:webHidden/>
                <w:rStyle w:val="Vnculodendice"/>
                <w:rFonts w:eastAsia="Arial Unicode MS"/>
                <w:vanish w:val="false"/>
                <w:color w:val="auto"/>
                <w:lang w:bidi="hi-IN"/>
              </w:rPr>
              <w:t>7.</w:t>
            </w:r>
            <w:r>
              <w:rPr>
                <w:rStyle w:val="Vnculodendice"/>
                <w:rFonts w:eastAsia="" w:cs="" w:ascii="Calibri" w:hAnsi="Calibri" w:asciiTheme="minorHAnsi" w:cstheme="minorBidi" w:eastAsiaTheme="minorEastAsia" w:hAnsiTheme="minorHAnsi"/>
                <w:sz w:val="22"/>
                <w:szCs w:val="22"/>
              </w:rPr>
              <w:tab/>
            </w:r>
            <w:r>
              <w:rPr>
                <w:rStyle w:val="Vnculodendice"/>
                <w:rFonts w:eastAsia="Arial Unicode MS"/>
                <w:color w:val="auto"/>
                <w:lang w:bidi="hi-IN"/>
              </w:rPr>
              <w:t>HABILITAÇÃO</w:t>
            </w:r>
            <w:r>
              <w:rPr>
                <w:webHidden/>
              </w:rPr>
              <w:fldChar w:fldCharType="begin"/>
            </w:r>
            <w:r>
              <w:rPr>
                <w:webHidden/>
              </w:rPr>
              <w:instrText xml:space="preserve">PAGEREF _Toc142925866 \h</w:instrText>
            </w:r>
            <w:r>
              <w:rPr>
                <w:webHidden/>
              </w:rPr>
              <w:fldChar w:fldCharType="separate"/>
            </w:r>
            <w:r>
              <w:rPr>
                <w:rStyle w:val="Vnculodendice"/>
                <w:vanish w:val="false"/>
              </w:rPr>
              <w:tab/>
              <w:t>10</w:t>
            </w:r>
            <w:r>
              <w:rPr>
                <w:webHidden/>
              </w:rPr>
              <w:fldChar w:fldCharType="end"/>
            </w:r>
          </w:hyperlink>
        </w:p>
        <w:p>
          <w:pPr>
            <w:pStyle w:val="Sumrio1"/>
            <w:rPr/>
          </w:pPr>
          <w:hyperlink w:anchor="_Toc142925867">
            <w:r>
              <w:rPr>
                <w:webHidden/>
                <w:rStyle w:val="Vnculodendice"/>
                <w:rFonts w:eastAsia="Arial Unicode MS"/>
                <w:i/>
                <w:iCs/>
                <w:vanish w:val="false"/>
                <w:color w:val="auto"/>
                <w:highlight w:val="cyan"/>
                <w:lang w:bidi="hi-IN"/>
              </w:rPr>
              <w:t>8.</w:t>
            </w:r>
            <w:r>
              <w:rPr>
                <w:rStyle w:val="Vnculodendice"/>
                <w:rFonts w:eastAsia="" w:cs="" w:ascii="Calibri" w:hAnsi="Calibri" w:asciiTheme="minorHAnsi" w:cstheme="minorBidi" w:eastAsiaTheme="minorEastAsia" w:hAnsiTheme="minorHAnsi"/>
                <w:sz w:val="22"/>
                <w:szCs w:val="22"/>
              </w:rPr>
              <w:tab/>
            </w:r>
            <w:r>
              <w:rPr>
                <w:rStyle w:val="Vnculodendice"/>
                <w:rFonts w:eastAsia="Arial Unicode MS"/>
                <w:color w:val="auto"/>
                <w:highlight w:val="cyan"/>
                <w:lang w:bidi="hi-IN"/>
              </w:rPr>
              <w:t>ATA DE REGISTRO DE PREÇOS</w:t>
            </w:r>
            <w:r>
              <w:rPr>
                <w:webHidden/>
              </w:rPr>
              <w:fldChar w:fldCharType="begin"/>
            </w:r>
            <w:r>
              <w:rPr>
                <w:webHidden/>
              </w:rPr>
              <w:instrText xml:space="preserve">PAGEREF _Toc142925867 \h</w:instrText>
            </w:r>
            <w:r>
              <w:rPr>
                <w:webHidden/>
              </w:rPr>
              <w:fldChar w:fldCharType="separate"/>
            </w:r>
            <w:r>
              <w:rPr>
                <w:rStyle w:val="Vnculodendice"/>
                <w:vanish w:val="false"/>
              </w:rPr>
              <w:tab/>
              <w:t>12</w:t>
            </w:r>
            <w:r>
              <w:rPr>
                <w:webHidden/>
              </w:rPr>
              <w:fldChar w:fldCharType="end"/>
            </w:r>
          </w:hyperlink>
        </w:p>
        <w:p>
          <w:pPr>
            <w:pStyle w:val="Sumrio1"/>
            <w:rPr/>
          </w:pPr>
          <w:hyperlink w:anchor="_Toc142925868">
            <w:r>
              <w:rPr>
                <w:webHidden/>
                <w:rStyle w:val="Vnculodendice"/>
                <w:rFonts w:eastAsia="Arial Unicode MS"/>
                <w:b/>
                <w:vanish w:val="false"/>
                <w:color w:val="auto"/>
                <w:highlight w:val="cyan"/>
                <w:lang w:bidi="hi-IN"/>
              </w:rPr>
              <w:t>9.</w:t>
            </w:r>
            <w:r>
              <w:rPr>
                <w:rStyle w:val="Vnculodendice"/>
                <w:rFonts w:eastAsia="" w:cs="" w:ascii="Calibri" w:hAnsi="Calibri" w:asciiTheme="minorHAnsi" w:cstheme="minorBidi" w:eastAsiaTheme="minorEastAsia" w:hAnsiTheme="minorHAnsi"/>
                <w:sz w:val="22"/>
                <w:szCs w:val="22"/>
              </w:rPr>
              <w:tab/>
            </w:r>
            <w:r>
              <w:rPr>
                <w:rStyle w:val="Vnculodendice"/>
                <w:rFonts w:eastAsia="Arial Unicode MS"/>
                <w:color w:val="auto"/>
                <w:highlight w:val="cyan"/>
                <w:lang w:bidi="hi-IN"/>
              </w:rPr>
              <w:t>FORMAÇÃO DO CADASTRO DE RESERVA</w:t>
            </w:r>
            <w:r>
              <w:rPr>
                <w:webHidden/>
              </w:rPr>
              <w:fldChar w:fldCharType="begin"/>
            </w:r>
            <w:r>
              <w:rPr>
                <w:webHidden/>
              </w:rPr>
              <w:instrText xml:space="preserve">PAGEREF _Toc142925868 \h</w:instrText>
            </w:r>
            <w:r>
              <w:rPr>
                <w:webHidden/>
              </w:rPr>
              <w:fldChar w:fldCharType="separate"/>
            </w:r>
            <w:r>
              <w:rPr>
                <w:rStyle w:val="Vnculodendice"/>
                <w:vanish w:val="false"/>
              </w:rPr>
              <w:tab/>
              <w:t>13</w:t>
            </w:r>
            <w:r>
              <w:rPr>
                <w:webHidden/>
              </w:rPr>
              <w:fldChar w:fldCharType="end"/>
            </w:r>
          </w:hyperlink>
        </w:p>
        <w:p>
          <w:pPr>
            <w:pStyle w:val="Sumrio1"/>
            <w:rPr/>
          </w:pPr>
          <w:hyperlink w:anchor="_Toc142925869">
            <w:r>
              <w:rPr>
                <w:webHidden/>
                <w:rStyle w:val="Vnculodendice"/>
                <w:rFonts w:eastAsia="Arial Unicode MS"/>
                <w:vanish w:val="false"/>
                <w:color w:val="auto"/>
                <w:lang w:bidi="hi-IN"/>
              </w:rPr>
              <w:t>10.</w:t>
            </w:r>
            <w:r>
              <w:rPr>
                <w:rStyle w:val="Vnculodendice"/>
                <w:rFonts w:eastAsia="" w:cs="" w:ascii="Calibri" w:hAnsi="Calibri" w:asciiTheme="minorHAnsi" w:cstheme="minorBidi" w:eastAsiaTheme="minorEastAsia" w:hAnsiTheme="minorHAnsi"/>
                <w:sz w:val="22"/>
                <w:szCs w:val="22"/>
              </w:rPr>
              <w:tab/>
            </w:r>
            <w:r>
              <w:rPr>
                <w:rStyle w:val="Vnculodendice"/>
                <w:rFonts w:eastAsia="Arial Unicode MS"/>
                <w:color w:val="auto"/>
                <w:lang w:bidi="hi-IN"/>
              </w:rPr>
              <w:t>CONTRATAÇÃO</w:t>
            </w:r>
            <w:r>
              <w:rPr>
                <w:webHidden/>
              </w:rPr>
              <w:fldChar w:fldCharType="begin"/>
            </w:r>
            <w:r>
              <w:rPr>
                <w:webHidden/>
              </w:rPr>
              <w:instrText xml:space="preserve">PAGEREF _Toc142925869 \h</w:instrText>
            </w:r>
            <w:r>
              <w:rPr>
                <w:webHidden/>
              </w:rPr>
              <w:fldChar w:fldCharType="separate"/>
            </w:r>
            <w:r>
              <w:rPr>
                <w:rStyle w:val="Vnculodendice"/>
                <w:vanish w:val="false"/>
              </w:rPr>
              <w:tab/>
              <w:t>13</w:t>
            </w:r>
            <w:r>
              <w:rPr>
                <w:webHidden/>
              </w:rPr>
              <w:fldChar w:fldCharType="end"/>
            </w:r>
          </w:hyperlink>
        </w:p>
        <w:p>
          <w:pPr>
            <w:pStyle w:val="Sumrio1"/>
            <w:rPr/>
          </w:pPr>
          <w:hyperlink w:anchor="_Toc142925870">
            <w:r>
              <w:rPr>
                <w:webHidden/>
                <w:rStyle w:val="Vnculodendice"/>
                <w:rFonts w:eastAsia="Arial Unicode MS"/>
                <w:vanish w:val="false"/>
                <w:color w:val="auto"/>
                <w:lang w:bidi="hi-IN"/>
              </w:rPr>
              <w:t>11.</w:t>
            </w:r>
            <w:r>
              <w:rPr>
                <w:rStyle w:val="Vnculodendice"/>
                <w:rFonts w:eastAsia="" w:cs="" w:ascii="Calibri" w:hAnsi="Calibri" w:asciiTheme="minorHAnsi" w:cstheme="minorBidi" w:eastAsiaTheme="minorEastAsia" w:hAnsiTheme="minorHAnsi"/>
                <w:sz w:val="22"/>
                <w:szCs w:val="22"/>
              </w:rPr>
              <w:tab/>
            </w:r>
            <w:r>
              <w:rPr>
                <w:rStyle w:val="Vnculodendice"/>
                <w:rFonts w:eastAsia="Arial Unicode MS"/>
                <w:color w:val="auto"/>
                <w:lang w:bidi="hi-IN"/>
              </w:rPr>
              <w:t>INFRAÇÕES E SANÇÕES ADMINISTRATIVAS</w:t>
            </w:r>
            <w:r>
              <w:rPr>
                <w:webHidden/>
              </w:rPr>
              <w:fldChar w:fldCharType="begin"/>
            </w:r>
            <w:r>
              <w:rPr>
                <w:webHidden/>
              </w:rPr>
              <w:instrText xml:space="preserve">PAGEREF _Toc142925870 \h</w:instrText>
            </w:r>
            <w:r>
              <w:rPr>
                <w:webHidden/>
              </w:rPr>
              <w:fldChar w:fldCharType="separate"/>
            </w:r>
            <w:r>
              <w:rPr>
                <w:rStyle w:val="Vnculodendice"/>
                <w:vanish w:val="false"/>
              </w:rPr>
              <w:tab/>
              <w:t>14</w:t>
            </w:r>
            <w:r>
              <w:rPr>
                <w:webHidden/>
              </w:rPr>
              <w:fldChar w:fldCharType="end"/>
            </w:r>
          </w:hyperlink>
        </w:p>
        <w:p>
          <w:pPr>
            <w:pStyle w:val="Sumrio1"/>
            <w:rPr/>
          </w:pPr>
          <w:hyperlink w:anchor="_Toc142925871">
            <w:r>
              <w:rPr>
                <w:webHidden/>
                <w:rStyle w:val="Vnculodendice"/>
                <w:rFonts w:eastAsia="Arial Unicode MS"/>
                <w:vanish w:val="false"/>
                <w:color w:val="auto"/>
                <w:lang w:bidi="hi-IN"/>
              </w:rPr>
              <w:t>12.</w:t>
            </w:r>
            <w:r>
              <w:rPr>
                <w:rStyle w:val="Vnculodendice"/>
                <w:rFonts w:eastAsia="" w:cs="" w:ascii="Calibri" w:hAnsi="Calibri" w:asciiTheme="minorHAnsi" w:cstheme="minorBidi" w:eastAsiaTheme="minorEastAsia" w:hAnsiTheme="minorHAnsi"/>
                <w:sz w:val="22"/>
                <w:szCs w:val="22"/>
              </w:rPr>
              <w:tab/>
            </w:r>
            <w:r>
              <w:rPr>
                <w:rStyle w:val="Vnculodendice"/>
                <w:rFonts w:eastAsia="Arial Unicode MS"/>
                <w:color w:val="auto"/>
                <w:lang w:bidi="hi-IN"/>
              </w:rPr>
              <w:t>DAS DISPOSIÇÕES GERAIS</w:t>
            </w:r>
            <w:r>
              <w:rPr>
                <w:webHidden/>
              </w:rPr>
              <w:fldChar w:fldCharType="begin"/>
            </w:r>
            <w:r>
              <w:rPr>
                <w:webHidden/>
              </w:rPr>
              <w:instrText xml:space="preserve">PAGEREF _Toc142925871 \h</w:instrText>
            </w:r>
            <w:r>
              <w:rPr>
                <w:webHidden/>
              </w:rPr>
              <w:fldChar w:fldCharType="separate"/>
            </w:r>
            <w:r>
              <w:rPr>
                <w:rStyle w:val="Vnculodendice"/>
                <w:vanish w:val="false"/>
              </w:rPr>
              <w:tab/>
              <w:t>16</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
          <w:bCs/>
          <w:i/>
          <w:i/>
          <w:iCs/>
          <w:color w:val="FF0000"/>
          <w:szCs w:val="20"/>
        </w:rPr>
      </w:pPr>
      <w:r>
        <w:rPr>
          <w:rFonts w:cs="Arial"/>
          <w:b/>
          <w:bCs/>
          <w:i/>
          <w:iCs/>
          <w:color w:val="FF0000"/>
          <w:szCs w:val="20"/>
        </w:rPr>
      </w:r>
    </w:p>
    <w:p>
      <w:pPr>
        <w:pStyle w:val="Normal"/>
        <w:suppressAutoHyphens w:val="false"/>
        <w:spacing w:lineRule="auto" w:line="259" w:before="0" w:after="160"/>
        <w:rPr>
          <w:rFonts w:cs="Arial"/>
          <w:b/>
          <w:b/>
          <w:bCs/>
          <w:i/>
          <w:i/>
          <w:iCs/>
          <w:color w:val="FF0000"/>
          <w:szCs w:val="20"/>
        </w:rPr>
      </w:pPr>
      <w:r>
        <w:rPr>
          <w:rFonts w:cs="Arial"/>
          <w:b/>
          <w:bCs/>
          <w:i/>
          <w:iCs/>
          <w:color w:val="FF0000"/>
          <w:szCs w:val="20"/>
        </w:rPr>
      </w:r>
      <w:r>
        <w:br w:type="page"/>
      </w:r>
    </w:p>
    <w:p>
      <w:pPr>
        <w:pStyle w:val="Normal"/>
        <w:spacing w:lineRule="auto" w:line="276"/>
        <w:jc w:val="center"/>
        <w:rPr>
          <w:rFonts w:cs="Arial"/>
          <w:b/>
          <w:b/>
          <w:bCs/>
          <w:i/>
          <w:i/>
          <w:iCs/>
          <w:color w:val="FF0000"/>
          <w:szCs w:val="20"/>
        </w:rPr>
      </w:pPr>
      <w:r>
        <w:rPr>
          <w:rFonts w:cs="Arial"/>
          <w:b/>
          <w:bCs/>
          <w:i/>
          <w:iCs/>
          <w:color w:val="FF0000"/>
          <w:szCs w:val="20"/>
        </w:rPr>
        <w:drawing>
          <wp:anchor behindDoc="0" distT="0" distB="0" distL="0" distR="0" simplePos="0" locked="0" layoutInCell="0" allowOverlap="1" relativeHeight="3">
            <wp:simplePos x="0" y="0"/>
            <wp:positionH relativeFrom="column">
              <wp:posOffset>2353310</wp:posOffset>
            </wp:positionH>
            <wp:positionV relativeFrom="paragraph">
              <wp:posOffset>117475</wp:posOffset>
            </wp:positionV>
            <wp:extent cx="728980" cy="738505"/>
            <wp:effectExtent l="0" t="0" r="0" b="0"/>
            <wp:wrapTopAndBottom/>
            <wp:docPr id="1" name="Imagem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3" descr=""/>
                    <pic:cNvPicPr>
                      <a:picLocks noChangeAspect="1" noChangeArrowheads="1"/>
                    </pic:cNvPicPr>
                  </pic:nvPicPr>
                  <pic:blipFill>
                    <a:blip r:embed="rId2"/>
                    <a:stretch>
                      <a:fillRect/>
                    </a:stretch>
                  </pic:blipFill>
                  <pic:spPr bwMode="auto">
                    <a:xfrm>
                      <a:off x="0" y="0"/>
                      <a:ext cx="728980" cy="738505"/>
                    </a:xfrm>
                    <a:prstGeom prst="rect">
                      <a:avLst/>
                    </a:prstGeom>
                  </pic:spPr>
                </pic:pic>
              </a:graphicData>
            </a:graphic>
          </wp:anchor>
        </w:drawing>
      </w:r>
    </w:p>
    <w:p>
      <w:pPr>
        <w:pStyle w:val="Normal"/>
        <w:spacing w:lineRule="auto" w:line="240"/>
        <w:jc w:val="center"/>
        <w:rPr>
          <w:rFonts w:ascii="Times New Roman" w:hAnsi="Times New Roman" w:cs="Times New Roman"/>
          <w:b/>
          <w:b/>
          <w:sz w:val="24"/>
          <w:szCs w:val="24"/>
          <w:lang w:eastAsia="ar-SA"/>
        </w:rPr>
      </w:pPr>
      <w:r>
        <w:rPr>
          <w:rFonts w:cs="Times New Roman" w:ascii="Times New Roman" w:hAnsi="Times New Roman"/>
          <w:b/>
          <w:sz w:val="24"/>
          <w:szCs w:val="24"/>
          <w:lang w:eastAsia="ar-SA"/>
        </w:rPr>
        <w:t>MARINHA DO BRASIL</w:t>
      </w:r>
    </w:p>
    <w:p>
      <w:pPr>
        <w:pStyle w:val="Normal"/>
        <w:spacing w:lineRule="auto" w:line="240"/>
        <w:jc w:val="center"/>
        <w:rPr>
          <w:rFonts w:ascii="Times New Roman" w:hAnsi="Times New Roman" w:eastAsia="Times New Roman" w:cs="Times New Roman"/>
          <w:b/>
          <w:b/>
          <w:bCs/>
          <w:i/>
          <w:i/>
          <w:iCs/>
          <w:color w:val="000000"/>
          <w:kern w:val="0"/>
          <w:sz w:val="24"/>
          <w:szCs w:val="24"/>
          <w:lang w:val="pt-BR" w:eastAsia="ar-SA" w:bidi="ar-SA"/>
        </w:rPr>
      </w:pPr>
      <w:r>
        <w:rPr>
          <w:rFonts w:eastAsia="Times New Roman" w:cs="Times New Roman" w:ascii="Times New Roman" w:hAnsi="Times New Roman"/>
          <w:b/>
          <w:bCs/>
          <w:i/>
          <w:iCs/>
          <w:color w:val="000000"/>
          <w:kern w:val="0"/>
          <w:sz w:val="24"/>
          <w:szCs w:val="24"/>
          <w:lang w:val="pt-BR" w:eastAsia="ar-SA" w:bidi="ar-SA"/>
        </w:rPr>
        <w:t>POLICLÍNICA  NAVAL NOSSA SENHORA DA GLÓRIA</w:t>
      </w:r>
    </w:p>
    <w:p>
      <w:pPr>
        <w:pStyle w:val="Normal"/>
        <w:jc w:val="center"/>
        <w:rPr>
          <w:rFonts w:cs="Arial"/>
          <w:b/>
          <w:b/>
          <w:bCs/>
          <w:color w:val="5B5B5F"/>
          <w:sz w:val="28"/>
          <w:szCs w:val="28"/>
        </w:rPr>
      </w:pPr>
      <w:r>
        <w:rPr>
          <w:rFonts w:cs="Arial"/>
          <w:b/>
          <w:bCs/>
          <w:color w:val="000000" w:themeColor="text1"/>
          <w:szCs w:val="20"/>
        </w:rPr>
        <w:t>AVISO DE CONTRATAÇÃO DIRETA   Nº  58/2024</w:t>
      </w:r>
    </w:p>
    <w:p>
      <w:pPr>
        <w:pStyle w:val="Normal"/>
        <w:spacing w:lineRule="auto" w:line="276"/>
        <w:jc w:val="center"/>
        <w:rPr>
          <w:rFonts w:cs="Arial"/>
          <w:b/>
          <w:b/>
          <w:bCs/>
          <w:color w:val="000000" w:themeColor="text1"/>
          <w:szCs w:val="20"/>
        </w:rPr>
      </w:pPr>
      <w:r>
        <w:rPr>
          <w:rFonts w:cs="Arial"/>
          <w:b/>
          <w:bCs/>
          <w:color w:val="000000" w:themeColor="text1"/>
          <w:szCs w:val="20"/>
        </w:rPr>
      </w:r>
    </w:p>
    <w:p>
      <w:pPr>
        <w:pStyle w:val="Normal"/>
        <w:spacing w:lineRule="auto" w:line="276" w:before="0" w:after="120"/>
        <w:ind w:right="-15" w:hanging="0"/>
        <w:jc w:val="center"/>
        <w:rPr>
          <w:rFonts w:cs="Arial"/>
          <w:b/>
          <w:b/>
          <w:bCs/>
          <w:color w:val="000000"/>
          <w:szCs w:val="20"/>
        </w:rPr>
      </w:pPr>
      <w:r>
        <w:rPr>
          <w:rFonts w:cs="Arial"/>
          <w:b/>
          <w:bCs/>
          <w:color w:val="000000" w:themeColor="text1"/>
          <w:szCs w:val="20"/>
        </w:rPr>
        <w:t>(Processo Administrativo n.</w:t>
      </w:r>
      <w:bookmarkStart w:id="0" w:name="OBJ_PREFIX_DWT267_com_zimbra_phone"/>
      <w:bookmarkEnd w:id="0"/>
      <w:r>
        <w:rPr>
          <w:rFonts w:cs="Arial"/>
          <w:b/>
          <w:bCs/>
          <w:color w:val="000000" w:themeColor="text1"/>
          <w:szCs w:val="20"/>
        </w:rPr>
        <w:t xml:space="preserve">( </w:t>
      </w:r>
      <w:r>
        <w:rPr>
          <w:rStyle w:val="Nfaseforte"/>
          <w:rFonts w:cs="Arial"/>
          <w:color w:val="000000"/>
          <w:szCs w:val="20"/>
        </w:rPr>
        <w:t xml:space="preserve">63065.003563/2024-09 </w:t>
      </w:r>
      <w:r>
        <w:rPr>
          <w:rFonts w:cs="Arial"/>
          <w:b/>
          <w:bCs/>
          <w:color w:val="000000" w:themeColor="text1"/>
          <w:szCs w:val="20"/>
        </w:rPr>
        <w:t>)</w:t>
      </w:r>
    </w:p>
    <w:p>
      <w:pPr>
        <w:pStyle w:val="Normal"/>
        <w:rPr>
          <w:rFonts w:cs="Arial"/>
        </w:rPr>
      </w:pPr>
      <w:r>
        <w:rPr>
          <w:rFonts w:cs="Arial"/>
        </w:rPr>
      </w:r>
    </w:p>
    <w:p>
      <w:pPr>
        <w:pStyle w:val="Normal"/>
        <w:snapToGrid w:val="false"/>
        <w:spacing w:lineRule="auto" w:line="276" w:before="0" w:after="120"/>
        <w:ind w:right="-30" w:firstLine="540"/>
        <w:jc w:val="both"/>
        <w:rPr/>
      </w:pPr>
      <w:r>
        <w:rPr>
          <w:rFonts w:cs="Arial"/>
          <w:color w:val="111111"/>
          <w:szCs w:val="20"/>
          <w:highlight w:val="white"/>
        </w:rPr>
        <w:t xml:space="preserve">Torna-se público que a Policlínica Naval Nossa Senhora da Glória, por meio da Seção de Obtenção, realizará Dispensa Eletrônica, </w:t>
      </w:r>
      <w:r>
        <w:rPr>
          <w:color w:val="111111"/>
          <w:highlight w:val="white"/>
        </w:rPr>
        <w:t>para registro de preços</w:t>
      </w:r>
      <w:r>
        <w:rPr>
          <w:rFonts w:cs="Arial"/>
          <w:bCs/>
          <w:color w:val="111111"/>
          <w:szCs w:val="20"/>
          <w:highlight w:val="white"/>
        </w:rPr>
        <w:t>, com critério de julgamento</w:t>
      </w:r>
      <w:r>
        <w:rPr>
          <w:rFonts w:cs="Arial"/>
          <w:b/>
          <w:bCs/>
          <w:color w:val="111111"/>
          <w:szCs w:val="20"/>
          <w:highlight w:val="white"/>
        </w:rPr>
        <w:t xml:space="preserve"> </w:t>
      </w:r>
      <w:r>
        <w:rPr>
          <w:rFonts w:cs="Arial"/>
          <w:i/>
          <w:color w:val="111111"/>
          <w:szCs w:val="20"/>
          <w:highlight w:val="white"/>
        </w:rPr>
        <w:t>menor preço</w:t>
      </w:r>
      <w:r>
        <w:rPr>
          <w:rFonts w:cs="Arial"/>
          <w:b/>
          <w:bCs/>
          <w:i/>
          <w:color w:val="111111"/>
          <w:szCs w:val="20"/>
          <w:highlight w:val="white"/>
        </w:rPr>
        <w:t xml:space="preserve">, </w:t>
      </w:r>
      <w:r>
        <w:rPr>
          <w:rFonts w:cs="Arial"/>
          <w:color w:val="111111"/>
          <w:szCs w:val="20"/>
          <w:highlight w:val="white"/>
        </w:rPr>
        <w:t xml:space="preserve">na hipótese do </w:t>
      </w:r>
      <w:r>
        <w:fldChar w:fldCharType="begin"/>
      </w:r>
      <w:r>
        <w:rPr>
          <w:rStyle w:val="LinkdaInternet"/>
          <w:szCs w:val="20"/>
          <w:highlight w:val="white"/>
          <w:rFonts w:cs="Arial"/>
          <w:color w:val="111111"/>
        </w:rPr>
        <w:instrText xml:space="preserve"> HYPERLINK "http://www.planalto.gov.br/ccivil_03/_ato2019-2022/2021/lei/L14133.htm" \l "art75"</w:instrText>
      </w:r>
      <w:r>
        <w:rPr>
          <w:rStyle w:val="LinkdaInternet"/>
          <w:szCs w:val="20"/>
          <w:highlight w:val="white"/>
          <w:rFonts w:cs="Arial"/>
          <w:color w:val="111111"/>
        </w:rPr>
        <w:fldChar w:fldCharType="separate"/>
      </w:r>
      <w:r>
        <w:rPr>
          <w:rStyle w:val="LinkdaInternet"/>
          <w:rFonts w:cs="Arial"/>
          <w:color w:val="111111"/>
          <w:szCs w:val="20"/>
          <w:highlight w:val="white"/>
        </w:rPr>
        <w:t>art. 75</w:t>
      </w:r>
      <w:r>
        <w:rPr>
          <w:rStyle w:val="LinkdaInternet"/>
          <w:szCs w:val="20"/>
          <w:highlight w:val="white"/>
          <w:rFonts w:cs="Arial"/>
          <w:color w:val="111111"/>
        </w:rPr>
        <w:fldChar w:fldCharType="end"/>
      </w:r>
      <w:r>
        <w:rPr>
          <w:rFonts w:cs="Arial"/>
          <w:i/>
          <w:iCs/>
          <w:color w:val="111111"/>
          <w:szCs w:val="20"/>
          <w:highlight w:val="white"/>
        </w:rPr>
        <w:t>, inciso II</w:t>
      </w:r>
      <w:r>
        <w:rPr>
          <w:rFonts w:cs="Arial"/>
          <w:color w:val="111111"/>
          <w:szCs w:val="20"/>
          <w:highlight w:val="white"/>
        </w:rPr>
        <w:t xml:space="preserve"> </w:t>
      </w:r>
      <w:r>
        <w:rPr>
          <w:rFonts w:cs="Arial"/>
          <w:bCs/>
          <w:color w:val="111111"/>
          <w:szCs w:val="20"/>
          <w:highlight w:val="white"/>
        </w:rPr>
        <w:t xml:space="preserve">nos termos da </w:t>
      </w:r>
      <w:hyperlink r:id="rId3">
        <w:r>
          <w:rPr>
            <w:rStyle w:val="LinkdaInternet"/>
            <w:rFonts w:cs="Arial"/>
            <w:bCs/>
            <w:color w:val="111111"/>
            <w:szCs w:val="20"/>
            <w:highlight w:val="white"/>
          </w:rPr>
          <w:t>Lei n.º 14.133, de 1º de abril de 2021</w:t>
        </w:r>
      </w:hyperlink>
      <w:r>
        <w:rPr>
          <w:rFonts w:cs="Arial"/>
          <w:bCs/>
          <w:color w:val="111111"/>
          <w:szCs w:val="20"/>
          <w:highlight w:val="white"/>
        </w:rPr>
        <w:t xml:space="preserve">, da </w:t>
      </w:r>
      <w:hyperlink r:id="rId4">
        <w:r>
          <w:rPr>
            <w:rStyle w:val="LinkdaInternet"/>
            <w:rFonts w:cs="Arial"/>
            <w:bCs/>
            <w:color w:val="111111"/>
            <w:szCs w:val="20"/>
            <w:highlight w:val="white"/>
          </w:rPr>
          <w:t>Instrução Normativa Seges/ME nº 67, de 2021</w:t>
        </w:r>
      </w:hyperlink>
      <w:r>
        <w:rPr>
          <w:rFonts w:cs="Arial"/>
          <w:bCs/>
          <w:color w:val="111111"/>
          <w:szCs w:val="20"/>
          <w:highlight w:val="white"/>
        </w:rPr>
        <w:t xml:space="preserve">, do </w:t>
      </w:r>
      <w:r>
        <w:rPr>
          <w:color w:val="111111"/>
          <w:highlight w:val="white"/>
        </w:rPr>
        <w:t xml:space="preserve">Decreto nº 11.462, de 31 de março de 2023, </w:t>
      </w:r>
      <w:r>
        <w:rPr>
          <w:rFonts w:cs="Arial"/>
          <w:bCs/>
          <w:color w:val="111111"/>
          <w:szCs w:val="20"/>
          <w:highlight w:val="white"/>
        </w:rPr>
        <w:t>e demais normas aplicáveis</w:t>
      </w:r>
      <w:r>
        <w:rPr>
          <w:rFonts w:cs="Arial"/>
          <w:color w:val="111111"/>
          <w:szCs w:val="20"/>
          <w:highlight w:val="white"/>
        </w:rPr>
        <w:t>.</w:t>
      </w:r>
    </w:p>
    <w:p>
      <w:pPr>
        <w:pStyle w:val="Normal"/>
        <w:spacing w:lineRule="auto" w:line="276"/>
        <w:jc w:val="both"/>
        <w:rPr>
          <w:rFonts w:cs="Arial"/>
          <w:color w:val="111111"/>
          <w:szCs w:val="20"/>
          <w:highlight w:val="white"/>
        </w:rPr>
      </w:pPr>
      <w:r>
        <w:rPr>
          <w:rFonts w:cs="Arial"/>
          <w:color w:val="111111"/>
          <w:szCs w:val="20"/>
          <w:highlight w:val="white"/>
        </w:rPr>
      </w:r>
    </w:p>
    <w:p>
      <w:pPr>
        <w:pStyle w:val="Normal"/>
        <w:spacing w:lineRule="auto" w:line="276"/>
        <w:jc w:val="both"/>
        <w:rPr>
          <w:rFonts w:cs="Arial"/>
          <w:b/>
          <w:b/>
          <w:bCs/>
          <w:szCs w:val="20"/>
        </w:rPr>
      </w:pPr>
      <w:r>
        <w:rPr>
          <w:rFonts w:cs="Arial"/>
          <w:b/>
          <w:bCs/>
          <w:color w:val="000000" w:themeColor="text1"/>
          <w:szCs w:val="20"/>
        </w:rPr>
        <w:t>Data da sessão: 2</w:t>
      </w:r>
      <w:r>
        <w:rPr>
          <w:rFonts w:cs="Arial"/>
          <w:b/>
          <w:bCs/>
          <w:color w:val="000000" w:themeColor="text1"/>
          <w:szCs w:val="20"/>
        </w:rPr>
        <w:t>9</w:t>
      </w:r>
      <w:r>
        <w:rPr>
          <w:rFonts w:cs="Arial"/>
          <w:b/>
          <w:bCs/>
          <w:color w:val="000000" w:themeColor="text1"/>
          <w:szCs w:val="20"/>
        </w:rPr>
        <w:t>/11/2024</w:t>
      </w:r>
    </w:p>
    <w:p>
      <w:pPr>
        <w:pStyle w:val="Normal"/>
        <w:rPr>
          <w:rFonts w:cs="Arial"/>
          <w:color w:val="000000" w:themeColor="text1"/>
          <w:szCs w:val="20"/>
        </w:rPr>
      </w:pPr>
      <w:r>
        <w:rPr>
          <w:rFonts w:cs="Arial"/>
          <w:b/>
          <w:bCs/>
          <w:color w:val="000000" w:themeColor="text1"/>
          <w:szCs w:val="20"/>
        </w:rPr>
        <w:t>Horário da Fase de Lan</w:t>
      </w:r>
      <w:r>
        <w:rPr>
          <w:rFonts w:cs="Arial"/>
          <w:b/>
          <w:bCs/>
          <w:color w:val="111111"/>
          <w:szCs w:val="20"/>
        </w:rPr>
        <w:t>ces:</w:t>
      </w:r>
      <w:r>
        <w:rPr>
          <w:rFonts w:cs="Arial"/>
          <w:color w:val="111111"/>
          <w:szCs w:val="20"/>
        </w:rPr>
        <w:t xml:space="preserve"> 08</w:t>
      </w:r>
      <w:r>
        <w:rPr>
          <w:rFonts w:cs="Arial"/>
          <w:i/>
          <w:iCs/>
          <w:color w:val="111111"/>
          <w:szCs w:val="20"/>
        </w:rPr>
        <w:t>:00</w:t>
      </w:r>
      <w:r>
        <w:rPr>
          <w:rFonts w:cs="Arial"/>
          <w:color w:val="111111"/>
          <w:szCs w:val="20"/>
        </w:rPr>
        <w:t xml:space="preserve"> às 16:00</w:t>
      </w:r>
    </w:p>
    <w:p>
      <w:pPr>
        <w:pStyle w:val="Normal"/>
        <w:rPr>
          <w:color w:val="111111"/>
        </w:rPr>
      </w:pPr>
      <w:r>
        <w:rPr>
          <w:rFonts w:cs="Arial"/>
          <w:b/>
          <w:bCs/>
          <w:color w:val="111111"/>
          <w:szCs w:val="20"/>
        </w:rPr>
        <w:t>Link</w:t>
      </w:r>
      <w:r>
        <w:rPr>
          <w:rFonts w:cs="Arial"/>
          <w:color w:val="111111"/>
          <w:szCs w:val="20"/>
        </w:rPr>
        <w:t xml:space="preserve">: </w:t>
      </w:r>
      <w:r>
        <w:rPr>
          <w:rFonts w:cs="Arial"/>
          <w:color w:val="000000" w:themeColor="text1"/>
          <w:szCs w:val="20"/>
        </w:rPr>
        <w:t xml:space="preserve"> </w:t>
      </w:r>
      <w:r>
        <w:rPr>
          <w:rStyle w:val="Fontepargpadro"/>
          <w:rFonts w:cs="Calibri" w:ascii="Calibri" w:hAnsi="Calibri"/>
          <w:bCs/>
          <w:i/>
          <w:iCs/>
          <w:color w:val="000000" w:themeColor="text1"/>
          <w:w w:val="110"/>
          <w:sz w:val="24"/>
          <w:szCs w:val="24"/>
        </w:rPr>
        <w:t>www.comprasgovernamentais.gov.br</w:t>
      </w:r>
    </w:p>
    <w:p>
      <w:pPr>
        <w:pStyle w:val="Normal"/>
        <w:spacing w:lineRule="auto" w:line="276"/>
        <w:ind w:right="-15" w:hanging="0"/>
        <w:jc w:val="both"/>
        <w:rPr>
          <w:color w:val="111111"/>
        </w:rPr>
      </w:pPr>
      <w:r>
        <w:rPr>
          <w:rFonts w:cs="Arial"/>
          <w:b/>
          <w:bCs/>
          <w:i/>
          <w:iCs/>
          <w:color w:val="111111"/>
          <w:szCs w:val="20"/>
        </w:rPr>
        <w:t>Critério de Julgamento:</w:t>
      </w:r>
      <w:r>
        <w:rPr>
          <w:rFonts w:cs="Arial"/>
          <w:color w:val="111111"/>
          <w:szCs w:val="20"/>
        </w:rPr>
        <w:t xml:space="preserve"> </w:t>
      </w:r>
      <w:r>
        <w:rPr>
          <w:rFonts w:cs="Arial"/>
          <w:i/>
          <w:iCs/>
          <w:color w:val="111111"/>
          <w:szCs w:val="20"/>
        </w:rPr>
        <w:t xml:space="preserve">menor preço </w:t>
      </w:r>
    </w:p>
    <w:p>
      <w:pPr>
        <w:pStyle w:val="Normal"/>
        <w:spacing w:lineRule="auto" w:line="276"/>
        <w:ind w:right="-15" w:hanging="0"/>
        <w:jc w:val="both"/>
        <w:rPr>
          <w:color w:val="111111"/>
        </w:rPr>
      </w:pPr>
      <w:r>
        <w:rPr>
          <w:rFonts w:cs="Arial"/>
          <w:i/>
          <w:iCs/>
          <w:color w:val="111111"/>
        </w:rPr>
        <w:t xml:space="preserve"> </w:t>
      </w:r>
    </w:p>
    <w:p>
      <w:pPr>
        <w:pStyle w:val="Ttulo1"/>
        <w:numPr>
          <w:ilvl w:val="0"/>
          <w:numId w:val="3"/>
        </w:numPr>
        <w:rPr/>
      </w:pPr>
      <w:bookmarkStart w:id="1" w:name="_Toc142925860"/>
      <w:r>
        <w:rPr/>
        <w:t>OBJETO DA CONTRATAÇÃO DIRETA</w:t>
      </w:r>
      <w:bookmarkEnd w:id="1"/>
    </w:p>
    <w:p>
      <w:pPr>
        <w:pStyle w:val="PADRO"/>
        <w:keepNext w:val="false"/>
        <w:widowControl/>
        <w:numPr>
          <w:ilvl w:val="1"/>
          <w:numId w:val="3"/>
        </w:numPr>
        <w:shd w:val="clear" w:color="auto" w:fill="auto"/>
        <w:spacing w:before="120" w:after="120"/>
        <w:rPr>
          <w:rFonts w:ascii="Arial" w:hAnsi="Arial" w:cs="Arial"/>
          <w:szCs w:val="20"/>
        </w:rPr>
      </w:pPr>
      <w:r>
        <w:rPr>
          <w:rFonts w:cs="Arial" w:ascii="Arial" w:hAnsi="Arial"/>
          <w:color w:val="000000" w:themeColor="text1"/>
          <w:szCs w:val="20"/>
        </w:rPr>
        <w:t xml:space="preserve">O objeto do presente procedimento é a escolha da proposta mais vantajosa para a </w:t>
      </w:r>
      <w:r>
        <w:rPr>
          <w:rFonts w:cs="Arial" w:ascii="Arial" w:hAnsi="Arial"/>
          <w:szCs w:val="20"/>
        </w:rPr>
        <w:t xml:space="preserve">contratação, </w:t>
      </w:r>
      <w:r>
        <w:rPr>
          <w:rFonts w:cs="Arial" w:ascii="Arial" w:hAnsi="Arial"/>
          <w:color w:val="000000" w:themeColor="text1"/>
          <w:szCs w:val="20"/>
        </w:rPr>
        <w:t>por dispensa de licitação, de</w:t>
      </w:r>
      <w:r>
        <w:rPr>
          <w:rFonts w:cs="Arial" w:ascii="Arial" w:hAnsi="Arial"/>
          <w:color w:val="111111"/>
          <w:szCs w:val="20"/>
        </w:rPr>
        <w:t xml:space="preserve"> </w:t>
      </w:r>
      <w:r>
        <w:rPr>
          <w:rFonts w:eastAsia="WenQuanYi Micro Hei" w:cs="Arial" w:ascii="Arial" w:hAnsi="Arial"/>
          <w:color w:val="111111"/>
          <w:kern w:val="0"/>
          <w:sz w:val="20"/>
          <w:szCs w:val="20"/>
          <w:lang w:val="pt-BR" w:eastAsia="zh-CN" w:bidi="hi-IN"/>
        </w:rPr>
        <w:t>itens utilizados no funcionamento da Policlínica Naval Nossa Senhora da Glória</w:t>
      </w:r>
      <w:r>
        <w:rPr>
          <w:rFonts w:cs="Arial" w:ascii="Arial" w:hAnsi="Arial"/>
          <w:b/>
          <w:bCs/>
          <w:color w:val="111111"/>
          <w:szCs w:val="20"/>
        </w:rPr>
        <w:t>,</w:t>
      </w:r>
      <w:r>
        <w:rPr>
          <w:rFonts w:cs="Arial" w:ascii="Arial" w:hAnsi="Arial"/>
          <w:color w:val="111111"/>
          <w:szCs w:val="20"/>
        </w:rPr>
        <w:t xml:space="preserve"> c</w:t>
      </w:r>
      <w:r>
        <w:rPr>
          <w:rFonts w:cs="Arial" w:ascii="Arial" w:hAnsi="Arial"/>
          <w:color w:val="000000" w:themeColor="text1"/>
          <w:szCs w:val="20"/>
        </w:rPr>
        <w:t>onforme condições, quantidade e exigências estabelecidas neste Aviso de Contratação Direta e seus anexos.</w:t>
      </w:r>
    </w:p>
    <w:p>
      <w:pPr>
        <w:pStyle w:val="PADRO"/>
        <w:keepNext w:val="false"/>
        <w:widowControl/>
        <w:numPr>
          <w:ilvl w:val="1"/>
          <w:numId w:val="3"/>
        </w:numPr>
        <w:shd w:val="clear" w:color="auto" w:fill="auto"/>
        <w:spacing w:before="120" w:after="120"/>
        <w:rPr>
          <w:rFonts w:ascii="Arial" w:hAnsi="Arial" w:cs="Arial"/>
          <w:color w:val="000000" w:themeColor="text1"/>
          <w:szCs w:val="20"/>
        </w:rPr>
      </w:pPr>
      <w:r>
        <w:rPr>
          <w:rFonts w:cs="Arial" w:ascii="Arial" w:hAnsi="Arial"/>
          <w:szCs w:val="20"/>
        </w:rPr>
        <w:t>O critério de julgamento adotado será o</w:t>
      </w:r>
      <w:r>
        <w:rPr>
          <w:rFonts w:cs="Arial" w:ascii="Arial" w:hAnsi="Arial"/>
          <w:i/>
          <w:iCs/>
          <w:szCs w:val="20"/>
        </w:rPr>
        <w:t xml:space="preserve"> </w:t>
      </w:r>
      <w:r>
        <w:rPr>
          <w:rFonts w:cs="Arial" w:ascii="Arial" w:hAnsi="Arial"/>
          <w:i/>
          <w:iCs/>
          <w:color w:val="111111"/>
          <w:szCs w:val="20"/>
        </w:rPr>
        <w:t>menor preço</w:t>
      </w:r>
      <w:r>
        <w:rPr>
          <w:rFonts w:cs="Arial" w:ascii="Arial" w:hAnsi="Arial"/>
          <w:i/>
          <w:iCs/>
          <w:color w:val="FF0000"/>
          <w:szCs w:val="20"/>
        </w:rPr>
        <w:t>,</w:t>
      </w:r>
      <w:r>
        <w:rPr>
          <w:rFonts w:cs="Arial" w:ascii="Arial" w:hAnsi="Arial"/>
          <w:color w:val="FF0000"/>
          <w:szCs w:val="20"/>
        </w:rPr>
        <w:t xml:space="preserve"> </w:t>
      </w:r>
      <w:r>
        <w:rPr>
          <w:rFonts w:cs="Arial" w:ascii="Arial" w:hAnsi="Arial"/>
          <w:szCs w:val="20"/>
        </w:rPr>
        <w:t>observadas as exigências contidas neste Aviso de Contratação Direta e seus Anexos quanto às especificações do objeto.</w:t>
      </w:r>
    </w:p>
    <w:tbl>
      <w:tblPr>
        <w:tblW w:w="9180" w:type="dxa"/>
        <w:jc w:val="left"/>
        <w:tblInd w:w="135" w:type="dxa"/>
        <w:tblLayout w:type="fixed"/>
        <w:tblCellMar>
          <w:top w:w="0" w:type="dxa"/>
          <w:left w:w="113" w:type="dxa"/>
          <w:bottom w:w="0" w:type="dxa"/>
          <w:right w:w="113" w:type="dxa"/>
        </w:tblCellMar>
      </w:tblPr>
      <w:tblGrid>
        <w:gridCol w:w="854"/>
        <w:gridCol w:w="1351"/>
        <w:gridCol w:w="1814"/>
        <w:gridCol w:w="1081"/>
        <w:gridCol w:w="1245"/>
        <w:gridCol w:w="1365"/>
        <w:gridCol w:w="1470"/>
      </w:tblGrid>
      <w:tr>
        <w:trPr>
          <w:trHeight w:val="1140" w:hRule="atLeast"/>
        </w:trPr>
        <w:tc>
          <w:tcPr>
            <w:tcW w:w="854" w:type="dxa"/>
            <w:tcBorders>
              <w:top w:val="single" w:sz="4" w:space="0" w:color="000000"/>
              <w:left w:val="single" w:sz="4" w:space="0" w:color="000000"/>
              <w:bottom w:val="single" w:sz="4" w:space="0" w:color="000000"/>
            </w:tcBorders>
            <w:vAlign w:val="center"/>
          </w:tcPr>
          <w:p>
            <w:pPr>
              <w:pStyle w:val="Normal"/>
              <w:widowControl w:val="false"/>
              <w:tabs>
                <w:tab w:val="clear" w:pos="298"/>
              </w:tabs>
              <w:spacing w:lineRule="auto" w:line="240" w:before="119" w:after="119"/>
              <w:jc w:val="left"/>
              <w:rPr>
                <w:rFonts w:ascii="Calibri" w:hAnsi="Calibri" w:eastAsia="Times New Roman" w:cs="Calibri"/>
                <w:b/>
                <w:b/>
                <w:bCs/>
                <w:color w:val="000000"/>
                <w:sz w:val="20"/>
                <w:szCs w:val="20"/>
              </w:rPr>
            </w:pPr>
            <w:r>
              <w:rPr>
                <w:rFonts w:eastAsia="Times New Roman" w:cs="Calibri" w:ascii="Calibri" w:hAnsi="Calibri"/>
                <w:b/>
                <w:bCs/>
                <w:color w:val="000000"/>
                <w:sz w:val="20"/>
                <w:szCs w:val="20"/>
              </w:rPr>
            </w:r>
          </w:p>
          <w:p>
            <w:pPr>
              <w:pStyle w:val="Normal"/>
              <w:widowControl w:val="false"/>
              <w:tabs>
                <w:tab w:val="clear" w:pos="298"/>
              </w:tabs>
              <w:spacing w:lineRule="auto" w:line="240" w:before="119" w:after="119"/>
              <w:jc w:val="left"/>
              <w:rPr>
                <w:rFonts w:ascii="Calibri" w:hAnsi="Calibri"/>
                <w:sz w:val="20"/>
                <w:szCs w:val="20"/>
              </w:rPr>
            </w:pPr>
            <w:r>
              <w:rPr>
                <w:rFonts w:eastAsia="Times New Roman" w:cs="Calibri" w:ascii="Calibri" w:hAnsi="Calibri"/>
                <w:b/>
                <w:bCs/>
                <w:color w:val="000000"/>
                <w:sz w:val="20"/>
                <w:szCs w:val="20"/>
                <w:shd w:fill="auto" w:val="clear"/>
              </w:rPr>
              <w:t>ITEM</w:t>
            </w:r>
          </w:p>
          <w:p>
            <w:pPr>
              <w:pStyle w:val="Normal"/>
              <w:widowControl w:val="false"/>
              <w:tabs>
                <w:tab w:val="clear" w:pos="298"/>
              </w:tabs>
              <w:spacing w:lineRule="auto" w:line="240" w:before="119" w:after="119"/>
              <w:jc w:val="left"/>
              <w:rPr>
                <w:rFonts w:ascii="Calibri" w:hAnsi="Calibri" w:eastAsia="Times New Roman" w:cs="Calibri"/>
                <w:b/>
                <w:b/>
                <w:bCs/>
                <w:color w:val="000000"/>
                <w:sz w:val="20"/>
                <w:szCs w:val="20"/>
              </w:rPr>
            </w:pPr>
            <w:r>
              <w:rPr>
                <w:rFonts w:eastAsia="Times New Roman" w:cs="Calibri" w:ascii="Calibri" w:hAnsi="Calibri"/>
                <w:b/>
                <w:bCs/>
                <w:color w:val="000000"/>
                <w:sz w:val="20"/>
                <w:szCs w:val="20"/>
              </w:rPr>
            </w:r>
          </w:p>
        </w:tc>
        <w:tc>
          <w:tcPr>
            <w:tcW w:w="1351" w:type="dxa"/>
            <w:tcBorders>
              <w:top w:val="single" w:sz="4" w:space="0" w:color="000000"/>
              <w:left w:val="single" w:sz="4" w:space="0" w:color="000000"/>
              <w:bottom w:val="single" w:sz="4" w:space="0" w:color="000000"/>
            </w:tcBorders>
            <w:vAlign w:val="center"/>
          </w:tcPr>
          <w:p>
            <w:pPr>
              <w:pStyle w:val="Normal"/>
              <w:widowControl w:val="false"/>
              <w:tabs>
                <w:tab w:val="clear" w:pos="298"/>
              </w:tabs>
              <w:spacing w:lineRule="auto" w:line="240" w:before="119" w:after="119"/>
              <w:jc w:val="left"/>
              <w:rPr>
                <w:rFonts w:ascii="Calibri" w:hAnsi="Calibri"/>
                <w:sz w:val="20"/>
                <w:szCs w:val="20"/>
              </w:rPr>
            </w:pPr>
            <w:r>
              <w:rPr>
                <w:rFonts w:cs="Calibri" w:ascii="Calibri" w:hAnsi="Calibri"/>
                <w:b/>
                <w:color w:val="000000"/>
                <w:sz w:val="20"/>
                <w:szCs w:val="20"/>
                <w:shd w:fill="auto" w:val="clear"/>
              </w:rPr>
              <w:t>CATMAT</w:t>
            </w:r>
          </w:p>
        </w:tc>
        <w:tc>
          <w:tcPr>
            <w:tcW w:w="1814" w:type="dxa"/>
            <w:tcBorders>
              <w:top w:val="single" w:sz="4" w:space="0" w:color="000000"/>
              <w:left w:val="single" w:sz="4" w:space="0" w:color="000000"/>
              <w:bottom w:val="single" w:sz="4" w:space="0" w:color="000000"/>
            </w:tcBorders>
            <w:vAlign w:val="center"/>
          </w:tcPr>
          <w:p>
            <w:pPr>
              <w:pStyle w:val="Normal"/>
              <w:widowControl w:val="false"/>
              <w:tabs>
                <w:tab w:val="clear" w:pos="298"/>
              </w:tabs>
              <w:spacing w:lineRule="auto" w:line="240" w:before="119" w:after="119"/>
              <w:jc w:val="left"/>
              <w:rPr>
                <w:rFonts w:ascii="Calibri" w:hAnsi="Calibri"/>
                <w:sz w:val="20"/>
                <w:szCs w:val="20"/>
              </w:rPr>
            </w:pPr>
            <w:r>
              <w:rPr>
                <w:rFonts w:eastAsia="Times New Roman" w:cs="Calibri" w:ascii="Calibri" w:hAnsi="Calibri"/>
                <w:b/>
                <w:color w:val="000000"/>
                <w:sz w:val="20"/>
                <w:szCs w:val="20"/>
                <w:shd w:fill="auto" w:val="clear"/>
              </w:rPr>
              <w:t>DESCRIÇÃO/ESPECIFICAÇÃO</w:t>
            </w:r>
          </w:p>
        </w:tc>
        <w:tc>
          <w:tcPr>
            <w:tcW w:w="1081" w:type="dxa"/>
            <w:tcBorders>
              <w:top w:val="single" w:sz="4" w:space="0" w:color="000000"/>
              <w:left w:val="single" w:sz="4" w:space="0" w:color="000000"/>
              <w:bottom w:val="single" w:sz="4" w:space="0" w:color="000000"/>
            </w:tcBorders>
            <w:vAlign w:val="center"/>
          </w:tcPr>
          <w:p>
            <w:pPr>
              <w:pStyle w:val="Normal"/>
              <w:widowControl w:val="false"/>
              <w:tabs>
                <w:tab w:val="clear" w:pos="298"/>
              </w:tabs>
              <w:spacing w:lineRule="auto" w:line="240" w:before="119" w:after="119"/>
              <w:jc w:val="left"/>
              <w:rPr>
                <w:rFonts w:ascii="Calibri" w:hAnsi="Calibri"/>
                <w:sz w:val="20"/>
                <w:szCs w:val="20"/>
              </w:rPr>
            </w:pPr>
            <w:r>
              <w:rPr>
                <w:rFonts w:eastAsia="Times New Roman" w:cs="Calibri" w:ascii="Calibri" w:hAnsi="Calibri"/>
                <w:b/>
                <w:color w:val="000000"/>
                <w:sz w:val="20"/>
                <w:szCs w:val="20"/>
                <w:shd w:fill="auto" w:val="clear"/>
              </w:rPr>
              <w:t>Unidade  de Medida</w:t>
            </w:r>
          </w:p>
        </w:tc>
        <w:tc>
          <w:tcPr>
            <w:tcW w:w="1245" w:type="dxa"/>
            <w:tcBorders>
              <w:top w:val="single" w:sz="4" w:space="0" w:color="000000"/>
              <w:left w:val="single" w:sz="4" w:space="0" w:color="000000"/>
              <w:bottom w:val="single" w:sz="4" w:space="0" w:color="000000"/>
            </w:tcBorders>
            <w:vAlign w:val="center"/>
          </w:tcPr>
          <w:p>
            <w:pPr>
              <w:pStyle w:val="Normal"/>
              <w:widowControl w:val="false"/>
              <w:tabs>
                <w:tab w:val="clear" w:pos="298"/>
              </w:tabs>
              <w:spacing w:lineRule="auto" w:line="240" w:before="119" w:after="119"/>
              <w:jc w:val="left"/>
              <w:rPr>
                <w:rFonts w:ascii="Calibri" w:hAnsi="Calibri"/>
                <w:sz w:val="20"/>
                <w:szCs w:val="20"/>
              </w:rPr>
            </w:pPr>
            <w:r>
              <w:rPr>
                <w:rFonts w:eastAsia="Times New Roman" w:cs="Calibri" w:ascii="Calibri" w:hAnsi="Calibri"/>
                <w:b/>
                <w:color w:val="000000"/>
                <w:sz w:val="20"/>
                <w:szCs w:val="20"/>
                <w:shd w:fill="auto" w:val="clear"/>
              </w:rPr>
              <w:t>Quantidade</w:t>
            </w:r>
          </w:p>
        </w:tc>
        <w:tc>
          <w:tcPr>
            <w:tcW w:w="1365" w:type="dxa"/>
            <w:tcBorders>
              <w:top w:val="single" w:sz="4" w:space="0" w:color="000000"/>
              <w:left w:val="single" w:sz="4" w:space="0" w:color="000000"/>
              <w:bottom w:val="single" w:sz="4" w:space="0" w:color="000000"/>
            </w:tcBorders>
            <w:vAlign w:val="center"/>
          </w:tcPr>
          <w:p>
            <w:pPr>
              <w:pStyle w:val="Normal"/>
              <w:widowControl w:val="false"/>
              <w:tabs>
                <w:tab w:val="clear" w:pos="298"/>
              </w:tabs>
              <w:spacing w:lineRule="auto" w:line="240" w:before="119" w:after="119"/>
              <w:jc w:val="left"/>
              <w:rPr>
                <w:rFonts w:ascii="Calibri" w:hAnsi="Calibri"/>
                <w:sz w:val="20"/>
                <w:szCs w:val="20"/>
              </w:rPr>
            </w:pPr>
            <w:r>
              <w:rPr>
                <w:rFonts w:ascii="Calibri" w:hAnsi="Calibri"/>
                <w:b/>
                <w:color w:val="000000"/>
                <w:sz w:val="20"/>
                <w:szCs w:val="20"/>
                <w:shd w:fill="auto" w:val="clear"/>
              </w:rPr>
              <w:t>Valor Unitário</w:t>
            </w:r>
          </w:p>
        </w:tc>
        <w:tc>
          <w:tcPr>
            <w:tcW w:w="147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298"/>
              </w:tabs>
              <w:spacing w:lineRule="auto" w:line="240" w:before="119" w:after="119"/>
              <w:jc w:val="left"/>
              <w:rPr>
                <w:rFonts w:ascii="Calibri" w:hAnsi="Calibri"/>
                <w:sz w:val="20"/>
                <w:szCs w:val="20"/>
              </w:rPr>
            </w:pPr>
            <w:r>
              <w:rPr>
                <w:rFonts w:ascii="Calibri" w:hAnsi="Calibri"/>
                <w:b/>
                <w:color w:val="000000"/>
                <w:sz w:val="20"/>
                <w:szCs w:val="20"/>
                <w:shd w:fill="auto" w:val="clear"/>
              </w:rPr>
              <w:t>Valor Total</w:t>
            </w:r>
          </w:p>
        </w:tc>
      </w:tr>
      <w:tr>
        <w:trPr>
          <w:trHeight w:val="1410"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1</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432380</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both"/>
              <w:rPr>
                <w:rFonts w:ascii="Calibri" w:hAnsi="Calibri"/>
                <w:sz w:val="24"/>
                <w:szCs w:val="24"/>
              </w:rPr>
            </w:pPr>
            <w:r>
              <w:rPr>
                <w:rFonts w:ascii="Calibri" w:hAnsi="Calibri"/>
                <w:b w:val="false"/>
                <w:i w:val="false"/>
                <w:strike w:val="false"/>
                <w:dstrike w:val="false"/>
                <w:outline w:val="false"/>
                <w:shadow w:val="false"/>
                <w:sz w:val="24"/>
                <w:szCs w:val="24"/>
                <w:u w:val="none"/>
                <w:em w:val="none"/>
              </w:rPr>
              <w:t xml:space="preserve">PILHA AAA, ALCALINA  -  Alta Durabilidade na Carga. </w:t>
            </w:r>
            <w:r>
              <w:rPr>
                <w:rFonts w:ascii="Calibri" w:hAnsi="Calibri"/>
                <w:sz w:val="24"/>
                <w:szCs w:val="24"/>
              </w:rPr>
              <w:t xml:space="preserve">Composição livre de metais pesados que são prejudiciais à saúde. Aprovadas por laboratórios credenciados-  pelo INMETRO- </w:t>
            </w:r>
            <w:r>
              <w:rPr>
                <w:rFonts w:ascii="Calibri" w:hAnsi="Calibri"/>
                <w:b/>
                <w:bCs/>
                <w:sz w:val="24"/>
                <w:szCs w:val="24"/>
              </w:rPr>
              <w:t>PACOTE COM 4 UNIDADES</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UN</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600</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R$ 5,50</w:t>
            </w:r>
          </w:p>
        </w:tc>
        <w:tc>
          <w:tcPr>
            <w:tcW w:w="1470"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R$3.300,00</w:t>
            </w:r>
          </w:p>
        </w:tc>
      </w:tr>
      <w:tr>
        <w:trPr>
          <w:trHeight w:val="2259"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2</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419859</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 xml:space="preserve">PILHA AA, ALCALINA- Alta Durabilidade na Carga. Composição livre de metais pesados que são prejudiciais à saúde. Aprovadas por laboratórios credenciados-  pelo INMETRO PACOTE </w:t>
            </w:r>
            <w:r>
              <w:rPr>
                <w:rFonts w:ascii="Calibri" w:hAnsi="Calibri"/>
                <w:b/>
                <w:bCs/>
                <w:i w:val="false"/>
                <w:strike w:val="false"/>
                <w:dstrike w:val="false"/>
                <w:outline w:val="false"/>
                <w:shadow w:val="false"/>
                <w:sz w:val="24"/>
                <w:szCs w:val="24"/>
                <w:u w:val="none"/>
                <w:em w:val="none"/>
              </w:rPr>
              <w:t>COM 02 UNIDADES</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UN</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1500</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  3,07</w:t>
            </w:r>
          </w:p>
        </w:tc>
        <w:tc>
          <w:tcPr>
            <w:tcW w:w="1470"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R$4.605,00</w:t>
            </w:r>
          </w:p>
        </w:tc>
      </w:tr>
      <w:tr>
        <w:trPr>
          <w:trHeight w:val="1560"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3</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463188</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DETERGENTE LIQUIDO 5 L, com Ph 6,50.</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LT</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100</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R$10,22</w:t>
            </w:r>
          </w:p>
        </w:tc>
        <w:tc>
          <w:tcPr>
            <w:tcW w:w="1470"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R$1.022,00</w:t>
            </w:r>
          </w:p>
        </w:tc>
      </w:tr>
      <w:tr>
        <w:trPr>
          <w:trHeight w:val="1446"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4</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462546</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 xml:space="preserve">CANETA AZUL- </w:t>
            </w:r>
            <w:bookmarkStart w:id="2" w:name="h5produtoDescricao25"/>
            <w:bookmarkEnd w:id="2"/>
            <w:r>
              <w:rPr>
                <w:rFonts w:ascii="Calibri" w:hAnsi="Calibri"/>
                <w:sz w:val="24"/>
                <w:szCs w:val="24"/>
              </w:rPr>
              <w:t>Caneta Esferográfica BIC Escrita Média Cristal Dura Mais, Azul</w:t>
            </w:r>
          </w:p>
          <w:p>
            <w:pPr>
              <w:pStyle w:val="Contedodatabela"/>
              <w:widowControl w:val="false"/>
              <w:jc w:val="center"/>
              <w:rPr/>
            </w:pPr>
            <w:r>
              <w:rPr>
                <w:rFonts w:ascii="Calibri" w:hAnsi="Calibri"/>
                <w:sz w:val="24"/>
                <w:szCs w:val="24"/>
              </w:rPr>
              <w:t xml:space="preserve"> </w:t>
            </w:r>
            <w:r>
              <w:rPr>
                <w:rFonts w:ascii="Calibri" w:hAnsi="Calibri"/>
                <w:sz w:val="24"/>
                <w:szCs w:val="24"/>
              </w:rPr>
              <w:t>CAIXA 50 UNIDADES-</w:t>
            </w:r>
            <w:r>
              <w:rPr>
                <w:rStyle w:val="Nfaseforte"/>
                <w:rFonts w:ascii="Calibri" w:hAnsi="Calibri"/>
                <w:sz w:val="24"/>
                <w:szCs w:val="24"/>
              </w:rPr>
              <w:t>Inmetro Nº 333/2012:</w:t>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CX</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10</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R$32,68</w:t>
            </w:r>
          </w:p>
        </w:tc>
        <w:tc>
          <w:tcPr>
            <w:tcW w:w="1470"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R$326,80</w:t>
            </w:r>
          </w:p>
        </w:tc>
      </w:tr>
      <w:tr>
        <w:trPr>
          <w:trHeight w:val="1347"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5</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447943</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CANETA PARA QUADRO BRANCO AZUL</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CX</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4</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R$26,27</w:t>
            </w:r>
          </w:p>
        </w:tc>
        <w:tc>
          <w:tcPr>
            <w:tcW w:w="1470"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R$105,08</w:t>
            </w:r>
          </w:p>
        </w:tc>
      </w:tr>
      <w:tr>
        <w:trPr>
          <w:trHeight w:val="1218"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6</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447944</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CANETA PARA QUADRO BRANCO PRETA</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CX</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4</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R$23,95</w:t>
            </w:r>
          </w:p>
        </w:tc>
        <w:tc>
          <w:tcPr>
            <w:tcW w:w="1470"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R$95,80</w:t>
            </w:r>
          </w:p>
        </w:tc>
      </w:tr>
      <w:tr>
        <w:trPr>
          <w:trHeight w:val="1020"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7</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447945</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CANETA PARA QUADRO BRANCO VERMELHA</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CX</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4</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R$22,03</w:t>
            </w:r>
          </w:p>
        </w:tc>
        <w:tc>
          <w:tcPr>
            <w:tcW w:w="1470"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R$88,12</w:t>
            </w:r>
          </w:p>
        </w:tc>
      </w:tr>
      <w:tr>
        <w:trPr>
          <w:trHeight w:val="1245"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8</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422222</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PAPEL HIGIÊNICO, COM FOLHA DUPLA, NEUTRO, ANTIALÉRGICO, SEM CHEIRO, COR BRANCA,  PACOTE COM 12 UNIDADES</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FARDO</w:t>
            </w:r>
          </w:p>
          <w:p>
            <w:pPr>
              <w:pStyle w:val="Normal"/>
              <w:widowControl w:val="false"/>
              <w:jc w:val="center"/>
              <w:rPr>
                <w:rFonts w:ascii="Calibri" w:hAnsi="Calibri"/>
                <w:sz w:val="24"/>
                <w:szCs w:val="24"/>
              </w:rPr>
            </w:pPr>
            <w:r>
              <w:rPr>
                <w:rFonts w:ascii="Calibri" w:hAnsi="Calibri"/>
                <w:sz w:val="24"/>
                <w:szCs w:val="24"/>
              </w:rPr>
            </w:r>
          </w:p>
        </w:tc>
        <w:tc>
          <w:tcPr>
            <w:tcW w:w="1245"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90</w:t>
            </w:r>
          </w:p>
          <w:p>
            <w:pPr>
              <w:pStyle w:val="Normal"/>
              <w:widowControl w:val="false"/>
              <w:jc w:val="center"/>
              <w:rPr>
                <w:rFonts w:ascii="Calibri" w:hAnsi="Calibri"/>
                <w:sz w:val="24"/>
                <w:szCs w:val="24"/>
              </w:rPr>
            </w:pPr>
            <w:r>
              <w:rPr>
                <w:rFonts w:ascii="Calibri" w:hAnsi="Calibri"/>
                <w:sz w:val="24"/>
                <w:szCs w:val="24"/>
              </w:rPr>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R$29,99</w:t>
            </w:r>
          </w:p>
        </w:tc>
        <w:tc>
          <w:tcPr>
            <w:tcW w:w="1470"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R$2.699,10</w:t>
            </w:r>
          </w:p>
        </w:tc>
      </w:tr>
      <w:tr>
        <w:trPr>
          <w:trHeight w:val="1480"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9</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481090</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SACO DE LIXO PRETO 100L PCT COM 100</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FARDO</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100</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R$32,00</w:t>
            </w:r>
          </w:p>
        </w:tc>
        <w:tc>
          <w:tcPr>
            <w:tcW w:w="1470"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R$3.200,00</w:t>
            </w:r>
          </w:p>
        </w:tc>
      </w:tr>
      <w:tr>
        <w:trPr>
          <w:trHeight w:val="1480"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b/>
                <w:b/>
                <w:bCs/>
                <w:sz w:val="24"/>
                <w:szCs w:val="24"/>
              </w:rPr>
            </w:pPr>
            <w:r>
              <w:rPr>
                <w:rFonts w:ascii="Calibri" w:hAnsi="Calibri"/>
                <w:b/>
                <w:bCs/>
                <w:sz w:val="24"/>
                <w:szCs w:val="24"/>
              </w:rPr>
              <w:t>1</w:t>
            </w:r>
            <w:r>
              <w:rPr>
                <w:rFonts w:ascii="Calibri" w:hAnsi="Calibri"/>
                <w:b/>
                <w:bCs/>
                <w:sz w:val="24"/>
                <w:szCs w:val="24"/>
              </w:rPr>
              <w:t>0</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470832</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SACO DE LIXO PRETO 60L PCT COM 100</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FARDO</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100</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R$17,34</w:t>
            </w:r>
          </w:p>
        </w:tc>
        <w:tc>
          <w:tcPr>
            <w:tcW w:w="1470"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R$1.734,00</w:t>
            </w:r>
          </w:p>
        </w:tc>
      </w:tr>
      <w:tr>
        <w:trPr>
          <w:trHeight w:val="1201"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1</w:t>
            </w:r>
            <w:r>
              <w:rPr>
                <w:rFonts w:ascii="Calibri" w:hAnsi="Calibri"/>
                <w:b/>
                <w:sz w:val="24"/>
                <w:szCs w:val="24"/>
              </w:rPr>
              <w:t>1</w:t>
            </w:r>
          </w:p>
        </w:tc>
        <w:tc>
          <w:tcPr>
            <w:tcW w:w="135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440044</w:t>
            </w:r>
          </w:p>
        </w:tc>
        <w:tc>
          <w:tcPr>
            <w:tcW w:w="181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Limpador Impurezas Aplicação: Limpeza Do Forno Combinado Modelo Selfcookingcente , Tipo: Pastilha Detergente</w:t>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CX – 150 UN</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3</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R$973,75</w:t>
            </w:r>
          </w:p>
        </w:tc>
        <w:tc>
          <w:tcPr>
            <w:tcW w:w="1470"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R$ 2.921,25</w:t>
            </w:r>
          </w:p>
        </w:tc>
      </w:tr>
      <w:tr>
        <w:trPr>
          <w:trHeight w:val="1432"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1</w:t>
            </w:r>
            <w:r>
              <w:rPr>
                <w:rFonts w:ascii="Calibri" w:hAnsi="Calibri"/>
                <w:b/>
                <w:sz w:val="24"/>
                <w:szCs w:val="24"/>
              </w:rPr>
              <w:t>2</w:t>
            </w:r>
          </w:p>
        </w:tc>
        <w:tc>
          <w:tcPr>
            <w:tcW w:w="135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440043</w:t>
            </w:r>
          </w:p>
        </w:tc>
        <w:tc>
          <w:tcPr>
            <w:tcW w:w="181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Limpador Impurezas Aplicação: Limpeza Do Forno Combinado Modelo Selfcookingcente , Tipo: Pastilha Descalcificante</w:t>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CX – 150 UN</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3</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876,68</w:t>
            </w:r>
          </w:p>
        </w:tc>
        <w:tc>
          <w:tcPr>
            <w:tcW w:w="1470"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R$ 2.630,04</w:t>
            </w:r>
          </w:p>
        </w:tc>
      </w:tr>
      <w:tr>
        <w:trPr>
          <w:trHeight w:val="1723"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1</w:t>
            </w:r>
            <w:r>
              <w:rPr>
                <w:rFonts w:ascii="Calibri" w:hAnsi="Calibri"/>
                <w:b/>
                <w:sz w:val="24"/>
                <w:szCs w:val="24"/>
              </w:rPr>
              <w:t>3</w:t>
            </w:r>
          </w:p>
        </w:tc>
        <w:tc>
          <w:tcPr>
            <w:tcW w:w="135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605352</w:t>
            </w:r>
          </w:p>
        </w:tc>
        <w:tc>
          <w:tcPr>
            <w:tcW w:w="181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Armadilha Animal Tipo: Entomológica , Componentes: Placa Adesiva Dupla-Face Azul , Características Adicionais: Comprimento 24,5 Cm E Largura De 10 Cm</w:t>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UN</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300</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R$8,36</w:t>
            </w:r>
          </w:p>
        </w:tc>
        <w:tc>
          <w:tcPr>
            <w:tcW w:w="1470"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R$ 2.508,99</w:t>
            </w:r>
          </w:p>
        </w:tc>
      </w:tr>
      <w:tr>
        <w:trPr>
          <w:trHeight w:val="1517"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1</w:t>
            </w:r>
            <w:r>
              <w:rPr>
                <w:rFonts w:ascii="Calibri" w:hAnsi="Calibri"/>
                <w:b/>
                <w:sz w:val="24"/>
                <w:szCs w:val="24"/>
              </w:rPr>
              <w:t>4</w:t>
            </w:r>
          </w:p>
        </w:tc>
        <w:tc>
          <w:tcPr>
            <w:tcW w:w="135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452666</w:t>
            </w:r>
          </w:p>
        </w:tc>
        <w:tc>
          <w:tcPr>
            <w:tcW w:w="181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Lâmpada Fluorescente Compacta, Cor: Branca , Potência Nominal: 32 W, Tensão Nominal: 110/220 V, correspondente à luminária de sobrepor hermética (item 8).</w:t>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UN</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50</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R$1,83</w:t>
            </w:r>
          </w:p>
        </w:tc>
        <w:tc>
          <w:tcPr>
            <w:tcW w:w="1470"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R$ 91,50</w:t>
            </w:r>
          </w:p>
        </w:tc>
      </w:tr>
      <w:tr>
        <w:trPr>
          <w:trHeight w:val="1517"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w:t>
            </w:r>
            <w:r>
              <w:rPr>
                <w:rFonts w:ascii="Calibri" w:hAnsi="Calibri"/>
                <w:sz w:val="24"/>
                <w:szCs w:val="24"/>
              </w:rPr>
              <w:t>5</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311187</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Aparelho ar condicionado, capacidade refrigeração: 18.000 btu, tensão 220v compatível com a fase disponível no RJ, frequência: 60 hz, tipo: JANELA, características adicionais: compressor rotativo; apenas ciclo frio.</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UN</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03</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R$5,018,33</w:t>
            </w:r>
          </w:p>
        </w:tc>
        <w:tc>
          <w:tcPr>
            <w:tcW w:w="1470"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R$15.055,00</w:t>
            </w:r>
          </w:p>
        </w:tc>
      </w:tr>
      <w:tr>
        <w:trPr>
          <w:trHeight w:val="1517"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w:t>
            </w:r>
            <w:r>
              <w:rPr>
                <w:rFonts w:ascii="Calibri" w:hAnsi="Calibri"/>
                <w:sz w:val="24"/>
                <w:szCs w:val="24"/>
              </w:rPr>
              <w:t>6</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459881</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Kit Placa Universal para Ar Split Hi Wall e Piso Teto – compatíveis com 7K, 9K, 12K, 18K, 22K, 24K, 30K, 36K, 48K, 60K, 80K, Btus, tensão 220V.</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UN</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10</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R$117,45</w:t>
            </w:r>
          </w:p>
        </w:tc>
        <w:tc>
          <w:tcPr>
            <w:tcW w:w="1470"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R$1.174,50</w:t>
            </w:r>
          </w:p>
        </w:tc>
      </w:tr>
      <w:tr>
        <w:trPr>
          <w:trHeight w:val="1517"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w:t>
            </w:r>
            <w:r>
              <w:rPr>
                <w:rFonts w:ascii="Calibri" w:hAnsi="Calibri"/>
                <w:sz w:val="24"/>
                <w:szCs w:val="24"/>
              </w:rPr>
              <w:t>7</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387676</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Tubo Cobre Panqueca 15 Metros 3/4 " = 19,05mm Parede 1/32 " = 0,79mm, para instalação de ar-condicionado split</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UN</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R$665,53</w:t>
            </w:r>
          </w:p>
        </w:tc>
        <w:tc>
          <w:tcPr>
            <w:tcW w:w="1470"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R$665,53</w:t>
            </w:r>
          </w:p>
        </w:tc>
      </w:tr>
      <w:tr>
        <w:trPr>
          <w:trHeight w:val="1517"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w:t>
            </w:r>
            <w:r>
              <w:rPr>
                <w:rFonts w:ascii="Calibri" w:hAnsi="Calibri"/>
                <w:sz w:val="24"/>
                <w:szCs w:val="24"/>
              </w:rPr>
              <w:t>8</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387605</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tubo esponjoso isolante de 3/4 - 2 metros, para tubulação de ar-condicionado split</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UN</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15</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R$2,98</w:t>
            </w:r>
          </w:p>
        </w:tc>
        <w:tc>
          <w:tcPr>
            <w:tcW w:w="1470"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R$44,70</w:t>
            </w:r>
          </w:p>
        </w:tc>
      </w:tr>
      <w:tr>
        <w:trPr>
          <w:trHeight w:val="1517"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19</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 xml:space="preserve">622785 </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Cabo elétrico Flexível 4,0mm 750V Rolo 100m</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UN</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3</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R$343,90</w:t>
            </w:r>
          </w:p>
        </w:tc>
        <w:tc>
          <w:tcPr>
            <w:tcW w:w="1470"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R$1.031,69</w:t>
            </w:r>
          </w:p>
        </w:tc>
      </w:tr>
      <w:tr>
        <w:trPr>
          <w:trHeight w:val="1517"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2</w:t>
            </w:r>
            <w:r>
              <w:rPr>
                <w:rFonts w:ascii="Calibri" w:hAnsi="Calibri"/>
                <w:sz w:val="24"/>
                <w:szCs w:val="24"/>
              </w:rPr>
              <w:t>0</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 xml:space="preserve">615231 </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Lâmpada de LED E27 Bulbo 9W 810lm Luz Branca Bivolt</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 xml:space="preserve">UN </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50</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R$3,86</w:t>
            </w:r>
          </w:p>
        </w:tc>
        <w:tc>
          <w:tcPr>
            <w:tcW w:w="1470"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R$193,00</w:t>
            </w:r>
          </w:p>
        </w:tc>
      </w:tr>
      <w:tr>
        <w:trPr>
          <w:trHeight w:val="1517"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21</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411944</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 xml:space="preserve">CANETA VERMELHA- </w:t>
            </w:r>
            <w:bookmarkStart w:id="3" w:name="h5produtoDescricao115"/>
            <w:bookmarkEnd w:id="3"/>
            <w:r>
              <w:rPr>
                <w:rFonts w:ascii="Calibri" w:hAnsi="Calibri"/>
                <w:sz w:val="24"/>
                <w:szCs w:val="24"/>
              </w:rPr>
              <w:t>Caneta Esferográfica BIC Escrita Média Cristal Dura Mais, Vermelha</w:t>
            </w:r>
          </w:p>
          <w:p>
            <w:pPr>
              <w:pStyle w:val="Contedodatabela"/>
              <w:widowControl w:val="false"/>
              <w:jc w:val="center"/>
              <w:rPr/>
            </w:pPr>
            <w:r>
              <w:rPr>
                <w:rFonts w:ascii="Calibri" w:hAnsi="Calibri"/>
                <w:sz w:val="24"/>
                <w:szCs w:val="24"/>
              </w:rPr>
              <w:t xml:space="preserve"> </w:t>
            </w:r>
            <w:r>
              <w:rPr>
                <w:rFonts w:ascii="Calibri" w:hAnsi="Calibri"/>
                <w:sz w:val="24"/>
                <w:szCs w:val="24"/>
              </w:rPr>
              <w:t>CAIXA 50 UNIDADES-</w:t>
            </w:r>
            <w:r>
              <w:rPr>
                <w:rStyle w:val="Nfaseforte"/>
                <w:rFonts w:ascii="Calibri" w:hAnsi="Calibri"/>
                <w:sz w:val="24"/>
                <w:szCs w:val="24"/>
              </w:rPr>
              <w:t>Inmetro Nº 333/2012</w:t>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CX</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10</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R$26,00</w:t>
            </w:r>
          </w:p>
        </w:tc>
        <w:tc>
          <w:tcPr>
            <w:tcW w:w="1470"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R$260,00</w:t>
            </w:r>
          </w:p>
        </w:tc>
      </w:tr>
      <w:tr>
        <w:trPr>
          <w:trHeight w:val="686" w:hRule="atLeast"/>
        </w:trPr>
        <w:tc>
          <w:tcPr>
            <w:tcW w:w="6345" w:type="dxa"/>
            <w:gridSpan w:val="5"/>
            <w:tcBorders>
              <w:left w:val="single" w:sz="4" w:space="0" w:color="000000"/>
              <w:bottom w:val="single" w:sz="4" w:space="0" w:color="000000"/>
            </w:tcBorders>
            <w:vAlign w:val="center"/>
          </w:tcPr>
          <w:p>
            <w:pPr>
              <w:pStyle w:val="Contedodatabela"/>
              <w:widowControl w:val="false"/>
              <w:jc w:val="center"/>
              <w:rPr>
                <w:rFonts w:ascii="Calibri" w:hAnsi="Calibri"/>
                <w:b/>
                <w:b/>
                <w:bCs/>
                <w:sz w:val="24"/>
                <w:szCs w:val="24"/>
              </w:rPr>
            </w:pPr>
            <w:r>
              <w:rPr>
                <w:rFonts w:ascii="Calibri" w:hAnsi="Calibri"/>
                <w:b/>
                <w:bCs/>
                <w:sz w:val="24"/>
                <w:szCs w:val="24"/>
              </w:rPr>
              <w:t>TOTAL:</w:t>
            </w:r>
          </w:p>
        </w:tc>
        <w:tc>
          <w:tcPr>
            <w:tcW w:w="1365" w:type="dxa"/>
            <w:tcBorders>
              <w:left w:val="single" w:sz="4" w:space="0" w:color="000000"/>
              <w:bottom w:val="single" w:sz="4" w:space="0" w:color="000000"/>
            </w:tcBorders>
            <w:vAlign w:val="center"/>
          </w:tcPr>
          <w:p>
            <w:pPr>
              <w:pStyle w:val="Corpodotexto"/>
              <w:widowControl w:val="false"/>
              <w:spacing w:before="0" w:after="0"/>
              <w:ind w:left="0" w:right="0" w:hanging="0"/>
              <w:jc w:val="center"/>
              <w:rPr>
                <w:rFonts w:ascii="Calibri" w:hAnsi="Calibri"/>
                <w:b/>
                <w:b/>
                <w:bCs/>
                <w:sz w:val="24"/>
                <w:szCs w:val="24"/>
              </w:rPr>
            </w:pPr>
            <w:r>
              <w:rPr>
                <w:rFonts w:ascii="Calibri" w:hAnsi="Calibri"/>
                <w:b/>
                <w:bCs/>
                <w:sz w:val="24"/>
                <w:szCs w:val="24"/>
              </w:rPr>
              <w:t xml:space="preserve">R$ </w:t>
            </w:r>
          </w:p>
        </w:tc>
        <w:tc>
          <w:tcPr>
            <w:tcW w:w="1470" w:type="dxa"/>
            <w:tcBorders>
              <w:left w:val="single" w:sz="4" w:space="0" w:color="000000"/>
              <w:bottom w:val="single" w:sz="4" w:space="0" w:color="000000"/>
              <w:right w:val="single" w:sz="4" w:space="0" w:color="000000"/>
            </w:tcBorders>
            <w:vAlign w:val="center"/>
          </w:tcPr>
          <w:p>
            <w:pPr>
              <w:pStyle w:val="Corpodotexto"/>
              <w:widowControl w:val="false"/>
              <w:spacing w:before="0" w:after="0"/>
              <w:ind w:left="0" w:right="0" w:hanging="0"/>
              <w:jc w:val="center"/>
              <w:rPr>
                <w:rFonts w:ascii="Calibri" w:hAnsi="Calibri"/>
                <w:b/>
                <w:b/>
                <w:bCs/>
                <w:sz w:val="24"/>
                <w:szCs w:val="24"/>
              </w:rPr>
            </w:pPr>
            <w:r>
              <w:rPr>
                <w:rFonts w:ascii="Calibri" w:hAnsi="Calibri"/>
                <w:b/>
                <w:bCs/>
                <w:sz w:val="24"/>
                <w:szCs w:val="24"/>
              </w:rPr>
              <w:t>R$43.752,10</w:t>
            </w:r>
          </w:p>
        </w:tc>
      </w:tr>
    </w:tbl>
    <w:p>
      <w:pPr>
        <w:pStyle w:val="Normal"/>
        <w:widowControl/>
        <w:numPr>
          <w:ilvl w:val="0"/>
          <w:numId w:val="0"/>
        </w:numPr>
        <w:shd w:val="clear" w:color="auto" w:fill="auto"/>
        <w:spacing w:before="120" w:after="120"/>
        <w:ind w:hanging="0"/>
        <w:rPr/>
      </w:pPr>
      <w:r>
        <w:rPr/>
      </w:r>
      <w:r>
        <w:br w:type="page"/>
      </w:r>
    </w:p>
    <w:p>
      <w:pPr>
        <w:pStyle w:val="Ttulo1"/>
        <w:numPr>
          <w:ilvl w:val="0"/>
          <w:numId w:val="3"/>
        </w:numPr>
        <w:rPr>
          <w:highlight w:val="white"/>
        </w:rPr>
      </w:pPr>
      <w:r>
        <w:rPr>
          <w:highlight w:val="white"/>
        </w:rPr>
        <w:t xml:space="preserve">REGISTRO DE PREÇOS </w:t>
      </w:r>
    </w:p>
    <w:p>
      <w:pPr>
        <w:pStyle w:val="Normal"/>
        <w:numPr>
          <w:ilvl w:val="1"/>
          <w:numId w:val="3"/>
        </w:numPr>
        <w:spacing w:lineRule="auto" w:line="276" w:before="120" w:after="120"/>
        <w:ind w:left="425" w:hanging="0"/>
        <w:jc w:val="both"/>
        <w:rPr>
          <w:highlight w:val="white"/>
        </w:rPr>
      </w:pPr>
      <w:r>
        <w:rPr>
          <w:rFonts w:cs="Arial"/>
          <w:szCs w:val="20"/>
          <w:highlight w:val="white"/>
        </w:rPr>
        <w:t>As regras referentes aos órgãos gerenciador e participantes, bem como a eventuais adesões são as que constam da minuta de Ata de Registro de Preços.</w:t>
      </w:r>
    </w:p>
    <w:p>
      <w:pPr>
        <w:pStyle w:val="Ttulo1"/>
        <w:numPr>
          <w:ilvl w:val="0"/>
          <w:numId w:val="3"/>
        </w:numPr>
        <w:rPr>
          <w:highlight w:val="white"/>
        </w:rPr>
      </w:pPr>
      <w:bookmarkStart w:id="4" w:name="_Toc142925862"/>
      <w:r>
        <w:rPr>
          <w:highlight w:val="white"/>
        </w:rPr>
        <w:t>PARTICIPAÇÃO NA DISPENSA ELETRÔNICA.</w:t>
      </w:r>
      <w:bookmarkEnd w:id="4"/>
    </w:p>
    <w:p>
      <w:pPr>
        <w:pStyle w:val="Normal"/>
        <w:numPr>
          <w:ilvl w:val="1"/>
          <w:numId w:val="3"/>
        </w:numPr>
        <w:spacing w:lineRule="auto" w:line="276" w:before="120" w:after="120"/>
        <w:ind w:left="425" w:hanging="0"/>
        <w:jc w:val="both"/>
        <w:rPr>
          <w:rFonts w:cs="Arial"/>
          <w:szCs w:val="20"/>
        </w:rPr>
      </w:pPr>
      <w:r>
        <w:rPr>
          <w:rFonts w:cs="Arial"/>
          <w:szCs w:val="20"/>
        </w:rPr>
        <w:t xml:space="preserve">A </w:t>
      </w:r>
      <w:r>
        <w:rPr>
          <w:rFonts w:cs="Arial"/>
          <w:color w:val="000000" w:themeColor="text1"/>
          <w:szCs w:val="20"/>
        </w:rPr>
        <w:t>participação</w:t>
      </w:r>
      <w:r>
        <w:rPr>
          <w:rFonts w:cs="Arial"/>
          <w:szCs w:val="20"/>
        </w:rPr>
        <w:t xml:space="preserve"> na presente dispensa eletrônica ocorrerá por meio do </w:t>
      </w:r>
      <w:r>
        <w:rPr>
          <w:rFonts w:cs="Arial"/>
          <w:bCs/>
          <w:szCs w:val="20"/>
        </w:rPr>
        <w:t>Sistema de Dispensa Eletrônica, ferramenta informatizada</w:t>
      </w:r>
      <w:r>
        <w:rPr>
          <w:rFonts w:cs="Arial"/>
          <w:szCs w:val="20"/>
        </w:rPr>
        <w:t xml:space="preserve"> integrante do Sistema de Compras do Governo Federal – Compras.gov.br, disponível no </w:t>
      </w:r>
      <w:r>
        <w:rPr>
          <w:rFonts w:cs="Arial"/>
          <w:bCs/>
          <w:szCs w:val="20"/>
        </w:rPr>
        <w:t xml:space="preserve">Portal de Compras do Governo Federal, no endereço eletrônico </w:t>
      </w:r>
      <w:hyperlink r:id="rId5">
        <w:r>
          <w:rPr>
            <w:rStyle w:val="LinkdaInternet"/>
            <w:rFonts w:cs="Arial"/>
            <w:bCs/>
            <w:szCs w:val="20"/>
          </w:rPr>
          <w:t>www.gov.br/compras</w:t>
        </w:r>
      </w:hyperlink>
      <w:r>
        <w:rPr>
          <w:rFonts w:cs="Arial"/>
          <w:bCs/>
          <w:szCs w:val="20"/>
        </w:rPr>
        <w:t>.</w:t>
      </w:r>
      <w:r>
        <w:rPr>
          <w:rFonts w:cs="Arial"/>
          <w:szCs w:val="20"/>
        </w:rPr>
        <w:t xml:space="preserve"> </w:t>
      </w:r>
    </w:p>
    <w:p>
      <w:pPr>
        <w:pStyle w:val="Normal"/>
        <w:numPr>
          <w:ilvl w:val="2"/>
          <w:numId w:val="3"/>
        </w:numPr>
        <w:spacing w:lineRule="auto" w:line="276" w:before="120" w:after="120"/>
        <w:jc w:val="both"/>
        <w:rPr>
          <w:rFonts w:cs="Arial"/>
          <w:szCs w:val="20"/>
        </w:rPr>
      </w:pPr>
      <w:r>
        <w:rPr>
          <w:rFonts w:cs="Arial"/>
          <w:szCs w:val="20"/>
        </w:rPr>
        <w:t xml:space="preserve">O procedimento será divulgado no Compras.gov.br e no </w:t>
      </w:r>
      <w:hyperlink r:id="rId6">
        <w:r>
          <w:rPr>
            <w:rStyle w:val="LinkdaInternet"/>
            <w:rFonts w:cs="Arial"/>
            <w:szCs w:val="20"/>
          </w:rPr>
          <w:t>Portal Nacional de Contratações Públicas - PNCP</w:t>
        </w:r>
      </w:hyperlink>
      <w:r>
        <w:rPr>
          <w:rFonts w:cs="Arial"/>
          <w:szCs w:val="20"/>
        </w:rPr>
        <w:t>, e encaminhado automaticamente aos fornecedores registrados no Sistema de Registro Cadastral Unificado - Sicaf, por mensagem eletrônica, na correspondente linha de fornecimento que pretende atender.</w:t>
      </w:r>
    </w:p>
    <w:p>
      <w:pPr>
        <w:pStyle w:val="Normal"/>
        <w:numPr>
          <w:ilvl w:val="2"/>
          <w:numId w:val="3"/>
        </w:numPr>
        <w:spacing w:lineRule="auto" w:line="276" w:before="120" w:after="120"/>
        <w:jc w:val="both"/>
        <w:rPr>
          <w:rFonts w:cs="Arial"/>
          <w:szCs w:val="20"/>
        </w:rPr>
      </w:pPr>
      <w:r>
        <w:rPr>
          <w:rFonts w:cs="Arial"/>
          <w:szCs w:val="20"/>
        </w:rPr>
        <w:t xml:space="preserve">O Compras.gov.br poderá ser acessado pela web ou pelo </w:t>
      </w:r>
      <w:hyperlink r:id="rId7">
        <w:r>
          <w:rPr>
            <w:rStyle w:val="LinkdaInternet"/>
            <w:rFonts w:cs="Arial"/>
            <w:szCs w:val="20"/>
          </w:rPr>
          <w:t>aplicativo Compras.gov.br.</w:t>
        </w:r>
      </w:hyperlink>
    </w:p>
    <w:p>
      <w:pPr>
        <w:pStyle w:val="Normal"/>
        <w:numPr>
          <w:ilvl w:val="2"/>
          <w:numId w:val="3"/>
        </w:numPr>
        <w:snapToGrid w:val="false"/>
        <w:spacing w:lineRule="auto" w:line="276" w:before="120" w:after="12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3"/>
        </w:numPr>
        <w:spacing w:lineRule="auto" w:line="276" w:before="120" w:after="120"/>
        <w:jc w:val="both"/>
        <w:rPr>
          <w:color w:val="111111"/>
        </w:rPr>
      </w:pPr>
      <w:r>
        <w:rPr>
          <w:rFonts w:cs="Arial"/>
          <w:i/>
          <w:iCs/>
          <w:color w:val="111111"/>
          <w:szCs w:val="20"/>
        </w:rPr>
        <w:t>Para todos os itens a participação é exclusiva a microempresas e empresas de pequeno porte, nos termos do art. 49, inciso IV, c/c o art. 48, inciso I, da Lei Complementar nº 123, de 14 de dezembro de 2006.</w:t>
      </w:r>
    </w:p>
    <w:p>
      <w:pPr>
        <w:pStyle w:val="Normal"/>
        <w:numPr>
          <w:ilvl w:val="2"/>
          <w:numId w:val="3"/>
        </w:numPr>
        <w:snapToGrid w:val="false"/>
        <w:spacing w:lineRule="auto" w:line="276" w:before="120" w:after="120"/>
        <w:jc w:val="both"/>
        <w:rPr>
          <w:color w:val="111111"/>
        </w:rPr>
      </w:pPr>
      <w:r>
        <w:rPr>
          <w:rFonts w:cs="Arial"/>
          <w:i/>
          <w:iCs/>
          <w:color w:val="111111"/>
          <w:szCs w:val="20"/>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ormal"/>
        <w:numPr>
          <w:ilvl w:val="2"/>
          <w:numId w:val="3"/>
        </w:numPr>
        <w:snapToGrid w:val="false"/>
        <w:spacing w:lineRule="auto" w:line="276" w:before="120" w:after="120"/>
        <w:jc w:val="both"/>
        <w:rPr>
          <w:color w:val="111111"/>
        </w:rPr>
      </w:pPr>
      <w:r>
        <w:rPr>
          <w:rFonts w:cs="Arial"/>
          <w:i/>
          <w:iCs/>
          <w:color w:val="111111"/>
          <w:szCs w:val="2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pPr>
        <w:pStyle w:val="Normal"/>
        <w:spacing w:lineRule="auto" w:line="276" w:before="120" w:after="120"/>
        <w:jc w:val="both"/>
        <w:rPr>
          <w:rFonts w:cs="Arial"/>
          <w:color w:val="000000" w:themeColor="text1"/>
          <w:szCs w:val="20"/>
        </w:rPr>
      </w:pPr>
      <w:r>
        <w:rPr>
          <w:rFonts w:cs="Arial"/>
          <w:color w:val="000000" w:themeColor="text1"/>
          <w:szCs w:val="20"/>
        </w:rPr>
      </w:r>
    </w:p>
    <w:p>
      <w:pPr>
        <w:pStyle w:val="Normal"/>
        <w:numPr>
          <w:ilvl w:val="1"/>
          <w:numId w:val="3"/>
        </w:numPr>
        <w:spacing w:lineRule="auto" w:line="276" w:before="120" w:after="120"/>
        <w:ind w:left="425" w:hanging="0"/>
        <w:jc w:val="both"/>
        <w:rPr>
          <w:rFonts w:cs="Arial"/>
          <w:color w:val="000000" w:themeColor="text1"/>
          <w:szCs w:val="20"/>
        </w:rPr>
      </w:pPr>
      <w:bookmarkStart w:id="5" w:name="_Ref144286315"/>
      <w:r>
        <w:rPr>
          <w:rFonts w:cs="Arial"/>
          <w:color w:val="000000" w:themeColor="text1"/>
          <w:szCs w:val="20"/>
        </w:rPr>
        <w:t>Não poderão participar desta dispensa de licitação os fornecedores:</w:t>
      </w:r>
      <w:bookmarkEnd w:id="5"/>
    </w:p>
    <w:p>
      <w:pPr>
        <w:pStyle w:val="Normal"/>
        <w:numPr>
          <w:ilvl w:val="2"/>
          <w:numId w:val="3"/>
        </w:numPr>
        <w:spacing w:lineRule="auto" w:line="276" w:before="120" w:after="120"/>
        <w:jc w:val="both"/>
        <w:rPr>
          <w:rFonts w:cs="Arial"/>
          <w:color w:val="000000" w:themeColor="text1"/>
          <w:szCs w:val="20"/>
        </w:rPr>
      </w:pPr>
      <w:r>
        <w:rPr>
          <w:rFonts w:cs="Arial"/>
          <w:color w:val="000000" w:themeColor="text1"/>
          <w:szCs w:val="20"/>
        </w:rPr>
        <w:t>que não atendam às condições deste Aviso de Contratação Direta e seu(s) anexo(s);</w:t>
      </w:r>
    </w:p>
    <w:p>
      <w:pPr>
        <w:pStyle w:val="Normal"/>
        <w:numPr>
          <w:ilvl w:val="2"/>
          <w:numId w:val="3"/>
        </w:numPr>
        <w:spacing w:lineRule="auto" w:line="276" w:before="120" w:after="120"/>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pPr>
        <w:pStyle w:val="Normal"/>
        <w:numPr>
          <w:ilvl w:val="2"/>
          <w:numId w:val="3"/>
        </w:numPr>
        <w:spacing w:lineRule="auto" w:line="276" w:before="120" w:after="120"/>
        <w:jc w:val="both"/>
        <w:rPr>
          <w:rFonts w:cs="Arial"/>
          <w:color w:val="000000" w:themeColor="text1"/>
          <w:szCs w:val="20"/>
        </w:rPr>
      </w:pPr>
      <w:r>
        <w:rPr>
          <w:rFonts w:cs="Arial"/>
          <w:color w:val="000000" w:themeColor="text1"/>
          <w:szCs w:val="20"/>
        </w:rPr>
        <w:t>que se enquadrem nas seguintes vedações:</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pessoa física ou jurídica que se encontre, ao tempo da contratação, impossibilitada de contratar em decorrência de sanção que lhe foi imposta;</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empresas controladoras, controladas ou coligadas, nos termos da </w:t>
      </w:r>
      <w:hyperlink r:id="rId8">
        <w:r>
          <w:rPr>
            <w:rStyle w:val="LinkdaInternet"/>
            <w:rFonts w:eastAsia="Calibri" w:cs="Arial"/>
            <w:szCs w:val="20"/>
          </w:rPr>
          <w:t>Lei nº 6.404, de 15 de dezembro de 1976</w:t>
        </w:r>
      </w:hyperlink>
      <w:r>
        <w:rPr>
          <w:rFonts w:cs="Arial"/>
          <w:color w:val="000000"/>
          <w:szCs w:val="20"/>
        </w:rPr>
        <w:t>, concorrendo entre si;</w:t>
      </w:r>
    </w:p>
    <w:p>
      <w:pPr>
        <w:pStyle w:val="Normal"/>
        <w:numPr>
          <w:ilvl w:val="3"/>
          <w:numId w:val="5"/>
        </w:numPr>
        <w:spacing w:lineRule="auto" w:line="276" w:before="120" w:after="120"/>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3"/>
        </w:numPr>
        <w:spacing w:lineRule="auto" w:line="276" w:before="120" w:after="120"/>
        <w:jc w:val="both"/>
        <w:rPr>
          <w:rFonts w:cs="Arial"/>
          <w:color w:val="000000" w:themeColor="text1"/>
          <w:szCs w:val="20"/>
        </w:rPr>
      </w:pPr>
      <w:r>
        <w:rPr>
          <w:rFonts w:cs="Arial"/>
          <w:color w:val="000000"/>
          <w:szCs w:val="20"/>
        </w:rPr>
        <w:t>Equiparam-se aos autores do projeto as empresas integrantes do mesmo grupo econômico;</w:t>
      </w:r>
    </w:p>
    <w:p>
      <w:pPr>
        <w:pStyle w:val="Normal"/>
        <w:numPr>
          <w:ilvl w:val="3"/>
          <w:numId w:val="3"/>
        </w:numPr>
        <w:spacing w:lineRule="auto" w:line="276" w:before="120" w:after="120"/>
        <w:jc w:val="both"/>
        <w:rPr>
          <w:rFonts w:cs="Arial"/>
          <w:color w:val="000000" w:themeColor="text1"/>
          <w:szCs w:val="20"/>
        </w:rPr>
      </w:pPr>
      <w:r>
        <w:rPr>
          <w:rFonts w:cs="Arial"/>
          <w:color w:val="000000"/>
          <w:szCs w:val="20"/>
        </w:rPr>
        <w:t xml:space="preserve"> </w:t>
      </w:r>
      <w:r>
        <w:rPr>
          <w:rFonts w:cs="Arial"/>
          <w:color w:val="000000"/>
          <w:szCs w:val="20"/>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3"/>
        </w:numPr>
        <w:spacing w:lineRule="auto" w:line="276" w:before="120" w:after="120"/>
        <w:jc w:val="both"/>
        <w:rPr>
          <w:rFonts w:cs="Arial"/>
          <w:color w:val="000000" w:themeColor="text1"/>
          <w:szCs w:val="20"/>
        </w:rPr>
      </w:pPr>
      <w:r>
        <w:rPr>
          <w:rFonts w:cs="Arial"/>
          <w:color w:val="000000"/>
          <w:szCs w:val="20"/>
        </w:rPr>
        <w:t>organizações da Sociedade Civil de Interesse Público - OSCIP, atuando nessa condição (Acórdão nº 746/2014-TCU-Plenário); e</w:t>
      </w:r>
    </w:p>
    <w:p>
      <w:pPr>
        <w:pStyle w:val="Normal"/>
        <w:numPr>
          <w:ilvl w:val="1"/>
          <w:numId w:val="3"/>
        </w:numPr>
        <w:spacing w:lineRule="auto" w:line="276" w:before="120" w:after="120"/>
        <w:ind w:left="425" w:hanging="0"/>
        <w:jc w:val="both"/>
        <w:rPr>
          <w:rFonts w:cs="Arial"/>
          <w:bCs/>
        </w:rPr>
      </w:pPr>
      <w:r>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LinkdaInternet"/>
          <w:bCs/>
          <w:rFonts w:cs="Arial"/>
        </w:rPr>
        <w:instrText xml:space="preserve"> HYPERLINK "http://www.planalto.gov.br/ccivil_03/_ato2019-2022/2021/lei/L14133.htm" \l "art9§1"</w:instrText>
      </w:r>
      <w:r>
        <w:rPr>
          <w:rStyle w:val="LinkdaInternet"/>
          <w:bCs/>
          <w:rFonts w:cs="Arial"/>
        </w:rPr>
        <w:fldChar w:fldCharType="separate"/>
      </w:r>
      <w:r>
        <w:rPr>
          <w:rStyle w:val="LinkdaInternet"/>
          <w:rFonts w:cs="Arial"/>
          <w:bCs/>
        </w:rPr>
        <w:t>§ 1º do art. 9º da Lei n.º 14.133, de 2021</w:t>
      </w:r>
      <w:r>
        <w:rPr>
          <w:rStyle w:val="LinkdaInternet"/>
          <w:bCs/>
          <w:rFonts w:cs="Arial"/>
        </w:rPr>
        <w:fldChar w:fldCharType="end"/>
      </w:r>
      <w:r>
        <w:rPr>
          <w:rFonts w:cs="Arial"/>
          <w:bCs/>
        </w:rPr>
        <w:t>.</w:t>
      </w:r>
    </w:p>
    <w:p>
      <w:pPr>
        <w:pStyle w:val="Normal"/>
        <w:spacing w:lineRule="auto" w:line="276" w:before="120" w:after="120"/>
        <w:ind w:left="425" w:hanging="0"/>
        <w:jc w:val="both"/>
        <w:rPr>
          <w:rFonts w:cs="Arial"/>
          <w:bCs/>
        </w:rPr>
      </w:pPr>
      <w:r>
        <w:rPr>
          <w:rFonts w:cs="Arial"/>
          <w:bCs/>
        </w:rPr>
      </w:r>
    </w:p>
    <w:p>
      <w:pPr>
        <w:pStyle w:val="Ttulo1"/>
        <w:numPr>
          <w:ilvl w:val="0"/>
          <w:numId w:val="3"/>
        </w:numPr>
        <w:rPr/>
      </w:pPr>
      <w:bookmarkStart w:id="6" w:name="_Toc142925863"/>
      <w:r>
        <w:rPr/>
        <w:t>INGRESSO NA DISPENSA ELETRÔNICA E CADASTRAMENTO DA PROPOSTA INICIAL</w:t>
      </w:r>
      <w:bookmarkEnd w:id="6"/>
    </w:p>
    <w:p>
      <w:pPr>
        <w:pStyle w:val="Normal"/>
        <w:numPr>
          <w:ilvl w:val="1"/>
          <w:numId w:val="3"/>
        </w:numPr>
        <w:snapToGrid w:val="false"/>
        <w:spacing w:lineRule="auto" w:line="276" w:before="120" w:after="120"/>
        <w:ind w:left="425" w:hanging="0"/>
        <w:jc w:val="both"/>
        <w:rPr>
          <w:rFonts w:cs="Arial"/>
        </w:rPr>
      </w:pPr>
      <w:r>
        <w:rPr>
          <w:rFonts w:cs="Arial"/>
          <w:color w:val="000000" w:themeColor="text1"/>
          <w:szCs w:val="20"/>
        </w:rPr>
        <w:t>O ingresso do fornecedor na disputa da dispensa eletrônica ocorrerá com o cadastramento de sua proposta inicial, na forma deste item.</w:t>
      </w:r>
    </w:p>
    <w:p>
      <w:pPr>
        <w:pStyle w:val="Normal"/>
        <w:numPr>
          <w:ilvl w:val="1"/>
          <w:numId w:val="3"/>
        </w:numPr>
        <w:snapToGrid w:val="false"/>
        <w:spacing w:lineRule="auto" w:line="276" w:before="120" w:after="120"/>
        <w:ind w:left="425" w:hanging="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ListParagraph"/>
        <w:widowControl/>
        <w:numPr>
          <w:ilvl w:val="2"/>
          <w:numId w:val="3"/>
        </w:numPr>
        <w:suppressAutoHyphens w:val="true"/>
        <w:bidi w:val="0"/>
        <w:spacing w:lineRule="auto" w:line="240" w:before="0" w:after="0"/>
        <w:ind w:left="1191" w:right="0" w:hanging="510"/>
        <w:contextualSpacing/>
        <w:jc w:val="left"/>
        <w:rPr>
          <w:color w:val="111111"/>
          <w:highlight w:val="white"/>
        </w:rPr>
      </w:pPr>
      <w:r>
        <w:rPr>
          <w:rFonts w:cs="Arial"/>
          <w:i/>
          <w:iCs/>
          <w:color w:val="111111"/>
          <w:highlight w:val="white"/>
        </w:rPr>
        <w:t>O fornecedor [NÃO] poderá oferecer proposta em quantitativo inferior ao máximo previsto para contratação.</w:t>
      </w:r>
    </w:p>
    <w:p>
      <w:pPr>
        <w:pStyle w:val="ListParagraph"/>
        <w:numPr>
          <w:ilvl w:val="2"/>
          <w:numId w:val="3"/>
        </w:numPr>
        <w:rPr>
          <w:color w:val="111111"/>
          <w:highlight w:val="white"/>
        </w:rPr>
      </w:pPr>
      <w:r>
        <w:rPr>
          <w:rFonts w:cs="Arial"/>
          <w:i/>
          <w:iCs/>
          <w:color w:val="111111"/>
          <w:highlight w:val="white"/>
        </w:rPr>
        <w:t xml:space="preserve">[Não será admitida a previsão de preços diferentes em razão de local de entrega ou de acondicionamento, tamanho de lote ou qualquer outro motivo] </w:t>
      </w:r>
    </w:p>
    <w:p>
      <w:pPr>
        <w:pStyle w:val="Normal"/>
        <w:numPr>
          <w:ilvl w:val="1"/>
          <w:numId w:val="3"/>
        </w:numPr>
        <w:spacing w:lineRule="auto" w:line="276" w:before="120" w:after="120"/>
        <w:ind w:left="425" w:hanging="0"/>
        <w:jc w:val="both"/>
        <w:rPr>
          <w:rFonts w:cs="Arial"/>
          <w:szCs w:val="20"/>
        </w:rPr>
      </w:pPr>
      <w:r>
        <w:rPr>
          <w:rFonts w:cs="Arial"/>
          <w:szCs w:val="20"/>
        </w:rPr>
        <w:t xml:space="preserve">Todas as especificações do </w:t>
      </w:r>
      <w:r>
        <w:rPr>
          <w:rFonts w:cs="Arial"/>
          <w:color w:val="000000" w:themeColor="text1"/>
          <w:szCs w:val="20"/>
        </w:rPr>
        <w:t>objeto</w:t>
      </w:r>
      <w:r>
        <w:rPr>
          <w:rFonts w:cs="Arial"/>
          <w:szCs w:val="20"/>
        </w:rPr>
        <w:t xml:space="preserve"> contidas na proposta, em especial o preço ou o desconto ofertados, vinculam a Contratada.</w:t>
      </w:r>
    </w:p>
    <w:p>
      <w:pPr>
        <w:pStyle w:val="Normal"/>
        <w:numPr>
          <w:ilvl w:val="1"/>
          <w:numId w:val="3"/>
        </w:numPr>
        <w:spacing w:lineRule="auto" w:line="276" w:before="120" w:after="120"/>
        <w:ind w:left="425" w:hanging="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ormal"/>
        <w:numPr>
          <w:ilvl w:val="2"/>
          <w:numId w:val="3"/>
        </w:numPr>
        <w:spacing w:lineRule="auto" w:line="276" w:before="120" w:after="120"/>
        <w:jc w:val="both"/>
        <w:rPr>
          <w:rFonts w:cs="Arial"/>
          <w:szCs w:val="20"/>
        </w:rPr>
      </w:pPr>
      <w:r>
        <w:rPr>
          <w:rFonts w:cs="Arial"/>
          <w:szCs w:val="20"/>
        </w:rPr>
        <w:t xml:space="preserve"> </w:t>
      </w:r>
      <w:r>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2"/>
          <w:numId w:val="3"/>
        </w:numPr>
        <w:spacing w:lineRule="auto" w:line="276" w:before="120" w:after="120"/>
        <w:jc w:val="both"/>
        <w:rPr>
          <w:rFonts w:cs="Arial"/>
          <w:szCs w:val="20"/>
        </w:rPr>
      </w:pPr>
      <w:r>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3"/>
        </w:numPr>
        <w:spacing w:lineRule="auto" w:line="276" w:before="120" w:after="120"/>
        <w:ind w:left="425" w:hanging="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pPr>
        <w:pStyle w:val="Normal"/>
        <w:numPr>
          <w:ilvl w:val="1"/>
          <w:numId w:val="3"/>
        </w:numPr>
        <w:spacing w:lineRule="auto" w:line="276" w:before="120" w:after="120"/>
        <w:ind w:left="425" w:hanging="0"/>
        <w:jc w:val="both"/>
        <w:rPr>
          <w:rFonts w:cs="Arial"/>
          <w:szCs w:val="20"/>
        </w:rPr>
      </w:pPr>
      <w:r>
        <w:rPr>
          <w:rFonts w:cs="Arial"/>
          <w:szCs w:val="20"/>
        </w:rPr>
        <w:t>Independentemente do percentual do tributo que constar da planilha, no pagamento serão retidos na fonte os percentuais estabelecidos pela legislação vigente.</w:t>
      </w:r>
    </w:p>
    <w:p>
      <w:pPr>
        <w:pStyle w:val="Normal"/>
        <w:numPr>
          <w:ilvl w:val="1"/>
          <w:numId w:val="3"/>
        </w:numPr>
        <w:spacing w:lineRule="auto" w:line="276" w:before="120" w:after="120"/>
        <w:ind w:left="425" w:hanging="0"/>
        <w:jc w:val="both"/>
        <w:rPr>
          <w:rFonts w:cs="Arial"/>
          <w:szCs w:val="20"/>
        </w:rPr>
      </w:pPr>
      <w:r>
        <w:rPr>
          <w:rFonts w:cs="Arial"/>
          <w:szCs w:val="20"/>
        </w:rPr>
        <w:t xml:space="preserve">A apresentação das propostas implica obrigatoriedade do cumprimento das disposições nelas contidas, em conformidade com o que dispõe o </w:t>
      </w:r>
      <w:r>
        <w:rPr>
          <w:rFonts w:cs="Arial"/>
          <w:iCs/>
          <w:szCs w:val="20"/>
        </w:rPr>
        <w:t>Termo de Referência</w:t>
      </w:r>
      <w:r>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3"/>
        </w:numPr>
        <w:spacing w:lineRule="auto" w:line="276" w:before="120" w:after="120"/>
        <w:ind w:left="425" w:hanging="0"/>
        <w:jc w:val="both"/>
        <w:rPr>
          <w:rFonts w:cs="Arial"/>
          <w:color w:val="000000" w:themeColor="text1"/>
          <w:szCs w:val="20"/>
        </w:rPr>
      </w:pPr>
      <w:r>
        <w:rPr>
          <w:rFonts w:cs="Arial"/>
          <w:color w:val="000000" w:themeColor="text1"/>
          <w:szCs w:val="20"/>
        </w:rPr>
        <w:t xml:space="preserve">O </w:t>
      </w:r>
      <w:r>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w:t>
      </w:r>
      <w:r>
        <w:rPr>
          <w:rFonts w:cs="Arial"/>
          <w:color w:val="111111"/>
          <w:szCs w:val="20"/>
        </w:rPr>
        <w:t xml:space="preserve"> 30</w:t>
      </w:r>
      <w:r>
        <w:rPr>
          <w:rFonts w:cs="Arial"/>
          <w:color w:val="000000" w:themeColor="text1"/>
          <w:szCs w:val="20"/>
        </w:rPr>
        <w:t xml:space="preserve"> dias</w:t>
      </w:r>
      <w:r>
        <w:rPr>
          <w:rFonts w:cs="Arial"/>
          <w:b/>
          <w:bCs/>
          <w:color w:val="000000" w:themeColor="text1"/>
          <w:szCs w:val="20"/>
        </w:rPr>
        <w:t>,</w:t>
      </w:r>
      <w:r>
        <w:rPr>
          <w:rFonts w:cs="Arial"/>
          <w:color w:val="000000" w:themeColor="text1"/>
          <w:szCs w:val="20"/>
        </w:rPr>
        <w:t xml:space="preserve"> a contar da data de sua apresentação.</w:t>
      </w:r>
    </w:p>
    <w:p>
      <w:pPr>
        <w:pStyle w:val="Normal"/>
        <w:numPr>
          <w:ilvl w:val="1"/>
          <w:numId w:val="3"/>
        </w:numPr>
        <w:spacing w:lineRule="auto" w:line="276" w:before="120" w:after="120"/>
        <w:ind w:left="425" w:hanging="0"/>
        <w:jc w:val="both"/>
        <w:rPr>
          <w:rFonts w:cs="Arial"/>
          <w:color w:val="000000" w:themeColor="text1"/>
          <w:szCs w:val="20"/>
        </w:rPr>
      </w:pPr>
      <w:r>
        <w:rPr>
          <w:rFonts w:cs="Arial"/>
          <w:color w:val="000000" w:themeColor="text1"/>
          <w:szCs w:val="20"/>
        </w:rPr>
        <w:t>No cadastramento da proposta inicial, o fornecedor deverá, também, assinalar Termo de Aceitação, em campo próprio do sistema eletrônico, relativo às seguintes declarações:</w:t>
      </w:r>
      <w:r>
        <w:rPr>
          <w:rFonts w:eastAsia="Zurich BT" w:cs="Arial"/>
          <w:color w:val="000000" w:themeColor="text1"/>
          <w:szCs w:val="20"/>
        </w:rPr>
        <w:t xml:space="preserve"> </w:t>
      </w:r>
    </w:p>
    <w:p>
      <w:pPr>
        <w:pStyle w:val="ListParagraph"/>
        <w:numPr>
          <w:ilvl w:val="0"/>
          <w:numId w:val="4"/>
        </w:numPr>
        <w:tabs>
          <w:tab w:val="clear" w:pos="29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4"/>
        </w:numPr>
        <w:tabs>
          <w:tab w:val="clear" w:pos="29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4"/>
        </w:numPr>
        <w:tabs>
          <w:tab w:val="clear" w:pos="29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ListParagraph"/>
        <w:numPr>
          <w:ilvl w:val="1"/>
          <w:numId w:val="4"/>
        </w:numPr>
        <w:tabs>
          <w:tab w:val="clear" w:pos="298"/>
          <w:tab w:val="left" w:pos="1440" w:leader="none"/>
        </w:tabs>
        <w:snapToGrid w:val="false"/>
        <w:spacing w:lineRule="auto" w:line="276" w:before="120" w:after="120"/>
        <w:contextualSpacing/>
        <w:jc w:val="both"/>
        <w:rPr>
          <w:rFonts w:cs="Arial"/>
          <w:bCs/>
          <w:vanish/>
          <w:color w:val="000000" w:themeColor="text1"/>
          <w:szCs w:val="20"/>
        </w:rPr>
      </w:pPr>
      <w:r>
        <w:rPr>
          <w:rFonts w:cs="Arial"/>
          <w:bCs/>
          <w:vanish/>
          <w:color w:val="000000" w:themeColor="text1"/>
          <w:szCs w:val="20"/>
        </w:rPr>
      </w:r>
    </w:p>
    <w:p>
      <w:pPr>
        <w:pStyle w:val="Normal"/>
        <w:numPr>
          <w:ilvl w:val="2"/>
          <w:numId w:val="3"/>
        </w:numPr>
        <w:spacing w:lineRule="auto" w:line="276" w:before="120" w:after="120"/>
        <w:jc w:val="both"/>
        <w:rPr>
          <w:rFonts w:cs="Arial"/>
          <w:color w:val="000000" w:themeColor="text1"/>
          <w:szCs w:val="20"/>
        </w:rPr>
      </w:pPr>
      <w:r>
        <w:rPr>
          <w:rFonts w:cs="Arial"/>
          <w:color w:val="000000" w:themeColor="text1"/>
          <w:szCs w:val="20"/>
        </w:rPr>
        <w:t>que inexistem fatos impeditivos para sua habilitação no certame, ciente da obrigatoriedade de declarar ocorrências posteriores;</w:t>
      </w:r>
    </w:p>
    <w:p>
      <w:pPr>
        <w:pStyle w:val="Normal"/>
        <w:numPr>
          <w:ilvl w:val="2"/>
          <w:numId w:val="3"/>
        </w:numPr>
        <w:spacing w:lineRule="auto" w:line="276" w:before="120" w:after="120"/>
        <w:jc w:val="both"/>
        <w:rPr>
          <w:rFonts w:cs="Arial"/>
          <w:color w:val="000000" w:themeColor="text1"/>
          <w:szCs w:val="20"/>
        </w:rPr>
      </w:pPr>
      <w:r>
        <w:rPr>
          <w:rFonts w:cs="Arial"/>
          <w:color w:val="000000" w:themeColor="text1"/>
          <w:szCs w:val="20"/>
        </w:rPr>
        <w:t>que está ciente e concorda com as condições contidas no Aviso de Contratação Direta e seus anexos;</w:t>
      </w:r>
    </w:p>
    <w:p>
      <w:pPr>
        <w:pStyle w:val="Normal"/>
        <w:numPr>
          <w:ilvl w:val="2"/>
          <w:numId w:val="3"/>
        </w:numPr>
        <w:spacing w:lineRule="auto" w:line="276" w:before="120" w:after="120"/>
        <w:jc w:val="both"/>
        <w:rPr>
          <w:rFonts w:cs="Arial"/>
          <w:color w:val="000000" w:themeColor="text1"/>
          <w:szCs w:val="20"/>
        </w:rPr>
      </w:pPr>
      <w:r>
        <w:rPr>
          <w:rFonts w:cs="Arial"/>
          <w:color w:val="000000" w:themeColor="text1"/>
          <w:szCs w:val="20"/>
        </w:rPr>
        <w:t>que se responsabiliza pelas transações que forem efetuadas no sistema, assumindo-as como firmes e verdadeiras;</w:t>
      </w:r>
    </w:p>
    <w:p>
      <w:pPr>
        <w:pStyle w:val="Normal"/>
        <w:numPr>
          <w:ilvl w:val="2"/>
          <w:numId w:val="3"/>
        </w:numPr>
        <w:spacing w:lineRule="auto" w:line="276" w:before="120" w:after="120"/>
        <w:jc w:val="both"/>
        <w:rPr>
          <w:rFonts w:cs="Arial"/>
          <w:color w:val="000000" w:themeColor="text1"/>
          <w:szCs w:val="20"/>
        </w:rPr>
      </w:pPr>
      <w:r>
        <w:rPr>
          <w:rFonts w:cs="Arial"/>
          <w:color w:val="000000" w:themeColor="text1"/>
          <w:szCs w:val="20"/>
        </w:rPr>
        <w:t xml:space="preserve">que cumpre as exigências de reserva de cargos para pessoa com deficiência e para reabilitado da Previdência Social, de que trata </w:t>
      </w:r>
      <w:r>
        <w:fldChar w:fldCharType="begin"/>
      </w:r>
      <w:r>
        <w:rPr>
          <w:rStyle w:val="LinkdaInternet"/>
          <w:szCs w:val="20"/>
          <w:rFonts w:cs="Arial"/>
        </w:rPr>
        <w:instrText xml:space="preserve"> HYPERLINK "https://www.planalto.gov.br/ccivil_03/leis/l8213cons.htm" \l "art93"</w:instrText>
      </w:r>
      <w:r>
        <w:rPr>
          <w:rStyle w:val="LinkdaInternet"/>
          <w:szCs w:val="20"/>
          <w:rFonts w:cs="Arial"/>
        </w:rPr>
        <w:fldChar w:fldCharType="separate"/>
      </w:r>
      <w:r>
        <w:rPr>
          <w:rStyle w:val="LinkdaInternet"/>
          <w:rFonts w:cs="Arial"/>
          <w:szCs w:val="20"/>
        </w:rPr>
        <w:t>o art. 93 da Lei nº 8.213/91</w:t>
      </w:r>
      <w:r>
        <w:rPr>
          <w:rStyle w:val="LinkdaInternet"/>
          <w:szCs w:val="20"/>
          <w:rFonts w:cs="Arial"/>
        </w:rPr>
        <w:fldChar w:fldCharType="end"/>
      </w:r>
      <w:r>
        <w:rPr>
          <w:rFonts w:cs="Arial"/>
          <w:color w:val="000000" w:themeColor="text1"/>
          <w:szCs w:val="20"/>
        </w:rPr>
        <w:t>.</w:t>
      </w:r>
    </w:p>
    <w:p>
      <w:pPr>
        <w:pStyle w:val="Normal"/>
        <w:numPr>
          <w:ilvl w:val="2"/>
          <w:numId w:val="3"/>
        </w:numPr>
        <w:spacing w:lineRule="auto" w:line="276" w:before="120" w:after="120"/>
        <w:jc w:val="both"/>
        <w:rPr>
          <w:rFonts w:cs="Arial"/>
          <w:color w:val="000000" w:themeColor="text1"/>
          <w:szCs w:val="20"/>
        </w:rPr>
      </w:pPr>
      <w:r>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r>
        <w:fldChar w:fldCharType="begin"/>
      </w:r>
      <w:r>
        <w:rPr>
          <w:rStyle w:val="LinkdaInternet"/>
          <w:szCs w:val="20"/>
          <w:rFonts w:cs="Arial"/>
        </w:rPr>
        <w:instrText xml:space="preserve"> HYPERLINK "https://normas.leg.br/?urn=urn:lex:br:federal:constituicao:1988-10-05;1988" \l "art7"</w:instrText>
      </w:r>
      <w:r>
        <w:rPr>
          <w:rStyle w:val="LinkdaInternet"/>
          <w:szCs w:val="20"/>
          <w:rFonts w:cs="Arial"/>
        </w:rPr>
        <w:fldChar w:fldCharType="separate"/>
      </w:r>
      <w:r>
        <w:rPr>
          <w:rStyle w:val="LinkdaInternet"/>
          <w:rFonts w:cs="Arial"/>
          <w:szCs w:val="20"/>
        </w:rPr>
        <w:t>artigo 7°, XXXIII, da Constituição</w:t>
      </w:r>
      <w:r>
        <w:rPr>
          <w:rStyle w:val="LinkdaInternet"/>
          <w:szCs w:val="20"/>
          <w:rFonts w:cs="Arial"/>
        </w:rPr>
        <w:fldChar w:fldCharType="end"/>
      </w:r>
      <w:r>
        <w:rPr>
          <w:rFonts w:cs="Arial"/>
          <w:color w:val="000000" w:themeColor="text1"/>
          <w:szCs w:val="20"/>
        </w:rPr>
        <w:t>;</w:t>
      </w:r>
    </w:p>
    <w:p>
      <w:pPr>
        <w:pStyle w:val="Normal"/>
        <w:numPr>
          <w:ilvl w:val="1"/>
          <w:numId w:val="3"/>
        </w:numPr>
        <w:spacing w:lineRule="auto" w:line="276" w:before="120" w:after="120"/>
        <w:jc w:val="both"/>
        <w:rPr>
          <w:rFonts w:cs="Arial"/>
          <w:color w:val="000000" w:themeColor="text1"/>
          <w:szCs w:val="20"/>
        </w:rPr>
      </w:pPr>
      <w:r>
        <w:rPr>
          <w:rFonts w:cs="Arial"/>
          <w:color w:val="000000" w:themeColor="text1"/>
          <w:szCs w:val="20"/>
        </w:rPr>
        <w:t xml:space="preserve">O fornecedor organizado em cooperativa deverá declarar, ainda, em campo próprio do sistema eletrônico, que cumpre os requisitos estabelecidos no </w:t>
      </w:r>
      <w:r>
        <w:fldChar w:fldCharType="begin"/>
      </w:r>
      <w:r>
        <w:rPr>
          <w:rStyle w:val="LinkdaInternet"/>
          <w:szCs w:val="20"/>
          <w:rFonts w:cs="Arial"/>
        </w:rPr>
        <w:instrText xml:space="preserve"> HYPERLINK "http://www.planalto.gov.br/ccivil_03/_ato2019-2022/2021/lei/L14133.htm" \l "art16"</w:instrText>
      </w:r>
      <w:r>
        <w:rPr>
          <w:rStyle w:val="LinkdaInternet"/>
          <w:szCs w:val="20"/>
          <w:rFonts w:cs="Arial"/>
        </w:rPr>
        <w:fldChar w:fldCharType="separate"/>
      </w:r>
      <w:r>
        <w:rPr>
          <w:rStyle w:val="LinkdaInternet"/>
          <w:rFonts w:cs="Arial"/>
          <w:szCs w:val="20"/>
        </w:rPr>
        <w:t>artigo 16 da Lei nº 14.133, de 2021.</w:t>
      </w:r>
      <w:r>
        <w:rPr>
          <w:rStyle w:val="LinkdaInternet"/>
          <w:szCs w:val="20"/>
          <w:rFonts w:cs="Arial"/>
        </w:rPr>
        <w:fldChar w:fldCharType="end"/>
      </w:r>
    </w:p>
    <w:p>
      <w:pPr>
        <w:pStyle w:val="Normal"/>
        <w:numPr>
          <w:ilvl w:val="1"/>
          <w:numId w:val="3"/>
        </w:numPr>
        <w:spacing w:lineRule="auto" w:line="276" w:before="120" w:after="120"/>
        <w:jc w:val="both"/>
        <w:rPr>
          <w:rFonts w:cs="Arial"/>
          <w:color w:val="000000" w:themeColor="text1"/>
          <w:szCs w:val="20"/>
        </w:rPr>
      </w:pPr>
      <w:r>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LinkdaInternet"/>
          <w:szCs w:val="20"/>
          <w:rFonts w:cs="Arial"/>
        </w:rPr>
        <w:instrText xml:space="preserve"> HYPERLINK "https://www.planalto.gov.br/ccivil_03/leis/lcp/lcp123.htm" \l "art3"</w:instrText>
      </w:r>
      <w:r>
        <w:rPr>
          <w:rStyle w:val="LinkdaInternet"/>
          <w:szCs w:val="20"/>
          <w:rFonts w:cs="Arial"/>
        </w:rPr>
        <w:fldChar w:fldCharType="separate"/>
      </w:r>
      <w:r>
        <w:rPr>
          <w:rStyle w:val="LinkdaInternet"/>
          <w:rFonts w:cs="Arial"/>
          <w:szCs w:val="20"/>
        </w:rPr>
        <w:t>artigo 3° da Lei Complementar nº 123, de 2006</w:t>
      </w:r>
      <w:r>
        <w:rPr>
          <w:rStyle w:val="LinkdaInternet"/>
          <w:szCs w:val="20"/>
          <w:rFonts w:cs="Arial"/>
        </w:rPr>
        <w:fldChar w:fldCharType="end"/>
      </w:r>
      <w:r>
        <w:rPr>
          <w:rFonts w:cs="Arial"/>
          <w:color w:val="000000" w:themeColor="text1"/>
          <w:szCs w:val="20"/>
        </w:rPr>
        <w:t xml:space="preserve">, estando apto a usufruir do tratamento favorecido estabelecido em seus arts. 42 a 49, observado o disposto nos </w:t>
      </w:r>
      <w:r>
        <w:fldChar w:fldCharType="begin"/>
      </w:r>
      <w:r>
        <w:rPr>
          <w:rStyle w:val="LinkdaInternet"/>
          <w:szCs w:val="20"/>
          <w:rFonts w:cs="Arial"/>
        </w:rPr>
        <w:instrText xml:space="preserve"> HYPERLINK "http://www.planalto.gov.br/ccivil_03/_ato2019-2022/2021/lei/L14133.htm" \l "art4§1"</w:instrText>
      </w:r>
      <w:r>
        <w:rPr>
          <w:rStyle w:val="LinkdaInternet"/>
          <w:szCs w:val="20"/>
          <w:rFonts w:cs="Arial"/>
        </w:rPr>
        <w:fldChar w:fldCharType="separate"/>
      </w:r>
      <w:r>
        <w:rPr>
          <w:rStyle w:val="LinkdaInternet"/>
          <w:rFonts w:cs="Arial"/>
          <w:szCs w:val="20"/>
        </w:rPr>
        <w:t>§§ 1º ao 3º do art. 4º, da Lei n.º 14.133, de 2021.</w:t>
      </w:r>
      <w:r>
        <w:rPr>
          <w:rStyle w:val="LinkdaInternet"/>
          <w:szCs w:val="20"/>
          <w:rFonts w:cs="Arial"/>
        </w:rPr>
        <w:fldChar w:fldCharType="end"/>
      </w:r>
    </w:p>
    <w:p>
      <w:pPr>
        <w:pStyle w:val="Ttulo1"/>
        <w:numPr>
          <w:ilvl w:val="0"/>
          <w:numId w:val="3"/>
        </w:numPr>
        <w:rPr/>
      </w:pPr>
      <w:bookmarkStart w:id="7" w:name="_Toc142925864"/>
      <w:r>
        <w:rPr/>
        <w:t>FASE DE LANCES</w:t>
      </w:r>
      <w:bookmarkEnd w:id="7"/>
    </w:p>
    <w:p>
      <w:pPr>
        <w:pStyle w:val="ListParagraph"/>
        <w:numPr>
          <w:ilvl w:val="1"/>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pPr>
        <w:pStyle w:val="ListParagraph"/>
        <w:numPr>
          <w:ilvl w:val="1"/>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3"/>
        </w:numPr>
        <w:spacing w:lineRule="auto" w:line="276" w:before="120" w:after="120"/>
        <w:contextualSpacing/>
        <w:jc w:val="both"/>
        <w:rPr>
          <w:rFonts w:cs="Arial"/>
          <w:szCs w:val="20"/>
          <w:lang w:eastAsia="en-US"/>
        </w:rPr>
      </w:pPr>
      <w:r>
        <w:rPr>
          <w:rFonts w:cs="Arial"/>
          <w:szCs w:val="20"/>
        </w:rPr>
        <w:t xml:space="preserve">O lance </w:t>
      </w:r>
      <w:r>
        <w:rPr>
          <w:rFonts w:cs="Arial"/>
          <w:color w:val="000000" w:themeColor="text1"/>
          <w:szCs w:val="20"/>
          <w:lang w:eastAsia="en-US"/>
        </w:rPr>
        <w:t>deverá</w:t>
      </w:r>
      <w:r>
        <w:rPr>
          <w:rFonts w:cs="Arial"/>
          <w:szCs w:val="20"/>
        </w:rPr>
        <w:t xml:space="preserve"> ser ofertado pelo </w:t>
      </w:r>
      <w:r>
        <w:rPr>
          <w:rFonts w:cs="Arial"/>
          <w:i/>
          <w:iCs/>
          <w:color w:val="111111"/>
          <w:szCs w:val="20"/>
        </w:rPr>
        <w:t xml:space="preserve">valor unitário </w:t>
      </w:r>
      <w:r>
        <w:rPr>
          <w:rFonts w:cs="Arial"/>
          <w:szCs w:val="20"/>
        </w:rPr>
        <w:t xml:space="preserve"> do item.</w:t>
      </w:r>
    </w:p>
    <w:p>
      <w:pPr>
        <w:pStyle w:val="Quote"/>
        <w:numPr>
          <w:ilvl w:val="1"/>
          <w:numId w:val="3"/>
        </w:numPr>
        <w:pBdr>
          <w:top w:val="nil"/>
          <w:left w:val="nil"/>
          <w:bottom w:val="nil"/>
          <w:right w:val="nil"/>
        </w:pBdr>
        <w:shd w:val="clear" w:color="auto" w:fill="FFFFFF" w:themeFill="background1"/>
        <w:spacing w:lineRule="auto" w:line="276" w:before="120" w:after="120"/>
        <w:contextualSpacing/>
        <w:rPr>
          <w:rFonts w:cs="Arial"/>
          <w:i w:val="false"/>
          <w:i w:val="false"/>
          <w:iCs w:val="false"/>
          <w:color w:val="000000" w:themeColor="text1"/>
          <w:szCs w:val="20"/>
        </w:rPr>
      </w:pPr>
      <w:r>
        <w:rPr>
          <w:rFonts w:cs="Arial"/>
          <w:i w:val="false"/>
          <w:iCs w:val="false"/>
          <w:color w:val="000000" w:themeColor="text1"/>
          <w:szCs w:val="20"/>
        </w:rPr>
        <w:t>O fornecedor somente poderá oferecer valor inferior ou percentual de desconto superior ao último lance por ele ofertado e registrado pelo sistema.</w:t>
      </w:r>
    </w:p>
    <w:p>
      <w:pPr>
        <w:pStyle w:val="ListParagraph"/>
        <w:numPr>
          <w:ilvl w:val="2"/>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3"/>
        </w:numPr>
        <w:spacing w:lineRule="auto" w:line="276" w:before="120" w:after="120"/>
        <w:contextualSpacing/>
        <w:jc w:val="both"/>
        <w:rPr>
          <w:rFonts w:cs="Arial"/>
          <w:color w:val="000000" w:themeColor="text1"/>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Pr>
          <w:rFonts w:cs="Arial"/>
          <w:i/>
          <w:iCs/>
          <w:szCs w:val="20"/>
        </w:rPr>
        <w:t xml:space="preserve"> </w:t>
      </w:r>
      <w:r>
        <w:rPr>
          <w:rFonts w:cs="Arial"/>
          <w:i/>
          <w:iCs/>
          <w:color w:val="111111"/>
          <w:szCs w:val="20"/>
        </w:rPr>
        <w:t>R$ 1,00</w:t>
      </w:r>
    </w:p>
    <w:p>
      <w:pPr>
        <w:pStyle w:val="ListParagraph"/>
        <w:numPr>
          <w:ilvl w:val="1"/>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pPr>
        <w:pStyle w:val="ListParagraph"/>
        <w:numPr>
          <w:ilvl w:val="1"/>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pPr>
        <w:pStyle w:val="ListParagraph"/>
        <w:numPr>
          <w:ilvl w:val="1"/>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Durante o procedimento, os fornecedores serão informados, em tempo real, do valor do menor lance ou do maior desconto registrado, vedada a identificação do fornecedor.</w:t>
      </w:r>
    </w:p>
    <w:p>
      <w:pPr>
        <w:pStyle w:val="ListParagraph"/>
        <w:numPr>
          <w:ilvl w:val="1"/>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3"/>
        </w:numPr>
        <w:spacing w:lineRule="auto" w:line="276" w:before="120" w:after="120"/>
        <w:contextualSpacing/>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pPr>
        <w:pStyle w:val="Ttulo1"/>
        <w:numPr>
          <w:ilvl w:val="0"/>
          <w:numId w:val="3"/>
        </w:numPr>
        <w:rPr/>
      </w:pPr>
      <w:bookmarkStart w:id="8" w:name="_Toc142925865"/>
      <w:r>
        <w:rPr/>
        <w:t xml:space="preserve">JULGAMENTO E ACEITAÇÃO DAS PROPOSTAS </w:t>
      </w:r>
      <w:bookmarkEnd w:id="8"/>
    </w:p>
    <w:p>
      <w:pPr>
        <w:pStyle w:val="ListParagraph"/>
        <w:numPr>
          <w:ilvl w:val="1"/>
          <w:numId w:val="3"/>
        </w:numPr>
        <w:spacing w:lineRule="auto" w:line="276" w:before="120" w:after="120"/>
        <w:contextualSpacing/>
        <w:jc w:val="both"/>
        <w:rPr>
          <w:rFonts w:cs="Arial"/>
        </w:rPr>
      </w:pPr>
      <w:r>
        <w:rPr>
          <w:rFonts w:cs="Arial"/>
        </w:rPr>
        <w:t xml:space="preserve">Encerrada a fase de lances, </w:t>
      </w:r>
      <w:r>
        <w:rPr/>
        <w:t>quando a</w:t>
      </w:r>
      <w:r>
        <w:rPr>
          <w:rFonts w:cs="Arial"/>
        </w:rPr>
        <w:t xml:space="preserve"> proposta do primeiro colocado permanecer acima do preço máximo ou abaixo do desconto definido para a contratação, o pregoeiro poderá negociar condições mais vantajosas. </w:t>
      </w:r>
    </w:p>
    <w:p>
      <w:pPr>
        <w:pStyle w:val="ListParagraph"/>
        <w:numPr>
          <w:ilvl w:val="2"/>
          <w:numId w:val="3"/>
        </w:numPr>
        <w:spacing w:lineRule="auto" w:line="276" w:before="120" w:after="120"/>
        <w:contextualSpacing/>
        <w:jc w:val="both"/>
        <w:rPr>
          <w:rFonts w:cs="Arial"/>
        </w:rPr>
      </w:pPr>
      <w:r>
        <w:rPr>
          <w:rFonts w:cs="Arial"/>
          <w:color w:val="000000"/>
          <w:szCs w:val="20"/>
        </w:rPr>
        <w:t>Neste caso, será encaminhada contraproposta ao fornecedor que tenha apresentado o menor preço ou o maior desconto, para que seja obtida a melhor proposta compatível em relação ao estipulado pela Administração.</w:t>
      </w:r>
    </w:p>
    <w:p>
      <w:pPr>
        <w:pStyle w:val="ListParagraph"/>
        <w:numPr>
          <w:ilvl w:val="2"/>
          <w:numId w:val="3"/>
        </w:numPr>
        <w:spacing w:lineRule="auto" w:line="276" w:before="120" w:after="120"/>
        <w:contextualSpacing/>
        <w:jc w:val="both"/>
        <w:rPr>
          <w:rFonts w:cs="Arial"/>
        </w:rPr>
      </w:pPr>
      <w:r>
        <w:rPr>
          <w:rFonts w:cs="Arial"/>
        </w:rPr>
        <w:t xml:space="preserve">A negociação poderá ser feita com os demais fornecedores classificados, </w:t>
      </w:r>
      <w:r>
        <w:rPr>
          <w:rFonts w:ascii="Helvetica" w:hAnsi="Helvetica"/>
          <w:shd w:fill="FFFFFF" w:val="clear"/>
        </w:rPr>
        <w:t>exclusivamente por meio do sistema,</w:t>
      </w:r>
      <w:r>
        <w:rPr>
          <w:rFonts w:cs="Arial"/>
        </w:rPr>
        <w:t xml:space="preserve"> respeitada a ordem de classificação, quando o primeiro colocado, mesmo após a negociação, for desclassificado em razão de sua proposta permanecer acima do preço máximo ou abaixo do desconto definido para a contratação.</w:t>
      </w:r>
    </w:p>
    <w:p>
      <w:pPr>
        <w:pStyle w:val="ListParagraph"/>
        <w:numPr>
          <w:ilvl w:val="1"/>
          <w:numId w:val="3"/>
        </w:numPr>
        <w:spacing w:lineRule="auto" w:line="276" w:before="120" w:after="120"/>
        <w:contextualSpacing/>
        <w:jc w:val="both"/>
        <w:rPr>
          <w:rFonts w:cs="Arial"/>
        </w:rPr>
      </w:pPr>
      <w:r>
        <w:rPr>
          <w:rFonts w:cs="Arial"/>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ListParagraph"/>
        <w:numPr>
          <w:ilvl w:val="1"/>
          <w:numId w:val="3"/>
        </w:numPr>
        <w:spacing w:lineRule="auto" w:line="276" w:before="120" w:after="120"/>
        <w:contextualSpacing/>
        <w:jc w:val="both"/>
        <w:rPr>
          <w:rFonts w:cs="Arial"/>
        </w:rPr>
      </w:pPr>
      <w:r>
        <w:rPr>
          <w:rFonts w:cs="Arial"/>
        </w:rPr>
        <w:t>Constatada a compatibilidade entre o valor da proposta e o estipulado para a contratação, será solicitado ao fornecedor o envio d</w:t>
      </w:r>
      <w:r>
        <w:rPr/>
        <w:t xml:space="preserve">a proposta adequada ao último lance ofertado ou </w:t>
      </w:r>
      <w:r>
        <w:rPr>
          <w:rFonts w:cs="Arial"/>
        </w:rPr>
        <w:t xml:space="preserve">ao valor negociado, se for o caso, acompanhada dos documentos complementares, quando necessários. </w:t>
      </w:r>
    </w:p>
    <w:p>
      <w:pPr>
        <w:pStyle w:val="ListParagraph"/>
        <w:numPr>
          <w:ilvl w:val="1"/>
          <w:numId w:val="3"/>
        </w:numPr>
        <w:spacing w:lineRule="auto" w:line="276" w:before="120" w:after="120"/>
        <w:contextualSpacing/>
        <w:jc w:val="both"/>
        <w:rPr>
          <w:rFonts w:cs="Arial"/>
        </w:rPr>
      </w:pPr>
      <w:r>
        <w:rPr>
          <w:rFonts w:cs="Arial"/>
        </w:rPr>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cs="Arial"/>
        </w:rPr>
        <w:fldChar w:fldCharType="begin"/>
      </w:r>
      <w:r>
        <w:rPr>
          <w:rFonts w:cs="Arial"/>
        </w:rPr>
        <w:instrText xml:space="preserve"> REF _Ref144286315 \r \h </w:instrText>
      </w:r>
      <w:r>
        <w:rPr>
          <w:rFonts w:cs="Arial"/>
        </w:rPr>
        <w:fldChar w:fldCharType="separate"/>
      </w:r>
      <w:r>
        <w:rPr>
          <w:rFonts w:cs="Arial"/>
        </w:rPr>
        <w:t>3.3</w:t>
      </w:r>
      <w:r>
        <w:rPr>
          <w:rFonts w:cs="Arial"/>
        </w:rPr>
        <w:fldChar w:fldCharType="end"/>
      </w:r>
      <w:r>
        <w:rPr>
          <w:rFonts w:cs="Arial"/>
        </w:rPr>
        <w:t xml:space="preserve"> e seguintes deste Aviso, especialmente quanto à existência de sanção que impeça a participação </w:t>
      </w:r>
      <w:r>
        <w:rPr>
          <w:rFonts w:cs="Arial"/>
          <w:szCs w:val="20"/>
          <w:lang w:eastAsia="ar-SA"/>
        </w:rPr>
        <w:t xml:space="preserve">no processo de contratação direta </w:t>
      </w:r>
      <w:r>
        <w:rPr>
          <w:rFonts w:cs="Arial"/>
        </w:rPr>
        <w:t>ou a futura contratação, mediante a consulta aos seguintes cadastros:</w:t>
      </w:r>
    </w:p>
    <w:p>
      <w:pPr>
        <w:pStyle w:val="ListParagraph"/>
        <w:numPr>
          <w:ilvl w:val="2"/>
          <w:numId w:val="3"/>
        </w:numPr>
        <w:spacing w:lineRule="auto" w:line="276" w:before="120" w:after="120"/>
        <w:contextualSpacing/>
        <w:jc w:val="both"/>
        <w:rPr>
          <w:rFonts w:cs="Arial"/>
          <w:color w:val="000000"/>
          <w:szCs w:val="20"/>
        </w:rPr>
      </w:pPr>
      <w:r>
        <w:rPr>
          <w:rFonts w:cs="Arial"/>
          <w:color w:val="000000"/>
          <w:szCs w:val="20"/>
        </w:rPr>
        <w:t xml:space="preserve">SICAF;  </w:t>
      </w:r>
    </w:p>
    <w:p>
      <w:pPr>
        <w:pStyle w:val="ListParagraph"/>
        <w:numPr>
          <w:ilvl w:val="2"/>
          <w:numId w:val="3"/>
        </w:numPr>
        <w:spacing w:lineRule="auto" w:line="276" w:before="120" w:after="120"/>
        <w:contextualSpacing/>
        <w:jc w:val="both"/>
        <w:rPr>
          <w:rFonts w:cs="Arial"/>
          <w:color w:val="000000"/>
          <w:szCs w:val="20"/>
        </w:rPr>
      </w:pPr>
      <w:r>
        <w:rPr>
          <w:rFonts w:cs="Arial"/>
          <w:color w:val="000000"/>
          <w:szCs w:val="20"/>
        </w:rPr>
        <w:t xml:space="preserve">Cadastro Nacional de Empresas Inidôneas e Suspensas - CEIS, mantido pela Controladoria-Geral da União (https://www.portaltransparencia.gov.br/sancoes/ceis); e </w:t>
      </w:r>
    </w:p>
    <w:p>
      <w:pPr>
        <w:pStyle w:val="ListParagraph"/>
        <w:numPr>
          <w:ilvl w:val="2"/>
          <w:numId w:val="3"/>
        </w:numPr>
        <w:spacing w:lineRule="auto" w:line="276" w:before="120" w:after="120"/>
        <w:contextualSpacing/>
        <w:jc w:val="both"/>
        <w:rPr>
          <w:rFonts w:cs="Arial"/>
        </w:rPr>
      </w:pPr>
      <w:r>
        <w:rPr>
          <w:rFonts w:cs="Arial"/>
          <w:color w:val="000000"/>
          <w:szCs w:val="20"/>
        </w:rPr>
        <w:t>Cadastro Nacional de Empresas Punidas – CNEP, mantido pela Controladoria-Geral da União (https://www.portaltransparencia</w:t>
      </w:r>
      <w:r>
        <w:rPr>
          <w:rFonts w:cs="Arial"/>
        </w:rPr>
        <w:t xml:space="preserve">.gov.br/sancoes/cnep). </w:t>
      </w:r>
    </w:p>
    <w:p>
      <w:pPr>
        <w:pStyle w:val="ListParagraph"/>
        <w:numPr>
          <w:ilvl w:val="1"/>
          <w:numId w:val="3"/>
        </w:numPr>
        <w:spacing w:lineRule="auto" w:line="276" w:before="120" w:after="120"/>
        <w:contextualSpacing/>
        <w:jc w:val="both"/>
        <w:rPr>
          <w:rFonts w:cs="Arial"/>
        </w:rPr>
      </w:pPr>
      <w:r>
        <w:rPr>
          <w:rFonts w:cs="Arial"/>
        </w:rPr>
        <w:t>A consulta aos cadastros será realizada em nome da empresa fornecedora e também de seu sócio majoritário, por força da vedação de que trata o artigo 12 da Lei n° 8.429, de 1992.</w:t>
      </w:r>
    </w:p>
    <w:p>
      <w:pPr>
        <w:pStyle w:val="ListParagraph"/>
        <w:numPr>
          <w:ilvl w:val="1"/>
          <w:numId w:val="3"/>
        </w:numPr>
        <w:spacing w:lineRule="auto" w:line="276" w:before="120" w:after="120"/>
        <w:contextualSpacing/>
        <w:jc w:val="both"/>
        <w:rPr>
          <w:rFonts w:cs="Arial"/>
        </w:rPr>
      </w:pPr>
      <w:r>
        <w:rPr>
          <w:rFonts w:cs="Arial"/>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pPr>
        <w:pStyle w:val="ListParagraph"/>
        <w:numPr>
          <w:ilvl w:val="2"/>
          <w:numId w:val="3"/>
        </w:numPr>
        <w:spacing w:lineRule="auto" w:line="276" w:before="120" w:after="120"/>
        <w:contextualSpacing/>
        <w:jc w:val="both"/>
        <w:rPr>
          <w:rFonts w:cs="Arial"/>
        </w:rPr>
      </w:pPr>
      <w:r>
        <w:rPr>
          <w:rFonts w:cs="Arial"/>
        </w:rPr>
        <w:t xml:space="preserve">A tentativa de burla será verificada por meio dos vínculos societários, linhas de fornecimento </w:t>
      </w:r>
      <w:r>
        <w:rPr>
          <w:rFonts w:cs="Arial"/>
          <w:color w:val="000000"/>
          <w:szCs w:val="20"/>
        </w:rPr>
        <w:t>similares</w:t>
      </w:r>
      <w:r>
        <w:rPr>
          <w:rFonts w:cs="Arial"/>
        </w:rPr>
        <w:t>, dentre outros. (IN nº 3/2018, art. 29, §1º).</w:t>
      </w:r>
    </w:p>
    <w:p>
      <w:pPr>
        <w:pStyle w:val="ListParagraph"/>
        <w:numPr>
          <w:ilvl w:val="2"/>
          <w:numId w:val="3"/>
        </w:numPr>
        <w:spacing w:lineRule="auto" w:line="276" w:before="120" w:after="120"/>
        <w:contextualSpacing/>
        <w:jc w:val="both"/>
        <w:rPr>
          <w:rFonts w:cs="Arial"/>
        </w:rPr>
      </w:pPr>
      <w:r>
        <w:rPr>
          <w:rFonts w:cs="Arial"/>
        </w:rPr>
        <w:t xml:space="preserve">O </w:t>
      </w:r>
      <w:r>
        <w:rPr>
          <w:rFonts w:cs="Arial"/>
          <w:color w:val="000000" w:themeColor="text1"/>
          <w:szCs w:val="20"/>
        </w:rPr>
        <w:t>fornecedor</w:t>
      </w:r>
      <w:r>
        <w:rPr>
          <w:rFonts w:cs="Arial"/>
        </w:rPr>
        <w:t xml:space="preserve"> </w:t>
      </w:r>
      <w:r>
        <w:rPr>
          <w:rFonts w:cs="Arial"/>
          <w:color w:val="000000"/>
          <w:szCs w:val="20"/>
        </w:rPr>
        <w:t>será</w:t>
      </w:r>
      <w:r>
        <w:rPr>
          <w:rFonts w:cs="Arial"/>
        </w:rPr>
        <w:t xml:space="preserve"> convocado para manifestação previamente a uma eventual desclassificação. (IN nº 3/2018, art. 29, §2º).</w:t>
      </w:r>
    </w:p>
    <w:p>
      <w:pPr>
        <w:pStyle w:val="ListParagraph"/>
        <w:numPr>
          <w:ilvl w:val="2"/>
          <w:numId w:val="3"/>
        </w:numPr>
        <w:spacing w:lineRule="auto" w:line="276" w:before="120" w:after="120"/>
        <w:contextualSpacing/>
        <w:jc w:val="both"/>
        <w:rPr>
          <w:rFonts w:cs="Arial"/>
        </w:rPr>
      </w:pPr>
      <w:r>
        <w:rPr>
          <w:rFonts w:cs="Arial"/>
        </w:rPr>
        <w:t xml:space="preserve">Constatada a existência de sanção, o </w:t>
      </w:r>
      <w:r>
        <w:rPr>
          <w:rFonts w:cs="Arial"/>
          <w:color w:val="000000" w:themeColor="text1"/>
          <w:szCs w:val="20"/>
        </w:rPr>
        <w:t>fornecedor</w:t>
      </w:r>
      <w:r>
        <w:rPr>
          <w:rFonts w:cs="Arial"/>
        </w:rPr>
        <w:t xml:space="preserve"> será reputado inabilitado, por falta de condição de participação.</w:t>
      </w:r>
    </w:p>
    <w:p>
      <w:pPr>
        <w:pStyle w:val="ListParagraph"/>
        <w:numPr>
          <w:ilvl w:val="1"/>
          <w:numId w:val="3"/>
        </w:numPr>
        <w:spacing w:lineRule="auto" w:line="276" w:before="120" w:after="120"/>
        <w:contextualSpacing/>
        <w:jc w:val="both"/>
        <w:rPr>
          <w:rFonts w:cs="Arial"/>
        </w:rPr>
      </w:pPr>
      <w:r>
        <w:rPr>
          <w:rFonts w:cs="Arial"/>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pPr>
        <w:pStyle w:val="ListParagraph"/>
        <w:numPr>
          <w:ilvl w:val="1"/>
          <w:numId w:val="3"/>
        </w:numPr>
        <w:spacing w:lineRule="auto" w:line="276" w:before="120" w:after="120"/>
        <w:contextualSpacing/>
        <w:jc w:val="both"/>
        <w:rPr>
          <w:rFonts w:cs="Arial"/>
          <w:i/>
          <w:i/>
          <w:color w:val="000000" w:themeColor="text1"/>
          <w:szCs w:val="20"/>
        </w:rPr>
      </w:pPr>
      <w:r>
        <w:rPr>
          <w:rFonts w:cs="Arial"/>
          <w:color w:val="000000" w:themeColor="text1"/>
          <w:szCs w:val="20"/>
          <w:lang w:eastAsia="en-US"/>
        </w:rPr>
        <w:t xml:space="preserve">Será desclassificada a proposta vencedora que: </w:t>
      </w:r>
    </w:p>
    <w:p>
      <w:pPr>
        <w:pStyle w:val="ListParagraph"/>
        <w:numPr>
          <w:ilvl w:val="2"/>
          <w:numId w:val="3"/>
        </w:numPr>
        <w:spacing w:lineRule="auto" w:line="276" w:before="120" w:after="120"/>
        <w:contextualSpacing/>
        <w:jc w:val="both"/>
        <w:rPr>
          <w:rFonts w:cs="Arial"/>
          <w:i/>
          <w:i/>
          <w:color w:val="000000" w:themeColor="text1"/>
          <w:szCs w:val="20"/>
        </w:rPr>
      </w:pPr>
      <w:r>
        <w:rPr>
          <w:rFonts w:cs="Arial"/>
          <w:color w:val="000000"/>
          <w:szCs w:val="20"/>
        </w:rPr>
        <w:t>contiver vícios insanáveis</w:t>
      </w:r>
      <w:r>
        <w:rPr>
          <w:rFonts w:cs="Arial"/>
          <w:iCs/>
          <w:color w:val="000000" w:themeColor="text1"/>
          <w:szCs w:val="20"/>
        </w:rPr>
        <w:t>;</w:t>
      </w:r>
    </w:p>
    <w:p>
      <w:pPr>
        <w:pStyle w:val="ListParagraph"/>
        <w:numPr>
          <w:ilvl w:val="2"/>
          <w:numId w:val="3"/>
        </w:numPr>
        <w:spacing w:lineRule="auto" w:line="276" w:before="120" w:after="120"/>
        <w:contextualSpacing/>
        <w:jc w:val="both"/>
        <w:rPr>
          <w:rFonts w:cs="Arial"/>
          <w:i/>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pPr>
        <w:pStyle w:val="ListParagraph"/>
        <w:numPr>
          <w:ilvl w:val="2"/>
          <w:numId w:val="3"/>
        </w:numPr>
        <w:spacing w:lineRule="auto" w:line="276" w:before="120" w:after="120"/>
        <w:contextualSpacing/>
        <w:jc w:val="both"/>
        <w:rPr>
          <w:rFonts w:cs="Arial"/>
          <w:color w:val="FF0000"/>
          <w:szCs w:val="20"/>
        </w:rPr>
      </w:pPr>
      <w:r>
        <w:rPr>
          <w:rFonts w:cs="Arial"/>
          <w:szCs w:val="20"/>
        </w:rPr>
        <w:t>apresentar preços inexequíveis</w:t>
      </w:r>
      <w:r>
        <w:rPr>
          <w:rFonts w:cs="Arial"/>
          <w:color w:val="FF0000"/>
          <w:szCs w:val="20"/>
        </w:rPr>
        <w:t xml:space="preserve"> </w:t>
      </w:r>
      <w:r>
        <w:rPr>
          <w:rFonts w:cs="Arial"/>
          <w:color w:val="111111"/>
          <w:szCs w:val="20"/>
        </w:rPr>
        <w:t>ou que permanecerem acima do preço máximo definido para a contratação;</w:t>
      </w:r>
    </w:p>
    <w:p>
      <w:pPr>
        <w:pStyle w:val="ListParagraph"/>
        <w:numPr>
          <w:ilvl w:val="2"/>
          <w:numId w:val="3"/>
        </w:numPr>
        <w:spacing w:lineRule="auto" w:line="276" w:before="120" w:after="120"/>
        <w:contextualSpacing/>
        <w:jc w:val="both"/>
        <w:rPr>
          <w:rFonts w:cs="Arial"/>
          <w:i/>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pPr>
        <w:pStyle w:val="ListParagraph"/>
        <w:numPr>
          <w:ilvl w:val="2"/>
          <w:numId w:val="3"/>
        </w:numPr>
        <w:spacing w:lineRule="auto" w:line="276" w:before="120" w:after="120"/>
        <w:contextualSpacing/>
        <w:jc w:val="both"/>
        <w:rPr>
          <w:rFonts w:cs="Arial"/>
          <w:i/>
          <w:i/>
          <w:color w:val="000000" w:themeColor="text1"/>
          <w:szCs w:val="20"/>
        </w:rPr>
      </w:pPr>
      <w:r>
        <w:rPr>
          <w:rFonts w:cs="Arial"/>
          <w:color w:val="000000"/>
          <w:szCs w:val="20"/>
        </w:rPr>
        <w:t>apresentar desconformidade com quaisquer outras exigências deste aviso ou seus anexos, desde que insanável.</w:t>
      </w:r>
    </w:p>
    <w:p>
      <w:pPr>
        <w:pStyle w:val="ListParagraph"/>
        <w:numPr>
          <w:ilvl w:val="1"/>
          <w:numId w:val="3"/>
        </w:numPr>
        <w:spacing w:lineRule="auto" w:line="276" w:before="120" w:after="120"/>
        <w:contextualSpacing/>
        <w:jc w:val="both"/>
        <w:rPr>
          <w:rFonts w:cs="Arial"/>
          <w:i/>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3"/>
        </w:numPr>
        <w:spacing w:lineRule="auto" w:line="276" w:before="120" w:after="120"/>
        <w:contextualSpacing/>
        <w:jc w:val="both"/>
        <w:rPr>
          <w:rFonts w:cs="Arial"/>
          <w:i/>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3"/>
        </w:numPr>
        <w:spacing w:lineRule="auto" w:line="276" w:before="120" w:after="120"/>
        <w:contextualSpacing/>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3"/>
        </w:numPr>
        <w:spacing w:lineRule="auto" w:line="276" w:before="120" w:after="120"/>
        <w:ind w:left="716" w:right="-15" w:hanging="432"/>
        <w:contextualSpacing/>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o fornecedor comprove a exequibilidade da proposta.  </w:t>
      </w:r>
    </w:p>
    <w:p>
      <w:pPr>
        <w:pStyle w:val="ListParagraph"/>
        <w:numPr>
          <w:ilvl w:val="1"/>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 xml:space="preserve">Erros no preenchimento da planilha não 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pPr>
        <w:pStyle w:val="ListParagraph"/>
        <w:numPr>
          <w:ilvl w:val="2"/>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pPr>
        <w:pStyle w:val="ListParagraph"/>
        <w:numPr>
          <w:ilvl w:val="2"/>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pPr>
        <w:pStyle w:val="ListParagraph"/>
        <w:numPr>
          <w:ilvl w:val="1"/>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pPr>
        <w:pStyle w:val="ListParagraph"/>
        <w:numPr>
          <w:ilvl w:val="1"/>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pPr>
        <w:pStyle w:val="ListParagraph"/>
        <w:numPr>
          <w:ilvl w:val="1"/>
          <w:numId w:val="3"/>
        </w:numPr>
        <w:spacing w:lineRule="auto" w:line="276" w:before="120" w:after="120"/>
        <w:contextualSpacing/>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pPr>
        <w:pStyle w:val="Ttulo1"/>
        <w:numPr>
          <w:ilvl w:val="0"/>
          <w:numId w:val="3"/>
        </w:numPr>
        <w:rPr/>
      </w:pPr>
      <w:bookmarkStart w:id="9" w:name="_Toc142925866"/>
      <w:r>
        <w:rPr/>
        <w:t>HABILITAÇÃO</w:t>
      </w:r>
      <w:bookmarkEnd w:id="9"/>
    </w:p>
    <w:p>
      <w:pPr>
        <w:pStyle w:val="Normal"/>
        <w:numPr>
          <w:ilvl w:val="1"/>
          <w:numId w:val="3"/>
        </w:numPr>
        <w:spacing w:lineRule="auto" w:line="276" w:before="120" w:after="120"/>
        <w:contextualSpacing/>
        <w:jc w:val="both"/>
        <w:rPr>
          <w:rFonts w:cs="Arial"/>
          <w:b/>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w:t>
      </w:r>
      <w:r>
        <w:rPr>
          <w:rFonts w:cs="Arial"/>
          <w:b/>
          <w:szCs w:val="20"/>
          <w:lang w:eastAsia="ar-SA"/>
        </w:rPr>
        <w:t>nos termos dos arts. 62 a 70 da Lei nº 14.133, de 2021,</w:t>
      </w:r>
      <w:r>
        <w:rPr>
          <w:rFonts w:cs="Arial"/>
          <w:szCs w:val="20"/>
          <w:lang w:eastAsia="ar-SA"/>
        </w:rPr>
        <w:t xml:space="preserve"> constam do Termo de Referência e serão solicitados do fornecedor mais bem classificado na fase de lances.</w:t>
      </w:r>
    </w:p>
    <w:p>
      <w:pPr>
        <w:pStyle w:val="Normal"/>
        <w:numPr>
          <w:ilvl w:val="1"/>
          <w:numId w:val="3"/>
        </w:numPr>
        <w:spacing w:lineRule="auto" w:line="276" w:before="120" w:after="120"/>
        <w:contextualSpacing/>
        <w:jc w:val="both"/>
        <w:rPr>
          <w:rFonts w:cs="Arial"/>
          <w:szCs w:val="20"/>
        </w:rPr>
      </w:pPr>
      <w:r>
        <w:rPr>
          <w:rFonts w:cs="Arial"/>
          <w:szCs w:val="20"/>
        </w:rPr>
        <w:t>A habilitação dos fornecedores será verificada por meio do SICAF, nos documentos por ele abrangidos</w:t>
      </w:r>
      <w:r>
        <w:rPr>
          <w:rFonts w:cs="Arial"/>
          <w:color w:val="000000" w:themeColor="text1"/>
          <w:szCs w:val="20"/>
        </w:rPr>
        <w:t>.</w:t>
      </w:r>
    </w:p>
    <w:p>
      <w:pPr>
        <w:pStyle w:val="Normal"/>
        <w:numPr>
          <w:ilvl w:val="2"/>
          <w:numId w:val="3"/>
        </w:numPr>
        <w:spacing w:lineRule="auto" w:line="276" w:before="120" w:after="120"/>
        <w:contextualSpacing/>
        <w:jc w:val="both"/>
        <w:rPr>
          <w:rFonts w:cs="Arial"/>
          <w:color w:val="000000" w:themeColor="text1"/>
          <w:szCs w:val="20"/>
        </w:rPr>
      </w:pPr>
      <w:r>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pPr>
        <w:pStyle w:val="Normal"/>
        <w:numPr>
          <w:ilvl w:val="2"/>
          <w:numId w:val="3"/>
        </w:numPr>
        <w:spacing w:lineRule="auto" w:line="276" w:before="120" w:after="120"/>
        <w:contextualSpacing/>
        <w:jc w:val="both"/>
        <w:rPr>
          <w:rFonts w:cs="Arial"/>
          <w:color w:val="000000" w:themeColor="text1"/>
          <w:szCs w:val="20"/>
        </w:rPr>
      </w:pPr>
      <w:r>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pPr>
        <w:pStyle w:val="Normal"/>
        <w:numPr>
          <w:ilvl w:val="1"/>
          <w:numId w:val="3"/>
        </w:numPr>
        <w:spacing w:lineRule="auto" w:line="276" w:before="120" w:after="120"/>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cs="Arial"/>
          <w:color w:val="FF0000"/>
          <w:szCs w:val="20"/>
        </w:rPr>
        <w:t>........,</w:t>
      </w:r>
      <w:r>
        <w:rPr>
          <w:rFonts w:cs="Arial"/>
          <w:color w:val="000000" w:themeColor="text1"/>
          <w:szCs w:val="20"/>
        </w:rPr>
        <w:t xml:space="preserve"> sob pena de inabilitação. (</w:t>
      </w:r>
      <w:r>
        <w:fldChar w:fldCharType="begin"/>
      </w:r>
      <w:r>
        <w:rPr>
          <w:rStyle w:val="LinkdaInternet"/>
          <w:szCs w:val="20"/>
          <w:rFonts w:cs="Arial"/>
        </w:rPr>
        <w:instrText xml:space="preserve"> HYPERLINK "https://www.in.gov.br/en/web/dou/-/instrucao-normativa-seges/me-n-67-de-8-de-julho-de-2021-330985107" \l "art19§3"</w:instrText>
      </w:r>
      <w:r>
        <w:rPr>
          <w:rStyle w:val="LinkdaInternet"/>
          <w:szCs w:val="20"/>
          <w:rFonts w:cs="Arial"/>
        </w:rPr>
        <w:fldChar w:fldCharType="separate"/>
      </w:r>
      <w:r>
        <w:rPr>
          <w:rStyle w:val="LinkdaInternet"/>
          <w:rFonts w:cs="Arial"/>
          <w:szCs w:val="20"/>
        </w:rPr>
        <w:t>art. 19, § 3º, da IN Seges/ME nº 67, de 2021</w:t>
      </w:r>
      <w:r>
        <w:rPr>
          <w:rStyle w:val="LinkdaInternet"/>
          <w:szCs w:val="20"/>
          <w:rFonts w:cs="Arial"/>
        </w:rPr>
        <w:fldChar w:fldCharType="end"/>
      </w:r>
      <w:r>
        <w:rPr>
          <w:rFonts w:cs="Arial"/>
          <w:color w:val="000000" w:themeColor="text1"/>
          <w:szCs w:val="20"/>
        </w:rPr>
        <w:t>).</w:t>
      </w:r>
    </w:p>
    <w:p>
      <w:pPr>
        <w:pStyle w:val="Normal"/>
        <w:numPr>
          <w:ilvl w:val="1"/>
          <w:numId w:val="3"/>
        </w:numPr>
        <w:spacing w:lineRule="auto" w:line="276" w:before="120" w:after="120"/>
        <w:contextualSpacing/>
        <w:jc w:val="both"/>
        <w:rPr>
          <w:rFonts w:cs="Arial"/>
          <w:b/>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pPr>
        <w:pStyle w:val="Normal"/>
        <w:numPr>
          <w:ilvl w:val="1"/>
          <w:numId w:val="3"/>
        </w:numPr>
        <w:spacing w:lineRule="auto" w:line="276" w:before="120" w:after="120"/>
        <w:contextualSpacing/>
        <w:jc w:val="both"/>
        <w:rPr>
          <w:rFonts w:cs="Arial"/>
          <w:color w:val="000000" w:themeColor="text1"/>
          <w:szCs w:val="20"/>
        </w:rPr>
      </w:pPr>
      <w:r>
        <w:rPr>
          <w:rFonts w:cs="Arial"/>
          <w:color w:val="000000" w:themeColor="text1"/>
          <w:szCs w:val="20"/>
        </w:rPr>
        <w:t>Não serão aceitos documentos de habilitação com indicação de CNPJ/CPF diferentes, salvo aqueles legalmente permitidos.</w:t>
      </w:r>
    </w:p>
    <w:p>
      <w:pPr>
        <w:pStyle w:val="Normal"/>
        <w:numPr>
          <w:ilvl w:val="1"/>
          <w:numId w:val="3"/>
        </w:numPr>
        <w:spacing w:lineRule="auto" w:line="276" w:before="120" w:after="120"/>
        <w:contextualSpacing/>
        <w:jc w:val="both"/>
        <w:rPr>
          <w:rFonts w:cs="Arial"/>
          <w:color w:val="000000" w:themeColor="text1"/>
          <w:szCs w:val="20"/>
        </w:rPr>
      </w:pPr>
      <w:r>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ormal"/>
        <w:numPr>
          <w:ilvl w:val="1"/>
          <w:numId w:val="3"/>
        </w:numPr>
        <w:spacing w:lineRule="auto" w:line="276" w:before="120" w:after="120"/>
        <w:contextualSpacing/>
        <w:jc w:val="both"/>
        <w:rPr>
          <w:rFonts w:cs="Arial"/>
          <w:color w:val="000000" w:themeColor="text1"/>
          <w:szCs w:val="20"/>
        </w:rPr>
      </w:pPr>
      <w:r>
        <w:rPr>
          <w:rFonts w:cs="Arial"/>
          <w:color w:val="000000" w:themeColor="text1"/>
          <w:szCs w:val="20"/>
        </w:rPr>
        <w:t xml:space="preserve">Serão aceitos registros de CNPJ de fornecedor matriz e filial com diferenças de números de documentos pertinentes ao CND e ao CRF/FGTS, quando for comprovada </w:t>
      </w:r>
      <w:r>
        <w:rPr>
          <w:rFonts w:cs="Arial"/>
          <w:color w:val="111111"/>
          <w:szCs w:val="20"/>
        </w:rPr>
        <w:t>a centralização do recolhimento dessas contribuições.</w:t>
      </w:r>
    </w:p>
    <w:p>
      <w:pPr>
        <w:pStyle w:val="Normal"/>
        <w:numPr>
          <w:ilvl w:val="1"/>
          <w:numId w:val="3"/>
        </w:numPr>
        <w:spacing w:lineRule="auto" w:line="276" w:before="120" w:after="120"/>
        <w:contextualSpacing/>
        <w:jc w:val="both"/>
        <w:rPr>
          <w:color w:val="111111"/>
        </w:rPr>
      </w:pPr>
      <w:r>
        <w:rPr>
          <w:rFonts w:cs="Arial"/>
          <w:i/>
          <w:color w:val="111111"/>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ormal"/>
        <w:numPr>
          <w:ilvl w:val="2"/>
          <w:numId w:val="3"/>
        </w:numPr>
        <w:spacing w:lineRule="auto" w:line="276" w:before="120" w:after="120"/>
        <w:contextualSpacing/>
        <w:jc w:val="both"/>
        <w:rPr>
          <w:color w:val="111111"/>
        </w:rPr>
      </w:pPr>
      <w:r>
        <w:rPr>
          <w:rFonts w:cs="Arial"/>
          <w:i/>
          <w:color w:val="111111"/>
          <w:szCs w:val="20"/>
        </w:rPr>
        <w:t>Não havendo a comprovação cumulativa dos requisitos de habilitação, a inabilitação recairá sobre o(s) item(ns) de menor(es) valor(es) cuja retirada(s) seja(m) suficiente(s) para a habilitação do fornecedor nos remanescentes.</w:t>
      </w:r>
    </w:p>
    <w:p>
      <w:pPr>
        <w:pStyle w:val="Normal"/>
        <w:spacing w:lineRule="auto" w:line="276" w:before="120" w:after="120"/>
        <w:ind w:left="1224" w:hanging="0"/>
        <w:contextualSpacing/>
        <w:jc w:val="both"/>
        <w:rPr>
          <w:rFonts w:cs="Arial"/>
          <w:i/>
          <w:i/>
          <w:color w:val="FF0000"/>
          <w:szCs w:val="20"/>
        </w:rPr>
      </w:pPr>
      <w:r>
        <w:rPr>
          <w:rFonts w:cs="Arial"/>
          <w:i/>
          <w:color w:val="FF0000"/>
          <w:szCs w:val="20"/>
        </w:rPr>
      </w:r>
    </w:p>
    <w:p>
      <w:pPr>
        <w:pStyle w:val="Normal"/>
        <w:numPr>
          <w:ilvl w:val="1"/>
          <w:numId w:val="3"/>
        </w:numPr>
        <w:spacing w:lineRule="auto" w:line="276" w:before="120" w:after="120"/>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pPr>
        <w:pStyle w:val="Normal"/>
        <w:numPr>
          <w:ilvl w:val="1"/>
          <w:numId w:val="3"/>
        </w:numPr>
        <w:spacing w:lineRule="auto" w:line="276" w:before="120" w:after="120"/>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pPr>
        <w:pStyle w:val="Normal"/>
        <w:numPr>
          <w:ilvl w:val="2"/>
          <w:numId w:val="3"/>
        </w:numPr>
        <w:spacing w:lineRule="auto" w:line="276" w:before="120" w:after="12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numPr>
          <w:ilvl w:val="1"/>
          <w:numId w:val="3"/>
        </w:numPr>
        <w:spacing w:lineRule="auto" w:line="276" w:before="120" w:after="120"/>
        <w:contextualSpacing/>
        <w:jc w:val="both"/>
        <w:rPr>
          <w:szCs w:val="20"/>
        </w:rPr>
      </w:pPr>
      <w:r>
        <w:rPr>
          <w:rFonts w:cs="Arial"/>
          <w:iCs/>
        </w:rPr>
        <w:t>Constatado o atendimento às exigências de habilitação, o fornecedor será habilitado.</w:t>
      </w:r>
    </w:p>
    <w:p>
      <w:pPr>
        <w:pStyle w:val="Nivel01"/>
        <w:numPr>
          <w:ilvl w:val="0"/>
          <w:numId w:val="3"/>
        </w:numPr>
        <w:ind w:left="360" w:right="-15" w:hanging="360"/>
        <w:rPr>
          <w:highlight w:val="white"/>
        </w:rPr>
      </w:pPr>
      <w:bookmarkStart w:id="10" w:name="_Toc142925868"/>
      <w:r>
        <w:rPr>
          <w:b/>
          <w:bCs w:val="false"/>
          <w:i/>
          <w:iCs/>
          <w:highlight w:val="white"/>
        </w:rPr>
        <w:t>FORMAÇÃO DO CADASTRO DE RESERVA</w:t>
      </w:r>
      <w:bookmarkEnd w:id="10"/>
      <w:r>
        <w:rPr>
          <w:b/>
          <w:bCs w:val="false"/>
          <w:i/>
          <w:iCs/>
          <w:highlight w:val="white"/>
        </w:rPr>
        <w:t xml:space="preserve"> </w:t>
      </w:r>
    </w:p>
    <w:p>
      <w:pPr>
        <w:pStyle w:val="Normal"/>
        <w:numPr>
          <w:ilvl w:val="1"/>
          <w:numId w:val="3"/>
        </w:numPr>
        <w:spacing w:lineRule="auto" w:line="276" w:before="120" w:after="120"/>
        <w:ind w:left="425" w:hanging="0"/>
        <w:jc w:val="both"/>
        <w:rPr>
          <w:highlight w:val="white"/>
        </w:rPr>
      </w:pPr>
      <w:r>
        <w:rPr>
          <w:i/>
          <w:iCs/>
          <w:highlight w:val="white"/>
        </w:rPr>
        <w:t>Após a homologação do procedimento, será incluído na ata, na forma de anexo, o registro:</w:t>
      </w:r>
    </w:p>
    <w:p>
      <w:pPr>
        <w:pStyle w:val="ListParagraph"/>
        <w:numPr>
          <w:ilvl w:val="2"/>
          <w:numId w:val="7"/>
        </w:numPr>
        <w:spacing w:lineRule="auto" w:line="276" w:before="120" w:after="120"/>
        <w:contextualSpacing/>
        <w:jc w:val="both"/>
        <w:rPr>
          <w:highlight w:val="white"/>
        </w:rPr>
      </w:pPr>
      <w:r>
        <w:rPr>
          <w:i/>
          <w:iCs/>
          <w:highlight w:val="white"/>
        </w:rPr>
        <w:t xml:space="preserve">dos fornecedores </w:t>
      </w:r>
      <w:bookmarkStart w:id="11" w:name="_Hlk132991372"/>
      <w:r>
        <w:rPr>
          <w:i/>
          <w:iCs/>
          <w:highlight w:val="white"/>
        </w:rPr>
        <w:t xml:space="preserve">que </w:t>
      </w:r>
      <w:bookmarkStart w:id="12" w:name="_Hlk132989696"/>
      <w:r>
        <w:rPr>
          <w:i/>
          <w:iCs/>
          <w:highlight w:val="white"/>
        </w:rPr>
        <w:t>aceitarem cotar o objeto com preço igual ao do adjudicatári</w:t>
      </w:r>
      <w:bookmarkEnd w:id="11"/>
      <w:r>
        <w:rPr>
          <w:i/>
          <w:iCs/>
          <w:highlight w:val="white"/>
        </w:rPr>
        <w:t>o</w:t>
      </w:r>
      <w:bookmarkEnd w:id="12"/>
      <w:r>
        <w:rPr>
          <w:i/>
          <w:iCs/>
          <w:highlight w:val="white"/>
        </w:rPr>
        <w:t xml:space="preserve">, observada a classificação no procedimento; e </w:t>
      </w:r>
    </w:p>
    <w:p>
      <w:pPr>
        <w:pStyle w:val="ListParagraph"/>
        <w:numPr>
          <w:ilvl w:val="2"/>
          <w:numId w:val="7"/>
        </w:numPr>
        <w:spacing w:lineRule="auto" w:line="276" w:before="120" w:after="120"/>
        <w:contextualSpacing/>
        <w:jc w:val="both"/>
        <w:rPr>
          <w:highlight w:val="white"/>
        </w:rPr>
      </w:pPr>
      <w:r>
        <w:rPr>
          <w:i/>
          <w:iCs/>
          <w:highlight w:val="white"/>
        </w:rPr>
        <w:t>dos fornecedores que mantiverem sua proposta original.</w:t>
      </w:r>
    </w:p>
    <w:p>
      <w:pPr>
        <w:pStyle w:val="Normal"/>
        <w:numPr>
          <w:ilvl w:val="1"/>
          <w:numId w:val="3"/>
        </w:numPr>
        <w:spacing w:lineRule="auto" w:line="276" w:before="120" w:after="120"/>
        <w:ind w:left="425" w:hanging="0"/>
        <w:jc w:val="both"/>
        <w:rPr>
          <w:highlight w:val="white"/>
        </w:rPr>
      </w:pPr>
      <w:r>
        <w:rPr>
          <w:i/>
          <w:iCs/>
          <w:highlight w:val="white"/>
        </w:rPr>
        <w:t xml:space="preserve">          </w:t>
      </w:r>
      <w:r>
        <w:rPr>
          <w:i/>
          <w:iCs/>
          <w:highlight w:val="white"/>
        </w:rPr>
        <w:t>Será respeitada, nas contratações, a ordem de classificação dos fornecedores registrados na ata.</w:t>
      </w:r>
    </w:p>
    <w:p>
      <w:pPr>
        <w:pStyle w:val="Normal"/>
        <w:numPr>
          <w:ilvl w:val="1"/>
          <w:numId w:val="3"/>
        </w:numPr>
        <w:spacing w:lineRule="auto" w:line="276" w:before="120" w:after="120"/>
        <w:ind w:left="425" w:hanging="0"/>
        <w:jc w:val="both"/>
        <w:rPr>
          <w:highlight w:val="white"/>
        </w:rPr>
      </w:pPr>
      <w:r>
        <w:rPr>
          <w:i/>
          <w:iCs/>
          <w:highlight w:val="white"/>
        </w:rPr>
        <w:t>A apresentação de novas propostas na forma deste item não prejudicará o resultado do procedimento em relação ao fornecedor mais bem classificado.</w:t>
      </w:r>
    </w:p>
    <w:p>
      <w:pPr>
        <w:pStyle w:val="Normal"/>
        <w:numPr>
          <w:ilvl w:val="1"/>
          <w:numId w:val="3"/>
        </w:numPr>
        <w:spacing w:lineRule="auto" w:line="276" w:before="120" w:after="120"/>
        <w:ind w:left="425" w:hanging="0"/>
        <w:jc w:val="both"/>
        <w:rPr>
          <w:highlight w:val="white"/>
        </w:rPr>
      </w:pPr>
      <w:r>
        <w:rPr>
          <w:i/>
          <w:iCs/>
          <w:highlight w:val="white"/>
        </w:rPr>
        <w:t>Para fins da ordem de classificação, os fornecedores que aceitarem cotar o objeto com preço igual ao do adjudicatário antecederão aqueles que mantiverem sua proposta original.</w:t>
      </w:r>
    </w:p>
    <w:p>
      <w:pPr>
        <w:pStyle w:val="Normal"/>
        <w:numPr>
          <w:ilvl w:val="1"/>
          <w:numId w:val="3"/>
        </w:numPr>
        <w:spacing w:lineRule="auto" w:line="276" w:before="120" w:after="120"/>
        <w:ind w:left="425" w:hanging="0"/>
        <w:jc w:val="both"/>
        <w:rPr>
          <w:highlight w:val="white"/>
        </w:rPr>
      </w:pPr>
      <w:r>
        <w:rPr>
          <w:i/>
          <w:iCs/>
          <w:highlight w:val="white"/>
        </w:rPr>
        <w:t xml:space="preserve"> </w:t>
      </w:r>
      <w:r>
        <w:rPr>
          <w:i/>
          <w:iCs/>
          <w:highlight w:val="white"/>
        </w:rPr>
        <w:t>A habilitação dos fornecedores que comporão o cadastro de reserva será efetuada quando houver necessidade de contratação dos fornecedores remanescentes, nas seguintes hipóteses:</w:t>
      </w:r>
    </w:p>
    <w:p>
      <w:pPr>
        <w:pStyle w:val="ListParagraph"/>
        <w:numPr>
          <w:ilvl w:val="2"/>
          <w:numId w:val="8"/>
        </w:numPr>
        <w:spacing w:lineRule="auto" w:line="276" w:before="120" w:after="120"/>
        <w:contextualSpacing/>
        <w:jc w:val="both"/>
        <w:rPr>
          <w:highlight w:val="white"/>
        </w:rPr>
      </w:pPr>
      <w:r>
        <w:rPr>
          <w:i/>
          <w:iCs/>
          <w:highlight w:val="white"/>
        </w:rPr>
        <w:t>quando o adjudicatário não assinar a ata de registro de preços no prazo e nas condições estabelecidos no aviso de dispensa; ou</w:t>
      </w:r>
    </w:p>
    <w:p>
      <w:pPr>
        <w:pStyle w:val="ListParagraph"/>
        <w:numPr>
          <w:ilvl w:val="2"/>
          <w:numId w:val="8"/>
        </w:numPr>
        <w:spacing w:lineRule="auto" w:line="276" w:before="120" w:after="120"/>
        <w:contextualSpacing/>
        <w:jc w:val="both"/>
        <w:rPr>
          <w:highlight w:val="white"/>
        </w:rPr>
      </w:pPr>
      <w:r>
        <w:rPr>
          <w:i/>
          <w:iCs/>
          <w:highlight w:val="white"/>
        </w:rPr>
        <w:t>quando houver o cancelamento do registro do fornecedor ou do registro de preços, nas hipóteses previstas nos art. 28 e art. 29 do Decreto nº 11.462/23.</w:t>
      </w:r>
    </w:p>
    <w:p>
      <w:pPr>
        <w:pStyle w:val="Normal"/>
        <w:numPr>
          <w:ilvl w:val="1"/>
          <w:numId w:val="3"/>
        </w:numPr>
        <w:spacing w:lineRule="auto" w:line="276" w:before="120" w:after="120"/>
        <w:ind w:left="425" w:hanging="0"/>
        <w:jc w:val="both"/>
        <w:rPr>
          <w:highlight w:val="white"/>
        </w:rPr>
      </w:pPr>
      <w:r>
        <w:rPr>
          <w:i/>
          <w:iCs/>
          <w:highlight w:val="white"/>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ormal"/>
        <w:numPr>
          <w:ilvl w:val="1"/>
          <w:numId w:val="3"/>
        </w:numPr>
        <w:spacing w:lineRule="auto" w:line="276" w:before="120" w:after="120"/>
        <w:ind w:left="425" w:hanging="0"/>
        <w:jc w:val="both"/>
        <w:rPr>
          <w:highlight w:val="white"/>
        </w:rPr>
      </w:pPr>
      <w:r>
        <w:rPr>
          <w:i/>
          <w:iCs/>
          <w:highlight w:val="white"/>
        </w:rPr>
        <w:t xml:space="preserve"> </w:t>
      </w:r>
      <w:r>
        <w:rPr>
          <w:i/>
          <w:iCs/>
          <w:highlight w:val="white"/>
        </w:rPr>
        <w:t>convocar os fornecedores que mantiveram sua proposta original para negociação, na ordem de classificação, com vistas à obtenção de preço melhor, mesmo que acima do preço do adjudicatário; ou</w:t>
      </w:r>
    </w:p>
    <w:p>
      <w:pPr>
        <w:pStyle w:val="Normal"/>
        <w:numPr>
          <w:ilvl w:val="1"/>
          <w:numId w:val="3"/>
        </w:numPr>
        <w:spacing w:lineRule="auto" w:line="276" w:before="120" w:after="120"/>
        <w:ind w:left="425" w:hanging="0"/>
        <w:jc w:val="both"/>
        <w:rPr>
          <w:highlight w:val="white"/>
        </w:rPr>
      </w:pPr>
      <w:r>
        <w:rPr>
          <w:i/>
          <w:iCs/>
          <w:highlight w:val="white"/>
        </w:rPr>
        <w:t xml:space="preserve"> </w:t>
      </w:r>
      <w:r>
        <w:rPr>
          <w:i/>
          <w:iCs/>
          <w:highlight w:val="white"/>
        </w:rPr>
        <w:t>adjudicar e firmar o contrato nas condições ofertadas pelos fornecedores remanescentes, observada a ordem de classificação, quando frustrada a negociação de melhor condição.</w:t>
      </w:r>
    </w:p>
    <w:p>
      <w:pPr>
        <w:pStyle w:val="Ttulo1"/>
        <w:numPr>
          <w:ilvl w:val="0"/>
          <w:numId w:val="3"/>
        </w:numPr>
        <w:rPr/>
      </w:pPr>
      <w:bookmarkStart w:id="13" w:name="_Toc142925869"/>
      <w:r>
        <w:rPr/>
        <w:t>CONTRATAÇÃO</w:t>
      </w:r>
      <w:bookmarkEnd w:id="13"/>
    </w:p>
    <w:p>
      <w:pPr>
        <w:pStyle w:val="Normal"/>
        <w:numPr>
          <w:ilvl w:val="1"/>
          <w:numId w:val="3"/>
        </w:numPr>
        <w:spacing w:lineRule="auto" w:line="276" w:before="120" w:after="120"/>
        <w:ind w:left="425" w:hanging="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pPr>
        <w:pStyle w:val="Normal"/>
        <w:numPr>
          <w:ilvl w:val="1"/>
          <w:numId w:val="3"/>
        </w:numPr>
        <w:spacing w:lineRule="auto" w:line="276" w:before="120" w:after="120"/>
        <w:ind w:left="425" w:hanging="0"/>
        <w:jc w:val="both"/>
        <w:rPr>
          <w:rFonts w:eastAsia="Arial" w:cs="Arial"/>
          <w:color w:val="000000"/>
          <w:szCs w:val="20"/>
        </w:rPr>
      </w:pPr>
      <w:r>
        <w:rPr>
          <w:rFonts w:eastAsia="Arial" w:cs="Arial"/>
          <w:color w:val="000000"/>
          <w:szCs w:val="20"/>
        </w:rPr>
        <w:t>O adjudicatário terá o prazo de 10</w:t>
      </w:r>
      <w:r>
        <w:rPr>
          <w:rFonts w:eastAsia="Arial" w:cs="Arial"/>
          <w:i/>
          <w:color w:val="FF0000"/>
          <w:szCs w:val="20"/>
        </w:rPr>
        <w:t xml:space="preserve"> </w:t>
      </w:r>
      <w:r>
        <w:rPr>
          <w:rFonts w:eastAsia="Arial" w:cs="Arial"/>
          <w:i/>
          <w:color w:val="111111"/>
          <w:szCs w:val="20"/>
        </w:rPr>
        <w:t>dias úteis,</w:t>
      </w:r>
      <w:r>
        <w:rPr>
          <w:rFonts w:eastAsia="Arial" w:cs="Arial"/>
          <w:color w:val="111111"/>
          <w:szCs w:val="20"/>
        </w:rPr>
        <w:t xml:space="preserve"> contados a partir da data de sua convocação, para </w:t>
      </w:r>
      <w:r>
        <w:rPr>
          <w:rFonts w:eastAsia="Arial" w:cs="Arial"/>
          <w:i/>
          <w:color w:val="111111"/>
          <w:szCs w:val="20"/>
        </w:rPr>
        <w:t xml:space="preserve">aceitar instrumento equivalente, conforme o caso (Nota de Empenho/Carta Contrato/Autorização), </w:t>
      </w:r>
      <w:r>
        <w:rPr>
          <w:rFonts w:eastAsia="Arial" w:cs="Arial"/>
          <w:color w:val="111111"/>
          <w:szCs w:val="20"/>
        </w:rPr>
        <w:t>sob pena de decair</w:t>
      </w:r>
      <w:r>
        <w:rPr>
          <w:rFonts w:eastAsia="Arial" w:cs="Arial"/>
          <w:color w:val="000000"/>
          <w:szCs w:val="20"/>
        </w:rPr>
        <w:t xml:space="preserve"> o direito à contratação, sem prejuízo das sanções previstas neste Aviso de Contratação Direta. </w:t>
      </w:r>
    </w:p>
    <w:p>
      <w:pPr>
        <w:pStyle w:val="Normal"/>
        <w:numPr>
          <w:ilvl w:val="2"/>
          <w:numId w:val="3"/>
        </w:numPr>
        <w:spacing w:lineRule="auto" w:line="276" w:before="120" w:after="120"/>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10 dias, a contar da data de seu recebimento</w:t>
      </w:r>
      <w:r>
        <w:rPr>
          <w:rFonts w:eastAsia="Arial"/>
          <w:color w:val="000000"/>
        </w:rPr>
        <w:t xml:space="preserve"> ou da disponibilização do acesso ao sistema de processo eletrônico.</w:t>
      </w:r>
    </w:p>
    <w:p>
      <w:pPr>
        <w:pStyle w:val="Normal"/>
        <w:numPr>
          <w:ilvl w:val="2"/>
          <w:numId w:val="3"/>
        </w:numPr>
        <w:spacing w:lineRule="auto" w:line="276" w:before="120" w:after="120"/>
        <w:jc w:val="both"/>
        <w:rPr>
          <w:rFonts w:eastAsia="Arial" w:cs="Arial"/>
          <w:color w:val="000000"/>
          <w:szCs w:val="20"/>
        </w:rPr>
      </w:pPr>
      <w:r>
        <w:rPr>
          <w:rFonts w:eastAsia="Arial" w:cs="Arial"/>
          <w:color w:val="000000"/>
          <w:szCs w:val="20"/>
        </w:rPr>
        <w:t>O prazo previsto no subitem anterior poderá ser prorrogado, por igual período, por solicitação justificada do adjudicatário e aceita pela Administração.</w:t>
      </w:r>
    </w:p>
    <w:p>
      <w:pPr>
        <w:pStyle w:val="Normal"/>
        <w:numPr>
          <w:ilvl w:val="1"/>
          <w:numId w:val="3"/>
        </w:numPr>
        <w:spacing w:lineRule="auto" w:line="276" w:before="120" w:after="120"/>
        <w:ind w:left="425" w:hanging="0"/>
        <w:jc w:val="both"/>
        <w:rPr>
          <w:color w:val="111111"/>
          <w:highlight w:val="white"/>
        </w:rPr>
      </w:pPr>
      <w:r>
        <w:rPr>
          <w:rFonts w:eastAsia="Arial" w:cs="Arial"/>
          <w:i/>
          <w:color w:val="111111"/>
          <w:szCs w:val="20"/>
          <w:highlight w:val="white"/>
        </w:rPr>
        <w:t>O Aceite da Nota de Empenho ou do instrumento equivalente, emitida ao fornecedor adjudicado, implica o reconhecimento de que:</w:t>
      </w:r>
    </w:p>
    <w:p>
      <w:pPr>
        <w:pStyle w:val="Normal"/>
        <w:numPr>
          <w:ilvl w:val="2"/>
          <w:numId w:val="3"/>
        </w:numPr>
        <w:spacing w:lineRule="auto" w:line="276" w:before="120" w:after="120"/>
        <w:jc w:val="both"/>
        <w:rPr/>
      </w:pPr>
      <w:r>
        <w:rPr>
          <w:rFonts w:eastAsia="Arial" w:cs="Arial"/>
          <w:i/>
          <w:color w:val="111111"/>
          <w:szCs w:val="20"/>
          <w:highlight w:val="white"/>
        </w:rPr>
        <w:t xml:space="preserve">referida Nota está substituindo o contrato, aplicando-se à relação de negócios ali estabelecida as disposições da </w:t>
      </w:r>
      <w:hyperlink r:id="rId9">
        <w:r>
          <w:rPr>
            <w:rStyle w:val="LinkdaInternet"/>
            <w:rFonts w:eastAsia="Arial" w:cs="Arial"/>
            <w:i/>
            <w:color w:val="111111"/>
            <w:szCs w:val="20"/>
            <w:highlight w:val="white"/>
          </w:rPr>
          <w:t>Lei nº 14.133, de 2021</w:t>
        </w:r>
      </w:hyperlink>
      <w:r>
        <w:rPr>
          <w:rFonts w:eastAsia="Arial" w:cs="Arial"/>
          <w:i/>
          <w:color w:val="111111"/>
          <w:szCs w:val="20"/>
          <w:highlight w:val="white"/>
        </w:rPr>
        <w:t>;</w:t>
      </w:r>
    </w:p>
    <w:p>
      <w:pPr>
        <w:pStyle w:val="Normal"/>
        <w:numPr>
          <w:ilvl w:val="2"/>
          <w:numId w:val="3"/>
        </w:numPr>
        <w:spacing w:lineRule="auto" w:line="276" w:before="120" w:after="120"/>
        <w:jc w:val="both"/>
        <w:rPr>
          <w:color w:val="111111"/>
          <w:highlight w:val="white"/>
        </w:rPr>
      </w:pPr>
      <w:r>
        <w:rPr>
          <w:rFonts w:eastAsia="Arial" w:cs="Arial"/>
          <w:i/>
          <w:color w:val="111111"/>
          <w:szCs w:val="20"/>
          <w:highlight w:val="white"/>
        </w:rPr>
        <w:t>a contratada se vincula à sua proposta e às previsões contidas no Aviso de Contratação Direta e seus anexos;</w:t>
      </w:r>
    </w:p>
    <w:p>
      <w:pPr>
        <w:pStyle w:val="Normal"/>
        <w:numPr>
          <w:ilvl w:val="2"/>
          <w:numId w:val="3"/>
        </w:numPr>
        <w:spacing w:lineRule="auto" w:line="276" w:before="120" w:after="120"/>
        <w:jc w:val="both"/>
        <w:rPr>
          <w:rFonts w:eastAsia="Arial" w:cs="Arial"/>
          <w:i/>
          <w:i/>
          <w:color w:val="FF0000"/>
          <w:szCs w:val="20"/>
        </w:rPr>
      </w:pPr>
      <w:r>
        <w:rPr>
          <w:rFonts w:eastAsia="Arial" w:cs="Arial"/>
          <w:i/>
          <w:color w:val="111111"/>
          <w:szCs w:val="20"/>
          <w:highlight w:val="white"/>
        </w:rPr>
        <w:t xml:space="preserve">a contratada reconhece que as hipóteses de rescisão são aquelas previstas nos </w:t>
      </w:r>
      <w:r>
        <w:fldChar w:fldCharType="begin"/>
      </w:r>
      <w:r>
        <w:rPr>
          <w:rStyle w:val="LinkdaInternet"/>
          <w:i/>
          <w:szCs w:val="20"/>
          <w:highlight w:val="white"/>
          <w:rFonts w:eastAsia="Arial" w:cs="Arial"/>
          <w:color w:val="111111"/>
        </w:rPr>
        <w:instrText xml:space="preserve"> HYPERLINK "http://www.planalto.gov.br/ccivil_03/_ato2019-2022/2021/lei/L14133.htm" \l "art137"</w:instrText>
      </w:r>
      <w:r>
        <w:rPr>
          <w:rStyle w:val="LinkdaInternet"/>
          <w:i/>
          <w:szCs w:val="20"/>
          <w:highlight w:val="white"/>
          <w:rFonts w:eastAsia="Arial" w:cs="Arial"/>
          <w:color w:val="111111"/>
        </w:rPr>
        <w:fldChar w:fldCharType="separate"/>
      </w:r>
      <w:r>
        <w:rPr>
          <w:rStyle w:val="LinkdaInternet"/>
          <w:rFonts w:eastAsia="Arial" w:cs="Arial"/>
          <w:i/>
          <w:color w:val="111111"/>
          <w:szCs w:val="20"/>
          <w:highlight w:val="white"/>
        </w:rPr>
        <w:t>artigos 137 e 138 da Lei nº 14.133, de 2021</w:t>
      </w:r>
      <w:r>
        <w:rPr>
          <w:rStyle w:val="LinkdaInternet"/>
          <w:i/>
          <w:szCs w:val="20"/>
          <w:highlight w:val="white"/>
          <w:rFonts w:eastAsia="Arial" w:cs="Arial"/>
          <w:color w:val="111111"/>
        </w:rPr>
        <w:fldChar w:fldCharType="end"/>
      </w:r>
      <w:r>
        <w:rPr>
          <w:rFonts w:eastAsia="Arial" w:cs="Arial"/>
          <w:i/>
          <w:color w:val="111111"/>
          <w:szCs w:val="20"/>
          <w:highlight w:val="white"/>
        </w:rPr>
        <w:t xml:space="preserve"> e reconhece os direitos da Administração previstos nos </w:t>
      </w:r>
      <w:r>
        <w:fldChar w:fldCharType="begin"/>
      </w:r>
      <w:r>
        <w:rPr>
          <w:rStyle w:val="LinkdaInternet"/>
          <w:i/>
          <w:szCs w:val="20"/>
          <w:highlight w:val="white"/>
          <w:rFonts w:eastAsia="Arial" w:cs="Arial"/>
          <w:color w:val="111111"/>
        </w:rPr>
        <w:instrText xml:space="preserve"> HYPERLINK "http://www.planalto.gov.br/ccivil_03/_ato2019-2022/2021/lei/L14133.htm" \l "art137"</w:instrText>
      </w:r>
      <w:r>
        <w:rPr>
          <w:rStyle w:val="LinkdaInternet"/>
          <w:i/>
          <w:szCs w:val="20"/>
          <w:highlight w:val="white"/>
          <w:rFonts w:eastAsia="Arial" w:cs="Arial"/>
          <w:color w:val="111111"/>
        </w:rPr>
        <w:fldChar w:fldCharType="separate"/>
      </w:r>
      <w:r>
        <w:rPr>
          <w:rStyle w:val="LinkdaInternet"/>
          <w:rFonts w:eastAsia="Arial" w:cs="Arial"/>
          <w:i/>
          <w:color w:val="111111"/>
          <w:szCs w:val="20"/>
          <w:highlight w:val="white"/>
        </w:rPr>
        <w:t>artigos 137 a 139 da mesma Lei</w:t>
      </w:r>
      <w:r>
        <w:rPr>
          <w:rStyle w:val="LinkdaInternet"/>
          <w:i/>
          <w:szCs w:val="20"/>
          <w:highlight w:val="white"/>
          <w:rFonts w:eastAsia="Arial" w:cs="Arial"/>
          <w:color w:val="111111"/>
        </w:rPr>
        <w:fldChar w:fldCharType="end"/>
      </w:r>
      <w:r>
        <w:rPr>
          <w:rFonts w:eastAsia="Arial" w:cs="Arial"/>
          <w:i/>
          <w:color w:val="FF0000"/>
          <w:szCs w:val="20"/>
        </w:rPr>
        <w:t>.</w:t>
      </w:r>
    </w:p>
    <w:p>
      <w:pPr>
        <w:pStyle w:val="Normal"/>
        <w:numPr>
          <w:ilvl w:val="1"/>
          <w:numId w:val="3"/>
        </w:numPr>
        <w:spacing w:lineRule="auto" w:line="276" w:before="120" w:after="120"/>
        <w:ind w:left="425" w:hanging="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pPr>
        <w:pStyle w:val="Normal"/>
        <w:numPr>
          <w:ilvl w:val="1"/>
          <w:numId w:val="3"/>
        </w:numPr>
        <w:spacing w:lineRule="auto" w:line="276" w:before="120" w:after="120"/>
        <w:ind w:left="425" w:hanging="0"/>
        <w:jc w:val="both"/>
        <w:rPr>
          <w:highlight w:val="white"/>
        </w:rPr>
      </w:pPr>
      <w:r>
        <w:rPr>
          <w:rFonts w:cs="Arial"/>
          <w:color w:val="000000"/>
          <w:szCs w:val="20"/>
          <w:highlight w:val="white"/>
        </w:rPr>
        <w:t>Na assinatura do contrato ou do instrumento equivalente será exigida a comprovação das condições de habilitação e contratação consignadas neste aviso, que deverão ser mantidas pelo fornecedor durante a vigência do contrato.</w:t>
      </w:r>
    </w:p>
    <w:p>
      <w:pPr>
        <w:pStyle w:val="Normal"/>
        <w:numPr>
          <w:ilvl w:val="0"/>
          <w:numId w:val="0"/>
        </w:numPr>
        <w:spacing w:lineRule="auto" w:line="276" w:before="120" w:after="120"/>
        <w:ind w:left="1141" w:hanging="0"/>
        <w:jc w:val="both"/>
        <w:rPr>
          <w:rFonts w:eastAsia="Arial" w:cs="Arial"/>
          <w:color w:val="000000"/>
          <w:szCs w:val="20"/>
          <w:highlight w:val="white"/>
        </w:rPr>
      </w:pPr>
      <w:r>
        <w:rPr>
          <w:rFonts w:eastAsia="Arial" w:cs="Arial"/>
          <w:color w:val="000000"/>
          <w:szCs w:val="20"/>
          <w:highlight w:val="white"/>
        </w:rPr>
      </w:r>
    </w:p>
    <w:p>
      <w:pPr>
        <w:pStyle w:val="Ttulo1"/>
        <w:numPr>
          <w:ilvl w:val="0"/>
          <w:numId w:val="3"/>
        </w:numPr>
        <w:rPr/>
      </w:pPr>
      <w:bookmarkStart w:id="14" w:name="_Toc142925870"/>
      <w:r>
        <w:rPr/>
        <w:t>INFRAÇÕES E SANÇÕES ADMINISTRATIVAS</w:t>
      </w:r>
      <w:bookmarkEnd w:id="14"/>
    </w:p>
    <w:p>
      <w:pPr>
        <w:pStyle w:val="Normal"/>
        <w:numPr>
          <w:ilvl w:val="1"/>
          <w:numId w:val="3"/>
        </w:numPr>
        <w:spacing w:lineRule="auto" w:line="276" w:before="120" w:after="120"/>
        <w:ind w:left="425" w:hanging="0"/>
        <w:jc w:val="both"/>
        <w:rPr>
          <w:rFonts w:cs="Arial"/>
          <w:b/>
          <w:b/>
        </w:rPr>
      </w:pPr>
      <w:r>
        <w:rPr>
          <w:rFonts w:cs="Arial"/>
        </w:rPr>
        <w:t xml:space="preserve">Comete infração administrativa o fornecedor que praticar quaisquer das hipóteses previstas no </w:t>
      </w:r>
      <w:r>
        <w:fldChar w:fldCharType="begin"/>
      </w:r>
      <w:r>
        <w:rPr>
          <w:rStyle w:val="LinkdaInternet"/>
          <w:rFonts w:cs="Arial"/>
        </w:rPr>
        <w:instrText xml:space="preserve"> HYPERLINK "http://www.planalto.gov.br/ccivil_03/_ato2019-2022/2021/lei/L14133.htm" \l "art155"</w:instrText>
      </w:r>
      <w:r>
        <w:rPr>
          <w:rStyle w:val="LinkdaInternet"/>
          <w:rFonts w:cs="Arial"/>
        </w:rPr>
        <w:fldChar w:fldCharType="separate"/>
      </w:r>
      <w:r>
        <w:rPr>
          <w:rStyle w:val="LinkdaInternet"/>
          <w:rFonts w:cs="Arial"/>
        </w:rPr>
        <w:t>art. 155 da Lei nº 14.133, de 2021</w:t>
      </w:r>
      <w:r>
        <w:rPr>
          <w:rStyle w:val="LinkdaInternet"/>
          <w:rFonts w:cs="Arial"/>
        </w:rPr>
        <w:fldChar w:fldCharType="end"/>
      </w:r>
      <w:r>
        <w:rPr>
          <w:rFonts w:cs="Arial"/>
        </w:rPr>
        <w:t xml:space="preserve">, quais sejam: </w:t>
      </w:r>
    </w:p>
    <w:p>
      <w:pPr>
        <w:pStyle w:val="Normal"/>
        <w:numPr>
          <w:ilvl w:val="2"/>
          <w:numId w:val="3"/>
        </w:numPr>
        <w:spacing w:lineRule="auto" w:line="276" w:before="120" w:after="120"/>
        <w:jc w:val="both"/>
        <w:rPr>
          <w:rFonts w:cs="Arial"/>
        </w:rPr>
      </w:pPr>
      <w:bookmarkStart w:id="15" w:name="_Ref143509900"/>
      <w:r>
        <w:rPr>
          <w:rFonts w:cs="Arial"/>
          <w:color w:val="000000"/>
          <w:szCs w:val="20"/>
        </w:rPr>
        <w:t>dar causa à inexecução parcial do contrato</w:t>
      </w:r>
      <w:r>
        <w:rPr>
          <w:rFonts w:cs="Arial"/>
        </w:rPr>
        <w:t>;</w:t>
      </w:r>
      <w:bookmarkEnd w:id="15"/>
    </w:p>
    <w:p>
      <w:pPr>
        <w:pStyle w:val="Normal"/>
        <w:numPr>
          <w:ilvl w:val="2"/>
          <w:numId w:val="3"/>
        </w:numPr>
        <w:spacing w:lineRule="auto" w:line="276" w:before="120" w:after="120"/>
        <w:jc w:val="both"/>
        <w:rPr>
          <w:rFonts w:cs="Arial"/>
        </w:rPr>
      </w:pPr>
      <w:bookmarkStart w:id="16" w:name="_Ref143510015"/>
      <w:r>
        <w:rPr>
          <w:rFonts w:cs="Arial"/>
          <w:color w:val="000000"/>
          <w:szCs w:val="20"/>
        </w:rPr>
        <w:t>dar causa à inexecução parcial do contrato que cause grave dano à Administração, ao funcionamento dos serviços públicos ou ao interesse coletivo;</w:t>
      </w:r>
      <w:bookmarkEnd w:id="16"/>
    </w:p>
    <w:p>
      <w:pPr>
        <w:pStyle w:val="Normal"/>
        <w:numPr>
          <w:ilvl w:val="2"/>
          <w:numId w:val="3"/>
        </w:numPr>
        <w:spacing w:lineRule="auto" w:line="276" w:before="120" w:after="120"/>
        <w:jc w:val="both"/>
        <w:rPr>
          <w:rFonts w:cs="Arial"/>
        </w:rPr>
      </w:pPr>
      <w:r>
        <w:rPr>
          <w:rFonts w:cs="Arial"/>
          <w:color w:val="000000"/>
          <w:szCs w:val="20"/>
        </w:rPr>
        <w:t>dar causa à inexecução total do contrato;</w:t>
      </w:r>
    </w:p>
    <w:p>
      <w:pPr>
        <w:pStyle w:val="Normal"/>
        <w:numPr>
          <w:ilvl w:val="2"/>
          <w:numId w:val="3"/>
        </w:numPr>
        <w:spacing w:lineRule="auto" w:line="276" w:before="120" w:after="120"/>
        <w:jc w:val="both"/>
        <w:rPr>
          <w:rFonts w:cs="Arial"/>
        </w:rPr>
      </w:pPr>
      <w:r>
        <w:rPr>
          <w:rFonts w:cs="Arial"/>
          <w:color w:val="000000"/>
          <w:szCs w:val="20"/>
        </w:rPr>
        <w:t>deixar de entregar a documentação exigida para o certame;</w:t>
      </w:r>
    </w:p>
    <w:p>
      <w:pPr>
        <w:pStyle w:val="Normal"/>
        <w:numPr>
          <w:ilvl w:val="2"/>
          <w:numId w:val="3"/>
        </w:numPr>
        <w:spacing w:lineRule="auto" w:line="276" w:before="120" w:after="120"/>
        <w:jc w:val="both"/>
        <w:rPr>
          <w:rFonts w:cs="Arial"/>
        </w:rPr>
      </w:pPr>
      <w:r>
        <w:rPr>
          <w:rFonts w:cs="Arial"/>
          <w:color w:val="000000"/>
          <w:szCs w:val="20"/>
        </w:rPr>
        <w:t>não manter a proposta, salvo em decorrência de fato superveniente devidamente justificado;</w:t>
      </w:r>
    </w:p>
    <w:p>
      <w:pPr>
        <w:pStyle w:val="Normal"/>
        <w:numPr>
          <w:ilvl w:val="2"/>
          <w:numId w:val="3"/>
        </w:numPr>
        <w:spacing w:lineRule="auto" w:line="276" w:before="120" w:after="120"/>
        <w:jc w:val="both"/>
        <w:rPr>
          <w:rFonts w:cs="Arial"/>
        </w:rPr>
      </w:pPr>
      <w:r>
        <w:rPr>
          <w:rFonts w:cs="Arial"/>
          <w:color w:val="000000"/>
          <w:szCs w:val="20"/>
        </w:rPr>
        <w:t>não celebrar o contrato ou não entregar a documentação exigida para a contratação, quando convocado dentro do prazo de validade de sua proposta;</w:t>
      </w:r>
    </w:p>
    <w:p>
      <w:pPr>
        <w:pStyle w:val="Normal"/>
        <w:numPr>
          <w:ilvl w:val="2"/>
          <w:numId w:val="3"/>
        </w:numPr>
        <w:spacing w:lineRule="auto" w:line="276" w:before="120" w:after="120"/>
        <w:jc w:val="both"/>
        <w:rPr>
          <w:rFonts w:cs="Arial"/>
        </w:rPr>
      </w:pPr>
      <w:r>
        <w:rPr>
          <w:rFonts w:cs="Arial"/>
          <w:color w:val="000000"/>
          <w:szCs w:val="20"/>
        </w:rPr>
        <w:t> </w:t>
      </w:r>
      <w:bookmarkStart w:id="17" w:name="_Ref143510046"/>
      <w:r>
        <w:rPr>
          <w:rFonts w:cs="Arial"/>
          <w:color w:val="000000"/>
          <w:szCs w:val="20"/>
        </w:rPr>
        <w:t>ensejar o retardamento da execução ou da entrega do objeto da contratação direta sem motivo justificado;</w:t>
      </w:r>
      <w:bookmarkEnd w:id="17"/>
    </w:p>
    <w:p>
      <w:pPr>
        <w:pStyle w:val="Normal"/>
        <w:numPr>
          <w:ilvl w:val="2"/>
          <w:numId w:val="3"/>
        </w:numPr>
        <w:spacing w:lineRule="auto" w:line="276" w:before="120" w:after="120"/>
        <w:jc w:val="both"/>
        <w:rPr>
          <w:rFonts w:cs="Arial"/>
        </w:rPr>
      </w:pPr>
      <w:bookmarkStart w:id="18" w:name="_Ref143510088"/>
      <w:r>
        <w:rPr>
          <w:rFonts w:cs="Arial"/>
          <w:color w:val="000000"/>
          <w:szCs w:val="20"/>
        </w:rPr>
        <w:t>apresentar declaração ou documentação falsa exigida para o certame ou prestar declaração falsa durante a dispensa eletrônica ou a execução do contrato;</w:t>
      </w:r>
      <w:bookmarkEnd w:id="18"/>
    </w:p>
    <w:p>
      <w:pPr>
        <w:pStyle w:val="Normal"/>
        <w:numPr>
          <w:ilvl w:val="2"/>
          <w:numId w:val="3"/>
        </w:numPr>
        <w:spacing w:lineRule="auto" w:line="276" w:before="120" w:after="120"/>
        <w:jc w:val="both"/>
        <w:rPr>
          <w:rFonts w:cs="Arial"/>
        </w:rPr>
      </w:pPr>
      <w:r>
        <w:rPr>
          <w:rFonts w:cs="Arial"/>
          <w:color w:val="000000"/>
          <w:szCs w:val="20"/>
        </w:rPr>
        <w:t>fraudar a dispensa eletrônica ou praticar ato fraudulento na execução do contrato;</w:t>
      </w:r>
    </w:p>
    <w:p>
      <w:pPr>
        <w:pStyle w:val="Normal"/>
        <w:numPr>
          <w:ilvl w:val="2"/>
          <w:numId w:val="3"/>
        </w:numPr>
        <w:spacing w:lineRule="auto" w:line="276" w:before="120" w:after="120"/>
        <w:jc w:val="both"/>
        <w:rPr>
          <w:rFonts w:cs="Arial"/>
        </w:rPr>
      </w:pPr>
      <w:r>
        <w:rPr>
          <w:rFonts w:cs="Arial"/>
          <w:color w:val="000000"/>
          <w:szCs w:val="20"/>
        </w:rPr>
        <w:t> </w:t>
      </w:r>
      <w:r>
        <w:rPr>
          <w:rFonts w:cs="Arial"/>
          <w:color w:val="000000"/>
          <w:szCs w:val="20"/>
        </w:rPr>
        <w:t>comportar-se de modo inidôneo ou cometer fraude de qualquer natureza;</w:t>
      </w:r>
    </w:p>
    <w:p>
      <w:pPr>
        <w:pStyle w:val="ListParagraph"/>
        <w:numPr>
          <w:ilvl w:val="3"/>
          <w:numId w:val="3"/>
        </w:numPr>
        <w:spacing w:lineRule="auto" w:line="276" w:before="120" w:after="120"/>
        <w:contextualSpacing/>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3"/>
        </w:numPr>
        <w:spacing w:lineRule="auto" w:line="276" w:before="120" w:after="120"/>
        <w:jc w:val="both"/>
        <w:rPr>
          <w:rFonts w:cs="Arial"/>
        </w:rPr>
      </w:pPr>
      <w:r>
        <w:rPr>
          <w:rFonts w:cs="Arial"/>
          <w:color w:val="000000"/>
          <w:szCs w:val="20"/>
        </w:rPr>
        <w:t> </w:t>
      </w:r>
      <w:r>
        <w:rPr>
          <w:rFonts w:cs="Arial"/>
          <w:color w:val="000000"/>
          <w:szCs w:val="20"/>
        </w:rPr>
        <w:t>praticar atos ilícitos com vistas a frustrar os objetivos deste certame.</w:t>
      </w:r>
    </w:p>
    <w:p>
      <w:pPr>
        <w:pStyle w:val="Normal"/>
        <w:numPr>
          <w:ilvl w:val="2"/>
          <w:numId w:val="3"/>
        </w:numPr>
        <w:spacing w:lineRule="auto" w:line="276" w:before="120" w:after="120"/>
        <w:jc w:val="both"/>
        <w:rPr>
          <w:rStyle w:val="LinkdaInternet"/>
          <w:rFonts w:cs="Arial"/>
          <w:szCs w:val="20"/>
        </w:rPr>
      </w:pPr>
      <w:bookmarkStart w:id="19" w:name="_Ref143509952"/>
      <w:bookmarkEnd w:id="19"/>
      <w:r>
        <w:rPr>
          <w:rFonts w:cs="Arial"/>
          <w:color w:val="000000"/>
          <w:szCs w:val="20"/>
        </w:rPr>
        <w:t>praticar ato lesivo previsto no </w:t>
      </w:r>
      <w:r>
        <w:fldChar w:fldCharType="begin"/>
      </w:r>
      <w:r>
        <w:rPr>
          <w:rStyle w:val="LinkdaInternet"/>
        </w:rPr>
        <w:instrText xml:space="preserve"> HYPERLINK "http://www.planalto.gov.br/ccivil_03/_ato2019-2022/2021/lei/L14133.htm" \l "art5"</w:instrText>
      </w:r>
      <w:r>
        <w:rPr>
          <w:rStyle w:val="LinkdaInternet"/>
        </w:rPr>
        <w:fldChar w:fldCharType="separate"/>
      </w:r>
      <w:r>
        <w:rPr>
          <w:rStyle w:val="LinkdaInternet"/>
        </w:rPr>
        <w:t>art. 5º da Lei nº 12.846, de 1º de agosto de 2013.</w:t>
      </w:r>
      <w:r>
        <w:rPr>
          <w:rStyle w:val="LinkdaInternet"/>
        </w:rPr>
        <w:fldChar w:fldCharType="end"/>
      </w:r>
    </w:p>
    <w:p>
      <w:pPr>
        <w:pStyle w:val="Normal"/>
        <w:numPr>
          <w:ilvl w:val="1"/>
          <w:numId w:val="3"/>
        </w:numPr>
        <w:spacing w:lineRule="auto" w:line="276" w:before="120" w:after="120"/>
        <w:ind w:left="425" w:hanging="0"/>
        <w:jc w:val="both"/>
        <w:rPr>
          <w:rFonts w:cs="Arial"/>
          <w:b/>
          <w:b/>
        </w:rPr>
      </w:pPr>
      <w:r>
        <w:fldChar w:fldCharType="begin"/>
      </w:r>
      <w:r>
        <w:rPr>
          <w:rFonts w:cs="Arial"/>
        </w:rPr>
        <w:instrText xml:space="preserve"> HYPERLINK "http://www.planalto.gov.br/ccivil_03/_ato2019-2022/2021/lei/L14133.htm" \l "art5"</w:instrText>
      </w:r>
      <w:r>
        <w:rPr>
          <w:rFonts w:cs="Arial"/>
        </w:rPr>
        <w:fldChar w:fldCharType="separate"/>
      </w:r>
      <w:bookmarkStart w:id="20" w:name="_Ref1435099521"/>
      <w:bookmarkEnd w:id="20"/>
      <w:r>
        <w:rPr>
          <w:rFonts w:cs="Arial"/>
        </w:rPr>
        <w:t>O fornecedor que cometer qualquer das infrações discriminadas nos subitens anteriores ficará sujeito, sem prejuízo da responsabilidade civil e criminal, às seguintes sanções:</w:t>
      </w:r>
      <w:r>
        <w:rPr>
          <w:rFonts w:cs="Arial"/>
        </w:rPr>
        <w:fldChar w:fldCharType="end"/>
      </w:r>
    </w:p>
    <w:p>
      <w:pPr>
        <w:pStyle w:val="Normal"/>
        <w:numPr>
          <w:ilvl w:val="2"/>
          <w:numId w:val="6"/>
        </w:numPr>
        <w:spacing w:lineRule="auto" w:line="276" w:before="120" w:after="120"/>
        <w:jc w:val="both"/>
        <w:rPr>
          <w:rFonts w:cs="Arial"/>
        </w:rPr>
      </w:pPr>
      <w:r>
        <w:rPr>
          <w:rFonts w:cs="Arial"/>
        </w:rPr>
        <w:t xml:space="preserve">Advertência pela falta do subitem </w:t>
      </w:r>
      <w:r>
        <w:rPr>
          <w:rFonts w:cs="Arial"/>
        </w:rPr>
        <w:fldChar w:fldCharType="begin"/>
      </w:r>
      <w:r>
        <w:rPr>
          <w:rFonts w:cs="Arial"/>
        </w:rPr>
        <w:instrText xml:space="preserve"> REF _Ref143509900 \r \h </w:instrText>
      </w:r>
      <w:r>
        <w:rPr>
          <w:rFonts w:cs="Arial"/>
        </w:rPr>
        <w:fldChar w:fldCharType="separate"/>
      </w:r>
      <w:r>
        <w:rPr>
          <w:rFonts w:cs="Arial"/>
        </w:rPr>
        <w:t>10.1.1</w:t>
      </w:r>
      <w:r>
        <w:rPr>
          <w:rFonts w:cs="Arial"/>
        </w:rPr>
        <w:fldChar w:fldCharType="end"/>
      </w:r>
      <w:r>
        <w:rPr>
          <w:rFonts w:cs="Arial"/>
        </w:rPr>
        <w:t xml:space="preserve"> deste Aviso de Contratação Direta,</w:t>
      </w:r>
      <w:r>
        <w:rPr/>
        <w:t xml:space="preserve"> </w:t>
      </w:r>
      <w:r>
        <w:rPr>
          <w:rFonts w:cs="Arial"/>
        </w:rPr>
        <w:t>quando não se justificar a imposição de penalidade mais grave;</w:t>
      </w:r>
    </w:p>
    <w:p>
      <w:pPr>
        <w:pStyle w:val="Normal"/>
        <w:numPr>
          <w:ilvl w:val="2"/>
          <w:numId w:val="6"/>
        </w:numPr>
        <w:spacing w:lineRule="auto" w:line="276" w:before="120" w:after="120"/>
        <w:jc w:val="both"/>
        <w:rPr>
          <w:rFonts w:cs="Arial"/>
        </w:rPr>
      </w:pPr>
      <w:r>
        <w:rPr>
          <w:rFonts w:cs="Arial"/>
        </w:rPr>
        <w:t>Multa de 0,</w:t>
      </w:r>
      <w:r>
        <w:rPr>
          <w:rFonts w:cs="Arial"/>
          <w:color w:val="111111"/>
        </w:rPr>
        <w:t xml:space="preserve">5% </w:t>
      </w:r>
      <w:r>
        <w:rPr>
          <w:rFonts w:cs="Arial"/>
        </w:rPr>
        <w:t xml:space="preserve">sobre o valor estimado do(s) item(s) prejudicado(s) pela conduta do fornecedor, por qualquer das infrações dos subitens </w:t>
      </w:r>
      <w:r>
        <w:rPr>
          <w:rFonts w:cs="Arial"/>
        </w:rPr>
        <w:fldChar w:fldCharType="begin"/>
      </w:r>
      <w:r>
        <w:rPr>
          <w:rFonts w:cs="Arial"/>
        </w:rPr>
        <w:instrText xml:space="preserve"> REF _Ref143509900 \r \h </w:instrText>
      </w:r>
      <w:r>
        <w:rPr>
          <w:rFonts w:cs="Arial"/>
        </w:rPr>
        <w:fldChar w:fldCharType="separate"/>
      </w:r>
      <w:r>
        <w:rPr>
          <w:rFonts w:cs="Arial"/>
        </w:rPr>
        <w:t>10.1.1</w:t>
      </w:r>
      <w:r>
        <w:rPr>
          <w:rFonts w:cs="Arial"/>
        </w:rPr>
        <w:fldChar w:fldCharType="end"/>
      </w:r>
      <w:r>
        <w:rPr>
          <w:rFonts w:cs="Arial"/>
        </w:rPr>
        <w:t xml:space="preserve"> a </w:t>
      </w:r>
      <w:r>
        <w:rPr>
          <w:rFonts w:cs="Arial"/>
        </w:rPr>
        <w:fldChar w:fldCharType="begin"/>
      </w:r>
      <w:r>
        <w:rPr>
          <w:rFonts w:cs="Arial"/>
        </w:rPr>
        <w:instrText xml:space="preserve"> REF _Ref143509952 \r \h </w:instrText>
      </w:r>
      <w:r>
        <w:rPr>
          <w:rFonts w:cs="Arial"/>
        </w:rPr>
        <w:fldChar w:fldCharType="separate"/>
      </w:r>
      <w:r>
        <w:rPr>
          <w:rFonts w:cs="Arial"/>
        </w:rPr>
        <w:t>10.1.12</w:t>
      </w:r>
      <w:r>
        <w:rPr>
          <w:rFonts w:cs="Arial"/>
        </w:rPr>
        <w:fldChar w:fldCharType="end"/>
      </w:r>
      <w:r>
        <w:rPr>
          <w:rFonts w:cs="Arial"/>
        </w:rPr>
        <w:t>;</w:t>
      </w:r>
    </w:p>
    <w:p>
      <w:pPr>
        <w:pStyle w:val="Normal"/>
        <w:numPr>
          <w:ilvl w:val="2"/>
          <w:numId w:val="6"/>
        </w:numPr>
        <w:spacing w:lineRule="auto" w:line="276" w:before="120" w:after="120"/>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ente federativo que tiver aplicado a sanção, pelo prazo máximo de 3 (três) anos, nos casos dos subitens </w:t>
      </w:r>
      <w:r>
        <w:rPr>
          <w:rFonts w:cs="Arial"/>
          <w:color w:val="000000"/>
          <w:szCs w:val="20"/>
        </w:rPr>
        <w:fldChar w:fldCharType="begin"/>
      </w:r>
      <w:r>
        <w:rPr>
          <w:szCs w:val="20"/>
          <w:rFonts w:cs="Arial"/>
          <w:color w:val="000000"/>
        </w:rPr>
        <w:instrText xml:space="preserve"> REF _Ref143510015 \r \h </w:instrText>
      </w:r>
      <w:r>
        <w:rPr>
          <w:szCs w:val="20"/>
          <w:rFonts w:cs="Arial"/>
          <w:color w:val="000000"/>
        </w:rPr>
        <w:fldChar w:fldCharType="separate"/>
      </w:r>
      <w:r>
        <w:rPr>
          <w:szCs w:val="20"/>
          <w:rFonts w:cs="Arial"/>
          <w:color w:val="000000"/>
        </w:rPr>
        <w:t>10.1.2</w:t>
      </w:r>
      <w:r>
        <w:rPr>
          <w:szCs w:val="20"/>
          <w:rFonts w:cs="Arial"/>
          <w:color w:val="000000"/>
        </w:rPr>
        <w:fldChar w:fldCharType="end"/>
      </w:r>
      <w:r>
        <w:rPr>
          <w:rFonts w:cs="Arial"/>
          <w:color w:val="000000"/>
          <w:szCs w:val="20"/>
        </w:rPr>
        <w:t xml:space="preserve">  a </w:t>
      </w:r>
      <w:r>
        <w:rPr>
          <w:rFonts w:cs="Arial"/>
          <w:color w:val="000000"/>
          <w:szCs w:val="20"/>
        </w:rPr>
        <w:fldChar w:fldCharType="begin"/>
      </w:r>
      <w:r>
        <w:rPr>
          <w:szCs w:val="20"/>
          <w:rFonts w:cs="Arial"/>
          <w:color w:val="000000"/>
        </w:rPr>
        <w:instrText xml:space="preserve"> REF _Ref143510046 \r \h </w:instrText>
      </w:r>
      <w:r>
        <w:rPr>
          <w:szCs w:val="20"/>
          <w:rFonts w:cs="Arial"/>
          <w:color w:val="000000"/>
        </w:rPr>
        <w:fldChar w:fldCharType="separate"/>
      </w:r>
      <w:r>
        <w:rPr>
          <w:szCs w:val="20"/>
          <w:rFonts w:cs="Arial"/>
          <w:color w:val="000000"/>
        </w:rPr>
        <w:t>10.1.7</w:t>
      </w:r>
      <w:r>
        <w:rPr>
          <w:szCs w:val="20"/>
          <w:rFonts w:cs="Arial"/>
          <w:color w:val="000000"/>
        </w:rPr>
        <w:fldChar w:fldCharType="end"/>
      </w:r>
      <w:r>
        <w:rPr>
          <w:rFonts w:cs="Arial"/>
          <w:color w:val="000000"/>
          <w:szCs w:val="20"/>
        </w:rPr>
        <w:t xml:space="preserve"> deste Aviso de Contratação Direta, quando não se justificar a imposição de penalidade mais grave</w:t>
      </w:r>
      <w:r>
        <w:rPr>
          <w:rFonts w:cs="Arial"/>
        </w:rPr>
        <w:t>;</w:t>
      </w:r>
    </w:p>
    <w:p>
      <w:pPr>
        <w:pStyle w:val="Normal"/>
        <w:numPr>
          <w:ilvl w:val="2"/>
          <w:numId w:val="6"/>
        </w:numPr>
        <w:spacing w:lineRule="auto" w:line="276" w:before="120" w:after="120"/>
        <w:jc w:val="both"/>
        <w:rPr>
          <w:rFonts w:cs="Arial"/>
        </w:rPr>
      </w:pPr>
      <w:r>
        <w:rPr>
          <w:rFonts w:cs="Arial"/>
          <w:color w:val="00000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cs="Arial"/>
          <w:color w:val="000000"/>
          <w:szCs w:val="20"/>
        </w:rPr>
        <w:fldChar w:fldCharType="begin"/>
      </w:r>
      <w:r>
        <w:rPr>
          <w:szCs w:val="20"/>
          <w:rFonts w:cs="Arial"/>
          <w:color w:val="000000"/>
        </w:rPr>
        <w:instrText xml:space="preserve"> REF _Ref143510088 \r \h </w:instrText>
      </w:r>
      <w:r>
        <w:rPr>
          <w:szCs w:val="20"/>
          <w:rFonts w:cs="Arial"/>
          <w:color w:val="000000"/>
        </w:rPr>
        <w:fldChar w:fldCharType="separate"/>
      </w:r>
      <w:r>
        <w:rPr>
          <w:szCs w:val="20"/>
          <w:rFonts w:cs="Arial"/>
          <w:color w:val="000000"/>
        </w:rPr>
        <w:t>10.1.8</w:t>
      </w:r>
      <w:r>
        <w:rPr>
          <w:szCs w:val="20"/>
          <w:rFonts w:cs="Arial"/>
          <w:color w:val="000000"/>
        </w:rPr>
        <w:fldChar w:fldCharType="end"/>
      </w:r>
      <w:r>
        <w:rPr>
          <w:rFonts w:cs="Arial"/>
          <w:color w:val="000000"/>
          <w:szCs w:val="20"/>
        </w:rPr>
        <w:t xml:space="preserve"> a </w:t>
      </w:r>
      <w:r>
        <w:rPr>
          <w:rFonts w:cs="Arial"/>
          <w:color w:val="000000"/>
          <w:szCs w:val="20"/>
        </w:rPr>
        <w:fldChar w:fldCharType="begin"/>
      </w:r>
      <w:r>
        <w:rPr>
          <w:szCs w:val="20"/>
          <w:rFonts w:cs="Arial"/>
          <w:color w:val="000000"/>
        </w:rPr>
        <w:instrText xml:space="preserve"> REF _Ref143509952 \r \h </w:instrText>
      </w:r>
      <w:r>
        <w:rPr>
          <w:szCs w:val="20"/>
          <w:rFonts w:cs="Arial"/>
          <w:color w:val="000000"/>
        </w:rPr>
        <w:fldChar w:fldCharType="separate"/>
      </w:r>
      <w:r>
        <w:rPr>
          <w:szCs w:val="20"/>
          <w:rFonts w:cs="Arial"/>
          <w:color w:val="000000"/>
        </w:rPr>
        <w:t>10.1.12</w:t>
      </w:r>
      <w:r>
        <w:rPr>
          <w:szCs w:val="20"/>
          <w:rFonts w:cs="Arial"/>
          <w:color w:val="000000"/>
        </w:rPr>
        <w:fldChar w:fldCharType="end"/>
      </w:r>
      <w:r>
        <w:rPr>
          <w:rFonts w:cs="Arial"/>
          <w:color w:val="000000"/>
          <w:szCs w:val="20"/>
        </w:rPr>
        <w:t>, bem como nos demais casos que justifiquem a imposição da penalidade mais grave</w:t>
      </w:r>
      <w:r>
        <w:rPr>
          <w:rFonts w:cs="Arial"/>
        </w:rPr>
        <w:t>;</w:t>
      </w:r>
    </w:p>
    <w:p>
      <w:pPr>
        <w:pStyle w:val="Normal"/>
        <w:numPr>
          <w:ilvl w:val="1"/>
          <w:numId w:val="3"/>
        </w:numPr>
        <w:spacing w:lineRule="auto" w:line="276" w:before="120" w:after="120"/>
        <w:ind w:left="425" w:hanging="0"/>
        <w:jc w:val="both"/>
        <w:rPr>
          <w:rFonts w:cs="Arial"/>
          <w:bCs/>
        </w:rPr>
      </w:pPr>
      <w:r>
        <w:rPr>
          <w:rFonts w:cs="Arial"/>
          <w:bCs/>
        </w:rPr>
        <w:t>A aplicação das sanções previstas neste Aviso de Contratação Direta não exclui, em hipótese alguma, a obrigação de reparação integral do dano causado à Contratante (</w:t>
      </w:r>
      <w:r>
        <w:fldChar w:fldCharType="begin"/>
      </w:r>
      <w:r>
        <w:rPr>
          <w:rStyle w:val="LinkdaInternet"/>
          <w:bCs/>
          <w:rFonts w:cs="Arial"/>
        </w:rPr>
        <w:instrText xml:space="preserve"> HYPERLINK "http://www.planalto.gov.br/ccivil_03/_ato2019-2022/2021/lei/L14133.htm" \l "art156§9"</w:instrText>
      </w:r>
      <w:r>
        <w:rPr>
          <w:rStyle w:val="LinkdaInternet"/>
          <w:bCs/>
          <w:rFonts w:cs="Arial"/>
        </w:rPr>
        <w:fldChar w:fldCharType="separate"/>
      </w:r>
      <w:r>
        <w:rPr>
          <w:rStyle w:val="LinkdaInternet"/>
          <w:rFonts w:cs="Arial"/>
          <w:bCs/>
        </w:rPr>
        <w:t>art. 156, §9º</w:t>
      </w:r>
      <w:r>
        <w:rPr>
          <w:rStyle w:val="LinkdaInternet"/>
          <w:bCs/>
          <w:rFonts w:cs="Arial"/>
        </w:rPr>
        <w:fldChar w:fldCharType="end"/>
      </w:r>
      <w:r>
        <w:rPr>
          <w:rFonts w:cs="Arial"/>
          <w:bCs/>
        </w:rPr>
        <w:t>)</w:t>
      </w:r>
    </w:p>
    <w:p>
      <w:pPr>
        <w:pStyle w:val="Normal"/>
        <w:numPr>
          <w:ilvl w:val="1"/>
          <w:numId w:val="3"/>
        </w:numPr>
        <w:spacing w:lineRule="auto" w:line="276" w:before="120" w:after="120"/>
        <w:ind w:left="425" w:hanging="0"/>
        <w:jc w:val="both"/>
        <w:rPr>
          <w:rFonts w:cs="Arial"/>
          <w:bCs/>
        </w:rPr>
      </w:pPr>
      <w:r>
        <w:rPr>
          <w:rFonts w:cs="Arial"/>
          <w:bCs/>
        </w:rPr>
        <w:t xml:space="preserve">Todas as sanções previstas neste Aviso poderão ser aplicadas cumulativamente com a multa </w:t>
      </w:r>
      <w:r>
        <w:fldChar w:fldCharType="begin"/>
      </w:r>
      <w:r>
        <w:rPr>
          <w:rStyle w:val="LinkdaInternet"/>
          <w:bCs/>
          <w:rFonts w:cs="Arial"/>
        </w:rPr>
        <w:instrText xml:space="preserve"> HYPERLINK "http://www.planalto.gov.br/ccivil_03/_ato2019-2022/2021/lei/L14133.htm" \l "art156§7"</w:instrText>
      </w:r>
      <w:r>
        <w:rPr>
          <w:rStyle w:val="LinkdaInternet"/>
          <w:bCs/>
          <w:rFonts w:cs="Arial"/>
        </w:rPr>
        <w:fldChar w:fldCharType="separate"/>
      </w:r>
      <w:r>
        <w:rPr>
          <w:rStyle w:val="LinkdaInternet"/>
          <w:rFonts w:cs="Arial"/>
          <w:bCs/>
        </w:rPr>
        <w:t>(art. 156, §7º</w:t>
      </w:r>
      <w:r>
        <w:rPr>
          <w:rStyle w:val="LinkdaInternet"/>
          <w:bCs/>
          <w:rFonts w:cs="Arial"/>
        </w:rPr>
        <w:fldChar w:fldCharType="end"/>
      </w:r>
      <w:r>
        <w:rPr>
          <w:rFonts w:cs="Arial"/>
          <w:bCs/>
        </w:rPr>
        <w:t>).</w:t>
      </w:r>
    </w:p>
    <w:p>
      <w:pPr>
        <w:pStyle w:val="Normal"/>
        <w:numPr>
          <w:ilvl w:val="1"/>
          <w:numId w:val="3"/>
        </w:numPr>
        <w:spacing w:lineRule="auto" w:line="276" w:before="120" w:after="120"/>
        <w:ind w:left="425" w:hanging="0"/>
        <w:jc w:val="both"/>
        <w:rPr>
          <w:rFonts w:cs="Arial"/>
          <w:bCs/>
        </w:rPr>
      </w:pPr>
      <w:r>
        <w:rPr>
          <w:rFonts w:cs="Arial"/>
          <w:bCs/>
        </w:rPr>
        <w:t>Antes da aplicação da multa, será facultada a defesa do interessado no prazo de 15 (quinze) dias úteis, contado da data de sua intimação (</w:t>
      </w:r>
      <w:r>
        <w:fldChar w:fldCharType="begin"/>
      </w:r>
      <w:r>
        <w:rPr>
          <w:rStyle w:val="LinkdaInternet"/>
          <w:bCs/>
          <w:rFonts w:cs="Arial"/>
        </w:rPr>
        <w:instrText xml:space="preserve"> HYPERLINK "http://www.planalto.gov.br/ccivil_03/_ato2019-2022/2021/lei/L14133.htm" \l "art157"</w:instrText>
      </w:r>
      <w:r>
        <w:rPr>
          <w:rStyle w:val="LinkdaInternet"/>
          <w:bCs/>
          <w:rFonts w:cs="Arial"/>
        </w:rPr>
        <w:fldChar w:fldCharType="separate"/>
      </w:r>
      <w:r>
        <w:rPr>
          <w:rStyle w:val="LinkdaInternet"/>
          <w:rFonts w:cs="Arial"/>
          <w:bCs/>
        </w:rPr>
        <w:t>art. 157</w:t>
      </w:r>
      <w:r>
        <w:rPr>
          <w:rStyle w:val="LinkdaInternet"/>
          <w:bCs/>
          <w:rFonts w:cs="Arial"/>
        </w:rPr>
        <w:fldChar w:fldCharType="end"/>
      </w:r>
      <w:r>
        <w:rPr>
          <w:rFonts w:cs="Arial"/>
          <w:bCs/>
        </w:rPr>
        <w:t>)</w:t>
      </w:r>
    </w:p>
    <w:p>
      <w:pPr>
        <w:pStyle w:val="Normal"/>
        <w:numPr>
          <w:ilvl w:val="1"/>
          <w:numId w:val="3"/>
        </w:numPr>
        <w:spacing w:lineRule="auto" w:line="276" w:before="120" w:after="120"/>
        <w:ind w:left="425" w:hanging="0"/>
        <w:jc w:val="both"/>
        <w:rPr>
          <w:rFonts w:cs="Arial"/>
          <w:bCs/>
        </w:rPr>
      </w:pPr>
      <w:r>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r>
        <w:fldChar w:fldCharType="begin"/>
      </w:r>
      <w:r>
        <w:rPr>
          <w:rStyle w:val="LinkdaInternet"/>
          <w:bCs/>
          <w:rFonts w:cs="Arial"/>
        </w:rPr>
        <w:instrText xml:space="preserve"> HYPERLINK "http://www.planalto.gov.br/ccivil_03/_ato2019-2022/2021/lei/L14133.htm" \l "art156§8"</w:instrText>
      </w:r>
      <w:r>
        <w:rPr>
          <w:rStyle w:val="LinkdaInternet"/>
          <w:bCs/>
          <w:rFonts w:cs="Arial"/>
        </w:rPr>
        <w:fldChar w:fldCharType="separate"/>
      </w:r>
      <w:r>
        <w:rPr>
          <w:rStyle w:val="LinkdaInternet"/>
          <w:rFonts w:cs="Arial"/>
          <w:bCs/>
        </w:rPr>
        <w:t>art. 156, §8º</w:t>
      </w:r>
      <w:r>
        <w:rPr>
          <w:rStyle w:val="LinkdaInternet"/>
          <w:bCs/>
          <w:rFonts w:cs="Arial"/>
        </w:rPr>
        <w:fldChar w:fldCharType="end"/>
      </w:r>
      <w:r>
        <w:rPr>
          <w:rFonts w:cs="Arial"/>
          <w:bCs/>
        </w:rPr>
        <w:t>).</w:t>
      </w:r>
    </w:p>
    <w:p>
      <w:pPr>
        <w:pStyle w:val="Normal"/>
        <w:numPr>
          <w:ilvl w:val="1"/>
          <w:numId w:val="3"/>
        </w:numPr>
        <w:spacing w:lineRule="auto" w:line="276" w:before="120" w:after="120"/>
        <w:ind w:left="425" w:hanging="0"/>
        <w:jc w:val="both"/>
        <w:rPr>
          <w:rFonts w:cs="Arial"/>
          <w:bCs/>
        </w:rPr>
      </w:pPr>
      <w:r>
        <w:rPr>
          <w:rFonts w:cs="Arial"/>
          <w:bCs/>
        </w:rPr>
        <w:t>Previamente ao encaminhamento à cobrança judicial, a multa poderá ser recolhida administrativamente no prazo máximo de 10</w:t>
      </w:r>
      <w:r>
        <w:rPr>
          <w:rFonts w:cs="Arial"/>
          <w:i/>
          <w:color w:val="111111"/>
        </w:rPr>
        <w:t xml:space="preserve"> (dez)</w:t>
      </w:r>
      <w:r>
        <w:rPr>
          <w:rFonts w:cs="Arial"/>
          <w:bCs/>
          <w:i/>
          <w:iCs/>
        </w:rPr>
        <w:t xml:space="preserve"> </w:t>
      </w:r>
      <w:r>
        <w:rPr>
          <w:rFonts w:cs="Arial"/>
          <w:bCs/>
        </w:rPr>
        <w:t>dias, a contar da data do recebimento da comunicação enviada pela autoridade competente.</w:t>
      </w:r>
      <w:bookmarkStart w:id="21" w:name="_Hlk78351618"/>
      <w:bookmarkEnd w:id="21"/>
    </w:p>
    <w:p>
      <w:pPr>
        <w:pStyle w:val="Normal"/>
        <w:numPr>
          <w:ilvl w:val="1"/>
          <w:numId w:val="3"/>
        </w:numPr>
        <w:spacing w:lineRule="auto" w:line="276" w:before="120" w:after="120"/>
        <w:ind w:left="425" w:hanging="0"/>
        <w:jc w:val="both"/>
        <w:rPr>
          <w:rFonts w:cs="Arial"/>
          <w:bCs/>
        </w:rPr>
      </w:pPr>
      <w:r>
        <w:rPr>
          <w:rFonts w:cs="Arial"/>
          <w:bCs/>
        </w:rPr>
        <w:t xml:space="preserve">A aplicação das sanções realizar-se-á em processo administrativo que assegure o contraditório e a ampla defesa ao Contratado, observando-se o procedimento previsto no </w:t>
      </w:r>
      <w:r>
        <w:rPr>
          <w:rFonts w:cs="Arial"/>
          <w:b/>
          <w:bCs/>
        </w:rPr>
        <w:t xml:space="preserve">caput </w:t>
      </w:r>
      <w:r>
        <w:rPr>
          <w:rFonts w:cs="Arial"/>
          <w:bCs/>
        </w:rPr>
        <w:t xml:space="preserve">e parágrafos do </w:t>
      </w:r>
      <w:r>
        <w:fldChar w:fldCharType="begin"/>
      </w:r>
      <w:r>
        <w:rPr>
          <w:rStyle w:val="LinkdaInternet"/>
          <w:bCs/>
          <w:rFonts w:cs="Arial"/>
        </w:rPr>
        <w:instrText xml:space="preserve"> HYPERLINK "http://www.planalto.gov.br/ccivil_03/_ato2019-2022/2021/lei/L14133.htm" \l "art158"</w:instrText>
      </w:r>
      <w:r>
        <w:rPr>
          <w:rStyle w:val="LinkdaInternet"/>
          <w:bCs/>
          <w:rFonts w:cs="Arial"/>
        </w:rPr>
        <w:fldChar w:fldCharType="separate"/>
      </w:r>
      <w:r>
        <w:rPr>
          <w:rStyle w:val="LinkdaInternet"/>
          <w:rFonts w:cs="Arial"/>
          <w:bCs/>
        </w:rPr>
        <w:t>art. 158 da Lei nº 14.133, de 2021</w:t>
      </w:r>
      <w:r>
        <w:rPr>
          <w:rStyle w:val="LinkdaInternet"/>
          <w:bCs/>
          <w:rFonts w:cs="Arial"/>
        </w:rPr>
        <w:fldChar w:fldCharType="end"/>
      </w:r>
      <w:r>
        <w:rPr>
          <w:rFonts w:cs="Arial"/>
          <w:bCs/>
        </w:rPr>
        <w:t>, para as penalidades de impedimento de licitar e contratar e de declaração de inidoneidade para licitar ou contratar.</w:t>
      </w:r>
    </w:p>
    <w:p>
      <w:pPr>
        <w:pStyle w:val="Normal"/>
        <w:numPr>
          <w:ilvl w:val="1"/>
          <w:numId w:val="3"/>
        </w:numPr>
        <w:spacing w:lineRule="auto" w:line="276" w:before="120" w:after="120"/>
        <w:ind w:left="425" w:hanging="0"/>
        <w:jc w:val="both"/>
        <w:rPr>
          <w:rFonts w:cs="Arial"/>
          <w:bCs/>
        </w:rPr>
      </w:pPr>
      <w:r>
        <w:rPr>
          <w:rFonts w:cs="Arial"/>
          <w:bCs/>
        </w:rPr>
        <w:t>Na aplicação das sanções serão considerados (</w:t>
      </w:r>
      <w:r>
        <w:fldChar w:fldCharType="begin"/>
      </w:r>
      <w:r>
        <w:rPr>
          <w:rStyle w:val="LinkdaInternet"/>
          <w:bCs/>
          <w:rFonts w:cs="Arial"/>
        </w:rPr>
        <w:instrText xml:space="preserve"> HYPERLINK "http://www.planalto.gov.br/ccivil_03/_ato2019-2022/2021/lei/L14133.htm" \l "art156§1"</w:instrText>
      </w:r>
      <w:r>
        <w:rPr>
          <w:rStyle w:val="LinkdaInternet"/>
          <w:bCs/>
          <w:rFonts w:cs="Arial"/>
        </w:rPr>
        <w:fldChar w:fldCharType="separate"/>
      </w:r>
      <w:r>
        <w:rPr>
          <w:rStyle w:val="LinkdaInternet"/>
          <w:rFonts w:cs="Arial"/>
          <w:bCs/>
        </w:rPr>
        <w:t>art. 156, §1º</w:t>
      </w:r>
      <w:r>
        <w:rPr>
          <w:rStyle w:val="LinkdaInternet"/>
          <w:bCs/>
          <w:rFonts w:cs="Arial"/>
        </w:rPr>
        <w:fldChar w:fldCharType="end"/>
      </w:r>
      <w:r>
        <w:rPr>
          <w:rFonts w:cs="Arial"/>
          <w:bCs/>
        </w:rPr>
        <w:t>):</w:t>
      </w:r>
    </w:p>
    <w:p>
      <w:pPr>
        <w:pStyle w:val="Normal"/>
        <w:numPr>
          <w:ilvl w:val="1"/>
          <w:numId w:val="3"/>
        </w:numPr>
        <w:spacing w:lineRule="auto" w:line="276" w:before="120" w:after="120"/>
        <w:ind w:left="425" w:hanging="0"/>
        <w:jc w:val="both"/>
        <w:rPr>
          <w:rFonts w:cs="Arial"/>
          <w:bCs/>
        </w:rPr>
      </w:pPr>
      <w:r>
        <w:rPr>
          <w:rFonts w:cs="Arial"/>
          <w:bCs/>
        </w:rPr>
        <w:t>a natureza e a gravidade da infração cometida;</w:t>
      </w:r>
    </w:p>
    <w:p>
      <w:pPr>
        <w:pStyle w:val="Normal"/>
        <w:numPr>
          <w:ilvl w:val="1"/>
          <w:numId w:val="3"/>
        </w:numPr>
        <w:spacing w:lineRule="auto" w:line="276" w:before="120" w:after="120"/>
        <w:ind w:left="425" w:hanging="0"/>
        <w:jc w:val="both"/>
        <w:rPr>
          <w:rFonts w:cs="Arial"/>
          <w:bCs/>
        </w:rPr>
      </w:pPr>
      <w:r>
        <w:rPr>
          <w:rFonts w:cs="Arial"/>
          <w:bCs/>
        </w:rPr>
        <w:t>as peculiaridades do caso concreto;</w:t>
      </w:r>
    </w:p>
    <w:p>
      <w:pPr>
        <w:pStyle w:val="Normal"/>
        <w:numPr>
          <w:ilvl w:val="1"/>
          <w:numId w:val="3"/>
        </w:numPr>
        <w:spacing w:lineRule="auto" w:line="276" w:before="120" w:after="120"/>
        <w:ind w:left="425" w:hanging="0"/>
        <w:jc w:val="both"/>
        <w:rPr>
          <w:rFonts w:cs="Arial"/>
          <w:bCs/>
        </w:rPr>
      </w:pPr>
      <w:r>
        <w:rPr>
          <w:rFonts w:cs="Arial"/>
          <w:bCs/>
        </w:rPr>
        <w:t>as circunstâncias agravantes ou atenuantes;</w:t>
      </w:r>
    </w:p>
    <w:p>
      <w:pPr>
        <w:pStyle w:val="Normal"/>
        <w:numPr>
          <w:ilvl w:val="1"/>
          <w:numId w:val="3"/>
        </w:numPr>
        <w:spacing w:lineRule="auto" w:line="276" w:before="120" w:after="120"/>
        <w:ind w:left="425" w:hanging="0"/>
        <w:jc w:val="both"/>
        <w:rPr>
          <w:rFonts w:cs="Arial"/>
          <w:bCs/>
        </w:rPr>
      </w:pPr>
      <w:r>
        <w:rPr>
          <w:rFonts w:cs="Arial"/>
          <w:bCs/>
        </w:rPr>
        <w:t>os danos que dela provierem para o Contratante;</w:t>
      </w:r>
    </w:p>
    <w:p>
      <w:pPr>
        <w:pStyle w:val="Normal"/>
        <w:numPr>
          <w:ilvl w:val="1"/>
          <w:numId w:val="3"/>
        </w:numPr>
        <w:spacing w:lineRule="auto" w:line="276" w:before="120" w:after="120"/>
        <w:ind w:left="425" w:hanging="0"/>
        <w:jc w:val="both"/>
        <w:rPr>
          <w:rFonts w:cs="Arial"/>
          <w:bCs/>
        </w:rPr>
      </w:pPr>
      <w:r>
        <w:rPr>
          <w:rFonts w:cs="Arial"/>
          <w:bCs/>
        </w:rPr>
        <w:t>a implantação ou o aperfeiçoamento de programa de integridade, conforme normas e orientações dos órgãos de controle.</w:t>
      </w:r>
    </w:p>
    <w:p>
      <w:pPr>
        <w:pStyle w:val="Normal"/>
        <w:numPr>
          <w:ilvl w:val="1"/>
          <w:numId w:val="3"/>
        </w:numPr>
        <w:spacing w:lineRule="auto" w:line="276" w:before="120" w:after="120"/>
        <w:ind w:left="425" w:hanging="0"/>
        <w:jc w:val="both"/>
        <w:rPr>
          <w:rFonts w:cs="Arial"/>
          <w:bCs/>
        </w:rPr>
      </w:pPr>
      <w:r>
        <w:rPr>
          <w:rFonts w:cs="Arial"/>
          <w:bCs/>
        </w:rPr>
        <w:t xml:space="preserve">Os atos previstos como infrações administrativas na </w:t>
      </w:r>
      <w:hyperlink r:id="rId10">
        <w:r>
          <w:rPr>
            <w:rStyle w:val="LinkdaInternet"/>
            <w:rFonts w:cs="Arial"/>
            <w:bCs/>
          </w:rPr>
          <w:t>Lei nº 14.133, de 2021</w:t>
        </w:r>
      </w:hyperlink>
      <w:r>
        <w:rPr>
          <w:rFonts w:cs="Arial"/>
          <w:bCs/>
        </w:rPr>
        <w:t xml:space="preserve">, ou em outras leis de licitações e contratos da Administração Pública que também sejam tipificados como atos lesivos na </w:t>
      </w:r>
      <w:hyperlink r:id="rId11">
        <w:r>
          <w:rPr>
            <w:rStyle w:val="LinkdaInternet"/>
            <w:rFonts w:cs="Arial"/>
            <w:bCs/>
          </w:rPr>
          <w:t>Lei nº 12.846, de 1º de agosto de 2013</w:t>
        </w:r>
      </w:hyperlink>
      <w:r>
        <w:rPr>
          <w:rFonts w:cs="Arial"/>
          <w:bCs/>
        </w:rPr>
        <w:t>, serão apurados e julgados conjuntamente, nos mesmos autos, observados o rito procedimental e autoridade competente definidos na referida Lei (</w:t>
      </w:r>
      <w:r>
        <w:fldChar w:fldCharType="begin"/>
      </w:r>
      <w:r>
        <w:rPr>
          <w:rStyle w:val="LinkdaInternet"/>
          <w:bCs/>
          <w:rFonts w:cs="Arial"/>
        </w:rPr>
        <w:instrText xml:space="preserve"> HYPERLINK "http://www.planalto.gov.br/ccivil_03/_ato2019-2022/2021/lei/L14133.htm" \l "art159"</w:instrText>
      </w:r>
      <w:r>
        <w:rPr>
          <w:rStyle w:val="LinkdaInternet"/>
          <w:bCs/>
          <w:rFonts w:cs="Arial"/>
        </w:rPr>
        <w:fldChar w:fldCharType="separate"/>
      </w:r>
      <w:r>
        <w:rPr>
          <w:rStyle w:val="LinkdaInternet"/>
          <w:rFonts w:cs="Arial"/>
          <w:bCs/>
        </w:rPr>
        <w:t>art. 159</w:t>
      </w:r>
      <w:r>
        <w:rPr>
          <w:rStyle w:val="LinkdaInternet"/>
          <w:bCs/>
          <w:rFonts w:cs="Arial"/>
        </w:rPr>
        <w:fldChar w:fldCharType="end"/>
      </w:r>
      <w:r>
        <w:rPr>
          <w:rFonts w:cs="Arial"/>
          <w:bCs/>
        </w:rPr>
        <w:t>).</w:t>
      </w:r>
    </w:p>
    <w:p>
      <w:pPr>
        <w:pStyle w:val="Normal"/>
        <w:numPr>
          <w:ilvl w:val="1"/>
          <w:numId w:val="3"/>
        </w:numPr>
        <w:spacing w:lineRule="auto" w:line="276" w:before="120" w:after="120"/>
        <w:ind w:left="425" w:hanging="0"/>
        <w:jc w:val="both"/>
        <w:rPr>
          <w:rFonts w:cs="Arial"/>
          <w:bCs/>
          <w:i/>
          <w:i/>
        </w:rPr>
      </w:pPr>
      <w:r>
        <w:rPr>
          <w:rFonts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fldChar w:fldCharType="begin"/>
      </w:r>
      <w:r>
        <w:rPr>
          <w:rStyle w:val="LinkdaInternet"/>
          <w:bCs/>
          <w:rFonts w:cs="Arial"/>
        </w:rPr>
        <w:instrText xml:space="preserve"> HYPERLINK "http://www.planalto.gov.br/ccivil_03/_ato2019-2022/2021/lei/L14133.htm" \l "art160"</w:instrText>
      </w:r>
      <w:r>
        <w:rPr>
          <w:rStyle w:val="LinkdaInternet"/>
          <w:bCs/>
          <w:rFonts w:cs="Arial"/>
        </w:rPr>
        <w:fldChar w:fldCharType="separate"/>
      </w:r>
      <w:r>
        <w:rPr>
          <w:rStyle w:val="LinkdaInternet"/>
          <w:rFonts w:cs="Arial"/>
          <w:bCs/>
        </w:rPr>
        <w:t>art. 160</w:t>
      </w:r>
      <w:r>
        <w:rPr>
          <w:rStyle w:val="LinkdaInternet"/>
          <w:bCs/>
          <w:rFonts w:cs="Arial"/>
        </w:rPr>
        <w:fldChar w:fldCharType="end"/>
      </w:r>
      <w:r>
        <w:rPr>
          <w:rFonts w:cs="Arial"/>
          <w:bCs/>
        </w:rPr>
        <w:t>)</w:t>
      </w:r>
    </w:p>
    <w:p>
      <w:pPr>
        <w:pStyle w:val="Normal"/>
        <w:numPr>
          <w:ilvl w:val="1"/>
          <w:numId w:val="3"/>
        </w:numPr>
        <w:spacing w:lineRule="auto" w:line="276" w:before="120" w:after="120"/>
        <w:ind w:left="425" w:hanging="0"/>
        <w:jc w:val="both"/>
        <w:rPr>
          <w:rFonts w:cs="Arial"/>
          <w:bCs/>
          <w:i/>
          <w:i/>
        </w:rPr>
      </w:pPr>
      <w:r>
        <w:rPr>
          <w:rFonts w:cs="Arial"/>
          <w:bCs/>
        </w:rPr>
        <w:t xml:space="preserve"> </w:t>
      </w:r>
      <w:r>
        <w:rPr>
          <w:rFonts w:cs="Arial"/>
          <w:bCs/>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r>
        <w:fldChar w:fldCharType="begin"/>
      </w:r>
      <w:r>
        <w:rPr>
          <w:rStyle w:val="LinkdaInternet"/>
          <w:bCs/>
          <w:rFonts w:cs="Arial"/>
        </w:rPr>
        <w:instrText xml:space="preserve"> HYPERLINK "http://www.planalto.gov.br/ccivil_03/_ato2019-2022/2021/lei/L14133.htm" \l "art161"</w:instrText>
      </w:r>
      <w:r>
        <w:rPr>
          <w:rStyle w:val="LinkdaInternet"/>
          <w:bCs/>
          <w:rFonts w:cs="Arial"/>
        </w:rPr>
        <w:fldChar w:fldCharType="separate"/>
      </w:r>
      <w:r>
        <w:rPr>
          <w:rStyle w:val="LinkdaInternet"/>
          <w:rFonts w:cs="Arial"/>
          <w:bCs/>
        </w:rPr>
        <w:t>Art. 161</w:t>
      </w:r>
      <w:r>
        <w:rPr>
          <w:rStyle w:val="LinkdaInternet"/>
          <w:bCs/>
          <w:rFonts w:cs="Arial"/>
        </w:rPr>
        <w:fldChar w:fldCharType="end"/>
      </w:r>
      <w:r>
        <w:rPr>
          <w:rFonts w:cs="Arial"/>
          <w:bCs/>
        </w:rPr>
        <w:t>)</w:t>
      </w:r>
    </w:p>
    <w:p>
      <w:pPr>
        <w:pStyle w:val="Normal"/>
        <w:numPr>
          <w:ilvl w:val="1"/>
          <w:numId w:val="3"/>
        </w:numPr>
        <w:spacing w:lineRule="auto" w:line="276" w:before="120" w:after="120"/>
        <w:ind w:left="425" w:hanging="0"/>
        <w:jc w:val="both"/>
        <w:rPr>
          <w:rFonts w:cs="Arial"/>
          <w:bCs/>
          <w:i/>
          <w:i/>
        </w:rPr>
      </w:pPr>
      <w:r>
        <w:rPr>
          <w:rFonts w:cs="Arial"/>
          <w:bCs/>
        </w:rPr>
        <w:t xml:space="preserve">As sanções de impedimento de licitar e contratar e declaração de inidoneidade para licitar ou contratar são passíveis de reabilitação na forma do </w:t>
      </w:r>
      <w:r>
        <w:fldChar w:fldCharType="begin"/>
      </w:r>
      <w:r>
        <w:rPr>
          <w:rStyle w:val="LinkdaInternet"/>
          <w:bCs/>
          <w:rFonts w:cs="Arial"/>
        </w:rPr>
        <w:instrText xml:space="preserve"> HYPERLINK "http://www.planalto.gov.br/ccivil_03/_ato2019-2022/2021/lei/L14133.htm" \l "art163"</w:instrText>
      </w:r>
      <w:r>
        <w:rPr>
          <w:rStyle w:val="LinkdaInternet"/>
          <w:bCs/>
          <w:rFonts w:cs="Arial"/>
        </w:rPr>
        <w:fldChar w:fldCharType="separate"/>
      </w:r>
      <w:r>
        <w:rPr>
          <w:rStyle w:val="LinkdaInternet"/>
          <w:rFonts w:cs="Arial"/>
          <w:bCs/>
        </w:rPr>
        <w:t>art. 163 da Lei nº 14.133, de 2021.</w:t>
      </w:r>
      <w:r>
        <w:rPr>
          <w:rStyle w:val="LinkdaInternet"/>
          <w:bCs/>
          <w:rFonts w:cs="Arial"/>
        </w:rPr>
        <w:fldChar w:fldCharType="end"/>
      </w:r>
    </w:p>
    <w:p>
      <w:pPr>
        <w:pStyle w:val="Normal"/>
        <w:numPr>
          <w:ilvl w:val="1"/>
          <w:numId w:val="3"/>
        </w:numPr>
        <w:spacing w:lineRule="auto" w:line="276" w:before="120" w:after="120"/>
        <w:ind w:left="425" w:hanging="0"/>
        <w:jc w:val="both"/>
        <w:rPr>
          <w:rFonts w:cs="Arial"/>
        </w:rPr>
      </w:pPr>
      <w:r>
        <w:rPr>
          <w:rFonts w:cs="Arial"/>
        </w:rPr>
        <w:t>As sanções por atos praticados no decorrer da contratação estão previstas nos anexos a este Aviso.</w:t>
      </w:r>
    </w:p>
    <w:p>
      <w:pPr>
        <w:pStyle w:val="Normal"/>
        <w:spacing w:lineRule="auto" w:line="276" w:before="120" w:after="120"/>
        <w:ind w:left="425" w:hanging="0"/>
        <w:jc w:val="both"/>
        <w:rPr>
          <w:rFonts w:cs="Arial"/>
        </w:rPr>
      </w:pPr>
      <w:r>
        <w:rPr>
          <w:rFonts w:cs="Arial"/>
        </w:rPr>
      </w:r>
    </w:p>
    <w:p>
      <w:pPr>
        <w:pStyle w:val="Ttulo1"/>
        <w:numPr>
          <w:ilvl w:val="0"/>
          <w:numId w:val="3"/>
        </w:numPr>
        <w:rPr/>
      </w:pPr>
      <w:bookmarkStart w:id="22" w:name="_Toc142925871"/>
      <w:r>
        <w:rPr/>
        <w:t>DAS DISPOSIÇÕES GERAIS</w:t>
      </w:r>
      <w:bookmarkEnd w:id="22"/>
    </w:p>
    <w:p>
      <w:pPr>
        <w:pStyle w:val="Normal"/>
        <w:numPr>
          <w:ilvl w:val="1"/>
          <w:numId w:val="3"/>
        </w:numPr>
        <w:spacing w:lineRule="auto" w:line="276" w:before="120" w:after="120"/>
        <w:ind w:left="425" w:hanging="0"/>
        <w:jc w:val="both"/>
        <w:rPr>
          <w:rFonts w:cs="Arial"/>
          <w:color w:val="000000"/>
          <w:szCs w:val="20"/>
        </w:rPr>
      </w:pPr>
      <w:r>
        <w:rPr>
          <w:rFonts w:cs="Arial"/>
          <w:color w:val="000000"/>
          <w:szCs w:val="20"/>
        </w:rPr>
        <w:t>No caso de todos os fornecedores restarem desclassificados ou inabilitados (procedimento fracassado), a Administração poderá:</w:t>
      </w:r>
    </w:p>
    <w:p>
      <w:pPr>
        <w:pStyle w:val="Normal"/>
        <w:numPr>
          <w:ilvl w:val="2"/>
          <w:numId w:val="3"/>
        </w:numPr>
        <w:spacing w:lineRule="auto" w:line="276" w:before="120" w:after="120"/>
        <w:jc w:val="both"/>
        <w:rPr>
          <w:rFonts w:cs="Arial"/>
          <w:color w:val="000000"/>
          <w:szCs w:val="20"/>
        </w:rPr>
      </w:pPr>
      <w:bookmarkStart w:id="23" w:name="_Ref143510170"/>
      <w:r>
        <w:rPr>
          <w:rFonts w:cs="Arial"/>
          <w:color w:val="000000"/>
          <w:szCs w:val="20"/>
        </w:rPr>
        <w:t>republicar o presente aviso com uma nova data;</w:t>
      </w:r>
      <w:bookmarkEnd w:id="23"/>
    </w:p>
    <w:p>
      <w:pPr>
        <w:pStyle w:val="Normal"/>
        <w:numPr>
          <w:ilvl w:val="2"/>
          <w:numId w:val="3"/>
        </w:numPr>
        <w:spacing w:lineRule="auto" w:line="276" w:before="120" w:after="120"/>
        <w:jc w:val="both"/>
        <w:rPr>
          <w:rFonts w:cs="Arial"/>
          <w:color w:val="000000"/>
          <w:szCs w:val="20"/>
        </w:rPr>
      </w:pPr>
      <w:bookmarkStart w:id="24" w:name="_Ref143510198"/>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bookmarkEnd w:id="24"/>
    </w:p>
    <w:p>
      <w:pPr>
        <w:pStyle w:val="Normal"/>
        <w:numPr>
          <w:ilvl w:val="3"/>
          <w:numId w:val="3"/>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ormal"/>
        <w:numPr>
          <w:ilvl w:val="2"/>
          <w:numId w:val="3"/>
        </w:numPr>
        <w:spacing w:lineRule="auto" w:line="276" w:before="120" w:after="120"/>
        <w:jc w:val="both"/>
        <w:rPr>
          <w:rFonts w:cs="Arial"/>
          <w:color w:val="000000"/>
          <w:szCs w:val="20"/>
        </w:rPr>
      </w:pPr>
      <w:r>
        <w:rPr>
          <w:rFonts w:cs="Arial"/>
          <w:color w:val="000000"/>
          <w:szCs w:val="20"/>
        </w:rPr>
        <w:t>fixar prazo para que possa haver adequação das propostas ou da documentação de habilitação, conforme o caso.</w:t>
      </w:r>
    </w:p>
    <w:p>
      <w:pPr>
        <w:pStyle w:val="Normal"/>
        <w:numPr>
          <w:ilvl w:val="1"/>
          <w:numId w:val="3"/>
        </w:numPr>
        <w:spacing w:lineRule="auto" w:line="276" w:before="120" w:after="120"/>
        <w:ind w:left="425" w:hanging="0"/>
        <w:jc w:val="both"/>
        <w:rPr>
          <w:rFonts w:cs="Arial"/>
          <w:color w:val="000000"/>
          <w:szCs w:val="20"/>
        </w:rPr>
      </w:pPr>
      <w:r>
        <w:rPr>
          <w:rFonts w:cs="Arial"/>
          <w:color w:val="000000"/>
          <w:szCs w:val="20"/>
        </w:rPr>
        <w:t xml:space="preserve">As providências dos subitens </w:t>
      </w:r>
      <w:r>
        <w:rPr>
          <w:rFonts w:cs="Arial"/>
          <w:color w:val="000000"/>
          <w:szCs w:val="20"/>
        </w:rPr>
        <w:fldChar w:fldCharType="begin"/>
      </w:r>
      <w:r>
        <w:rPr>
          <w:szCs w:val="20"/>
          <w:rFonts w:cs="Arial"/>
          <w:color w:val="000000"/>
        </w:rPr>
        <w:instrText xml:space="preserve"> REF _Ref143510170 \r \h </w:instrText>
      </w:r>
      <w:r>
        <w:rPr>
          <w:szCs w:val="20"/>
          <w:rFonts w:cs="Arial"/>
          <w:color w:val="000000"/>
        </w:rPr>
        <w:fldChar w:fldCharType="separate"/>
      </w:r>
      <w:r>
        <w:rPr>
          <w:szCs w:val="20"/>
          <w:rFonts w:cs="Arial"/>
          <w:color w:val="000000"/>
        </w:rPr>
        <w:t>11.1.1</w:t>
      </w:r>
      <w:r>
        <w:rPr>
          <w:szCs w:val="20"/>
          <w:rFonts w:cs="Arial"/>
          <w:color w:val="000000"/>
        </w:rPr>
        <w:fldChar w:fldCharType="end"/>
      </w:r>
      <w:r>
        <w:rPr>
          <w:rFonts w:cs="Arial"/>
          <w:color w:val="000000"/>
          <w:szCs w:val="20"/>
        </w:rPr>
        <w:t xml:space="preserve">  e </w:t>
      </w:r>
      <w:r>
        <w:rPr>
          <w:rFonts w:cs="Arial"/>
          <w:color w:val="000000"/>
          <w:szCs w:val="20"/>
        </w:rPr>
        <w:fldChar w:fldCharType="begin"/>
      </w:r>
      <w:r>
        <w:rPr>
          <w:szCs w:val="20"/>
          <w:rFonts w:cs="Arial"/>
          <w:color w:val="000000"/>
        </w:rPr>
        <w:instrText xml:space="preserve"> REF _Ref143510198 \r \h </w:instrText>
      </w:r>
      <w:r>
        <w:rPr>
          <w:szCs w:val="20"/>
          <w:rFonts w:cs="Arial"/>
          <w:color w:val="000000"/>
        </w:rPr>
        <w:fldChar w:fldCharType="separate"/>
      </w:r>
      <w:r>
        <w:rPr>
          <w:szCs w:val="20"/>
          <w:rFonts w:cs="Arial"/>
          <w:color w:val="000000"/>
        </w:rPr>
        <w:t>11.1.2</w:t>
      </w:r>
      <w:r>
        <w:rPr>
          <w:szCs w:val="20"/>
          <w:rFonts w:cs="Arial"/>
          <w:color w:val="000000"/>
        </w:rPr>
        <w:fldChar w:fldCharType="end"/>
      </w:r>
      <w:r>
        <w:rPr>
          <w:rFonts w:cs="Arial"/>
          <w:color w:val="000000"/>
          <w:szCs w:val="20"/>
        </w:rPr>
        <w:t xml:space="preserve"> também poderão ser utilizadas se não houver o comparecimento de quaisquer fornecedores interessados (procedimento deserto).</w:t>
      </w:r>
    </w:p>
    <w:p>
      <w:pPr>
        <w:pStyle w:val="Normal"/>
        <w:numPr>
          <w:ilvl w:val="1"/>
          <w:numId w:val="3"/>
        </w:numPr>
        <w:spacing w:lineRule="auto" w:line="276" w:before="120" w:after="120"/>
        <w:ind w:left="425" w:hanging="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3"/>
        </w:numPr>
        <w:spacing w:lineRule="auto" w:line="276" w:before="120" w:after="120"/>
        <w:ind w:left="425" w:hanging="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3"/>
        </w:numPr>
        <w:spacing w:lineRule="auto" w:line="276" w:before="120" w:after="120"/>
        <w:ind w:left="425" w:hanging="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3"/>
        </w:numPr>
        <w:spacing w:lineRule="auto" w:line="276" w:before="120" w:after="120"/>
        <w:ind w:left="425" w:hanging="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3"/>
        </w:numPr>
        <w:spacing w:lineRule="auto" w:line="276" w:before="120" w:after="120"/>
        <w:ind w:left="425" w:hanging="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3"/>
        </w:numPr>
        <w:spacing w:lineRule="auto" w:line="276" w:before="120" w:after="120"/>
        <w:ind w:left="425" w:hanging="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3"/>
        </w:numPr>
        <w:spacing w:lineRule="auto" w:line="276" w:before="120" w:after="120"/>
        <w:ind w:left="425" w:hanging="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3"/>
        </w:numPr>
        <w:spacing w:lineRule="auto" w:line="276" w:before="120" w:after="120"/>
        <w:ind w:left="425" w:hanging="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pPr>
        <w:pStyle w:val="Normal"/>
        <w:numPr>
          <w:ilvl w:val="1"/>
          <w:numId w:val="3"/>
        </w:numPr>
        <w:spacing w:lineRule="auto" w:line="276" w:before="120" w:after="120"/>
        <w:ind w:left="425" w:hanging="0"/>
        <w:jc w:val="both"/>
        <w:rPr>
          <w:rFonts w:cs="Arial"/>
          <w:color w:val="000000"/>
          <w:szCs w:val="20"/>
        </w:rPr>
      </w:pPr>
      <w:r>
        <w:rPr>
          <w:rFonts w:cs="Arial"/>
          <w:color w:val="000000"/>
          <w:szCs w:val="20"/>
        </w:rPr>
        <w:t>Da sessão pública será divulgada Ata no sistema eletrônico.</w:t>
      </w:r>
    </w:p>
    <w:p>
      <w:pPr>
        <w:pStyle w:val="Normal"/>
        <w:numPr>
          <w:ilvl w:val="1"/>
          <w:numId w:val="3"/>
        </w:numPr>
        <w:spacing w:lineRule="auto" w:line="276" w:before="120" w:after="120"/>
        <w:ind w:left="425" w:hanging="0"/>
        <w:jc w:val="both"/>
        <w:rPr>
          <w:rFonts w:cs="Arial"/>
          <w:color w:val="000000"/>
          <w:szCs w:val="20"/>
        </w:rPr>
      </w:pPr>
      <w:r>
        <w:rPr>
          <w:rFonts w:cs="Arial"/>
          <w:color w:val="000000"/>
          <w:szCs w:val="20"/>
        </w:rPr>
        <w:t>Integram este Aviso de Contratação Direta, para todos os fins e efeitos, os seguintes anexos:</w:t>
      </w:r>
    </w:p>
    <w:p>
      <w:pPr>
        <w:pStyle w:val="Normal"/>
        <w:numPr>
          <w:ilvl w:val="2"/>
          <w:numId w:val="3"/>
        </w:numPr>
        <w:spacing w:lineRule="auto" w:line="276" w:before="120" w:after="120"/>
        <w:jc w:val="both"/>
        <w:rPr>
          <w:rFonts w:cs="Arial"/>
          <w:color w:val="000000"/>
          <w:szCs w:val="20"/>
        </w:rPr>
      </w:pPr>
      <w:r>
        <w:rPr>
          <w:rFonts w:cs="Arial"/>
          <w:color w:val="000000"/>
          <w:szCs w:val="20"/>
        </w:rPr>
        <w:t>ANEXO I –  Termo de Referência</w:t>
      </w:r>
    </w:p>
    <w:p>
      <w:pPr>
        <w:pStyle w:val="Normal"/>
        <w:spacing w:lineRule="auto" w:line="276" w:before="120" w:after="120"/>
        <w:jc w:val="both"/>
        <w:rPr>
          <w:rFonts w:cs="Arial"/>
          <w:i/>
          <w:i/>
          <w:iCs/>
          <w:color w:val="FF0000"/>
          <w:szCs w:val="20"/>
        </w:rPr>
      </w:pPr>
      <w:r>
        <w:rPr>
          <w:rFonts w:cs="Arial"/>
          <w:i/>
          <w:iCs/>
          <w:color w:val="FF0000"/>
          <w:szCs w:val="20"/>
        </w:rPr>
      </w:r>
    </w:p>
    <w:p>
      <w:pPr>
        <w:pStyle w:val="Normal"/>
        <w:spacing w:lineRule="auto" w:line="276" w:before="0" w:after="120"/>
        <w:ind w:left="360" w:right="-15" w:hanging="0"/>
        <w:jc w:val="both"/>
        <w:rPr>
          <w:rFonts w:cs="Arial"/>
          <w:color w:val="000000"/>
          <w:szCs w:val="20"/>
        </w:rPr>
      </w:pPr>
      <w:r>
        <w:rPr>
          <w:rFonts w:cs="Arial"/>
          <w:color w:val="000000"/>
          <w:szCs w:val="20"/>
        </w:rPr>
      </w:r>
    </w:p>
    <w:p>
      <w:pPr>
        <w:pStyle w:val="Normal"/>
        <w:spacing w:lineRule="auto" w:line="276" w:before="0" w:after="120"/>
        <w:ind w:left="360" w:right="-15" w:hanging="0"/>
        <w:jc w:val="both"/>
        <w:rPr>
          <w:rFonts w:cs="Arial"/>
          <w:color w:val="000000"/>
          <w:szCs w:val="20"/>
        </w:rPr>
      </w:pPr>
      <w:r>
        <w:rPr>
          <w:rFonts w:cs="Arial"/>
          <w:color w:val="000000"/>
          <w:szCs w:val="20"/>
        </w:rPr>
        <w:t>........................................... , ......... de ................................. de 20.....</w:t>
      </w:r>
    </w:p>
    <w:p>
      <w:pPr>
        <w:pStyle w:val="Normal"/>
        <w:spacing w:lineRule="auto" w:line="240" w:before="119" w:after="119"/>
        <w:jc w:val="center"/>
        <w:rPr>
          <w:rFonts w:ascii="Calibri" w:hAnsi="Calibri" w:cs="Times New Roman"/>
          <w:b w:val="false"/>
          <w:b w:val="false"/>
          <w:bCs w:val="false"/>
          <w:strike w:val="false"/>
          <w:dstrike w:val="false"/>
          <w:color w:val="000000"/>
          <w:sz w:val="24"/>
          <w:szCs w:val="24"/>
          <w:u w:val="none"/>
        </w:rPr>
      </w:pPr>
      <w:r>
        <w:rPr>
          <w:rFonts w:cs="Times New Roman" w:ascii="Calibri" w:hAnsi="Calibri"/>
          <w:b w:val="false"/>
          <w:bCs w:val="false"/>
          <w:strike w:val="false"/>
          <w:dstrike w:val="false"/>
          <w:color w:val="000000"/>
          <w:sz w:val="24"/>
          <w:szCs w:val="24"/>
          <w:u w:val="none"/>
        </w:rPr>
      </w:r>
    </w:p>
    <w:p>
      <w:pPr>
        <w:pStyle w:val="Normal"/>
        <w:spacing w:lineRule="auto" w:line="240" w:before="119" w:after="119"/>
        <w:jc w:val="center"/>
        <w:rPr>
          <w:rFonts w:ascii="Calibri" w:hAnsi="Calibri" w:cs="Times New Roman"/>
          <w:b w:val="false"/>
          <w:b w:val="false"/>
          <w:bCs w:val="false"/>
          <w:strike w:val="false"/>
          <w:dstrike w:val="false"/>
          <w:color w:val="000000"/>
          <w:sz w:val="24"/>
          <w:szCs w:val="24"/>
          <w:u w:val="none"/>
        </w:rPr>
      </w:pPr>
      <w:r>
        <w:rPr>
          <w:rFonts w:cs="Times New Roman" w:ascii="Calibri" w:hAnsi="Calibri"/>
          <w:b w:val="false"/>
          <w:bCs w:val="false"/>
          <w:strike w:val="false"/>
          <w:dstrike w:val="false"/>
          <w:color w:val="000000"/>
          <w:sz w:val="24"/>
          <w:szCs w:val="24"/>
          <w:u w:val="none"/>
        </w:rPr>
      </w:r>
    </w:p>
    <w:p>
      <w:pPr>
        <w:pStyle w:val="Normal"/>
        <w:spacing w:lineRule="auto" w:line="240" w:before="119" w:after="119"/>
        <w:jc w:val="center"/>
        <w:rPr>
          <w:rFonts w:ascii="Calibri" w:hAnsi="Calibri" w:cs="Times New Roman"/>
          <w:b w:val="false"/>
          <w:b w:val="false"/>
          <w:bCs w:val="false"/>
          <w:strike w:val="false"/>
          <w:dstrike w:val="false"/>
          <w:color w:val="000000"/>
          <w:sz w:val="24"/>
          <w:szCs w:val="24"/>
          <w:u w:val="none"/>
        </w:rPr>
      </w:pPr>
      <w:r>
        <w:rPr>
          <w:rFonts w:cs="Times New Roman" w:ascii="Calibri" w:hAnsi="Calibri"/>
          <w:b w:val="false"/>
          <w:bCs w:val="false"/>
          <w:strike w:val="false"/>
          <w:dstrike w:val="false"/>
          <w:color w:val="000000"/>
          <w:sz w:val="24"/>
          <w:szCs w:val="24"/>
          <w:u w:val="none"/>
        </w:rPr>
        <w:t>__________________________</w:t>
      </w:r>
    </w:p>
    <w:p>
      <w:pPr>
        <w:pStyle w:val="LONormal"/>
        <w:spacing w:lineRule="auto" w:line="240" w:before="0" w:after="0"/>
        <w:jc w:val="center"/>
        <w:rPr>
          <w:rFonts w:ascii="Calibri" w:hAnsi="Calibri" w:cs="Calibri"/>
        </w:rPr>
      </w:pPr>
      <w:r>
        <w:rPr>
          <w:rFonts w:cs="Calibri" w:ascii="Calibri" w:hAnsi="Calibri"/>
        </w:rPr>
        <w:t>DANUZE  PEREIRA DE CARVALHO MOURA</w:t>
      </w:r>
    </w:p>
    <w:p>
      <w:pPr>
        <w:pStyle w:val="LONormal"/>
        <w:spacing w:lineRule="auto" w:line="240" w:before="0" w:after="0"/>
        <w:jc w:val="center"/>
        <w:rPr>
          <w:rFonts w:ascii="Calibri" w:hAnsi="Calibri" w:cs="Calibri"/>
        </w:rPr>
      </w:pPr>
      <w:r>
        <w:rPr>
          <w:rFonts w:cs="Calibri" w:ascii="Calibri" w:hAnsi="Calibri"/>
        </w:rPr>
        <w:t>Capitão de Mar e Guerra (Md)</w:t>
      </w:r>
    </w:p>
    <w:p>
      <w:pPr>
        <w:pStyle w:val="LONormal"/>
        <w:spacing w:lineRule="auto" w:line="240" w:before="0" w:after="0"/>
        <w:jc w:val="center"/>
        <w:rPr>
          <w:rFonts w:ascii="Calibri" w:hAnsi="Calibri" w:eastAsia="Arial" w:cs="Calibri"/>
          <w:b/>
          <w:b/>
          <w:bCs/>
          <w:iCs/>
          <w:color w:val="000000"/>
          <w:kern w:val="0"/>
          <w:sz w:val="24"/>
          <w:szCs w:val="20"/>
          <w:lang w:val="pt-BR" w:eastAsia="en-US" w:bidi="ar-SA"/>
        </w:rPr>
      </w:pPr>
      <w:r>
        <w:rPr>
          <w:rStyle w:val="Fontepargpadro1"/>
          <w:rFonts w:eastAsia="Arial" w:cs="Calibri" w:ascii="Calibri" w:hAnsi="Calibri"/>
          <w:b w:val="false"/>
          <w:bCs w:val="false"/>
          <w:iCs/>
          <w:color w:val="000000"/>
          <w:kern w:val="0"/>
          <w:sz w:val="24"/>
          <w:szCs w:val="20"/>
          <w:lang w:val="pt-BR" w:eastAsia="en-US" w:bidi="ar-SA"/>
        </w:rPr>
        <w:t>Ordenadora de Despesas</w:t>
      </w:r>
    </w:p>
    <w:p>
      <w:pPr>
        <w:pStyle w:val="Normal"/>
        <w:spacing w:lineRule="auto" w:line="276"/>
        <w:jc w:val="both"/>
        <w:rPr>
          <w:rFonts w:cs="Arial"/>
          <w:szCs w:val="20"/>
        </w:rPr>
      </w:pPr>
      <w:r>
        <w:rPr>
          <w:rFonts w:cs="Arial"/>
          <w:szCs w:val="20"/>
        </w:rPr>
      </w:r>
    </w:p>
    <w:p>
      <w:pPr>
        <w:pStyle w:val="Normal"/>
        <w:jc w:val="center"/>
        <w:rPr>
          <w:rFonts w:cs="Arial"/>
          <w:b/>
          <w:b/>
          <w:bCs/>
          <w:lang w:eastAsia="en-US"/>
        </w:rPr>
      </w:pPr>
      <w:r>
        <w:rPr>
          <w:rFonts w:cs="Arial"/>
          <w:b/>
          <w:bCs/>
          <w:lang w:eastAsia="en-US"/>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rFonts w:ascii="Calibri" w:hAnsi="Calibri" w:eastAsia="Arial" w:cs="Calibri"/>
          <w:b/>
          <w:b/>
          <w:bCs/>
          <w:i w:val="false"/>
          <w:i w:val="false"/>
          <w:iCs w:val="false"/>
          <w:color w:val="auto"/>
          <w:kern w:val="0"/>
          <w:sz w:val="24"/>
          <w:szCs w:val="24"/>
          <w:lang w:val="pt-BR" w:eastAsia="zh-CN" w:bidi="ar-SA"/>
        </w:rPr>
      </w:pPr>
      <w:r>
        <w:rPr>
          <w:rFonts w:eastAsia="Arial" w:cs="Calibri" w:ascii="Calibri" w:hAnsi="Calibri"/>
          <w:b/>
          <w:bCs/>
          <w:i w:val="false"/>
          <w:iCs w:val="false"/>
          <w:color w:val="auto"/>
          <w:kern w:val="0"/>
          <w:sz w:val="24"/>
          <w:szCs w:val="24"/>
          <w:lang w:val="pt-BR" w:eastAsia="zh-CN" w:bidi="ar-SA"/>
        </w:rPr>
      </w:r>
    </w:p>
    <w:p>
      <w:pPr>
        <w:pStyle w:val="LONormal"/>
        <w:spacing w:lineRule="auto" w:line="240" w:before="119" w:after="119"/>
        <w:jc w:val="center"/>
        <w:rPr>
          <w:rFonts w:ascii="Calibri" w:hAnsi="Calibri" w:eastAsia="Arial" w:cs="Calibri"/>
          <w:b/>
          <w:b/>
          <w:bCs/>
          <w:i w:val="false"/>
          <w:i w:val="false"/>
          <w:iCs w:val="false"/>
          <w:color w:val="auto"/>
          <w:kern w:val="0"/>
          <w:sz w:val="24"/>
          <w:szCs w:val="24"/>
          <w:lang w:val="pt-BR" w:eastAsia="zh-CN" w:bidi="ar-SA"/>
        </w:rPr>
      </w:pPr>
      <w:r>
        <w:rPr>
          <w:rFonts w:eastAsia="Arial" w:cs="Calibri" w:ascii="Calibri" w:hAnsi="Calibri"/>
          <w:b/>
          <w:bCs/>
          <w:i w:val="false"/>
          <w:iCs w:val="false"/>
          <w:color w:val="auto"/>
          <w:kern w:val="0"/>
          <w:sz w:val="24"/>
          <w:szCs w:val="24"/>
          <w:lang w:val="pt-BR" w:eastAsia="zh-CN" w:bidi="ar-SA"/>
        </w:rPr>
        <w:drawing>
          <wp:anchor behindDoc="0" distT="0" distB="0" distL="0" distR="0" simplePos="0" locked="0" layoutInCell="0" allowOverlap="1" relativeHeight="4">
            <wp:simplePos x="0" y="0"/>
            <wp:positionH relativeFrom="column">
              <wp:posOffset>2334260</wp:posOffset>
            </wp:positionH>
            <wp:positionV relativeFrom="paragraph">
              <wp:posOffset>78105</wp:posOffset>
            </wp:positionV>
            <wp:extent cx="728980" cy="738505"/>
            <wp:effectExtent l="0" t="0" r="0" b="0"/>
            <wp:wrapTopAndBottom/>
            <wp:docPr id="2"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descr=""/>
                    <pic:cNvPicPr>
                      <a:picLocks noChangeAspect="1" noChangeArrowheads="1"/>
                    </pic:cNvPicPr>
                  </pic:nvPicPr>
                  <pic:blipFill>
                    <a:blip r:embed="rId12"/>
                    <a:stretch>
                      <a:fillRect/>
                    </a:stretch>
                  </pic:blipFill>
                  <pic:spPr bwMode="auto">
                    <a:xfrm>
                      <a:off x="0" y="0"/>
                      <a:ext cx="728980" cy="738505"/>
                    </a:xfrm>
                    <a:prstGeom prst="rect">
                      <a:avLst/>
                    </a:prstGeom>
                  </pic:spPr>
                </pic:pic>
              </a:graphicData>
            </a:graphic>
          </wp:anchor>
        </w:drawing>
      </w:r>
    </w:p>
    <w:p>
      <w:pPr>
        <w:pStyle w:val="LONormal"/>
        <w:spacing w:lineRule="auto" w:line="240" w:before="119" w:after="119"/>
        <w:jc w:val="center"/>
        <w:rPr>
          <w:rFonts w:ascii="Calibri" w:hAnsi="Calibri" w:eastAsia="Arial" w:cs="Calibri"/>
          <w:b/>
          <w:b/>
          <w:bCs/>
          <w:i w:val="false"/>
          <w:i w:val="false"/>
          <w:iCs w:val="false"/>
          <w:color w:val="auto"/>
          <w:kern w:val="0"/>
          <w:sz w:val="24"/>
          <w:szCs w:val="24"/>
          <w:lang w:val="pt-BR" w:eastAsia="zh-CN" w:bidi="ar-SA"/>
        </w:rPr>
      </w:pPr>
      <w:r>
        <w:rPr>
          <w:rFonts w:eastAsia="Arial" w:cs="Calibri" w:ascii="Calibri" w:hAnsi="Calibri"/>
          <w:b/>
          <w:bCs/>
          <w:i w:val="false"/>
          <w:iCs w:val="false"/>
          <w:color w:val="000000"/>
          <w:kern w:val="0"/>
          <w:sz w:val="24"/>
          <w:szCs w:val="24"/>
          <w:lang w:val="pt-BR" w:eastAsia="zh-CN" w:bidi="ar-SA"/>
        </w:rPr>
        <w:t>TERMO DE REFERÊNCIA</w:t>
      </w:r>
    </w:p>
    <w:p>
      <w:pPr>
        <w:pStyle w:val="LONormal"/>
        <w:spacing w:lineRule="auto" w:line="240" w:before="119" w:after="119"/>
        <w:jc w:val="center"/>
        <w:rPr/>
      </w:pPr>
      <w:r>
        <w:rPr>
          <w:rFonts w:eastAsia="Arial" w:cs="Calibri" w:ascii="Calibri" w:hAnsi="Calibri"/>
          <w:b/>
          <w:bCs/>
          <w:i w:val="false"/>
          <w:iCs w:val="false"/>
          <w:color w:val="000000"/>
          <w:kern w:val="0"/>
          <w:sz w:val="24"/>
          <w:szCs w:val="24"/>
          <w:lang w:val="pt-BR" w:eastAsia="zh-CN" w:bidi="ar-SA"/>
        </w:rPr>
        <w:t>SISTEMA DE DISPENSA ELETRÔNICA Nº</w:t>
      </w:r>
      <w:r>
        <w:rPr>
          <w:rFonts w:eastAsia="Arial" w:cs="Calibri" w:ascii="Calibri" w:hAnsi="Calibri"/>
          <w:b/>
          <w:bCs/>
          <w:i w:val="false"/>
          <w:iCs w:val="false"/>
          <w:color w:val="C9211E"/>
          <w:kern w:val="0"/>
          <w:sz w:val="24"/>
          <w:szCs w:val="24"/>
          <w:lang w:val="pt-BR" w:eastAsia="zh-CN" w:bidi="ar-SA"/>
        </w:rPr>
        <w:t xml:space="preserve"> </w:t>
      </w:r>
      <w:r>
        <w:rPr>
          <w:rFonts w:eastAsia="Arial" w:cs="Calibri" w:ascii="Calibri" w:hAnsi="Calibri"/>
          <w:b/>
          <w:bCs/>
          <w:i w:val="false"/>
          <w:iCs w:val="false"/>
          <w:color w:val="000000"/>
          <w:kern w:val="0"/>
          <w:sz w:val="24"/>
          <w:szCs w:val="24"/>
          <w:lang w:val="pt-BR" w:eastAsia="zh-CN" w:bidi="ar-SA"/>
        </w:rPr>
        <w:t>58/2024</w:t>
      </w:r>
    </w:p>
    <w:p>
      <w:pPr>
        <w:pStyle w:val="LONormal"/>
        <w:spacing w:lineRule="auto" w:line="240" w:before="119" w:after="119"/>
        <w:jc w:val="center"/>
        <w:rPr>
          <w:rFonts w:ascii="Calibri" w:hAnsi="Calibri" w:eastAsia="Arial" w:cs="Calibri"/>
          <w:b/>
          <w:b/>
          <w:bCs/>
          <w:i w:val="false"/>
          <w:i w:val="false"/>
          <w:iCs w:val="false"/>
          <w:color w:val="auto"/>
          <w:kern w:val="0"/>
          <w:sz w:val="24"/>
          <w:szCs w:val="24"/>
          <w:lang w:val="pt-BR" w:eastAsia="zh-CN" w:bidi="ar-SA"/>
        </w:rPr>
      </w:pPr>
      <w:r>
        <w:rPr>
          <w:rFonts w:eastAsia="Arial" w:cs="Calibri" w:ascii="Calibri" w:hAnsi="Calibri"/>
          <w:b/>
          <w:bCs/>
          <w:i w:val="false"/>
          <w:iCs w:val="false"/>
          <w:color w:val="auto"/>
          <w:kern w:val="0"/>
          <w:sz w:val="24"/>
          <w:szCs w:val="24"/>
          <w:lang w:val="pt-BR" w:eastAsia="zh-CN" w:bidi="ar-SA"/>
        </w:rPr>
      </w:r>
    </w:p>
    <w:p>
      <w:pPr>
        <w:pStyle w:val="LONormal"/>
        <w:spacing w:lineRule="auto" w:line="240" w:before="119" w:after="119"/>
        <w:jc w:val="center"/>
        <w:rPr/>
      </w:pPr>
      <w:r>
        <w:rPr>
          <w:rStyle w:val="Fontepargpadro1"/>
          <w:rFonts w:eastAsia="Arial" w:cs="Calibri" w:ascii="Calibri" w:hAnsi="Calibri"/>
          <w:b/>
          <w:bCs/>
          <w:i w:val="false"/>
          <w:iCs w:val="false"/>
          <w:color w:val="000000"/>
          <w:kern w:val="0"/>
          <w:sz w:val="24"/>
          <w:szCs w:val="24"/>
          <w:lang w:val="pt-BR" w:eastAsia="zh-CN" w:bidi="ar-SA"/>
        </w:rPr>
        <w:t>POLICLÍNICA NAVAL NOSSA SENHORA DA GLÓRIA</w:t>
      </w:r>
    </w:p>
    <w:p>
      <w:pPr>
        <w:pStyle w:val="Normal"/>
        <w:spacing w:lineRule="auto" w:line="240" w:before="119" w:after="119"/>
        <w:jc w:val="center"/>
        <w:rPr/>
      </w:pPr>
      <w:r>
        <w:rPr>
          <w:rStyle w:val="Fontepargpadro"/>
          <w:rFonts w:eastAsia="Arial" w:cs="Calibri" w:ascii="Calibri" w:hAnsi="Calibri"/>
          <w:b/>
          <w:bCs/>
          <w:i w:val="false"/>
          <w:iCs w:val="false"/>
          <w:color w:val="000000"/>
          <w:kern w:val="0"/>
          <w:sz w:val="24"/>
          <w:szCs w:val="24"/>
          <w:lang w:val="pt-BR" w:eastAsia="zh-CN" w:bidi="ar-SA"/>
        </w:rPr>
        <w:t xml:space="preserve">PROCESSO ADMINISTRATIVO Nº </w:t>
      </w:r>
      <w:r>
        <w:rPr>
          <w:rStyle w:val="Nfaseforte"/>
          <w:rFonts w:eastAsia="Arial" w:cs="Calibri" w:ascii="Calibri" w:hAnsi="Calibri"/>
          <w:i w:val="false"/>
          <w:iCs w:val="false"/>
          <w:color w:val="000000"/>
          <w:kern w:val="0"/>
          <w:sz w:val="24"/>
          <w:szCs w:val="24"/>
          <w:lang w:val="pt-BR" w:eastAsia="zh-CN" w:bidi="ar-SA"/>
        </w:rPr>
        <w:t xml:space="preserve">63065.003563/2024-09 </w:t>
      </w:r>
    </w:p>
    <w:p>
      <w:pPr>
        <w:pStyle w:val="LONormal"/>
        <w:spacing w:lineRule="auto" w:line="240" w:before="119" w:after="119"/>
        <w:ind w:left="0" w:right="-15" w:hanging="0"/>
        <w:jc w:val="center"/>
        <w:rPr>
          <w:rFonts w:ascii="Calibri" w:hAnsi="Calibri" w:cs="Calibri"/>
          <w:b/>
          <w:b/>
          <w:bCs/>
        </w:rPr>
      </w:pPr>
      <w:r>
        <w:rPr>
          <w:rFonts w:cs="Calibri" w:ascii="Calibri" w:hAnsi="Calibri"/>
          <w:b/>
          <w:bCs/>
        </w:rPr>
      </w:r>
    </w:p>
    <w:p>
      <w:pPr>
        <w:pStyle w:val="Normal"/>
        <w:widowControl/>
        <w:tabs>
          <w:tab w:val="clear" w:pos="298"/>
          <w:tab w:val="left" w:pos="855" w:leader="none"/>
        </w:tabs>
        <w:suppressAutoHyphens w:val="false"/>
        <w:bidi w:val="0"/>
        <w:spacing w:lineRule="auto" w:line="240" w:before="119" w:after="119"/>
        <w:ind w:left="0" w:right="0" w:hanging="0"/>
        <w:jc w:val="both"/>
        <w:textAlignment w:val="baseline"/>
        <w:rPr>
          <w:rFonts w:ascii="Times New Roman" w:hAnsi="Times New Roman"/>
          <w:sz w:val="24"/>
          <w:szCs w:val="24"/>
        </w:rPr>
      </w:pPr>
      <w:r>
        <w:rPr>
          <w:rFonts w:eastAsia="Arial" w:cs="Calibri" w:ascii="Times New Roman" w:hAnsi="Times New Roman"/>
          <w:b/>
          <w:bCs/>
          <w:color w:val="000000"/>
          <w:sz w:val="24"/>
          <w:szCs w:val="24"/>
        </w:rPr>
        <w:t xml:space="preserve">1. </w:t>
        <w:tab/>
        <w:t>DO OBJETO</w:t>
      </w:r>
    </w:p>
    <w:p>
      <w:pPr>
        <w:pStyle w:val="Normal"/>
        <w:widowControl/>
        <w:tabs>
          <w:tab w:val="clear" w:pos="298"/>
          <w:tab w:val="left" w:pos="855" w:leader="none"/>
        </w:tabs>
        <w:suppressAutoHyphens w:val="false"/>
        <w:bidi w:val="0"/>
        <w:spacing w:lineRule="auto" w:line="240" w:before="119" w:after="119"/>
        <w:ind w:left="0" w:right="0" w:hanging="0"/>
        <w:jc w:val="both"/>
        <w:textAlignment w:val="baseline"/>
        <w:rPr/>
      </w:pPr>
      <w:r>
        <w:rPr>
          <w:rFonts w:cs="Calibri" w:ascii="Times New Roman" w:hAnsi="Times New Roman"/>
          <w:b w:val="false"/>
          <w:bCs w:val="false"/>
          <w:color w:val="000000"/>
          <w:sz w:val="24"/>
          <w:szCs w:val="24"/>
        </w:rPr>
        <w:t xml:space="preserve">1.1. </w:t>
      </w:r>
      <w:r>
        <w:rPr>
          <w:rFonts w:cs="Calibri" w:ascii="Times New Roman" w:hAnsi="Times New Roman"/>
          <w:b/>
          <w:bCs/>
          <w:color w:val="000000"/>
          <w:sz w:val="24"/>
          <w:szCs w:val="24"/>
        </w:rPr>
        <w:tab/>
      </w:r>
      <w:r>
        <w:rPr>
          <w:rStyle w:val="Fontepargpadro"/>
          <w:rFonts w:eastAsia="Times New Roman" w:cs="Times New Roman" w:ascii="Calibri" w:hAnsi="Calibri"/>
          <w:b w:val="false"/>
          <w:bCs w:val="false"/>
          <w:color w:val="000000"/>
          <w:sz w:val="24"/>
          <w:szCs w:val="24"/>
          <w:shd w:fill="auto" w:val="clear"/>
          <w:lang w:eastAsia="en-US"/>
        </w:rPr>
        <w:t>Contrataçã</w:t>
      </w:r>
      <w:r>
        <w:rPr>
          <w:rStyle w:val="Fontepargpadro"/>
          <w:rFonts w:eastAsia="Times New Roman" w:cs="Tahoma" w:ascii="Calibri" w:hAnsi="Calibri"/>
          <w:b w:val="false"/>
          <w:bCs w:val="false"/>
          <w:color w:val="000000"/>
          <w:sz w:val="24"/>
          <w:szCs w:val="24"/>
          <w:shd w:fill="auto" w:val="clear"/>
          <w:lang w:eastAsia="en-US"/>
        </w:rPr>
        <w:t>o de empresa fornecedora de materiais que atendam às necessidades para o funcionamento da Policlínica Naval Nossa Senhora da Glória</w:t>
      </w:r>
      <w:r>
        <w:rPr>
          <w:rStyle w:val="Fontepargpadro"/>
          <w:rFonts w:eastAsia="Arial" w:cs="Calibri" w:ascii="Calibri" w:hAnsi="Calibri"/>
          <w:b w:val="false"/>
          <w:bCs w:val="false"/>
          <w:color w:val="000000"/>
          <w:sz w:val="24"/>
          <w:szCs w:val="24"/>
          <w:shd w:fill="auto" w:val="clear"/>
          <w:lang w:eastAsia="en-US"/>
        </w:rPr>
        <w:t xml:space="preserve">, </w:t>
      </w:r>
      <w:r>
        <w:rPr>
          <w:rStyle w:val="Fontepargpadro"/>
          <w:rFonts w:eastAsia="Times New Roman" w:cs="Calibri" w:ascii="Calibri" w:hAnsi="Calibri"/>
          <w:b w:val="false"/>
          <w:bCs w:val="false"/>
          <w:color w:val="000000"/>
          <w:sz w:val="24"/>
          <w:szCs w:val="24"/>
          <w:shd w:fill="auto" w:val="clear"/>
          <w:lang w:eastAsia="en-US"/>
        </w:rPr>
        <w:t xml:space="preserve">conforme </w:t>
      </w:r>
      <w:r>
        <w:rPr>
          <w:rStyle w:val="Fontepargpadro"/>
          <w:rFonts w:eastAsia="Times New Roman" w:cs="Calibri" w:ascii="Calibri" w:hAnsi="Calibri"/>
          <w:b w:val="false"/>
          <w:bCs w:val="false"/>
          <w:color w:val="000000"/>
          <w:sz w:val="24"/>
          <w:szCs w:val="24"/>
          <w:shd w:fill="auto" w:val="clear"/>
          <w:lang w:eastAsia="en-US"/>
        </w:rPr>
        <w:t>estabelecido neste instrumento:</w:t>
      </w:r>
    </w:p>
    <w:tbl>
      <w:tblPr>
        <w:tblW w:w="9180" w:type="dxa"/>
        <w:jc w:val="left"/>
        <w:tblInd w:w="135" w:type="dxa"/>
        <w:tblLayout w:type="fixed"/>
        <w:tblCellMar>
          <w:top w:w="0" w:type="dxa"/>
          <w:left w:w="113" w:type="dxa"/>
          <w:bottom w:w="0" w:type="dxa"/>
          <w:right w:w="113" w:type="dxa"/>
        </w:tblCellMar>
      </w:tblPr>
      <w:tblGrid>
        <w:gridCol w:w="854"/>
        <w:gridCol w:w="1351"/>
        <w:gridCol w:w="1814"/>
        <w:gridCol w:w="1081"/>
        <w:gridCol w:w="1245"/>
        <w:gridCol w:w="1365"/>
        <w:gridCol w:w="1469"/>
      </w:tblGrid>
      <w:tr>
        <w:trPr>
          <w:trHeight w:val="1140" w:hRule="atLeast"/>
        </w:trPr>
        <w:tc>
          <w:tcPr>
            <w:tcW w:w="854" w:type="dxa"/>
            <w:tcBorders>
              <w:top w:val="single" w:sz="4" w:space="0" w:color="000000"/>
              <w:left w:val="single" w:sz="4" w:space="0" w:color="000000"/>
              <w:bottom w:val="single" w:sz="4" w:space="0" w:color="000000"/>
            </w:tcBorders>
            <w:vAlign w:val="center"/>
          </w:tcPr>
          <w:p>
            <w:pPr>
              <w:pStyle w:val="Normal"/>
              <w:widowControl w:val="false"/>
              <w:tabs>
                <w:tab w:val="clear" w:pos="298"/>
              </w:tabs>
              <w:spacing w:lineRule="auto" w:line="240" w:before="119" w:after="119"/>
              <w:jc w:val="left"/>
              <w:rPr>
                <w:rFonts w:ascii="Calibri" w:hAnsi="Calibri" w:eastAsia="Times New Roman" w:cs="Calibri"/>
                <w:b/>
                <w:b/>
                <w:bCs/>
                <w:color w:val="000000"/>
                <w:sz w:val="20"/>
                <w:szCs w:val="20"/>
              </w:rPr>
            </w:pPr>
            <w:r>
              <w:rPr>
                <w:rFonts w:eastAsia="Times New Roman" w:cs="Calibri" w:ascii="Calibri" w:hAnsi="Calibri"/>
                <w:b/>
                <w:bCs/>
                <w:color w:val="000000"/>
                <w:sz w:val="20"/>
                <w:szCs w:val="20"/>
              </w:rPr>
            </w:r>
          </w:p>
          <w:p>
            <w:pPr>
              <w:pStyle w:val="Normal"/>
              <w:widowControl w:val="false"/>
              <w:tabs>
                <w:tab w:val="clear" w:pos="298"/>
              </w:tabs>
              <w:spacing w:lineRule="auto" w:line="240" w:before="119" w:after="119"/>
              <w:jc w:val="left"/>
              <w:rPr>
                <w:rFonts w:ascii="Calibri" w:hAnsi="Calibri"/>
                <w:sz w:val="20"/>
                <w:szCs w:val="20"/>
              </w:rPr>
            </w:pPr>
            <w:r>
              <w:rPr>
                <w:rFonts w:eastAsia="Times New Roman" w:cs="Calibri" w:ascii="Calibri" w:hAnsi="Calibri"/>
                <w:b/>
                <w:bCs/>
                <w:color w:val="000000"/>
                <w:sz w:val="20"/>
                <w:szCs w:val="20"/>
                <w:shd w:fill="auto" w:val="clear"/>
              </w:rPr>
              <w:t>ITEM</w:t>
            </w:r>
          </w:p>
          <w:p>
            <w:pPr>
              <w:pStyle w:val="Normal"/>
              <w:widowControl w:val="false"/>
              <w:tabs>
                <w:tab w:val="clear" w:pos="298"/>
              </w:tabs>
              <w:spacing w:lineRule="auto" w:line="240" w:before="119" w:after="119"/>
              <w:jc w:val="left"/>
              <w:rPr>
                <w:rFonts w:ascii="Calibri" w:hAnsi="Calibri" w:eastAsia="Times New Roman" w:cs="Calibri"/>
                <w:b/>
                <w:b/>
                <w:bCs/>
                <w:color w:val="000000"/>
                <w:sz w:val="20"/>
                <w:szCs w:val="20"/>
              </w:rPr>
            </w:pPr>
            <w:r>
              <w:rPr>
                <w:rFonts w:eastAsia="Times New Roman" w:cs="Calibri" w:ascii="Calibri" w:hAnsi="Calibri"/>
                <w:b/>
                <w:bCs/>
                <w:color w:val="000000"/>
                <w:sz w:val="20"/>
                <w:szCs w:val="20"/>
              </w:rPr>
            </w:r>
          </w:p>
        </w:tc>
        <w:tc>
          <w:tcPr>
            <w:tcW w:w="1351" w:type="dxa"/>
            <w:tcBorders>
              <w:top w:val="single" w:sz="4" w:space="0" w:color="000000"/>
              <w:left w:val="single" w:sz="4" w:space="0" w:color="000000"/>
              <w:bottom w:val="single" w:sz="4" w:space="0" w:color="000000"/>
            </w:tcBorders>
            <w:vAlign w:val="center"/>
          </w:tcPr>
          <w:p>
            <w:pPr>
              <w:pStyle w:val="Normal"/>
              <w:widowControl w:val="false"/>
              <w:tabs>
                <w:tab w:val="clear" w:pos="298"/>
              </w:tabs>
              <w:spacing w:lineRule="auto" w:line="240" w:before="119" w:after="119"/>
              <w:jc w:val="left"/>
              <w:rPr>
                <w:rFonts w:ascii="Calibri" w:hAnsi="Calibri"/>
                <w:sz w:val="20"/>
                <w:szCs w:val="20"/>
              </w:rPr>
            </w:pPr>
            <w:r>
              <w:rPr>
                <w:rFonts w:cs="Calibri" w:ascii="Calibri" w:hAnsi="Calibri"/>
                <w:b/>
                <w:color w:val="000000"/>
                <w:sz w:val="20"/>
                <w:szCs w:val="20"/>
                <w:shd w:fill="auto" w:val="clear"/>
              </w:rPr>
              <w:t>CATMAT</w:t>
            </w:r>
          </w:p>
        </w:tc>
        <w:tc>
          <w:tcPr>
            <w:tcW w:w="1814" w:type="dxa"/>
            <w:tcBorders>
              <w:top w:val="single" w:sz="4" w:space="0" w:color="000000"/>
              <w:left w:val="single" w:sz="4" w:space="0" w:color="000000"/>
              <w:bottom w:val="single" w:sz="4" w:space="0" w:color="000000"/>
            </w:tcBorders>
            <w:vAlign w:val="center"/>
          </w:tcPr>
          <w:p>
            <w:pPr>
              <w:pStyle w:val="Normal"/>
              <w:widowControl w:val="false"/>
              <w:tabs>
                <w:tab w:val="clear" w:pos="298"/>
              </w:tabs>
              <w:spacing w:lineRule="auto" w:line="240" w:before="119" w:after="119"/>
              <w:jc w:val="left"/>
              <w:rPr>
                <w:rFonts w:ascii="Calibri" w:hAnsi="Calibri"/>
                <w:sz w:val="20"/>
                <w:szCs w:val="20"/>
              </w:rPr>
            </w:pPr>
            <w:r>
              <w:rPr>
                <w:rFonts w:eastAsia="Times New Roman" w:cs="Calibri" w:ascii="Calibri" w:hAnsi="Calibri"/>
                <w:b/>
                <w:color w:val="000000"/>
                <w:sz w:val="20"/>
                <w:szCs w:val="20"/>
                <w:shd w:fill="auto" w:val="clear"/>
              </w:rPr>
              <w:t>DESCRIÇÃO/ESPECIFICAÇÃO</w:t>
            </w:r>
          </w:p>
        </w:tc>
        <w:tc>
          <w:tcPr>
            <w:tcW w:w="1081" w:type="dxa"/>
            <w:tcBorders>
              <w:top w:val="single" w:sz="4" w:space="0" w:color="000000"/>
              <w:left w:val="single" w:sz="4" w:space="0" w:color="000000"/>
              <w:bottom w:val="single" w:sz="4" w:space="0" w:color="000000"/>
            </w:tcBorders>
            <w:vAlign w:val="center"/>
          </w:tcPr>
          <w:p>
            <w:pPr>
              <w:pStyle w:val="Normal"/>
              <w:widowControl w:val="false"/>
              <w:tabs>
                <w:tab w:val="clear" w:pos="298"/>
              </w:tabs>
              <w:spacing w:lineRule="auto" w:line="240" w:before="119" w:after="119"/>
              <w:jc w:val="left"/>
              <w:rPr>
                <w:rFonts w:ascii="Calibri" w:hAnsi="Calibri"/>
                <w:sz w:val="20"/>
                <w:szCs w:val="20"/>
              </w:rPr>
            </w:pPr>
            <w:r>
              <w:rPr>
                <w:rFonts w:eastAsia="Times New Roman" w:cs="Calibri" w:ascii="Calibri" w:hAnsi="Calibri"/>
                <w:b/>
                <w:color w:val="000000"/>
                <w:sz w:val="20"/>
                <w:szCs w:val="20"/>
                <w:shd w:fill="auto" w:val="clear"/>
              </w:rPr>
              <w:t>Unidade  de Medida</w:t>
            </w:r>
          </w:p>
        </w:tc>
        <w:tc>
          <w:tcPr>
            <w:tcW w:w="1245" w:type="dxa"/>
            <w:tcBorders>
              <w:top w:val="single" w:sz="4" w:space="0" w:color="000000"/>
              <w:left w:val="single" w:sz="4" w:space="0" w:color="000000"/>
              <w:bottom w:val="single" w:sz="4" w:space="0" w:color="000000"/>
            </w:tcBorders>
            <w:vAlign w:val="center"/>
          </w:tcPr>
          <w:p>
            <w:pPr>
              <w:pStyle w:val="Normal"/>
              <w:widowControl w:val="false"/>
              <w:tabs>
                <w:tab w:val="clear" w:pos="298"/>
              </w:tabs>
              <w:spacing w:lineRule="auto" w:line="240" w:before="119" w:after="119"/>
              <w:jc w:val="left"/>
              <w:rPr>
                <w:rFonts w:ascii="Calibri" w:hAnsi="Calibri"/>
                <w:sz w:val="20"/>
                <w:szCs w:val="20"/>
              </w:rPr>
            </w:pPr>
            <w:r>
              <w:rPr>
                <w:rFonts w:eastAsia="Times New Roman" w:cs="Calibri" w:ascii="Calibri" w:hAnsi="Calibri"/>
                <w:b/>
                <w:color w:val="000000"/>
                <w:sz w:val="20"/>
                <w:szCs w:val="20"/>
                <w:shd w:fill="auto" w:val="clear"/>
              </w:rPr>
              <w:t>Quantidade</w:t>
            </w:r>
          </w:p>
        </w:tc>
        <w:tc>
          <w:tcPr>
            <w:tcW w:w="1365" w:type="dxa"/>
            <w:tcBorders>
              <w:top w:val="single" w:sz="4" w:space="0" w:color="000000"/>
              <w:left w:val="single" w:sz="4" w:space="0" w:color="000000"/>
              <w:bottom w:val="single" w:sz="4" w:space="0" w:color="000000"/>
            </w:tcBorders>
            <w:vAlign w:val="center"/>
          </w:tcPr>
          <w:p>
            <w:pPr>
              <w:pStyle w:val="Normal"/>
              <w:widowControl w:val="false"/>
              <w:tabs>
                <w:tab w:val="clear" w:pos="298"/>
              </w:tabs>
              <w:spacing w:lineRule="auto" w:line="240" w:before="119" w:after="119"/>
              <w:jc w:val="left"/>
              <w:rPr>
                <w:rFonts w:ascii="Calibri" w:hAnsi="Calibri"/>
                <w:sz w:val="20"/>
                <w:szCs w:val="20"/>
              </w:rPr>
            </w:pPr>
            <w:r>
              <w:rPr>
                <w:rFonts w:ascii="Calibri" w:hAnsi="Calibri"/>
                <w:b/>
                <w:color w:val="000000"/>
                <w:sz w:val="20"/>
                <w:szCs w:val="20"/>
                <w:shd w:fill="auto" w:val="clear"/>
              </w:rPr>
              <w:t>Valor Unitário</w:t>
            </w:r>
          </w:p>
        </w:tc>
        <w:tc>
          <w:tcPr>
            <w:tcW w:w="1469"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298"/>
              </w:tabs>
              <w:spacing w:lineRule="auto" w:line="240" w:before="119" w:after="119"/>
              <w:jc w:val="left"/>
              <w:rPr>
                <w:rFonts w:ascii="Calibri" w:hAnsi="Calibri"/>
                <w:sz w:val="20"/>
                <w:szCs w:val="20"/>
              </w:rPr>
            </w:pPr>
            <w:r>
              <w:rPr>
                <w:rFonts w:ascii="Calibri" w:hAnsi="Calibri"/>
                <w:b/>
                <w:color w:val="000000"/>
                <w:sz w:val="20"/>
                <w:szCs w:val="20"/>
                <w:shd w:fill="auto" w:val="clear"/>
              </w:rPr>
              <w:t>Valor Total</w:t>
            </w:r>
          </w:p>
        </w:tc>
      </w:tr>
      <w:tr>
        <w:trPr>
          <w:trHeight w:val="1410"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1</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432380</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both"/>
              <w:rPr>
                <w:rFonts w:ascii="Calibri" w:hAnsi="Calibri"/>
                <w:sz w:val="24"/>
                <w:szCs w:val="24"/>
              </w:rPr>
            </w:pPr>
            <w:r>
              <w:rPr>
                <w:rFonts w:ascii="Calibri" w:hAnsi="Calibri"/>
                <w:b w:val="false"/>
                <w:i w:val="false"/>
                <w:strike w:val="false"/>
                <w:dstrike w:val="false"/>
                <w:outline w:val="false"/>
                <w:shadow w:val="false"/>
                <w:sz w:val="24"/>
                <w:szCs w:val="24"/>
                <w:u w:val="none"/>
                <w:em w:val="none"/>
              </w:rPr>
              <w:t xml:space="preserve">PILHA AAA, ALCALINA  -  Alta Durabilidade na Carga. </w:t>
            </w:r>
            <w:r>
              <w:rPr>
                <w:rFonts w:ascii="Calibri" w:hAnsi="Calibri"/>
                <w:sz w:val="24"/>
                <w:szCs w:val="24"/>
              </w:rPr>
              <w:t xml:space="preserve">Composição livre de metais pesados que são prejudiciais à saúde. Aprovadas por laboratórios credenciados-  pelo INMETRO- </w:t>
            </w:r>
            <w:r>
              <w:rPr>
                <w:rFonts w:ascii="Calibri" w:hAnsi="Calibri"/>
                <w:b/>
                <w:bCs/>
                <w:sz w:val="24"/>
                <w:szCs w:val="24"/>
              </w:rPr>
              <w:t>PACOTE COM 4 UNIDADES</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UN</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600</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R$ 5,50</w:t>
            </w:r>
          </w:p>
        </w:tc>
        <w:tc>
          <w:tcPr>
            <w:tcW w:w="1469"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R$3.300,00</w:t>
            </w:r>
          </w:p>
        </w:tc>
      </w:tr>
      <w:tr>
        <w:trPr>
          <w:trHeight w:val="2259"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2</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419859</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 xml:space="preserve">PILHA AA, ALCALINA- Alta Durabilidade na Carga. Composição livre de metais pesados que são prejudiciais à saúde. Aprovadas por laboratórios credenciados-  pelo INMETRO PACOTE </w:t>
            </w:r>
            <w:r>
              <w:rPr>
                <w:rFonts w:ascii="Calibri" w:hAnsi="Calibri"/>
                <w:b/>
                <w:bCs/>
                <w:i w:val="false"/>
                <w:strike w:val="false"/>
                <w:dstrike w:val="false"/>
                <w:outline w:val="false"/>
                <w:shadow w:val="false"/>
                <w:sz w:val="24"/>
                <w:szCs w:val="24"/>
                <w:u w:val="none"/>
                <w:em w:val="none"/>
              </w:rPr>
              <w:t>COM 02 UNIDADES</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UN</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1500</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  3,07</w:t>
            </w:r>
          </w:p>
        </w:tc>
        <w:tc>
          <w:tcPr>
            <w:tcW w:w="1469"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R$4.605,00</w:t>
            </w:r>
          </w:p>
        </w:tc>
      </w:tr>
      <w:tr>
        <w:trPr>
          <w:trHeight w:val="1560"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3</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463188</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DETERGENTE LIQUIDO 5 L, com Ph 6,50.</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LT</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100</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R$10,22</w:t>
            </w:r>
          </w:p>
        </w:tc>
        <w:tc>
          <w:tcPr>
            <w:tcW w:w="1469"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R$1.022,00</w:t>
            </w:r>
          </w:p>
        </w:tc>
      </w:tr>
      <w:tr>
        <w:trPr>
          <w:trHeight w:val="1446"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4</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462546</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 xml:space="preserve">CANETA AZUL- </w:t>
            </w:r>
            <w:bookmarkStart w:id="25" w:name="h5produtoDescricao2"/>
            <w:bookmarkEnd w:id="25"/>
            <w:r>
              <w:rPr>
                <w:rFonts w:ascii="Calibri" w:hAnsi="Calibri"/>
                <w:sz w:val="24"/>
                <w:szCs w:val="24"/>
              </w:rPr>
              <w:t>Caneta Esferográfica BIC Escrita Média Cristal Dura Mais, Azul</w:t>
            </w:r>
          </w:p>
          <w:p>
            <w:pPr>
              <w:pStyle w:val="Contedodatabela"/>
              <w:widowControl w:val="false"/>
              <w:jc w:val="center"/>
              <w:rPr/>
            </w:pPr>
            <w:r>
              <w:rPr>
                <w:rFonts w:ascii="Calibri" w:hAnsi="Calibri"/>
                <w:sz w:val="24"/>
                <w:szCs w:val="24"/>
              </w:rPr>
              <w:t xml:space="preserve"> </w:t>
            </w:r>
            <w:r>
              <w:rPr>
                <w:rFonts w:ascii="Calibri" w:hAnsi="Calibri"/>
                <w:sz w:val="24"/>
                <w:szCs w:val="24"/>
              </w:rPr>
              <w:t>CAIXA 50 UNIDADES-</w:t>
            </w:r>
            <w:r>
              <w:rPr>
                <w:rStyle w:val="Nfaseforte"/>
                <w:rFonts w:ascii="Calibri" w:hAnsi="Calibri"/>
                <w:sz w:val="24"/>
                <w:szCs w:val="24"/>
              </w:rPr>
              <w:t>Inmetro Nº 333/2012:</w:t>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CX</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10</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R$32,68</w:t>
            </w:r>
          </w:p>
        </w:tc>
        <w:tc>
          <w:tcPr>
            <w:tcW w:w="1469"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R$326,80</w:t>
            </w:r>
          </w:p>
        </w:tc>
      </w:tr>
      <w:tr>
        <w:trPr>
          <w:trHeight w:val="1347"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5</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447943</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CANETA PARA QUADRO BRANCO AZUL</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CX</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4</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R$26,27</w:t>
            </w:r>
          </w:p>
        </w:tc>
        <w:tc>
          <w:tcPr>
            <w:tcW w:w="1469"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R$105,08</w:t>
            </w:r>
          </w:p>
        </w:tc>
      </w:tr>
      <w:tr>
        <w:trPr>
          <w:trHeight w:val="1218"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6</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447944</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CANETA PARA QUADRO BRANCO PRETA</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CX</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4</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R$23,95</w:t>
            </w:r>
          </w:p>
        </w:tc>
        <w:tc>
          <w:tcPr>
            <w:tcW w:w="1469"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R$95,80</w:t>
            </w:r>
          </w:p>
        </w:tc>
      </w:tr>
      <w:tr>
        <w:trPr>
          <w:trHeight w:val="1020"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7</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447945</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CANETA PARA QUADRO BRANCO VERMELHA</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CX</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4</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R$22,03</w:t>
            </w:r>
          </w:p>
        </w:tc>
        <w:tc>
          <w:tcPr>
            <w:tcW w:w="1469"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R$88,12</w:t>
            </w:r>
          </w:p>
        </w:tc>
      </w:tr>
      <w:tr>
        <w:trPr>
          <w:trHeight w:val="1245"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8</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422222</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PAPEL HIGIÊNICO, COM FOLHA DUPLA, NEUTRO, ANTIALÉRGICO, SEM CHEIRO, COR BRANCA,  PACOTE COM 12 UNIDADES</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FARDO</w:t>
            </w:r>
          </w:p>
          <w:p>
            <w:pPr>
              <w:pStyle w:val="Normal"/>
              <w:widowControl w:val="false"/>
              <w:jc w:val="center"/>
              <w:rPr>
                <w:rFonts w:ascii="Calibri" w:hAnsi="Calibri"/>
                <w:sz w:val="24"/>
                <w:szCs w:val="24"/>
              </w:rPr>
            </w:pPr>
            <w:r>
              <w:rPr>
                <w:rFonts w:ascii="Calibri" w:hAnsi="Calibri"/>
                <w:sz w:val="24"/>
                <w:szCs w:val="24"/>
              </w:rPr>
            </w:r>
          </w:p>
        </w:tc>
        <w:tc>
          <w:tcPr>
            <w:tcW w:w="1245"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90</w:t>
            </w:r>
          </w:p>
          <w:p>
            <w:pPr>
              <w:pStyle w:val="Normal"/>
              <w:widowControl w:val="false"/>
              <w:jc w:val="center"/>
              <w:rPr>
                <w:rFonts w:ascii="Calibri" w:hAnsi="Calibri"/>
                <w:sz w:val="24"/>
                <w:szCs w:val="24"/>
              </w:rPr>
            </w:pPr>
            <w:r>
              <w:rPr>
                <w:rFonts w:ascii="Calibri" w:hAnsi="Calibri"/>
                <w:sz w:val="24"/>
                <w:szCs w:val="24"/>
              </w:rPr>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R$29,99</w:t>
            </w:r>
          </w:p>
        </w:tc>
        <w:tc>
          <w:tcPr>
            <w:tcW w:w="1469"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R$2.699,10</w:t>
            </w:r>
          </w:p>
        </w:tc>
      </w:tr>
      <w:tr>
        <w:trPr>
          <w:trHeight w:val="1480"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9</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481090</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SACO DE LIXO PRETO 100L PCT COM 100</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FARDO</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100</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R$32,00</w:t>
            </w:r>
          </w:p>
        </w:tc>
        <w:tc>
          <w:tcPr>
            <w:tcW w:w="1469"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R$3.200,00</w:t>
            </w:r>
          </w:p>
        </w:tc>
      </w:tr>
      <w:tr>
        <w:trPr>
          <w:trHeight w:val="1480"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b/>
                <w:b/>
                <w:bCs/>
                <w:sz w:val="24"/>
                <w:szCs w:val="24"/>
              </w:rPr>
            </w:pPr>
            <w:r>
              <w:rPr>
                <w:rFonts w:ascii="Calibri" w:hAnsi="Calibri"/>
                <w:b/>
                <w:bCs/>
                <w:sz w:val="24"/>
                <w:szCs w:val="24"/>
              </w:rPr>
              <w:t>1</w:t>
            </w:r>
            <w:r>
              <w:rPr>
                <w:rFonts w:ascii="Calibri" w:hAnsi="Calibri"/>
                <w:b/>
                <w:bCs/>
                <w:sz w:val="24"/>
                <w:szCs w:val="24"/>
              </w:rPr>
              <w:t>0</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470832</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SACO DE LIXO PRETO 60L PCT COM 100</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FARDO</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100</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R$17,34</w:t>
            </w:r>
          </w:p>
        </w:tc>
        <w:tc>
          <w:tcPr>
            <w:tcW w:w="1469"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R$1.734,00</w:t>
            </w:r>
          </w:p>
        </w:tc>
      </w:tr>
      <w:tr>
        <w:trPr>
          <w:trHeight w:val="1201"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1</w:t>
            </w:r>
            <w:r>
              <w:rPr>
                <w:rFonts w:ascii="Calibri" w:hAnsi="Calibri"/>
                <w:b/>
                <w:sz w:val="24"/>
                <w:szCs w:val="24"/>
              </w:rPr>
              <w:t>1</w:t>
            </w:r>
          </w:p>
        </w:tc>
        <w:tc>
          <w:tcPr>
            <w:tcW w:w="135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440044</w:t>
            </w:r>
          </w:p>
        </w:tc>
        <w:tc>
          <w:tcPr>
            <w:tcW w:w="181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Limpador Impurezas Aplicação: Limpeza Do Forno Combinado Modelo Selfcookingcente , Tipo: Pastilha Detergente</w:t>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CX – 150 UN</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3</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R$973,75</w:t>
            </w:r>
          </w:p>
        </w:tc>
        <w:tc>
          <w:tcPr>
            <w:tcW w:w="1469"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R$ 2.921,25</w:t>
            </w:r>
          </w:p>
        </w:tc>
      </w:tr>
      <w:tr>
        <w:trPr>
          <w:trHeight w:val="1432"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1</w:t>
            </w:r>
            <w:r>
              <w:rPr>
                <w:rFonts w:ascii="Calibri" w:hAnsi="Calibri"/>
                <w:b/>
                <w:sz w:val="24"/>
                <w:szCs w:val="24"/>
              </w:rPr>
              <w:t>2</w:t>
            </w:r>
          </w:p>
        </w:tc>
        <w:tc>
          <w:tcPr>
            <w:tcW w:w="135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440043</w:t>
            </w:r>
          </w:p>
        </w:tc>
        <w:tc>
          <w:tcPr>
            <w:tcW w:w="181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Limpador Impurezas Aplicação: Limpeza Do Forno Combinado Modelo Selfcookingcente , Tipo: Pastilha Descalcificante</w:t>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CX – 150 UN</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3</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876,68</w:t>
            </w:r>
          </w:p>
        </w:tc>
        <w:tc>
          <w:tcPr>
            <w:tcW w:w="1469"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R$ 2.630,04</w:t>
            </w:r>
          </w:p>
        </w:tc>
      </w:tr>
      <w:tr>
        <w:trPr>
          <w:trHeight w:val="1723"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1</w:t>
            </w:r>
            <w:r>
              <w:rPr>
                <w:rFonts w:ascii="Calibri" w:hAnsi="Calibri"/>
                <w:b/>
                <w:sz w:val="24"/>
                <w:szCs w:val="24"/>
              </w:rPr>
              <w:t>3</w:t>
            </w:r>
          </w:p>
        </w:tc>
        <w:tc>
          <w:tcPr>
            <w:tcW w:w="135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605352</w:t>
            </w:r>
          </w:p>
        </w:tc>
        <w:tc>
          <w:tcPr>
            <w:tcW w:w="181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Armadilha Animal Tipo: Entomológica , Componentes: Placa Adesiva Dupla-Face Azul , Características Adicionais: Comprimento 24,5 Cm E Largura De 10 Cm</w:t>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UN</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300</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R$8,36</w:t>
            </w:r>
          </w:p>
        </w:tc>
        <w:tc>
          <w:tcPr>
            <w:tcW w:w="1469"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R$ 2.508,99</w:t>
            </w:r>
          </w:p>
        </w:tc>
      </w:tr>
      <w:tr>
        <w:trPr>
          <w:trHeight w:val="1517"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b/>
                <w:sz w:val="24"/>
                <w:szCs w:val="24"/>
              </w:rPr>
              <w:t>1</w:t>
            </w:r>
            <w:r>
              <w:rPr>
                <w:rFonts w:ascii="Calibri" w:hAnsi="Calibri"/>
                <w:b/>
                <w:sz w:val="24"/>
                <w:szCs w:val="24"/>
              </w:rPr>
              <w:t>4</w:t>
            </w:r>
          </w:p>
        </w:tc>
        <w:tc>
          <w:tcPr>
            <w:tcW w:w="135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452666</w:t>
            </w:r>
          </w:p>
        </w:tc>
        <w:tc>
          <w:tcPr>
            <w:tcW w:w="181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Lâmpada Fluorescente Compacta, Cor: Branca , Potência Nominal: 32 W, Tensão Nominal: 110/220 V, correspondente à luminária de sobrepor hermética (item 8).</w:t>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UN</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50</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R$1,83</w:t>
            </w:r>
          </w:p>
        </w:tc>
        <w:tc>
          <w:tcPr>
            <w:tcW w:w="1469"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R$ 91,50</w:t>
            </w:r>
          </w:p>
        </w:tc>
      </w:tr>
      <w:tr>
        <w:trPr>
          <w:trHeight w:val="1517"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w:t>
            </w:r>
            <w:r>
              <w:rPr>
                <w:rFonts w:ascii="Calibri" w:hAnsi="Calibri"/>
                <w:sz w:val="24"/>
                <w:szCs w:val="24"/>
              </w:rPr>
              <w:t>5</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311187</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Aparelho ar condicionado, capacidade refrigeração: 18.000 btu, tensão 220v compatível com a fase disponível no RJ, frequência: 60 hz, tipo: JANELA, características adicionais: compressor rotativo; apenas ciclo frio.</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UN</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03</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R$5,018,33</w:t>
            </w:r>
          </w:p>
        </w:tc>
        <w:tc>
          <w:tcPr>
            <w:tcW w:w="1469"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R$15.055,00</w:t>
            </w:r>
          </w:p>
        </w:tc>
      </w:tr>
      <w:tr>
        <w:trPr>
          <w:trHeight w:val="1517"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w:t>
            </w:r>
            <w:r>
              <w:rPr>
                <w:rFonts w:ascii="Calibri" w:hAnsi="Calibri"/>
                <w:sz w:val="24"/>
                <w:szCs w:val="24"/>
              </w:rPr>
              <w:t>6</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459881</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Kit Placa Universal para Ar Split Hi Wall e Piso Teto – compatíveis com 7K, 9K, 12K, 18K, 22K, 24K, 30K, 36K, 48K, 60K, 80K, Btus, tensão 220V.</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UN</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10</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R$117,45</w:t>
            </w:r>
          </w:p>
        </w:tc>
        <w:tc>
          <w:tcPr>
            <w:tcW w:w="1469"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R$1.174,50</w:t>
            </w:r>
          </w:p>
        </w:tc>
      </w:tr>
      <w:tr>
        <w:trPr>
          <w:trHeight w:val="1517"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w:t>
            </w:r>
            <w:r>
              <w:rPr>
                <w:rFonts w:ascii="Calibri" w:hAnsi="Calibri"/>
                <w:sz w:val="24"/>
                <w:szCs w:val="24"/>
              </w:rPr>
              <w:t>7</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387676</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Tubo Cobre Panqueca 15 Metros 3/4 " = 19,05mm Parede 1/32 " = 0,79mm, para instalação de ar-condicionado split</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UN</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R$665,53</w:t>
            </w:r>
          </w:p>
        </w:tc>
        <w:tc>
          <w:tcPr>
            <w:tcW w:w="1469"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R$665,53</w:t>
            </w:r>
          </w:p>
        </w:tc>
      </w:tr>
      <w:tr>
        <w:trPr>
          <w:trHeight w:val="1517"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w:t>
            </w:r>
            <w:r>
              <w:rPr>
                <w:rFonts w:ascii="Calibri" w:hAnsi="Calibri"/>
                <w:sz w:val="24"/>
                <w:szCs w:val="24"/>
              </w:rPr>
              <w:t>8</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387605</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tubo esponjoso isolante de 3/4 - 2 metros, para tubulação de ar-condicionado split</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UN</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15</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R$2,98</w:t>
            </w:r>
          </w:p>
        </w:tc>
        <w:tc>
          <w:tcPr>
            <w:tcW w:w="1469"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R$44,70</w:t>
            </w:r>
          </w:p>
        </w:tc>
      </w:tr>
      <w:tr>
        <w:trPr>
          <w:trHeight w:val="1517"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19</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 xml:space="preserve">622785 </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Cabo elétrico Flexível 4,0mm 750V Rolo 100m</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UN</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3</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R$343,90</w:t>
            </w:r>
          </w:p>
        </w:tc>
        <w:tc>
          <w:tcPr>
            <w:tcW w:w="1469"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R$1.031,69</w:t>
            </w:r>
          </w:p>
        </w:tc>
      </w:tr>
      <w:tr>
        <w:trPr>
          <w:trHeight w:val="1517"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2</w:t>
            </w:r>
            <w:r>
              <w:rPr>
                <w:rFonts w:ascii="Calibri" w:hAnsi="Calibri"/>
                <w:sz w:val="24"/>
                <w:szCs w:val="24"/>
              </w:rPr>
              <w:t>0</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 xml:space="preserve">615231 </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Lâmpada de LED E27 Bulbo 9W 810lm Luz Branca Bivolt</w:t>
            </w:r>
          </w:p>
          <w:p>
            <w:pPr>
              <w:pStyle w:val="Normal"/>
              <w:widowControl w:val="false"/>
              <w:jc w:val="center"/>
              <w:rPr>
                <w:rFonts w:ascii="Calibri" w:hAnsi="Calibri"/>
                <w:sz w:val="24"/>
                <w:szCs w:val="24"/>
              </w:rPr>
            </w:pPr>
            <w:r>
              <w:rPr>
                <w:rFonts w:ascii="Calibri" w:hAnsi="Calibri"/>
                <w:sz w:val="24"/>
                <w:szCs w:val="24"/>
              </w:rPr>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 xml:space="preserve">UN </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50</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R$3,86</w:t>
            </w:r>
          </w:p>
        </w:tc>
        <w:tc>
          <w:tcPr>
            <w:tcW w:w="1469"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R$193,00</w:t>
            </w:r>
          </w:p>
        </w:tc>
      </w:tr>
      <w:tr>
        <w:trPr>
          <w:trHeight w:val="1517" w:hRule="atLeast"/>
        </w:trPr>
        <w:tc>
          <w:tcPr>
            <w:tcW w:w="85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21</w:t>
            </w:r>
          </w:p>
        </w:tc>
        <w:tc>
          <w:tcPr>
            <w:tcW w:w="1351" w:type="dxa"/>
            <w:tcBorders>
              <w:left w:val="single" w:sz="4" w:space="0" w:color="000000"/>
              <w:bottom w:val="single" w:sz="4" w:space="0" w:color="000000"/>
            </w:tcBorders>
            <w:vAlign w:val="center"/>
          </w:tcPr>
          <w:p>
            <w:pPr>
              <w:pStyle w:val="Normal"/>
              <w:widowControl w:val="false"/>
              <w:jc w:val="center"/>
              <w:rPr>
                <w:rFonts w:ascii="Calibri" w:hAnsi="Calibri"/>
                <w:sz w:val="24"/>
                <w:szCs w:val="24"/>
              </w:rPr>
            </w:pPr>
            <w:r>
              <w:rPr>
                <w:rFonts w:ascii="Calibri" w:hAnsi="Calibri"/>
                <w:b w:val="false"/>
                <w:i w:val="false"/>
                <w:strike w:val="false"/>
                <w:dstrike w:val="false"/>
                <w:outline w:val="false"/>
                <w:shadow w:val="false"/>
                <w:sz w:val="24"/>
                <w:szCs w:val="24"/>
                <w:u w:val="none"/>
                <w:em w:val="none"/>
              </w:rPr>
              <w:t>411944</w:t>
            </w:r>
          </w:p>
          <w:p>
            <w:pPr>
              <w:pStyle w:val="Normal"/>
              <w:widowControl w:val="false"/>
              <w:jc w:val="center"/>
              <w:rPr>
                <w:rFonts w:ascii="Calibri" w:hAnsi="Calibri"/>
                <w:sz w:val="24"/>
                <w:szCs w:val="24"/>
              </w:rPr>
            </w:pPr>
            <w:r>
              <w:rPr>
                <w:rFonts w:ascii="Calibri" w:hAnsi="Calibri"/>
                <w:sz w:val="24"/>
                <w:szCs w:val="24"/>
              </w:rPr>
            </w:r>
          </w:p>
        </w:tc>
        <w:tc>
          <w:tcPr>
            <w:tcW w:w="1814"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 xml:space="preserve">CANETA VERMELHA- </w:t>
            </w:r>
            <w:bookmarkStart w:id="26" w:name="h5produtoDescricao11"/>
            <w:bookmarkEnd w:id="26"/>
            <w:r>
              <w:rPr>
                <w:rFonts w:ascii="Calibri" w:hAnsi="Calibri"/>
                <w:sz w:val="24"/>
                <w:szCs w:val="24"/>
              </w:rPr>
              <w:t>Caneta Esferográfica BIC Escrita Média Cristal Dura Mais, Vermelha</w:t>
            </w:r>
          </w:p>
          <w:p>
            <w:pPr>
              <w:pStyle w:val="Contedodatabela"/>
              <w:widowControl w:val="false"/>
              <w:jc w:val="center"/>
              <w:rPr/>
            </w:pPr>
            <w:r>
              <w:rPr>
                <w:rFonts w:ascii="Calibri" w:hAnsi="Calibri"/>
                <w:sz w:val="24"/>
                <w:szCs w:val="24"/>
              </w:rPr>
              <w:t xml:space="preserve"> </w:t>
            </w:r>
            <w:r>
              <w:rPr>
                <w:rFonts w:ascii="Calibri" w:hAnsi="Calibri"/>
                <w:sz w:val="24"/>
                <w:szCs w:val="24"/>
              </w:rPr>
              <w:t>CAIXA 50 UNIDADES-</w:t>
            </w:r>
            <w:r>
              <w:rPr>
                <w:rStyle w:val="Nfaseforte"/>
                <w:rFonts w:ascii="Calibri" w:hAnsi="Calibri"/>
                <w:sz w:val="24"/>
                <w:szCs w:val="24"/>
              </w:rPr>
              <w:t>Inmetro Nº 333/2012</w:t>
            </w:r>
          </w:p>
        </w:tc>
        <w:tc>
          <w:tcPr>
            <w:tcW w:w="1081"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CX</w:t>
            </w:r>
          </w:p>
        </w:tc>
        <w:tc>
          <w:tcPr>
            <w:tcW w:w="124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10</w:t>
            </w:r>
          </w:p>
        </w:tc>
        <w:tc>
          <w:tcPr>
            <w:tcW w:w="1365" w:type="dxa"/>
            <w:tcBorders>
              <w:left w:val="single" w:sz="4" w:space="0" w:color="000000"/>
              <w:bottom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R$26,00</w:t>
            </w:r>
          </w:p>
        </w:tc>
        <w:tc>
          <w:tcPr>
            <w:tcW w:w="1469" w:type="dxa"/>
            <w:tcBorders>
              <w:left w:val="single" w:sz="4" w:space="0" w:color="000000"/>
              <w:bottom w:val="single" w:sz="4" w:space="0" w:color="000000"/>
              <w:right w:val="single" w:sz="4" w:space="0" w:color="000000"/>
            </w:tcBorders>
            <w:vAlign w:val="center"/>
          </w:tcPr>
          <w:p>
            <w:pPr>
              <w:pStyle w:val="Contedodatabela"/>
              <w:widowControl w:val="false"/>
              <w:jc w:val="center"/>
              <w:rPr>
                <w:rFonts w:ascii="Calibri" w:hAnsi="Calibri"/>
                <w:sz w:val="24"/>
                <w:szCs w:val="24"/>
              </w:rPr>
            </w:pPr>
            <w:r>
              <w:rPr>
                <w:rFonts w:ascii="Calibri" w:hAnsi="Calibri"/>
                <w:sz w:val="24"/>
                <w:szCs w:val="24"/>
              </w:rPr>
              <w:t>R$260,00</w:t>
            </w:r>
          </w:p>
        </w:tc>
      </w:tr>
      <w:tr>
        <w:trPr>
          <w:trHeight w:val="686" w:hRule="atLeast"/>
        </w:trPr>
        <w:tc>
          <w:tcPr>
            <w:tcW w:w="6345" w:type="dxa"/>
            <w:gridSpan w:val="5"/>
            <w:tcBorders>
              <w:left w:val="single" w:sz="4" w:space="0" w:color="000000"/>
              <w:bottom w:val="single" w:sz="4" w:space="0" w:color="000000"/>
            </w:tcBorders>
            <w:vAlign w:val="center"/>
          </w:tcPr>
          <w:p>
            <w:pPr>
              <w:pStyle w:val="Contedodatabela"/>
              <w:widowControl w:val="false"/>
              <w:jc w:val="center"/>
              <w:rPr>
                <w:rFonts w:ascii="Calibri" w:hAnsi="Calibri"/>
                <w:b/>
                <w:b/>
                <w:bCs/>
                <w:sz w:val="24"/>
                <w:szCs w:val="24"/>
              </w:rPr>
            </w:pPr>
            <w:r>
              <w:rPr>
                <w:rFonts w:ascii="Calibri" w:hAnsi="Calibri"/>
                <w:b/>
                <w:bCs/>
                <w:sz w:val="24"/>
                <w:szCs w:val="24"/>
              </w:rPr>
              <w:t>TOTAL:</w:t>
            </w:r>
          </w:p>
        </w:tc>
        <w:tc>
          <w:tcPr>
            <w:tcW w:w="1365" w:type="dxa"/>
            <w:tcBorders>
              <w:left w:val="single" w:sz="4" w:space="0" w:color="000000"/>
              <w:bottom w:val="single" w:sz="4" w:space="0" w:color="000000"/>
            </w:tcBorders>
            <w:vAlign w:val="center"/>
          </w:tcPr>
          <w:p>
            <w:pPr>
              <w:pStyle w:val="Corpodotexto"/>
              <w:widowControl w:val="false"/>
              <w:spacing w:before="0" w:after="0"/>
              <w:ind w:left="0" w:right="0" w:hanging="0"/>
              <w:jc w:val="center"/>
              <w:rPr>
                <w:rFonts w:ascii="Calibri" w:hAnsi="Calibri"/>
                <w:b/>
                <w:b/>
                <w:bCs/>
                <w:sz w:val="24"/>
                <w:szCs w:val="24"/>
              </w:rPr>
            </w:pPr>
            <w:r>
              <w:rPr>
                <w:rFonts w:ascii="Calibri" w:hAnsi="Calibri"/>
                <w:b/>
                <w:bCs/>
                <w:sz w:val="24"/>
                <w:szCs w:val="24"/>
              </w:rPr>
              <w:t xml:space="preserve">R$ </w:t>
            </w:r>
          </w:p>
        </w:tc>
        <w:tc>
          <w:tcPr>
            <w:tcW w:w="1469" w:type="dxa"/>
            <w:tcBorders>
              <w:left w:val="single" w:sz="4" w:space="0" w:color="000000"/>
              <w:bottom w:val="single" w:sz="4" w:space="0" w:color="000000"/>
              <w:right w:val="single" w:sz="4" w:space="0" w:color="000000"/>
            </w:tcBorders>
            <w:vAlign w:val="center"/>
          </w:tcPr>
          <w:p>
            <w:pPr>
              <w:pStyle w:val="Corpodotexto"/>
              <w:widowControl w:val="false"/>
              <w:spacing w:before="0" w:after="0"/>
              <w:ind w:left="0" w:right="0" w:hanging="0"/>
              <w:jc w:val="center"/>
              <w:rPr>
                <w:rFonts w:ascii="Calibri" w:hAnsi="Calibri"/>
                <w:b/>
                <w:b/>
                <w:bCs/>
                <w:sz w:val="24"/>
                <w:szCs w:val="24"/>
              </w:rPr>
            </w:pPr>
            <w:r>
              <w:rPr>
                <w:rFonts w:ascii="Calibri" w:hAnsi="Calibri"/>
                <w:b/>
                <w:bCs/>
                <w:sz w:val="24"/>
                <w:szCs w:val="24"/>
              </w:rPr>
              <w:t>R$43.752,10</w:t>
            </w:r>
          </w:p>
        </w:tc>
      </w:tr>
    </w:tbl>
    <w:p>
      <w:pPr>
        <w:pStyle w:val="Normal"/>
        <w:widowControl/>
        <w:tabs>
          <w:tab w:val="clear" w:pos="298"/>
          <w:tab w:val="left" w:pos="855" w:leader="none"/>
        </w:tabs>
        <w:suppressAutoHyphens w:val="false"/>
        <w:bidi w:val="0"/>
        <w:spacing w:lineRule="auto" w:line="240" w:before="119" w:after="119"/>
        <w:ind w:left="0" w:right="0" w:hanging="0"/>
        <w:jc w:val="both"/>
        <w:textAlignment w:val="baseline"/>
        <w:rPr/>
      </w:pPr>
      <w:r>
        <w:rPr>
          <w:rFonts w:cs="Calibri" w:ascii="Times New Roman" w:hAnsi="Times New Roman"/>
          <w:b w:val="false"/>
          <w:bCs w:val="false"/>
          <w:i w:val="false"/>
          <w:iCs w:val="false"/>
          <w:color w:val="000000"/>
          <w:sz w:val="24"/>
          <w:szCs w:val="24"/>
        </w:rPr>
        <w:t>1.2.</w:t>
        <w:tab/>
        <w:t>A contratada por ocasião da cotação, lance e formulação da proposta de preços deverá levar em consideração as especificações do item 1.2 e 1.3.</w:t>
      </w:r>
    </w:p>
    <w:p>
      <w:pPr>
        <w:pStyle w:val="Normal"/>
        <w:widowControl w:val="false"/>
        <w:tabs>
          <w:tab w:val="clear" w:pos="298"/>
          <w:tab w:val="left" w:pos="855" w:leader="none"/>
        </w:tabs>
        <w:bidi w:val="0"/>
        <w:spacing w:lineRule="auto" w:line="240" w:before="119" w:after="119"/>
        <w:ind w:left="0" w:right="0" w:hanging="0"/>
        <w:jc w:val="both"/>
        <w:textAlignment w:val="auto"/>
        <w:rPr>
          <w:rFonts w:ascii="Times New Roman" w:hAnsi="Times New Roman"/>
          <w:sz w:val="24"/>
          <w:szCs w:val="24"/>
        </w:rPr>
      </w:pPr>
      <w:r>
        <w:rPr>
          <w:rFonts w:cs="Calibri" w:ascii="Times New Roman" w:hAnsi="Times New Roman"/>
          <w:b w:val="false"/>
          <w:bCs w:val="false"/>
          <w:iCs/>
          <w:color w:val="000000"/>
          <w:sz w:val="24"/>
          <w:szCs w:val="24"/>
        </w:rPr>
        <w:t>1.3.</w:t>
      </w:r>
      <w:r>
        <w:rPr>
          <w:rFonts w:ascii="Times New Roman" w:hAnsi="Times New Roman"/>
          <w:color w:val="000000"/>
          <w:sz w:val="24"/>
          <w:szCs w:val="24"/>
        </w:rPr>
        <w:tab/>
        <w:t>Em caso de divergência entre as descrições do CATMAT e do presente Termo de Referência, prevalecem as do descritivo do presente Termo de Referência.</w:t>
      </w:r>
    </w:p>
    <w:p>
      <w:pPr>
        <w:pStyle w:val="ListParagraph"/>
        <w:widowControl w:val="false"/>
        <w:tabs>
          <w:tab w:val="clear" w:pos="298"/>
          <w:tab w:val="left" w:pos="855" w:leader="none"/>
        </w:tabs>
        <w:suppressAutoHyphens w:val="true"/>
        <w:bidi w:val="0"/>
        <w:spacing w:lineRule="auto" w:line="240" w:before="119" w:after="119"/>
        <w:ind w:left="0" w:right="0" w:hanging="0"/>
        <w:contextualSpacing/>
        <w:jc w:val="both"/>
        <w:textAlignment w:val="auto"/>
        <w:rPr>
          <w:rFonts w:ascii="Times New Roman" w:hAnsi="Times New Roman"/>
          <w:color w:val="000000"/>
          <w:sz w:val="24"/>
          <w:szCs w:val="24"/>
        </w:rPr>
      </w:pPr>
      <w:r>
        <w:rPr>
          <w:rFonts w:ascii="Times New Roman" w:hAnsi="Times New Roman"/>
          <w:color w:val="000000"/>
          <w:sz w:val="24"/>
          <w:szCs w:val="24"/>
        </w:rPr>
        <w:t>1.4.</w:t>
        <w:tab/>
        <w:t>Não serão aceitos equipamentos e peças com alterações de projeto, ou seja, aqueles que sofreram adaptações em suas configurações originais, apenas para atender o edital.</w:t>
      </w:r>
    </w:p>
    <w:p>
      <w:pPr>
        <w:pStyle w:val="ListParagraph"/>
        <w:widowControl w:val="false"/>
        <w:tabs>
          <w:tab w:val="clear" w:pos="298"/>
          <w:tab w:val="left" w:pos="855" w:leader="none"/>
        </w:tabs>
        <w:suppressAutoHyphens w:val="true"/>
        <w:bidi w:val="0"/>
        <w:spacing w:lineRule="auto" w:line="240" w:before="119" w:after="119"/>
        <w:ind w:left="0" w:right="0" w:hanging="0"/>
        <w:contextualSpacing/>
        <w:jc w:val="both"/>
        <w:textAlignment w:val="auto"/>
        <w:rPr>
          <w:rFonts w:ascii="Times New Roman" w:hAnsi="Times New Roman"/>
          <w:color w:val="000000"/>
          <w:sz w:val="24"/>
          <w:szCs w:val="24"/>
        </w:rPr>
      </w:pPr>
      <w:r>
        <w:rPr>
          <w:rFonts w:ascii="Times New Roman" w:hAnsi="Times New Roman"/>
          <w:color w:val="000000"/>
          <w:sz w:val="24"/>
          <w:szCs w:val="24"/>
        </w:rPr>
        <w:t>1.5. A compra poder</w:t>
      </w:r>
      <w:r>
        <w:rPr>
          <w:rFonts w:eastAsia="Times New Roman" w:cs="Tahoma" w:ascii="Times New Roman" w:hAnsi="Times New Roman"/>
          <w:color w:val="000000"/>
          <w:kern w:val="0"/>
          <w:sz w:val="24"/>
          <w:szCs w:val="24"/>
          <w:lang w:val="pt-BR" w:eastAsia="pt-BR" w:bidi="ar-SA"/>
        </w:rPr>
        <w:t>á ser parcelada de 2 a 3 remessas conforme necessidade.</w:t>
      </w:r>
    </w:p>
    <w:p>
      <w:pPr>
        <w:pStyle w:val="ListParagraph"/>
        <w:tabs>
          <w:tab w:val="clear" w:pos="298"/>
          <w:tab w:val="left" w:pos="855" w:leader="none"/>
        </w:tabs>
        <w:bidi w:val="0"/>
        <w:spacing w:lineRule="auto" w:line="240" w:before="119" w:after="119"/>
        <w:ind w:left="0" w:right="0" w:hanging="0"/>
        <w:contextualSpacing/>
        <w:jc w:val="both"/>
        <w:rPr>
          <w:rFonts w:ascii="Times New Roman" w:hAnsi="Times New Roman" w:cs="Calibri"/>
          <w:bCs/>
          <w:iCs/>
          <w:color w:val="000000"/>
          <w:sz w:val="24"/>
          <w:szCs w:val="24"/>
        </w:rPr>
      </w:pPr>
      <w:r>
        <w:rPr>
          <w:rFonts w:cs="Calibri" w:ascii="Times New Roman" w:hAnsi="Times New Roman"/>
          <w:bCs/>
          <w:iCs/>
          <w:color w:val="000000"/>
          <w:sz w:val="24"/>
          <w:szCs w:val="24"/>
        </w:rPr>
      </w:r>
    </w:p>
    <w:p>
      <w:pPr>
        <w:pStyle w:val="ListParagraph"/>
        <w:tabs>
          <w:tab w:val="clear" w:pos="298"/>
          <w:tab w:val="left" w:pos="855" w:leader="none"/>
        </w:tabs>
        <w:bidi w:val="0"/>
        <w:spacing w:lineRule="auto" w:line="240" w:before="119" w:after="119"/>
        <w:ind w:left="0" w:right="0" w:hanging="0"/>
        <w:contextualSpacing/>
        <w:jc w:val="both"/>
        <w:rPr>
          <w:rFonts w:ascii="Times New Roman" w:hAnsi="Times New Roman" w:cs="Calibri"/>
          <w:bCs/>
          <w:iCs/>
          <w:color w:val="000000"/>
          <w:sz w:val="24"/>
          <w:szCs w:val="24"/>
        </w:rPr>
      </w:pPr>
      <w:r>
        <w:rPr>
          <w:rFonts w:cs="Calibri" w:ascii="Times New Roman" w:hAnsi="Times New Roman"/>
          <w:b/>
          <w:bCs/>
          <w:iCs/>
          <w:color w:val="000000"/>
          <w:sz w:val="24"/>
          <w:szCs w:val="24"/>
        </w:rPr>
        <w:t>2. FUNDAMENTO LEGAL</w:t>
      </w:r>
    </w:p>
    <w:p>
      <w:pPr>
        <w:pStyle w:val="ListParagraph"/>
        <w:tabs>
          <w:tab w:val="clear" w:pos="298"/>
          <w:tab w:val="left" w:pos="855" w:leader="none"/>
        </w:tabs>
        <w:bidi w:val="0"/>
        <w:spacing w:lineRule="auto" w:line="240" w:before="119" w:after="119"/>
        <w:ind w:left="0" w:right="0" w:hanging="0"/>
        <w:contextualSpacing/>
        <w:jc w:val="both"/>
        <w:rPr>
          <w:rFonts w:ascii="Times New Roman" w:hAnsi="Times New Roman" w:cs="Calibri"/>
          <w:bCs/>
          <w:iCs/>
          <w:color w:val="000000"/>
          <w:sz w:val="24"/>
          <w:szCs w:val="24"/>
        </w:rPr>
      </w:pPr>
      <w:r>
        <w:rPr>
          <w:rFonts w:cs="Calibri" w:ascii="Times New Roman" w:hAnsi="Times New Roman"/>
          <w:bCs/>
          <w:iCs/>
          <w:color w:val="000000"/>
          <w:sz w:val="24"/>
          <w:szCs w:val="24"/>
        </w:rPr>
      </w:r>
    </w:p>
    <w:p>
      <w:pPr>
        <w:pStyle w:val="ListParagraph"/>
        <w:tabs>
          <w:tab w:val="clear" w:pos="298"/>
          <w:tab w:val="left" w:pos="855" w:leader="none"/>
        </w:tabs>
        <w:bidi w:val="0"/>
        <w:spacing w:lineRule="auto" w:line="240" w:before="119" w:after="119"/>
        <w:ind w:left="0" w:right="0" w:hanging="0"/>
        <w:contextualSpacing/>
        <w:jc w:val="both"/>
        <w:rPr>
          <w:rFonts w:ascii="Times New Roman" w:hAnsi="Times New Roman" w:cs="Calibri"/>
          <w:b w:val="false"/>
          <w:b w:val="false"/>
          <w:bCs w:val="false"/>
          <w:iCs/>
          <w:color w:val="000000"/>
          <w:sz w:val="24"/>
          <w:szCs w:val="24"/>
        </w:rPr>
      </w:pPr>
      <w:r>
        <w:rPr>
          <w:rFonts w:cs="Calibri" w:ascii="Times New Roman" w:hAnsi="Times New Roman"/>
          <w:b w:val="false"/>
          <w:bCs w:val="false"/>
          <w:iCs/>
          <w:color w:val="000000"/>
          <w:sz w:val="24"/>
          <w:szCs w:val="24"/>
        </w:rPr>
        <w:t>2.1. A contratação do serviço será feita mediante dispensa eletrônica, conforme inciso II, do art. 75, da lei 14.133/2021 e instrução normativa SEGES/ME n°67/2021, pelo menor preço por item.</w:t>
      </w:r>
    </w:p>
    <w:p>
      <w:pPr>
        <w:pStyle w:val="ListParagraph"/>
        <w:tabs>
          <w:tab w:val="clear" w:pos="298"/>
          <w:tab w:val="left" w:pos="855" w:leader="none"/>
        </w:tabs>
        <w:bidi w:val="0"/>
        <w:spacing w:lineRule="auto" w:line="240" w:before="119" w:after="119"/>
        <w:ind w:left="0" w:right="0" w:hanging="0"/>
        <w:contextualSpacing/>
        <w:jc w:val="both"/>
        <w:rPr>
          <w:rFonts w:ascii="Times New Roman" w:hAnsi="Times New Roman" w:cs="Calibri"/>
          <w:b w:val="false"/>
          <w:b w:val="false"/>
          <w:bCs w:val="false"/>
          <w:iCs/>
          <w:color w:val="000000"/>
          <w:sz w:val="24"/>
          <w:szCs w:val="24"/>
        </w:rPr>
      </w:pPr>
      <w:r>
        <w:rPr>
          <w:rFonts w:cs="Calibri" w:ascii="Times New Roman" w:hAnsi="Times New Roman"/>
          <w:b w:val="false"/>
          <w:bCs w:val="false"/>
          <w:iCs/>
          <w:color w:val="000000"/>
          <w:sz w:val="24"/>
          <w:szCs w:val="24"/>
        </w:rPr>
      </w:r>
    </w:p>
    <w:p>
      <w:pPr>
        <w:pStyle w:val="ListParagraph"/>
        <w:tabs>
          <w:tab w:val="clear" w:pos="298"/>
          <w:tab w:val="left" w:pos="855" w:leader="none"/>
        </w:tabs>
        <w:spacing w:lineRule="auto" w:line="240" w:before="119" w:after="119"/>
        <w:ind w:left="0" w:right="0" w:hanging="0"/>
        <w:contextualSpacing/>
        <w:jc w:val="both"/>
        <w:rPr>
          <w:rFonts w:ascii="Times New Roman" w:hAnsi="Times New Roman"/>
          <w:sz w:val="24"/>
          <w:szCs w:val="24"/>
        </w:rPr>
      </w:pPr>
      <w:r>
        <w:rPr>
          <w:rFonts w:cs="Calibri" w:ascii="Times New Roman" w:hAnsi="Times New Roman"/>
          <w:b/>
          <w:sz w:val="24"/>
          <w:szCs w:val="24"/>
        </w:rPr>
        <w:t>3.JUSTIFICATIVA E OBJETIVO DA CONTRATAÇÃO</w:t>
      </w:r>
    </w:p>
    <w:p>
      <w:pPr>
        <w:pStyle w:val="Western"/>
        <w:widowControl/>
        <w:tabs>
          <w:tab w:val="clear" w:pos="298"/>
          <w:tab w:val="left" w:pos="855" w:leader="none"/>
        </w:tabs>
        <w:suppressAutoHyphens w:val="false"/>
        <w:bidi w:val="0"/>
        <w:spacing w:lineRule="auto" w:line="240" w:before="119" w:after="119"/>
        <w:ind w:left="0" w:right="0" w:hanging="0"/>
        <w:jc w:val="both"/>
        <w:textAlignment w:val="baseline"/>
        <w:rPr/>
      </w:pPr>
      <w:r>
        <w:rPr>
          <w:rFonts w:cs="Calibri" w:ascii="Times New Roman" w:hAnsi="Times New Roman"/>
          <w:b w:val="false"/>
          <w:bCs w:val="false"/>
          <w:sz w:val="24"/>
          <w:szCs w:val="24"/>
        </w:rPr>
        <w:t xml:space="preserve">3.1. </w:t>
      </w:r>
      <w:r>
        <w:rPr>
          <w:rFonts w:cs="Calibri" w:ascii="Times New Roman" w:hAnsi="Times New Roman"/>
          <w:b/>
          <w:sz w:val="24"/>
          <w:szCs w:val="24"/>
        </w:rPr>
        <w:tab/>
      </w:r>
      <w:r>
        <w:rPr>
          <w:rStyle w:val="Fontepargpadro"/>
          <w:rFonts w:eastAsia="SimSun" w:cs="Times New Roman" w:ascii="Times New Roman" w:hAnsi="Times New Roman"/>
          <w:b w:val="false"/>
          <w:bCs w:val="false"/>
          <w:color w:val="000000"/>
          <w:sz w:val="24"/>
          <w:szCs w:val="24"/>
        </w:rPr>
        <w:t xml:space="preserve">Proporcionar condições para o funcionamento da Policlínica Naval Nossa senhora da Glória, no atendimento à família naval e a tripulação. </w:t>
      </w:r>
    </w:p>
    <w:p>
      <w:pPr>
        <w:pStyle w:val="Normal"/>
        <w:tabs>
          <w:tab w:val="clear" w:pos="298"/>
          <w:tab w:val="left" w:pos="855" w:leader="none"/>
        </w:tabs>
        <w:spacing w:lineRule="auto" w:line="240" w:before="119" w:after="119"/>
        <w:jc w:val="both"/>
        <w:rPr>
          <w:rFonts w:ascii="Times New Roman" w:hAnsi="Times New Roman"/>
          <w:sz w:val="24"/>
          <w:szCs w:val="24"/>
        </w:rPr>
      </w:pPr>
      <w:r>
        <w:rPr>
          <w:rFonts w:cs="Calibri" w:ascii="Times New Roman" w:hAnsi="Times New Roman"/>
          <w:b/>
          <w:bCs/>
          <w:sz w:val="24"/>
          <w:szCs w:val="24"/>
        </w:rPr>
        <w:t>4.</w:t>
        <w:tab/>
        <w:t>DESCRIÇÃO DA SOLUÇÃO</w:t>
      </w:r>
    </w:p>
    <w:p>
      <w:pPr>
        <w:pStyle w:val="Normal"/>
        <w:widowControl/>
        <w:tabs>
          <w:tab w:val="clear" w:pos="298"/>
          <w:tab w:val="left" w:pos="855" w:leader="none"/>
        </w:tabs>
        <w:suppressAutoHyphens w:val="false"/>
        <w:bidi w:val="0"/>
        <w:spacing w:lineRule="auto" w:line="240" w:before="119" w:after="119"/>
        <w:ind w:left="0" w:right="0" w:hanging="0"/>
        <w:jc w:val="both"/>
        <w:textAlignment w:val="baseline"/>
        <w:rPr>
          <w:rFonts w:ascii="Times New Roman" w:hAnsi="Times New Roman"/>
          <w:sz w:val="24"/>
          <w:szCs w:val="24"/>
        </w:rPr>
      </w:pPr>
      <w:r>
        <w:rPr>
          <w:rFonts w:cs="Calibri" w:ascii="Times New Roman" w:hAnsi="Times New Roman"/>
          <w:b w:val="false"/>
          <w:bCs w:val="false"/>
          <w:sz w:val="24"/>
          <w:szCs w:val="24"/>
        </w:rPr>
        <w:t xml:space="preserve">4.1. </w:t>
      </w:r>
      <w:r>
        <w:rPr>
          <w:rFonts w:cs="Calibri" w:ascii="Times New Roman" w:hAnsi="Times New Roman"/>
          <w:b/>
          <w:bCs/>
          <w:sz w:val="24"/>
          <w:szCs w:val="24"/>
        </w:rPr>
        <w:tab/>
        <w:t>G</w:t>
      </w:r>
      <w:r>
        <w:rPr>
          <w:rStyle w:val="Fontepargpadro"/>
          <w:rFonts w:eastAsia="Times New Roman" w:cs="Calibri" w:ascii="Calibri" w:hAnsi="Calibri"/>
          <w:b w:val="false"/>
          <w:bCs w:val="false"/>
          <w:i w:val="false"/>
          <w:iCs w:val="false"/>
          <w:color w:val="000000"/>
          <w:sz w:val="24"/>
          <w:szCs w:val="24"/>
          <w:shd w:fill="auto" w:val="clear"/>
          <w:lang w:eastAsia="en-US"/>
        </w:rPr>
        <w:t>arantir e p</w:t>
      </w:r>
      <w:r>
        <w:rPr>
          <w:rStyle w:val="Fontepargpadro"/>
          <w:rFonts w:eastAsia="SimSun" w:cs="Times New Roman" w:ascii="Times New Roman" w:hAnsi="Times New Roman"/>
          <w:b w:val="false"/>
          <w:bCs w:val="false"/>
          <w:i w:val="false"/>
          <w:iCs w:val="false"/>
          <w:color w:val="000000"/>
          <w:sz w:val="24"/>
          <w:szCs w:val="24"/>
          <w:lang w:eastAsia="en-US"/>
        </w:rPr>
        <w:t xml:space="preserve">roporcionar condições para o funcionamento da Policlínica Naval Nossa senhora da Glória, no atendimento à família naval e a tripulação. </w:t>
      </w:r>
    </w:p>
    <w:p>
      <w:pPr>
        <w:pStyle w:val="Normal"/>
        <w:widowControl w:val="false"/>
        <w:tabs>
          <w:tab w:val="clear" w:pos="298"/>
          <w:tab w:val="left" w:pos="855" w:leader="none"/>
        </w:tabs>
        <w:suppressAutoHyphens w:val="false"/>
        <w:bidi w:val="0"/>
        <w:spacing w:lineRule="auto" w:line="240" w:before="119" w:after="119"/>
        <w:ind w:left="0" w:right="0" w:hanging="0"/>
        <w:jc w:val="both"/>
        <w:textAlignment w:val="baseline"/>
        <w:rPr>
          <w:rFonts w:ascii="Times New Roman" w:hAnsi="Times New Roman"/>
          <w:sz w:val="24"/>
          <w:szCs w:val="24"/>
        </w:rPr>
      </w:pPr>
      <w:r>
        <w:rPr>
          <w:rFonts w:cs="Calibri" w:ascii="Times New Roman" w:hAnsi="Times New Roman"/>
          <w:b/>
          <w:bCs/>
          <w:sz w:val="24"/>
          <w:szCs w:val="24"/>
        </w:rPr>
        <w:t xml:space="preserve">5. </w:t>
        <w:tab/>
        <w:t>CLASSIFICAÇÃO DOS BENS COMUNS</w:t>
      </w:r>
    </w:p>
    <w:p>
      <w:pPr>
        <w:pStyle w:val="Normal"/>
        <w:widowControl w:val="false"/>
        <w:tabs>
          <w:tab w:val="clear" w:pos="298"/>
          <w:tab w:val="left" w:pos="855" w:leader="none"/>
        </w:tabs>
        <w:suppressAutoHyphens w:val="false"/>
        <w:bidi w:val="0"/>
        <w:spacing w:lineRule="auto" w:line="240" w:before="119" w:after="119"/>
        <w:ind w:left="0" w:right="0" w:hanging="0"/>
        <w:jc w:val="both"/>
        <w:textAlignment w:val="baseline"/>
        <w:rPr>
          <w:rFonts w:ascii="Times New Roman" w:hAnsi="Times New Roman"/>
        </w:rPr>
      </w:pPr>
      <w:r>
        <w:rPr>
          <w:rFonts w:cs="Calibri" w:ascii="Times New Roman" w:hAnsi="Times New Roman"/>
          <w:b w:val="false"/>
          <w:bCs w:val="false"/>
          <w:color w:val="000000"/>
          <w:sz w:val="24"/>
          <w:szCs w:val="24"/>
        </w:rPr>
        <w:t>5.1.</w:t>
      </w:r>
      <w:r>
        <w:rPr>
          <w:rFonts w:cs="Calibri" w:ascii="Times New Roman" w:hAnsi="Times New Roman"/>
          <w:b/>
          <w:bCs/>
          <w:color w:val="000000"/>
          <w:sz w:val="24"/>
          <w:szCs w:val="24"/>
        </w:rPr>
        <w:t xml:space="preserve"> </w:t>
        <w:tab/>
      </w:r>
      <w:r>
        <w:rPr>
          <w:rFonts w:eastAsia="Arial" w:cs="Calibri" w:ascii="Times New Roman" w:hAnsi="Times New Roman"/>
          <w:b w:val="false"/>
          <w:bCs w:val="false"/>
          <w:color w:val="000000"/>
          <w:sz w:val="24"/>
          <w:szCs w:val="24"/>
        </w:rPr>
        <w:t xml:space="preserve">Trata-se de </w:t>
      </w:r>
      <w:r>
        <w:rPr>
          <w:rFonts w:eastAsia="Arial" w:cs="Calibri" w:ascii="Times New Roman" w:hAnsi="Times New Roman"/>
          <w:b w:val="false"/>
          <w:bCs w:val="false"/>
          <w:color w:val="000000"/>
          <w:kern w:val="0"/>
          <w:sz w:val="24"/>
          <w:szCs w:val="24"/>
          <w:lang w:val="pt-BR" w:eastAsia="zh-CN" w:bidi="ar-SA"/>
        </w:rPr>
        <w:t>aquisição de materiais</w:t>
      </w:r>
      <w:r>
        <w:rPr>
          <w:rFonts w:eastAsia="Arial" w:cs="Calibri" w:ascii="Times New Roman" w:hAnsi="Times New Roman"/>
          <w:b w:val="false"/>
          <w:bCs w:val="false"/>
          <w:color w:val="000000"/>
          <w:sz w:val="24"/>
          <w:szCs w:val="24"/>
        </w:rPr>
        <w:t xml:space="preserve"> a ser realizada mediante dispensa de licitação,  em sua forma eletrônica.</w:t>
      </w:r>
    </w:p>
    <w:p>
      <w:pPr>
        <w:pStyle w:val="LONormal"/>
        <w:tabs>
          <w:tab w:val="clear" w:pos="298"/>
          <w:tab w:val="left" w:pos="855" w:leader="none"/>
        </w:tabs>
        <w:spacing w:lineRule="auto" w:line="240" w:before="119" w:after="119"/>
        <w:jc w:val="both"/>
        <w:rPr>
          <w:rFonts w:ascii="Times New Roman" w:hAnsi="Times New Roman"/>
          <w:sz w:val="24"/>
          <w:szCs w:val="24"/>
        </w:rPr>
      </w:pPr>
      <w:r>
        <w:rPr>
          <w:rFonts w:cs="Calibri" w:ascii="Times New Roman" w:hAnsi="Times New Roman"/>
          <w:b/>
          <w:bCs/>
          <w:sz w:val="24"/>
          <w:szCs w:val="24"/>
        </w:rPr>
        <w:t xml:space="preserve">5. </w:t>
        <w:tab/>
        <w:t>CRITÉRIOS DE SUSTENTABILIDADE</w:t>
      </w:r>
    </w:p>
    <w:p>
      <w:pPr>
        <w:pStyle w:val="Corpodotexto"/>
        <w:widowControl/>
        <w:tabs>
          <w:tab w:val="clear" w:pos="298"/>
          <w:tab w:val="left" w:pos="855" w:leader="none"/>
        </w:tabs>
        <w:suppressAutoHyphens w:val="false"/>
        <w:bidi w:val="0"/>
        <w:spacing w:lineRule="auto" w:line="240" w:before="119" w:after="119"/>
        <w:ind w:left="0" w:right="0" w:hanging="0"/>
        <w:jc w:val="both"/>
        <w:textAlignment w:val="baseline"/>
        <w:rPr>
          <w:rFonts w:ascii="Times New Roman" w:hAnsi="Times New Roman"/>
          <w:sz w:val="24"/>
          <w:szCs w:val="24"/>
        </w:rPr>
      </w:pPr>
      <w:r>
        <w:rPr>
          <w:rFonts w:cs="Calibri" w:ascii="Times New Roman" w:hAnsi="Times New Roman"/>
          <w:b w:val="false"/>
          <w:bCs w:val="false"/>
          <w:sz w:val="24"/>
          <w:szCs w:val="24"/>
        </w:rPr>
        <w:t xml:space="preserve">5.1. </w:t>
      </w:r>
      <w:r>
        <w:rPr>
          <w:rFonts w:cs="Calibri" w:ascii="Times New Roman" w:hAnsi="Times New Roman"/>
          <w:b/>
          <w:bCs/>
          <w:sz w:val="24"/>
          <w:szCs w:val="24"/>
        </w:rPr>
        <w:tab/>
      </w:r>
      <w:r>
        <w:rPr>
          <w:rFonts w:cs="Calibri" w:ascii="Times New Roman" w:hAnsi="Times New Roman"/>
          <w:b w:val="false"/>
          <w:bCs w:val="false"/>
          <w:color w:val="000000"/>
          <w:sz w:val="24"/>
          <w:szCs w:val="24"/>
        </w:rPr>
        <w:t>A Contratada deverá adotar os critérios de sustentabilidade ambiental previsto no art. 5º da Instrução Normativa nº 01, de 19 de janeiro de 2010, do Ministério do Planejamento, Orçamento e Gestão – MPOG, como também observar as práticas de proteção do meio ambiente previstas nas Leis nº 6.938/1981 e nº 12.187/2009, e as disposições estabelecidas no Guia Nacional de Contratações Sustentáveis (4ª Edição) da Advocacia-Geral da União (AGU).</w:t>
      </w:r>
    </w:p>
    <w:p>
      <w:pPr>
        <w:pStyle w:val="LONormal"/>
        <w:tabs>
          <w:tab w:val="clear" w:pos="298"/>
          <w:tab w:val="left" w:pos="855" w:leader="none"/>
        </w:tabs>
        <w:spacing w:lineRule="auto" w:line="240" w:before="119" w:after="119"/>
        <w:jc w:val="both"/>
        <w:rPr/>
      </w:pPr>
      <w:r>
        <w:rPr>
          <w:rFonts w:cs="Calibri" w:ascii="Times New Roman" w:hAnsi="Times New Roman"/>
          <w:b/>
          <w:bCs/>
          <w:sz w:val="24"/>
          <w:szCs w:val="24"/>
        </w:rPr>
        <w:t xml:space="preserve">6. </w:t>
        <w:tab/>
        <w:t>ENTREGA E CRITÉRIOS DE ACEITAÇÃO DO OBJETO</w:t>
      </w:r>
      <w:r>
        <w:rPr>
          <w:rStyle w:val="Fontepargpadro1"/>
          <w:rFonts w:cs="Calibri" w:ascii="Times New Roman" w:hAnsi="Times New Roman"/>
          <w:b/>
          <w:bCs/>
          <w:sz w:val="24"/>
          <w:szCs w:val="24"/>
        </w:rPr>
        <w:t xml:space="preserve">         </w:t>
      </w:r>
    </w:p>
    <w:p>
      <w:pPr>
        <w:pStyle w:val="LONormal"/>
        <w:widowControl/>
        <w:tabs>
          <w:tab w:val="clear" w:pos="298"/>
          <w:tab w:val="left" w:pos="855" w:leader="none"/>
        </w:tabs>
        <w:suppressAutoHyphens w:val="true"/>
        <w:bidi w:val="0"/>
        <w:spacing w:lineRule="auto" w:line="240" w:before="119" w:after="119"/>
        <w:ind w:left="0" w:right="0" w:hanging="0"/>
        <w:jc w:val="both"/>
        <w:textAlignment w:val="baseline"/>
        <w:rPr/>
      </w:pPr>
      <w:r>
        <w:rPr>
          <w:rStyle w:val="Fontepargpadro1"/>
          <w:rFonts w:cs="Calibri" w:ascii="Times New Roman" w:hAnsi="Times New Roman"/>
          <w:b w:val="false"/>
          <w:bCs w:val="false"/>
          <w:sz w:val="24"/>
          <w:szCs w:val="24"/>
        </w:rPr>
        <w:t xml:space="preserve">6.1.  </w:t>
        <w:tab/>
      </w:r>
      <w:r>
        <w:rPr>
          <w:rStyle w:val="Fontepargpadro1"/>
          <w:rFonts w:eastAsia="Arial" w:cs="Calibri" w:ascii="Times New Roman" w:hAnsi="Times New Roman"/>
          <w:b w:val="false"/>
          <w:bCs w:val="false"/>
          <w:iCs/>
          <w:color w:val="000000"/>
          <w:sz w:val="24"/>
          <w:szCs w:val="24"/>
        </w:rPr>
        <w:t>O prazo para entrega dos materiais é de</w:t>
      </w:r>
      <w:r>
        <w:rPr>
          <w:rStyle w:val="Fontepargpadro1"/>
          <w:rFonts w:eastAsia="Arial" w:cs="Calibri" w:ascii="Times New Roman" w:hAnsi="Times New Roman"/>
          <w:b/>
          <w:bCs/>
          <w:iCs/>
          <w:color w:val="000000"/>
          <w:sz w:val="24"/>
          <w:szCs w:val="24"/>
        </w:rPr>
        <w:t xml:space="preserve"> 10 (dez) dias corridos</w:t>
      </w:r>
      <w:r>
        <w:rPr>
          <w:rStyle w:val="Fontepargpadro1"/>
          <w:rFonts w:eastAsia="Arial" w:cs="Calibri" w:ascii="Times New Roman" w:hAnsi="Times New Roman"/>
          <w:b w:val="false"/>
          <w:bCs w:val="false"/>
          <w:iCs/>
          <w:color w:val="000000"/>
          <w:sz w:val="24"/>
          <w:szCs w:val="24"/>
        </w:rPr>
        <w:t>, contados a partir da data da confirmação do recebimento da Nota de Empenho pelo fornecedor em remessa única, no seguinte endereço: POLICLÍNICA NAVAL NOSSA SENHORA DA GLÓRIA (PNNSG), na Rua Conde de Bonfim, 54 – Tijuca. CEP 20.520-053. Rio de Janeiro/ RJ, nos horários das 8:00 às 12:00 e 13:00 às 16:00, de segunda a sexta-feira. Vale ressaltar que a e</w:t>
      </w:r>
      <w:r>
        <w:rPr>
          <w:rStyle w:val="Fontepargpadro1"/>
          <w:rFonts w:eastAsia="Arial" w:cs="Calibri" w:ascii="Times New Roman" w:hAnsi="Times New Roman"/>
          <w:b w:val="false"/>
          <w:bCs w:val="false"/>
          <w:iCs/>
          <w:color w:val="000000"/>
          <w:kern w:val="0"/>
          <w:sz w:val="24"/>
          <w:szCs w:val="24"/>
          <w:lang w:val="pt-BR" w:eastAsia="zh-CN" w:bidi="ar-SA"/>
        </w:rPr>
        <w:t>ntrega</w:t>
      </w:r>
      <w:r>
        <w:rPr>
          <w:rStyle w:val="Fontepargpadro1"/>
          <w:rFonts w:eastAsia="Arial" w:cs="Calibri" w:ascii="Times New Roman" w:hAnsi="Times New Roman"/>
          <w:b w:val="false"/>
          <w:bCs w:val="false"/>
          <w:iCs/>
          <w:color w:val="000000"/>
          <w:sz w:val="24"/>
          <w:szCs w:val="24"/>
        </w:rPr>
        <w:t xml:space="preserve"> deverá respeitar impreterivelmente os dias e/ou horários citados acima, ficando sujeito ao não recebimento dos itens devido à possibilidade de não haver pessoal qualificado para o recebimento e verificação dos itens conforme citados neste Termo de Referência.</w:t>
      </w:r>
    </w:p>
    <w:p>
      <w:pPr>
        <w:pStyle w:val="LONormal"/>
        <w:widowControl/>
        <w:tabs>
          <w:tab w:val="clear" w:pos="298"/>
          <w:tab w:val="left" w:pos="855" w:leader="none"/>
        </w:tabs>
        <w:suppressAutoHyphens w:val="true"/>
        <w:bidi w:val="0"/>
        <w:spacing w:lineRule="auto" w:line="240" w:before="119" w:after="119"/>
        <w:ind w:left="0" w:right="0" w:hanging="0"/>
        <w:jc w:val="both"/>
        <w:textAlignment w:val="baseline"/>
        <w:rPr/>
      </w:pPr>
      <w:r>
        <w:rPr>
          <w:rStyle w:val="Fontepargpadro1"/>
          <w:rFonts w:cs="Calibri" w:ascii="Times New Roman" w:hAnsi="Times New Roman"/>
          <w:b w:val="false"/>
          <w:bCs w:val="false"/>
          <w:sz w:val="24"/>
          <w:szCs w:val="24"/>
        </w:rPr>
        <w:t xml:space="preserve">6.2. </w:t>
      </w:r>
      <w:r>
        <w:rPr>
          <w:rStyle w:val="Fontepargpadro1"/>
          <w:rFonts w:cs="Calibri" w:ascii="Times New Roman" w:hAnsi="Times New Roman"/>
          <w:b/>
          <w:bCs/>
          <w:sz w:val="24"/>
          <w:szCs w:val="24"/>
        </w:rPr>
        <w:tab/>
      </w:r>
      <w:r>
        <w:rPr>
          <w:rFonts w:cs="Calibri" w:ascii="Times New Roman" w:hAnsi="Times New Roman"/>
          <w:color w:val="000000"/>
          <w:sz w:val="24"/>
          <w:szCs w:val="24"/>
        </w:rPr>
        <w:t xml:space="preserve">O material será recebido provisoriamente </w:t>
      </w:r>
      <w:r>
        <w:rPr>
          <w:rFonts w:cs="Arial" w:ascii="Times New Roman" w:hAnsi="Times New Roman"/>
          <w:color w:val="000000"/>
          <w:sz w:val="24"/>
          <w:szCs w:val="24"/>
        </w:rPr>
        <w:t>no prazo de 30 (trinta) dias</w:t>
      </w:r>
      <w:r>
        <w:rPr>
          <w:rFonts w:cs="Calibri" w:ascii="Times New Roman" w:hAnsi="Times New Roman"/>
          <w:color w:val="000000"/>
          <w:sz w:val="24"/>
          <w:szCs w:val="24"/>
        </w:rPr>
        <w:t xml:space="preserve">, pelo </w:t>
      </w:r>
      <w:r>
        <w:rPr>
          <w:rFonts w:cs="Calibri" w:ascii="Times New Roman" w:hAnsi="Times New Roman"/>
          <w:iCs/>
          <w:color w:val="000000"/>
          <w:sz w:val="24"/>
          <w:szCs w:val="24"/>
        </w:rPr>
        <w:t>responsável</w:t>
      </w:r>
      <w:r>
        <w:rPr>
          <w:rFonts w:cs="Calibri" w:ascii="Times New Roman" w:hAnsi="Times New Roman"/>
          <w:color w:val="000000"/>
          <w:sz w:val="24"/>
          <w:szCs w:val="24"/>
        </w:rPr>
        <w:t xml:space="preserve"> pelo acompanhamento e fiscalização do contrato, para efeito de posterior verificação de sua conformidade com as especificações constantes neste Termo de Referência e na proposta.</w:t>
      </w:r>
      <w:r>
        <w:rPr>
          <w:rStyle w:val="Fontepargpadro1"/>
          <w:rFonts w:cs="Calibri" w:ascii="Times New Roman" w:hAnsi="Times New Roman"/>
          <w:sz w:val="24"/>
          <w:szCs w:val="24"/>
        </w:rPr>
        <w:t xml:space="preserve"> </w:t>
      </w:r>
    </w:p>
    <w:p>
      <w:pPr>
        <w:pStyle w:val="LONormal"/>
        <w:widowControl/>
        <w:tabs>
          <w:tab w:val="clear" w:pos="298"/>
          <w:tab w:val="left" w:pos="855" w:leader="none"/>
        </w:tabs>
        <w:suppressAutoHyphens w:val="true"/>
        <w:bidi w:val="0"/>
        <w:spacing w:lineRule="auto" w:line="240" w:before="119" w:after="119"/>
        <w:ind w:left="0" w:right="0" w:hanging="0"/>
        <w:jc w:val="both"/>
        <w:textAlignment w:val="baseline"/>
        <w:rPr/>
      </w:pPr>
      <w:r>
        <w:rPr>
          <w:rStyle w:val="Fontepargpadro1"/>
          <w:rFonts w:cs="Calibri" w:ascii="Times New Roman" w:hAnsi="Times New Roman"/>
          <w:b w:val="false"/>
          <w:bCs w:val="false"/>
          <w:sz w:val="24"/>
          <w:szCs w:val="24"/>
        </w:rPr>
        <w:t>6.</w:t>
      </w:r>
      <w:r>
        <w:rPr>
          <w:rFonts w:cs="Calibri" w:ascii="Times New Roman" w:hAnsi="Times New Roman"/>
          <w:b w:val="false"/>
          <w:bCs w:val="false"/>
          <w:sz w:val="24"/>
          <w:szCs w:val="24"/>
        </w:rPr>
        <w:t>3.</w:t>
      </w:r>
      <w:r>
        <w:rPr>
          <w:rStyle w:val="Fontepargpadro1"/>
          <w:rFonts w:cs="Calibri" w:ascii="Times New Roman" w:hAnsi="Times New Roman"/>
          <w:b w:val="false"/>
          <w:bCs w:val="false"/>
          <w:sz w:val="24"/>
          <w:szCs w:val="24"/>
        </w:rPr>
        <w:t xml:space="preserve"> </w:t>
      </w:r>
      <w:r>
        <w:rPr>
          <w:rStyle w:val="Fontepargpadro1"/>
          <w:rFonts w:cs="Calibri" w:ascii="Times New Roman" w:hAnsi="Times New Roman"/>
          <w:sz w:val="24"/>
          <w:szCs w:val="24"/>
        </w:rPr>
        <w:tab/>
        <w:t xml:space="preserve">Os materiais poderão ser rejeitados, no todo ou em parte, quando em desacordo com as especificações constantes no descritivo deste Termo de Referência e na proposta, devendo ser </w:t>
      </w:r>
      <w:r>
        <w:rPr>
          <w:rStyle w:val="Fontepargpadro1"/>
          <w:rFonts w:eastAsia="Arial" w:cs="Calibri" w:ascii="Times New Roman" w:hAnsi="Times New Roman"/>
          <w:color w:val="000000"/>
          <w:kern w:val="0"/>
          <w:sz w:val="24"/>
          <w:szCs w:val="24"/>
          <w:lang w:val="pt-BR" w:eastAsia="zh-CN" w:bidi="ar-SA"/>
        </w:rPr>
        <w:t>refeitos</w:t>
      </w:r>
      <w:r>
        <w:rPr>
          <w:rStyle w:val="Fontepargpadro1"/>
          <w:rFonts w:cs="Calibri" w:ascii="Times New Roman" w:hAnsi="Times New Roman"/>
          <w:sz w:val="24"/>
          <w:szCs w:val="24"/>
        </w:rPr>
        <w:t xml:space="preserve"> no prazo de 10 (dez) dias, a contar da notificação da contratada, às suas custas, sem prejuízo da aplicação das penalidades.</w:t>
      </w:r>
    </w:p>
    <w:p>
      <w:pPr>
        <w:pStyle w:val="LONormal"/>
        <w:widowControl/>
        <w:suppressAutoHyphens w:val="true"/>
        <w:bidi w:val="0"/>
        <w:spacing w:lineRule="auto" w:line="240" w:before="119" w:after="119"/>
        <w:ind w:left="850" w:right="0" w:hanging="0"/>
        <w:jc w:val="both"/>
        <w:textAlignment w:val="baseline"/>
        <w:rPr/>
      </w:pPr>
      <w:r>
        <w:rPr>
          <w:rStyle w:val="Fontepargpadro1"/>
          <w:rFonts w:eastAsia="MS Mincho" w:cs="Calibri" w:ascii="Times New Roman" w:hAnsi="Times New Roman"/>
          <w:b w:val="false"/>
          <w:bCs w:val="false"/>
          <w:color w:val="000000"/>
          <w:sz w:val="24"/>
          <w:szCs w:val="24"/>
          <w:lang w:eastAsia="en-US"/>
        </w:rPr>
        <w:t>6.3.1.</w:t>
      </w:r>
      <w:r>
        <w:rPr>
          <w:rStyle w:val="Fontepargpadro1"/>
          <w:rFonts w:eastAsia="MS Mincho" w:cs="Calibri" w:ascii="Times New Roman" w:hAnsi="Times New Roman"/>
          <w:b/>
          <w:bCs/>
          <w:color w:val="000000"/>
          <w:sz w:val="24"/>
          <w:szCs w:val="24"/>
          <w:lang w:eastAsia="en-US"/>
        </w:rPr>
        <w:t xml:space="preserve"> </w:t>
      </w:r>
      <w:r>
        <w:rPr>
          <w:rStyle w:val="Fontepargpadro1"/>
          <w:rFonts w:eastAsia="MS Mincho" w:cs="Calibri" w:ascii="Times New Roman" w:hAnsi="Times New Roman"/>
          <w:color w:val="000000"/>
          <w:sz w:val="24"/>
          <w:szCs w:val="24"/>
          <w:lang w:eastAsia="en-US"/>
        </w:rPr>
        <w:t>Os materiais deverão estar de acordo com as exigências do Código de Defesa do Consumidor, especialmente no tocante: (i) à proteção, à saúde e à segurança, que constam na Seção I do Capítulo IV; e (ii) aos vícios de qualidade ou quantidade que os tornem impróprios ou inadequados à utilização a que se</w:t>
      </w:r>
      <w:r>
        <w:rPr>
          <w:rStyle w:val="Fontepargpadro1"/>
          <w:rFonts w:eastAsia="MS Mincho" w:cs="Calibri" w:ascii="Times New Roman" w:hAnsi="Times New Roman"/>
          <w:b/>
          <w:bCs/>
          <w:color w:val="000000"/>
          <w:sz w:val="24"/>
          <w:szCs w:val="24"/>
          <w:lang w:eastAsia="en-US"/>
        </w:rPr>
        <w:t xml:space="preserve"> </w:t>
      </w:r>
      <w:r>
        <w:rPr>
          <w:rStyle w:val="Fontepargpadro1"/>
          <w:rFonts w:eastAsia="MS Mincho" w:cs="Calibri" w:ascii="Times New Roman" w:hAnsi="Times New Roman"/>
          <w:color w:val="000000"/>
          <w:sz w:val="24"/>
          <w:szCs w:val="24"/>
          <w:lang w:eastAsia="en-US"/>
        </w:rPr>
        <w:t>destinam, ou lhes diminuam o valor, conforme o artigo 18 e seguintes do referido diploma legal.</w:t>
      </w:r>
    </w:p>
    <w:p>
      <w:pPr>
        <w:pStyle w:val="Standard"/>
        <w:widowControl w:val="false"/>
        <w:tabs>
          <w:tab w:val="clear" w:pos="298"/>
          <w:tab w:val="left" w:pos="855" w:leader="none"/>
        </w:tabs>
        <w:suppressAutoHyphens w:val="true"/>
        <w:bidi w:val="0"/>
        <w:spacing w:lineRule="auto" w:line="240" w:before="119" w:after="119"/>
        <w:ind w:left="0" w:right="0" w:hanging="0"/>
        <w:jc w:val="both"/>
        <w:textAlignment w:val="baseline"/>
        <w:rPr>
          <w:rFonts w:ascii="Times New Roman" w:hAnsi="Times New Roman"/>
          <w:sz w:val="24"/>
          <w:szCs w:val="24"/>
        </w:rPr>
      </w:pPr>
      <w:r>
        <w:rPr>
          <w:rFonts w:cs="Arial"/>
          <w:b w:val="false"/>
          <w:bCs w:val="false"/>
          <w:color w:val="000000"/>
          <w:sz w:val="24"/>
          <w:szCs w:val="24"/>
        </w:rPr>
        <w:t xml:space="preserve">6.4. </w:t>
      </w:r>
      <w:r>
        <w:rPr>
          <w:rFonts w:cs="Arial"/>
          <w:b/>
          <w:bCs/>
          <w:color w:val="000000"/>
          <w:sz w:val="24"/>
          <w:szCs w:val="24"/>
        </w:rPr>
        <w:tab/>
      </w:r>
      <w:r>
        <w:rPr>
          <w:rFonts w:cs="Arial"/>
          <w:color w:val="000000"/>
          <w:sz w:val="24"/>
          <w:szCs w:val="24"/>
        </w:rPr>
        <w:t>O material será recebido de forma definitiva no prazo de 30 (trinta) dias, contados do recebimento provisório e da instalação dos equipamentos, após a verificação da qualidade e quantidade do material e consequente aceitação mediante termo circunstanciado.</w:t>
      </w:r>
    </w:p>
    <w:p>
      <w:pPr>
        <w:pStyle w:val="Standard"/>
        <w:widowControl w:val="false"/>
        <w:suppressAutoHyphens w:val="true"/>
        <w:bidi w:val="0"/>
        <w:spacing w:lineRule="auto" w:line="240" w:before="119" w:after="119"/>
        <w:ind w:left="850" w:right="0" w:hanging="0"/>
        <w:jc w:val="both"/>
        <w:textAlignment w:val="baseline"/>
        <w:rPr>
          <w:rFonts w:ascii="Times New Roman" w:hAnsi="Times New Roman"/>
          <w:sz w:val="24"/>
          <w:szCs w:val="24"/>
        </w:rPr>
      </w:pPr>
      <w:r>
        <w:rPr>
          <w:rFonts w:cs="Arial"/>
          <w:b w:val="false"/>
          <w:bCs w:val="false"/>
          <w:color w:val="000000"/>
          <w:sz w:val="24"/>
          <w:szCs w:val="24"/>
          <w:lang w:eastAsia="en-US"/>
        </w:rPr>
        <w:t>6.4.1.</w:t>
      </w:r>
      <w:r>
        <w:rPr>
          <w:rFonts w:cs="Arial"/>
          <w:b/>
          <w:bCs/>
          <w:color w:val="000000"/>
          <w:sz w:val="24"/>
          <w:szCs w:val="24"/>
          <w:lang w:eastAsia="en-US"/>
        </w:rPr>
        <w:t xml:space="preserve"> </w:t>
      </w:r>
      <w:r>
        <w:rPr>
          <w:rFonts w:cs="Arial"/>
          <w:color w:val="000000"/>
          <w:sz w:val="24"/>
          <w:szCs w:val="24"/>
          <w:lang w:eastAsia="en-US"/>
        </w:rPr>
        <w:t>Na hipótese de a verificação a que se refere o subitem anterior não ser procedida dentro do prazo fixado, reputar-se-á como realizada, consumando-se o recebimento definitivo no dia do esgotamento do prazo.</w:t>
      </w:r>
    </w:p>
    <w:p>
      <w:pPr>
        <w:pStyle w:val="Standard"/>
        <w:widowControl w:val="false"/>
        <w:suppressAutoHyphens w:val="true"/>
        <w:bidi w:val="0"/>
        <w:spacing w:lineRule="auto" w:line="240" w:before="119" w:after="119"/>
        <w:ind w:left="850" w:right="0" w:hanging="0"/>
        <w:jc w:val="both"/>
        <w:textAlignment w:val="baseline"/>
        <w:rPr/>
      </w:pPr>
      <w:r>
        <w:rPr>
          <w:rFonts w:cs="Arial"/>
          <w:b w:val="false"/>
          <w:bCs w:val="false"/>
          <w:color w:val="000000"/>
          <w:sz w:val="24"/>
          <w:szCs w:val="24"/>
          <w:lang w:eastAsia="en-US"/>
        </w:rPr>
        <w:t>6.4.2.</w:t>
      </w:r>
      <w:r>
        <w:rPr>
          <w:rFonts w:cs="Arial"/>
          <w:b/>
          <w:bCs/>
          <w:color w:val="000000"/>
          <w:sz w:val="24"/>
          <w:szCs w:val="24"/>
          <w:lang w:eastAsia="en-US"/>
        </w:rPr>
        <w:t xml:space="preserve"> </w:t>
      </w:r>
      <w:r>
        <w:rPr>
          <w:rStyle w:val="Fontepargpadro1"/>
          <w:rFonts w:cs="Calibri"/>
          <w:b w:val="false"/>
          <w:bCs w:val="false"/>
          <w:color w:val="000000"/>
          <w:sz w:val="24"/>
          <w:szCs w:val="24"/>
          <w:lang w:eastAsia="en-US"/>
        </w:rPr>
        <w:t xml:space="preserve"> </w:t>
      </w:r>
      <w:r>
        <w:rPr>
          <w:rStyle w:val="Fontepargpadro1"/>
          <w:rFonts w:cs="Calibri"/>
          <w:color w:val="000000"/>
          <w:sz w:val="24"/>
          <w:szCs w:val="24"/>
          <w:lang w:eastAsia="en-US"/>
        </w:rPr>
        <w:t>O material, mesmo que tenha sido entregue e aceito, fica sujeito à alteração, devendo ser refeito, desde que comprovada a preexistência de defeitos, má fé do fornecedor ou qualquer execução incorreta que comprometa o funcionamento adequado do equipamento.</w:t>
      </w:r>
    </w:p>
    <w:p>
      <w:pPr>
        <w:pStyle w:val="Standard"/>
        <w:widowControl w:val="false"/>
        <w:tabs>
          <w:tab w:val="clear" w:pos="298"/>
          <w:tab w:val="left" w:pos="855" w:leader="none"/>
        </w:tabs>
        <w:suppressAutoHyphens w:val="true"/>
        <w:bidi w:val="0"/>
        <w:spacing w:lineRule="auto" w:line="240" w:before="119" w:after="119"/>
        <w:ind w:left="0" w:right="0" w:hanging="0"/>
        <w:jc w:val="both"/>
        <w:textAlignment w:val="baseline"/>
        <w:rPr>
          <w:rFonts w:ascii="Calibri" w:hAnsi="Calibri"/>
        </w:rPr>
      </w:pPr>
      <w:r>
        <w:rPr>
          <w:rStyle w:val="Fontepargpadro1"/>
          <w:rFonts w:cs="Arial"/>
          <w:b w:val="false"/>
          <w:bCs w:val="false"/>
          <w:color w:val="000000"/>
          <w:sz w:val="24"/>
          <w:szCs w:val="24"/>
          <w:lang w:eastAsia="en-US"/>
        </w:rPr>
        <w:t>6.5</w:t>
      </w:r>
      <w:r>
        <w:rPr>
          <w:rStyle w:val="Fontepargpadro1"/>
          <w:rFonts w:cs="Arial"/>
          <w:b/>
          <w:bCs/>
          <w:color w:val="000000"/>
          <w:sz w:val="24"/>
          <w:szCs w:val="24"/>
          <w:lang w:eastAsia="en-US"/>
        </w:rPr>
        <w:tab/>
      </w:r>
      <w:r>
        <w:rPr>
          <w:rStyle w:val="Fontepargpadro1"/>
          <w:rFonts w:cs="Arial"/>
          <w:color w:val="000000"/>
          <w:sz w:val="24"/>
          <w:szCs w:val="24"/>
          <w:lang w:eastAsia="en-US"/>
        </w:rPr>
        <w:t>O recebimento provisório ou definitivo do objeto não exclui a responsabilidade da contratada pelos prejuízos resultantes da incorreta execução do contrato.</w:t>
      </w:r>
    </w:p>
    <w:p>
      <w:pPr>
        <w:pStyle w:val="LONormal"/>
        <w:tabs>
          <w:tab w:val="clear" w:pos="298"/>
          <w:tab w:val="left" w:pos="855" w:leader="none"/>
        </w:tabs>
        <w:spacing w:lineRule="auto" w:line="240" w:before="119" w:after="119"/>
        <w:ind w:left="0" w:right="0" w:hanging="0"/>
        <w:jc w:val="both"/>
        <w:rPr/>
      </w:pPr>
      <w:r>
        <w:rPr>
          <w:rStyle w:val="Fontepargpadro1"/>
          <w:rFonts w:cs="Calibri" w:ascii="Times New Roman" w:hAnsi="Times New Roman"/>
          <w:b/>
          <w:bCs/>
          <w:sz w:val="24"/>
          <w:szCs w:val="24"/>
          <w:lang w:eastAsia="en-US"/>
        </w:rPr>
        <w:t xml:space="preserve">7. </w:t>
        <w:tab/>
        <w:t>OBRIGAÇÕES DA CONTRATANTE</w:t>
      </w:r>
    </w:p>
    <w:p>
      <w:pPr>
        <w:pStyle w:val="Standard"/>
        <w:widowControl w:val="false"/>
        <w:tabs>
          <w:tab w:val="clear" w:pos="298"/>
          <w:tab w:val="left" w:pos="855" w:leader="none"/>
        </w:tabs>
        <w:suppressAutoHyphens w:val="true"/>
        <w:bidi w:val="0"/>
        <w:spacing w:lineRule="auto" w:line="240" w:before="119" w:after="119"/>
        <w:ind w:left="0" w:right="0" w:hanging="0"/>
        <w:jc w:val="both"/>
        <w:textAlignment w:val="baseline"/>
        <w:rPr>
          <w:rFonts w:ascii="Times New Roman" w:hAnsi="Times New Roman"/>
          <w:sz w:val="24"/>
          <w:szCs w:val="24"/>
        </w:rPr>
      </w:pPr>
      <w:r>
        <w:rPr>
          <w:rFonts w:cs="Arial"/>
          <w:b w:val="false"/>
          <w:bCs w:val="false"/>
          <w:sz w:val="24"/>
          <w:szCs w:val="24"/>
        </w:rPr>
        <w:t xml:space="preserve">7.1 </w:t>
      </w:r>
      <w:r>
        <w:rPr>
          <w:rFonts w:cs="Arial"/>
          <w:b/>
          <w:bCs/>
          <w:sz w:val="24"/>
          <w:szCs w:val="24"/>
        </w:rPr>
        <w:tab/>
      </w:r>
      <w:r>
        <w:rPr>
          <w:rFonts w:cs="Arial"/>
          <w:sz w:val="24"/>
          <w:szCs w:val="24"/>
        </w:rPr>
        <w:t>São obrigações da Contratante:</w:t>
      </w:r>
    </w:p>
    <w:p>
      <w:pPr>
        <w:pStyle w:val="Standard"/>
        <w:widowControl w:val="false"/>
        <w:suppressAutoHyphens w:val="true"/>
        <w:bidi w:val="0"/>
        <w:spacing w:lineRule="auto" w:line="240" w:before="119" w:after="119"/>
        <w:ind w:left="850" w:right="0" w:hanging="0"/>
        <w:jc w:val="both"/>
        <w:textAlignment w:val="baseline"/>
        <w:rPr>
          <w:rFonts w:ascii="Times New Roman" w:hAnsi="Times New Roman"/>
          <w:sz w:val="24"/>
          <w:szCs w:val="24"/>
        </w:rPr>
      </w:pPr>
      <w:r>
        <w:rPr>
          <w:rFonts w:cs="Arial"/>
          <w:b w:val="false"/>
          <w:bCs w:val="false"/>
          <w:sz w:val="24"/>
          <w:szCs w:val="24"/>
        </w:rPr>
        <w:t>7.1.1</w:t>
      </w:r>
      <w:r>
        <w:rPr>
          <w:rFonts w:cs="Arial"/>
          <w:b/>
          <w:bCs/>
          <w:sz w:val="24"/>
          <w:szCs w:val="24"/>
        </w:rPr>
        <w:tab/>
      </w:r>
      <w:r>
        <w:rPr>
          <w:rFonts w:cs="Arial"/>
          <w:b w:val="false"/>
          <w:bCs w:val="false"/>
          <w:sz w:val="24"/>
          <w:szCs w:val="24"/>
        </w:rPr>
        <w:t>R</w:t>
      </w:r>
      <w:r>
        <w:rPr>
          <w:rFonts w:cs="Arial"/>
          <w:sz w:val="24"/>
          <w:szCs w:val="24"/>
        </w:rPr>
        <w:t>eceber o objeto no prazo e condições estabelecidas no Edital e seus anexos;</w:t>
      </w:r>
    </w:p>
    <w:p>
      <w:pPr>
        <w:pStyle w:val="Standard"/>
        <w:widowControl w:val="false"/>
        <w:suppressAutoHyphens w:val="true"/>
        <w:bidi w:val="0"/>
        <w:spacing w:lineRule="auto" w:line="240" w:before="119" w:after="119"/>
        <w:ind w:left="850" w:right="0" w:hanging="0"/>
        <w:jc w:val="both"/>
        <w:textAlignment w:val="baseline"/>
        <w:rPr>
          <w:rFonts w:ascii="Times New Roman" w:hAnsi="Times New Roman"/>
          <w:sz w:val="24"/>
          <w:szCs w:val="24"/>
        </w:rPr>
      </w:pPr>
      <w:r>
        <w:rPr>
          <w:rFonts w:cs="Arial"/>
          <w:b w:val="false"/>
          <w:bCs w:val="false"/>
          <w:sz w:val="24"/>
          <w:szCs w:val="24"/>
          <w:lang w:eastAsia="en-US"/>
        </w:rPr>
        <w:t>7.1.2</w:t>
        <w:tab/>
        <w:t>V</w:t>
      </w:r>
      <w:r>
        <w:rPr>
          <w:rFonts w:cs="Arial"/>
          <w:sz w:val="24"/>
          <w:szCs w:val="24"/>
          <w:lang w:eastAsia="en-US"/>
        </w:rPr>
        <w:t>erificar minuciosamente, no prazo fixado, a conformidade dos bens recebidos provisoriamente com as especificações constantes do Edital e da proposta, para fins de aceitação e recebimento definitivo;</w:t>
      </w:r>
    </w:p>
    <w:p>
      <w:pPr>
        <w:pStyle w:val="Standard"/>
        <w:widowControl w:val="false"/>
        <w:suppressAutoHyphens w:val="true"/>
        <w:bidi w:val="0"/>
        <w:spacing w:lineRule="auto" w:line="240" w:before="119" w:after="119"/>
        <w:ind w:left="850" w:right="0" w:hanging="0"/>
        <w:jc w:val="both"/>
        <w:textAlignment w:val="baseline"/>
        <w:rPr>
          <w:rFonts w:ascii="Times New Roman" w:hAnsi="Times New Roman"/>
          <w:sz w:val="24"/>
          <w:szCs w:val="24"/>
        </w:rPr>
      </w:pPr>
      <w:r>
        <w:rPr>
          <w:rFonts w:cs="Arial"/>
          <w:b w:val="false"/>
          <w:bCs w:val="false"/>
          <w:sz w:val="24"/>
          <w:szCs w:val="24"/>
        </w:rPr>
        <w:t>7.1.3</w:t>
        <w:tab/>
        <w:t>C</w:t>
      </w:r>
      <w:r>
        <w:rPr>
          <w:rFonts w:cs="Arial"/>
          <w:sz w:val="24"/>
          <w:szCs w:val="24"/>
        </w:rPr>
        <w:t>omunicar à Contratada, por escrito, sobre imperfeições, falhas ou irregularidades verificadas no objeto fornecido, para que seja substituído, reparado ou corrigido;</w:t>
      </w:r>
    </w:p>
    <w:p>
      <w:pPr>
        <w:pStyle w:val="Standard"/>
        <w:widowControl w:val="false"/>
        <w:suppressAutoHyphens w:val="true"/>
        <w:bidi w:val="0"/>
        <w:spacing w:lineRule="auto" w:line="240" w:before="119" w:after="119"/>
        <w:ind w:left="850" w:right="0" w:hanging="0"/>
        <w:jc w:val="both"/>
        <w:textAlignment w:val="baseline"/>
        <w:rPr>
          <w:rFonts w:ascii="Times New Roman" w:hAnsi="Times New Roman"/>
          <w:sz w:val="24"/>
          <w:szCs w:val="24"/>
        </w:rPr>
      </w:pPr>
      <w:r>
        <w:rPr>
          <w:rFonts w:cs="Arial"/>
          <w:b w:val="false"/>
          <w:bCs w:val="false"/>
          <w:sz w:val="24"/>
          <w:szCs w:val="24"/>
          <w:lang w:eastAsia="en-US"/>
        </w:rPr>
        <w:t>7.1.4</w:t>
        <w:tab/>
        <w:t>A</w:t>
      </w:r>
      <w:r>
        <w:rPr>
          <w:rFonts w:cs="Arial"/>
          <w:sz w:val="24"/>
          <w:szCs w:val="24"/>
          <w:lang w:eastAsia="en-US"/>
        </w:rPr>
        <w:t>companhar e fiscalizar o cumprimento das obrigações da Contratada, através de comissão/servidor especialmente designado;</w:t>
      </w:r>
    </w:p>
    <w:p>
      <w:pPr>
        <w:pStyle w:val="Standard"/>
        <w:widowControl w:val="false"/>
        <w:suppressAutoHyphens w:val="true"/>
        <w:bidi w:val="0"/>
        <w:spacing w:lineRule="auto" w:line="240" w:before="119" w:after="119"/>
        <w:ind w:left="850" w:right="0" w:hanging="0"/>
        <w:jc w:val="both"/>
        <w:textAlignment w:val="baseline"/>
        <w:rPr>
          <w:rFonts w:ascii="Times New Roman" w:hAnsi="Times New Roman"/>
          <w:sz w:val="24"/>
          <w:szCs w:val="24"/>
        </w:rPr>
      </w:pPr>
      <w:r>
        <w:rPr>
          <w:rFonts w:cs="Arial"/>
          <w:b w:val="false"/>
          <w:bCs w:val="false"/>
          <w:sz w:val="24"/>
          <w:szCs w:val="24"/>
        </w:rPr>
        <w:t>7.1.5</w:t>
        <w:tab/>
        <w:t>E</w:t>
      </w:r>
      <w:r>
        <w:rPr>
          <w:rFonts w:cs="Arial"/>
          <w:sz w:val="24"/>
          <w:szCs w:val="24"/>
        </w:rPr>
        <w:t>fetuar o pagamento à Contratada no valor correspondente ao fornecimento do objeto, no prazo e forma estabelecidos no Edital e seus anexos.</w:t>
      </w:r>
    </w:p>
    <w:p>
      <w:pPr>
        <w:pStyle w:val="Standard"/>
        <w:widowControl w:val="false"/>
        <w:tabs>
          <w:tab w:val="clear" w:pos="298"/>
          <w:tab w:val="left" w:pos="855" w:leader="none"/>
        </w:tabs>
        <w:suppressAutoHyphens w:val="true"/>
        <w:bidi w:val="0"/>
        <w:spacing w:lineRule="auto" w:line="240" w:before="119" w:after="119"/>
        <w:ind w:left="0" w:right="0" w:hanging="0"/>
        <w:jc w:val="both"/>
        <w:textAlignment w:val="baseline"/>
        <w:rPr>
          <w:rFonts w:ascii="Times New Roman" w:hAnsi="Times New Roman"/>
          <w:sz w:val="24"/>
          <w:szCs w:val="24"/>
        </w:rPr>
      </w:pPr>
      <w:r>
        <w:rPr>
          <w:rFonts w:eastAsia="Arial" w:cs="Arial"/>
          <w:b w:val="false"/>
          <w:bCs w:val="false"/>
          <w:color w:val="000000"/>
          <w:sz w:val="24"/>
          <w:szCs w:val="24"/>
        </w:rPr>
        <w:t xml:space="preserve">7.2 </w:t>
      </w:r>
      <w:r>
        <w:rPr>
          <w:rFonts w:eastAsia="Arial" w:cs="Arial"/>
          <w:b/>
          <w:color w:val="000000"/>
          <w:sz w:val="24"/>
          <w:szCs w:val="24"/>
        </w:rPr>
        <w:tab/>
      </w:r>
      <w:r>
        <w:rPr>
          <w:rFonts w:cs="Arial"/>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Standard"/>
        <w:widowControl w:val="false"/>
        <w:tabs>
          <w:tab w:val="clear" w:pos="298"/>
          <w:tab w:val="left" w:pos="855" w:leader="none"/>
        </w:tabs>
        <w:suppressAutoHyphens w:val="true"/>
        <w:bidi w:val="0"/>
        <w:spacing w:lineRule="auto" w:line="240" w:before="119" w:after="119"/>
        <w:ind w:left="0" w:right="0" w:hanging="0"/>
        <w:jc w:val="both"/>
        <w:textAlignment w:val="baseline"/>
        <w:rPr/>
      </w:pPr>
      <w:r>
        <w:rPr>
          <w:rStyle w:val="Fontepargpadro1"/>
          <w:rFonts w:cs="Calibri"/>
          <w:b/>
          <w:bCs/>
          <w:sz w:val="24"/>
          <w:szCs w:val="24"/>
        </w:rPr>
        <w:t xml:space="preserve">8.  </w:t>
        <w:tab/>
        <w:t>OBRIGAÇÕES DA CONTRATADA</w:t>
      </w:r>
    </w:p>
    <w:p>
      <w:pPr>
        <w:pStyle w:val="LONormal"/>
        <w:widowControl w:val="false"/>
        <w:tabs>
          <w:tab w:val="clear" w:pos="298"/>
          <w:tab w:val="left" w:pos="855" w:leader="none"/>
        </w:tabs>
        <w:suppressAutoHyphens w:val="true"/>
        <w:bidi w:val="0"/>
        <w:spacing w:lineRule="auto" w:line="240" w:before="119" w:after="119"/>
        <w:ind w:left="0" w:right="0" w:hanging="0"/>
        <w:jc w:val="both"/>
        <w:textAlignment w:val="baseline"/>
        <w:rPr/>
      </w:pPr>
      <w:r>
        <w:rPr>
          <w:rStyle w:val="Fontepargpadro1"/>
          <w:rFonts w:cs="Calibri" w:ascii="Times New Roman" w:hAnsi="Times New Roman"/>
          <w:b w:val="false"/>
          <w:bCs w:val="false"/>
          <w:i w:val="false"/>
          <w:iCs w:val="false"/>
          <w:sz w:val="24"/>
          <w:szCs w:val="24"/>
        </w:rPr>
        <w:t xml:space="preserve">8.1 </w:t>
      </w:r>
      <w:r>
        <w:rPr>
          <w:rStyle w:val="Fontepargpadro1"/>
          <w:rFonts w:cs="Calibri" w:ascii="Times New Roman" w:hAnsi="Times New Roman"/>
          <w:sz w:val="24"/>
          <w:szCs w:val="24"/>
        </w:rPr>
        <w:t xml:space="preserve"> </w:t>
        <w:tab/>
        <w:t>A Contratada deve cumprir todas as obrigações constantes no Edital, seus anexos e sua proposta, assumindo como exclusivamente seus os riscos e as despesas decorrentes da boa e perfeita execução do objeto e, ainda:</w:t>
      </w:r>
    </w:p>
    <w:p>
      <w:pPr>
        <w:pStyle w:val="LONormal"/>
        <w:widowControl/>
        <w:tabs>
          <w:tab w:val="clear" w:pos="298"/>
          <w:tab w:val="left" w:pos="1695" w:leader="none"/>
        </w:tabs>
        <w:suppressAutoHyphens w:val="true"/>
        <w:bidi w:val="0"/>
        <w:spacing w:lineRule="auto" w:line="240" w:before="119" w:after="119"/>
        <w:ind w:left="850" w:right="0" w:hanging="0"/>
        <w:jc w:val="both"/>
        <w:textAlignment w:val="baseline"/>
        <w:rPr/>
      </w:pPr>
      <w:r>
        <w:rPr>
          <w:rStyle w:val="Fontepargpadro1"/>
          <w:rFonts w:cs="Calibri" w:ascii="Times New Roman" w:hAnsi="Times New Roman"/>
          <w:b w:val="false"/>
          <w:bCs w:val="false"/>
          <w:sz w:val="24"/>
          <w:szCs w:val="24"/>
        </w:rPr>
        <w:t>8.1.1</w:t>
        <w:tab/>
        <w:t>E</w:t>
      </w:r>
      <w:r>
        <w:rPr>
          <w:rStyle w:val="Fontepargpadro1"/>
          <w:rFonts w:cs="Calibri" w:ascii="Times New Roman" w:hAnsi="Times New Roman"/>
          <w:sz w:val="24"/>
          <w:szCs w:val="24"/>
        </w:rPr>
        <w:t>fetuar a entrega do material em perfeitas condições, conforme especificações, prazo e local constantes no Edital e seus anexos, acompanhado da respectiva nota fiscal, na qual constarão as indicações referentes a: serviço, fabricante, modelo, procedência, prazo de garantia ou validade,  telefones e e-mails para contato;</w:t>
      </w:r>
    </w:p>
    <w:p>
      <w:pPr>
        <w:pStyle w:val="LONormal"/>
        <w:widowControl/>
        <w:tabs>
          <w:tab w:val="clear" w:pos="298"/>
          <w:tab w:val="left" w:pos="1695" w:leader="none"/>
        </w:tabs>
        <w:suppressAutoHyphens w:val="true"/>
        <w:bidi w:val="0"/>
        <w:spacing w:lineRule="auto" w:line="240" w:before="119" w:after="119"/>
        <w:ind w:left="850" w:right="0" w:hanging="0"/>
        <w:jc w:val="both"/>
        <w:textAlignment w:val="baseline"/>
        <w:rPr>
          <w:rFonts w:ascii="Times New Roman" w:hAnsi="Times New Roman"/>
          <w:sz w:val="24"/>
          <w:szCs w:val="24"/>
        </w:rPr>
      </w:pPr>
      <w:r>
        <w:rPr>
          <w:rFonts w:cs="Calibri" w:ascii="Times New Roman" w:hAnsi="Times New Roman"/>
          <w:b w:val="false"/>
          <w:bCs w:val="false"/>
          <w:sz w:val="24"/>
          <w:szCs w:val="24"/>
        </w:rPr>
        <w:t>8.1.2</w:t>
      </w:r>
      <w:r>
        <w:rPr>
          <w:rFonts w:cs="Calibri" w:ascii="Times New Roman" w:hAnsi="Times New Roman"/>
          <w:b/>
          <w:bCs/>
          <w:sz w:val="24"/>
          <w:szCs w:val="24"/>
        </w:rPr>
        <w:t xml:space="preserve"> </w:t>
      </w:r>
      <w:r>
        <w:rPr>
          <w:rFonts w:cs="Calibri" w:ascii="Times New Roman" w:hAnsi="Times New Roman"/>
          <w:sz w:val="24"/>
          <w:szCs w:val="24"/>
        </w:rPr>
        <w:t xml:space="preserve"> </w:t>
        <w:tab/>
        <w:t>Responsabilizar-se pelos vícios e danos decorrentes do objeto, de acordo com os artigos 12, 13 e 17 a 27, do Código de Defesa do Consumidor (Lei nº 8.078, de 1990);</w:t>
      </w:r>
    </w:p>
    <w:p>
      <w:pPr>
        <w:pStyle w:val="LONormal"/>
        <w:widowControl/>
        <w:tabs>
          <w:tab w:val="clear" w:pos="298"/>
          <w:tab w:val="left" w:pos="1695" w:leader="none"/>
        </w:tabs>
        <w:suppressAutoHyphens w:val="true"/>
        <w:bidi w:val="0"/>
        <w:spacing w:lineRule="auto" w:line="240" w:before="119" w:after="119"/>
        <w:ind w:left="850" w:right="0" w:hanging="0"/>
        <w:jc w:val="both"/>
        <w:textAlignment w:val="baseline"/>
        <w:rPr>
          <w:rFonts w:ascii="Times New Roman" w:hAnsi="Times New Roman"/>
          <w:sz w:val="24"/>
          <w:szCs w:val="24"/>
        </w:rPr>
      </w:pPr>
      <w:r>
        <w:rPr>
          <w:rFonts w:cs="Calibri" w:ascii="Times New Roman" w:hAnsi="Times New Roman"/>
          <w:b w:val="false"/>
          <w:bCs w:val="false"/>
          <w:sz w:val="24"/>
          <w:szCs w:val="24"/>
        </w:rPr>
        <w:t xml:space="preserve">8.1.3 </w:t>
        <w:tab/>
        <w:t>S</w:t>
      </w:r>
      <w:r>
        <w:rPr>
          <w:rFonts w:cs="Calibri" w:ascii="Times New Roman" w:hAnsi="Times New Roman"/>
          <w:sz w:val="24"/>
          <w:szCs w:val="24"/>
        </w:rPr>
        <w:t>ubstituir, reparar ou corrigir, às suas expensas, no prazo fixado neste Termo de Referência, o objeto com avarias ou defeitos;</w:t>
      </w:r>
    </w:p>
    <w:p>
      <w:pPr>
        <w:pStyle w:val="LONormal"/>
        <w:widowControl/>
        <w:tabs>
          <w:tab w:val="clear" w:pos="298"/>
          <w:tab w:val="left" w:pos="1680" w:leader="none"/>
        </w:tabs>
        <w:suppressAutoHyphens w:val="true"/>
        <w:bidi w:val="0"/>
        <w:spacing w:lineRule="auto" w:line="240" w:before="119" w:after="119"/>
        <w:ind w:left="850" w:right="0" w:hanging="0"/>
        <w:jc w:val="both"/>
        <w:textAlignment w:val="baseline"/>
        <w:rPr>
          <w:rFonts w:ascii="Times New Roman" w:hAnsi="Times New Roman"/>
          <w:sz w:val="24"/>
          <w:szCs w:val="24"/>
        </w:rPr>
      </w:pPr>
      <w:r>
        <w:rPr>
          <w:rFonts w:cs="Calibri" w:ascii="Times New Roman" w:hAnsi="Times New Roman"/>
          <w:b w:val="false"/>
          <w:bCs w:val="false"/>
          <w:sz w:val="24"/>
          <w:szCs w:val="24"/>
        </w:rPr>
        <w:t>8.1.4</w:t>
      </w:r>
      <w:r>
        <w:rPr>
          <w:rFonts w:cs="Calibri" w:ascii="Times New Roman" w:hAnsi="Times New Roman"/>
          <w:b/>
          <w:bCs/>
          <w:sz w:val="24"/>
          <w:szCs w:val="24"/>
        </w:rPr>
        <w:t xml:space="preserve">  </w:t>
        <w:tab/>
      </w:r>
      <w:r>
        <w:rPr>
          <w:rFonts w:cs="Calibri" w:ascii="Times New Roman" w:hAnsi="Times New Roman"/>
          <w:b w:val="false"/>
          <w:bCs w:val="false"/>
          <w:sz w:val="24"/>
          <w:szCs w:val="24"/>
        </w:rPr>
        <w:t>C</w:t>
      </w:r>
      <w:r>
        <w:rPr>
          <w:rFonts w:cs="Calibri" w:ascii="Times New Roman" w:hAnsi="Times New Roman"/>
          <w:sz w:val="24"/>
          <w:szCs w:val="24"/>
        </w:rPr>
        <w:t>omunicar à Contratante, no prazo máximo de 24 (vinte e quatro) horas que antecede a data da entrega, os motivos que impossibilitem o cumprimento do prazo previsto, com a devida comprovação;</w:t>
      </w:r>
    </w:p>
    <w:p>
      <w:pPr>
        <w:pStyle w:val="LONormal"/>
        <w:widowControl/>
        <w:tabs>
          <w:tab w:val="clear" w:pos="298"/>
          <w:tab w:val="left" w:pos="1695" w:leader="none"/>
        </w:tabs>
        <w:suppressAutoHyphens w:val="true"/>
        <w:bidi w:val="0"/>
        <w:spacing w:lineRule="auto" w:line="240" w:before="119" w:after="119"/>
        <w:ind w:left="850" w:right="0" w:hanging="0"/>
        <w:jc w:val="both"/>
        <w:textAlignment w:val="baseline"/>
        <w:rPr>
          <w:rFonts w:ascii="Times New Roman" w:hAnsi="Times New Roman"/>
          <w:sz w:val="24"/>
          <w:szCs w:val="24"/>
        </w:rPr>
      </w:pPr>
      <w:r>
        <w:rPr>
          <w:rFonts w:cs="Calibri" w:ascii="Times New Roman" w:hAnsi="Times New Roman"/>
          <w:b w:val="false"/>
          <w:bCs w:val="false"/>
          <w:sz w:val="24"/>
          <w:szCs w:val="24"/>
        </w:rPr>
        <w:t>8.1.5</w:t>
      </w:r>
      <w:r>
        <w:rPr>
          <w:rFonts w:cs="Calibri" w:ascii="Times New Roman" w:hAnsi="Times New Roman"/>
          <w:b/>
          <w:bCs/>
          <w:sz w:val="24"/>
          <w:szCs w:val="24"/>
        </w:rPr>
        <w:t xml:space="preserve"> </w:t>
      </w:r>
      <w:r>
        <w:rPr>
          <w:rFonts w:cs="Calibri" w:ascii="Times New Roman" w:hAnsi="Times New Roman"/>
          <w:sz w:val="24"/>
          <w:szCs w:val="24"/>
        </w:rPr>
        <w:t xml:space="preserve"> </w:t>
        <w:tab/>
        <w:t>Manter, durante toda a execução do contrato, em compatibilidade com as obrigações assumidas, todas as condições de habilitação e qualificação exigidas na licitação;</w:t>
      </w:r>
    </w:p>
    <w:p>
      <w:pPr>
        <w:pStyle w:val="LONormal"/>
        <w:widowControl/>
        <w:tabs>
          <w:tab w:val="clear" w:pos="298"/>
          <w:tab w:val="left" w:pos="1695" w:leader="none"/>
        </w:tabs>
        <w:suppressAutoHyphens w:val="true"/>
        <w:bidi w:val="0"/>
        <w:spacing w:lineRule="auto" w:line="240" w:before="119" w:after="119"/>
        <w:ind w:left="850" w:right="0" w:hanging="0"/>
        <w:jc w:val="both"/>
        <w:textAlignment w:val="baseline"/>
        <w:rPr>
          <w:rFonts w:ascii="Times New Roman" w:hAnsi="Times New Roman"/>
          <w:sz w:val="24"/>
          <w:szCs w:val="24"/>
        </w:rPr>
      </w:pPr>
      <w:r>
        <w:rPr>
          <w:rFonts w:cs="Calibri" w:ascii="Times New Roman" w:hAnsi="Times New Roman"/>
          <w:b w:val="false"/>
          <w:bCs w:val="false"/>
          <w:sz w:val="24"/>
          <w:szCs w:val="24"/>
        </w:rPr>
        <w:t>8.1.6</w:t>
      </w:r>
      <w:r>
        <w:rPr>
          <w:rFonts w:cs="Calibri" w:ascii="Times New Roman" w:hAnsi="Times New Roman"/>
          <w:b/>
          <w:bCs/>
          <w:sz w:val="24"/>
          <w:szCs w:val="24"/>
        </w:rPr>
        <w:t xml:space="preserve">   </w:t>
        <w:tab/>
      </w:r>
      <w:r>
        <w:rPr>
          <w:rFonts w:cs="Calibri" w:ascii="Times New Roman" w:hAnsi="Times New Roman"/>
          <w:b w:val="false"/>
          <w:bCs w:val="false"/>
          <w:sz w:val="24"/>
          <w:szCs w:val="24"/>
        </w:rPr>
        <w:t>I</w:t>
      </w:r>
      <w:r>
        <w:rPr>
          <w:rFonts w:cs="Calibri" w:ascii="Times New Roman" w:hAnsi="Times New Roman"/>
          <w:sz w:val="24"/>
          <w:szCs w:val="24"/>
        </w:rPr>
        <w:t>ndicar preposto para representá-la durante a execução do contrato;</w:t>
      </w:r>
    </w:p>
    <w:p>
      <w:pPr>
        <w:pStyle w:val="LONormal"/>
        <w:widowControl/>
        <w:tabs>
          <w:tab w:val="clear" w:pos="298"/>
          <w:tab w:val="left" w:pos="1680" w:leader="none"/>
        </w:tabs>
        <w:suppressAutoHyphens w:val="true"/>
        <w:bidi w:val="0"/>
        <w:spacing w:lineRule="auto" w:line="240" w:before="119" w:after="119"/>
        <w:ind w:left="850" w:right="0" w:hanging="0"/>
        <w:jc w:val="both"/>
        <w:textAlignment w:val="baseline"/>
        <w:rPr>
          <w:rFonts w:ascii="Times New Roman" w:hAnsi="Times New Roman"/>
          <w:sz w:val="24"/>
          <w:szCs w:val="24"/>
        </w:rPr>
      </w:pPr>
      <w:r>
        <w:rPr>
          <w:rFonts w:cs="Calibri" w:ascii="Times New Roman" w:hAnsi="Times New Roman"/>
          <w:b w:val="false"/>
          <w:bCs w:val="false"/>
          <w:sz w:val="24"/>
          <w:szCs w:val="24"/>
        </w:rPr>
        <w:t>8.1.7</w:t>
      </w:r>
      <w:r>
        <w:rPr>
          <w:rFonts w:cs="Calibri" w:ascii="Times New Roman" w:hAnsi="Times New Roman"/>
          <w:b/>
          <w:bCs/>
          <w:sz w:val="24"/>
          <w:szCs w:val="24"/>
        </w:rPr>
        <w:t xml:space="preserve"> </w:t>
      </w:r>
      <w:r>
        <w:rPr>
          <w:rFonts w:cs="Calibri" w:ascii="Times New Roman" w:hAnsi="Times New Roman"/>
          <w:b w:val="false"/>
          <w:bCs w:val="false"/>
          <w:sz w:val="24"/>
          <w:szCs w:val="24"/>
        </w:rPr>
        <w:t xml:space="preserve"> </w:t>
        <w:tab/>
        <w:t>Promover a destinação final ambientalmente adequada, sempre que a legislação assim o exigir, como nos casos de pneus, pilhas e baterias, etc;</w:t>
      </w:r>
    </w:p>
    <w:p>
      <w:pPr>
        <w:pStyle w:val="LONormal"/>
        <w:widowControl/>
        <w:tabs>
          <w:tab w:val="clear" w:pos="298"/>
          <w:tab w:val="left" w:pos="1695" w:leader="none"/>
        </w:tabs>
        <w:suppressAutoHyphens w:val="true"/>
        <w:bidi w:val="0"/>
        <w:spacing w:lineRule="auto" w:line="240" w:before="119" w:after="119"/>
        <w:ind w:left="850" w:right="0" w:hanging="0"/>
        <w:jc w:val="both"/>
        <w:textAlignment w:val="baseline"/>
        <w:rPr>
          <w:rFonts w:ascii="Times New Roman" w:hAnsi="Times New Roman"/>
          <w:sz w:val="24"/>
          <w:szCs w:val="24"/>
        </w:rPr>
      </w:pPr>
      <w:r>
        <w:rPr>
          <w:rFonts w:cs="Calibri" w:ascii="Times New Roman" w:hAnsi="Times New Roman"/>
          <w:b w:val="false"/>
          <w:bCs w:val="false"/>
          <w:sz w:val="24"/>
          <w:szCs w:val="24"/>
        </w:rPr>
        <w:t>8.1.8</w:t>
      </w:r>
      <w:r>
        <w:rPr>
          <w:rFonts w:cs="Calibri" w:ascii="Times New Roman" w:hAnsi="Times New Roman"/>
          <w:sz w:val="24"/>
          <w:szCs w:val="24"/>
        </w:rPr>
        <w:t xml:space="preserve"> </w:t>
        <w:tab/>
        <w:t xml:space="preserve">Responsabilizar-se pelas despesas dos tributos, encargos trabalhistas, previdenciários, fiscais, comerciais, taxas, fretes, seguros, deslocamentos de pessoal, prestação de garantia e quaisquer outras que incidam ou venham a incidir na execução do </w:t>
      </w:r>
      <w:r>
        <w:rPr>
          <w:rFonts w:eastAsia="Arial" w:cs="Calibri" w:ascii="Times New Roman" w:hAnsi="Times New Roman"/>
          <w:sz w:val="24"/>
          <w:szCs w:val="24"/>
          <w:lang w:eastAsia="zh-CN"/>
        </w:rPr>
        <w:t>contrato;</w:t>
      </w:r>
    </w:p>
    <w:p>
      <w:pPr>
        <w:pStyle w:val="Normal"/>
        <w:widowControl/>
        <w:tabs>
          <w:tab w:val="clear" w:pos="298"/>
          <w:tab w:val="left" w:pos="1695" w:leader="none"/>
        </w:tabs>
        <w:suppressAutoHyphens w:val="false"/>
        <w:bidi w:val="0"/>
        <w:spacing w:lineRule="auto" w:line="240" w:before="119" w:after="119"/>
        <w:ind w:left="850" w:right="0" w:hanging="0"/>
        <w:jc w:val="both"/>
        <w:textAlignment w:val="baseline"/>
        <w:rPr/>
      </w:pPr>
      <w:r>
        <w:rPr>
          <w:rStyle w:val="Fontepargpadro"/>
          <w:rFonts w:eastAsia="Arial" w:cs="Times New Roman" w:ascii="Times New Roman" w:hAnsi="Times New Roman"/>
          <w:b w:val="false"/>
          <w:bCs w:val="false"/>
          <w:color w:val="000000"/>
          <w:sz w:val="24"/>
          <w:szCs w:val="24"/>
        </w:rPr>
        <w:t>8.1.9</w:t>
      </w:r>
      <w:r>
        <w:rPr>
          <w:rStyle w:val="Fontepargpadro"/>
          <w:rFonts w:eastAsia="Arial" w:cs="Times New Roman" w:ascii="Times New Roman" w:hAnsi="Times New Roman"/>
          <w:b/>
          <w:bCs/>
          <w:color w:val="000000"/>
          <w:sz w:val="24"/>
          <w:szCs w:val="24"/>
        </w:rPr>
        <w:t xml:space="preserve"> </w:t>
        <w:tab/>
      </w:r>
      <w:r>
        <w:rPr>
          <w:rStyle w:val="Fontepargpadro"/>
          <w:rFonts w:eastAsia="Arial" w:cs="Times New Roman" w:ascii="Times New Roman" w:hAnsi="Times New Roman"/>
          <w:b w:val="false"/>
          <w:bCs w:val="false"/>
          <w:color w:val="000000"/>
          <w:sz w:val="24"/>
          <w:szCs w:val="24"/>
        </w:rPr>
        <w:t>D</w:t>
      </w:r>
      <w:r>
        <w:rPr>
          <w:rStyle w:val="Fontepargpadro"/>
          <w:rFonts w:eastAsia="Arial" w:cs="Times New Roman" w:ascii="Times New Roman" w:hAnsi="Times New Roman"/>
          <w:color w:val="000000"/>
          <w:sz w:val="24"/>
          <w:szCs w:val="24"/>
        </w:rPr>
        <w:t xml:space="preserve">ispor de serviço especializado de assistência técnica, devendo o atendimento, após abertura de chamado, ser de até 24 horas;  </w:t>
      </w:r>
    </w:p>
    <w:p>
      <w:pPr>
        <w:pStyle w:val="Normal"/>
        <w:widowControl/>
        <w:tabs>
          <w:tab w:val="clear" w:pos="298"/>
          <w:tab w:val="left" w:pos="1695" w:leader="none"/>
        </w:tabs>
        <w:suppressAutoHyphens w:val="false"/>
        <w:bidi w:val="0"/>
        <w:spacing w:lineRule="auto" w:line="240" w:before="119" w:after="119"/>
        <w:ind w:left="850" w:right="0" w:hanging="0"/>
        <w:jc w:val="both"/>
        <w:textAlignment w:val="baseline"/>
        <w:rPr/>
      </w:pPr>
      <w:r>
        <w:rPr>
          <w:rStyle w:val="Fontepargpadro"/>
          <w:rFonts w:eastAsia="Arial" w:cs="Times New Roman" w:ascii="Times New Roman" w:hAnsi="Times New Roman"/>
          <w:b w:val="false"/>
          <w:bCs w:val="false"/>
          <w:color w:val="000000"/>
          <w:sz w:val="24"/>
          <w:szCs w:val="24"/>
        </w:rPr>
        <w:t xml:space="preserve">8.1.10 </w:t>
        <w:tab/>
        <w:t>P</w:t>
      </w:r>
      <w:r>
        <w:rPr>
          <w:rStyle w:val="Fontepargpadro"/>
          <w:rFonts w:eastAsia="Arial" w:cs="Times New Roman" w:ascii="Times New Roman" w:hAnsi="Times New Roman"/>
          <w:color w:val="000000"/>
          <w:sz w:val="24"/>
          <w:szCs w:val="24"/>
        </w:rPr>
        <w:t>ossuir serviço especializado de montagem e instalação.</w:t>
      </w:r>
    </w:p>
    <w:p>
      <w:pPr>
        <w:pStyle w:val="Normal"/>
        <w:widowControl/>
        <w:tabs>
          <w:tab w:val="clear" w:pos="298"/>
          <w:tab w:val="left" w:pos="855" w:leader="none"/>
        </w:tabs>
        <w:suppressAutoHyphens w:val="true"/>
        <w:bidi w:val="0"/>
        <w:spacing w:lineRule="auto" w:line="240" w:before="119" w:after="119"/>
        <w:ind w:left="0" w:right="0" w:hanging="0"/>
        <w:jc w:val="both"/>
        <w:textAlignment w:val="baseline"/>
        <w:rPr/>
      </w:pPr>
      <w:r>
        <w:rPr>
          <w:rStyle w:val="Fontepargpadro1"/>
          <w:rFonts w:cs="Calibri" w:ascii="Times New Roman" w:hAnsi="Times New Roman"/>
          <w:b w:val="false"/>
          <w:bCs w:val="false"/>
          <w:iCs/>
          <w:sz w:val="24"/>
          <w:szCs w:val="24"/>
        </w:rPr>
        <w:t xml:space="preserve">8.2  </w:t>
      </w:r>
      <w:r>
        <w:rPr>
          <w:rStyle w:val="Fontepargpadro1"/>
          <w:rFonts w:cs="Calibri" w:ascii="Times New Roman" w:hAnsi="Times New Roman"/>
          <w:iCs/>
          <w:sz w:val="24"/>
          <w:szCs w:val="24"/>
        </w:rPr>
        <w:tab/>
        <w:t>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conforme alínea "c" do item 10.2 do Anexo VIII-B da IN SEGES/MP n. 5/2017.</w:t>
      </w:r>
    </w:p>
    <w:p>
      <w:pPr>
        <w:pStyle w:val="Normal"/>
        <w:widowControl/>
        <w:tabs>
          <w:tab w:val="clear" w:pos="298"/>
          <w:tab w:val="left" w:pos="855" w:leader="none"/>
        </w:tabs>
        <w:suppressAutoHyphens w:val="true"/>
        <w:bidi w:val="0"/>
        <w:spacing w:lineRule="auto" w:line="240" w:before="119" w:after="119"/>
        <w:ind w:left="0" w:right="0" w:hanging="0"/>
        <w:jc w:val="both"/>
        <w:textAlignment w:val="baseline"/>
        <w:rPr>
          <w:rStyle w:val="Fontepargpadro1"/>
          <w:rFonts w:ascii="Times New Roman" w:hAnsi="Times New Roman" w:cs="Calibri"/>
          <w:iCs/>
          <w:sz w:val="24"/>
          <w:szCs w:val="24"/>
        </w:rPr>
      </w:pPr>
      <w:r>
        <w:rPr>
          <w:rFonts w:cs="Calibri" w:ascii="Times New Roman" w:hAnsi="Times New Roman"/>
          <w:iCs/>
          <w:sz w:val="24"/>
          <w:szCs w:val="24"/>
        </w:rPr>
      </w:r>
    </w:p>
    <w:p>
      <w:pPr>
        <w:pStyle w:val="LONormal"/>
        <w:widowControl/>
        <w:tabs>
          <w:tab w:val="clear" w:pos="298"/>
          <w:tab w:val="left" w:pos="855" w:leader="none"/>
        </w:tabs>
        <w:suppressAutoHyphens w:val="true"/>
        <w:bidi w:val="0"/>
        <w:spacing w:lineRule="auto" w:line="240" w:before="119" w:after="119"/>
        <w:ind w:left="0" w:right="0" w:hanging="0"/>
        <w:jc w:val="both"/>
        <w:textAlignment w:val="baseline"/>
        <w:rPr/>
      </w:pPr>
      <w:r>
        <w:rPr>
          <w:rFonts w:cs="Calibri" w:ascii="Times New Roman" w:hAnsi="Times New Roman"/>
          <w:b/>
          <w:bCs/>
          <w:sz w:val="24"/>
          <w:szCs w:val="24"/>
          <w:lang w:eastAsia="en-US"/>
        </w:rPr>
        <w:t xml:space="preserve">9.   </w:t>
        <w:tab/>
      </w:r>
      <w:r>
        <w:rPr>
          <w:rStyle w:val="Fontepargpadro"/>
          <w:rFonts w:cs="Calibri" w:ascii="Times New Roman" w:hAnsi="Times New Roman"/>
          <w:b/>
          <w:bCs/>
          <w:color w:val="000000"/>
          <w:sz w:val="24"/>
          <w:szCs w:val="24"/>
          <w:lang w:eastAsia="en-US"/>
        </w:rPr>
        <w:t>DA SUBCONTRATAÇÃO</w:t>
      </w:r>
    </w:p>
    <w:p>
      <w:pPr>
        <w:pStyle w:val="Normal"/>
        <w:widowControl/>
        <w:tabs>
          <w:tab w:val="clear" w:pos="298"/>
          <w:tab w:val="left" w:pos="855" w:leader="none"/>
        </w:tabs>
        <w:suppressAutoHyphens w:val="false"/>
        <w:bidi w:val="0"/>
        <w:spacing w:lineRule="auto" w:line="240" w:before="119" w:after="119"/>
        <w:ind w:left="0" w:right="0" w:hanging="0"/>
        <w:jc w:val="both"/>
        <w:textAlignment w:val="baseline"/>
        <w:rPr/>
      </w:pPr>
      <w:r>
        <w:rPr>
          <w:rStyle w:val="Fontepargpadro"/>
          <w:rFonts w:cs="Arial" w:ascii="Times New Roman" w:hAnsi="Times New Roman"/>
          <w:b w:val="false"/>
          <w:bCs w:val="false"/>
          <w:color w:val="000000"/>
          <w:sz w:val="24"/>
          <w:szCs w:val="24"/>
        </w:rPr>
        <w:t>9.1</w:t>
      </w:r>
      <w:r>
        <w:rPr>
          <w:rStyle w:val="Fontepargpadro"/>
          <w:rFonts w:cs="Arial" w:ascii="Times New Roman" w:hAnsi="Times New Roman"/>
          <w:b/>
          <w:bCs/>
          <w:color w:val="000000"/>
          <w:sz w:val="24"/>
          <w:szCs w:val="24"/>
        </w:rPr>
        <w:t xml:space="preserve">   </w:t>
        <w:tab/>
      </w:r>
      <w:r>
        <w:rPr>
          <w:rStyle w:val="Fontepargpadro"/>
          <w:rFonts w:cs="Arial" w:ascii="Times New Roman" w:hAnsi="Times New Roman"/>
          <w:color w:val="000000"/>
          <w:sz w:val="24"/>
          <w:szCs w:val="24"/>
        </w:rPr>
        <w:t>Não será admitida a subcontratação para a execução do serviço.</w:t>
      </w:r>
    </w:p>
    <w:p>
      <w:pPr>
        <w:pStyle w:val="LONormal"/>
        <w:widowControl/>
        <w:tabs>
          <w:tab w:val="clear" w:pos="298"/>
          <w:tab w:val="left" w:pos="855" w:leader="none"/>
        </w:tabs>
        <w:suppressAutoHyphens w:val="true"/>
        <w:bidi w:val="0"/>
        <w:spacing w:lineRule="auto" w:line="240" w:before="119" w:after="119"/>
        <w:ind w:left="0" w:right="0" w:hanging="0"/>
        <w:jc w:val="both"/>
        <w:textAlignment w:val="baseline"/>
        <w:rPr>
          <w:rFonts w:ascii="Times New Roman" w:hAnsi="Times New Roman"/>
          <w:sz w:val="24"/>
          <w:szCs w:val="24"/>
        </w:rPr>
      </w:pPr>
      <w:r>
        <w:rPr>
          <w:rFonts w:cs="Calibri" w:ascii="Times New Roman" w:hAnsi="Times New Roman"/>
          <w:b/>
          <w:bCs/>
          <w:sz w:val="24"/>
          <w:szCs w:val="24"/>
          <w:lang w:eastAsia="en-US"/>
        </w:rPr>
        <w:t xml:space="preserve">10. </w:t>
        <w:tab/>
        <w:t>DA ALTERAÇÃO SUBJETIVA</w:t>
      </w:r>
    </w:p>
    <w:p>
      <w:pPr>
        <w:pStyle w:val="LONormal"/>
        <w:widowControl/>
        <w:tabs>
          <w:tab w:val="clear" w:pos="298"/>
          <w:tab w:val="left" w:pos="855" w:leader="none"/>
        </w:tabs>
        <w:suppressAutoHyphens w:val="true"/>
        <w:bidi w:val="0"/>
        <w:spacing w:lineRule="auto" w:line="240" w:before="119" w:after="119"/>
        <w:ind w:left="0" w:right="0" w:hanging="0"/>
        <w:jc w:val="both"/>
        <w:textAlignment w:val="baseline"/>
        <w:rPr>
          <w:rFonts w:ascii="Times New Roman" w:hAnsi="Times New Roman"/>
          <w:sz w:val="24"/>
          <w:szCs w:val="24"/>
        </w:rPr>
      </w:pPr>
      <w:r>
        <w:rPr>
          <w:rFonts w:cs="Calibri" w:ascii="Times New Roman" w:hAnsi="Times New Roman"/>
          <w:b w:val="false"/>
          <w:bCs w:val="false"/>
          <w:sz w:val="24"/>
          <w:szCs w:val="24"/>
          <w:lang w:eastAsia="en-US"/>
        </w:rPr>
        <w:t xml:space="preserve">10.1 </w:t>
      </w:r>
      <w:r>
        <w:rPr>
          <w:rFonts w:cs="Calibri" w:ascii="Times New Roman" w:hAnsi="Times New Roman"/>
          <w:b/>
          <w:bCs/>
          <w:sz w:val="24"/>
          <w:szCs w:val="24"/>
          <w:lang w:eastAsia="en-US"/>
        </w:rPr>
        <w:tab/>
      </w:r>
      <w:r>
        <w:rPr>
          <w:rFonts w:cs="Calibri" w:ascii="Times New Roman" w:hAnsi="Times New Roman"/>
          <w:sz w:val="24"/>
          <w:szCs w:val="24"/>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pPr>
        <w:pStyle w:val="Nivel1"/>
        <w:keepNext w:val="true"/>
        <w:keepLines/>
        <w:widowControl w:val="false"/>
        <w:tabs>
          <w:tab w:val="clear" w:pos="298"/>
          <w:tab w:val="left" w:pos="855" w:leader="none"/>
        </w:tabs>
        <w:suppressAutoHyphens w:val="false"/>
        <w:bidi w:val="0"/>
        <w:spacing w:lineRule="auto" w:line="240" w:before="119" w:after="119"/>
        <w:ind w:left="0" w:right="0" w:hanging="0"/>
        <w:jc w:val="both"/>
        <w:textAlignment w:val="auto"/>
        <w:rPr>
          <w:b/>
          <w:b/>
          <w:bCs/>
        </w:rPr>
      </w:pPr>
      <w:r>
        <w:rPr>
          <w:rFonts w:cs="Calibri" w:ascii="Times New Roman" w:hAnsi="Times New Roman"/>
          <w:b/>
          <w:bCs/>
          <w:sz w:val="24"/>
          <w:szCs w:val="24"/>
        </w:rPr>
        <w:t>11.</w:t>
        <w:tab/>
        <w:t>DO PAGAMENTO</w:t>
      </w:r>
    </w:p>
    <w:p>
      <w:pPr>
        <w:pStyle w:val="LONormal1"/>
        <w:widowControl/>
        <w:tabs>
          <w:tab w:val="clear" w:pos="298"/>
          <w:tab w:val="left" w:pos="855" w:leader="none"/>
        </w:tabs>
        <w:suppressAutoHyphens w:val="false"/>
        <w:bidi w:val="0"/>
        <w:spacing w:lineRule="auto" w:line="240" w:before="119" w:after="119"/>
        <w:ind w:left="0" w:right="0" w:hanging="0"/>
        <w:jc w:val="both"/>
        <w:rPr>
          <w:rFonts w:ascii="Times New Roman" w:hAnsi="Times New Roman"/>
          <w:sz w:val="24"/>
          <w:szCs w:val="24"/>
        </w:rPr>
      </w:pPr>
      <w:r>
        <w:rPr>
          <w:rFonts w:cs="Calibri" w:ascii="Times New Roman" w:hAnsi="Times New Roman"/>
          <w:b w:val="false"/>
          <w:bCs w:val="false"/>
          <w:color w:val="000000"/>
          <w:sz w:val="24"/>
          <w:szCs w:val="24"/>
        </w:rPr>
        <w:t>11.1</w:t>
      </w:r>
      <w:r>
        <w:rPr>
          <w:rFonts w:cs="Calibri" w:ascii="Times New Roman" w:hAnsi="Times New Roman"/>
          <w:b/>
          <w:bCs/>
          <w:color w:val="000000"/>
          <w:sz w:val="24"/>
          <w:szCs w:val="24"/>
        </w:rPr>
        <w:tab/>
      </w:r>
      <w:r>
        <w:rPr>
          <w:rFonts w:cs="Calibri" w:ascii="Times New Roman" w:hAnsi="Times New Roman"/>
          <w:color w:val="000000"/>
          <w:sz w:val="24"/>
          <w:szCs w:val="24"/>
        </w:rPr>
        <w:t>O pagamento será realizado no prazo máximo de até trinta (30) dias, contados a partir do recebimento da Nota Fiscal ou Fatura, através de ordem bancária, para crédito em banco, agência e conta corrente indicados pelo contratado.</w:t>
      </w:r>
    </w:p>
    <w:p>
      <w:pPr>
        <w:pStyle w:val="ListParagraph"/>
        <w:widowControl/>
        <w:tabs>
          <w:tab w:val="clear" w:pos="298"/>
          <w:tab w:val="left" w:pos="855" w:leader="none"/>
        </w:tabs>
        <w:suppressAutoHyphens w:val="false"/>
        <w:bidi w:val="0"/>
        <w:spacing w:lineRule="auto" w:line="240" w:before="119" w:after="119"/>
        <w:ind w:left="0" w:right="0" w:hanging="0"/>
        <w:contextualSpacing/>
        <w:jc w:val="both"/>
        <w:textAlignment w:val="auto"/>
        <w:rPr>
          <w:rFonts w:ascii="Times New Roman" w:hAnsi="Times New Roman"/>
          <w:sz w:val="24"/>
          <w:szCs w:val="24"/>
        </w:rPr>
      </w:pPr>
      <w:r>
        <w:rPr>
          <w:rFonts w:cs="Calibri" w:ascii="Times New Roman" w:hAnsi="Times New Roman"/>
          <w:b w:val="false"/>
          <w:bCs w:val="false"/>
          <w:color w:val="000000"/>
          <w:sz w:val="24"/>
          <w:szCs w:val="24"/>
        </w:rPr>
        <w:t xml:space="preserve">11.2 </w:t>
      </w:r>
      <w:r>
        <w:rPr>
          <w:rFonts w:cs="Calibri" w:ascii="Times New Roman" w:hAnsi="Times New Roman"/>
          <w:color w:val="000000"/>
          <w:sz w:val="24"/>
          <w:szCs w:val="24"/>
        </w:rPr>
        <w:t xml:space="preserve"> </w:t>
        <w:tab/>
        <w:t>Considera-se ocorrido o recebimento da nota fiscal ou fatura no momento em que o órgão contratante atestar a execução do objeto do contrato.</w:t>
      </w:r>
    </w:p>
    <w:p>
      <w:pPr>
        <w:pStyle w:val="LONormal1"/>
        <w:widowControl/>
        <w:tabs>
          <w:tab w:val="clear" w:pos="298"/>
          <w:tab w:val="left" w:pos="855" w:leader="none"/>
        </w:tabs>
        <w:suppressAutoHyphens w:val="false"/>
        <w:bidi w:val="0"/>
        <w:spacing w:lineRule="auto" w:line="240" w:before="119" w:after="119"/>
        <w:ind w:left="0" w:right="0" w:hanging="0"/>
        <w:jc w:val="both"/>
        <w:textAlignment w:val="auto"/>
        <w:rPr>
          <w:rFonts w:ascii="Times New Roman" w:hAnsi="Times New Roman"/>
          <w:sz w:val="24"/>
          <w:szCs w:val="24"/>
        </w:rPr>
      </w:pPr>
      <w:r>
        <w:rPr>
          <w:rFonts w:cs="Calibri" w:ascii="Times New Roman" w:hAnsi="Times New Roman"/>
          <w:b w:val="false"/>
          <w:bCs w:val="false"/>
          <w:color w:val="000000"/>
          <w:sz w:val="24"/>
          <w:szCs w:val="24"/>
        </w:rPr>
        <w:t>11.3</w:t>
      </w:r>
      <w:r>
        <w:rPr>
          <w:rFonts w:cs="Calibri" w:ascii="Times New Roman" w:hAnsi="Times New Roman"/>
          <w:color w:val="000000"/>
          <w:sz w:val="24"/>
          <w:szCs w:val="24"/>
        </w:rPr>
        <w:t xml:space="preserve"> </w:t>
        <w:tab/>
        <w:t>A Nota Fiscal ou Fatura deverá ser obrigatoriamente acompanhada da comprovação da regularidade fiscal, constatada por meio de consulta on-line ao SICAF ou, na impossibilidade de acesso ao referido Sistema, mediante consulta aos sítios eletrônicos oficiais.</w:t>
      </w:r>
    </w:p>
    <w:p>
      <w:pPr>
        <w:pStyle w:val="LONormal1"/>
        <w:widowControl/>
        <w:tabs>
          <w:tab w:val="clear" w:pos="298"/>
          <w:tab w:val="left" w:pos="425" w:leader="none"/>
          <w:tab w:val="left" w:pos="1695" w:leader="none"/>
        </w:tabs>
        <w:suppressAutoHyphens w:val="false"/>
        <w:bidi w:val="0"/>
        <w:spacing w:lineRule="auto" w:line="240" w:before="119" w:after="119"/>
        <w:ind w:left="850" w:right="0" w:hanging="0"/>
        <w:jc w:val="both"/>
        <w:rPr>
          <w:rFonts w:ascii="Times New Roman" w:hAnsi="Times New Roman"/>
          <w:sz w:val="24"/>
          <w:szCs w:val="24"/>
        </w:rPr>
      </w:pPr>
      <w:r>
        <w:rPr>
          <w:rFonts w:cs="Calibri" w:ascii="Times New Roman" w:hAnsi="Times New Roman"/>
          <w:b w:val="false"/>
          <w:bCs w:val="false"/>
          <w:color w:val="000000"/>
          <w:sz w:val="24"/>
          <w:szCs w:val="24"/>
        </w:rPr>
        <w:t>11.3.1</w:t>
      </w:r>
      <w:r>
        <w:rPr>
          <w:rFonts w:cs="Calibri" w:ascii="Times New Roman" w:hAnsi="Times New Roman"/>
          <w:b/>
          <w:bCs/>
          <w:color w:val="000000"/>
          <w:sz w:val="24"/>
          <w:szCs w:val="24"/>
        </w:rPr>
        <w:tab/>
      </w:r>
      <w:r>
        <w:rPr>
          <w:rFonts w:cs="Calibri" w:ascii="Times New Roman" w:hAnsi="Times New Roman"/>
          <w:color w:val="000000"/>
          <w:sz w:val="24"/>
          <w:szCs w:val="24"/>
        </w:rPr>
        <w:t>Constatando-se, junto ao SICAF, a situação de irregularidade do fornecedor contratado, deverão ser tomadas as providências previstas no do art. 31 da Instrução Normativa nº 3, de 26 de abril de 2018.</w:t>
      </w:r>
    </w:p>
    <w:p>
      <w:pPr>
        <w:pStyle w:val="ListParagraph"/>
        <w:widowControl/>
        <w:tabs>
          <w:tab w:val="clear" w:pos="298"/>
          <w:tab w:val="left" w:pos="855" w:leader="none"/>
        </w:tabs>
        <w:suppressAutoHyphens w:val="false"/>
        <w:bidi w:val="0"/>
        <w:spacing w:lineRule="auto" w:line="240" w:before="119" w:after="119"/>
        <w:ind w:left="0" w:right="0" w:hanging="0"/>
        <w:contextualSpacing/>
        <w:jc w:val="both"/>
        <w:textAlignment w:val="auto"/>
        <w:rPr>
          <w:rFonts w:ascii="Times New Roman" w:hAnsi="Times New Roman"/>
          <w:sz w:val="24"/>
          <w:szCs w:val="24"/>
        </w:rPr>
      </w:pPr>
      <w:r>
        <w:rPr>
          <w:rFonts w:cs="Calibri" w:ascii="Times New Roman" w:hAnsi="Times New Roman"/>
          <w:b w:val="false"/>
          <w:bCs w:val="false"/>
          <w:color w:val="000000"/>
          <w:sz w:val="24"/>
          <w:szCs w:val="24"/>
          <w:lang w:eastAsia="en-US"/>
        </w:rPr>
        <w:t>11.4</w:t>
      </w:r>
      <w:r>
        <w:rPr>
          <w:rFonts w:cs="Calibri" w:ascii="Times New Roman" w:hAnsi="Times New Roman"/>
          <w:b/>
          <w:bCs/>
          <w:color w:val="000000"/>
          <w:sz w:val="24"/>
          <w:szCs w:val="24"/>
          <w:lang w:eastAsia="en-US"/>
        </w:rPr>
        <w:tab/>
      </w:r>
      <w:r>
        <w:rPr>
          <w:rFonts w:cs="Calibri" w:ascii="Times New Roman" w:hAnsi="Times New Roman"/>
          <w:color w:val="000000"/>
          <w:sz w:val="24"/>
          <w:szCs w:val="24"/>
          <w:lang w:eastAsia="en-US"/>
        </w:rPr>
        <w:t xml:space="preserve">Havendo erro na apresentação da Nota Fiscal ou dos documentos pertinentes à contratação, ou, ainda, circunstância que impeça a liquidação da despesa, como, por exemplo, </w:t>
      </w:r>
      <w:r>
        <w:rPr>
          <w:rFonts w:cs="Calibri" w:ascii="Times New Roman" w:hAnsi="Times New Roman"/>
          <w:color w:val="000000"/>
          <w:sz w:val="24"/>
          <w:szCs w:val="24"/>
        </w:rPr>
        <w:t>obrigação financeira pendente, decorrente de penalidade imposta ou inadimplência,</w:t>
      </w:r>
      <w:r>
        <w:rPr>
          <w:rFonts w:cs="Calibri" w:ascii="Times New Roman" w:hAnsi="Times New Roman"/>
          <w:color w:val="000000"/>
          <w:sz w:val="24"/>
          <w:szCs w:val="24"/>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pPr>
        <w:pStyle w:val="LONormal1"/>
        <w:widowControl/>
        <w:tabs>
          <w:tab w:val="clear" w:pos="298"/>
          <w:tab w:val="left" w:pos="855" w:leader="none"/>
        </w:tabs>
        <w:suppressAutoHyphens w:val="false"/>
        <w:bidi w:val="0"/>
        <w:spacing w:lineRule="auto" w:line="240" w:before="119" w:after="119"/>
        <w:ind w:left="0" w:right="0" w:hanging="0"/>
        <w:jc w:val="both"/>
        <w:rPr>
          <w:rFonts w:ascii="Times New Roman" w:hAnsi="Times New Roman"/>
          <w:sz w:val="24"/>
          <w:szCs w:val="24"/>
        </w:rPr>
      </w:pPr>
      <w:r>
        <w:rPr>
          <w:rFonts w:cs="Calibri" w:ascii="Times New Roman" w:hAnsi="Times New Roman"/>
          <w:b w:val="false"/>
          <w:bCs w:val="false"/>
          <w:color w:val="000000"/>
          <w:sz w:val="24"/>
          <w:szCs w:val="24"/>
        </w:rPr>
        <w:t>11.5</w:t>
      </w:r>
      <w:r>
        <w:rPr>
          <w:rFonts w:cs="Calibri" w:ascii="Times New Roman" w:hAnsi="Times New Roman"/>
          <w:color w:val="000000"/>
          <w:sz w:val="24"/>
          <w:szCs w:val="24"/>
        </w:rPr>
        <w:t xml:space="preserve">   </w:t>
        <w:tab/>
        <w:t>Será considerada data do pagamento o dia em que constar como emitida a ordem bancária para pagamento.</w:t>
      </w:r>
    </w:p>
    <w:p>
      <w:pPr>
        <w:pStyle w:val="LONormal1"/>
        <w:widowControl/>
        <w:tabs>
          <w:tab w:val="clear" w:pos="298"/>
          <w:tab w:val="left" w:pos="855" w:leader="none"/>
        </w:tabs>
        <w:suppressAutoHyphens w:val="false"/>
        <w:bidi w:val="0"/>
        <w:spacing w:lineRule="auto" w:line="240" w:before="119" w:after="119"/>
        <w:ind w:left="0" w:right="0" w:hanging="0"/>
        <w:jc w:val="both"/>
        <w:rPr>
          <w:rFonts w:ascii="Times New Roman" w:hAnsi="Times New Roman"/>
          <w:sz w:val="24"/>
          <w:szCs w:val="24"/>
        </w:rPr>
      </w:pPr>
      <w:r>
        <w:rPr>
          <w:rFonts w:cs="Calibri" w:ascii="Times New Roman" w:hAnsi="Times New Roman"/>
          <w:b w:val="false"/>
          <w:bCs w:val="false"/>
          <w:color w:val="000000"/>
          <w:sz w:val="24"/>
          <w:szCs w:val="24"/>
        </w:rPr>
        <w:t xml:space="preserve">11.6  </w:t>
      </w:r>
      <w:r>
        <w:rPr>
          <w:rFonts w:cs="Calibri" w:ascii="Times New Roman" w:hAnsi="Times New Roman"/>
          <w:color w:val="000000"/>
          <w:sz w:val="24"/>
          <w:szCs w:val="24"/>
        </w:rPr>
        <w:t xml:space="preserve">   </w:t>
        <w:tab/>
        <w:t>Antes de cada pagamento à contratada, será realizada consulta ao SICAF para verificar a manutenção das condições de habilitação exigidas no edital.</w:t>
      </w:r>
    </w:p>
    <w:p>
      <w:pPr>
        <w:pStyle w:val="LONormal1"/>
        <w:widowControl/>
        <w:tabs>
          <w:tab w:val="clear" w:pos="298"/>
          <w:tab w:val="left" w:pos="855" w:leader="none"/>
        </w:tabs>
        <w:suppressAutoHyphens w:val="false"/>
        <w:bidi w:val="0"/>
        <w:spacing w:lineRule="auto" w:line="240" w:before="119" w:after="119"/>
        <w:ind w:left="0" w:right="0" w:hanging="0"/>
        <w:jc w:val="both"/>
        <w:rPr>
          <w:rFonts w:ascii="Times New Roman" w:hAnsi="Times New Roman"/>
          <w:sz w:val="24"/>
          <w:szCs w:val="24"/>
        </w:rPr>
      </w:pPr>
      <w:r>
        <w:rPr>
          <w:rFonts w:cs="Calibri" w:ascii="Times New Roman" w:hAnsi="Times New Roman"/>
          <w:b w:val="false"/>
          <w:bCs w:val="false"/>
          <w:color w:val="000000"/>
          <w:sz w:val="24"/>
          <w:szCs w:val="24"/>
        </w:rPr>
        <w:t xml:space="preserve">11.7 </w:t>
      </w:r>
      <w:r>
        <w:rPr>
          <w:rFonts w:cs="Calibri" w:ascii="Times New Roman" w:hAnsi="Times New Roman"/>
          <w:b/>
          <w:bCs/>
          <w:color w:val="000000"/>
          <w:sz w:val="24"/>
          <w:szCs w:val="24"/>
        </w:rPr>
        <w:t xml:space="preserve"> </w:t>
      </w:r>
      <w:r>
        <w:rPr>
          <w:rFonts w:cs="Calibri" w:ascii="Times New Roman" w:hAnsi="Times New Roman"/>
          <w:color w:val="000000"/>
          <w:sz w:val="24"/>
          <w:szCs w:val="24"/>
        </w:rPr>
        <w:t xml:space="preserve">  </w:t>
        <w:tab/>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pPr>
        <w:pStyle w:val="LONormal1"/>
        <w:widowControl/>
        <w:tabs>
          <w:tab w:val="clear" w:pos="298"/>
          <w:tab w:val="left" w:pos="855" w:leader="none"/>
        </w:tabs>
        <w:suppressAutoHyphens w:val="false"/>
        <w:bidi w:val="0"/>
        <w:spacing w:lineRule="auto" w:line="240" w:before="119" w:after="119"/>
        <w:ind w:left="0" w:right="0" w:hanging="0"/>
        <w:jc w:val="both"/>
        <w:rPr>
          <w:rFonts w:ascii="Times New Roman" w:hAnsi="Times New Roman"/>
          <w:sz w:val="24"/>
          <w:szCs w:val="24"/>
        </w:rPr>
      </w:pPr>
      <w:r>
        <w:rPr>
          <w:rFonts w:cs="Calibri" w:ascii="Times New Roman" w:hAnsi="Times New Roman"/>
          <w:b w:val="false"/>
          <w:bCs w:val="false"/>
          <w:color w:val="000000"/>
          <w:sz w:val="24"/>
          <w:szCs w:val="24"/>
        </w:rPr>
        <w:t xml:space="preserve">11.8 </w:t>
      </w:r>
      <w:r>
        <w:rPr>
          <w:rFonts w:cs="Calibri" w:ascii="Times New Roman" w:hAnsi="Times New Roman"/>
          <w:color w:val="000000"/>
          <w:sz w:val="24"/>
          <w:szCs w:val="24"/>
        </w:rPr>
        <w:t xml:space="preserve"> </w:t>
        <w:tab/>
        <w:t>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observado o disposto no art. 29, da Instrução Normativa nº 3, de 26 de abril de 2018.</w:t>
      </w:r>
    </w:p>
    <w:p>
      <w:pPr>
        <w:pStyle w:val="LONormal1"/>
        <w:widowControl/>
        <w:tabs>
          <w:tab w:val="clear" w:pos="298"/>
          <w:tab w:val="left" w:pos="855" w:leader="none"/>
        </w:tabs>
        <w:suppressAutoHyphens w:val="false"/>
        <w:bidi w:val="0"/>
        <w:spacing w:lineRule="auto" w:line="240" w:before="119" w:after="119"/>
        <w:ind w:left="0" w:right="0" w:hanging="0"/>
        <w:jc w:val="both"/>
        <w:rPr>
          <w:rFonts w:ascii="Times New Roman" w:hAnsi="Times New Roman"/>
          <w:sz w:val="24"/>
          <w:szCs w:val="24"/>
        </w:rPr>
      </w:pPr>
      <w:r>
        <w:rPr>
          <w:rFonts w:cs="Calibri" w:ascii="Times New Roman" w:hAnsi="Times New Roman"/>
          <w:b w:val="false"/>
          <w:bCs w:val="false"/>
          <w:color w:val="000000"/>
          <w:sz w:val="24"/>
          <w:szCs w:val="24"/>
        </w:rPr>
        <w:t>11.9</w:t>
      </w:r>
      <w:r>
        <w:rPr>
          <w:rFonts w:cs="Calibri" w:ascii="Times New Roman" w:hAnsi="Times New Roman"/>
          <w:b/>
          <w:bCs/>
          <w:color w:val="000000"/>
          <w:sz w:val="24"/>
          <w:szCs w:val="24"/>
        </w:rPr>
        <w:tab/>
      </w:r>
      <w:r>
        <w:rPr>
          <w:rFonts w:cs="Calibri" w:ascii="Times New Roman" w:hAnsi="Times New Roman"/>
          <w:color w:val="000000"/>
          <w:sz w:val="24"/>
          <w:szCs w:val="24"/>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pPr>
        <w:pStyle w:val="LONormal1"/>
        <w:widowControl/>
        <w:tabs>
          <w:tab w:val="clear" w:pos="298"/>
          <w:tab w:val="left" w:pos="735" w:leader="none"/>
        </w:tabs>
        <w:suppressAutoHyphens w:val="false"/>
        <w:bidi w:val="0"/>
        <w:spacing w:lineRule="auto" w:line="240" w:before="119" w:after="119"/>
        <w:ind w:left="0" w:right="0" w:hanging="0"/>
        <w:jc w:val="both"/>
        <w:rPr>
          <w:rFonts w:ascii="Times New Roman" w:hAnsi="Times New Roman"/>
          <w:sz w:val="24"/>
          <w:szCs w:val="24"/>
        </w:rPr>
      </w:pPr>
      <w:r>
        <w:rPr>
          <w:rFonts w:cs="Calibri" w:ascii="Times New Roman" w:hAnsi="Times New Roman"/>
          <w:b w:val="false"/>
          <w:bCs w:val="false"/>
          <w:color w:val="000000"/>
          <w:sz w:val="24"/>
          <w:szCs w:val="24"/>
        </w:rPr>
        <w:t xml:space="preserve">11.10 </w:t>
      </w:r>
      <w:r>
        <w:rPr>
          <w:rFonts w:cs="Calibri" w:ascii="Times New Roman" w:hAnsi="Times New Roman"/>
          <w:color w:val="000000"/>
          <w:sz w:val="24"/>
          <w:szCs w:val="24"/>
        </w:rPr>
        <w:t xml:space="preserve">  Persistindo a irregularidade, a contratante deverá adotar as medidas necessárias à rescisão contratual nos autos do processo administrativo correspondente, assegurada à contratada a ampla defesa.</w:t>
      </w:r>
    </w:p>
    <w:p>
      <w:pPr>
        <w:pStyle w:val="LONormal1"/>
        <w:widowControl/>
        <w:tabs>
          <w:tab w:val="clear" w:pos="298"/>
          <w:tab w:val="left" w:pos="709" w:leader="none"/>
        </w:tabs>
        <w:suppressAutoHyphens w:val="false"/>
        <w:bidi w:val="0"/>
        <w:spacing w:lineRule="auto" w:line="240" w:before="119" w:after="119"/>
        <w:ind w:left="0" w:right="0" w:hanging="0"/>
        <w:jc w:val="both"/>
        <w:rPr>
          <w:rFonts w:ascii="Times New Roman" w:hAnsi="Times New Roman"/>
          <w:sz w:val="24"/>
          <w:szCs w:val="24"/>
        </w:rPr>
      </w:pPr>
      <w:r>
        <w:rPr>
          <w:rFonts w:cs="Calibri" w:ascii="Times New Roman" w:hAnsi="Times New Roman"/>
          <w:b w:val="false"/>
          <w:bCs w:val="false"/>
          <w:color w:val="000000"/>
          <w:sz w:val="24"/>
          <w:szCs w:val="24"/>
        </w:rPr>
        <w:t xml:space="preserve">11.11 </w:t>
      </w:r>
      <w:r>
        <w:rPr>
          <w:rFonts w:cs="Calibri" w:ascii="Times New Roman" w:hAnsi="Times New Roman"/>
          <w:color w:val="000000"/>
          <w:sz w:val="24"/>
          <w:szCs w:val="24"/>
        </w:rPr>
        <w:t xml:space="preserve">  Havendo a efetiva execução do objeto, os pagamentos serão realizados normalmente, até que se decida pela rescisão do contrato, caso a contratada não regularize sua situação junto ao SICAF.  </w:t>
      </w:r>
    </w:p>
    <w:p>
      <w:pPr>
        <w:pStyle w:val="LONormal1"/>
        <w:widowControl/>
        <w:tabs>
          <w:tab w:val="clear" w:pos="298"/>
          <w:tab w:val="left" w:pos="0" w:leader="none"/>
        </w:tabs>
        <w:suppressAutoHyphens w:val="false"/>
        <w:bidi w:val="0"/>
        <w:spacing w:lineRule="auto" w:line="240" w:before="119" w:after="119"/>
        <w:ind w:left="850" w:right="0" w:hanging="0"/>
        <w:jc w:val="both"/>
        <w:rPr>
          <w:rFonts w:ascii="Times New Roman" w:hAnsi="Times New Roman"/>
          <w:sz w:val="24"/>
          <w:szCs w:val="24"/>
        </w:rPr>
      </w:pPr>
      <w:r>
        <w:rPr>
          <w:rFonts w:cs="Calibri" w:ascii="Times New Roman" w:hAnsi="Times New Roman"/>
          <w:b w:val="false"/>
          <w:bCs w:val="false"/>
          <w:color w:val="000000"/>
          <w:sz w:val="24"/>
          <w:szCs w:val="24"/>
        </w:rPr>
        <w:t>11.11.1</w:t>
      </w:r>
      <w:r>
        <w:rPr>
          <w:rFonts w:cs="Calibri" w:ascii="Times New Roman" w:hAnsi="Times New Roman"/>
          <w:color w:val="000000"/>
          <w:sz w:val="24"/>
          <w:szCs w:val="24"/>
        </w:rPr>
        <w:t xml:space="preserve"> Será rescindido o contrato em execução com a contratada inadimplente no SICAF, salvo por motivo de economicidade, segurança nacional ou outro de interesse público de alta relevância, devidamente justificado, em qualquer caso, pela máxima autoridade da contratante.</w:t>
      </w:r>
    </w:p>
    <w:p>
      <w:pPr>
        <w:pStyle w:val="ListParagraph"/>
        <w:widowControl/>
        <w:tabs>
          <w:tab w:val="clear" w:pos="298"/>
          <w:tab w:val="left" w:pos="855" w:leader="none"/>
        </w:tabs>
        <w:suppressAutoHyphens w:val="false"/>
        <w:bidi w:val="0"/>
        <w:spacing w:lineRule="auto" w:line="240" w:before="119" w:after="119"/>
        <w:ind w:left="0" w:right="0" w:hanging="0"/>
        <w:contextualSpacing/>
        <w:jc w:val="both"/>
        <w:textAlignment w:val="auto"/>
        <w:rPr>
          <w:rFonts w:ascii="Times New Roman" w:hAnsi="Times New Roman"/>
          <w:sz w:val="24"/>
          <w:szCs w:val="24"/>
        </w:rPr>
      </w:pPr>
      <w:r>
        <w:rPr>
          <w:rFonts w:cs="Calibri" w:ascii="Times New Roman" w:hAnsi="Times New Roman"/>
          <w:b w:val="false"/>
          <w:bCs w:val="false"/>
          <w:color w:val="000000"/>
          <w:sz w:val="24"/>
          <w:szCs w:val="24"/>
        </w:rPr>
        <w:t>11.12</w:t>
      </w:r>
      <w:r>
        <w:rPr>
          <w:rFonts w:cs="Calibri" w:ascii="Times New Roman" w:hAnsi="Times New Roman"/>
          <w:b/>
          <w:bCs/>
          <w:color w:val="000000"/>
          <w:sz w:val="24"/>
          <w:szCs w:val="24"/>
        </w:rPr>
        <w:tab/>
      </w:r>
      <w:r>
        <w:rPr>
          <w:rFonts w:cs="Calibri" w:ascii="Times New Roman" w:hAnsi="Times New Roman"/>
          <w:color w:val="000000"/>
          <w:sz w:val="24"/>
          <w:szCs w:val="24"/>
        </w:rPr>
        <w:t>Quando do pagamento, será efetuada a retenção tributária prevista na legislação aplicável.</w:t>
      </w:r>
    </w:p>
    <w:p>
      <w:pPr>
        <w:pStyle w:val="LONormal1"/>
        <w:widowControl/>
        <w:tabs>
          <w:tab w:val="clear" w:pos="298"/>
          <w:tab w:val="left" w:pos="567" w:leader="none"/>
        </w:tabs>
        <w:suppressAutoHyphens w:val="false"/>
        <w:bidi w:val="0"/>
        <w:snapToGrid w:val="false"/>
        <w:spacing w:lineRule="auto" w:line="240" w:before="119" w:after="119"/>
        <w:ind w:left="850" w:right="0" w:hanging="0"/>
        <w:jc w:val="both"/>
        <w:rPr>
          <w:rFonts w:ascii="Times New Roman" w:hAnsi="Times New Roman"/>
          <w:sz w:val="24"/>
          <w:szCs w:val="24"/>
        </w:rPr>
      </w:pPr>
      <w:r>
        <w:rPr>
          <w:rFonts w:cs="Calibri" w:ascii="Times New Roman" w:hAnsi="Times New Roman"/>
          <w:b w:val="false"/>
          <w:bCs w:val="false"/>
          <w:color w:val="000000"/>
          <w:sz w:val="24"/>
          <w:szCs w:val="24"/>
        </w:rPr>
        <w:t>12.12.1</w:t>
      </w:r>
      <w:r>
        <w:rPr>
          <w:rFonts w:cs="Calibri" w:ascii="Times New Roman" w:hAnsi="Times New Roman"/>
          <w:b/>
          <w:bCs/>
          <w:color w:val="000000"/>
          <w:sz w:val="24"/>
          <w:szCs w:val="24"/>
        </w:rPr>
        <w:t xml:space="preserve"> </w:t>
      </w:r>
      <w:r>
        <w:rPr>
          <w:rFonts w:cs="Calibri" w:ascii="Times New Roman" w:hAnsi="Times New Roman"/>
          <w:color w:val="000000"/>
          <w:sz w:val="24"/>
          <w:szCs w:val="24"/>
        </w:rPr>
        <w:t xml:space="preserve">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LONormal1"/>
        <w:widowControl/>
        <w:tabs>
          <w:tab w:val="clear" w:pos="298"/>
          <w:tab w:val="left" w:pos="855" w:leader="none"/>
        </w:tabs>
        <w:suppressAutoHyphens w:val="false"/>
        <w:bidi w:val="0"/>
        <w:snapToGrid w:val="false"/>
        <w:spacing w:lineRule="auto" w:line="240" w:before="119" w:after="119"/>
        <w:ind w:left="0" w:right="0" w:hanging="0"/>
        <w:jc w:val="both"/>
        <w:rPr>
          <w:rFonts w:ascii="Times New Roman" w:hAnsi="Times New Roman"/>
          <w:sz w:val="24"/>
          <w:szCs w:val="24"/>
        </w:rPr>
      </w:pPr>
      <w:r>
        <w:rPr>
          <w:rFonts w:cs="Calibri" w:ascii="Times New Roman" w:hAnsi="Times New Roman"/>
          <w:b w:val="false"/>
          <w:bCs w:val="false"/>
          <w:color w:val="000000"/>
          <w:sz w:val="24"/>
          <w:szCs w:val="24"/>
        </w:rPr>
        <w:t>11.13</w:t>
      </w:r>
      <w:r>
        <w:rPr>
          <w:rFonts w:cs="Calibri" w:ascii="Times New Roman" w:hAnsi="Times New Roman"/>
          <w:color w:val="000000"/>
          <w:sz w:val="24"/>
          <w:szCs w:val="24"/>
        </w:rPr>
        <w:t xml:space="preserve">  </w:t>
        <w:tab/>
      </w:r>
      <w:r>
        <w:rPr>
          <w:rFonts w:cs="Calibri" w:ascii="Times New Roman" w:hAnsi="Times New Roman"/>
          <w:color w:val="000000"/>
          <w:sz w:val="24"/>
          <w:szCs w:val="24"/>
          <w:lang w:eastAsia="en-US"/>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Pr>
          <w:rFonts w:cs="Calibri" w:ascii="Times New Roman" w:hAnsi="Times New Roman"/>
          <w:color w:val="000000"/>
          <w:sz w:val="24"/>
          <w:szCs w:val="24"/>
        </w:rPr>
        <w:t>:</w:t>
      </w:r>
    </w:p>
    <w:p>
      <w:pPr>
        <w:pStyle w:val="Normal"/>
        <w:tabs>
          <w:tab w:val="clear" w:pos="298"/>
          <w:tab w:val="left" w:pos="1701" w:leader="none"/>
        </w:tabs>
        <w:spacing w:lineRule="auto" w:line="240" w:before="119" w:after="119"/>
        <w:ind w:left="425" w:right="0" w:hanging="0"/>
        <w:jc w:val="both"/>
        <w:rPr>
          <w:rFonts w:ascii="Times New Roman" w:hAnsi="Times New Roman" w:cs="Calibri"/>
          <w:color w:val="000000"/>
          <w:sz w:val="24"/>
          <w:szCs w:val="24"/>
        </w:rPr>
      </w:pPr>
      <w:r>
        <w:rPr>
          <w:rFonts w:cs="Calibri" w:ascii="Times New Roman" w:hAnsi="Times New Roman"/>
          <w:color w:val="000000"/>
          <w:sz w:val="24"/>
          <w:szCs w:val="24"/>
        </w:rPr>
        <w:t>EM = I x N x VP, sendo:</w:t>
      </w:r>
    </w:p>
    <w:p>
      <w:pPr>
        <w:pStyle w:val="Normal"/>
        <w:tabs>
          <w:tab w:val="clear" w:pos="298"/>
          <w:tab w:val="left" w:pos="1701" w:leader="none"/>
        </w:tabs>
        <w:spacing w:lineRule="auto" w:line="240" w:before="0" w:after="0"/>
        <w:ind w:left="425" w:right="0" w:hanging="0"/>
        <w:jc w:val="both"/>
        <w:rPr>
          <w:rFonts w:ascii="Times New Roman" w:hAnsi="Times New Roman" w:cs="Calibri"/>
          <w:color w:val="000000"/>
          <w:sz w:val="24"/>
          <w:szCs w:val="24"/>
        </w:rPr>
      </w:pPr>
      <w:r>
        <w:rPr>
          <w:rFonts w:cs="Calibri" w:ascii="Times New Roman" w:hAnsi="Times New Roman"/>
          <w:color w:val="000000"/>
          <w:sz w:val="24"/>
          <w:szCs w:val="24"/>
        </w:rPr>
        <w:t>EM = Encargos moratórios;</w:t>
      </w:r>
    </w:p>
    <w:p>
      <w:pPr>
        <w:pStyle w:val="Normal"/>
        <w:tabs>
          <w:tab w:val="clear" w:pos="298"/>
          <w:tab w:val="left" w:pos="1701" w:leader="none"/>
        </w:tabs>
        <w:spacing w:lineRule="auto" w:line="240" w:before="0" w:after="0"/>
        <w:ind w:left="425" w:right="0" w:hanging="0"/>
        <w:jc w:val="both"/>
        <w:rPr>
          <w:rFonts w:ascii="Times New Roman" w:hAnsi="Times New Roman" w:cs="Calibri"/>
          <w:color w:val="000000"/>
          <w:sz w:val="24"/>
          <w:szCs w:val="24"/>
        </w:rPr>
      </w:pPr>
      <w:r>
        <w:rPr>
          <w:rFonts w:cs="Calibri" w:ascii="Times New Roman" w:hAnsi="Times New Roman"/>
          <w:color w:val="000000"/>
          <w:sz w:val="24"/>
          <w:szCs w:val="24"/>
        </w:rPr>
        <w:t>N = Número de dias entre a data prevista para o pagamento e a do efetivo pagamento;</w:t>
      </w:r>
    </w:p>
    <w:p>
      <w:pPr>
        <w:pStyle w:val="Normal"/>
        <w:tabs>
          <w:tab w:val="clear" w:pos="298"/>
          <w:tab w:val="left" w:pos="1701" w:leader="none"/>
        </w:tabs>
        <w:spacing w:lineRule="auto" w:line="240" w:before="0" w:after="0"/>
        <w:ind w:left="425" w:right="0" w:hanging="0"/>
        <w:jc w:val="both"/>
        <w:rPr>
          <w:rFonts w:ascii="Times New Roman" w:hAnsi="Times New Roman" w:cs="Calibri"/>
          <w:color w:val="000000"/>
          <w:sz w:val="24"/>
          <w:szCs w:val="24"/>
        </w:rPr>
      </w:pPr>
      <w:r>
        <w:rPr>
          <w:rFonts w:cs="Calibri" w:ascii="Times New Roman" w:hAnsi="Times New Roman"/>
          <w:color w:val="000000"/>
          <w:sz w:val="24"/>
          <w:szCs w:val="24"/>
        </w:rPr>
        <w:t>VP = Valor da parcela a ser paga.</w:t>
      </w:r>
    </w:p>
    <w:p>
      <w:pPr>
        <w:pStyle w:val="Normal"/>
        <w:tabs>
          <w:tab w:val="clear" w:pos="298"/>
          <w:tab w:val="left" w:pos="1701" w:leader="none"/>
        </w:tabs>
        <w:spacing w:lineRule="auto" w:line="240" w:before="0" w:after="0"/>
        <w:ind w:left="425" w:right="0" w:hanging="0"/>
        <w:jc w:val="both"/>
        <w:rPr>
          <w:rFonts w:ascii="Times New Roman" w:hAnsi="Times New Roman" w:cs="Calibri"/>
          <w:color w:val="000000"/>
          <w:sz w:val="24"/>
          <w:szCs w:val="24"/>
        </w:rPr>
      </w:pPr>
      <w:r>
        <w:rPr>
          <w:rFonts w:cs="Calibri" w:ascii="Times New Roman" w:hAnsi="Times New Roman"/>
          <w:color w:val="000000"/>
          <w:sz w:val="24"/>
          <w:szCs w:val="24"/>
        </w:rPr>
        <w:t>I = Índice de compensação financeira = 0,00016438, assim apurado:</w:t>
      </w:r>
    </w:p>
    <w:p>
      <w:pPr>
        <w:pStyle w:val="Normal"/>
        <w:tabs>
          <w:tab w:val="clear" w:pos="298"/>
          <w:tab w:val="left" w:pos="1701" w:leader="none"/>
        </w:tabs>
        <w:spacing w:lineRule="auto" w:line="240" w:before="0" w:after="0"/>
        <w:ind w:left="425" w:right="0" w:hanging="0"/>
        <w:jc w:val="both"/>
        <w:rPr>
          <w:rFonts w:ascii="Times New Roman" w:hAnsi="Times New Roman" w:cs="Arial"/>
          <w:color w:val="000000"/>
          <w:sz w:val="24"/>
          <w:szCs w:val="24"/>
        </w:rPr>
      </w:pPr>
      <w:r>
        <w:rPr>
          <w:rFonts w:cs="Arial" w:ascii="Times New Roman" w:hAnsi="Times New Roman"/>
          <w:color w:val="000000"/>
          <w:sz w:val="24"/>
          <w:szCs w:val="24"/>
        </w:rPr>
      </w:r>
    </w:p>
    <w:tbl>
      <w:tblPr>
        <w:tblW w:w="8647" w:type="dxa"/>
        <w:jc w:val="left"/>
        <w:tblInd w:w="533" w:type="dxa"/>
        <w:tblLayout w:type="fixed"/>
        <w:tblCellMar>
          <w:top w:w="0" w:type="dxa"/>
          <w:left w:w="108" w:type="dxa"/>
          <w:bottom w:w="0" w:type="dxa"/>
          <w:right w:w="108" w:type="dxa"/>
        </w:tblCellMar>
      </w:tblPr>
      <w:tblGrid>
        <w:gridCol w:w="2147"/>
        <w:gridCol w:w="581"/>
        <w:gridCol w:w="1247"/>
        <w:gridCol w:w="4671"/>
      </w:tblGrid>
      <w:tr>
        <w:trPr/>
        <w:tc>
          <w:tcPr>
            <w:tcW w:w="2147" w:type="dxa"/>
            <w:tcBorders/>
            <w:vAlign w:val="center"/>
          </w:tcPr>
          <w:p>
            <w:pPr>
              <w:pStyle w:val="Normal"/>
              <w:widowControl w:val="false"/>
              <w:tabs>
                <w:tab w:val="clear" w:pos="298"/>
                <w:tab w:val="left" w:pos="1701" w:leader="none"/>
              </w:tabs>
              <w:spacing w:lineRule="auto" w:line="240" w:before="0" w:after="0"/>
              <w:jc w:val="both"/>
              <w:rPr>
                <w:rFonts w:ascii="Times New Roman" w:hAnsi="Times New Roman" w:eastAsia="ＭＳ 明朝" w:cs="Arial"/>
                <w:color w:val="000000"/>
                <w:sz w:val="24"/>
                <w:szCs w:val="24"/>
                <w:lang w:eastAsia="en-US"/>
              </w:rPr>
            </w:pPr>
            <w:r>
              <w:rPr>
                <w:rFonts w:eastAsia="ＭＳ 明朝" w:cs="Arial" w:ascii="Times New Roman" w:hAnsi="Times New Roman"/>
                <w:color w:val="000000"/>
                <w:sz w:val="24"/>
                <w:szCs w:val="24"/>
                <w:lang w:eastAsia="en-US"/>
              </w:rPr>
              <w:t>I = (TX)</w:t>
            </w:r>
          </w:p>
        </w:tc>
        <w:tc>
          <w:tcPr>
            <w:tcW w:w="581" w:type="dxa"/>
            <w:tcBorders/>
            <w:vAlign w:val="center"/>
          </w:tcPr>
          <w:p>
            <w:pPr>
              <w:pStyle w:val="Normal"/>
              <w:widowControl w:val="false"/>
              <w:tabs>
                <w:tab w:val="clear" w:pos="298"/>
                <w:tab w:val="left" w:pos="1701" w:leader="none"/>
              </w:tabs>
              <w:spacing w:lineRule="auto" w:line="240" w:before="0" w:after="0"/>
              <w:jc w:val="both"/>
              <w:rPr>
                <w:rFonts w:ascii="Times New Roman" w:hAnsi="Times New Roman" w:eastAsia="ＭＳ 明朝" w:cs="Arial"/>
                <w:color w:val="000000"/>
                <w:sz w:val="24"/>
                <w:szCs w:val="24"/>
                <w:lang w:eastAsia="en-US"/>
              </w:rPr>
            </w:pPr>
            <w:r>
              <w:rPr>
                <w:rFonts w:eastAsia="ＭＳ 明朝" w:cs="Arial" w:ascii="Times New Roman" w:hAnsi="Times New Roman"/>
                <w:color w:val="000000"/>
                <w:sz w:val="24"/>
                <w:szCs w:val="24"/>
                <w:lang w:eastAsia="en-US"/>
              </w:rPr>
              <w:t>I =</w:t>
            </w:r>
          </w:p>
        </w:tc>
        <w:tc>
          <w:tcPr>
            <w:tcW w:w="1247" w:type="dxa"/>
            <w:tcBorders/>
            <w:vAlign w:val="center"/>
          </w:tcPr>
          <w:p>
            <w:pPr>
              <w:pStyle w:val="Normal"/>
              <w:widowControl w:val="false"/>
              <w:tabs>
                <w:tab w:val="clear" w:pos="298"/>
                <w:tab w:val="left" w:pos="1701" w:leader="none"/>
              </w:tabs>
              <w:spacing w:lineRule="auto" w:line="240" w:before="0" w:after="0"/>
              <w:jc w:val="both"/>
              <w:rPr>
                <w:rFonts w:ascii="Times New Roman" w:hAnsi="Times New Roman" w:eastAsia="ＭＳ 明朝" w:cs="Arial"/>
                <w:color w:val="000000"/>
                <w:sz w:val="24"/>
                <w:szCs w:val="24"/>
                <w:u w:val="single"/>
                <w:lang w:eastAsia="en-US"/>
              </w:rPr>
            </w:pPr>
            <w:r>
              <w:rPr>
                <w:rFonts w:eastAsia="ＭＳ 明朝" w:cs="Arial" w:ascii="Times New Roman" w:hAnsi="Times New Roman"/>
                <w:color w:val="000000"/>
                <w:sz w:val="24"/>
                <w:szCs w:val="24"/>
                <w:u w:val="single"/>
                <w:lang w:eastAsia="en-US"/>
              </w:rPr>
              <w:t>( 6 / 100 )</w:t>
            </w:r>
          </w:p>
        </w:tc>
        <w:tc>
          <w:tcPr>
            <w:tcW w:w="4671" w:type="dxa"/>
            <w:tcBorders/>
            <w:vAlign w:val="center"/>
          </w:tcPr>
          <w:p>
            <w:pPr>
              <w:pStyle w:val="Normal"/>
              <w:widowControl w:val="false"/>
              <w:tabs>
                <w:tab w:val="clear" w:pos="298"/>
                <w:tab w:val="left" w:pos="1701" w:leader="none"/>
              </w:tabs>
              <w:spacing w:lineRule="auto" w:line="240" w:before="0" w:after="0"/>
              <w:ind w:left="742" w:right="0" w:hanging="0"/>
              <w:jc w:val="both"/>
              <w:rPr>
                <w:rFonts w:ascii="Times New Roman" w:hAnsi="Times New Roman" w:eastAsia="ＭＳ 明朝" w:cs="Arial"/>
                <w:color w:val="000000"/>
                <w:sz w:val="24"/>
                <w:szCs w:val="24"/>
                <w:lang w:eastAsia="en-US"/>
              </w:rPr>
            </w:pPr>
            <w:r>
              <w:rPr>
                <w:rFonts w:eastAsia="ＭＳ 明朝" w:cs="Arial" w:ascii="Times New Roman" w:hAnsi="Times New Roman"/>
                <w:color w:val="000000"/>
                <w:sz w:val="24"/>
                <w:szCs w:val="24"/>
                <w:lang w:eastAsia="en-US"/>
              </w:rPr>
              <w:t>I = 0,00016438</w:t>
            </w:r>
          </w:p>
          <w:p>
            <w:pPr>
              <w:pStyle w:val="Normal"/>
              <w:widowControl w:val="false"/>
              <w:tabs>
                <w:tab w:val="clear" w:pos="298"/>
                <w:tab w:val="left" w:pos="1701" w:leader="none"/>
              </w:tabs>
              <w:spacing w:lineRule="auto" w:line="240" w:before="0" w:after="0"/>
              <w:ind w:left="742" w:right="0" w:hanging="0"/>
              <w:jc w:val="both"/>
              <w:rPr>
                <w:rFonts w:ascii="Times New Roman" w:hAnsi="Times New Roman" w:eastAsia="ＭＳ 明朝" w:cs="Arial"/>
                <w:color w:val="000000"/>
                <w:sz w:val="24"/>
                <w:szCs w:val="24"/>
                <w:lang w:eastAsia="en-US"/>
              </w:rPr>
            </w:pPr>
            <w:r>
              <w:rPr>
                <w:rFonts w:eastAsia="ＭＳ 明朝" w:cs="Arial" w:ascii="Times New Roman" w:hAnsi="Times New Roman"/>
                <w:color w:val="000000"/>
                <w:sz w:val="24"/>
                <w:szCs w:val="24"/>
                <w:lang w:eastAsia="en-US"/>
              </w:rPr>
              <w:t>TX = Percentual da taxa anual = 6%</w:t>
            </w:r>
          </w:p>
        </w:tc>
      </w:tr>
    </w:tbl>
    <w:p>
      <w:pPr>
        <w:pStyle w:val="Normal"/>
        <w:tabs>
          <w:tab w:val="clear" w:pos="298"/>
          <w:tab w:val="left" w:pos="1276" w:leader="none"/>
        </w:tabs>
        <w:spacing w:lineRule="auto" w:line="240" w:before="0" w:after="0"/>
        <w:ind w:left="425" w:right="0" w:hanging="0"/>
        <w:jc w:val="both"/>
        <w:rPr>
          <w:rFonts w:ascii="Times New Roman" w:hAnsi="Times New Roman"/>
          <w:sz w:val="24"/>
          <w:szCs w:val="24"/>
        </w:rPr>
      </w:pPr>
      <w:r>
        <w:rPr>
          <w:rFonts w:cs="Calibri" w:ascii="Times New Roman" w:hAnsi="Times New Roman"/>
          <w:color w:val="000000"/>
          <w:sz w:val="24"/>
          <w:szCs w:val="24"/>
        </w:rPr>
        <w:t xml:space="preserve">                                                                       </w:t>
      </w:r>
      <w:r>
        <w:rPr>
          <w:rFonts w:cs="Calibri" w:ascii="Times New Roman" w:hAnsi="Times New Roman"/>
          <w:color w:val="000000"/>
          <w:sz w:val="24"/>
          <w:szCs w:val="24"/>
        </w:rPr>
        <w:t xml:space="preserve">365                                 </w:t>
      </w:r>
    </w:p>
    <w:p>
      <w:pPr>
        <w:pStyle w:val="LONormal1"/>
        <w:tabs>
          <w:tab w:val="clear" w:pos="298"/>
          <w:tab w:val="left" w:pos="855" w:leader="none"/>
        </w:tabs>
        <w:spacing w:lineRule="auto" w:line="240" w:before="119" w:after="119"/>
        <w:jc w:val="both"/>
        <w:rPr>
          <w:rFonts w:ascii="Times New Roman" w:hAnsi="Times New Roman" w:cs="Calibri"/>
          <w:color w:val="000000"/>
          <w:sz w:val="24"/>
          <w:szCs w:val="24"/>
        </w:rPr>
      </w:pPr>
      <w:r>
        <w:rPr>
          <w:rFonts w:cs="Calibri" w:ascii="Times New Roman" w:hAnsi="Times New Roman"/>
          <w:color w:val="000000"/>
          <w:sz w:val="24"/>
          <w:szCs w:val="24"/>
        </w:rPr>
      </w:r>
    </w:p>
    <w:p>
      <w:pPr>
        <w:pStyle w:val="Nivel1"/>
        <w:keepNext w:val="true"/>
        <w:keepLines/>
        <w:widowControl w:val="false"/>
        <w:tabs>
          <w:tab w:val="clear" w:pos="298"/>
          <w:tab w:val="left" w:pos="855" w:leader="none"/>
        </w:tabs>
        <w:suppressAutoHyphens w:val="false"/>
        <w:bidi w:val="0"/>
        <w:spacing w:lineRule="auto" w:line="240" w:before="119" w:after="119"/>
        <w:ind w:left="0" w:right="0" w:hanging="0"/>
        <w:jc w:val="both"/>
        <w:textAlignment w:val="auto"/>
        <w:rPr>
          <w:b/>
          <w:b/>
          <w:bCs/>
        </w:rPr>
      </w:pPr>
      <w:r>
        <w:rPr>
          <w:rFonts w:cs="Calibri" w:ascii="Times New Roman" w:hAnsi="Times New Roman"/>
          <w:b/>
          <w:bCs/>
          <w:sz w:val="24"/>
          <w:szCs w:val="24"/>
        </w:rPr>
        <w:t xml:space="preserve">12.   </w:t>
      </w:r>
      <w:r>
        <w:rPr>
          <w:rFonts w:cs="Calibri" w:ascii="Times New Roman" w:hAnsi="Times New Roman"/>
          <w:b/>
          <w:bCs/>
          <w:strike w:val="false"/>
          <w:dstrike w:val="false"/>
          <w:sz w:val="24"/>
          <w:szCs w:val="24"/>
        </w:rPr>
        <w:tab/>
        <w:t>DA GARANTIA DE EXECUÇÃO</w:t>
      </w:r>
    </w:p>
    <w:p>
      <w:pPr>
        <w:pStyle w:val="LONormal1"/>
        <w:widowControl/>
        <w:tabs>
          <w:tab w:val="clear" w:pos="298"/>
          <w:tab w:val="left" w:pos="855" w:leader="none"/>
        </w:tabs>
        <w:suppressAutoHyphens w:val="false"/>
        <w:bidi w:val="0"/>
        <w:spacing w:lineRule="auto" w:line="240" w:before="119" w:after="119"/>
        <w:ind w:left="0" w:right="0" w:hanging="0"/>
        <w:jc w:val="both"/>
        <w:rPr>
          <w:rFonts w:ascii="Times New Roman" w:hAnsi="Times New Roman" w:cs="Calibri"/>
          <w:b w:val="false"/>
          <w:b w:val="false"/>
          <w:bCs w:val="false"/>
          <w:i w:val="false"/>
          <w:i w:val="false"/>
          <w:iCs w:val="false"/>
          <w:strike w:val="false"/>
          <w:dstrike w:val="false"/>
          <w:color w:val="000000"/>
          <w:sz w:val="24"/>
          <w:szCs w:val="24"/>
        </w:rPr>
      </w:pPr>
      <w:r>
        <w:rPr>
          <w:rFonts w:cs="Calibri" w:ascii="Times New Roman" w:hAnsi="Times New Roman"/>
          <w:b w:val="false"/>
          <w:bCs w:val="false"/>
          <w:i w:val="false"/>
          <w:iCs w:val="false"/>
          <w:strike w:val="false"/>
          <w:dstrike w:val="false"/>
          <w:color w:val="000000"/>
          <w:sz w:val="24"/>
          <w:szCs w:val="24"/>
        </w:rPr>
        <w:t xml:space="preserve">12.1 </w:t>
        <w:tab/>
        <w:t>Não haverá exigência de garantia contratual da execução, pelas razões abaixo justificadas:</w:t>
      </w:r>
    </w:p>
    <w:p>
      <w:pPr>
        <w:pStyle w:val="LONormal1"/>
        <w:widowControl/>
        <w:tabs>
          <w:tab w:val="clear" w:pos="298"/>
          <w:tab w:val="left" w:pos="1695" w:leader="none"/>
        </w:tabs>
        <w:suppressAutoHyphens w:val="false"/>
        <w:bidi w:val="0"/>
        <w:spacing w:lineRule="auto" w:line="240" w:before="119" w:after="119"/>
        <w:ind w:left="850" w:right="0" w:hanging="0"/>
        <w:jc w:val="both"/>
        <w:rPr>
          <w:rFonts w:ascii="Times New Roman" w:hAnsi="Times New Roman" w:cs="Calibri"/>
          <w:b w:val="false"/>
          <w:b w:val="false"/>
          <w:bCs w:val="false"/>
          <w:i w:val="false"/>
          <w:i w:val="false"/>
          <w:iCs w:val="false"/>
          <w:strike w:val="false"/>
          <w:dstrike w:val="false"/>
          <w:color w:val="000000"/>
          <w:sz w:val="24"/>
          <w:szCs w:val="24"/>
        </w:rPr>
      </w:pPr>
      <w:r>
        <w:rPr>
          <w:rFonts w:cs="Calibri" w:ascii="Times New Roman" w:hAnsi="Times New Roman"/>
          <w:b w:val="false"/>
          <w:bCs w:val="false"/>
          <w:i w:val="false"/>
          <w:iCs w:val="false"/>
          <w:strike w:val="false"/>
          <w:dstrike w:val="false"/>
          <w:color w:val="000000"/>
          <w:sz w:val="24"/>
          <w:szCs w:val="24"/>
        </w:rPr>
        <w:t>12.1.1</w:t>
        <w:tab/>
        <w:t>Para promover maior competitividade ao certame.</w:t>
      </w:r>
    </w:p>
    <w:p>
      <w:pPr>
        <w:pStyle w:val="LONormal"/>
        <w:tabs>
          <w:tab w:val="clear" w:pos="298"/>
          <w:tab w:val="left" w:pos="855" w:leader="none"/>
        </w:tabs>
        <w:spacing w:lineRule="auto" w:line="240" w:before="119" w:after="119"/>
        <w:ind w:left="0" w:right="-15" w:hanging="0"/>
        <w:jc w:val="both"/>
        <w:rPr/>
      </w:pPr>
      <w:r>
        <w:rPr>
          <w:rStyle w:val="Fontepargpadro1"/>
          <w:rFonts w:cs="Calibri" w:ascii="Times New Roman" w:hAnsi="Times New Roman"/>
          <w:b/>
          <w:bCs/>
          <w:sz w:val="24"/>
          <w:szCs w:val="24"/>
        </w:rPr>
        <w:t xml:space="preserve">13. </w:t>
        <w:tab/>
      </w:r>
      <w:r>
        <w:rPr>
          <w:rStyle w:val="Fontepargpadro1"/>
          <w:rFonts w:cs="Calibri" w:ascii="Times New Roman" w:hAnsi="Times New Roman"/>
          <w:b/>
          <w:bCs/>
          <w:color w:val="000000"/>
          <w:sz w:val="24"/>
          <w:szCs w:val="24"/>
        </w:rPr>
        <w:t>A GARANTIA CONTRATUAL DO SERVIÇO</w:t>
      </w:r>
    </w:p>
    <w:p>
      <w:pPr>
        <w:pStyle w:val="Normal"/>
        <w:widowControl/>
        <w:numPr>
          <w:ilvl w:val="0"/>
          <w:numId w:val="0"/>
        </w:numPr>
        <w:tabs>
          <w:tab w:val="clear" w:pos="298"/>
          <w:tab w:val="left" w:pos="855" w:leader="none"/>
        </w:tabs>
        <w:suppressAutoHyphens w:val="false"/>
        <w:bidi w:val="0"/>
        <w:spacing w:lineRule="auto" w:line="240" w:before="119" w:after="119"/>
        <w:ind w:left="0" w:right="0" w:hanging="0"/>
        <w:jc w:val="both"/>
        <w:textAlignment w:val="baseline"/>
        <w:rPr>
          <w:rFonts w:ascii="Times New Roman" w:hAnsi="Times New Roman" w:cs="Calibri"/>
          <w:i w:val="false"/>
          <w:i w:val="false"/>
          <w:iCs w:val="false"/>
          <w:color w:val="000000"/>
          <w:sz w:val="24"/>
          <w:szCs w:val="24"/>
        </w:rPr>
      </w:pPr>
      <w:r>
        <w:rPr>
          <w:rFonts w:cs="Calibri" w:ascii="Times New Roman" w:hAnsi="Times New Roman"/>
          <w:i w:val="false"/>
          <w:iCs w:val="false"/>
          <w:color w:val="000000"/>
          <w:sz w:val="24"/>
          <w:szCs w:val="24"/>
        </w:rPr>
        <w:t>13.1</w:t>
        <w:tab/>
        <w:t xml:space="preserve">O prazo de garantia contratual do serviço, complementar à garantia legal, é de, no mínimo, 6 (seis) meses, ou pelo prazo fornecido pelo fabricante, se superior, contado a partir do primeiro dia útil subsequente à data do recebimento definitivo do objeto. </w:t>
      </w:r>
    </w:p>
    <w:p>
      <w:pPr>
        <w:pStyle w:val="Normal"/>
        <w:widowControl/>
        <w:numPr>
          <w:ilvl w:val="0"/>
          <w:numId w:val="0"/>
        </w:numPr>
        <w:tabs>
          <w:tab w:val="clear" w:pos="298"/>
          <w:tab w:val="left" w:pos="855" w:leader="none"/>
        </w:tabs>
        <w:suppressAutoHyphens w:val="false"/>
        <w:bidi w:val="0"/>
        <w:spacing w:lineRule="auto" w:line="240" w:before="119" w:after="119"/>
        <w:ind w:left="0" w:right="0" w:hanging="0"/>
        <w:jc w:val="both"/>
        <w:textAlignment w:val="baseline"/>
        <w:rPr>
          <w:rFonts w:ascii="Times New Roman" w:hAnsi="Times New Roman" w:cs="Calibri"/>
          <w:i w:val="false"/>
          <w:i w:val="false"/>
          <w:iCs w:val="false"/>
          <w:color w:val="000000"/>
          <w:sz w:val="24"/>
          <w:szCs w:val="24"/>
        </w:rPr>
      </w:pPr>
      <w:r>
        <w:rPr>
          <w:rFonts w:cs="Calibri" w:ascii="Times New Roman" w:hAnsi="Times New Roman"/>
          <w:i w:val="false"/>
          <w:iCs w:val="false"/>
          <w:color w:val="000000"/>
          <w:sz w:val="24"/>
          <w:szCs w:val="24"/>
        </w:rPr>
        <w:t xml:space="preserve">13.2 </w:t>
        <w:tab/>
        <w:t xml:space="preserve">A garantia será prestada com vistas a manter os equipamentos fornecidos em perfeitas condições de uso, sem qualquer ônus ou custo adicional para o Contratante. </w:t>
      </w:r>
    </w:p>
    <w:p>
      <w:pPr>
        <w:pStyle w:val="Normal"/>
        <w:widowControl/>
        <w:numPr>
          <w:ilvl w:val="0"/>
          <w:numId w:val="0"/>
        </w:numPr>
        <w:tabs>
          <w:tab w:val="clear" w:pos="298"/>
          <w:tab w:val="left" w:pos="855" w:leader="none"/>
        </w:tabs>
        <w:suppressAutoHyphens w:val="false"/>
        <w:bidi w:val="0"/>
        <w:spacing w:lineRule="auto" w:line="240" w:before="119" w:after="119"/>
        <w:ind w:left="0" w:right="0" w:hanging="0"/>
        <w:jc w:val="both"/>
        <w:textAlignment w:val="baseline"/>
        <w:rPr>
          <w:rFonts w:ascii="Times New Roman" w:hAnsi="Times New Roman" w:cs="Calibri"/>
          <w:i w:val="false"/>
          <w:i w:val="false"/>
          <w:iCs w:val="false"/>
          <w:color w:val="000000"/>
          <w:sz w:val="24"/>
          <w:szCs w:val="24"/>
        </w:rPr>
      </w:pPr>
      <w:r>
        <w:rPr>
          <w:rFonts w:cs="Calibri" w:ascii="Times New Roman" w:hAnsi="Times New Roman"/>
          <w:i w:val="false"/>
          <w:iCs w:val="false"/>
          <w:color w:val="000000"/>
          <w:sz w:val="24"/>
          <w:szCs w:val="24"/>
        </w:rPr>
        <w:t xml:space="preserve">13.3 </w:t>
        <w:tab/>
        <w:t xml:space="preserve">A garantia abrange a realização da manutenção corretiva dos bens pela própria Contratada, ou, se for o caso, por meio de assistência técnica autorizada, de acordo com as normas técnicas específicas. </w:t>
      </w:r>
    </w:p>
    <w:p>
      <w:pPr>
        <w:pStyle w:val="Normal"/>
        <w:widowControl/>
        <w:numPr>
          <w:ilvl w:val="0"/>
          <w:numId w:val="0"/>
        </w:numPr>
        <w:tabs>
          <w:tab w:val="clear" w:pos="298"/>
          <w:tab w:val="left" w:pos="855" w:leader="none"/>
        </w:tabs>
        <w:suppressAutoHyphens w:val="false"/>
        <w:bidi w:val="0"/>
        <w:spacing w:lineRule="auto" w:line="240" w:before="119" w:after="119"/>
        <w:ind w:left="0" w:right="0" w:hanging="0"/>
        <w:jc w:val="both"/>
        <w:textAlignment w:val="baseline"/>
        <w:rPr>
          <w:rFonts w:ascii="Times New Roman" w:hAnsi="Times New Roman" w:cs="Calibri"/>
          <w:i w:val="false"/>
          <w:i w:val="false"/>
          <w:iCs w:val="false"/>
          <w:color w:val="000000"/>
          <w:sz w:val="24"/>
          <w:szCs w:val="24"/>
        </w:rPr>
      </w:pPr>
      <w:r>
        <w:rPr>
          <w:rFonts w:cs="Calibri" w:ascii="Times New Roman" w:hAnsi="Times New Roman"/>
          <w:i w:val="false"/>
          <w:iCs w:val="false"/>
          <w:color w:val="000000"/>
          <w:sz w:val="24"/>
          <w:szCs w:val="24"/>
        </w:rPr>
        <w:t>13.4</w:t>
        <w:tab/>
        <w:t xml:space="preserve">Entende-se por manutenção corretiva aquela destinada a corrigir os defeitos apresentados pelos bens, compreendendo a substituição de peças, a realização de ajustes, reparos e correções necessárias. </w:t>
      </w:r>
    </w:p>
    <w:p>
      <w:pPr>
        <w:pStyle w:val="Normal"/>
        <w:widowControl/>
        <w:numPr>
          <w:ilvl w:val="0"/>
          <w:numId w:val="0"/>
        </w:numPr>
        <w:tabs>
          <w:tab w:val="clear" w:pos="298"/>
          <w:tab w:val="left" w:pos="855" w:leader="none"/>
        </w:tabs>
        <w:suppressAutoHyphens w:val="false"/>
        <w:bidi w:val="0"/>
        <w:spacing w:lineRule="auto" w:line="240" w:before="119" w:after="119"/>
        <w:ind w:left="0" w:right="0" w:hanging="0"/>
        <w:jc w:val="both"/>
        <w:textAlignment w:val="baseline"/>
        <w:rPr>
          <w:rFonts w:ascii="Times New Roman" w:hAnsi="Times New Roman" w:cs="Calibri"/>
          <w:i w:val="false"/>
          <w:i w:val="false"/>
          <w:iCs w:val="false"/>
          <w:color w:val="000000"/>
          <w:sz w:val="24"/>
          <w:szCs w:val="24"/>
        </w:rPr>
      </w:pPr>
      <w:r>
        <w:rPr>
          <w:rFonts w:cs="Calibri" w:ascii="Times New Roman" w:hAnsi="Times New Roman"/>
          <w:i w:val="false"/>
          <w:iCs w:val="false"/>
          <w:color w:val="000000"/>
          <w:sz w:val="24"/>
          <w:szCs w:val="24"/>
        </w:rPr>
        <w:t>13.5</w:t>
        <w:tab/>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pPr>
        <w:pStyle w:val="Normal"/>
        <w:widowControl/>
        <w:numPr>
          <w:ilvl w:val="0"/>
          <w:numId w:val="0"/>
        </w:numPr>
        <w:tabs>
          <w:tab w:val="clear" w:pos="298"/>
          <w:tab w:val="left" w:pos="855" w:leader="none"/>
        </w:tabs>
        <w:suppressAutoHyphens w:val="false"/>
        <w:bidi w:val="0"/>
        <w:spacing w:lineRule="auto" w:line="240" w:before="119" w:after="119"/>
        <w:ind w:left="0" w:right="0" w:hanging="0"/>
        <w:jc w:val="both"/>
        <w:textAlignment w:val="baseline"/>
        <w:rPr>
          <w:rFonts w:ascii="Times New Roman" w:hAnsi="Times New Roman" w:cs="Calibri"/>
          <w:i w:val="false"/>
          <w:i w:val="false"/>
          <w:iCs w:val="false"/>
          <w:color w:val="000000"/>
          <w:sz w:val="24"/>
          <w:szCs w:val="24"/>
        </w:rPr>
      </w:pPr>
      <w:r>
        <w:rPr>
          <w:rFonts w:cs="Calibri" w:ascii="Times New Roman" w:hAnsi="Times New Roman"/>
          <w:i w:val="false"/>
          <w:iCs w:val="false"/>
          <w:color w:val="000000"/>
          <w:sz w:val="24"/>
          <w:szCs w:val="24"/>
        </w:rPr>
        <w:t>13.6</w:t>
        <w:tab/>
        <w:t xml:space="preserve">Uma vez notificada, a Contratada realizará a reparação ou substituição dos bens que apresentarem vício ou defeito no prazo de até 10 (dez) dias corridos, contados a partir da data de retirada do equipamento das dependências da Administração pela Contratada ou pela assistência técnica autorizada. </w:t>
      </w:r>
    </w:p>
    <w:p>
      <w:pPr>
        <w:pStyle w:val="Normal"/>
        <w:widowControl/>
        <w:numPr>
          <w:ilvl w:val="0"/>
          <w:numId w:val="0"/>
        </w:numPr>
        <w:tabs>
          <w:tab w:val="clear" w:pos="298"/>
          <w:tab w:val="left" w:pos="855" w:leader="none"/>
        </w:tabs>
        <w:suppressAutoHyphens w:val="false"/>
        <w:bidi w:val="0"/>
        <w:spacing w:lineRule="auto" w:line="240" w:before="119" w:after="119"/>
        <w:ind w:left="0" w:right="0" w:hanging="0"/>
        <w:jc w:val="both"/>
        <w:textAlignment w:val="baseline"/>
        <w:rPr>
          <w:rFonts w:ascii="Times New Roman" w:hAnsi="Times New Roman" w:cs="Calibri"/>
          <w:i w:val="false"/>
          <w:i w:val="false"/>
          <w:iCs w:val="false"/>
          <w:color w:val="000000"/>
          <w:sz w:val="24"/>
          <w:szCs w:val="24"/>
        </w:rPr>
      </w:pPr>
      <w:r>
        <w:rPr>
          <w:rFonts w:cs="Calibri" w:ascii="Times New Roman" w:hAnsi="Times New Roman"/>
          <w:i w:val="false"/>
          <w:iCs w:val="false"/>
          <w:color w:val="000000"/>
          <w:sz w:val="24"/>
          <w:szCs w:val="24"/>
        </w:rPr>
        <w:t>13.7</w:t>
        <w:tab/>
        <w:t xml:space="preserve">O prazo indicado no subitem anterior, durante seu transcurso, poderá ser prorrogado uma única vez, por igual período, mediante solicitação escrita e justificada da Contratada, aceita pelo Contratante. </w:t>
      </w:r>
    </w:p>
    <w:p>
      <w:pPr>
        <w:pStyle w:val="Normal"/>
        <w:widowControl/>
        <w:numPr>
          <w:ilvl w:val="0"/>
          <w:numId w:val="0"/>
        </w:numPr>
        <w:tabs>
          <w:tab w:val="clear" w:pos="298"/>
          <w:tab w:val="left" w:pos="855" w:leader="none"/>
        </w:tabs>
        <w:suppressAutoHyphens w:val="false"/>
        <w:bidi w:val="0"/>
        <w:spacing w:lineRule="auto" w:line="240" w:before="119" w:after="119"/>
        <w:ind w:left="0" w:right="0" w:hanging="0"/>
        <w:jc w:val="both"/>
        <w:textAlignment w:val="baseline"/>
        <w:rPr>
          <w:rFonts w:ascii="Times New Roman" w:hAnsi="Times New Roman" w:cs="Calibri"/>
          <w:i w:val="false"/>
          <w:i w:val="false"/>
          <w:iCs w:val="false"/>
          <w:color w:val="000000"/>
          <w:sz w:val="24"/>
          <w:szCs w:val="24"/>
        </w:rPr>
      </w:pPr>
      <w:r>
        <w:rPr>
          <w:rFonts w:cs="Calibri" w:ascii="Times New Roman" w:hAnsi="Times New Roman"/>
          <w:i w:val="false"/>
          <w:iCs w:val="false"/>
          <w:color w:val="000000"/>
          <w:sz w:val="24"/>
          <w:szCs w:val="24"/>
        </w:rPr>
        <w:t>13.8</w:t>
        <w:tab/>
        <w:t xml:space="preserve">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pPr>
        <w:pStyle w:val="Normal"/>
        <w:widowControl/>
        <w:numPr>
          <w:ilvl w:val="0"/>
          <w:numId w:val="0"/>
        </w:numPr>
        <w:tabs>
          <w:tab w:val="clear" w:pos="298"/>
          <w:tab w:val="left" w:pos="855" w:leader="none"/>
        </w:tabs>
        <w:suppressAutoHyphens w:val="false"/>
        <w:bidi w:val="0"/>
        <w:spacing w:lineRule="auto" w:line="240" w:before="119" w:after="119"/>
        <w:ind w:left="0" w:right="0" w:hanging="0"/>
        <w:jc w:val="both"/>
        <w:textAlignment w:val="baseline"/>
        <w:rPr>
          <w:rFonts w:ascii="Times New Roman" w:hAnsi="Times New Roman" w:cs="Calibri"/>
          <w:i w:val="false"/>
          <w:i w:val="false"/>
          <w:iCs w:val="false"/>
          <w:color w:val="000000"/>
          <w:sz w:val="24"/>
          <w:szCs w:val="24"/>
        </w:rPr>
      </w:pPr>
      <w:r>
        <w:rPr>
          <w:rFonts w:cs="Calibri" w:ascii="Times New Roman" w:hAnsi="Times New Roman"/>
          <w:i w:val="false"/>
          <w:iCs w:val="false"/>
          <w:color w:val="000000"/>
          <w:sz w:val="24"/>
          <w:szCs w:val="24"/>
        </w:rPr>
        <w:t>13.9</w:t>
        <w:tab/>
        <w:t xml:space="preserve">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 </w:t>
      </w:r>
    </w:p>
    <w:p>
      <w:pPr>
        <w:pStyle w:val="Normal"/>
        <w:widowControl/>
        <w:numPr>
          <w:ilvl w:val="0"/>
          <w:numId w:val="0"/>
        </w:numPr>
        <w:tabs>
          <w:tab w:val="clear" w:pos="298"/>
          <w:tab w:val="left" w:pos="855" w:leader="none"/>
        </w:tabs>
        <w:suppressAutoHyphens w:val="false"/>
        <w:bidi w:val="0"/>
        <w:spacing w:lineRule="auto" w:line="240" w:before="119" w:after="119"/>
        <w:ind w:left="0" w:right="0" w:hanging="0"/>
        <w:jc w:val="both"/>
        <w:textAlignment w:val="baseline"/>
        <w:rPr/>
      </w:pPr>
      <w:r>
        <w:rPr>
          <w:rFonts w:cs="Calibri" w:ascii="Times New Roman" w:hAnsi="Times New Roman"/>
          <w:i w:val="false"/>
          <w:iCs w:val="false"/>
          <w:color w:val="000000"/>
          <w:sz w:val="24"/>
          <w:szCs w:val="24"/>
        </w:rPr>
        <w:t>13.10</w:t>
      </w:r>
      <w:r>
        <w:rPr>
          <w:rStyle w:val="Fontepargpadro1"/>
          <w:rFonts w:cs="Calibri" w:ascii="Times New Roman" w:hAnsi="Times New Roman"/>
          <w:b w:val="false"/>
          <w:bCs w:val="false"/>
          <w:i w:val="false"/>
          <w:iCs w:val="false"/>
          <w:color w:val="000000"/>
          <w:sz w:val="24"/>
          <w:szCs w:val="24"/>
        </w:rPr>
        <w:tab/>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pPr>
        <w:pStyle w:val="Normal"/>
        <w:widowControl/>
        <w:numPr>
          <w:ilvl w:val="0"/>
          <w:numId w:val="0"/>
        </w:numPr>
        <w:tabs>
          <w:tab w:val="clear" w:pos="298"/>
          <w:tab w:val="left" w:pos="855" w:leader="none"/>
        </w:tabs>
        <w:suppressAutoHyphens w:val="false"/>
        <w:bidi w:val="0"/>
        <w:spacing w:lineRule="auto" w:line="240" w:before="119" w:after="119"/>
        <w:ind w:left="0" w:right="0" w:hanging="0"/>
        <w:jc w:val="both"/>
        <w:textAlignment w:val="baseline"/>
        <w:rPr>
          <w:rStyle w:val="Fontepargpadro1"/>
          <w:rFonts w:ascii="Times New Roman" w:hAnsi="Times New Roman" w:cs="Calibri"/>
          <w:b w:val="false"/>
          <w:b w:val="false"/>
          <w:bCs w:val="false"/>
          <w:i w:val="false"/>
          <w:i w:val="false"/>
          <w:iCs w:val="false"/>
          <w:color w:val="000000"/>
          <w:sz w:val="24"/>
          <w:szCs w:val="24"/>
        </w:rPr>
      </w:pPr>
      <w:r>
        <w:rPr>
          <w:rFonts w:cs="Calibri" w:ascii="Times New Roman" w:hAnsi="Times New Roman"/>
          <w:b w:val="false"/>
          <w:bCs w:val="false"/>
          <w:i w:val="false"/>
          <w:iCs w:val="false"/>
          <w:color w:val="000000"/>
          <w:sz w:val="24"/>
          <w:szCs w:val="24"/>
        </w:rPr>
      </w:r>
    </w:p>
    <w:p>
      <w:pPr>
        <w:pStyle w:val="LONormal"/>
        <w:tabs>
          <w:tab w:val="clear" w:pos="298"/>
          <w:tab w:val="left" w:pos="855" w:leader="none"/>
        </w:tabs>
        <w:spacing w:lineRule="auto" w:line="240" w:before="119" w:after="119"/>
        <w:ind w:left="0" w:right="-15" w:hanging="0"/>
        <w:jc w:val="both"/>
        <w:rPr/>
      </w:pPr>
      <w:r>
        <w:rPr>
          <w:rStyle w:val="Fontepargpadro1"/>
          <w:rFonts w:cs="Calibri" w:ascii="Times New Roman" w:hAnsi="Times New Roman"/>
          <w:b/>
          <w:bCs/>
          <w:sz w:val="24"/>
          <w:szCs w:val="24"/>
        </w:rPr>
        <w:t xml:space="preserve">14. </w:t>
        <w:tab/>
        <w:t>DAS SANÇÕES ADMINISTRATIVAS</w:t>
      </w:r>
    </w:p>
    <w:p>
      <w:pPr>
        <w:pStyle w:val="LONormal"/>
        <w:widowControl/>
        <w:tabs>
          <w:tab w:val="clear" w:pos="298"/>
          <w:tab w:val="left" w:pos="855" w:leader="none"/>
        </w:tabs>
        <w:suppressAutoHyphens w:val="true"/>
        <w:bidi w:val="0"/>
        <w:spacing w:lineRule="auto" w:line="240" w:before="119" w:after="119"/>
        <w:ind w:left="0" w:right="0" w:hanging="0"/>
        <w:jc w:val="both"/>
        <w:textAlignment w:val="baseline"/>
        <w:rPr>
          <w:rFonts w:ascii="Times New Roman" w:hAnsi="Times New Roman"/>
          <w:sz w:val="24"/>
          <w:szCs w:val="24"/>
        </w:rPr>
      </w:pPr>
      <w:r>
        <w:rPr>
          <w:rFonts w:cs="Calibri" w:ascii="Times New Roman" w:hAnsi="Times New Roman"/>
          <w:b w:val="false"/>
          <w:bCs w:val="false"/>
          <w:sz w:val="24"/>
          <w:szCs w:val="24"/>
        </w:rPr>
        <w:t xml:space="preserve">14.1 </w:t>
      </w:r>
      <w:r>
        <w:rPr>
          <w:rFonts w:cs="Calibri" w:ascii="Times New Roman" w:hAnsi="Times New Roman"/>
          <w:b/>
          <w:bCs/>
          <w:sz w:val="24"/>
          <w:szCs w:val="24"/>
        </w:rPr>
        <w:tab/>
      </w:r>
      <w:r>
        <w:rPr>
          <w:rFonts w:cs="Calibri" w:ascii="Times New Roman" w:hAnsi="Times New Roman"/>
          <w:b w:val="false"/>
          <w:bCs w:val="false"/>
          <w:sz w:val="24"/>
          <w:szCs w:val="24"/>
        </w:rPr>
        <w:t>A contratada estará sujeita a sanção administrativa todas as vezes que os materiais e/ou serviços prestados não cumprirem o prescrito na proposta comercial, aceita pela administração pública. Comete infração administrativa nos termos da Lei nº 10.520, de 2002, a Contratada que:</w:t>
      </w:r>
    </w:p>
    <w:p>
      <w:pPr>
        <w:pStyle w:val="LONormal"/>
        <w:widowControl/>
        <w:suppressAutoHyphens w:val="true"/>
        <w:bidi w:val="0"/>
        <w:spacing w:lineRule="auto" w:line="240" w:before="119" w:after="119"/>
        <w:ind w:left="850" w:right="0" w:hanging="0"/>
        <w:jc w:val="both"/>
        <w:textAlignment w:val="baseline"/>
        <w:rPr>
          <w:rFonts w:ascii="Times New Roman" w:hAnsi="Times New Roman" w:cs="Calibri"/>
          <w:b w:val="false"/>
          <w:b w:val="false"/>
          <w:bCs w:val="false"/>
          <w:sz w:val="24"/>
          <w:szCs w:val="24"/>
        </w:rPr>
      </w:pPr>
      <w:r>
        <w:rPr>
          <w:rFonts w:cs="Calibri" w:ascii="Times New Roman" w:hAnsi="Times New Roman"/>
          <w:b w:val="false"/>
          <w:bCs w:val="false"/>
          <w:sz w:val="24"/>
          <w:szCs w:val="24"/>
        </w:rPr>
        <w:t>a)  falhar na execução do contrato, pela inexecução, total ou parcial, de quaisquer das obrigações assumidas na contratação;</w:t>
      </w:r>
    </w:p>
    <w:p>
      <w:pPr>
        <w:pStyle w:val="LONormal"/>
        <w:widowControl/>
        <w:suppressAutoHyphens w:val="true"/>
        <w:bidi w:val="0"/>
        <w:spacing w:lineRule="auto" w:line="240" w:before="119" w:after="119"/>
        <w:ind w:left="850" w:right="0" w:hanging="0"/>
        <w:jc w:val="both"/>
        <w:textAlignment w:val="baseline"/>
        <w:rPr>
          <w:rFonts w:ascii="Times New Roman" w:hAnsi="Times New Roman" w:cs="Calibri"/>
          <w:b w:val="false"/>
          <w:b w:val="false"/>
          <w:bCs w:val="false"/>
          <w:sz w:val="24"/>
          <w:szCs w:val="24"/>
        </w:rPr>
      </w:pPr>
      <w:r>
        <w:rPr>
          <w:rFonts w:cs="Calibri" w:ascii="Times New Roman" w:hAnsi="Times New Roman"/>
          <w:b w:val="false"/>
          <w:bCs w:val="false"/>
          <w:sz w:val="24"/>
          <w:szCs w:val="24"/>
        </w:rPr>
        <w:t>b) ensejar o retardamento da execução do objeto;</w:t>
      </w:r>
    </w:p>
    <w:p>
      <w:pPr>
        <w:pStyle w:val="LONormal"/>
        <w:widowControl/>
        <w:suppressAutoHyphens w:val="true"/>
        <w:bidi w:val="0"/>
        <w:spacing w:lineRule="auto" w:line="240" w:before="119" w:after="119"/>
        <w:ind w:left="850" w:right="0" w:hanging="0"/>
        <w:jc w:val="both"/>
        <w:textAlignment w:val="baseline"/>
        <w:rPr>
          <w:rFonts w:ascii="Times New Roman" w:hAnsi="Times New Roman" w:cs="Calibri"/>
          <w:b w:val="false"/>
          <w:b w:val="false"/>
          <w:bCs w:val="false"/>
          <w:sz w:val="24"/>
          <w:szCs w:val="24"/>
        </w:rPr>
      </w:pPr>
      <w:r>
        <w:rPr>
          <w:rFonts w:cs="Calibri" w:ascii="Times New Roman" w:hAnsi="Times New Roman"/>
          <w:b w:val="false"/>
          <w:bCs w:val="false"/>
          <w:sz w:val="24"/>
          <w:szCs w:val="24"/>
        </w:rPr>
        <w:t>c)  fraudar na execução do contrato;</w:t>
      </w:r>
    </w:p>
    <w:p>
      <w:pPr>
        <w:pStyle w:val="LONormal"/>
        <w:widowControl/>
        <w:suppressAutoHyphens w:val="true"/>
        <w:bidi w:val="0"/>
        <w:spacing w:lineRule="auto" w:line="240" w:before="119" w:after="119"/>
        <w:ind w:left="850" w:right="0" w:hanging="0"/>
        <w:jc w:val="both"/>
        <w:textAlignment w:val="baseline"/>
        <w:rPr>
          <w:rFonts w:ascii="Times New Roman" w:hAnsi="Times New Roman" w:cs="Calibri"/>
          <w:b w:val="false"/>
          <w:b w:val="false"/>
          <w:bCs w:val="false"/>
          <w:sz w:val="24"/>
          <w:szCs w:val="24"/>
        </w:rPr>
      </w:pPr>
      <w:r>
        <w:rPr>
          <w:rFonts w:cs="Calibri" w:ascii="Times New Roman" w:hAnsi="Times New Roman"/>
          <w:b w:val="false"/>
          <w:bCs w:val="false"/>
          <w:sz w:val="24"/>
          <w:szCs w:val="24"/>
        </w:rPr>
        <w:t>d)  comportar-se de modo inidôneo;</w:t>
      </w:r>
    </w:p>
    <w:p>
      <w:pPr>
        <w:pStyle w:val="LONormal"/>
        <w:widowControl/>
        <w:suppressAutoHyphens w:val="true"/>
        <w:bidi w:val="0"/>
        <w:spacing w:lineRule="auto" w:line="240" w:before="119" w:after="119"/>
        <w:ind w:left="850" w:right="0" w:hanging="0"/>
        <w:jc w:val="both"/>
        <w:textAlignment w:val="baseline"/>
        <w:rPr>
          <w:rFonts w:ascii="Times New Roman" w:hAnsi="Times New Roman" w:cs="Calibri"/>
          <w:b w:val="false"/>
          <w:b w:val="false"/>
          <w:bCs w:val="false"/>
          <w:sz w:val="24"/>
          <w:szCs w:val="24"/>
        </w:rPr>
      </w:pPr>
      <w:r>
        <w:rPr>
          <w:rFonts w:cs="Calibri" w:ascii="Times New Roman" w:hAnsi="Times New Roman"/>
          <w:b w:val="false"/>
          <w:bCs w:val="false"/>
          <w:sz w:val="24"/>
          <w:szCs w:val="24"/>
        </w:rPr>
        <w:t>e)  cometer fraude fiscal.</w:t>
      </w:r>
    </w:p>
    <w:p>
      <w:pPr>
        <w:pStyle w:val="LONormal"/>
        <w:widowControl/>
        <w:tabs>
          <w:tab w:val="clear" w:pos="298"/>
          <w:tab w:val="left" w:pos="855" w:leader="none"/>
        </w:tabs>
        <w:suppressAutoHyphens w:val="true"/>
        <w:bidi w:val="0"/>
        <w:spacing w:lineRule="auto" w:line="240" w:before="119" w:after="119"/>
        <w:ind w:left="0" w:right="0" w:hanging="0"/>
        <w:jc w:val="both"/>
        <w:textAlignment w:val="baseline"/>
        <w:rPr>
          <w:rFonts w:ascii="Times New Roman" w:hAnsi="Times New Roman"/>
          <w:sz w:val="24"/>
          <w:szCs w:val="24"/>
        </w:rPr>
      </w:pPr>
      <w:r>
        <w:rPr>
          <w:rFonts w:cs="Calibri" w:ascii="Times New Roman" w:hAnsi="Times New Roman"/>
          <w:b w:val="false"/>
          <w:bCs w:val="false"/>
          <w:sz w:val="24"/>
          <w:szCs w:val="24"/>
        </w:rPr>
        <w:t>14.2</w:t>
        <w:tab/>
      </w:r>
      <w:r>
        <w:rPr>
          <w:rFonts w:cs="Calibri" w:ascii="Times New Roman" w:hAnsi="Times New Roman"/>
          <w:sz w:val="24"/>
          <w:szCs w:val="24"/>
        </w:rPr>
        <w:t xml:space="preserve">Pela inexecução </w:t>
      </w:r>
      <w:r>
        <w:rPr>
          <w:rFonts w:cs="Calibri" w:ascii="Times New Roman" w:hAnsi="Times New Roman"/>
          <w:sz w:val="24"/>
          <w:szCs w:val="24"/>
          <w:u w:val="single"/>
        </w:rPr>
        <w:t>total ou parcial</w:t>
      </w:r>
      <w:r>
        <w:rPr>
          <w:rFonts w:cs="Calibri" w:ascii="Times New Roman" w:hAnsi="Times New Roman"/>
          <w:sz w:val="24"/>
          <w:szCs w:val="24"/>
        </w:rPr>
        <w:t xml:space="preserve"> do objeto deste contrato, a Administração pode aplicar à CONTRATADA as seguintes sanções:</w:t>
      </w:r>
    </w:p>
    <w:p>
      <w:pPr>
        <w:pStyle w:val="Normal"/>
        <w:widowControl/>
        <w:numPr>
          <w:ilvl w:val="2"/>
          <w:numId w:val="2"/>
        </w:numPr>
        <w:suppressAutoHyphens w:val="false"/>
        <w:bidi w:val="0"/>
        <w:spacing w:lineRule="auto" w:line="240" w:before="119" w:after="119"/>
        <w:ind w:left="1191" w:right="0" w:hanging="340"/>
        <w:jc w:val="both"/>
        <w:textAlignment w:val="baseline"/>
        <w:rPr>
          <w:rFonts w:ascii="Times New Roman" w:hAnsi="Times New Roman"/>
          <w:sz w:val="24"/>
          <w:szCs w:val="24"/>
        </w:rPr>
      </w:pPr>
      <w:r>
        <w:rPr>
          <w:rFonts w:cs="Calibri" w:ascii="Times New Roman" w:hAnsi="Times New Roman"/>
          <w:b/>
          <w:bCs/>
          <w:sz w:val="24"/>
          <w:szCs w:val="24"/>
        </w:rPr>
        <w:t>Advertência por escrito</w:t>
      </w:r>
      <w:r>
        <w:rPr>
          <w:rFonts w:cs="Calibri" w:ascii="Times New Roman" w:hAnsi="Times New Roman"/>
          <w:sz w:val="24"/>
          <w:szCs w:val="24"/>
        </w:rPr>
        <w:t>, quando do não cumprimento de quaisquer das obrigações contratuais consideradas faltas leves, assim entendidas aquelas que não acarretam prejuízos significativos para o serviço contratado;</w:t>
      </w:r>
    </w:p>
    <w:p>
      <w:pPr>
        <w:pStyle w:val="Normal"/>
        <w:widowControl/>
        <w:numPr>
          <w:ilvl w:val="2"/>
          <w:numId w:val="2"/>
        </w:numPr>
        <w:suppressAutoHyphens w:val="false"/>
        <w:bidi w:val="0"/>
        <w:spacing w:lineRule="auto" w:line="240" w:before="119" w:after="119"/>
        <w:ind w:left="1191" w:right="0" w:hanging="340"/>
        <w:jc w:val="both"/>
        <w:textAlignment w:val="baseline"/>
        <w:rPr>
          <w:rFonts w:ascii="Times New Roman" w:hAnsi="Times New Roman" w:cs="Calibri"/>
          <w:b/>
          <w:b/>
          <w:bCs/>
          <w:sz w:val="24"/>
          <w:szCs w:val="24"/>
        </w:rPr>
      </w:pPr>
      <w:r>
        <w:rPr>
          <w:rFonts w:cs="Calibri" w:ascii="Times New Roman" w:hAnsi="Times New Roman"/>
          <w:b/>
          <w:bCs/>
          <w:sz w:val="24"/>
          <w:szCs w:val="24"/>
        </w:rPr>
        <w:t>Multa:</w:t>
      </w:r>
    </w:p>
    <w:p>
      <w:pPr>
        <w:pStyle w:val="Normal"/>
        <w:numPr>
          <w:ilvl w:val="3"/>
          <w:numId w:val="2"/>
        </w:numPr>
        <w:spacing w:lineRule="auto" w:line="240" w:before="119" w:after="119"/>
        <w:jc w:val="both"/>
        <w:rPr>
          <w:rFonts w:ascii="Times New Roman" w:hAnsi="Times New Roman"/>
          <w:sz w:val="24"/>
          <w:szCs w:val="24"/>
        </w:rPr>
      </w:pPr>
      <w:r>
        <w:rPr>
          <w:rFonts w:cs="Calibri" w:ascii="Times New Roman" w:hAnsi="Times New Roman"/>
          <w:color w:val="000000"/>
          <w:sz w:val="24"/>
          <w:szCs w:val="24"/>
        </w:rPr>
        <w:t xml:space="preserve">moratória de </w:t>
      </w:r>
      <w:r>
        <w:rPr>
          <w:rFonts w:cs="Calibri" w:ascii="Times New Roman" w:hAnsi="Times New Roman"/>
          <w:color w:val="000000"/>
          <w:sz w:val="24"/>
          <w:szCs w:val="24"/>
          <w:lang w:eastAsia="zh-CN"/>
        </w:rPr>
        <w:t>2</w:t>
      </w:r>
      <w:r>
        <w:rPr>
          <w:rFonts w:cs="Calibri" w:ascii="Times New Roman" w:hAnsi="Times New Roman"/>
          <w:color w:val="000000"/>
          <w:sz w:val="24"/>
          <w:szCs w:val="24"/>
        </w:rPr>
        <w:t>% (</w:t>
      </w:r>
      <w:r>
        <w:rPr>
          <w:rFonts w:cs="Calibri" w:ascii="Times New Roman" w:hAnsi="Times New Roman"/>
          <w:color w:val="000000"/>
          <w:sz w:val="24"/>
          <w:szCs w:val="24"/>
          <w:lang w:eastAsia="zh-CN"/>
        </w:rPr>
        <w:t>dois</w:t>
      </w:r>
      <w:r>
        <w:rPr>
          <w:rFonts w:cs="Calibri" w:ascii="Times New Roman" w:hAnsi="Times New Roman"/>
          <w:color w:val="000000"/>
          <w:sz w:val="24"/>
          <w:szCs w:val="24"/>
        </w:rPr>
        <w:t xml:space="preserve"> por cento) por dia de atraso injustificado sobre o valor da parcela inadimplida, até o limite de </w:t>
      </w:r>
      <w:r>
        <w:rPr>
          <w:rFonts w:cs="Calibri" w:ascii="Times New Roman" w:hAnsi="Times New Roman"/>
          <w:color w:val="000000"/>
          <w:sz w:val="24"/>
          <w:szCs w:val="24"/>
          <w:lang w:eastAsia="zh-CN"/>
        </w:rPr>
        <w:t>10</w:t>
      </w:r>
      <w:r>
        <w:rPr>
          <w:rFonts w:cs="Calibri" w:ascii="Times New Roman" w:hAnsi="Times New Roman"/>
          <w:color w:val="000000"/>
          <w:sz w:val="24"/>
          <w:szCs w:val="24"/>
        </w:rPr>
        <w:t xml:space="preserve"> (</w:t>
      </w:r>
      <w:r>
        <w:rPr>
          <w:rFonts w:cs="Calibri" w:ascii="Times New Roman" w:hAnsi="Times New Roman"/>
          <w:color w:val="000000"/>
          <w:sz w:val="24"/>
          <w:szCs w:val="24"/>
          <w:lang w:eastAsia="zh-CN"/>
        </w:rPr>
        <w:t>dez</w:t>
      </w:r>
      <w:r>
        <w:rPr>
          <w:rFonts w:cs="Calibri" w:ascii="Times New Roman" w:hAnsi="Times New Roman"/>
          <w:color w:val="000000"/>
          <w:sz w:val="24"/>
          <w:szCs w:val="24"/>
        </w:rPr>
        <w:t>) dias;</w:t>
      </w:r>
    </w:p>
    <w:p>
      <w:pPr>
        <w:pStyle w:val="Normal"/>
        <w:numPr>
          <w:ilvl w:val="3"/>
          <w:numId w:val="2"/>
        </w:numPr>
        <w:spacing w:lineRule="auto" w:line="240" w:before="119" w:after="119"/>
        <w:jc w:val="both"/>
        <w:rPr>
          <w:rFonts w:ascii="Times New Roman" w:hAnsi="Times New Roman"/>
          <w:sz w:val="24"/>
          <w:szCs w:val="24"/>
        </w:rPr>
      </w:pPr>
      <w:r>
        <w:rPr>
          <w:rFonts w:cs="Calibri" w:ascii="Times New Roman" w:hAnsi="Times New Roman"/>
          <w:color w:val="000000"/>
          <w:sz w:val="24"/>
          <w:szCs w:val="24"/>
        </w:rPr>
        <w:t xml:space="preserve">compensatória de </w:t>
      </w:r>
      <w:r>
        <w:rPr>
          <w:rFonts w:cs="Calibri" w:ascii="Times New Roman" w:hAnsi="Times New Roman"/>
          <w:color w:val="000000"/>
          <w:sz w:val="24"/>
          <w:szCs w:val="24"/>
          <w:lang w:eastAsia="zh-CN"/>
        </w:rPr>
        <w:t>10</w:t>
      </w:r>
      <w:r>
        <w:rPr>
          <w:rFonts w:cs="Calibri" w:ascii="Times New Roman" w:hAnsi="Times New Roman"/>
          <w:color w:val="000000"/>
          <w:sz w:val="24"/>
          <w:szCs w:val="24"/>
        </w:rPr>
        <w:t>% (dez por cento) sobre o valor total do contrato, no caso de inexecução total do objeto;</w:t>
      </w:r>
    </w:p>
    <w:p>
      <w:pPr>
        <w:pStyle w:val="ListParagraph"/>
        <w:widowControl/>
        <w:numPr>
          <w:ilvl w:val="2"/>
          <w:numId w:val="2"/>
        </w:numPr>
        <w:suppressAutoHyphens w:val="true"/>
        <w:bidi w:val="0"/>
        <w:spacing w:lineRule="auto" w:line="240" w:before="119" w:after="119"/>
        <w:ind w:left="1191" w:right="0" w:hanging="340"/>
        <w:contextualSpacing/>
        <w:jc w:val="both"/>
        <w:textAlignment w:val="baseline"/>
        <w:rPr>
          <w:rFonts w:ascii="Times New Roman" w:hAnsi="Times New Roman"/>
          <w:sz w:val="24"/>
          <w:szCs w:val="24"/>
        </w:rPr>
      </w:pPr>
      <w:r>
        <w:rPr>
          <w:rFonts w:cs="Calibri" w:ascii="Times New Roman" w:hAnsi="Times New Roman"/>
          <w:b/>
          <w:bCs/>
          <w:sz w:val="24"/>
          <w:szCs w:val="24"/>
        </w:rPr>
        <w:t>Sanção de impedimento de licitar e contratar com órgãos e entidades da União</w:t>
      </w:r>
      <w:r>
        <w:rPr>
          <w:rFonts w:cs="Calibri" w:ascii="Times New Roman" w:hAnsi="Times New Roman"/>
          <w:sz w:val="24"/>
          <w:szCs w:val="24"/>
        </w:rPr>
        <w:t>, lei n°14.133/21, incisos II,III,IV, V, VI e VII do caput art. 155.</w:t>
      </w:r>
    </w:p>
    <w:p>
      <w:pPr>
        <w:pStyle w:val="ListParagraph"/>
        <w:widowControl/>
        <w:numPr>
          <w:ilvl w:val="2"/>
          <w:numId w:val="2"/>
        </w:numPr>
        <w:tabs>
          <w:tab w:val="clear" w:pos="298"/>
          <w:tab w:val="left" w:pos="1470" w:leader="none"/>
        </w:tabs>
        <w:suppressAutoHyphens w:val="true"/>
        <w:bidi w:val="0"/>
        <w:spacing w:lineRule="auto" w:line="240" w:before="119" w:after="119"/>
        <w:ind w:left="1247" w:right="0" w:hanging="397"/>
        <w:contextualSpacing/>
        <w:jc w:val="both"/>
        <w:textAlignment w:val="baseline"/>
        <w:rPr>
          <w:rFonts w:ascii="Times New Roman" w:hAnsi="Times New Roman"/>
          <w:sz w:val="24"/>
          <w:szCs w:val="24"/>
        </w:rPr>
      </w:pPr>
      <w:r>
        <w:rPr>
          <w:rFonts w:cs="Calibri" w:ascii="Times New Roman" w:hAnsi="Times New Roman"/>
          <w:b/>
          <w:bCs/>
          <w:sz w:val="24"/>
          <w:szCs w:val="24"/>
        </w:rPr>
        <w:t>Declaração de inidoneidade para licitar ou contratar</w:t>
      </w:r>
      <w:r>
        <w:rPr>
          <w:rFonts w:cs="Calibri" w:ascii="Times New Roman" w:hAnsi="Times New Roman"/>
          <w:sz w:val="24"/>
          <w:szCs w:val="24"/>
        </w:rPr>
        <w:t xml:space="preserve"> aplicada a contratada/ responsável pelas infrações administrativas previstas na lei n°14.133/21, incisos VIII,IX,X, XI e XII do caput art. 155, bem como pelas as infrações administrativas previstas nos incisos I,III,IV, V, VI e VII do referido artigo que justifiquem a imposição de penalidade mais grave que a sanção referida no paragrafo 4º deste artigo e impedirá o responsável de licitar ou contratar no âmbito da administração pública direta e indireta de todos os entes federativos, pelo prazo mínimo de 03 (três)anos e máximo de 06(seis) anos; </w:t>
      </w:r>
    </w:p>
    <w:p>
      <w:pPr>
        <w:pStyle w:val="ListParagraph"/>
        <w:widowControl/>
        <w:tabs>
          <w:tab w:val="clear" w:pos="298"/>
          <w:tab w:val="left" w:pos="1470" w:leader="none"/>
        </w:tabs>
        <w:suppressAutoHyphens w:val="true"/>
        <w:bidi w:val="0"/>
        <w:spacing w:lineRule="auto" w:line="240" w:before="119" w:after="119"/>
        <w:ind w:left="1247" w:right="0" w:hanging="397"/>
        <w:contextualSpacing/>
        <w:jc w:val="both"/>
        <w:textAlignment w:val="baseline"/>
        <w:rPr>
          <w:rFonts w:ascii="Times New Roman" w:hAnsi="Times New Roman" w:cs="Calibri"/>
          <w:b w:val="false"/>
          <w:b w:val="false"/>
          <w:bCs w:val="false"/>
          <w:sz w:val="24"/>
          <w:szCs w:val="24"/>
        </w:rPr>
      </w:pPr>
      <w:r>
        <w:rPr>
          <w:rFonts w:cs="Calibri" w:ascii="Times New Roman" w:hAnsi="Times New Roman"/>
          <w:b w:val="false"/>
          <w:bCs w:val="false"/>
          <w:sz w:val="24"/>
          <w:szCs w:val="24"/>
        </w:rPr>
      </w:r>
    </w:p>
    <w:p>
      <w:pPr>
        <w:pStyle w:val="LONormal"/>
        <w:widowControl/>
        <w:tabs>
          <w:tab w:val="clear" w:pos="298"/>
          <w:tab w:val="left" w:pos="855" w:leader="none"/>
        </w:tabs>
        <w:suppressAutoHyphens w:val="true"/>
        <w:bidi w:val="0"/>
        <w:spacing w:lineRule="auto" w:line="240" w:before="119" w:after="119"/>
        <w:ind w:left="0" w:right="0" w:hanging="0"/>
        <w:jc w:val="both"/>
        <w:textAlignment w:val="baseline"/>
        <w:rPr/>
      </w:pPr>
      <w:r>
        <w:rPr>
          <w:rStyle w:val="Fontepargpadro1"/>
          <w:rFonts w:cs="Calibri" w:ascii="Times New Roman" w:hAnsi="Times New Roman"/>
          <w:b w:val="false"/>
          <w:bCs w:val="false"/>
          <w:color w:val="000000"/>
          <w:sz w:val="24"/>
          <w:szCs w:val="24"/>
        </w:rPr>
        <w:t xml:space="preserve">14.3 </w:t>
      </w:r>
      <w:r>
        <w:rPr>
          <w:rStyle w:val="Fontepargpadro1"/>
          <w:rFonts w:cs="Calibri" w:ascii="Times New Roman" w:hAnsi="Times New Roman"/>
          <w:color w:val="000000"/>
          <w:sz w:val="24"/>
          <w:szCs w:val="24"/>
        </w:rPr>
        <w:tab/>
      </w:r>
      <w:r>
        <w:rPr>
          <w:rStyle w:val="Fontepargpadro1"/>
          <w:rFonts w:cs="Calibri" w:ascii="Times New Roman" w:hAnsi="Times New Roman"/>
          <w:sz w:val="24"/>
          <w:szCs w:val="24"/>
        </w:rPr>
        <w:t>A autoridade competente, na aplicação das sanções, levará em consideração a gravidade da conduta do infrator, o caráter educativo da pena, bem como o dano causado à Administração, observado o princípio da proporcionalidade.</w:t>
      </w:r>
    </w:p>
    <w:p>
      <w:pPr>
        <w:pStyle w:val="LONormal"/>
        <w:widowControl/>
        <w:tabs>
          <w:tab w:val="clear" w:pos="298"/>
          <w:tab w:val="left" w:pos="855" w:leader="none"/>
        </w:tabs>
        <w:suppressAutoHyphens w:val="true"/>
        <w:bidi w:val="0"/>
        <w:spacing w:lineRule="auto" w:line="240" w:before="119" w:after="119"/>
        <w:ind w:left="0" w:right="0" w:hanging="0"/>
        <w:jc w:val="both"/>
        <w:textAlignment w:val="baseline"/>
        <w:rPr/>
      </w:pPr>
      <w:r>
        <w:rPr>
          <w:rStyle w:val="Fontepargpadro1"/>
          <w:rFonts w:cs="Calibri" w:ascii="Times New Roman" w:hAnsi="Times New Roman"/>
          <w:b w:val="false"/>
          <w:bCs w:val="false"/>
          <w:color w:val="000000"/>
          <w:sz w:val="24"/>
          <w:szCs w:val="24"/>
        </w:rPr>
        <w:t>14.4</w:t>
      </w:r>
      <w:r>
        <w:rPr>
          <w:rStyle w:val="Fontepargpadro1"/>
          <w:rFonts w:cs="Calibri" w:ascii="Times New Roman" w:hAnsi="Times New Roman"/>
          <w:b/>
          <w:bCs/>
          <w:color w:val="000000"/>
          <w:sz w:val="24"/>
          <w:szCs w:val="24"/>
        </w:rPr>
        <w:tab/>
      </w:r>
      <w:r>
        <w:rPr>
          <w:rStyle w:val="Fontepargpadro1"/>
          <w:rFonts w:cs="Calibri" w:ascii="Times New Roman" w:hAnsi="Times New Roman"/>
          <w:color w:val="000000"/>
          <w:sz w:val="24"/>
          <w:szCs w:val="24"/>
        </w:rPr>
        <w:t>As penalidades serão obrigatoriamente registradas no SICAF.</w:t>
      </w:r>
    </w:p>
    <w:p>
      <w:pPr>
        <w:pStyle w:val="LONormal"/>
        <w:widowControl/>
        <w:tabs>
          <w:tab w:val="clear" w:pos="298"/>
          <w:tab w:val="left" w:pos="855" w:leader="none"/>
        </w:tabs>
        <w:suppressAutoHyphens w:val="true"/>
        <w:bidi w:val="0"/>
        <w:spacing w:lineRule="auto" w:line="240" w:before="119" w:after="119"/>
        <w:ind w:left="0" w:right="0" w:hanging="0"/>
        <w:jc w:val="both"/>
        <w:textAlignment w:val="baseline"/>
        <w:rPr/>
      </w:pPr>
      <w:r>
        <w:rPr>
          <w:rStyle w:val="Fontepargpadro1"/>
          <w:rFonts w:cs="Calibri" w:ascii="Times New Roman" w:hAnsi="Times New Roman"/>
          <w:color w:val="000000"/>
          <w:sz w:val="24"/>
          <w:szCs w:val="24"/>
        </w:rPr>
        <w:t>14.5    As importâncias relativas a multas serão descontadas do pagamento porventura devido à contratada, ou efetuada sua cobrança na forma prevista em lei.</w:t>
      </w:r>
    </w:p>
    <w:p>
      <w:pPr>
        <w:pStyle w:val="LONormal"/>
        <w:widowControl/>
        <w:tabs>
          <w:tab w:val="clear" w:pos="298"/>
          <w:tab w:val="left" w:pos="855" w:leader="none"/>
        </w:tabs>
        <w:suppressAutoHyphens w:val="true"/>
        <w:bidi w:val="0"/>
        <w:spacing w:lineRule="auto" w:line="240" w:before="119" w:after="119"/>
        <w:ind w:left="0" w:right="0" w:hanging="0"/>
        <w:jc w:val="both"/>
        <w:textAlignment w:val="baseline"/>
        <w:rPr>
          <w:rFonts w:ascii="Calibri" w:hAnsi="Calibri" w:cs="Calibri"/>
          <w:highlight w:val="white"/>
        </w:rPr>
      </w:pPr>
      <w:r>
        <w:rPr>
          <w:rStyle w:val="Fontepargpadro1"/>
          <w:rFonts w:cs="Calibri" w:ascii="Times New Roman" w:hAnsi="Times New Roman"/>
          <w:color w:val="000000"/>
          <w:sz w:val="24"/>
          <w:szCs w:val="24"/>
        </w:rPr>
        <w:t>14.6</w:t>
        <w:tab/>
        <w:t>O órgão contratante poderá, ainda cancelar a nota de empenho decorrente da dispensa eletrônica, sem prejuízo das penalidades previstas no subitens anteriores e outras previstas em lei.</w:t>
      </w:r>
    </w:p>
    <w:p>
      <w:pPr>
        <w:pStyle w:val="LONormal"/>
        <w:widowControl/>
        <w:tabs>
          <w:tab w:val="clear" w:pos="298"/>
          <w:tab w:val="left" w:pos="855" w:leader="none"/>
        </w:tabs>
        <w:suppressAutoHyphens w:val="true"/>
        <w:bidi w:val="0"/>
        <w:spacing w:lineRule="auto" w:line="240" w:before="119" w:after="119"/>
        <w:ind w:left="0" w:right="0" w:hanging="0"/>
        <w:jc w:val="both"/>
        <w:textAlignment w:val="baseline"/>
        <w:rPr>
          <w:rStyle w:val="Fontepargpadro1"/>
          <w:rFonts w:ascii="Times New Roman" w:hAnsi="Times New Roman" w:cs="Calibri"/>
          <w:b w:val="false"/>
          <w:b w:val="false"/>
          <w:bCs w:val="false"/>
          <w:color w:val="auto"/>
          <w:sz w:val="24"/>
          <w:szCs w:val="24"/>
          <w:highlight w:val="white"/>
        </w:rPr>
      </w:pPr>
      <w:r>
        <w:rPr>
          <w:rFonts w:cs="Calibri" w:ascii="Times New Roman" w:hAnsi="Times New Roman"/>
          <w:b w:val="false"/>
          <w:bCs w:val="false"/>
          <w:color w:val="auto"/>
          <w:sz w:val="24"/>
          <w:szCs w:val="24"/>
          <w:highlight w:val="white"/>
        </w:rPr>
      </w:r>
    </w:p>
    <w:p>
      <w:pPr>
        <w:pStyle w:val="Nivel1"/>
        <w:keepNext w:val="true"/>
        <w:keepLines/>
        <w:widowControl w:val="false"/>
        <w:tabs>
          <w:tab w:val="clear" w:pos="298"/>
          <w:tab w:val="left" w:pos="855" w:leader="none"/>
        </w:tabs>
        <w:suppressAutoHyphens w:val="false"/>
        <w:bidi w:val="0"/>
        <w:spacing w:lineRule="auto" w:line="240" w:before="119" w:after="119"/>
        <w:ind w:left="0" w:right="0" w:hanging="0"/>
        <w:jc w:val="both"/>
        <w:textAlignment w:val="baseline"/>
        <w:rPr>
          <w:rFonts w:ascii="Times New Roman" w:hAnsi="Times New Roman"/>
          <w:sz w:val="24"/>
          <w:szCs w:val="24"/>
        </w:rPr>
      </w:pPr>
      <w:r>
        <w:rPr>
          <w:rFonts w:cs="Calibri" w:ascii="Times New Roman" w:hAnsi="Times New Roman"/>
          <w:bCs/>
          <w:sz w:val="24"/>
          <w:szCs w:val="24"/>
        </w:rPr>
        <w:t xml:space="preserve">15.  </w:t>
        <w:tab/>
        <w:t>CRITÉRIOS DE SELEÇÃO DO FORNECEDOR</w:t>
      </w:r>
    </w:p>
    <w:p>
      <w:pPr>
        <w:pStyle w:val="Normal"/>
        <w:widowControl/>
        <w:tabs>
          <w:tab w:val="clear" w:pos="298"/>
          <w:tab w:val="left" w:pos="855" w:leader="none"/>
        </w:tabs>
        <w:suppressAutoHyphens w:val="false"/>
        <w:bidi w:val="0"/>
        <w:spacing w:lineRule="auto" w:line="240" w:before="119" w:after="119"/>
        <w:ind w:left="0" w:right="0" w:hanging="0"/>
        <w:jc w:val="both"/>
        <w:textAlignment w:val="baseline"/>
        <w:rPr>
          <w:rFonts w:ascii="Times New Roman" w:hAnsi="Times New Roman"/>
          <w:sz w:val="24"/>
          <w:szCs w:val="24"/>
        </w:rPr>
      </w:pPr>
      <w:r>
        <w:rPr>
          <w:rFonts w:cs="Calibri" w:ascii="Times New Roman" w:hAnsi="Times New Roman"/>
          <w:b w:val="false"/>
          <w:bCs w:val="false"/>
          <w:sz w:val="24"/>
          <w:szCs w:val="24"/>
        </w:rPr>
        <w:t>15.1</w:t>
      </w:r>
      <w:r>
        <w:rPr>
          <w:rFonts w:cs="Calibri" w:ascii="Times New Roman" w:hAnsi="Times New Roman"/>
          <w:b/>
          <w:bCs/>
          <w:sz w:val="24"/>
          <w:szCs w:val="24"/>
        </w:rPr>
        <w:t xml:space="preserve"> </w:t>
      </w:r>
      <w:r>
        <w:rPr>
          <w:rFonts w:cs="Calibri" w:ascii="Times New Roman" w:hAnsi="Times New Roman"/>
          <w:sz w:val="24"/>
          <w:szCs w:val="24"/>
        </w:rPr>
        <w:tab/>
        <w:t>As exigências de habilitação jurídica e de regularidade fiscal, trabalhista e qualificação técnica são as usuais para a execução do serviço, conforme disciplinado no edital.</w:t>
      </w:r>
    </w:p>
    <w:p>
      <w:pPr>
        <w:pStyle w:val="Normal"/>
        <w:widowControl/>
        <w:tabs>
          <w:tab w:val="clear" w:pos="298"/>
          <w:tab w:val="left" w:pos="855" w:leader="none"/>
        </w:tabs>
        <w:suppressAutoHyphens w:val="false"/>
        <w:bidi w:val="0"/>
        <w:spacing w:lineRule="auto" w:line="240" w:before="119" w:after="119"/>
        <w:ind w:left="0" w:right="0" w:hanging="0"/>
        <w:jc w:val="both"/>
        <w:textAlignment w:val="baseline"/>
        <w:rPr>
          <w:rFonts w:ascii="Times New Roman" w:hAnsi="Times New Roman"/>
          <w:sz w:val="24"/>
          <w:szCs w:val="24"/>
        </w:rPr>
      </w:pPr>
      <w:r>
        <w:rPr>
          <w:rFonts w:cs="Calibri" w:ascii="Times New Roman" w:hAnsi="Times New Roman"/>
          <w:b w:val="false"/>
          <w:bCs w:val="false"/>
          <w:sz w:val="24"/>
          <w:szCs w:val="24"/>
        </w:rPr>
        <w:t>15.2</w:t>
      </w:r>
      <w:r>
        <w:rPr>
          <w:rFonts w:cs="Calibri" w:ascii="Times New Roman" w:hAnsi="Times New Roman"/>
          <w:sz w:val="24"/>
          <w:szCs w:val="24"/>
        </w:rPr>
        <w:tab/>
        <w:t>Os critérios de qualificação econômico-financeira a serem atendidos pelo fornecedor estão previstos no edital.</w:t>
      </w:r>
    </w:p>
    <w:p>
      <w:pPr>
        <w:pStyle w:val="ListParagraph"/>
        <w:widowControl/>
        <w:tabs>
          <w:tab w:val="clear" w:pos="298"/>
          <w:tab w:val="left" w:pos="855" w:leader="none"/>
        </w:tabs>
        <w:suppressAutoHyphens w:val="true"/>
        <w:bidi w:val="0"/>
        <w:snapToGrid w:val="false"/>
        <w:spacing w:lineRule="auto" w:line="240" w:before="119" w:after="119"/>
        <w:ind w:left="0" w:right="0" w:hanging="0"/>
        <w:contextualSpacing/>
        <w:jc w:val="both"/>
        <w:textAlignment w:val="baseline"/>
        <w:rPr>
          <w:rFonts w:ascii="Times New Roman" w:hAnsi="Times New Roman"/>
          <w:color w:val="auto"/>
          <w:sz w:val="24"/>
          <w:szCs w:val="24"/>
        </w:rPr>
      </w:pPr>
      <w:r>
        <w:rPr>
          <w:rFonts w:cs="Calibri" w:ascii="Times New Roman" w:hAnsi="Times New Roman"/>
          <w:b w:val="false"/>
          <w:bCs w:val="false"/>
          <w:i w:val="false"/>
          <w:iCs w:val="false"/>
          <w:color w:val="000000"/>
          <w:sz w:val="24"/>
          <w:szCs w:val="24"/>
        </w:rPr>
        <w:t>15.3</w:t>
      </w:r>
      <w:r>
        <w:rPr>
          <w:rFonts w:cs="Calibri" w:ascii="Times New Roman" w:hAnsi="Times New Roman"/>
          <w:i w:val="false"/>
          <w:iCs w:val="false"/>
          <w:color w:val="000000"/>
          <w:sz w:val="24"/>
          <w:szCs w:val="24"/>
        </w:rPr>
        <w:tab/>
        <w:t>O critério de aceitabilidade de preço será:</w:t>
      </w:r>
    </w:p>
    <w:p>
      <w:pPr>
        <w:pStyle w:val="Normal"/>
        <w:widowControl/>
        <w:tabs>
          <w:tab w:val="clear" w:pos="298"/>
          <w:tab w:val="left" w:pos="1695" w:leader="none"/>
        </w:tabs>
        <w:suppressAutoHyphens w:val="false"/>
        <w:bidi w:val="0"/>
        <w:spacing w:lineRule="auto" w:line="240" w:before="119" w:after="119"/>
        <w:ind w:left="850" w:right="0" w:hanging="0"/>
        <w:jc w:val="both"/>
        <w:textAlignment w:val="baseline"/>
        <w:rPr/>
      </w:pPr>
      <w:r>
        <w:rPr>
          <w:rFonts w:cs="Calibri" w:ascii="Times New Roman" w:hAnsi="Times New Roman"/>
          <w:b w:val="false"/>
          <w:bCs w:val="false"/>
          <w:i w:val="false"/>
          <w:iCs w:val="false"/>
          <w:color w:val="000000"/>
          <w:sz w:val="24"/>
          <w:szCs w:val="24"/>
        </w:rPr>
        <w:t>15.4.1</w:t>
      </w:r>
      <w:r>
        <w:rPr>
          <w:rFonts w:cs="Calibri" w:ascii="Times New Roman" w:hAnsi="Times New Roman"/>
          <w:b/>
          <w:bCs/>
          <w:i w:val="false"/>
          <w:iCs w:val="false"/>
          <w:color w:val="000000"/>
          <w:sz w:val="24"/>
          <w:szCs w:val="24"/>
        </w:rPr>
        <w:tab/>
      </w:r>
      <w:r>
        <w:rPr>
          <w:rFonts w:cs="Calibri" w:ascii="Times New Roman" w:hAnsi="Times New Roman"/>
          <w:b w:val="false"/>
          <w:bCs w:val="false"/>
          <w:i w:val="false"/>
          <w:iCs w:val="false"/>
          <w:color w:val="000000"/>
          <w:sz w:val="24"/>
          <w:szCs w:val="24"/>
        </w:rPr>
        <w:t xml:space="preserve">Valor Global: </w:t>
      </w:r>
      <w:r>
        <w:rPr>
          <w:rStyle w:val="Fontepargpadro"/>
          <w:rFonts w:cs="Times New Roman" w:ascii="Calibri" w:hAnsi="Calibri"/>
          <w:b/>
          <w:bCs/>
          <w:i w:val="false"/>
          <w:iCs w:val="false"/>
          <w:strike w:val="false"/>
          <w:dstrike w:val="false"/>
          <w:outline w:val="false"/>
          <w:shadow w:val="false"/>
          <w:color w:val="000000"/>
          <w:sz w:val="24"/>
          <w:szCs w:val="24"/>
          <w:u w:val="none"/>
          <w:shd w:fill="auto" w:val="clear"/>
          <w:em w:val="none"/>
        </w:rPr>
        <w:t>R$43.752,10</w:t>
      </w:r>
      <w:r>
        <w:rPr>
          <w:rStyle w:val="Fontepargpadro"/>
          <w:rFonts w:cs="Times New Roman" w:ascii="Times New Roman" w:hAnsi="Times New Roman"/>
          <w:b/>
          <w:bCs/>
          <w:i w:val="false"/>
          <w:iCs w:val="false"/>
          <w:strike w:val="false"/>
          <w:dstrike w:val="false"/>
          <w:outline w:val="false"/>
          <w:shadow w:val="false"/>
          <w:color w:val="000000"/>
          <w:sz w:val="24"/>
          <w:szCs w:val="24"/>
          <w:u w:val="none"/>
          <w:shd w:fill="auto" w:val="clear"/>
          <w:em w:val="none"/>
        </w:rPr>
        <w:t xml:space="preserve"> (quarenta e três mil e setecentos e cinquenta e dois reais e dez centavos).</w:t>
      </w:r>
    </w:p>
    <w:p>
      <w:pPr>
        <w:pStyle w:val="Normal"/>
        <w:widowControl/>
        <w:tabs>
          <w:tab w:val="clear" w:pos="298"/>
          <w:tab w:val="left" w:pos="855" w:leader="none"/>
        </w:tabs>
        <w:suppressAutoHyphens w:val="false"/>
        <w:bidi w:val="0"/>
        <w:spacing w:lineRule="auto" w:line="276" w:before="120" w:after="120"/>
        <w:ind w:left="0" w:right="0" w:hanging="0"/>
        <w:jc w:val="both"/>
        <w:textAlignment w:val="baseline"/>
        <w:rPr>
          <w:rFonts w:ascii="Times New Roman" w:hAnsi="Times New Roman"/>
          <w:sz w:val="24"/>
          <w:szCs w:val="24"/>
        </w:rPr>
      </w:pPr>
      <w:r>
        <w:rPr>
          <w:rFonts w:eastAsia="Arial" w:cs="Calibri" w:ascii="Times New Roman" w:hAnsi="Times New Roman"/>
          <w:b w:val="false"/>
          <w:bCs w:val="false"/>
          <w:i w:val="false"/>
          <w:iCs w:val="false"/>
          <w:color w:val="000000"/>
          <w:kern w:val="0"/>
          <w:sz w:val="24"/>
          <w:szCs w:val="24"/>
          <w:lang w:val="pt-BR" w:eastAsia="zh-CN" w:bidi="ar-SA"/>
        </w:rPr>
        <w:t>15.4</w:t>
      </w:r>
      <w:r>
        <w:rPr>
          <w:rFonts w:eastAsia="Arial" w:cs="Calibri" w:ascii="Times New Roman" w:hAnsi="Times New Roman"/>
          <w:i w:val="false"/>
          <w:iCs w:val="false"/>
          <w:color w:val="000000"/>
          <w:kern w:val="0"/>
          <w:sz w:val="24"/>
          <w:szCs w:val="24"/>
          <w:lang w:val="pt-BR" w:eastAsia="zh-CN" w:bidi="ar-SA"/>
        </w:rPr>
        <w:tab/>
        <w:t>O critério de julgamento da proposta é o menor preço por item.</w:t>
      </w:r>
    </w:p>
    <w:p>
      <w:pPr>
        <w:pStyle w:val="Normal"/>
        <w:widowControl/>
        <w:tabs>
          <w:tab w:val="clear" w:pos="298"/>
          <w:tab w:val="left" w:pos="855" w:leader="none"/>
        </w:tabs>
        <w:suppressAutoHyphens w:val="false"/>
        <w:bidi w:val="0"/>
        <w:spacing w:lineRule="auto" w:line="276" w:before="120" w:after="120"/>
        <w:ind w:left="0" w:right="0" w:hanging="0"/>
        <w:jc w:val="both"/>
        <w:textAlignment w:val="baseline"/>
        <w:rPr>
          <w:rFonts w:ascii="Times New Roman" w:hAnsi="Times New Roman"/>
          <w:sz w:val="24"/>
          <w:szCs w:val="24"/>
        </w:rPr>
      </w:pPr>
      <w:r>
        <w:rPr>
          <w:rFonts w:cs="Calibri" w:ascii="Times New Roman" w:hAnsi="Times New Roman"/>
          <w:b/>
          <w:bCs/>
          <w:sz w:val="24"/>
          <w:szCs w:val="24"/>
        </w:rPr>
        <w:t xml:space="preserve">16.  </w:t>
        <w:tab/>
        <w:t>ESTIMATIVA DE PREÇOS E PREÇOS REFERENCIAIS</w:t>
      </w:r>
    </w:p>
    <w:p>
      <w:pPr>
        <w:pStyle w:val="Normal"/>
        <w:widowControl/>
        <w:tabs>
          <w:tab w:val="clear" w:pos="298"/>
          <w:tab w:val="left" w:pos="855" w:leader="none"/>
        </w:tabs>
        <w:suppressAutoHyphens w:val="false"/>
        <w:bidi w:val="0"/>
        <w:spacing w:lineRule="auto" w:line="276" w:before="120" w:after="120"/>
        <w:ind w:left="0" w:right="0" w:hanging="0"/>
        <w:jc w:val="both"/>
        <w:textAlignment w:val="baseline"/>
        <w:rPr/>
      </w:pPr>
      <w:r>
        <w:rPr>
          <w:rFonts w:ascii="Times New Roman" w:hAnsi="Times New Roman"/>
          <w:b w:val="false"/>
          <w:bCs w:val="false"/>
          <w:sz w:val="24"/>
          <w:szCs w:val="24"/>
        </w:rPr>
        <w:t>16.1</w:t>
      </w:r>
      <w:r>
        <w:rPr>
          <w:rFonts w:ascii="Times New Roman" w:hAnsi="Times New Roman"/>
          <w:b/>
          <w:bCs/>
          <w:sz w:val="24"/>
          <w:szCs w:val="24"/>
        </w:rPr>
        <w:t xml:space="preserve"> </w:t>
        <w:tab/>
      </w:r>
      <w:r>
        <w:rPr>
          <w:rStyle w:val="Fontepargpadro"/>
          <w:rFonts w:cs="Times New Roman" w:ascii="Times New Roman" w:hAnsi="Times New Roman"/>
          <w:b w:val="false"/>
          <w:bCs w:val="false"/>
          <w:i w:val="false"/>
          <w:iCs w:val="false"/>
          <w:strike w:val="false"/>
          <w:dstrike w:val="false"/>
          <w:outline w:val="false"/>
          <w:shadow w:val="false"/>
          <w:color w:val="000000"/>
          <w:sz w:val="24"/>
          <w:szCs w:val="24"/>
          <w:u w:val="none"/>
          <w:em w:val="none"/>
        </w:rPr>
        <w:t xml:space="preserve">Estimativa de consumo orçamentário - </w:t>
      </w:r>
      <w:r>
        <w:rPr>
          <w:rStyle w:val="Fontepargpadro"/>
          <w:rFonts w:cs="Times New Roman" w:ascii="Calibri" w:hAnsi="Calibri"/>
          <w:b/>
          <w:bCs/>
          <w:i w:val="false"/>
          <w:iCs w:val="false"/>
          <w:strike w:val="false"/>
          <w:dstrike w:val="false"/>
          <w:outline w:val="false"/>
          <w:shadow w:val="false"/>
          <w:color w:val="000000"/>
          <w:sz w:val="24"/>
          <w:szCs w:val="24"/>
          <w:u w:val="none"/>
          <w:shd w:fill="auto" w:val="clear"/>
          <w:em w:val="none"/>
        </w:rPr>
        <w:t>R$43.752,10</w:t>
      </w:r>
      <w:r>
        <w:rPr>
          <w:rStyle w:val="Fontepargpadro"/>
          <w:rFonts w:cs="Times New Roman" w:ascii="Times New Roman" w:hAnsi="Times New Roman"/>
          <w:b/>
          <w:bCs/>
          <w:i w:val="false"/>
          <w:iCs w:val="false"/>
          <w:strike w:val="false"/>
          <w:dstrike w:val="false"/>
          <w:outline w:val="false"/>
          <w:shadow w:val="false"/>
          <w:color w:val="000000"/>
          <w:sz w:val="24"/>
          <w:szCs w:val="24"/>
          <w:u w:val="none"/>
          <w:shd w:fill="auto" w:val="clear"/>
          <w:em w:val="none"/>
        </w:rPr>
        <w:t xml:space="preserve"> (quarenta e três mil e setecentos e cinquenta e dois reais e dez centavos).</w:t>
      </w:r>
    </w:p>
    <w:p>
      <w:pPr>
        <w:pStyle w:val="Normal"/>
        <w:widowControl/>
        <w:tabs>
          <w:tab w:val="clear" w:pos="298"/>
          <w:tab w:val="left" w:pos="855" w:leader="none"/>
        </w:tabs>
        <w:suppressAutoHyphens w:val="false"/>
        <w:bidi w:val="0"/>
        <w:spacing w:lineRule="auto" w:line="276" w:before="120" w:after="120"/>
        <w:ind w:left="0" w:right="0" w:hanging="0"/>
        <w:jc w:val="both"/>
        <w:textAlignment w:val="baseline"/>
        <w:rPr>
          <w:rStyle w:val="Fontepargpadro"/>
          <w:rFonts w:ascii="Times New Roman" w:hAnsi="Times New Roman" w:cs="Times New Roman"/>
          <w:b w:val="false"/>
          <w:b w:val="false"/>
          <w:bCs w:val="false"/>
          <w:i w:val="false"/>
          <w:i w:val="false"/>
          <w:iCs w:val="false"/>
          <w:color w:val="C9211E"/>
          <w:sz w:val="24"/>
          <w:szCs w:val="24"/>
        </w:rPr>
      </w:pPr>
      <w:r>
        <w:rPr>
          <w:rFonts w:cs="Times New Roman" w:ascii="Times New Roman" w:hAnsi="Times New Roman"/>
          <w:b w:val="false"/>
          <w:bCs w:val="false"/>
          <w:i w:val="false"/>
          <w:iCs w:val="false"/>
          <w:color w:val="C9211E"/>
          <w:sz w:val="24"/>
          <w:szCs w:val="24"/>
        </w:rPr>
      </w:r>
    </w:p>
    <w:p>
      <w:pPr>
        <w:pStyle w:val="Nivel1"/>
        <w:keepNext w:val="true"/>
        <w:keepLines/>
        <w:widowControl/>
        <w:tabs>
          <w:tab w:val="clear" w:pos="298"/>
          <w:tab w:val="left" w:pos="855" w:leader="none"/>
        </w:tabs>
        <w:suppressAutoHyphens w:val="true"/>
        <w:bidi w:val="0"/>
        <w:spacing w:lineRule="auto" w:line="240" w:before="119" w:after="119"/>
        <w:ind w:left="0" w:right="-57" w:hanging="0"/>
        <w:jc w:val="both"/>
        <w:textAlignment w:val="auto"/>
        <w:rPr>
          <w:rFonts w:ascii="Times New Roman" w:hAnsi="Times New Roman"/>
          <w:sz w:val="24"/>
          <w:szCs w:val="24"/>
        </w:rPr>
      </w:pPr>
      <w:r>
        <w:rPr>
          <w:rFonts w:ascii="Times New Roman" w:hAnsi="Times New Roman"/>
          <w:sz w:val="24"/>
          <w:szCs w:val="24"/>
        </w:rPr>
        <w:t xml:space="preserve">17. </w:t>
        <w:tab/>
        <w:t>DOS RECURSOS ORÇAMENTÁRIOS</w:t>
      </w:r>
    </w:p>
    <w:p>
      <w:pPr>
        <w:pStyle w:val="Normal"/>
        <w:widowControl/>
        <w:suppressAutoHyphens w:val="false"/>
        <w:bidi w:val="0"/>
        <w:spacing w:lineRule="auto" w:line="240" w:before="0" w:after="0"/>
        <w:ind w:left="850" w:right="0" w:firstLine="283"/>
        <w:jc w:val="both"/>
        <w:textAlignment w:val="baseline"/>
        <w:rPr>
          <w:rFonts w:ascii="Times New Roman" w:hAnsi="Times New Roman" w:cs="Arial"/>
          <w:i w:val="false"/>
          <w:i w:val="false"/>
          <w:iCs w:val="false"/>
          <w:color w:val="auto"/>
          <w:sz w:val="24"/>
          <w:szCs w:val="24"/>
        </w:rPr>
      </w:pPr>
      <w:r>
        <w:rPr>
          <w:rFonts w:cs="Arial" w:ascii="Times New Roman" w:hAnsi="Times New Roman"/>
          <w:i w:val="false"/>
          <w:iCs w:val="false"/>
          <w:color w:val="000000"/>
          <w:sz w:val="24"/>
          <w:szCs w:val="24"/>
        </w:rPr>
        <w:t>Gestão/Unidade: 65704</w:t>
      </w:r>
    </w:p>
    <w:p>
      <w:pPr>
        <w:pStyle w:val="Normal"/>
        <w:widowControl/>
        <w:suppressAutoHyphens w:val="false"/>
        <w:bidi w:val="0"/>
        <w:spacing w:lineRule="auto" w:line="240" w:before="0" w:after="0"/>
        <w:ind w:right="0" w:hanging="0"/>
        <w:jc w:val="both"/>
        <w:textAlignment w:val="baseline"/>
        <w:rPr>
          <w:rFonts w:ascii="Times New Roman" w:hAnsi="Times New Roman" w:cs="Arial"/>
          <w:i w:val="false"/>
          <w:i w:val="false"/>
          <w:iCs w:val="false"/>
          <w:color w:val="000000"/>
          <w:sz w:val="24"/>
          <w:szCs w:val="24"/>
        </w:rPr>
      </w:pPr>
      <w:r>
        <w:rPr>
          <w:rFonts w:cs="Arial" w:ascii="Times New Roman" w:hAnsi="Times New Roman"/>
          <w:i w:val="false"/>
          <w:iCs w:val="false"/>
          <w:color w:val="000000"/>
          <w:sz w:val="24"/>
          <w:szCs w:val="24"/>
        </w:rPr>
        <w:tab/>
        <w:t xml:space="preserve">       Fonte de Recursos: 100000000</w:t>
      </w:r>
    </w:p>
    <w:p>
      <w:pPr>
        <w:pStyle w:val="Normal"/>
        <w:widowControl/>
        <w:suppressAutoHyphens w:val="false"/>
        <w:bidi w:val="0"/>
        <w:spacing w:lineRule="auto" w:line="240" w:before="0" w:after="0"/>
        <w:ind w:left="850" w:right="0" w:firstLine="283"/>
        <w:jc w:val="both"/>
        <w:textAlignment w:val="baseline"/>
        <w:rPr>
          <w:rFonts w:ascii="Times New Roman" w:hAnsi="Times New Roman" w:cs="Arial"/>
          <w:i w:val="false"/>
          <w:i w:val="false"/>
          <w:iCs w:val="false"/>
          <w:color w:val="000000"/>
          <w:sz w:val="24"/>
          <w:szCs w:val="24"/>
        </w:rPr>
      </w:pPr>
      <w:r>
        <w:rPr>
          <w:rFonts w:cs="Arial" w:ascii="Times New Roman" w:hAnsi="Times New Roman"/>
          <w:i w:val="false"/>
          <w:iCs w:val="false"/>
          <w:color w:val="000000"/>
          <w:sz w:val="24"/>
          <w:szCs w:val="24"/>
        </w:rPr>
        <w:t>Programa de Trabalho: 174713</w:t>
      </w:r>
    </w:p>
    <w:p>
      <w:pPr>
        <w:pStyle w:val="Normal"/>
        <w:widowControl/>
        <w:suppressAutoHyphens w:val="false"/>
        <w:bidi w:val="0"/>
        <w:spacing w:lineRule="auto" w:line="240" w:before="0" w:after="0"/>
        <w:ind w:left="850" w:right="0" w:firstLine="283"/>
        <w:jc w:val="both"/>
        <w:textAlignment w:val="baseline"/>
        <w:rPr>
          <w:rFonts w:ascii="Times New Roman" w:hAnsi="Times New Roman" w:cs="Arial"/>
          <w:i w:val="false"/>
          <w:i w:val="false"/>
          <w:iCs w:val="false"/>
          <w:color w:val="000000"/>
          <w:sz w:val="24"/>
          <w:szCs w:val="24"/>
        </w:rPr>
      </w:pPr>
      <w:r>
        <w:rPr>
          <w:rFonts w:cs="Arial" w:ascii="Times New Roman" w:hAnsi="Times New Roman"/>
          <w:i w:val="false"/>
          <w:iCs w:val="false"/>
          <w:color w:val="000000"/>
          <w:sz w:val="24"/>
          <w:szCs w:val="24"/>
        </w:rPr>
        <w:t>Elemento de Despesa: 339030</w:t>
      </w:r>
    </w:p>
    <w:p>
      <w:pPr>
        <w:pStyle w:val="Normal"/>
        <w:widowControl/>
        <w:suppressAutoHyphens w:val="false"/>
        <w:bidi w:val="0"/>
        <w:spacing w:lineRule="auto" w:line="240" w:before="0" w:after="0"/>
        <w:ind w:left="850" w:right="0" w:firstLine="283"/>
        <w:jc w:val="both"/>
        <w:textAlignment w:val="baseline"/>
        <w:rPr>
          <w:rFonts w:ascii="Times New Roman" w:hAnsi="Times New Roman" w:cs="Arial"/>
          <w:i w:val="false"/>
          <w:i w:val="false"/>
          <w:iCs w:val="false"/>
          <w:color w:val="000000"/>
          <w:sz w:val="24"/>
          <w:szCs w:val="24"/>
        </w:rPr>
      </w:pPr>
      <w:r>
        <w:rPr>
          <w:rFonts w:cs="Arial" w:ascii="Times New Roman" w:hAnsi="Times New Roman"/>
          <w:i w:val="false"/>
          <w:iCs w:val="false"/>
          <w:color w:val="000000"/>
          <w:sz w:val="24"/>
          <w:szCs w:val="24"/>
        </w:rPr>
        <w:t>Plano Interno: Z4C3SLS2SC1</w:t>
      </w:r>
    </w:p>
    <w:p>
      <w:pPr>
        <w:pStyle w:val="LONormal"/>
        <w:spacing w:lineRule="auto" w:line="240" w:before="119" w:after="119"/>
        <w:jc w:val="both"/>
        <w:rPr>
          <w:rStyle w:val="Fontepargpadro1"/>
          <w:rFonts w:ascii="Times New Roman" w:hAnsi="Times New Roman" w:cs="Calibri"/>
          <w:sz w:val="24"/>
          <w:szCs w:val="24"/>
        </w:rPr>
      </w:pPr>
      <w:r>
        <w:rPr>
          <w:rFonts w:cs="Calibri" w:ascii="Times New Roman" w:hAnsi="Times New Roman"/>
          <w:sz w:val="24"/>
          <w:szCs w:val="24"/>
        </w:rPr>
      </w:r>
    </w:p>
    <w:p>
      <w:pPr>
        <w:pStyle w:val="LONormal"/>
        <w:spacing w:lineRule="auto" w:line="240" w:before="119" w:after="119"/>
        <w:jc w:val="both"/>
        <w:rPr>
          <w:rStyle w:val="Fontepargpadro1"/>
          <w:rFonts w:ascii="Times New Roman" w:hAnsi="Times New Roman" w:cs="Calibri"/>
          <w:sz w:val="24"/>
          <w:szCs w:val="24"/>
        </w:rPr>
      </w:pPr>
      <w:r>
        <w:rPr>
          <w:rFonts w:cs="Calibri" w:ascii="Times New Roman" w:hAnsi="Times New Roman"/>
          <w:sz w:val="24"/>
          <w:szCs w:val="24"/>
        </w:rPr>
      </w:r>
    </w:p>
    <w:p>
      <w:pPr>
        <w:pStyle w:val="LONormal"/>
        <w:tabs>
          <w:tab w:val="clear" w:pos="298"/>
          <w:tab w:val="left" w:pos="855" w:leader="none"/>
        </w:tabs>
        <w:spacing w:lineRule="auto" w:line="240" w:before="119" w:after="119"/>
        <w:jc w:val="both"/>
        <w:rPr>
          <w:rStyle w:val="Fontepargpadro1"/>
          <w:rFonts w:ascii="Times New Roman" w:hAnsi="Times New Roman" w:cs="Calibri"/>
          <w:sz w:val="24"/>
          <w:szCs w:val="24"/>
        </w:rPr>
      </w:pPr>
      <w:r>
        <w:rPr>
          <w:rFonts w:cs="Calibri" w:ascii="Times New Roman" w:hAnsi="Times New Roman"/>
          <w:sz w:val="24"/>
          <w:szCs w:val="24"/>
        </w:rPr>
      </w:r>
    </w:p>
    <w:p>
      <w:pPr>
        <w:pStyle w:val="LONormal"/>
        <w:tabs>
          <w:tab w:val="clear" w:pos="298"/>
          <w:tab w:val="left" w:pos="855" w:leader="none"/>
        </w:tabs>
        <w:spacing w:lineRule="auto" w:line="240" w:before="119" w:after="119"/>
        <w:jc w:val="both"/>
        <w:rPr>
          <w:rStyle w:val="Fontepargpadro1"/>
          <w:rFonts w:ascii="Times New Roman" w:hAnsi="Times New Roman" w:cs="Calibri"/>
          <w:sz w:val="24"/>
          <w:szCs w:val="24"/>
        </w:rPr>
      </w:pPr>
      <w:r>
        <w:rPr>
          <w:rFonts w:cs="Calibri" w:ascii="Times New Roman" w:hAnsi="Times New Roman"/>
          <w:sz w:val="24"/>
          <w:szCs w:val="24"/>
        </w:rPr>
      </w:r>
    </w:p>
    <w:p>
      <w:pPr>
        <w:pStyle w:val="LONormal"/>
        <w:tabs>
          <w:tab w:val="clear" w:pos="298"/>
          <w:tab w:val="left" w:pos="855" w:leader="none"/>
        </w:tabs>
        <w:spacing w:lineRule="auto" w:line="240" w:before="119" w:after="119"/>
        <w:jc w:val="both"/>
        <w:rPr>
          <w:rStyle w:val="Fontepargpadro1"/>
          <w:rFonts w:ascii="Times New Roman" w:hAnsi="Times New Roman" w:cs="Calibri"/>
          <w:sz w:val="24"/>
          <w:szCs w:val="24"/>
        </w:rPr>
      </w:pPr>
      <w:r>
        <w:rPr>
          <w:rFonts w:cs="Calibri" w:ascii="Times New Roman" w:hAnsi="Times New Roman"/>
          <w:sz w:val="24"/>
          <w:szCs w:val="24"/>
        </w:rPr>
      </w:r>
    </w:p>
    <w:p>
      <w:pPr>
        <w:pStyle w:val="LONormal"/>
        <w:tabs>
          <w:tab w:val="clear" w:pos="298"/>
          <w:tab w:val="left" w:pos="855" w:leader="none"/>
        </w:tabs>
        <w:spacing w:lineRule="auto" w:line="240" w:before="119" w:after="119"/>
        <w:jc w:val="both"/>
        <w:rPr>
          <w:rStyle w:val="Fontepargpadro1"/>
          <w:rFonts w:ascii="Times New Roman" w:hAnsi="Times New Roman" w:cs="Calibri"/>
          <w:sz w:val="24"/>
          <w:szCs w:val="24"/>
        </w:rPr>
      </w:pPr>
      <w:r>
        <w:rPr>
          <w:rFonts w:cs="Calibri" w:ascii="Times New Roman" w:hAnsi="Times New Roman"/>
          <w:sz w:val="24"/>
          <w:szCs w:val="24"/>
        </w:rPr>
      </w:r>
    </w:p>
    <w:p>
      <w:pPr>
        <w:pStyle w:val="LONormal"/>
        <w:tabs>
          <w:tab w:val="clear" w:pos="298"/>
          <w:tab w:val="left" w:pos="855" w:leader="none"/>
        </w:tabs>
        <w:spacing w:lineRule="auto" w:line="240" w:before="119" w:after="119"/>
        <w:jc w:val="both"/>
        <w:rPr>
          <w:rStyle w:val="Fontepargpadro1"/>
          <w:rFonts w:ascii="Times New Roman" w:hAnsi="Times New Roman" w:cs="Calibri"/>
          <w:sz w:val="24"/>
          <w:szCs w:val="24"/>
        </w:rPr>
      </w:pPr>
      <w:r>
        <w:rPr>
          <w:rFonts w:cs="Calibri" w:ascii="Times New Roman" w:hAnsi="Times New Roman"/>
          <w:sz w:val="24"/>
          <w:szCs w:val="24"/>
        </w:rPr>
      </w:r>
    </w:p>
    <w:p>
      <w:pPr>
        <w:pStyle w:val="LONormal"/>
        <w:spacing w:lineRule="auto" w:line="240" w:before="119" w:after="119"/>
        <w:jc w:val="center"/>
        <w:rPr/>
      </w:pPr>
      <w:r>
        <w:rPr>
          <w:rStyle w:val="Fontepargpadro1"/>
          <w:rFonts w:cs="Calibri" w:ascii="Times New Roman" w:hAnsi="Times New Roman"/>
          <w:sz w:val="24"/>
          <w:szCs w:val="24"/>
        </w:rPr>
        <w:t>Rio de Janeiro, em 25</w:t>
      </w:r>
      <w:r>
        <w:rPr>
          <w:rStyle w:val="Fontepargpadro1"/>
          <w:rFonts w:eastAsia="Arial" w:cs="Calibri" w:ascii="Times New Roman" w:hAnsi="Times New Roman"/>
          <w:color w:val="000000"/>
          <w:kern w:val="0"/>
          <w:sz w:val="24"/>
          <w:szCs w:val="24"/>
          <w:lang w:val="pt-BR" w:eastAsia="zh-CN" w:bidi="ar-SA"/>
        </w:rPr>
        <w:t xml:space="preserve"> de novembro</w:t>
      </w:r>
      <w:r>
        <w:rPr>
          <w:rStyle w:val="Fontepargpadro1"/>
          <w:rFonts w:cs="Calibri" w:ascii="Times New Roman" w:hAnsi="Times New Roman"/>
          <w:sz w:val="24"/>
          <w:szCs w:val="24"/>
        </w:rPr>
        <w:t xml:space="preserve"> de 2024</w:t>
      </w:r>
    </w:p>
    <w:p>
      <w:pPr>
        <w:pStyle w:val="LONormal"/>
        <w:spacing w:lineRule="auto" w:line="240" w:before="119" w:after="119"/>
        <w:jc w:val="center"/>
        <w:rPr>
          <w:rFonts w:ascii="Times New Roman" w:hAnsi="Times New Roman" w:cs="Calibri"/>
          <w:sz w:val="24"/>
          <w:szCs w:val="24"/>
        </w:rPr>
      </w:pPr>
      <w:r>
        <w:rPr>
          <w:rFonts w:cs="Calibri" w:ascii="Times New Roman" w:hAnsi="Times New Roman"/>
          <w:sz w:val="24"/>
          <w:szCs w:val="24"/>
        </w:rPr>
      </w:r>
    </w:p>
    <w:p>
      <w:pPr>
        <w:pStyle w:val="LONormal"/>
        <w:spacing w:lineRule="auto" w:line="240" w:before="119" w:after="119"/>
        <w:jc w:val="center"/>
        <w:rPr>
          <w:rFonts w:ascii="Times New Roman" w:hAnsi="Times New Roman" w:cs="Calibri"/>
          <w:sz w:val="24"/>
          <w:szCs w:val="24"/>
        </w:rPr>
      </w:pPr>
      <w:r>
        <w:rPr>
          <w:rFonts w:cs="Calibri" w:ascii="Times New Roman" w:hAnsi="Times New Roman"/>
          <w:sz w:val="24"/>
          <w:szCs w:val="24"/>
        </w:rPr>
      </w:r>
    </w:p>
    <w:tbl>
      <w:tblPr>
        <w:tblW w:w="9074" w:type="dxa"/>
        <w:jc w:val="left"/>
        <w:tblInd w:w="55" w:type="dxa"/>
        <w:tblLayout w:type="fixed"/>
        <w:tblCellMar>
          <w:top w:w="55" w:type="dxa"/>
          <w:left w:w="55" w:type="dxa"/>
          <w:bottom w:w="55" w:type="dxa"/>
          <w:right w:w="55" w:type="dxa"/>
        </w:tblCellMar>
      </w:tblPr>
      <w:tblGrid>
        <w:gridCol w:w="9074"/>
      </w:tblGrid>
      <w:tr>
        <w:trPr/>
        <w:tc>
          <w:tcPr>
            <w:tcW w:w="9074" w:type="dxa"/>
            <w:tcBorders/>
          </w:tcPr>
          <w:p>
            <w:pPr>
              <w:pStyle w:val="Normal"/>
              <w:widowControl w:val="false"/>
              <w:jc w:val="center"/>
              <w:rPr>
                <w:rFonts w:ascii="Times New Roman" w:hAnsi="Times New Roman" w:cs="Times New Roman"/>
                <w:b w:val="false"/>
                <w:b w:val="false"/>
                <w:bCs w:val="false"/>
                <w:strike w:val="false"/>
                <w:dstrike w:val="false"/>
                <w:color w:val="000000"/>
                <w:sz w:val="24"/>
                <w:szCs w:val="24"/>
                <w:u w:val="none"/>
              </w:rPr>
            </w:pPr>
            <w:r>
              <w:rPr>
                <w:rFonts w:cs="Times New Roman" w:ascii="Times New Roman" w:hAnsi="Times New Roman"/>
                <w:b w:val="false"/>
                <w:bCs w:val="false"/>
                <w:strike w:val="false"/>
                <w:dstrike w:val="false"/>
                <w:color w:val="000000"/>
                <w:sz w:val="24"/>
                <w:szCs w:val="24"/>
                <w:u w:val="none"/>
              </w:rPr>
              <w:t>_________________________________</w:t>
            </w:r>
          </w:p>
          <w:p>
            <w:pPr>
              <w:pStyle w:val="Normal"/>
              <w:widowControl w:val="false"/>
              <w:spacing w:lineRule="auto" w:line="276" w:before="0" w:after="0"/>
              <w:contextualSpacing/>
              <w:jc w:val="center"/>
              <w:rPr>
                <w:rFonts w:ascii="Calibri" w:hAnsi="Calibri" w:eastAsia="Times New Roman" w:cs="Times New Roman"/>
                <w:b w:val="false"/>
                <w:b w:val="false"/>
                <w:bCs w:val="false"/>
                <w:strike w:val="false"/>
                <w:dstrike w:val="false"/>
                <w:color w:val="C9211E"/>
                <w:kern w:val="0"/>
                <w:sz w:val="24"/>
                <w:szCs w:val="24"/>
                <w:u w:val="none"/>
                <w:lang w:val="pt-BR" w:eastAsia="zh-CN" w:bidi="ar-SA"/>
              </w:rPr>
            </w:pPr>
            <w:r>
              <w:rPr>
                <w:rStyle w:val="Fontepargpadro"/>
                <w:rFonts w:eastAsia="Times New Roman" w:cs="Times New Roman" w:ascii="Times New Roman" w:hAnsi="Times New Roman"/>
                <w:b w:val="false"/>
                <w:bCs w:val="false"/>
                <w:strike w:val="false"/>
                <w:dstrike w:val="false"/>
                <w:color w:val="000000"/>
                <w:kern w:val="0"/>
                <w:sz w:val="24"/>
                <w:szCs w:val="24"/>
                <w:u w:val="none"/>
                <w:lang w:val="pt-BR" w:eastAsia="zh-CN" w:bidi="ar-SA"/>
              </w:rPr>
              <w:t>RAFAELLA LEÃO DE MOURA SOARES</w:t>
            </w:r>
          </w:p>
          <w:p>
            <w:pPr>
              <w:pStyle w:val="Normal"/>
              <w:widowControl w:val="false"/>
              <w:spacing w:lineRule="auto" w:line="276" w:before="0" w:after="0"/>
              <w:contextualSpacing/>
              <w:jc w:val="center"/>
              <w:rPr>
                <w:rFonts w:ascii="Calibri" w:hAnsi="Calibri" w:eastAsia="Times New Roman" w:cs="Times New Roman"/>
                <w:b w:val="false"/>
                <w:b w:val="false"/>
                <w:bCs w:val="false"/>
                <w:strike w:val="false"/>
                <w:dstrike w:val="false"/>
                <w:color w:val="C9211E"/>
                <w:kern w:val="0"/>
                <w:sz w:val="24"/>
                <w:szCs w:val="24"/>
                <w:u w:val="none"/>
                <w:lang w:val="pt-BR" w:eastAsia="zh-CN" w:bidi="ar-SA"/>
              </w:rPr>
            </w:pPr>
            <w:r>
              <w:rPr>
                <w:rStyle w:val="Fontepargpadro"/>
                <w:rFonts w:eastAsia="Times New Roman" w:cs="Times New Roman" w:ascii="Times New Roman" w:hAnsi="Times New Roman"/>
                <w:b w:val="false"/>
                <w:bCs w:val="false"/>
                <w:strike w:val="false"/>
                <w:dstrike w:val="false"/>
                <w:color w:val="000000"/>
                <w:kern w:val="0"/>
                <w:sz w:val="24"/>
                <w:szCs w:val="24"/>
                <w:u w:val="none"/>
                <w:lang w:val="pt-BR" w:eastAsia="zh-CN" w:bidi="ar-SA"/>
              </w:rPr>
              <w:t>Segundo-Tenente (RM2-S)</w:t>
            </w:r>
          </w:p>
          <w:p>
            <w:pPr>
              <w:pStyle w:val="Normal"/>
              <w:widowControl w:val="false"/>
              <w:spacing w:lineRule="auto" w:line="276" w:before="0" w:after="0"/>
              <w:contextualSpacing/>
              <w:jc w:val="center"/>
              <w:rPr>
                <w:rFonts w:ascii="Calibri" w:hAnsi="Calibri" w:eastAsia="Times New Roman" w:cs="Times New Roman"/>
                <w:b w:val="false"/>
                <w:b w:val="false"/>
                <w:bCs w:val="false"/>
                <w:strike w:val="false"/>
                <w:dstrike w:val="false"/>
                <w:color w:val="C9211E"/>
                <w:kern w:val="0"/>
                <w:sz w:val="24"/>
                <w:szCs w:val="24"/>
                <w:u w:val="none"/>
                <w:lang w:val="pt-BR" w:eastAsia="zh-CN" w:bidi="ar-SA"/>
              </w:rPr>
            </w:pPr>
            <w:r>
              <w:rPr>
                <w:rStyle w:val="Fontepargpadro"/>
                <w:rFonts w:eastAsia="Times New Roman" w:cs="Times New Roman" w:ascii="Times New Roman" w:hAnsi="Times New Roman"/>
                <w:b w:val="false"/>
                <w:bCs w:val="false"/>
                <w:strike w:val="false"/>
                <w:dstrike w:val="false"/>
                <w:color w:val="000000"/>
                <w:kern w:val="0"/>
                <w:sz w:val="24"/>
                <w:szCs w:val="24"/>
                <w:u w:val="none"/>
                <w:lang w:val="pt-BR" w:eastAsia="zh-CN" w:bidi="ar-SA"/>
              </w:rPr>
              <w:t>Gestora de Municiamento</w:t>
            </w:r>
          </w:p>
        </w:tc>
      </w:tr>
    </w:tbl>
    <w:p>
      <w:pPr>
        <w:pStyle w:val="LONormal"/>
        <w:spacing w:lineRule="auto" w:line="240" w:before="119" w:after="119"/>
        <w:jc w:val="center"/>
        <w:rPr>
          <w:rFonts w:ascii="Times New Roman" w:hAnsi="Times New Roman" w:cs="Calibri"/>
          <w:b/>
          <w:b/>
          <w:bCs/>
          <w:sz w:val="24"/>
          <w:szCs w:val="24"/>
        </w:rPr>
      </w:pPr>
      <w:r>
        <w:rPr>
          <w:rFonts w:cs="Calibri" w:ascii="Times New Roman" w:hAnsi="Times New Roman"/>
          <w:b/>
          <w:bCs/>
          <w:sz w:val="24"/>
          <w:szCs w:val="24"/>
        </w:rPr>
      </w:r>
    </w:p>
    <w:p>
      <w:pPr>
        <w:pStyle w:val="LONormal"/>
        <w:spacing w:lineRule="auto" w:line="240" w:before="119" w:after="119"/>
        <w:jc w:val="center"/>
        <w:rPr>
          <w:rFonts w:ascii="Times New Roman" w:hAnsi="Times New Roman" w:cs="Calibri"/>
          <w:b/>
          <w:b/>
          <w:bCs/>
          <w:sz w:val="24"/>
          <w:szCs w:val="24"/>
        </w:rPr>
      </w:pPr>
      <w:r>
        <w:rPr>
          <w:rFonts w:cs="Calibri" w:ascii="Times New Roman" w:hAnsi="Times New Roman"/>
          <w:b/>
          <w:bCs/>
          <w:sz w:val="24"/>
          <w:szCs w:val="24"/>
        </w:rPr>
      </w:r>
    </w:p>
    <w:p>
      <w:pPr>
        <w:pStyle w:val="LONormal"/>
        <w:spacing w:lineRule="auto" w:line="240" w:before="119" w:after="119"/>
        <w:jc w:val="center"/>
        <w:rPr>
          <w:rFonts w:ascii="Times New Roman" w:hAnsi="Times New Roman" w:cs="Calibri"/>
          <w:b/>
          <w:b/>
          <w:bCs/>
          <w:sz w:val="24"/>
          <w:szCs w:val="24"/>
        </w:rPr>
      </w:pPr>
      <w:r>
        <w:rPr>
          <w:rFonts w:cs="Calibri" w:ascii="Times New Roman" w:hAnsi="Times New Roman"/>
          <w:b/>
          <w:bCs/>
          <w:sz w:val="24"/>
          <w:szCs w:val="24"/>
        </w:rPr>
        <w:t>APROVO o presente Termo de Referência:</w:t>
      </w:r>
    </w:p>
    <w:p>
      <w:pPr>
        <w:pStyle w:val="LONormal"/>
        <w:spacing w:lineRule="auto" w:line="240" w:before="119" w:after="119"/>
        <w:jc w:val="both"/>
        <w:rPr/>
      </w:pPr>
      <w:r>
        <w:rPr>
          <w:rStyle w:val="Fontepargpadro1"/>
          <w:rFonts w:cs="Calibri" w:ascii="Times New Roman" w:hAnsi="Times New Roman"/>
          <w:sz w:val="24"/>
          <w:szCs w:val="24"/>
        </w:rPr>
        <w:t xml:space="preserve">Declaro para os devido fins, e em cumprimento ao Inc. II do Art. 16 da LC nº 101/00 que há adequação orçamentária e financeira com a lei orçamentária anual e compatibilidade com o plano plurianual e com a lei de diretrizes orçamentárias, referentes às possibilidades máximas de realização das despesas visando </w:t>
      </w:r>
      <w:r>
        <w:rPr>
          <w:rStyle w:val="Fontepargpadro1"/>
          <w:rFonts w:cs="Calibri" w:ascii="Times New Roman" w:hAnsi="Times New Roman"/>
          <w:strike w:val="false"/>
          <w:dstrike w:val="false"/>
          <w:color w:val="000000"/>
          <w:sz w:val="24"/>
          <w:szCs w:val="24"/>
        </w:rPr>
        <w:t>à aquisição itens para o funcionamento da Policlínica Naval Nossa Senhora da Glória,</w:t>
      </w:r>
      <w:r>
        <w:rPr>
          <w:rStyle w:val="Fontepargpadro1"/>
          <w:rFonts w:cs="Calibri" w:ascii="Times New Roman" w:hAnsi="Times New Roman"/>
          <w:sz w:val="24"/>
          <w:szCs w:val="24"/>
        </w:rPr>
        <w:t xml:space="preserve"> conforme descrito neste Termo de Referência.</w:t>
      </w:r>
    </w:p>
    <w:p>
      <w:pPr>
        <w:pStyle w:val="LONormal"/>
        <w:spacing w:lineRule="auto" w:line="240" w:before="119" w:after="119"/>
        <w:jc w:val="both"/>
        <w:rPr>
          <w:rFonts w:ascii="Times New Roman" w:hAnsi="Times New Roman" w:cs="Calibri"/>
          <w:sz w:val="24"/>
          <w:szCs w:val="24"/>
        </w:rPr>
      </w:pPr>
      <w:r>
        <w:rPr>
          <w:rFonts w:cs="Calibri" w:ascii="Times New Roman" w:hAnsi="Times New Roman"/>
          <w:sz w:val="24"/>
          <w:szCs w:val="24"/>
        </w:rPr>
        <w:t>Em consequência, e observando o princípio da oportunidade, relevância e conveniência para a Administração, encaminho à Seção de Obtenção para o cumprimento das providências legais.</w:t>
      </w:r>
    </w:p>
    <w:p>
      <w:pPr>
        <w:pStyle w:val="LONormal"/>
        <w:spacing w:lineRule="auto" w:line="240" w:before="119" w:after="119"/>
        <w:jc w:val="center"/>
        <w:rPr>
          <w:rFonts w:ascii="Times New Roman" w:hAnsi="Times New Roman" w:cs="Calibri"/>
          <w:sz w:val="24"/>
          <w:szCs w:val="24"/>
        </w:rPr>
      </w:pPr>
      <w:r>
        <w:rPr>
          <w:rFonts w:cs="Calibri" w:ascii="Times New Roman" w:hAnsi="Times New Roman"/>
          <w:sz w:val="24"/>
          <w:szCs w:val="24"/>
        </w:rPr>
      </w:r>
    </w:p>
    <w:p>
      <w:pPr>
        <w:pStyle w:val="LONormal"/>
        <w:spacing w:lineRule="auto" w:line="240" w:before="119" w:after="119"/>
        <w:jc w:val="center"/>
        <w:rPr/>
      </w:pPr>
      <w:r>
        <w:rPr>
          <w:rStyle w:val="Fontepargpadro1"/>
          <w:rFonts w:cs="Calibri" w:ascii="Times New Roman" w:hAnsi="Times New Roman"/>
          <w:sz w:val="24"/>
          <w:szCs w:val="24"/>
        </w:rPr>
        <w:t>Rio de Janeiro, em ___ de _______________ de 2024.</w:t>
      </w:r>
    </w:p>
    <w:p>
      <w:pPr>
        <w:pStyle w:val="LONormal"/>
        <w:spacing w:lineRule="auto" w:line="240" w:before="119" w:after="119"/>
        <w:jc w:val="center"/>
        <w:rPr>
          <w:rStyle w:val="Fontepargpadro1"/>
          <w:rFonts w:ascii="Times New Roman" w:hAnsi="Times New Roman" w:cs="Calibri"/>
          <w:sz w:val="24"/>
          <w:szCs w:val="24"/>
        </w:rPr>
      </w:pPr>
      <w:r>
        <w:rPr>
          <w:rFonts w:cs="Calibri" w:ascii="Times New Roman" w:hAnsi="Times New Roman"/>
          <w:sz w:val="24"/>
          <w:szCs w:val="24"/>
        </w:rPr>
      </w:r>
    </w:p>
    <w:p>
      <w:pPr>
        <w:pStyle w:val="Normal"/>
        <w:spacing w:lineRule="auto" w:line="240" w:before="119" w:after="119"/>
        <w:jc w:val="center"/>
        <w:rPr>
          <w:rFonts w:ascii="Times New Roman" w:hAnsi="Times New Roman" w:cs="Times New Roman"/>
          <w:b w:val="false"/>
          <w:b w:val="false"/>
          <w:bCs w:val="false"/>
          <w:strike w:val="false"/>
          <w:dstrike w:val="false"/>
          <w:color w:val="000000"/>
          <w:sz w:val="24"/>
          <w:szCs w:val="24"/>
          <w:u w:val="none"/>
        </w:rPr>
      </w:pPr>
      <w:r>
        <w:rPr>
          <w:rFonts w:cs="Times New Roman" w:ascii="Times New Roman" w:hAnsi="Times New Roman"/>
          <w:b w:val="false"/>
          <w:bCs w:val="false"/>
          <w:strike w:val="false"/>
          <w:dstrike w:val="false"/>
          <w:color w:val="000000"/>
          <w:sz w:val="24"/>
          <w:szCs w:val="24"/>
          <w:u w:val="none"/>
        </w:rPr>
        <w:t>________________________________</w:t>
      </w:r>
    </w:p>
    <w:p>
      <w:pPr>
        <w:pStyle w:val="LONormal"/>
        <w:spacing w:lineRule="auto" w:line="240" w:before="0" w:after="0"/>
        <w:jc w:val="center"/>
        <w:rPr>
          <w:rFonts w:ascii="Times New Roman" w:hAnsi="Times New Roman" w:cs="Calibri"/>
          <w:sz w:val="24"/>
          <w:szCs w:val="24"/>
        </w:rPr>
      </w:pPr>
      <w:r>
        <w:rPr>
          <w:rFonts w:cs="Calibri" w:ascii="Times New Roman" w:hAnsi="Times New Roman"/>
          <w:sz w:val="24"/>
          <w:szCs w:val="24"/>
        </w:rPr>
        <w:t>DANUZE  PEREIRA DE CARVALHO MOURA</w:t>
      </w:r>
    </w:p>
    <w:p>
      <w:pPr>
        <w:pStyle w:val="LONormal"/>
        <w:spacing w:lineRule="auto" w:line="240" w:before="0" w:after="0"/>
        <w:jc w:val="center"/>
        <w:rPr>
          <w:rFonts w:ascii="Times New Roman" w:hAnsi="Times New Roman" w:cs="Calibri"/>
          <w:sz w:val="24"/>
          <w:szCs w:val="24"/>
        </w:rPr>
      </w:pPr>
      <w:r>
        <w:rPr>
          <w:rFonts w:cs="Calibri" w:ascii="Times New Roman" w:hAnsi="Times New Roman"/>
          <w:sz w:val="24"/>
          <w:szCs w:val="24"/>
        </w:rPr>
        <w:t>Capitão de Mar e Guerra (Md)</w:t>
      </w:r>
    </w:p>
    <w:p>
      <w:pPr>
        <w:pStyle w:val="LONormal"/>
        <w:widowControl/>
        <w:tabs>
          <w:tab w:val="clear" w:pos="298"/>
          <w:tab w:val="left" w:pos="855" w:leader="none"/>
        </w:tabs>
        <w:suppressAutoHyphens w:val="false"/>
        <w:bidi w:val="0"/>
        <w:spacing w:lineRule="auto" w:line="240" w:before="0" w:after="0"/>
        <w:ind w:left="0" w:right="0" w:hanging="0"/>
        <w:jc w:val="center"/>
        <w:textAlignment w:val="baseline"/>
        <w:rPr/>
      </w:pPr>
      <w:r>
        <w:rPr>
          <w:rStyle w:val="Fontepargpadro1"/>
          <w:rFonts w:eastAsia="Arial" w:cs="Calibri" w:ascii="Times New Roman" w:hAnsi="Times New Roman"/>
          <w:b w:val="false"/>
          <w:bCs w:val="false"/>
          <w:color w:val="000000"/>
          <w:sz w:val="24"/>
          <w:szCs w:val="24"/>
        </w:rPr>
        <w:t>Ordenadora de Despesas</w:t>
      </w:r>
    </w:p>
    <w:sectPr>
      <w:headerReference w:type="default" r:id="rId13"/>
      <w:headerReference w:type="first" r:id="rId14"/>
      <w:footerReference w:type="default" r:id="rId15"/>
      <w:type w:val="nextPage"/>
      <w:pgSz w:w="11906" w:h="16838"/>
      <w:pgMar w:left="1701" w:right="1701" w:gutter="0" w:header="0" w:top="1417" w:footer="708" w:bottom="1417"/>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OpenSymbol">
    <w:altName w:val="Arial Unicode MS"/>
    <w:charset w:val="01"/>
    <w:family w:val="roman"/>
    <w:pitch w:val="variable"/>
  </w:font>
  <w:font w:name="Calibri Light">
    <w:charset w:val="01"/>
    <w:family w:val="swiss"/>
    <w:pitch w:val="variable"/>
  </w:font>
  <w:font w:name="Times New Roman">
    <w:charset w:val="01"/>
    <w:family w:val="roman"/>
    <w:pitch w:val="variable"/>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rPr>
        <w:sz w:val="12"/>
        <w:szCs w:val="12"/>
      </w:rPr>
    </w:pPr>
    <w:r>
      <w:rPr>
        <w:sz w:val="12"/>
        <w:szCs w:val="12"/>
      </w:rPr>
    </w:r>
  </w:p>
  <w:p>
    <w:pPr>
      <w:pStyle w:val="Normal"/>
      <w:tabs>
        <w:tab w:val="clear" w:pos="298"/>
        <w:tab w:val="center" w:pos="4550" w:leader="none"/>
        <w:tab w:val="left" w:pos="5818" w:leader="none"/>
      </w:tabs>
      <w:ind w:right="260" w:hanging="0"/>
      <w:jc w:val="right"/>
      <w:rPr>
        <w:color w:val="222A35" w:themeColor="text2" w:themeShade="80"/>
        <w:sz w:val="18"/>
        <w:szCs w:val="18"/>
      </w:rPr>
    </w:pPr>
    <w:r>
      <w:rPr>
        <w:color w:val="8496B0" w:themeColor="text2" w:themeTint="99"/>
        <w:spacing w:val="60"/>
        <w:sz w:val="18"/>
        <w:szCs w:val="18"/>
      </w:rPr>
      <w:t>Página</w:t>
    </w:r>
    <w:r>
      <w:rPr>
        <w:color w:val="8496B0" w:themeColor="text2" w:themeTint="99"/>
        <w:sz w:val="18"/>
        <w:szCs w:val="18"/>
      </w:rPr>
      <w:t xml:space="preserve"> </w:t>
    </w:r>
    <w:r>
      <w:rPr>
        <w:color w:val="323E4F"/>
        <w:sz w:val="18"/>
        <w:szCs w:val="18"/>
      </w:rPr>
      <w:fldChar w:fldCharType="begin"/>
    </w:r>
    <w:r>
      <w:rPr>
        <w:sz w:val="18"/>
        <w:szCs w:val="18"/>
        <w:color w:val="323E4F"/>
      </w:rPr>
      <w:instrText xml:space="preserve"> PAGE </w:instrText>
    </w:r>
    <w:r>
      <w:rPr>
        <w:sz w:val="18"/>
        <w:szCs w:val="18"/>
        <w:color w:val="323E4F"/>
      </w:rPr>
      <w:fldChar w:fldCharType="separate"/>
    </w:r>
    <w:r>
      <w:rPr>
        <w:sz w:val="18"/>
        <w:szCs w:val="18"/>
        <w:color w:val="323E4F"/>
      </w:rPr>
      <w:t>34</w:t>
    </w:r>
    <w:r>
      <w:rPr>
        <w:sz w:val="18"/>
        <w:szCs w:val="18"/>
        <w:color w:val="323E4F"/>
      </w:rPr>
      <w:fldChar w:fldCharType="end"/>
    </w:r>
    <w:r>
      <w:rPr>
        <w:color w:val="323E4F" w:themeColor="text2" w:themeShade="bf"/>
        <w:sz w:val="18"/>
        <w:szCs w:val="18"/>
      </w:rPr>
      <w:t xml:space="preserve"> | </w:t>
    </w:r>
    <w:r>
      <w:rPr>
        <w:color w:val="323E4F"/>
        <w:sz w:val="18"/>
        <w:szCs w:val="18"/>
      </w:rPr>
      <w:fldChar w:fldCharType="begin"/>
    </w:r>
    <w:r>
      <w:rPr>
        <w:sz w:val="18"/>
        <w:szCs w:val="18"/>
        <w:color w:val="323E4F"/>
      </w:rPr>
      <w:instrText xml:space="preserve"> NUMPAGES </w:instrText>
    </w:r>
    <w:r>
      <w:rPr>
        <w:sz w:val="18"/>
        <w:szCs w:val="18"/>
        <w:color w:val="323E4F"/>
      </w:rPr>
      <w:fldChar w:fldCharType="separate"/>
    </w:r>
    <w:r>
      <w:rPr>
        <w:sz w:val="18"/>
        <w:szCs w:val="18"/>
        <w:color w:val="323E4F"/>
      </w:rPr>
      <w:t>34</w:t>
    </w:r>
    <w:r>
      <w:rPr>
        <w:sz w:val="18"/>
        <w:szCs w:val="18"/>
        <w:color w:val="323E4F"/>
      </w:rPr>
      <w:fldChar w:fldCharType="end"/>
    </w:r>
  </w:p>
  <w:p>
    <w:pPr>
      <w:pStyle w:val="Rodap"/>
      <w:rPr>
        <w:sz w:val="12"/>
        <w:szCs w:val="12"/>
      </w:rPr>
    </w:pPr>
    <w:r>
      <w:rPr>
        <w:sz w:val="12"/>
        <w:szCs w:val="12"/>
      </w:rPr>
    </w:r>
  </w:p>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Contratação Direta – Lei nº 14.133/21 e IN SEGES/ME nº 67/2021</w:t>
    </w:r>
  </w:p>
  <w:p>
    <w:pPr>
      <w:pStyle w:val="Rodap"/>
      <w:rPr>
        <w:sz w:val="12"/>
        <w:szCs w:val="12"/>
      </w:rPr>
    </w:pPr>
    <w:r>
      <w:rPr>
        <w:sz w:val="12"/>
        <w:szCs w:val="12"/>
      </w:rPr>
      <w:t>Versão: agosto/2023</w:t>
    </w:r>
  </w:p>
  <w:p>
    <w:pPr>
      <w:pStyle w:val="Rodap"/>
      <w:rPr>
        <w:sz w:val="12"/>
        <w:szCs w:val="12"/>
      </w:rPr>
    </w:pPr>
    <w:r>
      <w:rPr>
        <w:sz w:val="12"/>
        <w:szCs w:val="12"/>
      </w:rPr>
      <w:t>Aprovado pela Secretaria de Gestão.</w:t>
    </w:r>
  </w:p>
  <w:p>
    <w:pPr>
      <w:pStyle w:val="Rodap"/>
      <w:rPr/>
    </w:pPr>
    <w:r>
      <w:rPr>
        <w:sz w:val="12"/>
        <w:szCs w:val="12"/>
      </w:rPr>
      <w:t>Identidade visual pela Secretaria de Gestão (versão agosto/2023)</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r>
  </w:p>
  <w:p>
    <w:pPr>
      <w:pStyle w:val="Cabealho"/>
      <w:rPr/>
    </w:pPr>
    <w:r>
      <w:rPr/>
    </w:r>
  </w:p>
  <w:p>
    <w:pPr>
      <w:pStyle w:val="Cabealho"/>
      <w:rPr/>
    </w:pPr>
    <w:r>
      <w:rPr/>
    </w:r>
  </w:p>
  <w:p>
    <w:pPr>
      <w:pStyle w:val="Normal"/>
      <w:jc w:val="right"/>
      <w:rPr>
        <w:rFonts w:cs="Arial"/>
        <w:b/>
        <w:b/>
        <w:bCs/>
        <w:color w:val="5B5B5F"/>
        <w:sz w:val="28"/>
        <w:szCs w:val="28"/>
      </w:rPr>
    </w:pPr>
    <w:r>
      <w:rPr/>
      <w:t xml:space="preserve">AVISO DE CONTRATAÇÃO DIRETA Nº </w:t>
    </w:r>
    <w:r>
      <w:rPr>
        <w:rFonts w:cs="Arial"/>
        <w:bCs/>
        <w:color w:val="5B5B5F"/>
        <w:sz w:val="28"/>
        <w:szCs w:val="28"/>
      </w:rPr>
      <w:t>0058/2024</w:t>
    </w:r>
  </w:p>
  <w:p>
    <w:pPr>
      <w:pStyle w:val="Cabealho"/>
      <w:jc w:val="right"/>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2">
          <wp:simplePos x="0" y="0"/>
          <wp:positionH relativeFrom="column">
            <wp:posOffset>-1080135</wp:posOffset>
          </wp:positionH>
          <wp:positionV relativeFrom="paragraph">
            <wp:posOffset>29210</wp:posOffset>
          </wp:positionV>
          <wp:extent cx="7559675" cy="10662920"/>
          <wp:effectExtent l="0" t="0" r="0" b="0"/>
          <wp:wrapNone/>
          <wp:docPr id="3"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59675" cy="1066292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Ttulo1"/>
      <w:numFmt w:val="decimal"/>
      <w:lvlText w:val="%1."/>
      <w:lvlJc w:val="left"/>
      <w:pPr>
        <w:tabs>
          <w:tab w:val="num" w:pos="0"/>
        </w:tabs>
        <w:ind w:left="360" w:hanging="360"/>
      </w:pPr>
      <w:rPr>
        <w:sz w:val="20"/>
        <w:b w:val="false"/>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decimal"/>
      <w:lvlText w:val="%1."/>
      <w:lvlJc w:val="left"/>
      <w:pPr>
        <w:tabs>
          <w:tab w:val="num" w:pos="0"/>
        </w:tabs>
        <w:ind w:left="360" w:hanging="360"/>
      </w:pPr>
      <w:rPr>
        <w:sz w:val="20"/>
        <w:b w:val="false"/>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3">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i w:val="false"/>
        <w:b w:val="false"/>
        <w:iCs/>
      </w:rPr>
    </w:lvl>
    <w:lvl w:ilvl="2">
      <w:start w:val="1"/>
      <w:numFmt w:val="decimal"/>
      <w:lvlText w:val="%1.%2.%3."/>
      <w:lvlJc w:val="left"/>
      <w:pPr>
        <w:tabs>
          <w:tab w:val="num" w:pos="0"/>
        </w:tabs>
        <w:ind w:left="1224" w:hanging="504"/>
      </w:pPr>
      <w:rPr>
        <w:i w:val="false"/>
        <w:b w:val="false"/>
        <w:iCs/>
        <w:rFonts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4"/>
      <w:numFmt w:val="decimal"/>
      <w:lvlText w:val="%1"/>
      <w:lvlJc w:val="left"/>
      <w:pPr>
        <w:tabs>
          <w:tab w:val="num" w:pos="0"/>
        </w:tabs>
        <w:ind w:left="435" w:hanging="435"/>
      </w:pPr>
      <w:rPr/>
    </w:lvl>
    <w:lvl w:ilvl="1">
      <w:start w:val="4"/>
      <w:numFmt w:val="decimal"/>
      <w:lvlText w:val="%1.%2"/>
      <w:lvlJc w:val="left"/>
      <w:pPr>
        <w:tabs>
          <w:tab w:val="num" w:pos="0"/>
        </w:tabs>
        <w:ind w:left="1002" w:hanging="435"/>
      </w:pPr>
      <w:rPr/>
    </w:lvl>
    <w:lvl w:ilvl="2">
      <w:start w:val="1"/>
      <w:numFmt w:val="decimal"/>
      <w:lvlText w:val="%1.%2.%3"/>
      <w:lvlJc w:val="left"/>
      <w:pPr>
        <w:tabs>
          <w:tab w:val="num" w:pos="0"/>
        </w:tabs>
        <w:ind w:left="1854" w:hanging="720"/>
      </w:pPr>
      <w:rPr/>
    </w:lvl>
    <w:lvl w:ilvl="3">
      <w:start w:val="1"/>
      <w:numFmt w:val="decimal"/>
      <w:lvlText w:val="%1.%2.%3.%4"/>
      <w:lvlJc w:val="left"/>
      <w:pPr>
        <w:tabs>
          <w:tab w:val="num" w:pos="0"/>
        </w:tabs>
        <w:ind w:left="2421" w:hanging="720"/>
      </w:pPr>
      <w:rPr/>
    </w:lvl>
    <w:lvl w:ilvl="4">
      <w:start w:val="1"/>
      <w:numFmt w:val="decimal"/>
      <w:lvlText w:val="%1.%2.%3.%4.%5"/>
      <w:lvlJc w:val="left"/>
      <w:pPr>
        <w:tabs>
          <w:tab w:val="num" w:pos="0"/>
        </w:tabs>
        <w:ind w:left="3348" w:hanging="1080"/>
      </w:pPr>
      <w:rPr/>
    </w:lvl>
    <w:lvl w:ilvl="5">
      <w:start w:val="1"/>
      <w:numFmt w:val="decimal"/>
      <w:lvlText w:val="%1.%2.%3.%4.%5.%6"/>
      <w:lvlJc w:val="left"/>
      <w:pPr>
        <w:tabs>
          <w:tab w:val="num" w:pos="0"/>
        </w:tabs>
        <w:ind w:left="3915" w:hanging="1080"/>
      </w:pPr>
      <w:rPr/>
    </w:lvl>
    <w:lvl w:ilvl="6">
      <w:start w:val="1"/>
      <w:numFmt w:val="decimal"/>
      <w:lvlText w:val="%1.%2.%3.%4.%5.%6.%7"/>
      <w:lvlJc w:val="left"/>
      <w:pPr>
        <w:tabs>
          <w:tab w:val="num" w:pos="0"/>
        </w:tabs>
        <w:ind w:left="4842" w:hanging="1440"/>
      </w:pPr>
      <w:rPr/>
    </w:lvl>
    <w:lvl w:ilvl="7">
      <w:start w:val="1"/>
      <w:numFmt w:val="decimal"/>
      <w:lvlText w:val="%1.%2.%3.%4.%5.%6.%7.%8"/>
      <w:lvlJc w:val="left"/>
      <w:pPr>
        <w:tabs>
          <w:tab w:val="num" w:pos="0"/>
        </w:tabs>
        <w:ind w:left="5409" w:hanging="1440"/>
      </w:pPr>
      <w:rPr/>
    </w:lvl>
    <w:lvl w:ilvl="8">
      <w:start w:val="1"/>
      <w:numFmt w:val="decimal"/>
      <w:lvlText w:val="%1.%2.%3.%4.%5.%6.%7.%8.%9"/>
      <w:lvlJc w:val="left"/>
      <w:pPr>
        <w:tabs>
          <w:tab w:val="num" w:pos="0"/>
        </w:tabs>
        <w:ind w:left="6336" w:hanging="1800"/>
      </w:pPr>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auto"/>
      </w:rPr>
    </w:lvl>
    <w:lvl w:ilvl="3">
      <w:start w:val="1"/>
      <w:numFmt w:val="lowerLetter"/>
      <w:lvlText w:val="%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i w:val="false"/>
        <w:b w:val="false"/>
        <w:iCs/>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7">
    <w:lvl w:ilvl="0">
      <w:start w:val="9"/>
      <w:numFmt w:val="decimal"/>
      <w:lvlText w:val="%1"/>
      <w:lvlJc w:val="left"/>
      <w:pPr>
        <w:tabs>
          <w:tab w:val="num" w:pos="0"/>
        </w:tabs>
        <w:ind w:left="450" w:hanging="450"/>
      </w:pPr>
      <w:rPr/>
    </w:lvl>
    <w:lvl w:ilvl="1">
      <w:start w:val="1"/>
      <w:numFmt w:val="decimal"/>
      <w:lvlText w:val="%1.%2"/>
      <w:lvlJc w:val="left"/>
      <w:pPr>
        <w:tabs>
          <w:tab w:val="num" w:pos="0"/>
        </w:tabs>
        <w:ind w:left="662" w:hanging="450"/>
      </w:pPr>
      <w:rPr/>
    </w:lvl>
    <w:lvl w:ilvl="2">
      <w:start w:val="1"/>
      <w:numFmt w:val="decimal"/>
      <w:lvlText w:val="%1.%2.%3"/>
      <w:lvlJc w:val="left"/>
      <w:pPr>
        <w:tabs>
          <w:tab w:val="num" w:pos="0"/>
        </w:tabs>
        <w:ind w:left="1144" w:hanging="720"/>
      </w:pPr>
      <w:rPr/>
    </w:lvl>
    <w:lvl w:ilvl="3">
      <w:start w:val="1"/>
      <w:numFmt w:val="decimal"/>
      <w:lvlText w:val="%1.%2.%3.%4"/>
      <w:lvlJc w:val="left"/>
      <w:pPr>
        <w:tabs>
          <w:tab w:val="num" w:pos="0"/>
        </w:tabs>
        <w:ind w:left="1356" w:hanging="720"/>
      </w:pPr>
      <w:rPr/>
    </w:lvl>
    <w:lvl w:ilvl="4">
      <w:start w:val="1"/>
      <w:numFmt w:val="decimal"/>
      <w:lvlText w:val="%1.%2.%3.%4.%5"/>
      <w:lvlJc w:val="left"/>
      <w:pPr>
        <w:tabs>
          <w:tab w:val="num" w:pos="0"/>
        </w:tabs>
        <w:ind w:left="1928" w:hanging="1080"/>
      </w:pPr>
      <w:rPr/>
    </w:lvl>
    <w:lvl w:ilvl="5">
      <w:start w:val="1"/>
      <w:numFmt w:val="decimal"/>
      <w:lvlText w:val="%1.%2.%3.%4.%5.%6"/>
      <w:lvlJc w:val="left"/>
      <w:pPr>
        <w:tabs>
          <w:tab w:val="num" w:pos="0"/>
        </w:tabs>
        <w:ind w:left="2140" w:hanging="1080"/>
      </w:pPr>
      <w:rPr/>
    </w:lvl>
    <w:lvl w:ilvl="6">
      <w:start w:val="1"/>
      <w:numFmt w:val="decimal"/>
      <w:lvlText w:val="%1.%2.%3.%4.%5.%6.%7"/>
      <w:lvlJc w:val="left"/>
      <w:pPr>
        <w:tabs>
          <w:tab w:val="num" w:pos="0"/>
        </w:tabs>
        <w:ind w:left="2712" w:hanging="1440"/>
      </w:pPr>
      <w:rPr/>
    </w:lvl>
    <w:lvl w:ilvl="7">
      <w:start w:val="1"/>
      <w:numFmt w:val="decimal"/>
      <w:lvlText w:val="%1.%2.%3.%4.%5.%6.%7.%8"/>
      <w:lvlJc w:val="left"/>
      <w:pPr>
        <w:tabs>
          <w:tab w:val="num" w:pos="0"/>
        </w:tabs>
        <w:ind w:left="2924" w:hanging="1440"/>
      </w:pPr>
      <w:rPr/>
    </w:lvl>
    <w:lvl w:ilvl="8">
      <w:start w:val="1"/>
      <w:numFmt w:val="decimal"/>
      <w:lvlText w:val="%1.%2.%3.%4.%5.%6.%7.%8.%9"/>
      <w:lvlJc w:val="left"/>
      <w:pPr>
        <w:tabs>
          <w:tab w:val="num" w:pos="0"/>
        </w:tabs>
        <w:ind w:left="3496" w:hanging="1800"/>
      </w:pPr>
      <w:rPr/>
    </w:lvl>
  </w:abstractNum>
  <w:abstractNum w:abstractNumId="8">
    <w:lvl w:ilvl="0">
      <w:start w:val="9"/>
      <w:numFmt w:val="decimal"/>
      <w:lvlText w:val="%1"/>
      <w:lvlJc w:val="left"/>
      <w:pPr>
        <w:tabs>
          <w:tab w:val="num" w:pos="0"/>
        </w:tabs>
        <w:ind w:left="450" w:hanging="450"/>
      </w:pPr>
      <w:rPr/>
    </w:lvl>
    <w:lvl w:ilvl="1">
      <w:start w:val="5"/>
      <w:numFmt w:val="decimal"/>
      <w:lvlText w:val="%1.%2"/>
      <w:lvlJc w:val="left"/>
      <w:pPr>
        <w:tabs>
          <w:tab w:val="num" w:pos="0"/>
        </w:tabs>
        <w:ind w:left="662" w:hanging="450"/>
      </w:pPr>
      <w:rPr/>
    </w:lvl>
    <w:lvl w:ilvl="2">
      <w:start w:val="1"/>
      <w:numFmt w:val="decimal"/>
      <w:lvlText w:val="%1.%2.%3"/>
      <w:lvlJc w:val="left"/>
      <w:pPr>
        <w:tabs>
          <w:tab w:val="num" w:pos="0"/>
        </w:tabs>
        <w:ind w:left="1144" w:hanging="720"/>
      </w:pPr>
      <w:rPr/>
    </w:lvl>
    <w:lvl w:ilvl="3">
      <w:start w:val="1"/>
      <w:numFmt w:val="decimal"/>
      <w:lvlText w:val="%1.%2.%3.%4"/>
      <w:lvlJc w:val="left"/>
      <w:pPr>
        <w:tabs>
          <w:tab w:val="num" w:pos="0"/>
        </w:tabs>
        <w:ind w:left="1356" w:hanging="720"/>
      </w:pPr>
      <w:rPr/>
    </w:lvl>
    <w:lvl w:ilvl="4">
      <w:start w:val="1"/>
      <w:numFmt w:val="decimal"/>
      <w:lvlText w:val="%1.%2.%3.%4.%5"/>
      <w:lvlJc w:val="left"/>
      <w:pPr>
        <w:tabs>
          <w:tab w:val="num" w:pos="0"/>
        </w:tabs>
        <w:ind w:left="1928" w:hanging="1080"/>
      </w:pPr>
      <w:rPr/>
    </w:lvl>
    <w:lvl w:ilvl="5">
      <w:start w:val="1"/>
      <w:numFmt w:val="decimal"/>
      <w:lvlText w:val="%1.%2.%3.%4.%5.%6"/>
      <w:lvlJc w:val="left"/>
      <w:pPr>
        <w:tabs>
          <w:tab w:val="num" w:pos="0"/>
        </w:tabs>
        <w:ind w:left="2140" w:hanging="1080"/>
      </w:pPr>
      <w:rPr/>
    </w:lvl>
    <w:lvl w:ilvl="6">
      <w:start w:val="1"/>
      <w:numFmt w:val="decimal"/>
      <w:lvlText w:val="%1.%2.%3.%4.%5.%6.%7"/>
      <w:lvlJc w:val="left"/>
      <w:pPr>
        <w:tabs>
          <w:tab w:val="num" w:pos="0"/>
        </w:tabs>
        <w:ind w:left="2712" w:hanging="1440"/>
      </w:pPr>
      <w:rPr/>
    </w:lvl>
    <w:lvl w:ilvl="7">
      <w:start w:val="1"/>
      <w:numFmt w:val="decimal"/>
      <w:lvlText w:val="%1.%2.%3.%4.%5.%6.%7.%8"/>
      <w:lvlJc w:val="left"/>
      <w:pPr>
        <w:tabs>
          <w:tab w:val="num" w:pos="0"/>
        </w:tabs>
        <w:ind w:left="2924" w:hanging="1440"/>
      </w:pPr>
      <w:rPr/>
    </w:lvl>
    <w:lvl w:ilvl="8">
      <w:start w:val="1"/>
      <w:numFmt w:val="decimal"/>
      <w:lvlText w:val="%1.%2.%3.%4.%5.%6.%7.%8.%9"/>
      <w:lvlJc w:val="left"/>
      <w:pPr>
        <w:tabs>
          <w:tab w:val="num" w:pos="0"/>
        </w:tabs>
        <w:ind w:left="3496" w:hanging="180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w="http://schemas.openxmlformats.org/wordprocessingml/2006/main">
  <w:zoom w:percent="100"/>
  <w:defaultTabStop w:val="29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qFormat="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1">
    <w:name w:val="Heading 1"/>
    <w:basedOn w:val="PADRO"/>
    <w:next w:val="Normal"/>
    <w:link w:val="Ttulo1Char"/>
    <w:uiPriority w:val="9"/>
    <w:qFormat/>
    <w:rsid w:val="00781aff"/>
    <w:pPr>
      <w:keepNext w:val="false"/>
      <w:widowControl/>
      <w:numPr>
        <w:ilvl w:val="0"/>
        <w:numId w:val="1"/>
      </w:numPr>
      <w:shd w:val="clear" w:color="auto" w:fill="auto"/>
      <w:spacing w:before="120" w:after="120"/>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781aff"/>
    <w:rPr>
      <w:rFonts w:ascii="Arial" w:hAnsi="Arial" w:eastAsia="WenQuanYi Micro Hei" w:cs="Arial"/>
      <w:b/>
      <w:sz w:val="20"/>
      <w:szCs w:val="24"/>
      <w:lang w:eastAsia="zh-CN" w:bidi="hi-IN"/>
    </w:rPr>
  </w:style>
  <w:style w:type="character" w:styleId="CitaoChar" w:customStyle="1">
    <w:name w:val="Citação Char"/>
    <w:basedOn w:val="DefaultParagraphFont"/>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c074da"/>
    <w:rPr>
      <w:rFonts w:ascii="Arial" w:hAnsi="Arial" w:eastAsia="" w:cs="Times New Roman" w:eastAsiaTheme="majorEastAsia"/>
      <w:b w:val="false"/>
      <w:bCs/>
      <w:color w:val="000000"/>
      <w:sz w:val="20"/>
      <w:szCs w:val="20"/>
      <w:lang w:eastAsia="pt-BR"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uiPriority w:val="99"/>
    <w:semiHidden/>
    <w:qFormat/>
    <w:rsid w:val="00c074da"/>
    <w:rPr>
      <w:rFonts w:ascii="Arial" w:hAnsi="Arial" w:eastAsia="Times New Roman" w:cs="Tahoma"/>
      <w:b/>
      <w:bCs/>
      <w:sz w:val="20"/>
      <w:szCs w:val="20"/>
      <w:lang w:eastAsia="pt-BR"/>
    </w:rPr>
  </w:style>
  <w:style w:type="character" w:styleId="LinkdaInternet">
    <w:name w:val="Link da Internet"/>
    <w:basedOn w:val="DefaultParagraphFont"/>
    <w:uiPriority w:val="99"/>
    <w:unhideWhenUsed/>
    <w:rsid w:val="00c074da"/>
    <w:rPr>
      <w:color w:val="0563C1" w:themeColor="hyperlink"/>
      <w:u w:val="single"/>
    </w:rPr>
  </w:style>
  <w:style w:type="character" w:styleId="Nivel4Char" w:customStyle="1">
    <w:name w:val="Nivel 4 Char"/>
    <w:basedOn w:val="DefaultParagraphFont"/>
    <w:link w:val="Nivel4"/>
    <w:qFormat/>
    <w:rsid w:val="00c074da"/>
    <w:rPr>
      <w:rFonts w:ascii="Ecofont_Spranq_eco_Sans" w:hAnsi="Ecofont_Spranq_eco_Sans" w:eastAsia="Arial Unicode MS" w:cs="Arial"/>
      <w:sz w:val="20"/>
      <w:szCs w:val="20"/>
      <w:lang w:eastAsia="pt-BR"/>
    </w:rPr>
  </w:style>
  <w:style w:type="character" w:styleId="TextodebaloChar" w:customStyle="1">
    <w:name w:val="Texto de balão Char"/>
    <w:basedOn w:val="DefaultParagraphFon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uiPriority w:val="99"/>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Linkdainternetvisitado">
    <w:name w:val="Link da internet visitado"/>
    <w:basedOn w:val="DefaultParagraphFont"/>
    <w:uiPriority w:val="99"/>
    <w:semiHidden/>
    <w:unhideWhenUsed/>
    <w:rsid w:val="00a47c33"/>
    <w:rPr>
      <w:color w:val="954F72" w:themeColor="followedHyperlink"/>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link w:val="Ttulo"/>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val="404040" w:themeColor="text1" w:themeTint="bf"/>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val="538135" w:themeColor="accent6" w:themeShade="bf"/>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934039"/>
    <w:rPr>
      <w:rFonts w:ascii="Ecofont_Spranq_eco_Sans" w:hAnsi="Ecofont_Spranq_eco_Sans" w:eastAsia="Arial Unicode MS" w:cs="Times New Roman"/>
      <w:sz w:val="20"/>
      <w:szCs w:val="20"/>
      <w:lang w:eastAsia="pt-BR"/>
    </w:rPr>
  </w:style>
  <w:style w:type="character" w:styleId="Nvel3RChar" w:customStyle="1">
    <w:name w:val="Nível 3-R Char"/>
    <w:basedOn w:val="DefaultParagraphFont"/>
    <w:qFormat/>
    <w:rsid w:val="0000594b"/>
    <w:rPr>
      <w:rFonts w:ascii="Arial" w:hAnsi="Arial" w:eastAsia="" w:cs="Arial" w:eastAsiaTheme="minorEastAsia"/>
      <w:i/>
      <w:iCs/>
      <w:color w:val="FF0000"/>
      <w:sz w:val="20"/>
      <w:szCs w:val="20"/>
      <w:lang w:eastAsia="pt-BR"/>
    </w:rPr>
  </w:style>
  <w:style w:type="character" w:styleId="Nvel4RChar" w:customStyle="1">
    <w:name w:val="Nível 4-R Char"/>
    <w:basedOn w:val="Nivel4Char"/>
    <w:qFormat/>
    <w:rsid w:val="0000594b"/>
    <w:rPr>
      <w:rFonts w:ascii="Arial" w:hAnsi="Arial" w:eastAsia="" w:cs="Arial" w:eastAsiaTheme="minorEastAsia"/>
      <w:i/>
      <w:iCs/>
      <w:color w:val="FF0000"/>
      <w:sz w:val="20"/>
      <w:szCs w:val="20"/>
      <w:lang w:eastAsia="pt-BR"/>
    </w:rPr>
  </w:style>
  <w:style w:type="character" w:styleId="Vnculodendice">
    <w:name w:val="Vínculo de índice"/>
    <w:qFormat/>
    <w:rPr/>
  </w:style>
  <w:style w:type="character" w:styleId="Fontepargpadro1">
    <w:name w:val="Fonte parág. padrão1"/>
    <w:qFormat/>
    <w:rPr/>
  </w:style>
  <w:style w:type="character" w:styleId="Fontepargpadro">
    <w:name w:val="Fonte parág. padrão"/>
    <w:qFormat/>
    <w:rPr/>
  </w:style>
  <w:style w:type="character" w:styleId="Marcas">
    <w:name w:val="Marcas"/>
    <w:qFormat/>
    <w:rPr>
      <w:rFonts w:ascii="OpenSymbol" w:hAnsi="OpenSymbol" w:eastAsia="OpenSymbol" w:cs="OpenSymbol"/>
    </w:rPr>
  </w:style>
  <w:style w:type="character" w:styleId="Nfaseforte">
    <w:name w:val="Ênfase forte"/>
    <w:qFormat/>
    <w:rPr>
      <w:b/>
      <w:bCs/>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link w:val="CorpodetextoChar"/>
    <w:rsid w:val="00c074da"/>
    <w:pPr>
      <w:spacing w:lineRule="auto" w:line="276" w:before="0" w:after="140"/>
    </w:pPr>
    <w:rPr/>
  </w:style>
  <w:style w:type="paragraph" w:styleId="Lista">
    <w:name w:val="List"/>
    <w:basedOn w:val="Corpodotexto"/>
    <w:rsid w:val="00c074da"/>
    <w:pPr/>
    <w:rPr>
      <w:rFonts w:cs="FreeSans"/>
    </w:rPr>
  </w:style>
  <w:style w:type="paragraph" w:styleId="Legenda">
    <w:name w:val="Caption"/>
    <w:basedOn w:val="Normal"/>
    <w:qFormat/>
    <w:pPr>
      <w:suppressLineNumbers/>
      <w:spacing w:before="120" w:after="120"/>
    </w:pPr>
    <w:rPr>
      <w:rFonts w:cs="Lohit Devanagari"/>
      <w:i/>
      <w:iCs/>
      <w:sz w:val="24"/>
      <w:szCs w:val="24"/>
    </w:rPr>
  </w:style>
  <w:style w:type="paragraph" w:styleId="Ndice" w:customStyle="1">
    <w:name w:val="Índice"/>
    <w:basedOn w:val="Normal"/>
    <w:qFormat/>
    <w:rsid w:val="00c074da"/>
    <w:pPr>
      <w:suppressLineNumbers/>
    </w:pPr>
    <w:rPr>
      <w:rFonts w:cs="FreeSans"/>
    </w:rPr>
  </w:style>
  <w:style w:type="paragraph" w:styleId="Ttulododocumento">
    <w:name w:val="Title"/>
    <w:basedOn w:val="Normal"/>
    <w:next w:val="Corpodotexto"/>
    <w:link w:val="TtuloChar"/>
    <w:qFormat/>
    <w:rsid w:val="00c074da"/>
    <w:pPr>
      <w:keepNext w:val="true"/>
      <w:spacing w:before="240" w:after="120"/>
    </w:pPr>
    <w:rPr>
      <w:rFonts w:ascii="Liberation Sans" w:hAnsi="Liberation Sans" w:eastAsia="Noto Sans CJK SC" w:cs="FreeSans"/>
      <w:sz w:val="28"/>
      <w:szCs w:val="28"/>
    </w:rPr>
  </w:style>
  <w:style w:type="paragraph" w:styleId="Caption">
    <w:name w:val="caption"/>
    <w:basedOn w:val="Normal"/>
    <w:qFormat/>
    <w:rsid w:val="00c074da"/>
    <w:pPr>
      <w:suppressLineNumbers/>
      <w:spacing w:before="120" w:after="120"/>
    </w:pPr>
    <w:rPr>
      <w:rFonts w:cs="FreeSans"/>
      <w:i/>
      <w:iCs/>
      <w:sz w:val="24"/>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Ttulo1"/>
    <w:next w:val="Normal"/>
    <w:link w:val="Nivel01Char"/>
    <w:qFormat/>
    <w:rsid w:val="00c074da"/>
    <w:pPr>
      <w:numPr>
        <w:ilvl w:val="0"/>
        <w:numId w:val="0"/>
      </w:numPr>
      <w:spacing w:before="480" w:after="120"/>
      <w:ind w:right="-15" w:hanging="0"/>
    </w:pPr>
    <w:rPr>
      <w:rFonts w:cs="Times New Roman"/>
      <w:b w:val="false"/>
      <w:bCs/>
      <w:color w:val="000000"/>
      <w:szCs w:val="20"/>
    </w:rPr>
  </w:style>
  <w:style w:type="paragraph" w:styleId="PADRO" w:customStyle="1">
    <w:name w:val="PADRÃO"/>
    <w:qFormat/>
    <w:rsid w:val="00c074da"/>
    <w:pPr>
      <w:keepNext w:val="true"/>
      <w:widowControl w:val="false"/>
      <w:shd w:val="clear" w:color="auto" w:fill="FFFFFF"/>
      <w:suppressAutoHyphens w:val="true"/>
      <w:bidi w:val="0"/>
      <w:spacing w:lineRule="auto" w:line="276" w:before="119" w:after="119"/>
      <w:ind w:firstLine="567"/>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hanging="0"/>
      <w:contextualSpacing/>
    </w:pPr>
    <w:rPr/>
  </w:style>
  <w:style w:type="paragraph" w:styleId="Citao2" w:customStyle="1">
    <w:name w:val="citação 2"/>
    <w:basedOn w:val="Quote"/>
    <w:qFormat/>
    <w:rsid w:val="00c074da"/>
    <w:pPr>
      <w:shd w:val="clear" w:fill="FFFFCC"/>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qFormat/>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Ttulo1"/>
    <w:qFormat/>
    <w:rsid w:val="00c074da"/>
    <w:pPr>
      <w:numPr>
        <w:ilvl w:val="0"/>
        <w:numId w:val="0"/>
      </w:numPr>
      <w:spacing w:before="480" w:after="120"/>
      <w:ind w:left="644" w:hanging="0"/>
    </w:pPr>
    <w:rPr>
      <w:rFonts w:cs="Times New Roman"/>
      <w:b w:val="false"/>
      <w:color w:val="000000"/>
      <w:szCs w:val="20"/>
    </w:rPr>
  </w:style>
  <w:style w:type="paragraph" w:styleId="Nivel2" w:customStyle="1">
    <w:name w:val="Nivel 2"/>
    <w:link w:val="Nivel2Char"/>
    <w:qFormat/>
    <w:rsid w:val="00c074da"/>
    <w:pPr>
      <w:widowControl/>
      <w:suppressAutoHyphens w:val="true"/>
      <w:bidi w:val="0"/>
      <w:spacing w:lineRule="auto" w:line="276"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qFormat/>
    <w:rsid w:val="00c074da"/>
    <w:pPr/>
    <w:rPr>
      <w:rFonts w:cs="Arial"/>
      <w:b/>
    </w:rPr>
  </w:style>
  <w:style w:type="paragraph" w:styleId="Nivel3" w:customStyle="1">
    <w:name w:val="Nivel 3"/>
    <w:basedOn w:val="Nivel2"/>
    <w:qFormat/>
    <w:rsid w:val="00c074da"/>
    <w:pPr/>
    <w:rPr>
      <w:rFonts w:cs="Arial"/>
      <w:color w:val="000000"/>
    </w:rPr>
  </w:style>
  <w:style w:type="paragraph" w:styleId="Nivel4" w:customStyle="1">
    <w:name w:val="Nivel 4"/>
    <w:basedOn w:val="Nivel3"/>
    <w:link w:val="Nivel4Char"/>
    <w:qFormat/>
    <w:rsid w:val="00c074da"/>
    <w:pPr/>
    <w:rPr>
      <w:color w:val="auto"/>
    </w:rPr>
  </w:style>
  <w:style w:type="paragraph" w:styleId="Nivel5" w:customStyle="1">
    <w:name w:val="Nivel 5"/>
    <w:basedOn w:val="Nivel4"/>
    <w:qFormat/>
    <w:rsid w:val="00c074da"/>
    <w:pPr>
      <w:tabs>
        <w:tab w:val="clear" w:pos="29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
    <w:name w:val="Header"/>
    <w:basedOn w:val="Normal"/>
    <w:link w:val="CabealhoChar"/>
    <w:uiPriority w:val="99"/>
    <w:unhideWhenUsed/>
    <w:rsid w:val="00c074da"/>
    <w:pPr>
      <w:tabs>
        <w:tab w:val="clear" w:pos="298"/>
        <w:tab w:val="center" w:pos="4252" w:leader="none"/>
        <w:tab w:val="right" w:pos="8504" w:leader="none"/>
      </w:tabs>
    </w:pPr>
    <w:rPr/>
  </w:style>
  <w:style w:type="paragraph" w:styleId="Rodap">
    <w:name w:val="Footer"/>
    <w:basedOn w:val="Normal"/>
    <w:link w:val="RodapChar"/>
    <w:uiPriority w:val="99"/>
    <w:unhideWhenUsed/>
    <w:rsid w:val="00c074da"/>
    <w:pPr>
      <w:tabs>
        <w:tab w:val="clear" w:pos="298"/>
        <w:tab w:val="center" w:pos="4252" w:leader="none"/>
        <w:tab w:val="right" w:pos="8504" w:leader="none"/>
      </w:tabs>
    </w:pPr>
    <w:rPr/>
  </w:style>
  <w:style w:type="paragraph" w:styleId="Nivel01Titulo" w:customStyle="1">
    <w:name w:val="Nivel_01_Titulo"/>
    <w:basedOn w:val="Ttulo1"/>
    <w:next w:val="Normal"/>
    <w:qFormat/>
    <w:rsid w:val="00c074da"/>
    <w:pPr>
      <w:numPr>
        <w:ilvl w:val="0"/>
        <w:numId w:val="0"/>
      </w:numPr>
      <w:tabs>
        <w:tab w:val="clear" w:pos="298"/>
        <w:tab w:val="left" w:pos="360" w:leader="none"/>
        <w:tab w:val="left" w:pos="567" w:leader="none"/>
      </w:tabs>
      <w:ind w:firstLine="567"/>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Ttulodondicealfabtico">
    <w:name w:val="Index Heading"/>
    <w:basedOn w:val="Ttulo"/>
    <w:pPr/>
    <w:rPr/>
  </w:style>
  <w:style w:type="paragraph" w:styleId="Ttulodosumrio">
    <w:name w:val="TOC Heading"/>
    <w:basedOn w:val="Ttulo1"/>
    <w:next w:val="Normal"/>
    <w:uiPriority w:val="39"/>
    <w:unhideWhenUsed/>
    <w:qFormat/>
    <w:rsid w:val="00781aff"/>
    <w:pPr>
      <w:keepNext w:val="true"/>
      <w:keepLines/>
      <w:numPr>
        <w:ilvl w:val="0"/>
        <w:numId w:val="0"/>
      </w:numPr>
      <w:suppressAutoHyphens w:val="false"/>
      <w:spacing w:lineRule="auto" w:line="259" w:before="240" w:after="0"/>
      <w:ind w:firstLine="567"/>
      <w:jc w:val="left"/>
      <w:textAlignment w:val="auto"/>
    </w:pPr>
    <w:rPr>
      <w:rFonts w:ascii="Calibri Light" w:hAnsi="Calibri Light" w:eastAsia="" w:cs="" w:asciiTheme="majorHAnsi" w:cstheme="majorBidi" w:eastAsiaTheme="majorEastAsia" w:hAnsiTheme="majorHAnsi"/>
      <w:b w:val="false"/>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clear" w:pos="298"/>
        <w:tab w:val="left" w:pos="440" w:leader="none"/>
        <w:tab w:val="right" w:pos="8494" w:leader="dot"/>
      </w:tabs>
      <w:spacing w:before="0" w:after="100"/>
    </w:pPr>
    <w:rPr/>
  </w:style>
  <w:style w:type="paragraph" w:styleId="Nvel3R" w:customStyle="1">
    <w:name w:val="Nível 3-R"/>
    <w:basedOn w:val="Nivel3"/>
    <w:qFormat/>
    <w:rsid w:val="0000594b"/>
    <w:pPr>
      <w:suppressAutoHyphens w:val="false"/>
      <w:ind w:left="284" w:hanging="0"/>
    </w:pPr>
    <w:rPr>
      <w:rFonts w:ascii="Arial" w:hAnsi="Arial" w:eastAsia="" w:eastAsiaTheme="minorEastAsia"/>
      <w:i/>
      <w:iCs/>
      <w:color w:val="FF0000"/>
    </w:rPr>
  </w:style>
  <w:style w:type="paragraph" w:styleId="Nvel4R" w:customStyle="1">
    <w:name w:val="Nível 4-R"/>
    <w:basedOn w:val="Nivel4"/>
    <w:qFormat/>
    <w:rsid w:val="0000594b"/>
    <w:pPr>
      <w:suppressAutoHyphens w:val="false"/>
      <w:ind w:left="567" w:hanging="0"/>
    </w:pPr>
    <w:rPr>
      <w:rFonts w:ascii="Arial" w:hAnsi="Arial" w:eastAsia="" w:eastAsiaTheme="minorEastAsia"/>
      <w:i/>
      <w:iCs/>
      <w:color w:val="FF0000"/>
    </w:rPr>
  </w:style>
  <w:style w:type="paragraph" w:styleId="LONormal">
    <w:name w:val="LO-Normal"/>
    <w:qFormat/>
    <w:pPr>
      <w:widowControl/>
      <w:suppressAutoHyphens w:val="true"/>
      <w:bidi w:val="0"/>
      <w:spacing w:before="0" w:after="0"/>
      <w:jc w:val="left"/>
      <w:textAlignment w:val="baseline"/>
    </w:pPr>
    <w:rPr>
      <w:rFonts w:ascii="Arial" w:hAnsi="Arial" w:eastAsia="Arial" w:cs="Tahoma"/>
      <w:color w:val="auto"/>
      <w:kern w:val="0"/>
      <w:sz w:val="24"/>
      <w:szCs w:val="24"/>
      <w:lang w:val="pt-BR" w:eastAsia="zh-CN" w:bidi="ar-SA"/>
    </w:rPr>
  </w:style>
  <w:style w:type="paragraph" w:styleId="Contedodatabela">
    <w:name w:val="Conteúdo da tabela"/>
    <w:basedOn w:val="Normal"/>
    <w:qFormat/>
    <w:pPr>
      <w:widowControl/>
      <w:suppressLineNumbers/>
      <w:bidi w:val="0"/>
      <w:jc w:val="left"/>
    </w:pPr>
    <w:rPr>
      <w:rFonts w:ascii="Arial" w:hAnsi="Arial" w:eastAsia="Times New Roman" w:cs="Tahoma"/>
      <w:color w:val="00000A"/>
      <w:kern w:val="0"/>
      <w:sz w:val="20"/>
      <w:szCs w:val="24"/>
      <w:lang w:val="pt-BR" w:eastAsia="pt-BR" w:bidi="ar-SA"/>
    </w:rPr>
  </w:style>
  <w:style w:type="paragraph" w:styleId="Ttulodetabela">
    <w:name w:val="Título de tabela"/>
    <w:basedOn w:val="Contedodatabela"/>
    <w:qFormat/>
    <w:pPr>
      <w:suppressLineNumbers/>
      <w:jc w:val="center"/>
    </w:pPr>
    <w:rPr>
      <w:b/>
      <w:bCs/>
    </w:rPr>
  </w:style>
  <w:style w:type="paragraph" w:styleId="Western">
    <w:name w:val="western"/>
    <w:basedOn w:val="Normal"/>
    <w:qFormat/>
    <w:pPr>
      <w:spacing w:lineRule="auto" w:line="276" w:before="280" w:after="142"/>
    </w:pPr>
    <w:rPr>
      <w:rFonts w:ascii="Calibri" w:hAnsi="Calibri"/>
      <w:color w:val="000000"/>
    </w:rPr>
  </w:style>
  <w:style w:type="paragraph" w:styleId="Standard">
    <w:name w:val="Standard"/>
    <w:qFormat/>
    <w:pPr>
      <w:widowControl w:val="false"/>
      <w:suppressAutoHyphens w:val="true"/>
      <w:bidi w:val="0"/>
      <w:spacing w:before="0" w:after="0"/>
      <w:jc w:val="left"/>
      <w:textAlignment w:val="baseline"/>
    </w:pPr>
    <w:rPr>
      <w:rFonts w:ascii="Times New Roman" w:hAnsi="Times New Roman" w:eastAsia="Arial Unicode MS" w:cs="Times New Roman"/>
      <w:color w:val="auto"/>
      <w:kern w:val="2"/>
      <w:sz w:val="24"/>
      <w:szCs w:val="20"/>
      <w:lang w:val="pt-BR" w:eastAsia="zh-CN" w:bidi="ar-SA"/>
    </w:rPr>
  </w:style>
  <w:style w:type="paragraph" w:styleId="LONormal1">
    <w:name w:val="LO-Normal1"/>
    <w:qFormat/>
    <w:pPr>
      <w:widowControl w:val="false"/>
      <w:suppressAutoHyphens w:val="true"/>
      <w:bidi w:val="0"/>
      <w:spacing w:before="0" w:after="0"/>
      <w:jc w:val="left"/>
    </w:pPr>
    <w:rPr>
      <w:rFonts w:ascii="Arial" w:hAnsi="Arial" w:eastAsia="Arial" w:cs="" w:cstheme="minorBidi"/>
      <w:color w:val="auto"/>
      <w:kern w:val="0"/>
      <w:sz w:val="20"/>
      <w:szCs w:val="20"/>
      <w:lang w:val="pt-BR" w:eastAsia="pt-BR" w:bidi="ar-SA"/>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lanalto.gov.br/ccivil_03/_ato2019-2022/2021/lei/L14133.htm" TargetMode="External"/><Relationship Id="rId4" Type="http://schemas.openxmlformats.org/officeDocument/2006/relationships/hyperlink" Target="https://www.gov.br/compras/pt-br/acesso-a-informacao/legislacao/instrucoes-normativas/instrucao-normativa-seges-me-no-67-de-8-de-julho-de-2021" TargetMode="External"/><Relationship Id="rId5" Type="http://schemas.openxmlformats.org/officeDocument/2006/relationships/hyperlink" Target="http://www.gov.br/compras" TargetMode="External"/><Relationship Id="rId6" Type="http://schemas.openxmlformats.org/officeDocument/2006/relationships/hyperlink" Target="http://www.pncp.gov.br/" TargetMode="External"/><Relationship Id="rId7" Type="http://schemas.openxmlformats.org/officeDocument/2006/relationships/hyperlink" Target="https://www.gov.br/compras/pt-br/sistemas/conheca-o-compras/aplicativo-compras" TargetMode="External"/><Relationship Id="rId8" Type="http://schemas.openxmlformats.org/officeDocument/2006/relationships/hyperlink" Target="http://www.planalto.gov.br/ccivil_03/LEIS/L6404consol.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11-2014/2013/lei/l12846.htm" TargetMode="External"/><Relationship Id="rId12" Type="http://schemas.openxmlformats.org/officeDocument/2006/relationships/image" Target="media/image1.png"/><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oter" Target="footer1.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Relationship Id="rId21" Type="http://schemas.openxmlformats.org/officeDocument/2006/relationships/customXml" Target="../customXml/item2.xml"/><Relationship Id="rId22" Type="http://schemas.openxmlformats.org/officeDocument/2006/relationships/customXml" Target="../customXml/item3.xml"/><Relationship Id="rId23" Type="http://schemas.openxmlformats.org/officeDocument/2006/relationships/customXml" Target="../customXml/item4.xml"/>
</Relationships>
</file>

<file path=word/_rels/head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569</TotalTime>
  <Application>LibreOffice/7.3.7.2$Linux_X86_64 LibreOffice_project/30$Build-2</Application>
  <AppVersion>15.0000</AppVersion>
  <Pages>34</Pages>
  <Words>7687</Words>
  <Characters>43284</Characters>
  <CharactersWithSpaces>50667</CharactersWithSpaces>
  <Paragraphs>456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2023-08-30T14:09:00Z</dcterms:created>
  <dc:creator/>
  <dc:description/>
  <dc:language>pt-BR</dc:language>
  <cp:lastModifiedBy/>
  <cp:lastPrinted>2024-11-26T15:54:11Z</cp:lastPrinted>
  <dcterms:modified xsi:type="dcterms:W3CDTF">2024-11-26T16:03:38Z</dcterms:modified>
  <cp:revision>52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y fmtid="{D5CDD505-2E9C-101B-9397-08002B2CF9AE}" pid="3" name="HyperlinksChanged">
    <vt:bool>0</vt:bool>
  </property>
  <property fmtid="{D5CDD505-2E9C-101B-9397-08002B2CF9AE}" pid="4" name="LinksUpToDate">
    <vt:bool>0</vt:bool>
  </property>
  <property fmtid="{D5CDD505-2E9C-101B-9397-08002B2CF9AE}" pid="5" name="ScaleCrop">
    <vt:bool>0</vt:bool>
  </property>
  <property fmtid="{D5CDD505-2E9C-101B-9397-08002B2CF9AE}" pid="6" name="ShareDoc">
    <vt:bool>0</vt:bool>
  </property>
</Properties>
</file>