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header3.xml.rels" ContentType="application/vnd.openxmlformats-package.relationship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er1.xml" ContentType="application/vnd.openxmlformats-officedocument.wordprocessingml.footer+xml"/>
  <Override PartName="/word/header3.xml" ContentType="application/vnd.openxmlformats-officedocument.wordprocessingml.header+xml"/>
  <Override PartName="/word/settings.xml" ContentType="application/vnd.openxmlformats-officedocument.wordprocessingml.settings+xml"/>
  <Override PartName="/word/footer3.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header1.xml" ContentType="application/vnd.openxmlformats-officedocument.wordprocessingml.header+xml"/>
  <Override PartName="/word/media/image1.png" ContentType="image/png"/>
  <Override PartName="/word/media/image2.png" ContentType="image/png"/>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uppressAutoHyphens w:val="false"/>
        <w:rPr>
          <w:rFonts w:eastAsia="" w:cs="Arial" w:eastAsiaTheme="minorEastAsia"/>
          <w:color w:val="5B5B5F"/>
          <w:sz w:val="36"/>
          <w:szCs w:val="36"/>
        </w:rPr>
      </w:pPr>
      <w:r>
        <w:rPr>
          <w:rFonts w:eastAsia="" w:cs="Arial" w:eastAsiaTheme="minorEastAsia"/>
          <w:color w:val="5B5B5F"/>
          <w:sz w:val="36"/>
          <w:szCs w:val="36"/>
        </w:rPr>
      </w:r>
    </w:p>
    <w:p>
      <w:pPr>
        <w:pStyle w:val="Normal"/>
        <w:suppressAutoHyphens w:val="false"/>
        <w:rPr>
          <w:rFonts w:eastAsia="" w:cs="Arial" w:eastAsiaTheme="minorEastAsia"/>
          <w:color w:val="5B5B5F"/>
          <w:sz w:val="36"/>
          <w:szCs w:val="36"/>
        </w:rPr>
      </w:pPr>
      <w:r>
        <w:rPr>
          <w:rFonts w:eastAsia="" w:cs="Arial" w:eastAsiaTheme="minorEastAsia"/>
          <w:color w:val="5B5B5F"/>
          <w:sz w:val="36"/>
          <w:szCs w:val="36"/>
        </w:rPr>
      </w:r>
    </w:p>
    <w:p>
      <w:pPr>
        <w:pStyle w:val="Normal"/>
        <w:rPr>
          <w:rFonts w:eastAsia="" w:cs="Arial" w:eastAsiaTheme="minorEastAsia"/>
          <w:color w:val="405CA1"/>
          <w:sz w:val="56"/>
          <w:szCs w:val="56"/>
        </w:rPr>
      </w:pPr>
      <w:r>
        <w:rPr>
          <w:rFonts w:eastAsia="" w:cs="Arial" w:eastAsiaTheme="minorEastAsia"/>
          <w:color w:val="405CA1"/>
          <w:sz w:val="56"/>
          <w:szCs w:val="56"/>
        </w:rPr>
        <w:t>AVISO DE CONTRATAÇÃO</w:t>
      </w:r>
    </w:p>
    <w:p>
      <w:pPr>
        <w:pStyle w:val="Normal"/>
        <w:rPr>
          <w:rFonts w:eastAsia="" w:cs="Arial" w:eastAsiaTheme="minorEastAsia"/>
          <w:color w:val="405CA1"/>
          <w:sz w:val="56"/>
          <w:szCs w:val="56"/>
        </w:rPr>
      </w:pPr>
      <w:r>
        <w:rPr>
          <w:rFonts w:eastAsia="" w:cs="Arial" w:eastAsiaTheme="minorEastAsia"/>
          <w:color w:val="405CA1"/>
          <w:sz w:val="56"/>
          <w:szCs w:val="56"/>
        </w:rPr>
        <w:t>DIRETA</w:t>
      </w:r>
    </w:p>
    <w:p>
      <w:pPr>
        <w:pStyle w:val="Normal"/>
        <w:spacing w:lineRule="auto" w:line="259"/>
        <w:rPr>
          <w:rFonts w:cs="Arial"/>
          <w:bCs/>
          <w:color w:val="5B5B5F"/>
          <w:sz w:val="28"/>
          <w:szCs w:val="28"/>
        </w:rPr>
      </w:pPr>
      <w:r>
        <w:rPr>
          <w:rFonts w:cs="Arial"/>
          <w:bCs/>
          <w:i/>
          <w:iCs/>
          <w:color w:val="5B5B5F"/>
          <w:sz w:val="28"/>
          <w:szCs w:val="28"/>
        </w:rPr>
        <w:t>15</w:t>
      </w:r>
      <w:r>
        <w:rPr>
          <w:rFonts w:cs="Arial"/>
          <w:bCs/>
          <w:i/>
          <w:iCs/>
          <w:color w:val="5B5B5F"/>
          <w:sz w:val="28"/>
          <w:szCs w:val="28"/>
        </w:rPr>
        <w:t>8</w:t>
      </w:r>
      <w:r>
        <w:rPr>
          <w:rFonts w:cs="Arial"/>
          <w:bCs/>
          <w:i/>
          <w:iCs/>
          <w:color w:val="5B5B5F"/>
          <w:sz w:val="28"/>
          <w:szCs w:val="28"/>
        </w:rPr>
        <w:t>/2026</w:t>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t>CONTRATANTE/</w:t>
      </w:r>
      <w:r>
        <w:rPr>
          <w:rFonts w:eastAsia="" w:cs="Arial" w:eastAsiaTheme="minorEastAsia"/>
          <w:b/>
          <w:bCs/>
          <w:color w:val="405CA1"/>
          <w:sz w:val="32"/>
          <w:szCs w:val="32"/>
          <w:shd w:fill="auto" w:val="clear"/>
        </w:rPr>
        <w:t>PNNSG</w:t>
      </w:r>
      <w:r>
        <w:rPr>
          <w:rFonts w:eastAsia="" w:cs="Arial" w:eastAsiaTheme="minorEastAsia"/>
          <w:b/>
          <w:bCs/>
          <w:color w:val="405CA1"/>
          <w:sz w:val="32"/>
          <w:szCs w:val="32"/>
        </w:rPr>
        <w:t xml:space="preserve"> (765704)</w:t>
      </w:r>
    </w:p>
    <w:p>
      <w:pPr>
        <w:pStyle w:val="Normal"/>
        <w:rPr>
          <w:rFonts w:cs="Arial"/>
          <w:bCs/>
          <w:color w:val="5B5B5F"/>
          <w:sz w:val="28"/>
          <w:szCs w:val="28"/>
        </w:rPr>
      </w:pPr>
      <w:r>
        <w:rPr>
          <w:rFonts w:cs="Arial"/>
          <w:bCs/>
          <w:color w:val="5B5B5F"/>
          <w:sz w:val="28"/>
          <w:szCs w:val="28"/>
        </w:rPr>
        <w:t>POLICLÍNICA NAVAL NOSSA SENHORA DA GLÓRIA</w:t>
      </w:r>
    </w:p>
    <w:p>
      <w:pPr>
        <w:pStyle w:val="Normal"/>
        <w:rPr>
          <w:rFonts w:cs="Arial"/>
          <w:b/>
          <w:bCs/>
          <w:color w:val="405CA1"/>
          <w:sz w:val="32"/>
          <w:szCs w:val="32"/>
        </w:rPr>
      </w:pPr>
      <w:r>
        <w:rPr>
          <w:rFonts w:cs="Arial"/>
          <w:b/>
          <w:bCs/>
          <w:color w:val="405CA1"/>
          <w:sz w:val="32"/>
          <w:szCs w:val="32"/>
        </w:rPr>
      </w:r>
    </w:p>
    <w:p>
      <w:pPr>
        <w:pStyle w:val="Normal"/>
        <w:rPr>
          <w:rFonts w:cs="Arial"/>
          <w:b/>
          <w:bCs/>
          <w:color w:val="5B5B5F"/>
          <w:szCs w:val="20"/>
        </w:rPr>
      </w:pPr>
      <w:r>
        <w:rPr>
          <w:rFonts w:cs="Arial"/>
          <w:b/>
          <w:bCs/>
          <w:color w:val="405CA1"/>
          <w:sz w:val="32"/>
          <w:szCs w:val="32"/>
        </w:rPr>
        <w:t>OBJETO</w:t>
      </w:r>
    </w:p>
    <w:p>
      <w:pPr>
        <w:pStyle w:val="Normal"/>
        <w:jc w:val="both"/>
        <w:rPr>
          <w:color w:val="999999"/>
          <w:sz w:val="22"/>
          <w:szCs w:val="22"/>
        </w:rPr>
      </w:pPr>
      <w:r>
        <w:rPr>
          <w:rFonts w:eastAsia="" w:cs="Arial"/>
          <w:b/>
          <w:bCs/>
          <w:color w:val="999999"/>
          <w:sz w:val="22"/>
          <w:szCs w:val="22"/>
          <w:shd w:fill="auto" w:val="clear"/>
        </w:rPr>
        <w:t>AQUISIÇÃO DE ITENS DE</w:t>
      </w:r>
      <w:r>
        <w:rPr>
          <w:rFonts w:eastAsia="" w:cs="Arial"/>
          <w:b/>
          <w:bCs/>
          <w:color w:val="999999"/>
          <w:sz w:val="22"/>
          <w:szCs w:val="22"/>
          <w:shd w:fill="auto" w:val="clear"/>
        </w:rPr>
        <w:t xml:space="preserve"> </w:t>
      </w:r>
      <w:r>
        <w:rPr>
          <w:rFonts w:eastAsia="" w:cs="Arial"/>
          <w:b/>
          <w:bCs/>
          <w:color w:val="999999"/>
          <w:sz w:val="22"/>
          <w:szCs w:val="22"/>
          <w:shd w:fill="auto" w:val="clear"/>
        </w:rPr>
        <w:t>MANUTENÇÃO DE EQUIPAMENTOS ODONTOLÓGICOS</w:t>
      </w:r>
    </w:p>
    <w:p>
      <w:pPr>
        <w:pStyle w:val="Normal"/>
        <w:jc w:val="both"/>
        <w:rPr>
          <w:color w:themeColor="text1" w:themeTint="a6" w:val="595959"/>
          <w:sz w:val="28"/>
          <w:szCs w:val="28"/>
        </w:rPr>
      </w:pPr>
      <w:r>
        <w:rPr>
          <w:color w:themeColor="text1" w:themeTint="a6" w:val="595959"/>
          <w:sz w:val="28"/>
          <w:szCs w:val="28"/>
        </w:rPr>
      </w:r>
    </w:p>
    <w:p>
      <w:pPr>
        <w:pStyle w:val="Normal"/>
        <w:rPr>
          <w:rFonts w:cs="Arial"/>
          <w:b/>
          <w:bCs/>
          <w:color w:val="405CA1"/>
          <w:sz w:val="32"/>
          <w:szCs w:val="32"/>
        </w:rPr>
      </w:pPr>
      <w:r>
        <w:rPr>
          <w:rFonts w:cs="Arial"/>
          <w:b/>
          <w:bCs/>
          <w:color w:val="405CA1"/>
          <w:sz w:val="32"/>
          <w:szCs w:val="32"/>
        </w:rPr>
        <w:t>VALOR TOTAL DA CONTRATAÇÃO</w:t>
      </w:r>
    </w:p>
    <w:p>
      <w:pPr>
        <w:pStyle w:val="Normal"/>
        <w:rPr>
          <w:highlight w:val="none"/>
          <w:shd w:fill="auto" w:val="clear"/>
        </w:rPr>
      </w:pPr>
      <w:r>
        <w:rPr>
          <w:rFonts w:cs="Arial"/>
          <w:bCs/>
          <w:color w:val="5B5B5F"/>
          <w:sz w:val="28"/>
          <w:szCs w:val="28"/>
          <w:shd w:fill="auto" w:val="clear"/>
        </w:rPr>
        <w:t>R$ 6.294,14</w:t>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t>DATA DA SESSÃO PÚBLICA</w:t>
      </w:r>
    </w:p>
    <w:p>
      <w:pPr>
        <w:pStyle w:val="Normal"/>
        <w:rPr>
          <w:rFonts w:cs="Arial"/>
          <w:bCs/>
          <w:color w:val="5B5B5F"/>
          <w:sz w:val="28"/>
          <w:szCs w:val="28"/>
        </w:rPr>
      </w:pPr>
      <w:r>
        <w:rPr>
          <w:rFonts w:cs="Arial"/>
          <w:bCs/>
          <w:color w:val="5B5B5F"/>
          <w:sz w:val="28"/>
          <w:szCs w:val="28"/>
        </w:rPr>
        <w:t xml:space="preserve">De </w:t>
      </w:r>
      <w:r>
        <w:rPr>
          <w:rFonts w:cs="Arial"/>
          <w:bCs/>
          <w:color w:val="5B5B5F"/>
          <w:sz w:val="28"/>
          <w:szCs w:val="28"/>
        </w:rPr>
        <w:t>2</w:t>
      </w:r>
      <w:r>
        <w:rPr>
          <w:rFonts w:cs="Arial"/>
          <w:bCs/>
          <w:color w:val="5B5B5F"/>
          <w:sz w:val="28"/>
          <w:szCs w:val="28"/>
        </w:rPr>
        <w:t>1/0</w:t>
      </w:r>
      <w:r>
        <w:rPr>
          <w:rFonts w:cs="Arial"/>
          <w:bCs/>
          <w:color w:val="5B5B5F"/>
          <w:sz w:val="28"/>
          <w:szCs w:val="28"/>
        </w:rPr>
        <w:t>9</w:t>
      </w:r>
      <w:r>
        <w:rPr>
          <w:rFonts w:cs="Arial"/>
          <w:bCs/>
          <w:color w:val="5B5B5F"/>
          <w:sz w:val="28"/>
          <w:szCs w:val="28"/>
        </w:rPr>
        <w:t>/2026</w:t>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t>HORÁRIO DA FASE DE LANCES</w:t>
      </w:r>
    </w:p>
    <w:p>
      <w:pPr>
        <w:pStyle w:val="Normal"/>
        <w:rPr>
          <w:rFonts w:cs="Arial"/>
          <w:bCs/>
          <w:color w:val="5B5B5F"/>
          <w:sz w:val="28"/>
          <w:szCs w:val="28"/>
        </w:rPr>
      </w:pPr>
      <w:r>
        <w:rPr>
          <w:rFonts w:cs="Arial"/>
          <w:bCs/>
          <w:color w:val="5B5B5F"/>
          <w:sz w:val="28"/>
          <w:szCs w:val="28"/>
        </w:rPr>
        <w:t>Das 8h até 12h</w:t>
      </w:r>
    </w:p>
    <w:p>
      <w:pPr>
        <w:pStyle w:val="Normal"/>
        <w:rPr>
          <w:rFonts w:cs="Arial"/>
          <w:b/>
          <w:bCs/>
          <w:color w:val="405CA1"/>
          <w:sz w:val="32"/>
          <w:szCs w:val="32"/>
        </w:rPr>
      </w:pPr>
      <w:r>
        <w:rPr>
          <w:rFonts w:cs="Arial"/>
          <w:b/>
          <w:bCs/>
          <w:color w:val="405CA1"/>
          <w:sz w:val="32"/>
          <w:szCs w:val="32"/>
        </w:rPr>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t>CRITÉRIO DE JULGAMENTO:</w:t>
      </w:r>
    </w:p>
    <w:p>
      <w:pPr>
        <w:pStyle w:val="Normal"/>
        <w:rPr>
          <w:rFonts w:cs="Arial"/>
          <w:bCs/>
          <w:color w:val="5B5B5F"/>
          <w:sz w:val="28"/>
          <w:szCs w:val="28"/>
        </w:rPr>
      </w:pPr>
      <w:r>
        <w:rPr>
          <w:rFonts w:cs="Arial"/>
          <w:bCs/>
          <w:color w:val="5B5B5F"/>
          <w:sz w:val="28"/>
          <w:szCs w:val="28"/>
        </w:rPr>
        <w:t>menor preço</w:t>
      </w:r>
    </w:p>
    <w:p>
      <w:pPr>
        <w:pStyle w:val="Normal"/>
        <w:rPr>
          <w:rFonts w:cs="Arial"/>
          <w:bCs/>
          <w:color w:val="5B5B5F"/>
          <w:sz w:val="28"/>
          <w:szCs w:val="28"/>
        </w:rPr>
      </w:pPr>
      <w:r>
        <w:rPr>
          <w:rFonts w:cs="Arial"/>
          <w:bCs/>
          <w:color w:val="5B5B5F"/>
          <w:sz w:val="28"/>
          <w:szCs w:val="28"/>
        </w:rPr>
      </w:r>
    </w:p>
    <w:p>
      <w:pPr>
        <w:pStyle w:val="Normal"/>
        <w:rPr>
          <w:rFonts w:cs="Arial"/>
          <w:b/>
          <w:bCs/>
          <w:color w:val="5B5B5F"/>
          <w:sz w:val="26"/>
          <w:szCs w:val="26"/>
        </w:rPr>
      </w:pPr>
      <w:r>
        <w:rPr>
          <w:rFonts w:eastAsia="" w:cs="Arial" w:eastAsiaTheme="minorEastAsia"/>
          <w:b/>
          <w:bCs/>
          <w:color w:val="405CA1"/>
          <w:sz w:val="32"/>
          <w:szCs w:val="32"/>
        </w:rPr>
        <w:t>TRATAMENTO FAVORECIDO ME/EPP/EQUIPARADAS</w:t>
        <w:br/>
      </w:r>
      <w:r>
        <w:rPr>
          <w:rFonts w:cs="Arial"/>
          <w:b/>
          <w:bCs/>
          <w:color w:val="5B5B5F"/>
          <w:sz w:val="26"/>
          <w:szCs w:val="26"/>
        </w:rPr>
        <w:t>SIM</w:t>
      </w:r>
    </w:p>
    <w:p>
      <w:pPr>
        <w:pStyle w:val="Normal"/>
        <w:suppressAutoHyphens w:val="false"/>
        <w:spacing w:lineRule="auto" w:line="259" w:before="0" w:after="160"/>
        <w:rPr>
          <w:rFonts w:eastAsia="" w:cs="Arial" w:eastAsiaTheme="minorEastAsia"/>
          <w:b/>
          <w:bCs/>
          <w:color w:val="405CA1"/>
          <w:sz w:val="32"/>
          <w:szCs w:val="32"/>
        </w:rPr>
      </w:pPr>
      <w:r>
        <w:rPr>
          <w:rFonts w:eastAsia="" w:cs="Arial" w:eastAsiaTheme="minorEastAsia"/>
          <w:b/>
          <w:bCs/>
          <w:color w:val="405CA1"/>
          <w:sz w:val="32"/>
          <w:szCs w:val="32"/>
        </w:rPr>
      </w:r>
    </w:p>
    <w:p>
      <w:pPr>
        <w:pStyle w:val="Normal"/>
        <w:rPr>
          <w:rFonts w:eastAsia="" w:cs="Arial" w:eastAsiaTheme="minorEastAsia"/>
          <w:b/>
          <w:bCs/>
          <w:color w:val="405CA1"/>
          <w:sz w:val="32"/>
          <w:szCs w:val="32"/>
        </w:rPr>
      </w:pPr>
      <w:r>
        <w:rPr>
          <w:rFonts w:eastAsia="" w:cs="Arial" w:eastAsiaTheme="minorEastAsia"/>
          <w:b/>
          <w:bCs/>
          <w:color w:val="405CA1"/>
          <w:sz w:val="32"/>
          <w:szCs w:val="32"/>
        </w:rPr>
        <w:t>MARGEM DE PREFERÊNCIA PARA ALGUM ITEM</w:t>
      </w:r>
    </w:p>
    <w:p>
      <w:pPr>
        <w:pStyle w:val="Normal"/>
        <w:rPr>
          <w:rFonts w:cs="Arial"/>
          <w:b/>
          <w:bCs/>
          <w:color w:val="5B5B5F"/>
          <w:sz w:val="26"/>
          <w:szCs w:val="26"/>
        </w:rPr>
      </w:pPr>
      <w:r>
        <w:rPr>
          <w:rFonts w:cs="Arial"/>
          <w:b/>
          <w:bCs/>
          <w:color w:val="5B5B5F"/>
          <w:sz w:val="26"/>
          <w:szCs w:val="26"/>
        </w:rPr>
        <w:t>NÃO</w:t>
      </w:r>
    </w:p>
    <w:p>
      <w:pPr>
        <w:pStyle w:val="Normal"/>
        <w:rPr>
          <w:rFonts w:eastAsia="" w:cs="Arial" w:eastAsiaTheme="minorEastAsia"/>
          <w:b/>
          <w:bCs/>
          <w:color w:val="405CA1"/>
          <w:sz w:val="32"/>
          <w:szCs w:val="32"/>
        </w:rPr>
      </w:pPr>
      <w:r>
        <w:rPr>
          <w:rFonts w:eastAsia="" w:cs="Arial" w:eastAsiaTheme="minorEastAsia"/>
          <w:b/>
          <w:bCs/>
          <w:color w:val="405CA1"/>
          <w:sz w:val="32"/>
          <w:szCs w:val="32"/>
        </w:rPr>
      </w:r>
    </w:p>
    <w:sdt>
      <w:sdtPr>
        <w:docPartObj>
          <w:docPartGallery w:val="Table of Contents"/>
          <w:docPartUnique w:val="true"/>
        </w:docPartObj>
      </w:sdtPr>
      <w:sdtContent>
        <w:p>
          <w:pPr>
            <w:pStyle w:val="TOCHeading"/>
            <w:spacing w:before="0" w:after="0"/>
            <w:ind w:hanging="0" w:left="0"/>
            <w:rPr>
              <w:color w:val="auto"/>
            </w:rPr>
          </w:pPr>
          <w:r>
            <w:br w:type="page"/>
          </w:r>
          <w:r>
            <w:rPr/>
            <w:t>Sumário</w:t>
          </w:r>
        </w:p>
        <w:p>
          <w:pPr>
            <w:pStyle w:val="TOC1"/>
            <w:rPr>
              <w:rFonts w:ascii="Calibri" w:hAnsi="Calibri" w:eastAsia="" w:cs="" w:asciiTheme="minorHAnsi" w:cstheme="minorBidi" w:eastAsiaTheme="minorEastAsia" w:hAnsiTheme="minorHAnsi"/>
              <w:kern w:val="2"/>
              <w:sz w:val="24"/>
              <w14:ligatures w14:val="standardContextual"/>
            </w:rPr>
          </w:pPr>
          <w:r>
            <w:fldChar w:fldCharType="begin"/>
          </w:r>
          <w:r>
            <w:rPr>
              <w:webHidden/>
              <w:rStyle w:val="Vnculodendice"/>
              <w:vanish w:val="false"/>
              <w:rFonts w:eastAsia=""/>
              <w:lang w:bidi="hi-IN"/>
            </w:rPr>
            <w:instrText xml:space="preserve"> TOC \z \o "1-3" \u \h</w:instrText>
          </w:r>
          <w:r>
            <w:rPr>
              <w:webHidden/>
              <w:rStyle w:val="Vnculodendice"/>
              <w:vanish w:val="false"/>
              <w:rFonts w:eastAsia=""/>
              <w:lang w:bidi="hi-IN"/>
            </w:rPr>
            <w:fldChar w:fldCharType="separate"/>
          </w:r>
          <w:hyperlink w:anchor="_Toc226962637">
            <w:r>
              <w:rPr>
                <w:webHidden/>
                <w:rStyle w:val="Vnculodendice"/>
                <w:rFonts w:eastAsia="" w:eastAsiaTheme="minorEastAsia"/>
                <w:vanish w:val="false"/>
                <w:lang w:bidi="hi-IN"/>
              </w:rPr>
              <w:t>1.</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DO OBJETO</w:t>
            </w:r>
            <w:r>
              <w:rPr>
                <w:webHidden/>
              </w:rPr>
              <w:fldChar w:fldCharType="begin"/>
            </w:r>
            <w:r>
              <w:rPr>
                <w:webHidden/>
              </w:rPr>
              <w:instrText xml:space="preserve">PAGEREF _Toc226962637 \h</w:instrText>
            </w:r>
            <w:r>
              <w:rPr>
                <w:webHidden/>
              </w:rPr>
              <w:fldChar w:fldCharType="separate"/>
            </w:r>
            <w:r>
              <w:rPr>
                <w:rStyle w:val="Vnculodendice"/>
                <w:vanish w:val="false"/>
              </w:rPr>
              <w:tab/>
              <w:t>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38">
            <w:r>
              <w:rPr>
                <w:webHidden/>
                <w:rStyle w:val="Vnculodendice"/>
                <w:rFonts w:eastAsia="" w:eastAsiaTheme="minorEastAsia"/>
                <w:vanish w:val="false"/>
                <w:lang w:bidi="hi-IN"/>
              </w:rPr>
              <w:t>2.</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DO REGISTRO DE PREÇOS</w:t>
            </w:r>
            <w:r>
              <w:rPr>
                <w:webHidden/>
              </w:rPr>
              <w:fldChar w:fldCharType="begin"/>
            </w:r>
            <w:r>
              <w:rPr>
                <w:webHidden/>
              </w:rPr>
              <w:instrText xml:space="preserve">PAGEREF _Toc226962638 \h</w:instrText>
            </w:r>
            <w:r>
              <w:rPr>
                <w:webHidden/>
              </w:rPr>
              <w:fldChar w:fldCharType="separate"/>
            </w:r>
            <w:r>
              <w:rPr>
                <w:rStyle w:val="Vnculodendice"/>
                <w:vanish w:val="false"/>
              </w:rPr>
              <w:tab/>
              <w:t>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39">
            <w:r>
              <w:rPr>
                <w:webHidden/>
                <w:rStyle w:val="Vnculodendice"/>
                <w:rFonts w:eastAsia="" w:eastAsiaTheme="minorEastAsia"/>
                <w:vanish w:val="false"/>
                <w:lang w:bidi="hi-IN"/>
              </w:rPr>
              <w:t>3.</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PARTICIPAÇÃO NA DISPENSA ELETRÔNICA</w:t>
            </w:r>
            <w:r>
              <w:rPr>
                <w:webHidden/>
              </w:rPr>
              <w:fldChar w:fldCharType="begin"/>
            </w:r>
            <w:r>
              <w:rPr>
                <w:webHidden/>
              </w:rPr>
              <w:instrText xml:space="preserve">PAGEREF _Toc226962639 \h</w:instrText>
            </w:r>
            <w:r>
              <w:rPr>
                <w:webHidden/>
              </w:rPr>
              <w:fldChar w:fldCharType="separate"/>
            </w:r>
            <w:r>
              <w:rPr>
                <w:rStyle w:val="Vnculodendice"/>
                <w:vanish w:val="false"/>
              </w:rPr>
              <w:tab/>
              <w:t>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0">
            <w:r>
              <w:rPr>
                <w:webHidden/>
                <w:rStyle w:val="Vnculodendice"/>
                <w:rFonts w:eastAsia="" w:eastAsiaTheme="minorEastAsia"/>
                <w:vanish w:val="false"/>
                <w:lang w:bidi="hi-IN"/>
              </w:rPr>
              <w:t>4.</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DO INGRESSO NA DISPENSA ELETRÔNICA E DO CADASTRAMENTO DA PROPOSTA INICIAL</w:t>
            </w:r>
            <w:r>
              <w:rPr>
                <w:webHidden/>
              </w:rPr>
              <w:fldChar w:fldCharType="begin"/>
            </w:r>
            <w:r>
              <w:rPr>
                <w:webHidden/>
              </w:rPr>
              <w:instrText xml:space="preserve">PAGEREF _Toc226962640 \h</w:instrText>
            </w:r>
            <w:r>
              <w:rPr>
                <w:webHidden/>
              </w:rPr>
              <w:fldChar w:fldCharType="separate"/>
            </w:r>
            <w:r>
              <w:rPr>
                <w:rStyle w:val="Vnculodendice"/>
                <w:vanish w:val="false"/>
              </w:rPr>
              <w:tab/>
              <w:t>5</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1">
            <w:r>
              <w:rPr>
                <w:webHidden/>
                <w:rStyle w:val="Vnculodendice"/>
                <w:rFonts w:eastAsia="" w:eastAsiaTheme="minorEastAsia"/>
                <w:vanish w:val="false"/>
                <w:lang w:bidi="hi-IN"/>
              </w:rPr>
              <w:t>5.</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FASE DE LANCES</w:t>
            </w:r>
            <w:r>
              <w:rPr>
                <w:webHidden/>
              </w:rPr>
              <w:fldChar w:fldCharType="begin"/>
            </w:r>
            <w:r>
              <w:rPr>
                <w:webHidden/>
              </w:rPr>
              <w:instrText xml:space="preserve">PAGEREF _Toc226962641 \h</w:instrText>
            </w:r>
            <w:r>
              <w:rPr>
                <w:webHidden/>
              </w:rPr>
              <w:fldChar w:fldCharType="separate"/>
            </w:r>
            <w:r>
              <w:rPr>
                <w:rStyle w:val="Vnculodendice"/>
                <w:vanish w:val="false"/>
              </w:rPr>
              <w:tab/>
              <w:t>7</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2">
            <w:r>
              <w:rPr>
                <w:webHidden/>
                <w:rStyle w:val="Vnculodendice"/>
                <w:rFonts w:eastAsia="" w:eastAsiaTheme="minorEastAsia"/>
                <w:vanish w:val="false"/>
                <w:lang w:bidi="hi-IN"/>
              </w:rPr>
              <w:t>6.</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FASE DE JULGAMENTO E ACEITAÇÃO DAS PROPOSTAS</w:t>
            </w:r>
            <w:r>
              <w:rPr>
                <w:webHidden/>
              </w:rPr>
              <w:fldChar w:fldCharType="begin"/>
            </w:r>
            <w:r>
              <w:rPr>
                <w:webHidden/>
              </w:rPr>
              <w:instrText xml:space="preserve">PAGEREF _Toc226962642 \h</w:instrText>
            </w:r>
            <w:r>
              <w:rPr>
                <w:webHidden/>
              </w:rPr>
              <w:fldChar w:fldCharType="separate"/>
            </w:r>
            <w:r>
              <w:rPr>
                <w:rStyle w:val="Vnculodendice"/>
                <w:vanish w:val="false"/>
              </w:rPr>
              <w:tab/>
              <w:t>7</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3">
            <w:r>
              <w:rPr>
                <w:webHidden/>
                <w:rStyle w:val="Vnculodendice"/>
                <w:rFonts w:eastAsia="" w:eastAsiaTheme="minorEastAsia"/>
                <w:vanish w:val="false"/>
                <w:lang w:bidi="hi-IN"/>
              </w:rPr>
              <w:t>7.</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FASE DE HABILITAÇÃO</w:t>
            </w:r>
            <w:r>
              <w:rPr>
                <w:webHidden/>
              </w:rPr>
              <w:fldChar w:fldCharType="begin"/>
            </w:r>
            <w:r>
              <w:rPr>
                <w:webHidden/>
              </w:rPr>
              <w:instrText xml:space="preserve">PAGEREF _Toc226962643 \h</w:instrText>
            </w:r>
            <w:r>
              <w:rPr>
                <w:webHidden/>
              </w:rPr>
              <w:fldChar w:fldCharType="separate"/>
            </w:r>
            <w:r>
              <w:rPr>
                <w:rStyle w:val="Vnculodendice"/>
                <w:vanish w:val="false"/>
              </w:rPr>
              <w:tab/>
              <w:t>10</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4">
            <w:r>
              <w:rPr>
                <w:webHidden/>
                <w:rStyle w:val="Vnculodendice"/>
                <w:rFonts w:eastAsia="" w:eastAsiaTheme="minorEastAsia"/>
                <w:vanish w:val="false"/>
                <w:highlight w:val="cyan"/>
                <w:lang w:bidi="hi-IN"/>
              </w:rPr>
              <w:t>8.</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highlight w:val="cyan"/>
                <w:lang w:bidi="hi-IN"/>
              </w:rPr>
              <w:t>DA ATA DE REGISTRO DE PREÇOS</w:t>
            </w:r>
            <w:r>
              <w:rPr>
                <w:webHidden/>
              </w:rPr>
              <w:fldChar w:fldCharType="begin"/>
            </w:r>
            <w:r>
              <w:rPr>
                <w:webHidden/>
              </w:rPr>
              <w:instrText xml:space="preserve">PAGEREF _Toc226962644 \h</w:instrText>
            </w:r>
            <w:r>
              <w:rPr>
                <w:webHidden/>
              </w:rPr>
              <w:fldChar w:fldCharType="separate"/>
            </w:r>
            <w:r>
              <w:rPr>
                <w:rStyle w:val="Vnculodendice"/>
                <w:vanish w:val="false"/>
              </w:rPr>
              <w:tab/>
              <w:t>11</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5">
            <w:r>
              <w:rPr>
                <w:webHidden/>
                <w:rStyle w:val="Vnculodendice"/>
                <w:rFonts w:eastAsia="" w:eastAsiaTheme="minorEastAsia"/>
                <w:bCs/>
                <w:vanish w:val="false"/>
                <w:highlight w:val="cyan"/>
                <w:lang w:bidi="hi-IN"/>
              </w:rPr>
              <w:t>9.</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highlight w:val="cyan"/>
                <w:lang w:bidi="hi-IN"/>
              </w:rPr>
              <w:t>DA FORMAÇÃO DO CADASTRO DE RESERVA</w:t>
            </w:r>
            <w:r>
              <w:rPr>
                <w:webHidden/>
              </w:rPr>
              <w:fldChar w:fldCharType="begin"/>
            </w:r>
            <w:r>
              <w:rPr>
                <w:webHidden/>
              </w:rPr>
              <w:instrText xml:space="preserve">PAGEREF _Toc226962645 \h</w:instrText>
            </w:r>
            <w:r>
              <w:rPr>
                <w:webHidden/>
              </w:rPr>
              <w:fldChar w:fldCharType="separate"/>
            </w:r>
            <w:r>
              <w:rPr>
                <w:rStyle w:val="Vnculodendice"/>
                <w:vanish w:val="false"/>
              </w:rPr>
              <w:tab/>
              <w:t>12</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6">
            <w:r>
              <w:rPr>
                <w:webHidden/>
                <w:rStyle w:val="Vnculodendice"/>
                <w:rFonts w:eastAsia="" w:eastAsiaTheme="minorEastAsia"/>
                <w:vanish w:val="false"/>
                <w:lang w:bidi="hi-IN"/>
              </w:rPr>
              <w:t>10.</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CONTRATAÇÃO</w:t>
            </w:r>
            <w:r>
              <w:rPr>
                <w:webHidden/>
              </w:rPr>
              <w:fldChar w:fldCharType="begin"/>
            </w:r>
            <w:r>
              <w:rPr>
                <w:webHidden/>
              </w:rPr>
              <w:instrText xml:space="preserve">PAGEREF _Toc226962646 \h</w:instrText>
            </w:r>
            <w:r>
              <w:rPr>
                <w:webHidden/>
              </w:rPr>
              <w:fldChar w:fldCharType="separate"/>
            </w:r>
            <w:r>
              <w:rPr>
                <w:rStyle w:val="Vnculodendice"/>
                <w:vanish w:val="false"/>
              </w:rPr>
              <w:tab/>
              <w:t>13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7">
            <w:r>
              <w:rPr>
                <w:webHidden/>
                <w:rStyle w:val="Vnculodendice"/>
                <w:rFonts w:eastAsia="" w:eastAsiaTheme="minorEastAsia"/>
                <w:vanish w:val="false"/>
                <w:lang w:bidi="hi-IN"/>
              </w:rPr>
              <w:t>11.</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DAS INFRAÇÕES E SANÇÕES ADMINISTRATIVAS</w:t>
            </w:r>
            <w:r>
              <w:rPr>
                <w:webHidden/>
              </w:rPr>
              <w:fldChar w:fldCharType="begin"/>
            </w:r>
            <w:r>
              <w:rPr>
                <w:webHidden/>
              </w:rPr>
              <w:instrText xml:space="preserve">PAGEREF _Toc226962647 \h</w:instrText>
            </w:r>
            <w:r>
              <w:rPr>
                <w:webHidden/>
              </w:rPr>
              <w:fldChar w:fldCharType="separate"/>
            </w:r>
            <w:r>
              <w:rPr>
                <w:rStyle w:val="Vnculodendice"/>
                <w:vanish w:val="false"/>
              </w:rPr>
              <w:tab/>
              <w:t>13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8">
            <w:r>
              <w:rPr>
                <w:webHidden/>
                <w:rStyle w:val="Vnculodendice"/>
                <w:rFonts w:eastAsia="" w:eastAsiaTheme="minorEastAsia"/>
                <w:vanish w:val="false"/>
                <w:lang w:bidi="hi-IN"/>
              </w:rPr>
              <w:t>12.</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DAS DISPOSIÇÕES GERAIS</w:t>
            </w:r>
            <w:r>
              <w:rPr>
                <w:webHidden/>
              </w:rPr>
              <w:fldChar w:fldCharType="begin"/>
            </w:r>
            <w:r>
              <w:rPr>
                <w:webHidden/>
              </w:rPr>
              <w:instrText xml:space="preserve">PAGEREF _Toc226962648 \h</w:instrText>
            </w:r>
            <w:r>
              <w:rPr>
                <w:webHidden/>
              </w:rPr>
              <w:fldChar w:fldCharType="separate"/>
            </w:r>
            <w:r>
              <w:rPr>
                <w:rStyle w:val="Vnculodendice"/>
                <w:vanish w:val="false"/>
              </w:rPr>
              <w:tab/>
              <w:t>15</w:t>
            </w:r>
            <w:r>
              <w:rPr>
                <w:webHidden/>
              </w:rPr>
              <w:fldChar w:fldCharType="end"/>
            </w:r>
          </w:hyperlink>
        </w:p>
        <w:p>
          <w:pPr>
            <w:pStyle w:val="Normal"/>
            <w:rPr/>
          </w:pPr>
          <w:r>
            <w:rPr/>
          </w:r>
          <w:r>
            <w:rPr/>
            <w:fldChar w:fldCharType="end"/>
          </w:r>
        </w:p>
      </w:sdtContent>
    </w:sdt>
    <w:p>
      <w:pPr>
        <w:pStyle w:val="Normal"/>
        <w:suppressAutoHyphens w:val="false"/>
        <w:spacing w:lineRule="auto" w:line="259" w:before="0" w:after="160"/>
        <w:rPr>
          <w:rFonts w:cs="Arial"/>
          <w:b/>
          <w:bCs/>
          <w:i/>
          <w:i/>
          <w:iCs/>
          <w:szCs w:val="20"/>
        </w:rPr>
      </w:pPr>
      <w:r>
        <w:rPr>
          <w:rFonts w:cs="Arial"/>
          <w:b/>
          <w:bCs/>
          <w:i/>
          <w:iCs/>
          <w:szCs w:val="20"/>
        </w:rPr>
      </w:r>
      <w:r>
        <w:br w:type="page"/>
      </w:r>
    </w:p>
    <w:p>
      <w:pPr>
        <w:pStyle w:val="Normal"/>
        <w:spacing w:lineRule="auto" w:line="360" w:before="0" w:after="0"/>
        <w:jc w:val="center"/>
        <w:rPr>
          <w:color w:val="1C1C1C"/>
        </w:rPr>
      </w:pPr>
      <w:r>
        <w:rPr>
          <w:color w:val="1C1C1C"/>
        </w:rPr>
      </w:r>
    </w:p>
    <w:p>
      <w:pPr>
        <w:pStyle w:val="Normal"/>
        <w:spacing w:lineRule="auto" w:line="360" w:before="0" w:after="0"/>
        <w:jc w:val="center"/>
        <w:rPr>
          <w:color w:val="1C1C1C"/>
        </w:rPr>
      </w:pPr>
      <w:r>
        <w:rPr>
          <w:color w:val="1C1C1C"/>
        </w:rPr>
        <w:drawing>
          <wp:anchor behindDoc="0" distT="0" distB="0" distL="0" distR="0" simplePos="0" locked="0" layoutInCell="0" allowOverlap="1" relativeHeight="3">
            <wp:simplePos x="0" y="0"/>
            <wp:positionH relativeFrom="column">
              <wp:posOffset>2675890</wp:posOffset>
            </wp:positionH>
            <wp:positionV relativeFrom="paragraph">
              <wp:posOffset>417830</wp:posOffset>
            </wp:positionV>
            <wp:extent cx="708660" cy="718185"/>
            <wp:effectExtent l="0" t="0" r="0" b="0"/>
            <wp:wrapTopAndBottom/>
            <wp:docPr id="1"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descr=""/>
                    <pic:cNvPicPr>
                      <a:picLocks noChangeAspect="1" noChangeArrowheads="1"/>
                    </pic:cNvPicPr>
                  </pic:nvPicPr>
                  <pic:blipFill>
                    <a:blip r:embed="rId2"/>
                    <a:srcRect l="-2772" t="-2725" r="-2772" b="-2725"/>
                    <a:stretch>
                      <a:fillRect/>
                    </a:stretch>
                  </pic:blipFill>
                  <pic:spPr bwMode="auto">
                    <a:xfrm>
                      <a:off x="0" y="0"/>
                      <a:ext cx="708660" cy="718185"/>
                    </a:xfrm>
                    <a:prstGeom prst="rect">
                      <a:avLst/>
                    </a:prstGeom>
                  </pic:spPr>
                </pic:pic>
              </a:graphicData>
            </a:graphic>
          </wp:anchor>
        </w:drawing>
      </w:r>
    </w:p>
    <w:p>
      <w:pPr>
        <w:pStyle w:val="Normal"/>
        <w:spacing w:lineRule="auto" w:line="360" w:before="0" w:after="0"/>
        <w:jc w:val="center"/>
        <w:rPr>
          <w:color w:val="1C1C1C"/>
        </w:rPr>
      </w:pPr>
      <w:r>
        <w:rPr>
          <w:color w:val="1C1C1C"/>
        </w:rPr>
      </w:r>
    </w:p>
    <w:p>
      <w:pPr>
        <w:pStyle w:val="Normal"/>
        <w:spacing w:lineRule="auto" w:line="360" w:before="0" w:after="0"/>
        <w:jc w:val="center"/>
        <w:rPr>
          <w:color w:val="1C1C1C"/>
        </w:rPr>
      </w:pPr>
      <w:r>
        <w:rPr>
          <w:rFonts w:cs="Times New Roman" w:ascii="Times New Roman" w:hAnsi="Times New Roman"/>
          <w:b/>
          <w:bCs/>
          <w:i/>
          <w:iCs/>
          <w:color w:val="1C1C1C"/>
          <w:sz w:val="24"/>
          <w:szCs w:val="24"/>
          <w:lang w:eastAsia="ar-SA"/>
        </w:rPr>
        <w:t>MARINHA DO BRASIL</w:t>
      </w:r>
    </w:p>
    <w:p>
      <w:pPr>
        <w:pStyle w:val="Normal"/>
        <w:spacing w:lineRule="auto" w:line="360" w:before="0" w:after="0"/>
        <w:jc w:val="center"/>
        <w:rPr>
          <w:color w:val="1C1C1C"/>
        </w:rPr>
      </w:pPr>
      <w:r>
        <w:rPr>
          <w:rFonts w:cs="Arial"/>
          <w:b/>
          <w:bCs/>
          <w:i/>
          <w:iCs/>
          <w:color w:val="1C1C1C"/>
          <w:szCs w:val="20"/>
        </w:rPr>
        <w:t>POLICLÍNICA NAVAL NOSSA SENHORA DA GLÓRIA</w:t>
      </w:r>
    </w:p>
    <w:p>
      <w:pPr>
        <w:pStyle w:val="Normal"/>
        <w:spacing w:lineRule="auto" w:line="360"/>
        <w:jc w:val="center"/>
        <w:rPr>
          <w:rFonts w:cs="Arial"/>
          <w:b/>
          <w:color w:val="000000"/>
          <w:szCs w:val="20"/>
        </w:rPr>
      </w:pPr>
      <w:r>
        <w:rPr>
          <w:rFonts w:cs="Arial"/>
          <w:b/>
          <w:bCs/>
          <w:color w:themeColor="text1" w:val="000000"/>
          <w:szCs w:val="20"/>
        </w:rPr>
        <w:t xml:space="preserve">AVISO DE CONTRATAÇÃO DIRETA </w:t>
      </w:r>
      <w:r>
        <w:rPr>
          <w:rFonts w:cs="Arial"/>
          <w:b/>
          <w:color w:val="000000"/>
          <w:szCs w:val="20"/>
        </w:rPr>
        <w:t xml:space="preserve">Nº </w:t>
      </w:r>
      <w:r>
        <w:rPr>
          <w:rFonts w:cs="Arial"/>
          <w:b/>
          <w:color w:val="1C1C1C"/>
          <w:szCs w:val="20"/>
        </w:rPr>
        <w:t>15</w:t>
      </w:r>
      <w:r>
        <w:rPr>
          <w:rFonts w:cs="Arial"/>
          <w:b/>
          <w:color w:val="1C1C1C"/>
          <w:szCs w:val="20"/>
        </w:rPr>
        <w:t>8</w:t>
      </w:r>
      <w:r>
        <w:rPr>
          <w:rFonts w:cs="Arial"/>
          <w:b/>
          <w:i/>
          <w:iCs/>
          <w:color w:val="1C1C1C"/>
          <w:szCs w:val="20"/>
        </w:rPr>
        <w:t>/2026</w:t>
      </w:r>
    </w:p>
    <w:p>
      <w:pPr>
        <w:pStyle w:val="Normal"/>
        <w:spacing w:lineRule="auto" w:line="360" w:before="0" w:after="720"/>
        <w:jc w:val="center"/>
        <w:rPr>
          <w:rFonts w:cs="Arial"/>
          <w:color w:val="000000"/>
          <w:szCs w:val="20"/>
        </w:rPr>
      </w:pPr>
      <w:r>
        <w:rPr>
          <w:rFonts w:cs="Arial"/>
          <w:color w:themeColor="text1" w:val="000000"/>
          <w:szCs w:val="20"/>
        </w:rPr>
        <w:t>(Processo Administrativo n</w:t>
      </w:r>
      <w:r>
        <w:rPr>
          <w:rFonts w:cs="Arial"/>
          <w:color w:val="000000"/>
          <w:szCs w:val="20"/>
        </w:rPr>
        <w:t xml:space="preserve">° </w:t>
      </w:r>
      <w:r>
        <w:rPr>
          <w:rFonts w:cs="Arial"/>
          <w:i/>
          <w:iCs/>
          <w:color w:val="1C1C1C"/>
          <w:szCs w:val="20"/>
        </w:rPr>
        <w:t>63065.002101/2026-28</w:t>
      </w:r>
      <w:r>
        <w:rPr>
          <w:rFonts w:cs="Arial"/>
          <w:color w:val="000000"/>
          <w:szCs w:val="20"/>
        </w:rPr>
        <w:t>)</w:t>
      </w:r>
    </w:p>
    <w:p>
      <w:pPr>
        <w:pStyle w:val="Normal"/>
        <w:spacing w:lineRule="auto" w:line="276" w:before="120" w:after="120"/>
        <w:ind w:firstLine="1134"/>
        <w:jc w:val="both"/>
        <w:rPr/>
      </w:pPr>
      <w:r>
        <w:rPr/>
        <w:t xml:space="preserve">Torna-se público que a </w:t>
      </w:r>
      <w:r>
        <w:rPr>
          <w:rFonts w:cs="Arial"/>
          <w:b/>
          <w:bCs/>
          <w:i/>
          <w:iCs/>
          <w:color w:val="1C1C1C"/>
          <w:szCs w:val="20"/>
        </w:rPr>
        <w:t>POLICLÍNICA NAVAL NOSSA SENHORA DA GLÓRIA</w:t>
      </w:r>
      <w:r>
        <w:rPr/>
        <w:t xml:space="preserve">, por meio da </w:t>
      </w:r>
      <w:r>
        <w:rPr>
          <w:color w:val="1C1C1C"/>
        </w:rPr>
        <w:t>SEÇÃO DE OBTENÇÃO</w:t>
      </w:r>
      <w:r>
        <w:rPr/>
        <w:t>, sediada</w:t>
      </w:r>
      <w:r>
        <w:rPr>
          <w:color w:val="1C1C1C"/>
        </w:rPr>
        <w:t xml:space="preserve"> </w:t>
      </w:r>
      <w:r>
        <w:rPr>
          <w:iCs/>
          <w:color w:val="1C1C1C"/>
        </w:rPr>
        <w:t>RUA CONDE DE BONFIM, 54, TIJUCA,RJ</w:t>
      </w:r>
      <w:r>
        <w:rPr>
          <w:color w:val="1C1C1C"/>
        </w:rPr>
        <w:t>,</w:t>
      </w:r>
      <w:r>
        <w:rPr/>
        <w:t xml:space="preserve"> realizará Dispensa Eletrônica, </w:t>
      </w:r>
      <w:r>
        <w:rPr>
          <w:shd w:fill="CCCCCC" w:val="clear"/>
        </w:rPr>
        <w:t>para registro de preços</w:t>
      </w:r>
      <w:r>
        <w:rPr/>
        <w:t xml:space="preserve">, </w:t>
      </w:r>
      <w:r>
        <w:rPr>
          <w:bCs/>
        </w:rPr>
        <w:t>com critério de julgamento</w:t>
      </w:r>
      <w:r>
        <w:rPr>
          <w:b/>
          <w:bCs/>
        </w:rPr>
        <w:t xml:space="preserve"> </w:t>
      </w:r>
      <w:r>
        <w:rPr>
          <w:b/>
          <w:bCs/>
          <w:i/>
          <w:iCs/>
          <w:color w:val="1C1C1C"/>
        </w:rPr>
        <w:t>menor preço</w:t>
      </w:r>
      <w:r>
        <w:rPr>
          <w:iCs/>
        </w:rPr>
        <w:t>,</w:t>
      </w:r>
      <w:r>
        <w:rPr>
          <w:b/>
          <w:bCs/>
          <w:i/>
        </w:rPr>
        <w:t xml:space="preserve"> </w:t>
      </w:r>
      <w:r>
        <w:rPr/>
        <w:t xml:space="preserve">na hipótese do </w:t>
      </w:r>
      <w:r>
        <w:fldChar w:fldCharType="begin"/>
      </w:r>
      <w:r>
        <w:rPr>
          <w:rStyle w:val="Hyperlink"/>
          <w:u w:val="none"/>
          <w:rFonts w:cs="Arial"/>
          <w:color w:themeColor="hyperlink" w:val="auto"/>
        </w:rPr>
        <w:instrText xml:space="preserve"> HYPERLINK "http://www.planalto.gov.br/ccivil_03/_ato2019-2022/2021/lei/L14133.htm" \l "art75"</w:instrText>
      </w:r>
      <w:r>
        <w:rPr>
          <w:rStyle w:val="Hyperlink"/>
          <w:u w:val="none"/>
          <w:rFonts w:cs="Arial"/>
          <w:color w:themeColor="hyperlink" w:val="auto"/>
        </w:rPr>
        <w:fldChar w:fldCharType="separate"/>
      </w:r>
      <w:r>
        <w:rPr>
          <w:rStyle w:val="Hyperlink"/>
          <w:rFonts w:cs="Arial"/>
          <w:color w:themeColor="hyperlink" w:val="auto"/>
          <w:u w:val="none"/>
        </w:rPr>
        <w:t>art. 75</w:t>
      </w:r>
      <w:r>
        <w:rPr>
          <w:rStyle w:val="Hyperlink"/>
          <w:u w:val="none"/>
          <w:rFonts w:cs="Arial"/>
          <w:color w:themeColor="hyperlink" w:val="auto"/>
        </w:rPr>
        <w:fldChar w:fldCharType="end"/>
      </w:r>
      <w:r>
        <w:rPr>
          <w:i/>
          <w:iCs/>
        </w:rPr>
        <w:t xml:space="preserve">, </w:t>
      </w:r>
      <w:r>
        <w:rPr>
          <w:color w:val="111111"/>
        </w:rPr>
        <w:t>inciso II</w:t>
      </w:r>
      <w:r>
        <w:rPr>
          <w:i/>
          <w:iCs/>
          <w:color w:val="111111"/>
        </w:rPr>
        <w:t>,</w:t>
      </w:r>
      <w:r>
        <w:rPr>
          <w:color w:val="111111"/>
        </w:rPr>
        <w:t xml:space="preserve"> </w:t>
      </w:r>
      <w:r>
        <w:rPr>
          <w:bCs/>
          <w:color w:val="111111"/>
        </w:rPr>
        <w:t xml:space="preserve">nos termos </w:t>
      </w:r>
      <w:r>
        <w:rPr>
          <w:color w:val="111111"/>
        </w:rPr>
        <w:t xml:space="preserve">da Lei nº 14.133, de 1º de abril de 2021, </w:t>
      </w:r>
      <w:r>
        <w:rPr>
          <w:bCs/>
          <w:color w:val="111111"/>
        </w:rPr>
        <w:t xml:space="preserve">da </w:t>
      </w:r>
      <w:hyperlink r:id="rId3">
        <w:r>
          <w:rPr>
            <w:rStyle w:val="Hyperlink"/>
            <w:rFonts w:cs="Arial"/>
            <w:bCs/>
            <w:color w:val="111111"/>
            <w:u w:val="none"/>
          </w:rPr>
          <w:t>Instrução Normativa SEGES/ME nº 67, de 8 de</w:t>
        </w:r>
        <w:r>
          <w:rPr>
            <w:rStyle w:val="Hyperlink"/>
            <w:rFonts w:cs="Arial"/>
            <w:bCs/>
            <w:color w:val="auto"/>
            <w:u w:val="none"/>
          </w:rPr>
          <w:t xml:space="preserve"> julho de 2021</w:t>
        </w:r>
      </w:hyperlink>
      <w:r>
        <w:rPr>
          <w:bCs/>
        </w:rPr>
        <w:t>,</w:t>
      </w:r>
      <w:r>
        <w:rPr>
          <w:bCs/>
          <w:shd w:fill="CCCCCC" w:val="clear"/>
        </w:rPr>
        <w:t xml:space="preserve"> </w:t>
      </w:r>
      <w:r>
        <w:rPr>
          <w:shd w:fill="CCCCCC" w:val="clear"/>
        </w:rPr>
        <w:t>do Decreto nº 11.462, de 31 de março de 2023</w:t>
      </w:r>
      <w:r>
        <w:rPr/>
        <w:t>, e demais normas aplicáveis.</w:t>
      </w:r>
    </w:p>
    <w:p>
      <w:pPr>
        <w:pStyle w:val="Nivel01"/>
        <w:numPr>
          <w:ilvl w:val="0"/>
          <w:numId w:val="1"/>
        </w:numPr>
        <w:spacing w:before="288" w:after="288"/>
        <w:ind w:hanging="357" w:left="357"/>
        <w:rPr/>
      </w:pPr>
      <w:bookmarkStart w:id="0" w:name="_Toc226962637"/>
      <w:r>
        <w:rPr/>
        <w:t xml:space="preserve">DO </w:t>
      </w:r>
      <w:bookmarkStart w:id="1" w:name="_Toc142925860"/>
      <w:r>
        <w:rPr/>
        <w:t>OBJETO</w:t>
      </w:r>
      <w:bookmarkEnd w:id="0"/>
      <w:bookmarkEnd w:id="1"/>
    </w:p>
    <w:p>
      <w:pPr>
        <w:pStyle w:val="Nivel2"/>
        <w:numPr>
          <w:ilvl w:val="1"/>
          <w:numId w:val="1"/>
        </w:numPr>
        <w:ind w:hanging="0" w:left="0"/>
        <w:rPr/>
      </w:pPr>
      <w:r>
        <w:rPr>
          <w:color w:val="1C1C1C"/>
        </w:rPr>
        <w:t>Registro de preços para aquisição de peças para manutenção de equipamentos odontológicos para o atendimento das necessidades Da Policlínica Naval Nossa Senhora da Glória (PNNSG) nos termos da tabela abaixo, conforme condições e exigências estabelecidas neste instrumento.</w:t>
      </w:r>
    </w:p>
    <w:tbl>
      <w:tblPr>
        <w:tblW w:w="9635" w:type="dxa"/>
        <w:jc w:val="left"/>
        <w:tblInd w:w="-7" w:type="dxa"/>
        <w:tblLayout w:type="fixed"/>
        <w:tblCellMar>
          <w:top w:w="0" w:type="dxa"/>
          <w:left w:w="7" w:type="dxa"/>
          <w:bottom w:w="0" w:type="dxa"/>
          <w:right w:w="7" w:type="dxa"/>
        </w:tblCellMar>
      </w:tblPr>
      <w:tblGrid>
        <w:gridCol w:w="738"/>
        <w:gridCol w:w="1812"/>
        <w:gridCol w:w="1027"/>
        <w:gridCol w:w="1246"/>
        <w:gridCol w:w="1697"/>
        <w:gridCol w:w="1477"/>
        <w:gridCol w:w="1637"/>
      </w:tblGrid>
      <w:tr>
        <w:trPr/>
        <w:tc>
          <w:tcPr>
            <w:tcW w:w="738" w:type="dxa"/>
            <w:tcBorders>
              <w:top w:val="single" w:sz="6" w:space="0" w:color="666666"/>
              <w:left w:val="single" w:sz="6" w:space="0" w:color="666666"/>
              <w:bottom w:val="single" w:sz="6" w:space="0" w:color="666666"/>
              <w:right w:val="single" w:sz="6" w:space="0" w:color="666666"/>
            </w:tcBorders>
            <w:shd w:fill="B2B2B2" w:val="clear"/>
          </w:tcPr>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ITEM</w:t>
            </w:r>
          </w:p>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r>
          </w:p>
        </w:tc>
        <w:tc>
          <w:tcPr>
            <w:tcW w:w="1812" w:type="dxa"/>
            <w:tcBorders>
              <w:top w:val="single" w:sz="6" w:space="0" w:color="666666"/>
              <w:bottom w:val="single" w:sz="6" w:space="0" w:color="666666"/>
              <w:right w:val="single" w:sz="6" w:space="0" w:color="666666"/>
            </w:tcBorders>
            <w:shd w:fill="B2B2B2" w:val="clear"/>
          </w:tcPr>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ESPECIFICAÇÃO</w:t>
            </w:r>
          </w:p>
        </w:tc>
        <w:tc>
          <w:tcPr>
            <w:tcW w:w="1027" w:type="dxa"/>
            <w:tcBorders>
              <w:top w:val="single" w:sz="6" w:space="0" w:color="666666"/>
              <w:bottom w:val="single" w:sz="6" w:space="0" w:color="666666"/>
              <w:right w:val="single" w:sz="6" w:space="0" w:color="666666"/>
            </w:tcBorders>
            <w:shd w:fill="B2B2B2" w:val="clear"/>
          </w:tcPr>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CATMAT</w:t>
            </w:r>
          </w:p>
        </w:tc>
        <w:tc>
          <w:tcPr>
            <w:tcW w:w="1246" w:type="dxa"/>
            <w:tcBorders>
              <w:top w:val="single" w:sz="6" w:space="0" w:color="666666"/>
              <w:bottom w:val="single" w:sz="6" w:space="0" w:color="666666"/>
              <w:right w:val="single" w:sz="6" w:space="0" w:color="666666"/>
            </w:tcBorders>
            <w:shd w:fill="B2B2B2" w:val="clear"/>
          </w:tcPr>
          <w:p>
            <w:pPr>
              <w:pStyle w:val="Normal"/>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UNIDADE</w:t>
            </w:r>
          </w:p>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DE</w:t>
            </w:r>
          </w:p>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MEDIDA</w:t>
            </w:r>
          </w:p>
        </w:tc>
        <w:tc>
          <w:tcPr>
            <w:tcW w:w="1697" w:type="dxa"/>
            <w:tcBorders>
              <w:top w:val="single" w:sz="6" w:space="0" w:color="666666"/>
              <w:bottom w:val="single" w:sz="6" w:space="0" w:color="666666"/>
              <w:right w:val="single" w:sz="6" w:space="0" w:color="666666"/>
            </w:tcBorders>
            <w:shd w:fill="B2B2B2" w:val="clear"/>
          </w:tcPr>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QUANTIDADE</w:t>
            </w:r>
          </w:p>
        </w:tc>
        <w:tc>
          <w:tcPr>
            <w:tcW w:w="1477" w:type="dxa"/>
            <w:tcBorders>
              <w:top w:val="single" w:sz="6" w:space="0" w:color="666666"/>
              <w:bottom w:val="single" w:sz="6" w:space="0" w:color="666666"/>
              <w:right w:val="single" w:sz="6" w:space="0" w:color="666666"/>
            </w:tcBorders>
            <w:shd w:fill="B2B2B2" w:val="clear"/>
          </w:tcPr>
          <w:p>
            <w:pPr>
              <w:pStyle w:val="Normal"/>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VALOR</w:t>
            </w:r>
          </w:p>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UNITÁRIO</w:t>
            </w:r>
          </w:p>
        </w:tc>
        <w:tc>
          <w:tcPr>
            <w:tcW w:w="1637" w:type="dxa"/>
            <w:tcBorders>
              <w:top w:val="single" w:sz="6" w:space="0" w:color="666666"/>
              <w:left w:val="single" w:sz="6" w:space="0" w:color="666666"/>
              <w:bottom w:val="single" w:sz="6" w:space="0" w:color="666666"/>
              <w:right w:val="single" w:sz="6" w:space="0" w:color="666666"/>
            </w:tcBorders>
            <w:shd w:fill="B2B2B2" w:val="clear"/>
          </w:tcPr>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VALOR</w:t>
            </w:r>
          </w:p>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TOTAL</w:t>
            </w:r>
          </w:p>
        </w:tc>
      </w:tr>
      <w:tr>
        <w:trPr/>
        <w:tc>
          <w:tcPr>
            <w:tcW w:w="738" w:type="dxa"/>
            <w:tcBorders>
              <w:left w:val="single" w:sz="6" w:space="0" w:color="666666"/>
              <w:bottom w:val="single" w:sz="6" w:space="0" w:color="666666"/>
              <w:right w:val="single" w:sz="6" w:space="0" w:color="666666"/>
            </w:tcBorders>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1</w:t>
            </w:r>
          </w:p>
        </w:tc>
        <w:tc>
          <w:tcPr>
            <w:tcW w:w="1812" w:type="dxa"/>
            <w:tcBorders>
              <w:bottom w:val="single" w:sz="6" w:space="0" w:color="666666"/>
              <w:right w:val="single" w:sz="6" w:space="0" w:color="666666"/>
            </w:tcBorders>
          </w:tcPr>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ROLO DE 100 METROS DE</w:t>
            </w:r>
          </w:p>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MANGUEIRA AR COMPRIMIDO 6</w:t>
            </w:r>
          </w:p>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MM EXCLUSIVO PARA ME/EP</w:t>
            </w:r>
          </w:p>
        </w:tc>
        <w:tc>
          <w:tcPr>
            <w:tcW w:w="1027" w:type="dxa"/>
            <w:tcBorders>
              <w:bottom w:val="single" w:sz="6" w:space="0" w:color="666666"/>
              <w:right w:val="single" w:sz="6" w:space="0" w:color="666666"/>
            </w:tcBorders>
          </w:tcPr>
          <w:p>
            <w:pPr>
              <w:pStyle w:val="Contedodatabela"/>
              <w:spacing w:before="57" w:after="57"/>
              <w:jc w:val="center"/>
              <w:rPr>
                <w:rFonts w:ascii="Courier New" w:hAnsi="Courier New"/>
                <w:sz w:val="20"/>
                <w:szCs w:val="20"/>
              </w:rPr>
            </w:pPr>
            <w:r>
              <w:rPr>
                <w:rFonts w:ascii="Courier New" w:hAnsi="Courier New"/>
                <w:sz w:val="20"/>
                <w:szCs w:val="20"/>
              </w:rPr>
              <w:t>467104</w:t>
            </w:r>
          </w:p>
        </w:tc>
        <w:tc>
          <w:tcPr>
            <w:tcW w:w="1246" w:type="dxa"/>
            <w:tcBorders>
              <w:bottom w:val="single" w:sz="6" w:space="0" w:color="666666"/>
              <w:right w:val="single" w:sz="6" w:space="0" w:color="666666"/>
            </w:tcBorders>
          </w:tcPr>
          <w:p>
            <w:pPr>
              <w:pStyle w:val="Contedodatabela"/>
              <w:jc w:val="center"/>
              <w:rPr>
                <w:rFonts w:ascii="Courier New" w:hAnsi="Courier New"/>
                <w:sz w:val="20"/>
                <w:szCs w:val="20"/>
              </w:rPr>
            </w:pPr>
            <w:r>
              <w:rPr>
                <w:rFonts w:ascii="Courier New" w:hAnsi="Courier New"/>
                <w:sz w:val="20"/>
                <w:szCs w:val="20"/>
              </w:rPr>
              <w:t>M</w:t>
            </w:r>
          </w:p>
        </w:tc>
        <w:tc>
          <w:tcPr>
            <w:tcW w:w="1697" w:type="dxa"/>
            <w:tcBorders>
              <w:bottom w:val="single" w:sz="6" w:space="0" w:color="666666"/>
              <w:right w:val="single" w:sz="6" w:space="0" w:color="666666"/>
            </w:tcBorders>
          </w:tcPr>
          <w:p>
            <w:pPr>
              <w:pStyle w:val="Contedodatabela"/>
              <w:jc w:val="center"/>
              <w:rPr>
                <w:rFonts w:ascii="Courier New" w:hAnsi="Courier New"/>
                <w:sz w:val="20"/>
                <w:szCs w:val="20"/>
              </w:rPr>
            </w:pPr>
            <w:r>
              <w:rPr>
                <w:rFonts w:ascii="Courier New" w:hAnsi="Courier New"/>
                <w:sz w:val="20"/>
                <w:szCs w:val="20"/>
              </w:rPr>
              <w:t>100</w:t>
            </w:r>
          </w:p>
        </w:tc>
        <w:tc>
          <w:tcPr>
            <w:tcW w:w="1477" w:type="dxa"/>
            <w:tcBorders>
              <w:bottom w:val="single" w:sz="6" w:space="0" w:color="666666"/>
              <w:right w:val="single" w:sz="6" w:space="0" w:color="666666"/>
            </w:tcBorders>
          </w:tcPr>
          <w:p>
            <w:pPr>
              <w:pStyle w:val="Contedodatabela"/>
              <w:jc w:val="center"/>
              <w:rPr>
                <w:rFonts w:ascii="Courier New" w:hAnsi="Courier New"/>
                <w:sz w:val="20"/>
                <w:szCs w:val="20"/>
              </w:rPr>
            </w:pPr>
            <w:r>
              <w:rPr>
                <w:rFonts w:ascii="Courier New" w:hAnsi="Courier New"/>
                <w:sz w:val="20"/>
                <w:szCs w:val="20"/>
              </w:rPr>
              <w:t xml:space="preserve">R$ 3,85 </w:t>
            </w:r>
          </w:p>
        </w:tc>
        <w:tc>
          <w:tcPr>
            <w:tcW w:w="1637" w:type="dxa"/>
            <w:tcBorders>
              <w:left w:val="single" w:sz="6" w:space="0" w:color="666666"/>
              <w:bottom w:val="single" w:sz="6" w:space="0" w:color="666666"/>
              <w:right w:val="single" w:sz="6" w:space="0" w:color="666666"/>
            </w:tcBorders>
          </w:tcPr>
          <w:p>
            <w:pPr>
              <w:pStyle w:val="Contedodatabela"/>
              <w:jc w:val="center"/>
              <w:rPr>
                <w:rFonts w:ascii="Courier New" w:hAnsi="Courier New"/>
                <w:sz w:val="20"/>
                <w:szCs w:val="20"/>
              </w:rPr>
            </w:pPr>
            <w:r>
              <w:rPr>
                <w:rFonts w:ascii="Courier New" w:hAnsi="Courier New"/>
                <w:sz w:val="20"/>
                <w:szCs w:val="20"/>
              </w:rPr>
              <w:t>R$ 384,67</w:t>
            </w:r>
          </w:p>
        </w:tc>
      </w:tr>
      <w:tr>
        <w:trPr/>
        <w:tc>
          <w:tcPr>
            <w:tcW w:w="738" w:type="dxa"/>
            <w:tcBorders>
              <w:left w:val="single" w:sz="6" w:space="0" w:color="666666"/>
              <w:bottom w:val="single" w:sz="6" w:space="0" w:color="666666"/>
              <w:right w:val="single" w:sz="6" w:space="0" w:color="666666"/>
            </w:tcBorders>
            <w:shd w:fill="EEEEEE" w:val="clear"/>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2</w:t>
            </w:r>
          </w:p>
        </w:tc>
        <w:tc>
          <w:tcPr>
            <w:tcW w:w="1812" w:type="dxa"/>
            <w:tcBorders>
              <w:bottom w:val="single" w:sz="6" w:space="0" w:color="666666"/>
              <w:right w:val="single" w:sz="6" w:space="0" w:color="666666"/>
            </w:tcBorders>
            <w:shd w:fill="EEEEEE" w:val="clear"/>
          </w:tcPr>
          <w:p>
            <w:pPr>
              <w:pStyle w:val="Contedodatabela"/>
              <w:jc w:val="center"/>
              <w:rPr>
                <w:rFonts w:ascii="Courier New" w:hAnsi="Courier New"/>
                <w:sz w:val="20"/>
                <w:szCs w:val="20"/>
              </w:rPr>
            </w:pPr>
            <w:r>
              <w:rPr>
                <w:rFonts w:ascii="Courier New" w:hAnsi="Courier New"/>
                <w:sz w:val="20"/>
                <w:szCs w:val="20"/>
              </w:rPr>
              <w:t>ROLO DE 100 METROS DE</w:t>
            </w:r>
          </w:p>
          <w:p>
            <w:pPr>
              <w:pStyle w:val="Contedodatabela"/>
              <w:jc w:val="center"/>
              <w:rPr>
                <w:rFonts w:ascii="Courier New" w:hAnsi="Courier New"/>
                <w:sz w:val="20"/>
                <w:szCs w:val="20"/>
              </w:rPr>
            </w:pPr>
            <w:r>
              <w:rPr>
                <w:rFonts w:ascii="Courier New" w:hAnsi="Courier New"/>
                <w:sz w:val="20"/>
                <w:szCs w:val="20"/>
              </w:rPr>
              <w:t>MANGUEIRA AR COMPRIMIDO 8</w:t>
            </w:r>
          </w:p>
          <w:p>
            <w:pPr>
              <w:pStyle w:val="Contedodatabela"/>
              <w:jc w:val="center"/>
              <w:rPr>
                <w:rFonts w:ascii="Courier New" w:hAnsi="Courier New"/>
                <w:sz w:val="20"/>
                <w:szCs w:val="20"/>
              </w:rPr>
            </w:pPr>
            <w:r>
              <w:rPr>
                <w:rFonts w:ascii="Courier New" w:hAnsi="Courier New"/>
                <w:sz w:val="20"/>
                <w:szCs w:val="20"/>
              </w:rPr>
              <w:t>MM EXCLUSIVO PARA ME/EP</w:t>
            </w:r>
          </w:p>
        </w:tc>
        <w:tc>
          <w:tcPr>
            <w:tcW w:w="1027" w:type="dxa"/>
            <w:tcBorders>
              <w:bottom w:val="single" w:sz="6" w:space="0" w:color="666666"/>
              <w:right w:val="single" w:sz="6" w:space="0" w:color="666666"/>
            </w:tcBorders>
            <w:shd w:fill="EEEEEE" w:val="clear"/>
          </w:tcPr>
          <w:p>
            <w:pPr>
              <w:pStyle w:val="Contedodatabela"/>
              <w:jc w:val="center"/>
              <w:rPr>
                <w:rFonts w:ascii="Courier New" w:hAnsi="Courier New"/>
                <w:sz w:val="20"/>
                <w:szCs w:val="20"/>
              </w:rPr>
            </w:pPr>
            <w:r>
              <w:rPr>
                <w:rFonts w:ascii="Courier New" w:hAnsi="Courier New"/>
                <w:sz w:val="20"/>
                <w:szCs w:val="20"/>
              </w:rPr>
              <w:t>467104</w:t>
            </w:r>
          </w:p>
        </w:tc>
        <w:tc>
          <w:tcPr>
            <w:tcW w:w="1246" w:type="dxa"/>
            <w:tcBorders>
              <w:bottom w:val="single" w:sz="6" w:space="0" w:color="666666"/>
              <w:right w:val="single" w:sz="6" w:space="0" w:color="666666"/>
            </w:tcBorders>
            <w:shd w:fill="EEEEEE" w:val="clear"/>
          </w:tcPr>
          <w:p>
            <w:pPr>
              <w:pStyle w:val="Contedodatabela"/>
              <w:jc w:val="center"/>
              <w:rPr>
                <w:rFonts w:ascii="Courier New" w:hAnsi="Courier New"/>
                <w:sz w:val="20"/>
                <w:szCs w:val="20"/>
              </w:rPr>
            </w:pPr>
            <w:r>
              <w:rPr>
                <w:rFonts w:ascii="Courier New" w:hAnsi="Courier New"/>
                <w:sz w:val="20"/>
                <w:szCs w:val="20"/>
              </w:rPr>
              <w:t>M</w:t>
            </w:r>
          </w:p>
        </w:tc>
        <w:tc>
          <w:tcPr>
            <w:tcW w:w="1697" w:type="dxa"/>
            <w:tcBorders>
              <w:bottom w:val="single" w:sz="6" w:space="0" w:color="666666"/>
              <w:right w:val="single" w:sz="6" w:space="0" w:color="666666"/>
            </w:tcBorders>
            <w:shd w:fill="EEEEEE" w:val="clear"/>
          </w:tcPr>
          <w:p>
            <w:pPr>
              <w:pStyle w:val="Contedodatabela"/>
              <w:jc w:val="center"/>
              <w:rPr>
                <w:rFonts w:ascii="Courier New" w:hAnsi="Courier New"/>
                <w:sz w:val="20"/>
                <w:szCs w:val="20"/>
              </w:rPr>
            </w:pPr>
            <w:r>
              <w:rPr>
                <w:rFonts w:ascii="Courier New" w:hAnsi="Courier New"/>
                <w:sz w:val="20"/>
                <w:szCs w:val="20"/>
              </w:rPr>
              <w:t>100</w:t>
            </w:r>
          </w:p>
        </w:tc>
        <w:tc>
          <w:tcPr>
            <w:tcW w:w="1477" w:type="dxa"/>
            <w:tcBorders>
              <w:bottom w:val="single" w:sz="6" w:space="0" w:color="666666"/>
              <w:right w:val="single" w:sz="6" w:space="0" w:color="666666"/>
            </w:tcBorders>
            <w:shd w:fill="EEEEEE" w:val="clear"/>
          </w:tcPr>
          <w:p>
            <w:pPr>
              <w:pStyle w:val="Contedodatabela"/>
              <w:jc w:val="center"/>
              <w:rPr>
                <w:rFonts w:ascii="Courier New" w:hAnsi="Courier New"/>
                <w:sz w:val="20"/>
                <w:szCs w:val="20"/>
              </w:rPr>
            </w:pPr>
            <w:r>
              <w:rPr>
                <w:rFonts w:ascii="Courier New" w:hAnsi="Courier New"/>
                <w:sz w:val="20"/>
                <w:szCs w:val="20"/>
              </w:rPr>
              <w:t xml:space="preserve">R$ 3,85 </w:t>
            </w:r>
          </w:p>
        </w:tc>
        <w:tc>
          <w:tcPr>
            <w:tcW w:w="1637" w:type="dxa"/>
            <w:tcBorders>
              <w:left w:val="single" w:sz="6" w:space="0" w:color="666666"/>
              <w:bottom w:val="single" w:sz="6" w:space="0" w:color="666666"/>
              <w:right w:val="single" w:sz="6" w:space="0" w:color="666666"/>
            </w:tcBorders>
            <w:shd w:fill="EEEEEE" w:val="clear"/>
          </w:tcPr>
          <w:p>
            <w:pPr>
              <w:pStyle w:val="Contedodatabela"/>
              <w:jc w:val="center"/>
              <w:rPr>
                <w:rFonts w:ascii="Courier New" w:hAnsi="Courier New"/>
                <w:sz w:val="20"/>
                <w:szCs w:val="20"/>
              </w:rPr>
            </w:pPr>
            <w:r>
              <w:rPr>
                <w:rFonts w:ascii="Courier New" w:hAnsi="Courier New"/>
                <w:sz w:val="20"/>
                <w:szCs w:val="20"/>
              </w:rPr>
              <w:t>R$ 384,67</w:t>
            </w:r>
          </w:p>
        </w:tc>
      </w:tr>
      <w:tr>
        <w:trPr/>
        <w:tc>
          <w:tcPr>
            <w:tcW w:w="738" w:type="dxa"/>
            <w:tcBorders>
              <w:left w:val="single" w:sz="6" w:space="0" w:color="666666"/>
              <w:bottom w:val="single" w:sz="6" w:space="0" w:color="666666"/>
              <w:right w:val="single" w:sz="6" w:space="0" w:color="666666"/>
            </w:tcBorders>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3</w:t>
            </w:r>
          </w:p>
        </w:tc>
        <w:tc>
          <w:tcPr>
            <w:tcW w:w="1812" w:type="dxa"/>
            <w:tcBorders>
              <w:bottom w:val="single" w:sz="6" w:space="0" w:color="666666"/>
              <w:right w:val="single" w:sz="6" w:space="0" w:color="666666"/>
            </w:tcBorders>
          </w:tcPr>
          <w:p>
            <w:pPr>
              <w:pStyle w:val="Contedodatabela"/>
              <w:jc w:val="center"/>
              <w:rPr>
                <w:rFonts w:ascii="Courier New" w:hAnsi="Courier New"/>
                <w:sz w:val="20"/>
                <w:szCs w:val="20"/>
              </w:rPr>
            </w:pPr>
            <w:r>
              <w:rPr>
                <w:rFonts w:ascii="Courier New" w:hAnsi="Courier New"/>
                <w:sz w:val="20"/>
                <w:szCs w:val="20"/>
              </w:rPr>
              <w:t>CONEXÕES RÁPIDAS T - 2 VIAS</w:t>
            </w:r>
          </w:p>
          <w:p>
            <w:pPr>
              <w:pStyle w:val="Contedodatabela"/>
              <w:jc w:val="center"/>
              <w:rPr>
                <w:rFonts w:ascii="Courier New" w:hAnsi="Courier New"/>
                <w:sz w:val="20"/>
                <w:szCs w:val="20"/>
              </w:rPr>
            </w:pPr>
            <w:r>
              <w:rPr>
                <w:rFonts w:ascii="Courier New" w:hAnsi="Courier New"/>
                <w:sz w:val="20"/>
                <w:szCs w:val="20"/>
              </w:rPr>
              <w:t>8MM / VIA 6 MM EXCLUSIVO</w:t>
            </w:r>
          </w:p>
          <w:p>
            <w:pPr>
              <w:pStyle w:val="Contedodatabela"/>
              <w:jc w:val="center"/>
              <w:rPr>
                <w:rFonts w:ascii="Courier New" w:hAnsi="Courier New"/>
                <w:sz w:val="20"/>
                <w:szCs w:val="20"/>
              </w:rPr>
            </w:pPr>
            <w:r>
              <w:rPr>
                <w:rFonts w:ascii="Courier New" w:hAnsi="Courier New"/>
                <w:sz w:val="20"/>
                <w:szCs w:val="20"/>
              </w:rPr>
              <w:t>PARA ME/EPP</w:t>
            </w:r>
          </w:p>
        </w:tc>
        <w:tc>
          <w:tcPr>
            <w:tcW w:w="1027" w:type="dxa"/>
            <w:tcBorders>
              <w:bottom w:val="single" w:sz="6" w:space="0" w:color="666666"/>
              <w:right w:val="single" w:sz="6" w:space="0" w:color="666666"/>
            </w:tcBorders>
          </w:tcPr>
          <w:p>
            <w:pPr>
              <w:pStyle w:val="Contedodatabela"/>
              <w:jc w:val="center"/>
              <w:rPr>
                <w:rFonts w:ascii="Courier New" w:hAnsi="Courier New"/>
                <w:sz w:val="20"/>
                <w:szCs w:val="20"/>
              </w:rPr>
            </w:pPr>
            <w:r>
              <w:rPr>
                <w:rFonts w:ascii="Courier New" w:hAnsi="Courier New"/>
                <w:sz w:val="20"/>
                <w:szCs w:val="20"/>
              </w:rPr>
              <w:t xml:space="preserve">468332 </w:t>
            </w:r>
          </w:p>
        </w:tc>
        <w:tc>
          <w:tcPr>
            <w:tcW w:w="1246" w:type="dxa"/>
            <w:tcBorders>
              <w:bottom w:val="single" w:sz="6" w:space="0" w:color="666666"/>
              <w:right w:val="single" w:sz="6" w:space="0" w:color="666666"/>
            </w:tcBorders>
          </w:tcPr>
          <w:p>
            <w:pPr>
              <w:pStyle w:val="Contedodatabela"/>
              <w:jc w:val="center"/>
              <w:rPr>
                <w:rFonts w:ascii="Courier New" w:hAnsi="Courier New"/>
                <w:sz w:val="20"/>
                <w:szCs w:val="20"/>
              </w:rPr>
            </w:pPr>
            <w:r>
              <w:rPr>
                <w:rFonts w:ascii="Courier New" w:hAnsi="Courier New"/>
                <w:sz w:val="20"/>
                <w:szCs w:val="20"/>
              </w:rPr>
              <w:t>UN</w:t>
            </w:r>
          </w:p>
        </w:tc>
        <w:tc>
          <w:tcPr>
            <w:tcW w:w="1697" w:type="dxa"/>
            <w:tcBorders>
              <w:bottom w:val="single" w:sz="6" w:space="0" w:color="666666"/>
              <w:right w:val="single" w:sz="6" w:space="0" w:color="666666"/>
            </w:tcBorders>
          </w:tcPr>
          <w:p>
            <w:pPr>
              <w:pStyle w:val="Contedodatabela"/>
              <w:jc w:val="center"/>
              <w:rPr>
                <w:rFonts w:ascii="Courier New" w:hAnsi="Courier New"/>
                <w:sz w:val="20"/>
                <w:szCs w:val="20"/>
              </w:rPr>
            </w:pPr>
            <w:r>
              <w:rPr>
                <w:rFonts w:ascii="Courier New" w:hAnsi="Courier New"/>
                <w:sz w:val="20"/>
                <w:szCs w:val="20"/>
              </w:rPr>
              <w:t>15</w:t>
            </w:r>
          </w:p>
        </w:tc>
        <w:tc>
          <w:tcPr>
            <w:tcW w:w="1477" w:type="dxa"/>
            <w:tcBorders>
              <w:bottom w:val="single" w:sz="6" w:space="0" w:color="666666"/>
              <w:right w:val="single" w:sz="6" w:space="0" w:color="666666"/>
            </w:tcBorders>
          </w:tcPr>
          <w:p>
            <w:pPr>
              <w:pStyle w:val="Contedodatabela"/>
              <w:jc w:val="center"/>
              <w:rPr>
                <w:rFonts w:ascii="Courier New" w:hAnsi="Courier New"/>
                <w:sz w:val="20"/>
                <w:szCs w:val="20"/>
              </w:rPr>
            </w:pPr>
            <w:r>
              <w:rPr>
                <w:rFonts w:ascii="Courier New" w:hAnsi="Courier New"/>
                <w:sz w:val="20"/>
                <w:szCs w:val="20"/>
              </w:rPr>
              <w:t xml:space="preserve">R$ 5,85 </w:t>
            </w:r>
          </w:p>
        </w:tc>
        <w:tc>
          <w:tcPr>
            <w:tcW w:w="1637" w:type="dxa"/>
            <w:tcBorders>
              <w:left w:val="single" w:sz="6" w:space="0" w:color="666666"/>
              <w:bottom w:val="single" w:sz="6" w:space="0" w:color="666666"/>
              <w:right w:val="single" w:sz="6" w:space="0" w:color="666666"/>
            </w:tcBorders>
          </w:tcPr>
          <w:p>
            <w:pPr>
              <w:pStyle w:val="Contedodatabela"/>
              <w:jc w:val="center"/>
              <w:rPr>
                <w:rFonts w:ascii="Courier New" w:hAnsi="Courier New"/>
                <w:sz w:val="20"/>
                <w:szCs w:val="20"/>
              </w:rPr>
            </w:pPr>
            <w:r>
              <w:rPr>
                <w:rFonts w:ascii="Courier New" w:hAnsi="Courier New"/>
                <w:sz w:val="20"/>
                <w:szCs w:val="20"/>
              </w:rPr>
              <w:t>R$ 87,75</w:t>
            </w:r>
          </w:p>
        </w:tc>
      </w:tr>
      <w:tr>
        <w:trPr/>
        <w:tc>
          <w:tcPr>
            <w:tcW w:w="738" w:type="dxa"/>
            <w:tcBorders>
              <w:left w:val="single" w:sz="6" w:space="0" w:color="666666"/>
              <w:bottom w:val="single" w:sz="6" w:space="0" w:color="666666"/>
              <w:right w:val="single" w:sz="6" w:space="0" w:color="666666"/>
            </w:tcBorders>
            <w:shd w:fill="EEEEEE" w:val="clear"/>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4</w:t>
            </w:r>
          </w:p>
        </w:tc>
        <w:tc>
          <w:tcPr>
            <w:tcW w:w="1812" w:type="dxa"/>
            <w:tcBorders>
              <w:bottom w:val="single" w:sz="6" w:space="0" w:color="666666"/>
              <w:right w:val="single" w:sz="6" w:space="0" w:color="666666"/>
            </w:tcBorders>
            <w:shd w:fill="EEEEEE" w:val="clear"/>
          </w:tcPr>
          <w:p>
            <w:pPr>
              <w:pStyle w:val="Contedodatabela"/>
              <w:jc w:val="center"/>
              <w:rPr>
                <w:rFonts w:ascii="Courier New" w:hAnsi="Courier New"/>
                <w:sz w:val="20"/>
                <w:szCs w:val="20"/>
              </w:rPr>
            </w:pPr>
            <w:r>
              <w:rPr>
                <w:rFonts w:ascii="Courier New" w:hAnsi="Courier New"/>
                <w:sz w:val="20"/>
                <w:szCs w:val="20"/>
              </w:rPr>
              <w:t>CONEXÕES RÁPIDAS T 6MM</w:t>
            </w:r>
          </w:p>
          <w:p>
            <w:pPr>
              <w:pStyle w:val="Contedodatabela"/>
              <w:jc w:val="center"/>
              <w:rPr>
                <w:rFonts w:ascii="Courier New" w:hAnsi="Courier New"/>
                <w:sz w:val="20"/>
                <w:szCs w:val="20"/>
              </w:rPr>
            </w:pPr>
            <w:r>
              <w:rPr>
                <w:rFonts w:ascii="Courier New" w:hAnsi="Courier New"/>
                <w:sz w:val="20"/>
                <w:szCs w:val="20"/>
              </w:rPr>
              <w:t>EXCLUSIVO PARA ME/EP</w:t>
            </w:r>
          </w:p>
        </w:tc>
        <w:tc>
          <w:tcPr>
            <w:tcW w:w="1027" w:type="dxa"/>
            <w:tcBorders>
              <w:bottom w:val="single" w:sz="6" w:space="0" w:color="666666"/>
              <w:right w:val="single" w:sz="6" w:space="0" w:color="666666"/>
            </w:tcBorders>
            <w:shd w:fill="EEEEEE" w:val="clear"/>
          </w:tcPr>
          <w:p>
            <w:pPr>
              <w:pStyle w:val="Contedodatabela"/>
              <w:jc w:val="center"/>
              <w:rPr>
                <w:rFonts w:ascii="Courier New" w:hAnsi="Courier New"/>
                <w:sz w:val="20"/>
                <w:szCs w:val="20"/>
              </w:rPr>
            </w:pPr>
            <w:r>
              <w:rPr>
                <w:rFonts w:ascii="Courier New" w:hAnsi="Courier New"/>
                <w:sz w:val="20"/>
                <w:szCs w:val="20"/>
              </w:rPr>
              <w:t xml:space="preserve">468332 </w:t>
            </w:r>
          </w:p>
        </w:tc>
        <w:tc>
          <w:tcPr>
            <w:tcW w:w="1246" w:type="dxa"/>
            <w:tcBorders>
              <w:bottom w:val="single" w:sz="6" w:space="0" w:color="666666"/>
              <w:right w:val="single" w:sz="6" w:space="0" w:color="666666"/>
            </w:tcBorders>
            <w:shd w:fill="EEEEEE" w:val="clear"/>
          </w:tcPr>
          <w:p>
            <w:pPr>
              <w:pStyle w:val="Contedodatabela"/>
              <w:jc w:val="center"/>
              <w:rPr>
                <w:rFonts w:ascii="Courier New" w:hAnsi="Courier New"/>
                <w:sz w:val="20"/>
                <w:szCs w:val="20"/>
              </w:rPr>
            </w:pPr>
            <w:r>
              <w:rPr>
                <w:rFonts w:ascii="Courier New" w:hAnsi="Courier New"/>
                <w:sz w:val="20"/>
                <w:szCs w:val="20"/>
              </w:rPr>
              <w:t>UN</w:t>
            </w:r>
          </w:p>
        </w:tc>
        <w:tc>
          <w:tcPr>
            <w:tcW w:w="1697" w:type="dxa"/>
            <w:tcBorders>
              <w:bottom w:val="single" w:sz="6" w:space="0" w:color="666666"/>
              <w:right w:val="single" w:sz="6" w:space="0" w:color="666666"/>
            </w:tcBorders>
            <w:shd w:fill="EEEEEE" w:val="clear"/>
          </w:tcPr>
          <w:p>
            <w:pPr>
              <w:pStyle w:val="Contedodatabela"/>
              <w:jc w:val="center"/>
              <w:rPr>
                <w:rFonts w:ascii="Courier New" w:hAnsi="Courier New"/>
                <w:sz w:val="20"/>
                <w:szCs w:val="20"/>
              </w:rPr>
            </w:pPr>
            <w:r>
              <w:rPr>
                <w:rFonts w:ascii="Courier New" w:hAnsi="Courier New"/>
                <w:sz w:val="20"/>
                <w:szCs w:val="20"/>
              </w:rPr>
              <w:t>15</w:t>
            </w:r>
          </w:p>
        </w:tc>
        <w:tc>
          <w:tcPr>
            <w:tcW w:w="1477" w:type="dxa"/>
            <w:tcBorders>
              <w:bottom w:val="single" w:sz="6" w:space="0" w:color="666666"/>
              <w:right w:val="single" w:sz="6" w:space="0" w:color="666666"/>
            </w:tcBorders>
            <w:shd w:fill="EEEEEE" w:val="clear"/>
          </w:tcPr>
          <w:p>
            <w:pPr>
              <w:pStyle w:val="Contedodatabela"/>
              <w:jc w:val="center"/>
              <w:rPr>
                <w:rFonts w:ascii="Courier New" w:hAnsi="Courier New"/>
                <w:sz w:val="20"/>
                <w:szCs w:val="20"/>
              </w:rPr>
            </w:pPr>
            <w:r>
              <w:rPr>
                <w:rFonts w:ascii="Courier New" w:hAnsi="Courier New"/>
                <w:sz w:val="20"/>
                <w:szCs w:val="20"/>
              </w:rPr>
              <w:t xml:space="preserve">R$ 5,85 </w:t>
            </w:r>
          </w:p>
        </w:tc>
        <w:tc>
          <w:tcPr>
            <w:tcW w:w="1637" w:type="dxa"/>
            <w:tcBorders>
              <w:left w:val="single" w:sz="6" w:space="0" w:color="666666"/>
              <w:bottom w:val="single" w:sz="6" w:space="0" w:color="666666"/>
              <w:right w:val="single" w:sz="6" w:space="0" w:color="666666"/>
            </w:tcBorders>
            <w:shd w:fill="EEEEEE" w:val="clear"/>
          </w:tcPr>
          <w:p>
            <w:pPr>
              <w:pStyle w:val="Contedodatabela"/>
              <w:jc w:val="center"/>
              <w:rPr>
                <w:rFonts w:ascii="Courier New" w:hAnsi="Courier New"/>
                <w:sz w:val="20"/>
                <w:szCs w:val="20"/>
              </w:rPr>
            </w:pPr>
            <w:r>
              <w:rPr>
                <w:rFonts w:ascii="Courier New" w:hAnsi="Courier New"/>
                <w:sz w:val="20"/>
                <w:szCs w:val="20"/>
              </w:rPr>
              <w:t>R$ 58,50</w:t>
            </w:r>
          </w:p>
        </w:tc>
      </w:tr>
      <w:tr>
        <w:trPr/>
        <w:tc>
          <w:tcPr>
            <w:tcW w:w="738" w:type="dxa"/>
            <w:tcBorders>
              <w:left w:val="single" w:sz="6" w:space="0" w:color="666666"/>
              <w:bottom w:val="single" w:sz="6" w:space="0" w:color="666666"/>
              <w:right w:val="single" w:sz="6" w:space="0" w:color="666666"/>
            </w:tcBorders>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5</w:t>
            </w:r>
          </w:p>
        </w:tc>
        <w:tc>
          <w:tcPr>
            <w:tcW w:w="1812" w:type="dxa"/>
            <w:tcBorders>
              <w:bottom w:val="single" w:sz="6" w:space="0" w:color="666666"/>
              <w:right w:val="single" w:sz="6" w:space="0" w:color="666666"/>
            </w:tcBorders>
          </w:tcPr>
          <w:p>
            <w:pPr>
              <w:pStyle w:val="Contedodatabela"/>
              <w:jc w:val="center"/>
              <w:rPr>
                <w:rFonts w:ascii="Courier New" w:hAnsi="Courier New"/>
                <w:sz w:val="20"/>
                <w:szCs w:val="20"/>
              </w:rPr>
            </w:pPr>
            <w:r>
              <w:rPr>
                <w:rFonts w:ascii="Courier New" w:hAnsi="Courier New"/>
                <w:sz w:val="20"/>
                <w:szCs w:val="20"/>
              </w:rPr>
              <w:t>CONEXÕES RÁPIDAS</w:t>
            </w:r>
          </w:p>
          <w:p>
            <w:pPr>
              <w:pStyle w:val="Contedodatabela"/>
              <w:jc w:val="center"/>
              <w:rPr>
                <w:rFonts w:ascii="Courier New" w:hAnsi="Courier New"/>
                <w:sz w:val="20"/>
                <w:szCs w:val="20"/>
              </w:rPr>
            </w:pPr>
            <w:r>
              <w:rPr>
                <w:rFonts w:ascii="Courier New" w:hAnsi="Courier New"/>
                <w:sz w:val="20"/>
                <w:szCs w:val="20"/>
              </w:rPr>
              <w:t>COTOVELO ¼ P/ 6 MM</w:t>
            </w:r>
          </w:p>
          <w:p>
            <w:pPr>
              <w:pStyle w:val="Contedodatabela"/>
              <w:jc w:val="center"/>
              <w:rPr>
                <w:rFonts w:ascii="Courier New" w:hAnsi="Courier New"/>
                <w:sz w:val="20"/>
                <w:szCs w:val="20"/>
              </w:rPr>
            </w:pPr>
            <w:r>
              <w:rPr>
                <w:rFonts w:ascii="Courier New" w:hAnsi="Courier New"/>
                <w:sz w:val="20"/>
                <w:szCs w:val="20"/>
              </w:rPr>
              <w:t>EXCLUSIVO PARA ME/EP</w:t>
            </w:r>
          </w:p>
        </w:tc>
        <w:tc>
          <w:tcPr>
            <w:tcW w:w="1027" w:type="dxa"/>
            <w:tcBorders>
              <w:bottom w:val="single" w:sz="6" w:space="0" w:color="666666"/>
              <w:right w:val="single" w:sz="6" w:space="0" w:color="666666"/>
            </w:tcBorders>
          </w:tcPr>
          <w:p>
            <w:pPr>
              <w:pStyle w:val="Contedodatabela"/>
              <w:jc w:val="center"/>
              <w:rPr>
                <w:rFonts w:ascii="Courier New" w:hAnsi="Courier New"/>
                <w:sz w:val="20"/>
                <w:szCs w:val="20"/>
              </w:rPr>
            </w:pPr>
            <w:r>
              <w:rPr>
                <w:rFonts w:ascii="Courier New" w:hAnsi="Courier New"/>
                <w:sz w:val="20"/>
                <w:szCs w:val="20"/>
              </w:rPr>
              <w:t xml:space="preserve">468332 </w:t>
            </w:r>
          </w:p>
        </w:tc>
        <w:tc>
          <w:tcPr>
            <w:tcW w:w="1246" w:type="dxa"/>
            <w:tcBorders>
              <w:bottom w:val="single" w:sz="6" w:space="0" w:color="666666"/>
              <w:right w:val="single" w:sz="6" w:space="0" w:color="666666"/>
            </w:tcBorders>
          </w:tcPr>
          <w:p>
            <w:pPr>
              <w:pStyle w:val="Contedodatabela"/>
              <w:jc w:val="center"/>
              <w:rPr>
                <w:rFonts w:ascii="Courier New" w:hAnsi="Courier New"/>
                <w:sz w:val="20"/>
                <w:szCs w:val="20"/>
              </w:rPr>
            </w:pPr>
            <w:r>
              <w:rPr>
                <w:rFonts w:ascii="Courier New" w:hAnsi="Courier New"/>
                <w:sz w:val="20"/>
                <w:szCs w:val="20"/>
              </w:rPr>
              <w:t>UN</w:t>
            </w:r>
          </w:p>
        </w:tc>
        <w:tc>
          <w:tcPr>
            <w:tcW w:w="1697" w:type="dxa"/>
            <w:tcBorders>
              <w:bottom w:val="single" w:sz="6" w:space="0" w:color="666666"/>
              <w:right w:val="single" w:sz="6" w:space="0" w:color="666666"/>
            </w:tcBorders>
          </w:tcPr>
          <w:p>
            <w:pPr>
              <w:pStyle w:val="Contedodatabela"/>
              <w:jc w:val="center"/>
              <w:rPr>
                <w:rFonts w:ascii="Courier New" w:hAnsi="Courier New"/>
                <w:sz w:val="20"/>
                <w:szCs w:val="20"/>
              </w:rPr>
            </w:pPr>
            <w:r>
              <w:rPr>
                <w:rFonts w:ascii="Courier New" w:hAnsi="Courier New"/>
                <w:sz w:val="20"/>
                <w:szCs w:val="20"/>
              </w:rPr>
              <w:t>15</w:t>
            </w:r>
          </w:p>
        </w:tc>
        <w:tc>
          <w:tcPr>
            <w:tcW w:w="1477" w:type="dxa"/>
            <w:tcBorders>
              <w:bottom w:val="single" w:sz="6" w:space="0" w:color="666666"/>
              <w:right w:val="single" w:sz="6" w:space="0" w:color="666666"/>
            </w:tcBorders>
          </w:tcPr>
          <w:p>
            <w:pPr>
              <w:pStyle w:val="Contedodatabela"/>
              <w:jc w:val="center"/>
              <w:rPr>
                <w:rFonts w:ascii="Courier New" w:hAnsi="Courier New"/>
                <w:sz w:val="20"/>
                <w:szCs w:val="20"/>
              </w:rPr>
            </w:pPr>
            <w:r>
              <w:rPr>
                <w:rFonts w:ascii="Courier New" w:hAnsi="Courier New"/>
                <w:sz w:val="20"/>
                <w:szCs w:val="20"/>
              </w:rPr>
              <w:t xml:space="preserve">R$ 5,85 </w:t>
            </w:r>
          </w:p>
        </w:tc>
        <w:tc>
          <w:tcPr>
            <w:tcW w:w="1637" w:type="dxa"/>
            <w:tcBorders>
              <w:left w:val="single" w:sz="6" w:space="0" w:color="666666"/>
              <w:bottom w:val="single" w:sz="6" w:space="0" w:color="666666"/>
              <w:right w:val="single" w:sz="6" w:space="0" w:color="666666"/>
            </w:tcBorders>
          </w:tcPr>
          <w:p>
            <w:pPr>
              <w:pStyle w:val="Contedodatabela"/>
              <w:jc w:val="center"/>
              <w:rPr>
                <w:rFonts w:ascii="Courier New" w:hAnsi="Courier New"/>
                <w:sz w:val="20"/>
                <w:szCs w:val="20"/>
              </w:rPr>
            </w:pPr>
            <w:r>
              <w:rPr>
                <w:rFonts w:ascii="Courier New" w:hAnsi="Courier New"/>
                <w:sz w:val="20"/>
                <w:szCs w:val="20"/>
              </w:rPr>
              <w:t>R$ 58,50</w:t>
            </w:r>
          </w:p>
        </w:tc>
      </w:tr>
      <w:tr>
        <w:trPr/>
        <w:tc>
          <w:tcPr>
            <w:tcW w:w="738" w:type="dxa"/>
            <w:tcBorders>
              <w:left w:val="single" w:sz="6" w:space="0" w:color="666666"/>
              <w:bottom w:val="single" w:sz="6" w:space="0" w:color="666666"/>
              <w:right w:val="single" w:sz="6" w:space="0" w:color="666666"/>
            </w:tcBorders>
            <w:shd w:fill="EEEEEE" w:val="clear"/>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6</w:t>
            </w:r>
          </w:p>
        </w:tc>
        <w:tc>
          <w:tcPr>
            <w:tcW w:w="1812" w:type="dxa"/>
            <w:tcBorders>
              <w:bottom w:val="single" w:sz="6" w:space="0" w:color="666666"/>
              <w:right w:val="single" w:sz="6" w:space="0" w:color="666666"/>
            </w:tcBorders>
            <w:shd w:fill="EEEEEE" w:val="clear"/>
          </w:tcPr>
          <w:p>
            <w:pPr>
              <w:pStyle w:val="Contedodatabela"/>
              <w:jc w:val="center"/>
              <w:rPr>
                <w:rFonts w:ascii="Courier New" w:hAnsi="Courier New"/>
                <w:sz w:val="20"/>
                <w:szCs w:val="20"/>
              </w:rPr>
            </w:pPr>
            <w:r>
              <w:rPr>
                <w:rFonts w:ascii="Courier New" w:hAnsi="Courier New"/>
                <w:sz w:val="20"/>
                <w:szCs w:val="20"/>
              </w:rPr>
              <w:t>RESERVATÓRIOS ÁGUA</w:t>
            </w:r>
          </w:p>
          <w:p>
            <w:pPr>
              <w:pStyle w:val="Contedodatabela"/>
              <w:jc w:val="center"/>
              <w:rPr>
                <w:rFonts w:ascii="Courier New" w:hAnsi="Courier New"/>
                <w:sz w:val="20"/>
                <w:szCs w:val="20"/>
              </w:rPr>
            </w:pPr>
            <w:r>
              <w:rPr>
                <w:rFonts w:ascii="Courier New" w:hAnsi="Courier New"/>
                <w:sz w:val="20"/>
                <w:szCs w:val="20"/>
              </w:rPr>
              <w:t>GARRAFA PET KAVO</w:t>
            </w:r>
          </w:p>
          <w:p>
            <w:pPr>
              <w:pStyle w:val="Contedodatabela"/>
              <w:jc w:val="center"/>
              <w:rPr>
                <w:rFonts w:ascii="Courier New" w:hAnsi="Courier New"/>
                <w:sz w:val="20"/>
                <w:szCs w:val="20"/>
              </w:rPr>
            </w:pPr>
            <w:r>
              <w:rPr>
                <w:rFonts w:ascii="Courier New" w:hAnsi="Courier New"/>
                <w:sz w:val="20"/>
                <w:szCs w:val="20"/>
              </w:rPr>
              <w:t>EXCLUSIVO PARA ME/EP</w:t>
            </w:r>
          </w:p>
        </w:tc>
        <w:tc>
          <w:tcPr>
            <w:tcW w:w="1027" w:type="dxa"/>
            <w:tcBorders>
              <w:bottom w:val="single" w:sz="6" w:space="0" w:color="666666"/>
              <w:right w:val="single" w:sz="6" w:space="0" w:color="666666"/>
            </w:tcBorders>
            <w:shd w:fill="EEEEEE" w:val="clear"/>
          </w:tcPr>
          <w:p>
            <w:pPr>
              <w:pStyle w:val="Contedodatabela"/>
              <w:jc w:val="center"/>
              <w:rPr>
                <w:rFonts w:ascii="Courier New" w:hAnsi="Courier New"/>
                <w:sz w:val="20"/>
                <w:szCs w:val="20"/>
              </w:rPr>
            </w:pPr>
            <w:r>
              <w:rPr>
                <w:rFonts w:ascii="Courier New" w:hAnsi="Courier New"/>
                <w:sz w:val="20"/>
                <w:szCs w:val="20"/>
              </w:rPr>
              <w:t>628297</w:t>
            </w:r>
          </w:p>
        </w:tc>
        <w:tc>
          <w:tcPr>
            <w:tcW w:w="1246" w:type="dxa"/>
            <w:tcBorders>
              <w:bottom w:val="single" w:sz="6" w:space="0" w:color="666666"/>
              <w:right w:val="single" w:sz="6" w:space="0" w:color="666666"/>
            </w:tcBorders>
            <w:shd w:fill="EEEEEE" w:val="clear"/>
          </w:tcPr>
          <w:p>
            <w:pPr>
              <w:pStyle w:val="Contedodatabela"/>
              <w:jc w:val="center"/>
              <w:rPr>
                <w:rFonts w:ascii="Courier New" w:hAnsi="Courier New"/>
                <w:sz w:val="20"/>
                <w:szCs w:val="20"/>
              </w:rPr>
            </w:pPr>
            <w:r>
              <w:rPr>
                <w:rFonts w:ascii="Courier New" w:hAnsi="Courier New"/>
                <w:sz w:val="20"/>
                <w:szCs w:val="20"/>
              </w:rPr>
              <w:t>UN</w:t>
            </w:r>
          </w:p>
        </w:tc>
        <w:tc>
          <w:tcPr>
            <w:tcW w:w="1697" w:type="dxa"/>
            <w:tcBorders>
              <w:bottom w:val="single" w:sz="6" w:space="0" w:color="666666"/>
              <w:right w:val="single" w:sz="6" w:space="0" w:color="666666"/>
            </w:tcBorders>
            <w:shd w:fill="EEEEEE" w:val="clear"/>
          </w:tcPr>
          <w:p>
            <w:pPr>
              <w:pStyle w:val="Contedodatabela"/>
              <w:jc w:val="center"/>
              <w:rPr>
                <w:rFonts w:ascii="Courier New" w:hAnsi="Courier New"/>
                <w:sz w:val="20"/>
                <w:szCs w:val="20"/>
              </w:rPr>
            </w:pPr>
            <w:r>
              <w:rPr>
                <w:rFonts w:ascii="Courier New" w:hAnsi="Courier New"/>
                <w:sz w:val="20"/>
                <w:szCs w:val="20"/>
              </w:rPr>
              <w:t>15</w:t>
            </w:r>
          </w:p>
        </w:tc>
        <w:tc>
          <w:tcPr>
            <w:tcW w:w="1477" w:type="dxa"/>
            <w:tcBorders>
              <w:bottom w:val="single" w:sz="6" w:space="0" w:color="666666"/>
              <w:right w:val="single" w:sz="6" w:space="0" w:color="666666"/>
            </w:tcBorders>
            <w:shd w:fill="EEEEEE" w:val="clear"/>
          </w:tcPr>
          <w:p>
            <w:pPr>
              <w:pStyle w:val="Contedodatabela"/>
              <w:jc w:val="center"/>
              <w:rPr>
                <w:rFonts w:ascii="Courier New" w:hAnsi="Courier New"/>
                <w:sz w:val="20"/>
                <w:szCs w:val="20"/>
              </w:rPr>
            </w:pPr>
            <w:r>
              <w:rPr>
                <w:rFonts w:ascii="Courier New" w:hAnsi="Courier New"/>
                <w:sz w:val="20"/>
                <w:szCs w:val="20"/>
              </w:rPr>
              <w:t>R$ 28,45</w:t>
            </w:r>
          </w:p>
        </w:tc>
        <w:tc>
          <w:tcPr>
            <w:tcW w:w="1637" w:type="dxa"/>
            <w:tcBorders>
              <w:left w:val="single" w:sz="6" w:space="0" w:color="666666"/>
              <w:bottom w:val="single" w:sz="6" w:space="0" w:color="666666"/>
              <w:right w:val="single" w:sz="6" w:space="0" w:color="666666"/>
            </w:tcBorders>
            <w:shd w:fill="EEEEEE" w:val="clear"/>
          </w:tcPr>
          <w:p>
            <w:pPr>
              <w:pStyle w:val="Contedodatabela"/>
              <w:jc w:val="center"/>
              <w:rPr>
                <w:rFonts w:ascii="Courier New" w:hAnsi="Courier New"/>
                <w:sz w:val="20"/>
                <w:szCs w:val="20"/>
              </w:rPr>
            </w:pPr>
            <w:r>
              <w:rPr>
                <w:rFonts w:ascii="Courier New" w:hAnsi="Courier New"/>
                <w:sz w:val="20"/>
                <w:szCs w:val="20"/>
              </w:rPr>
              <w:t>R$ 284,50</w:t>
            </w:r>
          </w:p>
        </w:tc>
      </w:tr>
      <w:tr>
        <w:trPr/>
        <w:tc>
          <w:tcPr>
            <w:tcW w:w="738" w:type="dxa"/>
            <w:tcBorders>
              <w:left w:val="single" w:sz="6" w:space="0" w:color="666666"/>
              <w:bottom w:val="single" w:sz="6" w:space="0" w:color="666666"/>
              <w:right w:val="single" w:sz="6" w:space="0" w:color="666666"/>
            </w:tcBorders>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7</w:t>
            </w:r>
          </w:p>
        </w:tc>
        <w:tc>
          <w:tcPr>
            <w:tcW w:w="1812" w:type="dxa"/>
            <w:tcBorders>
              <w:bottom w:val="single" w:sz="6" w:space="0" w:color="666666"/>
              <w:right w:val="single" w:sz="6" w:space="0" w:color="666666"/>
            </w:tcBorders>
          </w:tcPr>
          <w:p>
            <w:pPr>
              <w:pStyle w:val="Contedodatabela"/>
              <w:jc w:val="center"/>
              <w:rPr>
                <w:rFonts w:ascii="Courier New" w:hAnsi="Courier New"/>
                <w:sz w:val="20"/>
                <w:szCs w:val="20"/>
              </w:rPr>
            </w:pPr>
            <w:r>
              <w:rPr>
                <w:rFonts w:ascii="Courier New" w:hAnsi="Courier New"/>
                <w:sz w:val="20"/>
                <w:szCs w:val="20"/>
              </w:rPr>
              <w:t>FILTROS SEPARADOR DE</w:t>
            </w:r>
          </w:p>
          <w:p>
            <w:pPr>
              <w:pStyle w:val="Contedodatabela"/>
              <w:jc w:val="center"/>
              <w:rPr>
                <w:rFonts w:ascii="Courier New" w:hAnsi="Courier New"/>
                <w:sz w:val="20"/>
                <w:szCs w:val="20"/>
              </w:rPr>
            </w:pPr>
            <w:r>
              <w:rPr>
                <w:rFonts w:ascii="Courier New" w:hAnsi="Courier New"/>
                <w:sz w:val="20"/>
                <w:szCs w:val="20"/>
              </w:rPr>
              <w:t>DETRITOS KAVO EXCLUSIVO</w:t>
            </w:r>
          </w:p>
          <w:p>
            <w:pPr>
              <w:pStyle w:val="Contedodatabela"/>
              <w:jc w:val="center"/>
              <w:rPr>
                <w:rFonts w:ascii="Courier New" w:hAnsi="Courier New"/>
                <w:sz w:val="20"/>
                <w:szCs w:val="20"/>
              </w:rPr>
            </w:pPr>
            <w:r>
              <w:rPr>
                <w:rFonts w:ascii="Courier New" w:hAnsi="Courier New"/>
                <w:sz w:val="20"/>
                <w:szCs w:val="20"/>
              </w:rPr>
              <w:t>PARA ME/EPP</w:t>
            </w:r>
          </w:p>
        </w:tc>
        <w:tc>
          <w:tcPr>
            <w:tcW w:w="1027" w:type="dxa"/>
            <w:tcBorders>
              <w:bottom w:val="single" w:sz="6" w:space="0" w:color="666666"/>
              <w:right w:val="single" w:sz="6" w:space="0" w:color="666666"/>
            </w:tcBorders>
          </w:tcPr>
          <w:p>
            <w:pPr>
              <w:pStyle w:val="Contedodatabela"/>
              <w:jc w:val="center"/>
              <w:rPr>
                <w:rFonts w:ascii="Courier New" w:hAnsi="Courier New"/>
                <w:sz w:val="20"/>
                <w:szCs w:val="20"/>
              </w:rPr>
            </w:pPr>
            <w:r>
              <w:rPr>
                <w:rFonts w:ascii="Courier New" w:hAnsi="Courier New"/>
                <w:sz w:val="20"/>
                <w:szCs w:val="20"/>
              </w:rPr>
              <w:t xml:space="preserve">425290 </w:t>
            </w:r>
          </w:p>
        </w:tc>
        <w:tc>
          <w:tcPr>
            <w:tcW w:w="1246" w:type="dxa"/>
            <w:tcBorders>
              <w:bottom w:val="single" w:sz="6" w:space="0" w:color="666666"/>
              <w:right w:val="single" w:sz="6" w:space="0" w:color="666666"/>
            </w:tcBorders>
          </w:tcPr>
          <w:p>
            <w:pPr>
              <w:pStyle w:val="Contedodatabela"/>
              <w:jc w:val="center"/>
              <w:rPr>
                <w:rFonts w:ascii="Courier New" w:hAnsi="Courier New"/>
                <w:sz w:val="20"/>
                <w:szCs w:val="20"/>
              </w:rPr>
            </w:pPr>
            <w:r>
              <w:rPr>
                <w:rFonts w:ascii="Courier New" w:hAnsi="Courier New"/>
                <w:sz w:val="20"/>
                <w:szCs w:val="20"/>
              </w:rPr>
              <w:t>UN</w:t>
            </w:r>
          </w:p>
        </w:tc>
        <w:tc>
          <w:tcPr>
            <w:tcW w:w="1697" w:type="dxa"/>
            <w:tcBorders>
              <w:bottom w:val="single" w:sz="6" w:space="0" w:color="666666"/>
              <w:right w:val="single" w:sz="6" w:space="0" w:color="666666"/>
            </w:tcBorders>
          </w:tcPr>
          <w:p>
            <w:pPr>
              <w:pStyle w:val="Contedodatabela"/>
              <w:jc w:val="center"/>
              <w:rPr>
                <w:rFonts w:ascii="Courier New" w:hAnsi="Courier New"/>
                <w:sz w:val="20"/>
                <w:szCs w:val="20"/>
              </w:rPr>
            </w:pPr>
            <w:r>
              <w:rPr>
                <w:rFonts w:ascii="Courier New" w:hAnsi="Courier New"/>
                <w:sz w:val="20"/>
                <w:szCs w:val="20"/>
              </w:rPr>
              <w:t>15</w:t>
            </w:r>
          </w:p>
        </w:tc>
        <w:tc>
          <w:tcPr>
            <w:tcW w:w="1477" w:type="dxa"/>
            <w:tcBorders>
              <w:bottom w:val="single" w:sz="6" w:space="0" w:color="666666"/>
              <w:right w:val="single" w:sz="6" w:space="0" w:color="666666"/>
            </w:tcBorders>
          </w:tcPr>
          <w:p>
            <w:pPr>
              <w:pStyle w:val="Contedodatabela"/>
              <w:jc w:val="center"/>
              <w:rPr>
                <w:rFonts w:ascii="Courier New" w:hAnsi="Courier New"/>
                <w:sz w:val="20"/>
                <w:szCs w:val="20"/>
              </w:rPr>
            </w:pPr>
            <w:r>
              <w:rPr>
                <w:rFonts w:ascii="Courier New" w:hAnsi="Courier New"/>
                <w:sz w:val="20"/>
                <w:szCs w:val="20"/>
              </w:rPr>
              <w:t xml:space="preserve">R$ 58,46 </w:t>
            </w:r>
          </w:p>
        </w:tc>
        <w:tc>
          <w:tcPr>
            <w:tcW w:w="1637" w:type="dxa"/>
            <w:tcBorders>
              <w:left w:val="single" w:sz="6" w:space="0" w:color="666666"/>
              <w:bottom w:val="single" w:sz="6" w:space="0" w:color="666666"/>
              <w:right w:val="single" w:sz="6" w:space="0" w:color="666666"/>
            </w:tcBorders>
          </w:tcPr>
          <w:p>
            <w:pPr>
              <w:pStyle w:val="Contedodatabela"/>
              <w:jc w:val="center"/>
              <w:rPr>
                <w:rFonts w:ascii="Courier New" w:hAnsi="Courier New"/>
                <w:sz w:val="20"/>
                <w:szCs w:val="20"/>
              </w:rPr>
            </w:pPr>
            <w:r>
              <w:rPr>
                <w:rFonts w:ascii="Courier New" w:hAnsi="Courier New"/>
                <w:sz w:val="20"/>
                <w:szCs w:val="20"/>
              </w:rPr>
              <w:t>R$ 876,90</w:t>
            </w:r>
          </w:p>
        </w:tc>
      </w:tr>
      <w:tr>
        <w:trPr/>
        <w:tc>
          <w:tcPr>
            <w:tcW w:w="738" w:type="dxa"/>
            <w:tcBorders>
              <w:left w:val="single" w:sz="6" w:space="0" w:color="666666"/>
              <w:bottom w:val="single" w:sz="6" w:space="0" w:color="666666"/>
              <w:right w:val="single" w:sz="6" w:space="0" w:color="666666"/>
            </w:tcBorders>
            <w:shd w:fill="EEEEEE" w:val="clear"/>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8</w:t>
            </w:r>
          </w:p>
        </w:tc>
        <w:tc>
          <w:tcPr>
            <w:tcW w:w="1812" w:type="dxa"/>
            <w:tcBorders>
              <w:bottom w:val="single" w:sz="6" w:space="0" w:color="666666"/>
              <w:right w:val="single" w:sz="6" w:space="0" w:color="666666"/>
            </w:tcBorders>
            <w:shd w:fill="EEEEEE" w:val="clear"/>
          </w:tcPr>
          <w:p>
            <w:pPr>
              <w:pStyle w:val="Contedodatabela"/>
              <w:jc w:val="center"/>
              <w:rPr>
                <w:rFonts w:ascii="Courier New" w:hAnsi="Courier New"/>
                <w:sz w:val="20"/>
                <w:szCs w:val="20"/>
              </w:rPr>
            </w:pPr>
            <w:r>
              <w:rPr>
                <w:rFonts w:ascii="Courier New" w:hAnsi="Courier New"/>
                <w:sz w:val="20"/>
                <w:szCs w:val="20"/>
              </w:rPr>
              <w:t>ROLO DE MANGUEIRA DUPLA</w:t>
            </w:r>
          </w:p>
          <w:p>
            <w:pPr>
              <w:pStyle w:val="Contedodatabela"/>
              <w:jc w:val="center"/>
              <w:rPr>
                <w:rFonts w:ascii="Courier New" w:hAnsi="Courier New"/>
                <w:sz w:val="20"/>
                <w:szCs w:val="20"/>
              </w:rPr>
            </w:pPr>
            <w:r>
              <w:rPr>
                <w:rFonts w:ascii="Courier New" w:hAnsi="Courier New"/>
                <w:sz w:val="20"/>
                <w:szCs w:val="20"/>
              </w:rPr>
              <w:t>DO PEDAL EXCLUSIVO PARA</w:t>
            </w:r>
          </w:p>
          <w:p>
            <w:pPr>
              <w:pStyle w:val="Contedodatabela"/>
              <w:jc w:val="center"/>
              <w:rPr>
                <w:rFonts w:ascii="Courier New" w:hAnsi="Courier New"/>
                <w:sz w:val="20"/>
                <w:szCs w:val="20"/>
              </w:rPr>
            </w:pPr>
            <w:r>
              <w:rPr>
                <w:rFonts w:ascii="Courier New" w:hAnsi="Courier New"/>
                <w:sz w:val="20"/>
                <w:szCs w:val="20"/>
              </w:rPr>
              <w:t>ME/EPP</w:t>
            </w:r>
          </w:p>
        </w:tc>
        <w:tc>
          <w:tcPr>
            <w:tcW w:w="1027" w:type="dxa"/>
            <w:tcBorders>
              <w:bottom w:val="single" w:sz="6" w:space="0" w:color="666666"/>
              <w:right w:val="single" w:sz="6" w:space="0" w:color="666666"/>
            </w:tcBorders>
            <w:shd w:fill="EEEEEE" w:val="clear"/>
          </w:tcPr>
          <w:p>
            <w:pPr>
              <w:pStyle w:val="Contedodatabela"/>
              <w:jc w:val="center"/>
              <w:rPr>
                <w:rFonts w:ascii="Courier New" w:hAnsi="Courier New"/>
                <w:sz w:val="20"/>
                <w:szCs w:val="20"/>
              </w:rPr>
            </w:pPr>
            <w:r>
              <w:rPr>
                <w:rFonts w:ascii="Courier New" w:hAnsi="Courier New"/>
                <w:sz w:val="20"/>
                <w:szCs w:val="20"/>
              </w:rPr>
              <w:t xml:space="preserve">425328 </w:t>
            </w:r>
          </w:p>
        </w:tc>
        <w:tc>
          <w:tcPr>
            <w:tcW w:w="1246" w:type="dxa"/>
            <w:tcBorders>
              <w:bottom w:val="single" w:sz="6" w:space="0" w:color="666666"/>
              <w:right w:val="single" w:sz="6" w:space="0" w:color="666666"/>
            </w:tcBorders>
            <w:shd w:fill="EEEEEE" w:val="clear"/>
          </w:tcPr>
          <w:p>
            <w:pPr>
              <w:pStyle w:val="Contedodatabela"/>
              <w:jc w:val="center"/>
              <w:rPr>
                <w:rFonts w:ascii="Courier New" w:hAnsi="Courier New"/>
                <w:sz w:val="20"/>
                <w:szCs w:val="20"/>
              </w:rPr>
            </w:pPr>
            <w:r>
              <w:rPr>
                <w:rFonts w:ascii="Courier New" w:hAnsi="Courier New"/>
                <w:sz w:val="20"/>
                <w:szCs w:val="20"/>
              </w:rPr>
              <w:t>M</w:t>
            </w:r>
          </w:p>
        </w:tc>
        <w:tc>
          <w:tcPr>
            <w:tcW w:w="1697" w:type="dxa"/>
            <w:tcBorders>
              <w:bottom w:val="single" w:sz="6" w:space="0" w:color="666666"/>
              <w:right w:val="single" w:sz="6" w:space="0" w:color="666666"/>
            </w:tcBorders>
            <w:shd w:fill="EEEEEE" w:val="clear"/>
          </w:tcPr>
          <w:p>
            <w:pPr>
              <w:pStyle w:val="Contedodatabela"/>
              <w:jc w:val="center"/>
              <w:rPr>
                <w:rFonts w:ascii="Courier New" w:hAnsi="Courier New"/>
                <w:sz w:val="20"/>
                <w:szCs w:val="20"/>
              </w:rPr>
            </w:pPr>
            <w:r>
              <w:rPr>
                <w:rFonts w:ascii="Courier New" w:hAnsi="Courier New"/>
                <w:sz w:val="20"/>
                <w:szCs w:val="20"/>
              </w:rPr>
              <w:t>50</w:t>
            </w:r>
          </w:p>
        </w:tc>
        <w:tc>
          <w:tcPr>
            <w:tcW w:w="1477" w:type="dxa"/>
            <w:tcBorders>
              <w:bottom w:val="single" w:sz="6" w:space="0" w:color="666666"/>
              <w:right w:val="single" w:sz="6" w:space="0" w:color="666666"/>
            </w:tcBorders>
            <w:shd w:fill="EEEEEE" w:val="clear"/>
          </w:tcPr>
          <w:p>
            <w:pPr>
              <w:pStyle w:val="Contedodatabela"/>
              <w:jc w:val="center"/>
              <w:rPr>
                <w:rFonts w:ascii="Courier New" w:hAnsi="Courier New"/>
                <w:sz w:val="20"/>
                <w:szCs w:val="20"/>
              </w:rPr>
            </w:pPr>
            <w:r>
              <w:rPr>
                <w:rFonts w:ascii="Courier New" w:hAnsi="Courier New"/>
                <w:sz w:val="20"/>
                <w:szCs w:val="20"/>
              </w:rPr>
              <w:t xml:space="preserve">R$ 22,99 </w:t>
            </w:r>
          </w:p>
        </w:tc>
        <w:tc>
          <w:tcPr>
            <w:tcW w:w="1637" w:type="dxa"/>
            <w:tcBorders>
              <w:left w:val="single" w:sz="6" w:space="0" w:color="666666"/>
              <w:bottom w:val="single" w:sz="6" w:space="0" w:color="666666"/>
              <w:right w:val="single" w:sz="6" w:space="0" w:color="666666"/>
            </w:tcBorders>
            <w:shd w:fill="EEEEEE" w:val="clear"/>
          </w:tcPr>
          <w:p>
            <w:pPr>
              <w:pStyle w:val="Contedodatabela"/>
              <w:jc w:val="center"/>
              <w:rPr>
                <w:rFonts w:ascii="Courier New" w:hAnsi="Courier New"/>
                <w:sz w:val="20"/>
                <w:szCs w:val="20"/>
              </w:rPr>
            </w:pPr>
            <w:r>
              <w:rPr>
                <w:rFonts w:ascii="Courier New" w:hAnsi="Courier New"/>
                <w:sz w:val="20"/>
                <w:szCs w:val="20"/>
              </w:rPr>
              <w:t>R$1.149,67</w:t>
            </w:r>
          </w:p>
        </w:tc>
      </w:tr>
      <w:tr>
        <w:trPr/>
        <w:tc>
          <w:tcPr>
            <w:tcW w:w="738" w:type="dxa"/>
            <w:tcBorders>
              <w:left w:val="single" w:sz="6" w:space="0" w:color="666666"/>
              <w:bottom w:val="single" w:sz="6" w:space="0" w:color="666666"/>
              <w:right w:val="single" w:sz="6" w:space="0" w:color="666666"/>
            </w:tcBorders>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9</w:t>
            </w:r>
          </w:p>
        </w:tc>
        <w:tc>
          <w:tcPr>
            <w:tcW w:w="1812" w:type="dxa"/>
            <w:tcBorders>
              <w:bottom w:val="single" w:sz="6" w:space="0" w:color="666666"/>
              <w:right w:val="single" w:sz="6" w:space="0" w:color="666666"/>
            </w:tcBorders>
          </w:tcPr>
          <w:p>
            <w:pPr>
              <w:pStyle w:val="Contedodatabela"/>
              <w:jc w:val="center"/>
              <w:rPr>
                <w:rFonts w:ascii="Courier New" w:hAnsi="Courier New"/>
                <w:sz w:val="20"/>
                <w:szCs w:val="20"/>
              </w:rPr>
            </w:pPr>
            <w:r>
              <w:rPr>
                <w:rFonts w:ascii="Courier New" w:hAnsi="Courier New"/>
                <w:sz w:val="20"/>
                <w:szCs w:val="20"/>
              </w:rPr>
              <w:t>ROLO DE MANGUEIRA</w:t>
            </w:r>
          </w:p>
          <w:p>
            <w:pPr>
              <w:pStyle w:val="Contedodatabela"/>
              <w:jc w:val="center"/>
              <w:rPr>
                <w:rFonts w:ascii="Courier New" w:hAnsi="Courier New"/>
                <w:sz w:val="20"/>
                <w:szCs w:val="20"/>
              </w:rPr>
            </w:pPr>
            <w:r>
              <w:rPr>
                <w:rFonts w:ascii="Courier New" w:hAnsi="Courier New"/>
                <w:sz w:val="20"/>
                <w:szCs w:val="20"/>
              </w:rPr>
              <w:t>ESPAGUETE 4 MM EXCLUSIVO</w:t>
            </w:r>
          </w:p>
          <w:p>
            <w:pPr>
              <w:pStyle w:val="Contedodatabela"/>
              <w:jc w:val="center"/>
              <w:rPr>
                <w:rFonts w:ascii="Courier New" w:hAnsi="Courier New"/>
                <w:sz w:val="20"/>
                <w:szCs w:val="20"/>
              </w:rPr>
            </w:pPr>
            <w:r>
              <w:rPr>
                <w:rFonts w:ascii="Courier New" w:hAnsi="Courier New"/>
                <w:sz w:val="20"/>
                <w:szCs w:val="20"/>
              </w:rPr>
              <w:t>PARA ME/EPP</w:t>
            </w:r>
          </w:p>
        </w:tc>
        <w:tc>
          <w:tcPr>
            <w:tcW w:w="1027" w:type="dxa"/>
            <w:tcBorders>
              <w:bottom w:val="single" w:sz="6" w:space="0" w:color="666666"/>
              <w:right w:val="single" w:sz="6" w:space="0" w:color="666666"/>
            </w:tcBorders>
          </w:tcPr>
          <w:p>
            <w:pPr>
              <w:pStyle w:val="Contedodatabela"/>
              <w:jc w:val="center"/>
              <w:rPr>
                <w:rFonts w:ascii="Courier New" w:hAnsi="Courier New"/>
                <w:sz w:val="20"/>
                <w:szCs w:val="20"/>
              </w:rPr>
            </w:pPr>
            <w:r>
              <w:rPr>
                <w:rFonts w:ascii="Courier New" w:hAnsi="Courier New"/>
                <w:sz w:val="20"/>
                <w:szCs w:val="20"/>
              </w:rPr>
              <w:t>601730</w:t>
            </w:r>
          </w:p>
        </w:tc>
        <w:tc>
          <w:tcPr>
            <w:tcW w:w="1246" w:type="dxa"/>
            <w:tcBorders>
              <w:bottom w:val="single" w:sz="6" w:space="0" w:color="666666"/>
              <w:right w:val="single" w:sz="6" w:space="0" w:color="666666"/>
            </w:tcBorders>
          </w:tcPr>
          <w:p>
            <w:pPr>
              <w:pStyle w:val="Contedodatabela"/>
              <w:jc w:val="center"/>
              <w:rPr>
                <w:rFonts w:ascii="Courier New" w:hAnsi="Courier New"/>
                <w:sz w:val="20"/>
                <w:szCs w:val="20"/>
              </w:rPr>
            </w:pPr>
            <w:r>
              <w:rPr>
                <w:rFonts w:ascii="Courier New" w:hAnsi="Courier New"/>
                <w:sz w:val="20"/>
                <w:szCs w:val="20"/>
              </w:rPr>
              <w:t>M</w:t>
            </w:r>
          </w:p>
        </w:tc>
        <w:tc>
          <w:tcPr>
            <w:tcW w:w="1697" w:type="dxa"/>
            <w:tcBorders>
              <w:bottom w:val="single" w:sz="6" w:space="0" w:color="666666"/>
              <w:right w:val="single" w:sz="6" w:space="0" w:color="666666"/>
            </w:tcBorders>
          </w:tcPr>
          <w:p>
            <w:pPr>
              <w:pStyle w:val="Contedodatabela"/>
              <w:jc w:val="center"/>
              <w:rPr>
                <w:rFonts w:ascii="Courier New" w:hAnsi="Courier New"/>
                <w:sz w:val="20"/>
                <w:szCs w:val="20"/>
              </w:rPr>
            </w:pPr>
            <w:r>
              <w:rPr>
                <w:rFonts w:ascii="Courier New" w:hAnsi="Courier New"/>
                <w:sz w:val="20"/>
                <w:szCs w:val="20"/>
              </w:rPr>
              <w:t>50</w:t>
            </w:r>
          </w:p>
        </w:tc>
        <w:tc>
          <w:tcPr>
            <w:tcW w:w="1477" w:type="dxa"/>
            <w:tcBorders>
              <w:bottom w:val="single" w:sz="6" w:space="0" w:color="666666"/>
              <w:right w:val="single" w:sz="6" w:space="0" w:color="666666"/>
            </w:tcBorders>
          </w:tcPr>
          <w:p>
            <w:pPr>
              <w:pStyle w:val="Contedodatabela"/>
              <w:jc w:val="center"/>
              <w:rPr>
                <w:rFonts w:ascii="Courier New" w:hAnsi="Courier New"/>
                <w:sz w:val="20"/>
                <w:szCs w:val="20"/>
              </w:rPr>
            </w:pPr>
            <w:r>
              <w:rPr>
                <w:rFonts w:ascii="Courier New" w:hAnsi="Courier New"/>
                <w:sz w:val="20"/>
                <w:szCs w:val="20"/>
              </w:rPr>
              <w:t xml:space="preserve">R$ 11,78 </w:t>
            </w:r>
          </w:p>
        </w:tc>
        <w:tc>
          <w:tcPr>
            <w:tcW w:w="1637" w:type="dxa"/>
            <w:tcBorders>
              <w:left w:val="single" w:sz="6" w:space="0" w:color="666666"/>
              <w:bottom w:val="single" w:sz="6" w:space="0" w:color="666666"/>
              <w:right w:val="single" w:sz="6" w:space="0" w:color="666666"/>
            </w:tcBorders>
          </w:tcPr>
          <w:p>
            <w:pPr>
              <w:pStyle w:val="Contedodatabela"/>
              <w:jc w:val="center"/>
              <w:rPr>
                <w:rFonts w:ascii="Courier New" w:hAnsi="Courier New"/>
                <w:sz w:val="20"/>
                <w:szCs w:val="20"/>
              </w:rPr>
            </w:pPr>
            <w:r>
              <w:rPr>
                <w:rFonts w:ascii="Courier New" w:hAnsi="Courier New"/>
                <w:sz w:val="20"/>
                <w:szCs w:val="20"/>
              </w:rPr>
              <w:t>R$ 588,83</w:t>
            </w:r>
          </w:p>
        </w:tc>
      </w:tr>
      <w:tr>
        <w:trPr/>
        <w:tc>
          <w:tcPr>
            <w:tcW w:w="738" w:type="dxa"/>
            <w:tcBorders>
              <w:left w:val="single" w:sz="6" w:space="0" w:color="666666"/>
              <w:bottom w:val="single" w:sz="6" w:space="0" w:color="666666"/>
              <w:right w:val="single" w:sz="6" w:space="0" w:color="666666"/>
            </w:tcBorders>
            <w:shd w:fill="EEEEEE" w:val="clear"/>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10</w:t>
            </w:r>
          </w:p>
        </w:tc>
        <w:tc>
          <w:tcPr>
            <w:tcW w:w="1812" w:type="dxa"/>
            <w:tcBorders>
              <w:bottom w:val="single" w:sz="6" w:space="0" w:color="666666"/>
              <w:right w:val="single" w:sz="6" w:space="0" w:color="666666"/>
            </w:tcBorders>
            <w:shd w:fill="EEEEEE" w:val="clear"/>
          </w:tcPr>
          <w:p>
            <w:pPr>
              <w:pStyle w:val="Contedodatabela"/>
              <w:jc w:val="center"/>
              <w:rPr>
                <w:rFonts w:ascii="Courier New" w:hAnsi="Courier New"/>
                <w:sz w:val="20"/>
                <w:szCs w:val="20"/>
              </w:rPr>
            </w:pPr>
            <w:r>
              <w:rPr>
                <w:rFonts w:ascii="Courier New" w:hAnsi="Courier New"/>
                <w:sz w:val="20"/>
                <w:szCs w:val="20"/>
              </w:rPr>
              <w:t>ROLO DE MANGUEIRA</w:t>
            </w:r>
          </w:p>
          <w:p>
            <w:pPr>
              <w:pStyle w:val="Contedodatabela"/>
              <w:jc w:val="center"/>
              <w:rPr>
                <w:rFonts w:ascii="Courier New" w:hAnsi="Courier New"/>
                <w:sz w:val="20"/>
                <w:szCs w:val="20"/>
              </w:rPr>
            </w:pPr>
            <w:r>
              <w:rPr>
                <w:rFonts w:ascii="Courier New" w:hAnsi="Courier New"/>
                <w:sz w:val="20"/>
                <w:szCs w:val="20"/>
              </w:rPr>
              <w:t>ESPAGUETE 1,7 MM EXCLUSIVO</w:t>
            </w:r>
          </w:p>
          <w:p>
            <w:pPr>
              <w:pStyle w:val="Contedodatabela"/>
              <w:jc w:val="center"/>
              <w:rPr>
                <w:rFonts w:ascii="Courier New" w:hAnsi="Courier New"/>
                <w:sz w:val="20"/>
                <w:szCs w:val="20"/>
              </w:rPr>
            </w:pPr>
            <w:r>
              <w:rPr>
                <w:rFonts w:ascii="Courier New" w:hAnsi="Courier New"/>
                <w:sz w:val="20"/>
                <w:szCs w:val="20"/>
              </w:rPr>
              <w:t>PARA ME/EPP</w:t>
            </w:r>
          </w:p>
        </w:tc>
        <w:tc>
          <w:tcPr>
            <w:tcW w:w="1027" w:type="dxa"/>
            <w:tcBorders>
              <w:bottom w:val="single" w:sz="6" w:space="0" w:color="666666"/>
              <w:right w:val="single" w:sz="6" w:space="0" w:color="666666"/>
            </w:tcBorders>
            <w:shd w:fill="EEEEEE" w:val="clear"/>
          </w:tcPr>
          <w:p>
            <w:pPr>
              <w:pStyle w:val="Contedodatabela"/>
              <w:jc w:val="center"/>
              <w:rPr>
                <w:rFonts w:ascii="Courier New" w:hAnsi="Courier New"/>
                <w:sz w:val="20"/>
                <w:szCs w:val="20"/>
              </w:rPr>
            </w:pPr>
            <w:r>
              <w:rPr>
                <w:rFonts w:ascii="Courier New" w:hAnsi="Courier New"/>
                <w:sz w:val="20"/>
                <w:szCs w:val="20"/>
              </w:rPr>
              <w:t>601730</w:t>
            </w:r>
          </w:p>
        </w:tc>
        <w:tc>
          <w:tcPr>
            <w:tcW w:w="1246" w:type="dxa"/>
            <w:tcBorders>
              <w:bottom w:val="single" w:sz="6" w:space="0" w:color="666666"/>
              <w:right w:val="single" w:sz="6" w:space="0" w:color="666666"/>
            </w:tcBorders>
            <w:shd w:fill="EEEEEE" w:val="clear"/>
          </w:tcPr>
          <w:p>
            <w:pPr>
              <w:pStyle w:val="Contedodatabela"/>
              <w:jc w:val="center"/>
              <w:rPr>
                <w:rFonts w:ascii="Courier New" w:hAnsi="Courier New"/>
                <w:sz w:val="20"/>
                <w:szCs w:val="20"/>
              </w:rPr>
            </w:pPr>
            <w:r>
              <w:rPr>
                <w:rFonts w:ascii="Courier New" w:hAnsi="Courier New"/>
                <w:sz w:val="20"/>
                <w:szCs w:val="20"/>
              </w:rPr>
              <w:t>M</w:t>
            </w:r>
          </w:p>
        </w:tc>
        <w:tc>
          <w:tcPr>
            <w:tcW w:w="1697" w:type="dxa"/>
            <w:tcBorders>
              <w:bottom w:val="single" w:sz="6" w:space="0" w:color="666666"/>
              <w:right w:val="single" w:sz="6" w:space="0" w:color="666666"/>
            </w:tcBorders>
            <w:shd w:fill="EEEEEE" w:val="clear"/>
          </w:tcPr>
          <w:p>
            <w:pPr>
              <w:pStyle w:val="Contedodatabela"/>
              <w:jc w:val="center"/>
              <w:rPr>
                <w:rFonts w:ascii="Courier New" w:hAnsi="Courier New"/>
                <w:sz w:val="20"/>
                <w:szCs w:val="20"/>
              </w:rPr>
            </w:pPr>
            <w:r>
              <w:rPr>
                <w:rFonts w:ascii="Courier New" w:hAnsi="Courier New"/>
                <w:sz w:val="20"/>
                <w:szCs w:val="20"/>
              </w:rPr>
              <w:t>50</w:t>
            </w:r>
          </w:p>
        </w:tc>
        <w:tc>
          <w:tcPr>
            <w:tcW w:w="1477" w:type="dxa"/>
            <w:tcBorders>
              <w:bottom w:val="single" w:sz="6" w:space="0" w:color="666666"/>
              <w:right w:val="single" w:sz="6" w:space="0" w:color="666666"/>
            </w:tcBorders>
            <w:shd w:fill="EEEEEE" w:val="clear"/>
          </w:tcPr>
          <w:p>
            <w:pPr>
              <w:pStyle w:val="Contedodatabela"/>
              <w:jc w:val="center"/>
              <w:rPr>
                <w:rFonts w:ascii="Courier New" w:hAnsi="Courier New"/>
                <w:sz w:val="20"/>
                <w:szCs w:val="20"/>
              </w:rPr>
            </w:pPr>
            <w:r>
              <w:rPr>
                <w:rFonts w:ascii="Courier New" w:hAnsi="Courier New"/>
                <w:sz w:val="20"/>
                <w:szCs w:val="20"/>
              </w:rPr>
              <w:t xml:space="preserve">R$ 11,78 </w:t>
            </w:r>
          </w:p>
        </w:tc>
        <w:tc>
          <w:tcPr>
            <w:tcW w:w="1637" w:type="dxa"/>
            <w:tcBorders>
              <w:left w:val="single" w:sz="6" w:space="0" w:color="666666"/>
              <w:bottom w:val="single" w:sz="6" w:space="0" w:color="666666"/>
              <w:right w:val="single" w:sz="6" w:space="0" w:color="666666"/>
            </w:tcBorders>
            <w:shd w:fill="EEEEEE" w:val="clear"/>
          </w:tcPr>
          <w:p>
            <w:pPr>
              <w:pStyle w:val="Contedodatabela"/>
              <w:jc w:val="center"/>
              <w:rPr>
                <w:rFonts w:ascii="Courier New" w:hAnsi="Courier New"/>
                <w:sz w:val="20"/>
                <w:szCs w:val="20"/>
              </w:rPr>
            </w:pPr>
            <w:r>
              <w:rPr>
                <w:rFonts w:ascii="Courier New" w:hAnsi="Courier New"/>
                <w:sz w:val="20"/>
                <w:szCs w:val="20"/>
              </w:rPr>
              <w:t>R$ 588,83</w:t>
            </w:r>
          </w:p>
        </w:tc>
      </w:tr>
      <w:tr>
        <w:trPr/>
        <w:tc>
          <w:tcPr>
            <w:tcW w:w="738" w:type="dxa"/>
            <w:tcBorders>
              <w:left w:val="single" w:sz="6" w:space="0" w:color="666666"/>
              <w:bottom w:val="single" w:sz="6" w:space="0" w:color="666666"/>
              <w:right w:val="single" w:sz="6" w:space="0" w:color="666666"/>
            </w:tcBorders>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11</w:t>
            </w:r>
          </w:p>
        </w:tc>
        <w:tc>
          <w:tcPr>
            <w:tcW w:w="1812" w:type="dxa"/>
            <w:tcBorders>
              <w:bottom w:val="single" w:sz="6" w:space="0" w:color="666666"/>
              <w:right w:val="single" w:sz="6" w:space="0" w:color="666666"/>
            </w:tcBorders>
          </w:tcPr>
          <w:p>
            <w:pPr>
              <w:pStyle w:val="Contedodatabela"/>
              <w:jc w:val="center"/>
              <w:rPr>
                <w:rFonts w:ascii="Courier New" w:hAnsi="Courier New"/>
                <w:sz w:val="20"/>
                <w:szCs w:val="20"/>
              </w:rPr>
            </w:pPr>
            <w:r>
              <w:rPr>
                <w:rFonts w:ascii="Courier New" w:hAnsi="Courier New"/>
                <w:sz w:val="20"/>
                <w:szCs w:val="20"/>
              </w:rPr>
              <w:t>VÁLVULAS COMANDO PILOTO</w:t>
            </w:r>
          </w:p>
          <w:p>
            <w:pPr>
              <w:pStyle w:val="Contedodatabela"/>
              <w:jc w:val="center"/>
              <w:rPr>
                <w:rFonts w:ascii="Courier New" w:hAnsi="Courier New"/>
                <w:sz w:val="20"/>
                <w:szCs w:val="20"/>
              </w:rPr>
            </w:pPr>
            <w:r>
              <w:rPr>
                <w:rFonts w:ascii="Courier New" w:hAnsi="Courier New"/>
                <w:sz w:val="20"/>
                <w:szCs w:val="20"/>
              </w:rPr>
              <w:t>MODELO KAVO 1071</w:t>
            </w:r>
          </w:p>
        </w:tc>
        <w:tc>
          <w:tcPr>
            <w:tcW w:w="1027" w:type="dxa"/>
            <w:tcBorders>
              <w:bottom w:val="single" w:sz="6" w:space="0" w:color="666666"/>
              <w:right w:val="single" w:sz="6" w:space="0" w:color="666666"/>
            </w:tcBorders>
          </w:tcPr>
          <w:p>
            <w:pPr>
              <w:pStyle w:val="Contedodatabela"/>
              <w:jc w:val="center"/>
              <w:rPr>
                <w:rFonts w:ascii="Courier New" w:hAnsi="Courier New"/>
                <w:sz w:val="20"/>
                <w:szCs w:val="20"/>
              </w:rPr>
            </w:pPr>
            <w:r>
              <w:rPr>
                <w:rFonts w:ascii="Courier New" w:hAnsi="Courier New"/>
                <w:sz w:val="20"/>
                <w:szCs w:val="20"/>
              </w:rPr>
              <w:t xml:space="preserve">468295 </w:t>
            </w:r>
          </w:p>
        </w:tc>
        <w:tc>
          <w:tcPr>
            <w:tcW w:w="1246" w:type="dxa"/>
            <w:tcBorders>
              <w:bottom w:val="single" w:sz="6" w:space="0" w:color="666666"/>
              <w:right w:val="single" w:sz="6" w:space="0" w:color="666666"/>
            </w:tcBorders>
          </w:tcPr>
          <w:p>
            <w:pPr>
              <w:pStyle w:val="Contedodatabela"/>
              <w:jc w:val="center"/>
              <w:rPr>
                <w:rFonts w:ascii="Courier New" w:hAnsi="Courier New"/>
                <w:sz w:val="20"/>
                <w:szCs w:val="20"/>
              </w:rPr>
            </w:pPr>
            <w:r>
              <w:rPr>
                <w:rFonts w:ascii="Courier New" w:hAnsi="Courier New"/>
                <w:sz w:val="20"/>
                <w:szCs w:val="20"/>
              </w:rPr>
              <w:t>UN</w:t>
            </w:r>
          </w:p>
        </w:tc>
        <w:tc>
          <w:tcPr>
            <w:tcW w:w="1697" w:type="dxa"/>
            <w:tcBorders>
              <w:bottom w:val="single" w:sz="6" w:space="0" w:color="666666"/>
              <w:right w:val="single" w:sz="6" w:space="0" w:color="666666"/>
            </w:tcBorders>
          </w:tcPr>
          <w:p>
            <w:pPr>
              <w:pStyle w:val="Contedodatabela"/>
              <w:jc w:val="center"/>
              <w:rPr>
                <w:rFonts w:ascii="Courier New" w:hAnsi="Courier New"/>
                <w:sz w:val="20"/>
                <w:szCs w:val="20"/>
              </w:rPr>
            </w:pPr>
            <w:r>
              <w:rPr>
                <w:rFonts w:ascii="Courier New" w:hAnsi="Courier New"/>
                <w:sz w:val="20"/>
                <w:szCs w:val="20"/>
              </w:rPr>
              <w:t>15</w:t>
            </w:r>
          </w:p>
        </w:tc>
        <w:tc>
          <w:tcPr>
            <w:tcW w:w="1477" w:type="dxa"/>
            <w:tcBorders>
              <w:bottom w:val="single" w:sz="6" w:space="0" w:color="666666"/>
              <w:right w:val="single" w:sz="6" w:space="0" w:color="666666"/>
            </w:tcBorders>
          </w:tcPr>
          <w:p>
            <w:pPr>
              <w:pStyle w:val="Contedodatabela"/>
              <w:jc w:val="center"/>
              <w:rPr>
                <w:rFonts w:ascii="Courier New" w:hAnsi="Courier New"/>
                <w:sz w:val="20"/>
                <w:szCs w:val="20"/>
              </w:rPr>
            </w:pPr>
            <w:r>
              <w:rPr>
                <w:rFonts w:ascii="Courier New" w:hAnsi="Courier New"/>
                <w:sz w:val="20"/>
                <w:szCs w:val="20"/>
              </w:rPr>
              <w:t>R$ 135,41</w:t>
            </w:r>
          </w:p>
        </w:tc>
        <w:tc>
          <w:tcPr>
            <w:tcW w:w="1637" w:type="dxa"/>
            <w:tcBorders>
              <w:left w:val="single" w:sz="6" w:space="0" w:color="666666"/>
              <w:bottom w:val="single" w:sz="6" w:space="0" w:color="666666"/>
              <w:right w:val="single" w:sz="6" w:space="0" w:color="666666"/>
            </w:tcBorders>
          </w:tcPr>
          <w:p>
            <w:pPr>
              <w:pStyle w:val="Contedodatabela"/>
              <w:jc w:val="center"/>
              <w:rPr>
                <w:rFonts w:ascii="Courier New" w:hAnsi="Courier New"/>
                <w:sz w:val="20"/>
                <w:szCs w:val="20"/>
              </w:rPr>
            </w:pPr>
            <w:r>
              <w:rPr>
                <w:rFonts w:ascii="Courier New" w:hAnsi="Courier New"/>
                <w:sz w:val="20"/>
                <w:szCs w:val="20"/>
              </w:rPr>
              <w:t>R$ 677,05</w:t>
            </w:r>
          </w:p>
        </w:tc>
      </w:tr>
      <w:tr>
        <w:trPr/>
        <w:tc>
          <w:tcPr>
            <w:tcW w:w="738" w:type="dxa"/>
            <w:tcBorders>
              <w:left w:val="single" w:sz="6" w:space="0" w:color="666666"/>
              <w:bottom w:val="single" w:sz="6" w:space="0" w:color="666666"/>
              <w:right w:val="single" w:sz="6" w:space="0" w:color="666666"/>
            </w:tcBorders>
            <w:shd w:fill="EEEEEE" w:val="clear"/>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12</w:t>
            </w:r>
          </w:p>
        </w:tc>
        <w:tc>
          <w:tcPr>
            <w:tcW w:w="1812" w:type="dxa"/>
            <w:tcBorders>
              <w:bottom w:val="single" w:sz="6" w:space="0" w:color="666666"/>
              <w:right w:val="single" w:sz="6" w:space="0" w:color="666666"/>
            </w:tcBorders>
            <w:shd w:fill="EEEEEE" w:val="clear"/>
          </w:tcPr>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VÁLVULA DE COMANDO</w:t>
            </w:r>
          </w:p>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INJETADA P/REGULAGEM DE</w:t>
            </w:r>
          </w:p>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ÁGUA E AR/ ALTA ROTAÇÃO</w:t>
            </w:r>
          </w:p>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EXCLUSIVO PARA ME/EPP</w:t>
            </w:r>
          </w:p>
        </w:tc>
        <w:tc>
          <w:tcPr>
            <w:tcW w:w="1027" w:type="dxa"/>
            <w:tcBorders>
              <w:bottom w:val="single" w:sz="6" w:space="0" w:color="666666"/>
              <w:right w:val="single" w:sz="6" w:space="0" w:color="666666"/>
            </w:tcBorders>
            <w:shd w:fill="EEEEEE" w:val="clear"/>
          </w:tcPr>
          <w:p>
            <w:pPr>
              <w:pStyle w:val="Contedodatabela"/>
              <w:jc w:val="center"/>
              <w:rPr>
                <w:rFonts w:ascii="Courier New" w:hAnsi="Courier New"/>
                <w:sz w:val="20"/>
                <w:szCs w:val="20"/>
              </w:rPr>
            </w:pPr>
            <w:r>
              <w:rPr>
                <w:rFonts w:ascii="Courier New" w:hAnsi="Courier New"/>
                <w:sz w:val="20"/>
                <w:szCs w:val="20"/>
              </w:rPr>
              <w:t xml:space="preserve">468295 </w:t>
            </w:r>
          </w:p>
        </w:tc>
        <w:tc>
          <w:tcPr>
            <w:tcW w:w="1246" w:type="dxa"/>
            <w:tcBorders>
              <w:bottom w:val="single" w:sz="6" w:space="0" w:color="666666"/>
              <w:right w:val="single" w:sz="6" w:space="0" w:color="666666"/>
            </w:tcBorders>
            <w:shd w:fill="EEEEEE" w:val="clear"/>
          </w:tcPr>
          <w:p>
            <w:pPr>
              <w:pStyle w:val="Contedodatabela"/>
              <w:jc w:val="center"/>
              <w:rPr>
                <w:rFonts w:ascii="Courier New" w:hAnsi="Courier New"/>
                <w:sz w:val="20"/>
                <w:szCs w:val="20"/>
              </w:rPr>
            </w:pPr>
            <w:r>
              <w:rPr>
                <w:rFonts w:ascii="Courier New" w:hAnsi="Courier New"/>
                <w:sz w:val="20"/>
                <w:szCs w:val="20"/>
              </w:rPr>
              <w:t>UN</w:t>
            </w:r>
          </w:p>
        </w:tc>
        <w:tc>
          <w:tcPr>
            <w:tcW w:w="1697" w:type="dxa"/>
            <w:tcBorders>
              <w:bottom w:val="single" w:sz="6" w:space="0" w:color="666666"/>
              <w:right w:val="single" w:sz="6" w:space="0" w:color="666666"/>
            </w:tcBorders>
            <w:shd w:fill="EEEEEE" w:val="clear"/>
          </w:tcPr>
          <w:p>
            <w:pPr>
              <w:pStyle w:val="Contedodatabela"/>
              <w:jc w:val="center"/>
              <w:rPr>
                <w:rFonts w:ascii="Courier New" w:hAnsi="Courier New"/>
                <w:sz w:val="20"/>
                <w:szCs w:val="20"/>
              </w:rPr>
            </w:pPr>
            <w:r>
              <w:rPr>
                <w:rFonts w:ascii="Courier New" w:hAnsi="Courier New"/>
                <w:sz w:val="20"/>
                <w:szCs w:val="20"/>
              </w:rPr>
              <w:t>15</w:t>
            </w:r>
          </w:p>
        </w:tc>
        <w:tc>
          <w:tcPr>
            <w:tcW w:w="1477" w:type="dxa"/>
            <w:tcBorders>
              <w:bottom w:val="single" w:sz="6" w:space="0" w:color="666666"/>
              <w:right w:val="single" w:sz="6" w:space="0" w:color="666666"/>
            </w:tcBorders>
            <w:shd w:fill="EEEEEE" w:val="clear"/>
          </w:tcPr>
          <w:p>
            <w:pPr>
              <w:pStyle w:val="Contedodatabela"/>
              <w:jc w:val="center"/>
              <w:rPr>
                <w:rFonts w:ascii="Courier New" w:hAnsi="Courier New"/>
                <w:sz w:val="20"/>
                <w:szCs w:val="20"/>
              </w:rPr>
            </w:pPr>
            <w:r>
              <w:rPr>
                <w:rFonts w:ascii="Courier New" w:hAnsi="Courier New"/>
                <w:sz w:val="20"/>
                <w:szCs w:val="20"/>
              </w:rPr>
              <w:t xml:space="preserve">R$ 133,63 </w:t>
            </w:r>
          </w:p>
        </w:tc>
        <w:tc>
          <w:tcPr>
            <w:tcW w:w="1637" w:type="dxa"/>
            <w:tcBorders>
              <w:left w:val="single" w:sz="6" w:space="0" w:color="666666"/>
              <w:bottom w:val="single" w:sz="6" w:space="0" w:color="666666"/>
              <w:right w:val="single" w:sz="6" w:space="0" w:color="666666"/>
            </w:tcBorders>
            <w:shd w:fill="EEEEEE" w:val="clear"/>
          </w:tcPr>
          <w:p>
            <w:pPr>
              <w:pStyle w:val="Contedodatabela"/>
              <w:jc w:val="center"/>
              <w:rPr>
                <w:rFonts w:ascii="Courier New" w:hAnsi="Courier New"/>
                <w:sz w:val="20"/>
                <w:szCs w:val="20"/>
              </w:rPr>
            </w:pPr>
            <w:r>
              <w:rPr>
                <w:rFonts w:ascii="Courier New" w:hAnsi="Courier New"/>
                <w:sz w:val="20"/>
                <w:szCs w:val="20"/>
              </w:rPr>
              <w:t>R$ 668,13</w:t>
            </w:r>
          </w:p>
        </w:tc>
      </w:tr>
      <w:tr>
        <w:trPr/>
        <w:tc>
          <w:tcPr>
            <w:tcW w:w="738" w:type="dxa"/>
            <w:tcBorders>
              <w:left w:val="single" w:sz="6" w:space="0" w:color="666666"/>
              <w:bottom w:val="single" w:sz="6" w:space="0" w:color="666666"/>
              <w:right w:val="single" w:sz="6" w:space="0" w:color="666666"/>
            </w:tcBorders>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13</w:t>
            </w:r>
          </w:p>
        </w:tc>
        <w:tc>
          <w:tcPr>
            <w:tcW w:w="1812" w:type="dxa"/>
            <w:tcBorders>
              <w:bottom w:val="single" w:sz="6" w:space="0" w:color="666666"/>
              <w:right w:val="single" w:sz="6" w:space="0" w:color="666666"/>
            </w:tcBorders>
          </w:tcPr>
          <w:p>
            <w:pPr>
              <w:pStyle w:val="Contedodatabela"/>
              <w:jc w:val="center"/>
              <w:rPr>
                <w:rFonts w:ascii="Courier New" w:hAnsi="Courier New"/>
                <w:sz w:val="20"/>
                <w:szCs w:val="20"/>
              </w:rPr>
            </w:pPr>
            <w:r>
              <w:rPr>
                <w:rFonts w:ascii="Courier New" w:hAnsi="Courier New"/>
                <w:sz w:val="20"/>
                <w:szCs w:val="20"/>
              </w:rPr>
              <w:t>Filtro regulador de pressão 1/4</w:t>
            </w:r>
          </w:p>
        </w:tc>
        <w:tc>
          <w:tcPr>
            <w:tcW w:w="1027" w:type="dxa"/>
            <w:tcBorders>
              <w:bottom w:val="single" w:sz="6" w:space="0" w:color="666666"/>
              <w:right w:val="single" w:sz="6" w:space="0" w:color="666666"/>
            </w:tcBorders>
          </w:tcPr>
          <w:p>
            <w:pPr>
              <w:pStyle w:val="Contedodatabela"/>
              <w:jc w:val="center"/>
              <w:rPr>
                <w:rFonts w:ascii="Courier New" w:hAnsi="Courier New"/>
                <w:sz w:val="20"/>
                <w:szCs w:val="20"/>
              </w:rPr>
            </w:pPr>
            <w:r>
              <w:rPr>
                <w:rFonts w:ascii="Courier New" w:hAnsi="Courier New"/>
                <w:sz w:val="20"/>
                <w:szCs w:val="20"/>
              </w:rPr>
              <w:t>451609</w:t>
            </w:r>
          </w:p>
        </w:tc>
        <w:tc>
          <w:tcPr>
            <w:tcW w:w="1246" w:type="dxa"/>
            <w:tcBorders>
              <w:bottom w:val="single" w:sz="6" w:space="0" w:color="666666"/>
              <w:right w:val="single" w:sz="6" w:space="0" w:color="666666"/>
            </w:tcBorders>
          </w:tcPr>
          <w:p>
            <w:pPr>
              <w:pStyle w:val="Contedodatabela"/>
              <w:jc w:val="center"/>
              <w:rPr>
                <w:rFonts w:ascii="Courier New" w:hAnsi="Courier New"/>
                <w:sz w:val="20"/>
                <w:szCs w:val="20"/>
              </w:rPr>
            </w:pPr>
            <w:r>
              <w:rPr>
                <w:rFonts w:ascii="Courier New" w:hAnsi="Courier New"/>
                <w:sz w:val="20"/>
                <w:szCs w:val="20"/>
              </w:rPr>
              <w:t>UN</w:t>
            </w:r>
          </w:p>
        </w:tc>
        <w:tc>
          <w:tcPr>
            <w:tcW w:w="1697" w:type="dxa"/>
            <w:tcBorders>
              <w:bottom w:val="single" w:sz="6" w:space="0" w:color="666666"/>
              <w:right w:val="single" w:sz="6" w:space="0" w:color="666666"/>
            </w:tcBorders>
          </w:tcPr>
          <w:p>
            <w:pPr>
              <w:pStyle w:val="Contedodatabela"/>
              <w:jc w:val="center"/>
              <w:rPr>
                <w:rFonts w:ascii="Courier New" w:hAnsi="Courier New"/>
                <w:sz w:val="20"/>
                <w:szCs w:val="20"/>
              </w:rPr>
            </w:pPr>
            <w:r>
              <w:rPr>
                <w:rFonts w:ascii="Courier New" w:hAnsi="Courier New"/>
                <w:sz w:val="20"/>
                <w:szCs w:val="20"/>
              </w:rPr>
              <w:t>9</w:t>
            </w:r>
          </w:p>
        </w:tc>
        <w:tc>
          <w:tcPr>
            <w:tcW w:w="1477" w:type="dxa"/>
            <w:tcBorders>
              <w:bottom w:val="single" w:sz="6" w:space="0" w:color="666666"/>
              <w:right w:val="single" w:sz="6" w:space="0" w:color="666666"/>
            </w:tcBorders>
          </w:tcPr>
          <w:p>
            <w:pPr>
              <w:pStyle w:val="Contedodatabela"/>
              <w:jc w:val="center"/>
              <w:rPr>
                <w:rFonts w:ascii="Courier New" w:hAnsi="Courier New"/>
                <w:sz w:val="20"/>
                <w:szCs w:val="20"/>
              </w:rPr>
            </w:pPr>
            <w:r>
              <w:rPr>
                <w:rFonts w:ascii="Courier New" w:hAnsi="Courier New"/>
                <w:sz w:val="20"/>
                <w:szCs w:val="20"/>
              </w:rPr>
              <w:t xml:space="preserve">R$ 72,48 </w:t>
            </w:r>
          </w:p>
        </w:tc>
        <w:tc>
          <w:tcPr>
            <w:tcW w:w="1637" w:type="dxa"/>
            <w:tcBorders>
              <w:left w:val="single" w:sz="6" w:space="0" w:color="666666"/>
              <w:bottom w:val="single" w:sz="6" w:space="0" w:color="666666"/>
              <w:right w:val="single" w:sz="6" w:space="0" w:color="666666"/>
            </w:tcBorders>
          </w:tcPr>
          <w:p>
            <w:pPr>
              <w:pStyle w:val="Contedodatabela"/>
              <w:jc w:val="center"/>
              <w:rPr>
                <w:rFonts w:ascii="Courier New" w:hAnsi="Courier New"/>
                <w:sz w:val="20"/>
                <w:szCs w:val="20"/>
              </w:rPr>
            </w:pPr>
            <w:r>
              <w:rPr>
                <w:rFonts w:ascii="Courier New" w:hAnsi="Courier New"/>
                <w:sz w:val="20"/>
                <w:szCs w:val="20"/>
              </w:rPr>
              <w:t>R$ 724,77</w:t>
            </w:r>
          </w:p>
        </w:tc>
      </w:tr>
      <w:tr>
        <w:trPr>
          <w:trHeight w:val="265" w:hRule="atLeast"/>
        </w:trPr>
        <w:tc>
          <w:tcPr>
            <w:tcW w:w="738" w:type="dxa"/>
            <w:tcBorders>
              <w:left w:val="single" w:sz="6" w:space="0" w:color="666666"/>
              <w:bottom w:val="single" w:sz="6" w:space="0" w:color="666666"/>
              <w:right w:val="single" w:sz="6" w:space="0" w:color="666666"/>
            </w:tcBorders>
            <w:shd w:fill="EEEEEE" w:val="clear"/>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14</w:t>
            </w:r>
          </w:p>
        </w:tc>
        <w:tc>
          <w:tcPr>
            <w:tcW w:w="1812" w:type="dxa"/>
            <w:tcBorders>
              <w:bottom w:val="single" w:sz="6" w:space="0" w:color="666666"/>
              <w:right w:val="single" w:sz="6" w:space="0" w:color="666666"/>
            </w:tcBorders>
            <w:shd w:fill="EEEEEE" w:val="clear"/>
          </w:tcPr>
          <w:p>
            <w:pPr>
              <w:pStyle w:val="Contedodatabela"/>
              <w:jc w:val="center"/>
              <w:rPr>
                <w:rFonts w:ascii="Courier New" w:hAnsi="Courier New"/>
                <w:sz w:val="20"/>
                <w:szCs w:val="20"/>
              </w:rPr>
            </w:pPr>
            <w:r>
              <w:rPr>
                <w:rFonts w:ascii="Courier New" w:hAnsi="Courier New"/>
                <w:sz w:val="20"/>
                <w:szCs w:val="20"/>
              </w:rPr>
              <w:t>Lampada H 12 x 55 Osran</w:t>
            </w:r>
          </w:p>
        </w:tc>
        <w:tc>
          <w:tcPr>
            <w:tcW w:w="1027" w:type="dxa"/>
            <w:tcBorders>
              <w:bottom w:val="single" w:sz="6" w:space="0" w:color="666666"/>
              <w:right w:val="single" w:sz="6" w:space="0" w:color="666666"/>
            </w:tcBorders>
            <w:shd w:fill="EEEEEE" w:val="clear"/>
          </w:tcPr>
          <w:p>
            <w:pPr>
              <w:pStyle w:val="Contedodatabela"/>
              <w:jc w:val="center"/>
              <w:rPr>
                <w:rFonts w:ascii="Courier New" w:hAnsi="Courier New"/>
                <w:sz w:val="20"/>
                <w:szCs w:val="20"/>
              </w:rPr>
            </w:pPr>
            <w:r>
              <w:rPr>
                <w:rFonts w:ascii="Courier New" w:hAnsi="Courier New"/>
                <w:sz w:val="20"/>
                <w:szCs w:val="20"/>
              </w:rPr>
              <w:t>468307</w:t>
            </w:r>
          </w:p>
        </w:tc>
        <w:tc>
          <w:tcPr>
            <w:tcW w:w="1246" w:type="dxa"/>
            <w:tcBorders>
              <w:bottom w:val="single" w:sz="6" w:space="0" w:color="666666"/>
              <w:right w:val="single" w:sz="6" w:space="0" w:color="666666"/>
            </w:tcBorders>
            <w:shd w:fill="EEEEEE" w:val="clear"/>
          </w:tcPr>
          <w:p>
            <w:pPr>
              <w:pStyle w:val="Contedodatabela"/>
              <w:jc w:val="center"/>
              <w:rPr>
                <w:rFonts w:ascii="Courier New" w:hAnsi="Courier New"/>
                <w:sz w:val="20"/>
                <w:szCs w:val="20"/>
              </w:rPr>
            </w:pPr>
            <w:r>
              <w:rPr>
                <w:rFonts w:ascii="Courier New" w:hAnsi="Courier New"/>
                <w:sz w:val="20"/>
                <w:szCs w:val="20"/>
              </w:rPr>
              <w:t>PÇ</w:t>
            </w:r>
          </w:p>
        </w:tc>
        <w:tc>
          <w:tcPr>
            <w:tcW w:w="1697" w:type="dxa"/>
            <w:tcBorders>
              <w:bottom w:val="single" w:sz="6" w:space="0" w:color="666666"/>
              <w:right w:val="single" w:sz="6" w:space="0" w:color="666666"/>
            </w:tcBorders>
            <w:shd w:fill="EEEEEE" w:val="clear"/>
          </w:tcPr>
          <w:p>
            <w:pPr>
              <w:pStyle w:val="Contedodatabela"/>
              <w:jc w:val="center"/>
              <w:rPr>
                <w:rFonts w:ascii="Courier New" w:hAnsi="Courier New"/>
                <w:sz w:val="20"/>
                <w:szCs w:val="20"/>
              </w:rPr>
            </w:pPr>
            <w:r>
              <w:rPr>
                <w:rFonts w:ascii="Courier New" w:hAnsi="Courier New"/>
                <w:sz w:val="20"/>
                <w:szCs w:val="20"/>
              </w:rPr>
              <w:t>10</w:t>
            </w:r>
          </w:p>
        </w:tc>
        <w:tc>
          <w:tcPr>
            <w:tcW w:w="1477" w:type="dxa"/>
            <w:tcBorders>
              <w:bottom w:val="single" w:sz="6" w:space="0" w:color="666666"/>
              <w:right w:val="single" w:sz="6" w:space="0" w:color="666666"/>
            </w:tcBorders>
            <w:shd w:fill="EEEEEE" w:val="clear"/>
          </w:tcPr>
          <w:p>
            <w:pPr>
              <w:pStyle w:val="Contedodatabela"/>
              <w:jc w:val="center"/>
              <w:rPr>
                <w:rFonts w:ascii="Courier New" w:hAnsi="Courier New"/>
                <w:sz w:val="20"/>
                <w:szCs w:val="20"/>
              </w:rPr>
            </w:pPr>
            <w:r>
              <w:rPr>
                <w:rFonts w:ascii="Courier New" w:hAnsi="Courier New"/>
                <w:sz w:val="20"/>
                <w:szCs w:val="20"/>
              </w:rPr>
              <w:t xml:space="preserve">R$ 17,51 </w:t>
            </w:r>
          </w:p>
        </w:tc>
        <w:tc>
          <w:tcPr>
            <w:tcW w:w="1637" w:type="dxa"/>
            <w:tcBorders>
              <w:left w:val="single" w:sz="6" w:space="0" w:color="666666"/>
              <w:bottom w:val="single" w:sz="6" w:space="0" w:color="666666"/>
              <w:right w:val="single" w:sz="6" w:space="0" w:color="666666"/>
            </w:tcBorders>
            <w:shd w:fill="EEEEEE" w:val="clear"/>
          </w:tcPr>
          <w:p>
            <w:pPr>
              <w:pStyle w:val="Contedodatabela"/>
              <w:jc w:val="center"/>
              <w:rPr>
                <w:rFonts w:ascii="Courier New" w:hAnsi="Courier New"/>
                <w:sz w:val="20"/>
                <w:szCs w:val="20"/>
              </w:rPr>
            </w:pPr>
            <w:r>
              <w:rPr>
                <w:rFonts w:ascii="Courier New" w:hAnsi="Courier New"/>
                <w:sz w:val="20"/>
                <w:szCs w:val="20"/>
              </w:rPr>
              <w:t>R$ 350,20</w:t>
            </w:r>
          </w:p>
        </w:tc>
      </w:tr>
    </w:tbl>
    <w:p>
      <w:pPr>
        <w:pStyle w:val="Nivel2"/>
        <w:numPr>
          <w:ilvl w:val="1"/>
          <w:numId w:val="1"/>
        </w:numPr>
        <w:ind w:hanging="0" w:left="0"/>
        <w:rPr/>
      </w:pPr>
      <w:r>
        <w:rPr>
          <w:color w:val="1C1C1C"/>
        </w:rPr>
        <w:t xml:space="preserve"> </w:t>
      </w:r>
      <w:r>
        <w:rPr>
          <w:color w:val="1C1C1C"/>
        </w:rPr>
        <w:t xml:space="preserve">da Policlínica Naval </w:t>
      </w:r>
      <w:r>
        <w:rPr>
          <w:bCs w:val="false"/>
          <w:color w:val="1C1C1C"/>
        </w:rPr>
        <w:t>Nossa Senhora da Glória/Centro Médico Assistencial da Marinha</w:t>
      </w:r>
      <w:r>
        <w:rPr>
          <w:bCs w:val="false"/>
        </w:rPr>
        <w:t>,</w:t>
      </w:r>
      <w:r>
        <w:rPr/>
        <w:t xml:space="preserve"> conforme condições, quantidades e exigências estabelecidas neste Aviso de Contratação Direta e seus anexos.</w:t>
      </w:r>
    </w:p>
    <w:p>
      <w:pPr>
        <w:pStyle w:val="Nivel2"/>
        <w:numPr>
          <w:ilvl w:val="1"/>
          <w:numId w:val="1"/>
        </w:numPr>
        <w:ind w:hanging="0" w:left="0"/>
        <w:rPr/>
      </w:pPr>
      <w:r>
        <w:rPr/>
        <w:t>O critério de julgamento adotado será o</w:t>
      </w:r>
      <w:r>
        <w:rPr>
          <w:i/>
          <w:iCs/>
        </w:rPr>
        <w:t xml:space="preserve"> </w:t>
      </w:r>
      <w:r>
        <w:rPr>
          <w:b/>
          <w:bCs w:val="false"/>
          <w:i/>
          <w:iCs/>
          <w:color w:val="1C1C1C"/>
        </w:rPr>
        <w:t>menor preço</w:t>
      </w:r>
      <w:r>
        <w:rPr/>
        <w:t>, observadas as exigências contidas neste Aviso de Contratação Direta e seus Anexos quanto às especificações do objeto.</w:t>
      </w:r>
    </w:p>
    <w:p>
      <w:pPr>
        <w:pStyle w:val="Nivel01"/>
        <w:numPr>
          <w:ilvl w:val="0"/>
          <w:numId w:val="1"/>
        </w:numPr>
        <w:spacing w:before="288" w:after="288"/>
        <w:ind w:hanging="357" w:left="357"/>
        <w:rPr/>
      </w:pPr>
      <w:bookmarkStart w:id="2" w:name="_Toc226962638"/>
      <w:r>
        <w:rPr/>
        <w:t xml:space="preserve">DO </w:t>
      </w:r>
      <w:bookmarkStart w:id="3" w:name="_Toc142925861"/>
      <w:r>
        <w:rPr/>
        <w:t>REGISTRO DE PREÇOS</w:t>
      </w:r>
      <w:bookmarkEnd w:id="2"/>
      <w:r>
        <w:rPr/>
        <w:t xml:space="preserve"> </w:t>
      </w:r>
      <w:bookmarkEnd w:id="3"/>
    </w:p>
    <w:p>
      <w:pPr>
        <w:pStyle w:val="Nivel2"/>
        <w:numPr>
          <w:ilvl w:val="1"/>
          <w:numId w:val="1"/>
        </w:numPr>
        <w:ind w:hanging="0" w:left="0"/>
        <w:rPr>
          <w:highlight w:val="none"/>
          <w:shd w:fill="CCCCCC" w:val="clear"/>
        </w:rPr>
      </w:pPr>
      <w:r>
        <w:rPr>
          <w:shd w:fill="CCCCCC" w:val="clear"/>
        </w:rPr>
        <w:t>As regras referentes aos órgãos gerenciador e participantes, bem como a eventuais adesões são as que constam da minuta de Ata de Registro de Preços.</w:t>
      </w:r>
    </w:p>
    <w:p>
      <w:pPr>
        <w:pStyle w:val="Nivel01"/>
        <w:numPr>
          <w:ilvl w:val="0"/>
          <w:numId w:val="1"/>
        </w:numPr>
        <w:spacing w:before="288" w:after="288"/>
        <w:ind w:hanging="357" w:left="357"/>
        <w:rPr/>
      </w:pPr>
      <w:bookmarkStart w:id="4" w:name="_Toc226962639"/>
      <w:r>
        <w:rPr/>
        <w:t xml:space="preserve">DA </w:t>
      </w:r>
      <w:bookmarkStart w:id="5" w:name="_Toc142925862"/>
      <w:r>
        <w:rPr/>
        <w:t>PARTICIPAÇÃO NA DISPENSA ELETRÔNICA</w:t>
      </w:r>
      <w:bookmarkEnd w:id="4"/>
      <w:bookmarkEnd w:id="5"/>
    </w:p>
    <w:p>
      <w:pPr>
        <w:pStyle w:val="Nivel2"/>
        <w:numPr>
          <w:ilvl w:val="1"/>
          <w:numId w:val="1"/>
        </w:numPr>
        <w:ind w:hanging="0" w:left="0"/>
        <w:rPr/>
      </w:pPr>
      <w:r>
        <w:rPr/>
        <w:t xml:space="preserve">A </w:t>
      </w:r>
      <w:r>
        <w:rPr>
          <w:color w:themeColor="text1" w:val="000000"/>
        </w:rPr>
        <w:t>participação</w:t>
      </w:r>
      <w:r>
        <w:rPr/>
        <w:t xml:space="preserve"> na presente dispensa eletrônica ocorrerá por meio do Sistema de Dispensa Eletrônica, ferramenta informatizada integrante do Sistema de Compras do Governo Federal – Compras.gov.br, disponível no Portal de Compras do Governo Federal, no endereço eletrônico </w:t>
      </w:r>
      <w:hyperlink r:id="rId4">
        <w:r>
          <w:rPr>
            <w:rStyle w:val="Hyperlink"/>
            <w:color w:val="auto"/>
            <w:u w:val="none"/>
          </w:rPr>
          <w:t>www.gov.br/compras</w:t>
        </w:r>
      </w:hyperlink>
      <w:r>
        <w:rPr/>
        <w:t xml:space="preserve">. </w:t>
      </w:r>
    </w:p>
    <w:p>
      <w:pPr>
        <w:pStyle w:val="Nivel3"/>
        <w:numPr>
          <w:ilvl w:val="2"/>
          <w:numId w:val="1"/>
        </w:numPr>
        <w:ind w:hanging="0" w:left="284"/>
        <w:rPr/>
      </w:pPr>
      <w:r>
        <w:rPr/>
        <w:t xml:space="preserve">O procedimento será divulgado no Compras.gov.br e no </w:t>
      </w:r>
      <w:hyperlink r:id="rId5">
        <w:r>
          <w:rPr>
            <w:rStyle w:val="Hyperlink"/>
            <w:color w:val="auto"/>
            <w:u w:val="none"/>
          </w:rPr>
          <w:t>Portal Nacional de Contratações Públicas - PNCP</w:t>
        </w:r>
      </w:hyperlink>
      <w:r>
        <w:rPr/>
        <w:t>, e encaminhado automaticamente aos fornecedores registrados no Sistema de Cadastramento Unificado de Fornecedores - Sicaf, por mensagem eletrônica, na correspondente linha de fornecimento que pretende atender.</w:t>
      </w:r>
    </w:p>
    <w:p>
      <w:pPr>
        <w:pStyle w:val="Nivel3"/>
        <w:numPr>
          <w:ilvl w:val="2"/>
          <w:numId w:val="1"/>
        </w:numPr>
        <w:ind w:hanging="0" w:left="284"/>
        <w:rPr/>
      </w:pPr>
      <w:r>
        <w:rPr/>
        <w:t xml:space="preserve">O Compras.gov.br poderá ser acessado pela web ou pelo </w:t>
      </w:r>
      <w:hyperlink r:id="rId6">
        <w:r>
          <w:rPr>
            <w:rStyle w:val="Hyperlink"/>
            <w:color w:val="auto"/>
            <w:u w:val="none"/>
          </w:rPr>
          <w:t>aplicativo Compras.gov.br.</w:t>
        </w:r>
      </w:hyperlink>
    </w:p>
    <w:p>
      <w:pPr>
        <w:pStyle w:val="Nivel3"/>
        <w:numPr>
          <w:ilvl w:val="2"/>
          <w:numId w:val="1"/>
        </w:numPr>
        <w:ind w:hanging="0" w:left="284"/>
        <w:rPr/>
      </w:pPr>
      <w:r>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pPr>
        <w:pStyle w:val="Nvel2-Opcional"/>
        <w:numPr>
          <w:ilvl w:val="1"/>
          <w:numId w:val="1"/>
        </w:numPr>
        <w:ind w:hanging="0" w:left="0"/>
        <w:rPr>
          <w:color w:val="111111"/>
          <w:highlight w:val="none"/>
          <w:shd w:fill="CCCCCC" w:val="clear"/>
        </w:rPr>
      </w:pPr>
      <w:r>
        <w:rPr>
          <w:color w:val="111111"/>
          <w:shd w:fill="CCCCCC" w:val="clear"/>
        </w:rPr>
        <w:t>Para  todos  os itens a participação é exclusiva a microempresas e empresas de pequeno porte, nos termos do art. 49, inciso IV, c/c o art. 48, inciso I, da Lei Complementar nº 123, de 14 de dezembro de 2006.</w:t>
      </w:r>
    </w:p>
    <w:p>
      <w:pPr>
        <w:pStyle w:val="Nvel3-R"/>
        <w:numPr>
          <w:ilvl w:val="2"/>
          <w:numId w:val="1"/>
        </w:numPr>
        <w:ind w:hanging="0" w:left="284"/>
        <w:rPr>
          <w:color w:val="111111"/>
          <w:highlight w:val="none"/>
          <w:shd w:fill="CCCCCC" w:val="clear"/>
        </w:rPr>
      </w:pPr>
      <w:r>
        <w:rPr>
          <w:color w:val="111111"/>
          <w:shd w:fill="CCCCCC" w:val="clear"/>
        </w:rPr>
        <w:t>A obtenção do benefício a que se refere o item anterior fica limitada às microempresas e às 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pPr>
        <w:pStyle w:val="Nvel3-R"/>
        <w:numPr>
          <w:ilvl w:val="2"/>
          <w:numId w:val="1"/>
        </w:numPr>
        <w:ind w:hanging="0" w:left="284"/>
        <w:rPr>
          <w:color w:val="111111"/>
          <w:highlight w:val="none"/>
          <w:shd w:fill="CCCCCC" w:val="clear"/>
        </w:rPr>
      </w:pPr>
      <w:r>
        <w:rPr>
          <w:color w:val="111111"/>
          <w:shd w:fill="CCCCCC" w:val="clear"/>
        </w:rPr>
        <w:t>Será concedido tratamento favorecido para as microempresas e empresas de pequeno porte, para as sociedades cooperativas mencionadas no art. 16 da Lei nº 14.133, de 2021, para o agricultor familiar, o produtor rural pessoa física e para o microempreendedor individual - MEI, nos limites previstos da Lei Complementar nº 123, de 2006, e do Decreto n.º 8.538, de 6 de outubro de 2015.</w:t>
      </w:r>
    </w:p>
    <w:p>
      <w:pPr>
        <w:pStyle w:val="Nivel2"/>
        <w:numPr>
          <w:ilvl w:val="1"/>
          <w:numId w:val="1"/>
        </w:numPr>
        <w:ind w:hanging="0" w:left="0"/>
        <w:rPr/>
      </w:pPr>
      <w:bookmarkStart w:id="6" w:name="_Ref144286315"/>
      <w:r>
        <w:rPr/>
        <w:t>Não poderão participar desta dispensa de licitação:</w:t>
      </w:r>
      <w:bookmarkEnd w:id="6"/>
    </w:p>
    <w:p>
      <w:pPr>
        <w:pStyle w:val="Nivel3"/>
        <w:numPr>
          <w:ilvl w:val="2"/>
          <w:numId w:val="1"/>
        </w:numPr>
        <w:ind w:hanging="0" w:left="284"/>
        <w:rPr/>
      </w:pPr>
      <w:r>
        <w:rPr/>
        <w:t>aquele que não atenda às condições deste Aviso de Contratação Direta e seu(s) anexo(s);</w:t>
      </w:r>
    </w:p>
    <w:p>
      <w:pPr>
        <w:pStyle w:val="Nivel3"/>
        <w:numPr>
          <w:ilvl w:val="2"/>
          <w:numId w:val="1"/>
        </w:numPr>
        <w:ind w:hanging="0" w:left="284"/>
        <w:rPr>
          <w:i/>
          <w:i/>
          <w:iCs/>
        </w:rPr>
      </w:pPr>
      <w:r>
        <w:rPr/>
        <w:t>sociedade que desempenhe atividade incompatível com o objeto da dispensa;</w:t>
      </w:r>
    </w:p>
    <w:p>
      <w:pPr>
        <w:pStyle w:val="Nivel3"/>
        <w:numPr>
          <w:ilvl w:val="2"/>
          <w:numId w:val="1"/>
        </w:numPr>
        <w:ind w:hanging="0" w:left="284"/>
        <w:rPr>
          <w:rFonts w:eastAsia="Times New Roman"/>
          <w:i/>
          <w:i/>
          <w:iCs/>
        </w:rPr>
      </w:pPr>
      <w:r>
        <w:rPr/>
        <w:t>empresas estrangeiras que não tenham representação legal no Brasil com poderes expressos para receber citação e responder administrativa ou judicialmente;</w:t>
      </w:r>
    </w:p>
    <w:p>
      <w:pPr>
        <w:pStyle w:val="Nivel3"/>
        <w:numPr>
          <w:ilvl w:val="2"/>
          <w:numId w:val="1"/>
        </w:numPr>
        <w:ind w:hanging="0" w:left="284"/>
        <w:rPr>
          <w:strike/>
          <w:color w:themeColor="text1" w:val="000000"/>
        </w:rPr>
      </w:pPr>
      <w:bookmarkStart w:id="7" w:name="_Ref201821777"/>
      <w:r>
        <w:rPr/>
        <w:t>autor do anteprojeto, do projeto básico ou do projeto executivo, pessoa física ou jurídica, quando a contratação versar sobre obra, serviços ou fornecimento de bens a ele relacionados;</w:t>
      </w:r>
      <w:bookmarkEnd w:id="7"/>
    </w:p>
    <w:p>
      <w:pPr>
        <w:pStyle w:val="Nivel3"/>
        <w:numPr>
          <w:ilvl w:val="2"/>
          <w:numId w:val="1"/>
        </w:numPr>
        <w:ind w:hanging="0" w:left="284"/>
        <w:rPr>
          <w:strike/>
          <w:color w:themeColor="text1" w:val="000000"/>
        </w:rPr>
      </w:pPr>
      <w:bookmarkStart w:id="8" w:name="_Ref201821778"/>
      <w:r>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bookmarkEnd w:id="8"/>
    </w:p>
    <w:p>
      <w:pPr>
        <w:pStyle w:val="Nivel3"/>
        <w:numPr>
          <w:ilvl w:val="2"/>
          <w:numId w:val="1"/>
        </w:numPr>
        <w:ind w:hanging="0" w:left="284"/>
        <w:rPr>
          <w:strike/>
          <w:color w:themeColor="text1" w:val="000000"/>
        </w:rPr>
      </w:pPr>
      <w:bookmarkStart w:id="9" w:name="_Ref201821743"/>
      <w:r>
        <w:rPr/>
        <w:t>pessoa física ou jurídica que se encontre, ao tempo da contratação, impossibilitada de contratar em decorrência de sanção que lhe foi imposta;</w:t>
      </w:r>
      <w:bookmarkEnd w:id="9"/>
    </w:p>
    <w:p>
      <w:pPr>
        <w:pStyle w:val="Nivel3"/>
        <w:numPr>
          <w:ilvl w:val="2"/>
          <w:numId w:val="1"/>
        </w:numPr>
        <w:ind w:hanging="0" w:left="284"/>
        <w:rPr>
          <w:strike/>
          <w:color w:themeColor="text1" w:val="000000"/>
        </w:rPr>
      </w:pPr>
      <w:r>
        <w:rPr/>
        <w:t>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pPr>
        <w:pStyle w:val="Nivel3"/>
        <w:numPr>
          <w:ilvl w:val="2"/>
          <w:numId w:val="1"/>
        </w:numPr>
        <w:ind w:hanging="0" w:left="284"/>
        <w:rPr>
          <w:strike/>
          <w:color w:themeColor="text1" w:val="000000"/>
        </w:rPr>
      </w:pPr>
      <w:r>
        <w:rPr>
          <w:color w:val="000000"/>
        </w:rPr>
        <w:t>empresas controladoras, controladas ou coligadas, nos termos da </w:t>
      </w:r>
      <w:hyperlink r:id="rId7">
        <w:r>
          <w:rPr>
            <w:rStyle w:val="Hyperlink"/>
            <w:rFonts w:eastAsia="Calibri"/>
            <w:color w:val="auto"/>
            <w:u w:val="none"/>
          </w:rPr>
          <w:t>Lei nº 6.404, de 15 de dezembro de 1976</w:t>
        </w:r>
      </w:hyperlink>
      <w:r>
        <w:rPr>
          <w:color w:val="000000"/>
        </w:rPr>
        <w:t>, concorrendo entre si;</w:t>
      </w:r>
    </w:p>
    <w:p>
      <w:pPr>
        <w:pStyle w:val="Nivel3"/>
        <w:numPr>
          <w:ilvl w:val="2"/>
          <w:numId w:val="1"/>
        </w:numPr>
        <w:ind w:hanging="0" w:left="284"/>
        <w:rPr>
          <w:strike/>
          <w:color w:themeColor="text1" w:val="000000"/>
        </w:rPr>
      </w:pPr>
      <w:r>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vel3-R"/>
        <w:numPr>
          <w:ilvl w:val="2"/>
          <w:numId w:val="1"/>
        </w:numPr>
        <w:ind w:hanging="0" w:left="284"/>
        <w:rPr>
          <w:color w:val="111111"/>
          <w:highlight w:val="none"/>
          <w:shd w:fill="CCCCCC" w:val="clear"/>
        </w:rPr>
      </w:pPr>
      <w:r>
        <w:rPr>
          <w:color w:val="111111"/>
          <w:shd w:fill="CCCCCC" w:val="clear"/>
        </w:rPr>
        <w:t xml:space="preserve">pessoas jurídicas reunidas em consórcio; </w:t>
      </w:r>
    </w:p>
    <w:p>
      <w:pPr>
        <w:pStyle w:val="Nvel3-R"/>
        <w:numPr>
          <w:ilvl w:val="2"/>
          <w:numId w:val="1"/>
        </w:numPr>
        <w:ind w:hanging="0" w:left="284"/>
        <w:rPr>
          <w:color w:val="111111"/>
          <w:highlight w:val="none"/>
          <w:shd w:fill="CCCCCC" w:val="clear"/>
        </w:rPr>
      </w:pPr>
      <w:r>
        <w:rPr>
          <w:color w:val="111111"/>
          <w:shd w:fill="CCCCCC" w:val="clear"/>
        </w:rPr>
        <w:t>Organização da Sociedade Civil de Interesse Público - OSCIP, atuando nessa condição.</w:t>
      </w:r>
    </w:p>
    <w:p>
      <w:pPr>
        <w:pStyle w:val="Nvel3-R"/>
        <w:numPr>
          <w:ilvl w:val="2"/>
          <w:numId w:val="1"/>
        </w:numPr>
        <w:ind w:hanging="0" w:left="284"/>
        <w:rPr>
          <w:color w:val="111111"/>
          <w:highlight w:val="none"/>
          <w:shd w:fill="CCCCCC" w:val="clear"/>
        </w:rPr>
      </w:pPr>
      <w:r>
        <w:rPr>
          <w:color w:val="111111"/>
          <w:shd w:fill="CCCCCC" w:val="clear"/>
        </w:rPr>
        <w:t>sociedades cooperativas</w:t>
      </w:r>
      <w:bookmarkStart w:id="10" w:name="_Hlk519667815"/>
      <w:bookmarkEnd w:id="10"/>
      <w:r>
        <w:rPr>
          <w:color w:val="111111"/>
          <w:shd w:fill="CCCCCC" w:val="clear"/>
        </w:rPr>
        <w:t>.</w:t>
      </w:r>
    </w:p>
    <w:p>
      <w:pPr>
        <w:pStyle w:val="Nvel3-R"/>
        <w:numPr>
          <w:ilvl w:val="2"/>
          <w:numId w:val="1"/>
        </w:numPr>
        <w:ind w:hanging="0" w:left="284"/>
        <w:rPr>
          <w:color w:val="111111"/>
          <w:highlight w:val="none"/>
          <w:shd w:fill="CCCCCC" w:val="clear"/>
        </w:rPr>
      </w:pPr>
      <w:r>
        <w:rPr>
          <w:color w:val="111111"/>
          <w:shd w:fill="CCCCCC" w:val="clear"/>
        </w:rPr>
        <w:t>pessoas físicas.</w:t>
      </w:r>
    </w:p>
    <w:p>
      <w:pPr>
        <w:pStyle w:val="Nivel2"/>
        <w:numPr>
          <w:ilvl w:val="1"/>
          <w:numId w:val="1"/>
        </w:numPr>
        <w:ind w:hanging="0" w:left="0"/>
        <w:rPr/>
      </w:pPr>
      <w:bookmarkStart w:id="11" w:name="_Ref201821838"/>
      <w:r>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fldChar w:fldCharType="begin"/>
      </w:r>
      <w:r>
        <w:rPr>
          <w:rStyle w:val="Hyperlink"/>
          <w:u w:val="none"/>
          <w:color w:themeColor="hyperlink" w:val="auto"/>
        </w:rPr>
        <w:instrText xml:space="preserve"> HYPERLINK "http://www.planalto.gov.br/ccivil_03/_ato2019-2022/2021/lei/L14133.htm" \l "art9%C2%A71"</w:instrText>
      </w:r>
      <w:r>
        <w:rPr>
          <w:rStyle w:val="Hyperlink"/>
          <w:u w:val="none"/>
          <w:color w:themeColor="hyperlink" w:val="auto"/>
        </w:rPr>
        <w:fldChar w:fldCharType="separate"/>
      </w:r>
      <w:r>
        <w:rPr>
          <w:rStyle w:val="Hyperlink"/>
          <w:color w:themeColor="hyperlink" w:val="auto"/>
          <w:u w:val="none"/>
        </w:rPr>
        <w:t>§ 1º do art. 9º da Lei n.º 14.133, de 2021</w:t>
      </w:r>
      <w:r>
        <w:rPr>
          <w:rStyle w:val="Hyperlink"/>
          <w:u w:val="none"/>
          <w:color w:themeColor="hyperlink" w:val="auto"/>
        </w:rPr>
        <w:fldChar w:fldCharType="end"/>
      </w:r>
      <w:r>
        <w:rPr/>
        <w:t>.</w:t>
      </w:r>
      <w:bookmarkEnd w:id="11"/>
    </w:p>
    <w:p>
      <w:pPr>
        <w:pStyle w:val="Nivel2"/>
        <w:numPr>
          <w:ilvl w:val="1"/>
          <w:numId w:val="1"/>
        </w:numPr>
        <w:ind w:hanging="0" w:left="0"/>
        <w:rPr/>
      </w:pPr>
      <w:r>
        <w:rPr/>
        <w:t xml:space="preserve">O impedimento de que trata o item </w:t>
      </w:r>
      <w:r>
        <w:rPr/>
        <w:fldChar w:fldCharType="begin"/>
      </w:r>
      <w:r>
        <w:rPr/>
        <w:instrText xml:space="preserve"> REF _Ref201821743 \r \r \h </w:instrText>
      </w:r>
      <w:r>
        <w:rPr/>
        <w:fldChar w:fldCharType="separate"/>
      </w:r>
      <w:r>
        <w:rPr/>
        <w:t>3.3.6</w:t>
      </w:r>
      <w:r>
        <w:rPr/>
        <w:fldChar w:fldCharType="end"/>
      </w:r>
      <w:r>
        <w:rPr/>
        <w:t xml:space="preserve">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pPr>
        <w:pStyle w:val="Nivel2"/>
        <w:numPr>
          <w:ilvl w:val="1"/>
          <w:numId w:val="1"/>
        </w:numPr>
        <w:ind w:hanging="0" w:left="0"/>
        <w:rPr/>
      </w:pPr>
      <w:r>
        <w:rPr/>
        <w:t xml:space="preserve">A critério da Administração e exclusivamente a seu serviço, o autor dos projetos e a empresa a que se referem os itens </w:t>
      </w:r>
      <w:r>
        <w:rPr/>
        <w:fldChar w:fldCharType="begin"/>
      </w:r>
      <w:r>
        <w:rPr/>
        <w:instrText xml:space="preserve"> REF _Ref201821777 \r \r \h </w:instrText>
      </w:r>
      <w:r>
        <w:rPr/>
        <w:fldChar w:fldCharType="separate"/>
      </w:r>
      <w:r>
        <w:rPr/>
        <w:t>3.3.4</w:t>
      </w:r>
      <w:r>
        <w:rPr/>
        <w:fldChar w:fldCharType="end"/>
      </w:r>
      <w:r>
        <w:rPr/>
        <w:t xml:space="preserve"> e </w:t>
      </w:r>
      <w:r>
        <w:rPr/>
        <w:fldChar w:fldCharType="begin"/>
      </w:r>
      <w:r>
        <w:rPr/>
        <w:instrText xml:space="preserve"> REF _Ref201821778 \r \r \h </w:instrText>
      </w:r>
      <w:r>
        <w:rPr/>
        <w:fldChar w:fldCharType="separate"/>
      </w:r>
      <w:r>
        <w:rPr/>
        <w:t>3.3.5</w:t>
      </w:r>
      <w:r>
        <w:rPr/>
        <w:fldChar w:fldCharType="end"/>
      </w:r>
      <w:r>
        <w:rPr/>
        <w:t xml:space="preserve"> poderão participar no apoio das atividades de planejamento da contratação, de execução da dispensa ou de gestão do contrato, desde que sob supervisão exclusiva de agentes públicos do órgão ou entidade.</w:t>
      </w:r>
    </w:p>
    <w:p>
      <w:pPr>
        <w:pStyle w:val="Nivel2"/>
        <w:numPr>
          <w:ilvl w:val="1"/>
          <w:numId w:val="1"/>
        </w:numPr>
        <w:ind w:hanging="0" w:left="0"/>
        <w:rPr/>
      </w:pPr>
      <w:r>
        <w:rPr/>
        <w:t>Equiparam-se aos autores do projeto as empresas integrantes do mesmo grupo econômico.</w:t>
      </w:r>
    </w:p>
    <w:p>
      <w:pPr>
        <w:pStyle w:val="Nivel2"/>
        <w:numPr>
          <w:ilvl w:val="1"/>
          <w:numId w:val="1"/>
        </w:numPr>
        <w:ind w:hanging="0" w:left="0"/>
        <w:rPr/>
      </w:pPr>
      <w:r>
        <w:rPr/>
        <w:t xml:space="preserve">O disposto nos itens </w:t>
      </w:r>
      <w:r>
        <w:rPr/>
        <w:fldChar w:fldCharType="begin"/>
      </w:r>
      <w:r>
        <w:rPr/>
        <w:instrText xml:space="preserve"> REF _Ref201821777 \r \r \h </w:instrText>
      </w:r>
      <w:r>
        <w:rPr/>
        <w:fldChar w:fldCharType="separate"/>
      </w:r>
      <w:r>
        <w:rPr/>
        <w:t>3.3.4</w:t>
      </w:r>
      <w:r>
        <w:rPr/>
        <w:fldChar w:fldCharType="end"/>
      </w:r>
      <w:r>
        <w:rPr/>
        <w:t xml:space="preserve"> e </w:t>
      </w:r>
      <w:r>
        <w:rPr/>
        <w:fldChar w:fldCharType="begin"/>
      </w:r>
      <w:r>
        <w:rPr/>
        <w:instrText xml:space="preserve"> REF _Ref201821778 \r \r \h </w:instrText>
      </w:r>
      <w:r>
        <w:rPr/>
        <w:fldChar w:fldCharType="separate"/>
      </w:r>
      <w:r>
        <w:rPr/>
        <w:t>3.3.5</w:t>
      </w:r>
      <w:r>
        <w:rPr/>
        <w:fldChar w:fldCharType="end"/>
      </w:r>
      <w:r>
        <w:rPr/>
        <w:t xml:space="preserve"> não impede a dispensa ou a contratação de serviço que inclua como encargo do contratado a elaboração do projeto básico e do projeto executivo, nas contratações integradas, e do projeto executivo, nos demais regimes de execução.</w:t>
      </w:r>
    </w:p>
    <w:p>
      <w:pPr>
        <w:pStyle w:val="Nivel2"/>
        <w:numPr>
          <w:ilvl w:val="1"/>
          <w:numId w:val="1"/>
        </w:numPr>
        <w:ind w:hanging="0" w:left="0"/>
        <w:rPr/>
      </w:pPr>
      <w:r>
        <w:rPr/>
        <w:t>Em dispensas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 de 2021.</w:t>
      </w:r>
    </w:p>
    <w:p>
      <w:pPr>
        <w:pStyle w:val="Nivel2"/>
        <w:numPr>
          <w:ilvl w:val="1"/>
          <w:numId w:val="1"/>
        </w:numPr>
        <w:ind w:hanging="0" w:left="0"/>
        <w:rPr/>
      </w:pPr>
      <w:r>
        <w:rPr/>
        <w:t xml:space="preserve">A vedação de que trata o item </w:t>
      </w:r>
      <w:r>
        <w:rPr/>
        <w:fldChar w:fldCharType="begin"/>
      </w:r>
      <w:r>
        <w:rPr/>
        <w:instrText xml:space="preserve"> REF _Ref201821838 \r \r \h </w:instrText>
      </w:r>
      <w:r>
        <w:rPr/>
        <w:fldChar w:fldCharType="separate"/>
      </w:r>
      <w:r>
        <w:rPr/>
        <w:t>3.4</w:t>
      </w:r>
      <w:r>
        <w:rPr/>
        <w:fldChar w:fldCharType="end"/>
      </w:r>
      <w:r>
        <w:rPr/>
        <w:t>, estende-se a terceiro que auxilie a condução da contratação na qualidade de integrante de equipe de apoio, profissional especializado ou funcionário ou representante de empresa que preste assessoria técnica.</w:t>
      </w:r>
    </w:p>
    <w:p>
      <w:pPr>
        <w:pStyle w:val="Nivel01"/>
        <w:numPr>
          <w:ilvl w:val="0"/>
          <w:numId w:val="1"/>
        </w:numPr>
        <w:spacing w:before="288" w:after="288"/>
        <w:ind w:hanging="357" w:left="357"/>
        <w:rPr/>
      </w:pPr>
      <w:bookmarkStart w:id="12" w:name="_Toc226962640"/>
      <w:r>
        <w:rPr/>
        <w:t xml:space="preserve">DO </w:t>
      </w:r>
      <w:bookmarkStart w:id="13" w:name="_Toc142925863"/>
      <w:r>
        <w:rPr/>
        <w:t>INGRESSO NA DISPENSA ELETRÔNICA E DO CADASTRAMENTO DA PROPOSTA INICIAL</w:t>
      </w:r>
      <w:bookmarkEnd w:id="12"/>
      <w:bookmarkEnd w:id="13"/>
    </w:p>
    <w:p>
      <w:pPr>
        <w:pStyle w:val="Nivel2"/>
        <w:numPr>
          <w:ilvl w:val="1"/>
          <w:numId w:val="1"/>
        </w:numPr>
        <w:ind w:hanging="0" w:left="0"/>
        <w:rPr/>
      </w:pPr>
      <w:r>
        <w:rPr/>
        <w:t>O ingresso do fornecedor na disputa da dispensa eletrônica ocorrerá com o cadastramento de sua proposta inicial, na forma deste item.</w:t>
      </w:r>
    </w:p>
    <w:p>
      <w:pPr>
        <w:pStyle w:val="Nivel2"/>
        <w:numPr>
          <w:ilvl w:val="1"/>
          <w:numId w:val="1"/>
        </w:numPr>
        <w:ind w:hanging="0" w:left="0"/>
        <w:rPr/>
      </w:pPr>
      <w:r>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pPr>
        <w:pStyle w:val="Nvel3-R"/>
        <w:numPr>
          <w:ilvl w:val="2"/>
          <w:numId w:val="1"/>
        </w:numPr>
        <w:ind w:hanging="0" w:left="284"/>
        <w:rPr>
          <w:color w:val="111111"/>
          <w:highlight w:val="none"/>
          <w:shd w:fill="CCCCCC" w:val="clear"/>
        </w:rPr>
      </w:pPr>
      <w:r>
        <w:rPr>
          <w:color w:val="111111"/>
          <w:shd w:fill="CCCCCC" w:val="clear"/>
        </w:rPr>
        <w:t>O fornecedor [</w:t>
      </w:r>
      <w:r>
        <w:rPr>
          <w:b/>
          <w:bCs/>
          <w:color w:val="111111"/>
          <w:shd w:fill="CCCCCC" w:val="clear"/>
        </w:rPr>
        <w:t>NÃO</w:t>
      </w:r>
      <w:r>
        <w:rPr>
          <w:color w:val="111111"/>
          <w:shd w:fill="CCCCCC" w:val="clear"/>
        </w:rPr>
        <w:t>] poderá oferecer proposta em quantitativo inferior ao máximo previsto para contratação.</w:t>
      </w:r>
    </w:p>
    <w:p>
      <w:pPr>
        <w:pStyle w:val="Normal"/>
        <w:numPr>
          <w:ilvl w:val="1"/>
          <w:numId w:val="1"/>
        </w:numPr>
        <w:spacing w:lineRule="auto" w:line="276" w:before="120" w:after="120"/>
        <w:ind w:hanging="0" w:left="425"/>
        <w:jc w:val="both"/>
        <w:rPr>
          <w:rFonts w:cs="Arial"/>
          <w:szCs w:val="20"/>
        </w:rPr>
      </w:pPr>
      <w:r>
        <w:rPr>
          <w:rFonts w:cs="Arial"/>
          <w:szCs w:val="20"/>
        </w:rPr>
        <w:t xml:space="preserve">Todas as especificações do </w:t>
      </w:r>
      <w:r>
        <w:rPr>
          <w:rFonts w:cs="Arial"/>
          <w:color w:themeColor="text1" w:val="000000"/>
          <w:szCs w:val="20"/>
        </w:rPr>
        <w:t>objeto</w:t>
      </w:r>
      <w:r>
        <w:rPr>
          <w:rFonts w:cs="Arial"/>
          <w:szCs w:val="20"/>
        </w:rPr>
        <w:t xml:space="preserve"> contidas na proposta, em especial o preço ou o desconto ofertado, vinculam a Contratada.</w:t>
      </w:r>
    </w:p>
    <w:p>
      <w:pPr>
        <w:pStyle w:val="Normal"/>
        <w:numPr>
          <w:ilvl w:val="1"/>
          <w:numId w:val="1"/>
        </w:numPr>
        <w:spacing w:lineRule="auto" w:line="276" w:before="120" w:after="120"/>
        <w:ind w:hanging="0" w:left="425"/>
        <w:jc w:val="both"/>
        <w:rPr>
          <w:rFonts w:cs="Arial"/>
          <w:szCs w:val="20"/>
        </w:rPr>
      </w:pPr>
      <w:r>
        <w:rPr>
          <w:rFonts w:cs="Arial"/>
          <w:szCs w:val="20"/>
        </w:rPr>
        <w:t>Nos valores propostos estarão inclusos todos os custos operacionais, encargos previdenciários, trabalhistas, tributários, comerciais e quaisquer outros que incidam direta ou indiretamente na execução do objeto.</w:t>
      </w:r>
    </w:p>
    <w:p>
      <w:pPr>
        <w:pStyle w:val="Nivel3"/>
        <w:numPr>
          <w:ilvl w:val="2"/>
          <w:numId w:val="1"/>
        </w:numPr>
        <w:ind w:hanging="0" w:left="284"/>
        <w:rPr/>
      </w:pPr>
      <w:r>
        <w:rPr/>
        <w:t xml:space="preserve"> </w:t>
      </w:r>
      <w:r>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Nivel3"/>
        <w:numPr>
          <w:ilvl w:val="2"/>
          <w:numId w:val="1"/>
        </w:numPr>
        <w:ind w:hanging="0" w:left="284"/>
        <w:rPr/>
      </w:pPr>
      <w:r>
        <w:rPr/>
        <w:t>Os preços ofertados, tanto na proposta inicial, quanto na etapa de lances, serão de exclusiva responsabilidade do fornecedor, não lhe assistindo o direito de pleitear qualquer alteração, sob alegação de erro, omissão ou qualquer outro pretexto.</w:t>
      </w:r>
    </w:p>
    <w:p>
      <w:pPr>
        <w:pStyle w:val="Nivel2"/>
        <w:numPr>
          <w:ilvl w:val="1"/>
          <w:numId w:val="1"/>
        </w:numPr>
        <w:ind w:hanging="0" w:left="0"/>
        <w:rPr/>
      </w:pPr>
      <w:r>
        <w:rPr/>
        <w:t xml:space="preserve">Se o regime tributário da empresa implicar o recolhimento de tributos em percentuais variáveis, a cotação adequada será aquela correspondente à média dos efetivos recolhimentos da empresa nos últimos doze meses. </w:t>
      </w:r>
    </w:p>
    <w:p>
      <w:pPr>
        <w:pStyle w:val="Nivel2"/>
        <w:numPr>
          <w:ilvl w:val="1"/>
          <w:numId w:val="1"/>
        </w:numPr>
        <w:ind w:hanging="0" w:left="0"/>
        <w:rPr/>
      </w:pPr>
      <w:r>
        <w:rPr/>
        <w:t>Independentemente do percentual do tributo que constar da planilha, no pagamento serão retidos na fonte os percentuais estabelecidos pela legislação vigente.</w:t>
      </w:r>
    </w:p>
    <w:p>
      <w:pPr>
        <w:pStyle w:val="Nivel2"/>
        <w:numPr>
          <w:ilvl w:val="1"/>
          <w:numId w:val="1"/>
        </w:numPr>
        <w:ind w:hanging="0" w:left="0"/>
        <w:rPr/>
      </w:pPr>
      <w:r>
        <w:rPr/>
        <w:t xml:space="preserve">A apresentação das propostas implica obrigatoriedade do cumprimento das disposições nelas contidas, em conformidade com o que dispõe o </w:t>
      </w:r>
      <w:r>
        <w:rPr>
          <w:iCs/>
        </w:rPr>
        <w:t>Termo de Referência</w:t>
      </w:r>
      <w:r>
        <w:rPr>
          <w:i/>
        </w:rPr>
        <w:t>,</w:t>
      </w:r>
      <w:r>
        <w:rPr>
          <w:i/>
          <w:color w:val="FF0000"/>
        </w:rPr>
        <w:t xml:space="preserve"> </w:t>
      </w:r>
      <w:r>
        <w:rPr/>
        <w:t>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pPr>
        <w:pStyle w:val="Nivel2"/>
        <w:numPr>
          <w:ilvl w:val="1"/>
          <w:numId w:val="1"/>
        </w:numPr>
        <w:ind w:hanging="0" w:left="0"/>
        <w:rPr/>
      </w:pPr>
      <w:r>
        <w:rPr/>
        <w:t xml:space="preserve">O prazo de validade da proposta não será inferior a </w:t>
      </w:r>
      <w:r>
        <w:rPr>
          <w:rFonts w:eastAsia="Arial"/>
          <w:b/>
          <w:color w:val="111111"/>
          <w:shd w:fill="CCCCCC" w:val="clear"/>
        </w:rPr>
        <w:t>90</w:t>
      </w:r>
      <w:r>
        <w:rPr>
          <w:rFonts w:eastAsia="Arial"/>
          <w:color w:val="111111"/>
          <w:shd w:fill="CCCCCC" w:val="clear"/>
        </w:rPr>
        <w:t xml:space="preserve"> (</w:t>
      </w:r>
      <w:r>
        <w:rPr>
          <w:rFonts w:eastAsia="Arial"/>
          <w:b/>
          <w:color w:val="111111"/>
          <w:shd w:fill="CCCCCC" w:val="clear"/>
        </w:rPr>
        <w:t>noventa</w:t>
      </w:r>
      <w:r>
        <w:rPr>
          <w:rFonts w:eastAsia="Arial"/>
          <w:color w:val="111111"/>
          <w:shd w:fill="CCCCCC" w:val="clear"/>
        </w:rPr>
        <w:t>)</w:t>
      </w:r>
      <w:r>
        <w:rPr>
          <w:iCs/>
          <w:color w:val="111111"/>
          <w:shd w:fill="CCCCCC" w:val="clear"/>
        </w:rPr>
        <w:t xml:space="preserve"> dias</w:t>
      </w:r>
      <w:r>
        <w:rPr>
          <w:b/>
        </w:rPr>
        <w:t>,</w:t>
      </w:r>
      <w:r>
        <w:rPr/>
        <w:t xml:space="preserve"> a contar da data de sua apresentação.</w:t>
      </w:r>
    </w:p>
    <w:p>
      <w:pPr>
        <w:pStyle w:val="Nivel2"/>
        <w:numPr>
          <w:ilvl w:val="1"/>
          <w:numId w:val="1"/>
        </w:numPr>
        <w:ind w:hanging="0" w:left="0"/>
        <w:rPr/>
      </w:pPr>
      <w:r>
        <w:rPr/>
        <w:t>No cadastramento da proposta inicial, o fornecedor deverá, também, assinalar Termo de Aceitação, em campo próprio do sistema eletrônico, relativo às seguintes declarações:</w:t>
      </w:r>
      <w:r>
        <w:rPr>
          <w:rFonts w:eastAsia="Zurich BT"/>
        </w:rPr>
        <w:t xml:space="preserve"> </w:t>
      </w:r>
    </w:p>
    <w:p>
      <w:pPr>
        <w:pStyle w:val="Nivel3"/>
        <w:numPr>
          <w:ilvl w:val="2"/>
          <w:numId w:val="1"/>
        </w:numPr>
        <w:ind w:hanging="0" w:left="284"/>
        <w:rPr/>
      </w:pPr>
      <w:r>
        <w:rPr/>
        <w:t>que inexistem fatos impeditivos para sua habilitação no certame, ciente da obrigatoriedade de declarar ocorrências posteriores;</w:t>
      </w:r>
    </w:p>
    <w:p>
      <w:pPr>
        <w:pStyle w:val="Nivel3"/>
        <w:numPr>
          <w:ilvl w:val="2"/>
          <w:numId w:val="1"/>
        </w:numPr>
        <w:ind w:hanging="0" w:left="284"/>
        <w:rPr/>
      </w:pPr>
      <w:r>
        <w:rPr/>
        <w:t>que está ciente e concorda com as condições contidas no Aviso de Contratação Direta e seus anexos;</w:t>
      </w:r>
    </w:p>
    <w:p>
      <w:pPr>
        <w:pStyle w:val="Nivel3"/>
        <w:numPr>
          <w:ilvl w:val="2"/>
          <w:numId w:val="1"/>
        </w:numPr>
        <w:ind w:hanging="0" w:left="284"/>
        <w:rPr/>
      </w:pPr>
      <w:r>
        <w:rPr/>
        <w:t>que se responsabiliza pelas transações que forem efetuadas no sistema, assumindo-as como firmes e verdadeiras;</w:t>
      </w:r>
    </w:p>
    <w:p>
      <w:pPr>
        <w:pStyle w:val="Nivel3"/>
        <w:numPr>
          <w:ilvl w:val="2"/>
          <w:numId w:val="1"/>
        </w:numPr>
        <w:ind w:hanging="0" w:left="284"/>
        <w:rPr/>
      </w:pPr>
      <w:r>
        <w:rPr/>
        <w:t>que cumpre as exigências de reserva de cargos para pessoa com deficiência e para reabilitado da Previdência Social, previstas em lei e em outras normas específicas;</w:t>
      </w:r>
    </w:p>
    <w:p>
      <w:pPr>
        <w:pStyle w:val="Nivel3"/>
        <w:numPr>
          <w:ilvl w:val="2"/>
          <w:numId w:val="1"/>
        </w:numPr>
        <w:ind w:hanging="0" w:left="284"/>
        <w:rPr/>
      </w:pPr>
      <w:r>
        <w:rPr/>
        <w:t xml:space="preserve">que não emprega menor de 18 anos em trabalho noturno, perigoso ou insalubre e não emprega menor de 16 anos, salvo menor, a partir de 14 anos, na condição de aprendiz, nos termos do </w:t>
      </w:r>
      <w:r>
        <w:fldChar w:fldCharType="begin"/>
      </w:r>
      <w:r>
        <w:rPr>
          <w:rStyle w:val="Hyperlink"/>
          <w:u w:val="none"/>
          <w:color w:themeColor="hyperlink" w:val="auto"/>
        </w:rPr>
        <w:instrText xml:space="preserve"> HYPERLINK "https://normas.leg.br/?urn=urn:lex:br:federal:constituicao:1988-10-05;1988" \l "art7"</w:instrText>
      </w:r>
      <w:r>
        <w:rPr>
          <w:rStyle w:val="Hyperlink"/>
          <w:u w:val="none"/>
          <w:color w:themeColor="hyperlink" w:val="auto"/>
        </w:rPr>
        <w:fldChar w:fldCharType="separate"/>
      </w:r>
      <w:r>
        <w:rPr>
          <w:rStyle w:val="Hyperlink"/>
          <w:color w:themeColor="hyperlink" w:val="auto"/>
          <w:u w:val="none"/>
        </w:rPr>
        <w:t>art. 7°, inciso XXXIII, da Constituição</w:t>
      </w:r>
      <w:r>
        <w:rPr>
          <w:rStyle w:val="Hyperlink"/>
          <w:u w:val="none"/>
          <w:color w:themeColor="hyperlink" w:val="auto"/>
        </w:rPr>
        <w:fldChar w:fldCharType="end"/>
      </w:r>
      <w:r>
        <w:rPr/>
        <w:t>; e</w:t>
      </w:r>
    </w:p>
    <w:p>
      <w:pPr>
        <w:pStyle w:val="Nivel3"/>
        <w:numPr>
          <w:ilvl w:val="2"/>
          <w:numId w:val="1"/>
        </w:numPr>
        <w:ind w:hanging="0" w:left="284"/>
        <w:rPr/>
      </w:pPr>
      <w:r>
        <w:rPr/>
        <w:t xml:space="preserve"> </w:t>
      </w:r>
      <w:r>
        <w:rPr/>
        <w:t>não possui empregados executando trabalho degradante ou forçado, observando o disposto nos incisos III e IV do art. 1º e no inciso III do art. 5º da Constituição Federal.</w:t>
      </w:r>
    </w:p>
    <w:p>
      <w:pPr>
        <w:pStyle w:val="Normal"/>
        <w:numPr>
          <w:ilvl w:val="1"/>
          <w:numId w:val="1"/>
        </w:numPr>
        <w:spacing w:lineRule="auto" w:line="276" w:before="120" w:after="120"/>
        <w:jc w:val="both"/>
        <w:rPr>
          <w:rFonts w:cs="Arial"/>
          <w:szCs w:val="20"/>
        </w:rPr>
      </w:pPr>
      <w:r>
        <w:rPr>
          <w:rFonts w:cs="Arial"/>
          <w:color w:themeColor="text1" w:val="000000"/>
          <w:szCs w:val="20"/>
        </w:rPr>
        <w:t xml:space="preserve">O fornecedor organizado em cooperativa deverá declarar, ainda, em campo próprio do sistema eletrônico, que cumpre os requisitos estabelecidos no </w:t>
      </w:r>
      <w:r>
        <w:fldChar w:fldCharType="begin"/>
      </w:r>
      <w:r>
        <w:rPr>
          <w:rStyle w:val="Hyperlink"/>
          <w:u w:val="none"/>
          <w:szCs w:val="20"/>
          <w:rFonts w:cs="Arial"/>
          <w:color w:themeColor="hyperlink" w:val="auto"/>
        </w:rPr>
        <w:instrText xml:space="preserve"> HYPERLINK "http://www.planalto.gov.br/ccivil_03/_ato2019-2022/2021/lei/L14133.htm" \l "art16"</w:instrText>
      </w:r>
      <w:r>
        <w:rPr>
          <w:rStyle w:val="Hyperlink"/>
          <w:u w:val="none"/>
          <w:szCs w:val="20"/>
          <w:rFonts w:cs="Arial"/>
          <w:color w:themeColor="hyperlink" w:val="auto"/>
        </w:rPr>
        <w:fldChar w:fldCharType="separate"/>
      </w:r>
      <w:r>
        <w:rPr>
          <w:rStyle w:val="Hyperlink"/>
          <w:rFonts w:cs="Arial"/>
          <w:color w:themeColor="hyperlink" w:val="auto"/>
          <w:szCs w:val="20"/>
          <w:u w:val="none"/>
        </w:rPr>
        <w:t>art. 16 da Lei nº 14.133, de 2021.</w:t>
      </w:r>
      <w:r>
        <w:rPr>
          <w:rStyle w:val="Hyperlink"/>
          <w:u w:val="none"/>
          <w:szCs w:val="20"/>
          <w:rFonts w:cs="Arial"/>
          <w:color w:themeColor="hyperlink" w:val="auto"/>
        </w:rPr>
        <w:fldChar w:fldCharType="end"/>
      </w:r>
    </w:p>
    <w:p>
      <w:pPr>
        <w:pStyle w:val="Nivel2"/>
        <w:numPr>
          <w:ilvl w:val="1"/>
          <w:numId w:val="1"/>
        </w:numPr>
        <w:ind w:hanging="0" w:left="0"/>
        <w:rPr/>
      </w:pPr>
      <w:r>
        <w:rPr/>
        <w:t>O fornecedor deverá declarar em campo próprio do sistema se o produto ou serviço ofertado é manufaturado nacional beneficiado por um dos critérios de margem de preferência indicados no Termo de Referência, quando for o caso, para usufruir do benefício.</w:t>
      </w:r>
    </w:p>
    <w:p>
      <w:pPr>
        <w:pStyle w:val="Nivel2"/>
        <w:numPr>
          <w:ilvl w:val="1"/>
          <w:numId w:val="1"/>
        </w:numPr>
        <w:ind w:hanging="0" w:left="0"/>
        <w:rPr/>
      </w:pPr>
      <w:r>
        <w:rPr/>
        <w:t xml:space="preserve">O fornecedor enquadrado como microempresa, empresa de pequeno porte ou sociedade cooperativa deverá declarar, ainda, em campo próprio do sistema eletrônico, que cumpre os requisitos estabelecidos no </w:t>
      </w:r>
      <w:r>
        <w:fldChar w:fldCharType="begin"/>
      </w:r>
      <w:r>
        <w:rPr>
          <w:rStyle w:val="Hyperlink"/>
          <w:u w:val="none"/>
          <w:color w:themeColor="hyperlink" w:val="auto"/>
        </w:rPr>
        <w:instrText xml:space="preserve"> HYPERLINK "https://www.planalto.gov.br/ccivil_03/leis/lcp/lcp123.htm" \l "art3"</w:instrText>
      </w:r>
      <w:r>
        <w:rPr>
          <w:rStyle w:val="Hyperlink"/>
          <w:u w:val="none"/>
          <w:color w:themeColor="hyperlink" w:val="auto"/>
        </w:rPr>
        <w:fldChar w:fldCharType="separate"/>
      </w:r>
      <w:r>
        <w:rPr>
          <w:rStyle w:val="Hyperlink"/>
          <w:color w:themeColor="hyperlink" w:val="auto"/>
          <w:u w:val="none"/>
        </w:rPr>
        <w:t>art. 3° da Lei Complementar nº 123, de 2006</w:t>
      </w:r>
      <w:r>
        <w:rPr>
          <w:rStyle w:val="Hyperlink"/>
          <w:u w:val="none"/>
          <w:color w:themeColor="hyperlink" w:val="auto"/>
        </w:rPr>
        <w:fldChar w:fldCharType="end"/>
      </w:r>
      <w:r>
        <w:rPr/>
        <w:t xml:space="preserve">, estando apto a usufruir do tratamento favorecido estabelecido em seus arts. 42 a 49, observado o disposto nos </w:t>
      </w:r>
      <w:r>
        <w:fldChar w:fldCharType="begin"/>
      </w:r>
      <w:r>
        <w:rPr>
          <w:rStyle w:val="Hyperlink"/>
          <w:u w:val="none"/>
          <w:color w:themeColor="hyperlink" w:val="auto"/>
        </w:rPr>
        <w:instrText xml:space="preserve"> HYPERLINK "http://www.planalto.gov.br/ccivil_03/_ato2019-2022/2021/lei/L14133.htm" \l "art4%C2%A71"</w:instrText>
      </w:r>
      <w:r>
        <w:rPr>
          <w:rStyle w:val="Hyperlink"/>
          <w:u w:val="none"/>
          <w:color w:themeColor="hyperlink" w:val="auto"/>
        </w:rPr>
        <w:fldChar w:fldCharType="separate"/>
      </w:r>
      <w:r>
        <w:rPr>
          <w:rStyle w:val="Hyperlink"/>
          <w:color w:themeColor="hyperlink" w:val="auto"/>
          <w:u w:val="none"/>
        </w:rPr>
        <w:t>§§ 1º ao 3º do art. 4º, da Lei n.º 14.133, de 2021.</w:t>
      </w:r>
      <w:r>
        <w:rPr>
          <w:rStyle w:val="Hyperlink"/>
          <w:u w:val="none"/>
          <w:color w:themeColor="hyperlink" w:val="auto"/>
        </w:rPr>
        <w:fldChar w:fldCharType="end"/>
      </w:r>
    </w:p>
    <w:p>
      <w:pPr>
        <w:pStyle w:val="Nivel2"/>
        <w:numPr>
          <w:ilvl w:val="1"/>
          <w:numId w:val="1"/>
        </w:numPr>
        <w:ind w:hanging="0" w:left="0"/>
        <w:rPr/>
      </w:pPr>
      <w:r>
        <w:rPr/>
        <w:t>Desde que disponibilizada a funcionalidade no sistema, fica facultado ao fornecedor, ao cadastrar sua proposta inicial, a parametrização de valor final mínimo, com o registro do seu lance final aceitável (menor preço ou maior desconto, conforme o caso).</w:t>
      </w:r>
    </w:p>
    <w:p>
      <w:pPr>
        <w:pStyle w:val="Nvel3-R"/>
        <w:numPr>
          <w:ilvl w:val="2"/>
          <w:numId w:val="1"/>
        </w:numPr>
        <w:ind w:hanging="0" w:left="284"/>
        <w:rPr>
          <w:color w:val="111111"/>
          <w:highlight w:val="none"/>
          <w:shd w:fill="CCCCCC" w:val="clear"/>
        </w:rPr>
      </w:pPr>
      <w:r>
        <w:rPr>
          <w:color w:val="111111"/>
          <w:shd w:fill="CCCCCC" w:val="clear"/>
        </w:rPr>
        <w:t xml:space="preserve">Feita essa opção os lances serão enviados automaticamente pelo sistema, respeitados os limites cadastrados pelo fornecedor e o intervalo mínimo entre lances previsto neste aviso. </w:t>
      </w:r>
    </w:p>
    <w:p>
      <w:pPr>
        <w:pStyle w:val="Nvel4-R"/>
        <w:numPr>
          <w:ilvl w:val="3"/>
          <w:numId w:val="1"/>
        </w:numPr>
        <w:ind w:hanging="0" w:left="567"/>
        <w:rPr>
          <w:color w:val="111111"/>
          <w:highlight w:val="none"/>
          <w:shd w:fill="CCCCCC" w:val="clear"/>
        </w:rPr>
      </w:pPr>
      <w:r>
        <w:rPr>
          <w:color w:val="111111"/>
          <w:shd w:fill="CCCCCC" w:val="clear"/>
        </w:rPr>
        <w:t>Sem prejuízo do disposto acima, os lances poderão ser enviados manualmente, na forma da seção respectiva deste Aviso de Contratação Direta.</w:t>
      </w:r>
    </w:p>
    <w:p>
      <w:pPr>
        <w:pStyle w:val="Nvel3-R"/>
        <w:numPr>
          <w:ilvl w:val="2"/>
          <w:numId w:val="1"/>
        </w:numPr>
        <w:ind w:hanging="0" w:left="284"/>
        <w:rPr>
          <w:color w:val="111111"/>
          <w:highlight w:val="none"/>
          <w:shd w:fill="CCCCCC" w:val="clear"/>
        </w:rPr>
      </w:pPr>
      <w:r>
        <w:rPr>
          <w:color w:val="111111"/>
          <w:shd w:fill="CCCCCC" w:val="clear"/>
        </w:rPr>
        <w:t>O valor final mínimo poderá ser alterado pelo fornecedor durante a fase de disputa, desde que não assuma valor superior a lance já registrado por ele no sistema.</w:t>
      </w:r>
    </w:p>
    <w:p>
      <w:pPr>
        <w:pStyle w:val="Nvel3-R"/>
        <w:numPr>
          <w:ilvl w:val="2"/>
          <w:numId w:val="1"/>
        </w:numPr>
        <w:ind w:hanging="0" w:left="284"/>
        <w:rPr>
          <w:color w:val="111111"/>
          <w:highlight w:val="none"/>
          <w:shd w:fill="CCCCCC" w:val="clear"/>
        </w:rPr>
      </w:pPr>
      <w:r>
        <w:rPr>
          <w:color w:val="111111"/>
          <w:shd w:fill="CCCCCC" w:val="clear"/>
        </w:rPr>
        <w:t>O valor mínimo parametrizado possui caráter sigiloso aos demais participantes do certame e para o órgão ou entidade contratante. Apenas os lances efetivamente enviados poderão ser conhecidos dos fornecedores na forma da seção seguinte deste Aviso.</w:t>
      </w:r>
    </w:p>
    <w:p>
      <w:pPr>
        <w:pStyle w:val="Nivel01"/>
        <w:numPr>
          <w:ilvl w:val="0"/>
          <w:numId w:val="1"/>
        </w:numPr>
        <w:spacing w:before="288" w:after="288"/>
        <w:ind w:hanging="357" w:left="357"/>
        <w:rPr/>
      </w:pPr>
      <w:bookmarkStart w:id="14" w:name="_Toc226962641"/>
      <w:r>
        <w:rPr/>
        <w:t xml:space="preserve">DA </w:t>
      </w:r>
      <w:bookmarkStart w:id="15" w:name="_Toc142925864"/>
      <w:r>
        <w:rPr/>
        <w:t>FASE DE LANCES</w:t>
      </w:r>
      <w:bookmarkEnd w:id="14"/>
      <w:bookmarkEnd w:id="15"/>
    </w:p>
    <w:p>
      <w:pPr>
        <w:pStyle w:val="Nivel2"/>
        <w:numPr>
          <w:ilvl w:val="1"/>
          <w:numId w:val="1"/>
        </w:numPr>
        <w:ind w:hanging="0" w:left="0"/>
        <w:rPr/>
      </w:pPr>
      <w:r>
        <w:rPr/>
        <w:t>A partir da data e horário estabelecidos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pPr>
        <w:pStyle w:val="Nivel2"/>
        <w:numPr>
          <w:ilvl w:val="1"/>
          <w:numId w:val="1"/>
        </w:numPr>
        <w:ind w:hanging="0" w:left="0"/>
        <w:rPr/>
      </w:pPr>
      <w:r>
        <w:rPr/>
        <w:t xml:space="preserve">Iniciada a etapa competitiva, os fornecedores deverão encaminhar lances exclusivamente por meio de sistema eletrônico, sendo imediatamente informados do seu recebimento e do valor consignado no registro. </w:t>
      </w:r>
    </w:p>
    <w:p>
      <w:pPr>
        <w:pStyle w:val="Nvel3Misto"/>
        <w:numPr>
          <w:ilvl w:val="2"/>
          <w:numId w:val="1"/>
        </w:numPr>
        <w:ind w:hanging="0" w:left="284"/>
        <w:rPr>
          <w:lang w:eastAsia="en-US"/>
        </w:rPr>
      </w:pPr>
      <w:r>
        <w:rPr/>
        <w:t xml:space="preserve">O lance </w:t>
      </w:r>
      <w:r>
        <w:rPr>
          <w:color w:themeColor="text1" w:val="000000"/>
          <w:lang w:eastAsia="en-US"/>
        </w:rPr>
        <w:t>deverá</w:t>
      </w:r>
      <w:r>
        <w:rPr/>
        <w:t xml:space="preserve"> ser ofertado pelo </w:t>
      </w:r>
      <w:r>
        <w:rPr>
          <w:b/>
          <w:bCs/>
          <w:i/>
          <w:iCs/>
          <w:color w:val="111111"/>
        </w:rPr>
        <w:t>valor unitário</w:t>
      </w:r>
      <w:r>
        <w:rPr/>
        <w:t xml:space="preserve"> do item.</w:t>
      </w:r>
    </w:p>
    <w:p>
      <w:pPr>
        <w:pStyle w:val="Nivel2"/>
        <w:numPr>
          <w:ilvl w:val="1"/>
          <w:numId w:val="1"/>
        </w:numPr>
        <w:ind w:hanging="0" w:left="0"/>
        <w:rPr>
          <w:i/>
          <w:i/>
          <w:iCs/>
        </w:rPr>
      </w:pPr>
      <w:r>
        <w:rPr/>
        <w:t>O fornecedor somente poderá oferecer valor inferior ou percentual de desconto superior ao último lance por ele ofertado e registrado pelo sistema.</w:t>
      </w:r>
    </w:p>
    <w:p>
      <w:pPr>
        <w:pStyle w:val="Nivel3"/>
        <w:numPr>
          <w:ilvl w:val="2"/>
          <w:numId w:val="1"/>
        </w:numPr>
        <w:ind w:hanging="0" w:left="284"/>
        <w:rPr/>
      </w:pPr>
      <w:r>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pPr>
        <w:pStyle w:val="Nivel3"/>
        <w:numPr>
          <w:ilvl w:val="2"/>
          <w:numId w:val="1"/>
        </w:numPr>
        <w:ind w:hanging="0" w:left="284"/>
        <w:rPr>
          <w:color w:themeColor="text1" w:val="000000"/>
          <w:lang w:eastAsia="en-US"/>
        </w:rPr>
      </w:pPr>
      <w:r>
        <w:rPr/>
        <w:t>O intervalo mínimo de diferença de valores ou percentuais entre os lances, que incidirá tanto em relação aos lances intermediários quanto em relação ao que cobrir a melhor oferta é de</w:t>
      </w:r>
      <w:r>
        <w:rPr>
          <w:i/>
          <w:iCs/>
        </w:rPr>
        <w:t xml:space="preserve"> R$ 1,00 </w:t>
      </w:r>
      <w:r>
        <w:rPr>
          <w:i/>
          <w:iCs/>
          <w:color w:val="EE0000"/>
        </w:rPr>
        <w:t xml:space="preserve"> </w:t>
      </w:r>
      <w:r>
        <w:rPr/>
        <w:t>(UM REAL).</w:t>
      </w:r>
    </w:p>
    <w:p>
      <w:pPr>
        <w:pStyle w:val="Nivel2"/>
        <w:numPr>
          <w:ilvl w:val="1"/>
          <w:numId w:val="1"/>
        </w:numPr>
        <w:ind w:hanging="0" w:left="0"/>
        <w:rPr/>
      </w:pPr>
      <w:r>
        <w:rPr/>
        <w:t>Havendo lances iguais ao menor já ofertado, prevalecerá aquele que for recebido e registrado primeiro no sistema.</w:t>
      </w:r>
    </w:p>
    <w:p>
      <w:pPr>
        <w:pStyle w:val="Nivel2"/>
        <w:numPr>
          <w:ilvl w:val="1"/>
          <w:numId w:val="1"/>
        </w:numPr>
        <w:ind w:hanging="0" w:left="0"/>
        <w:rPr/>
      </w:pPr>
      <w:r>
        <w:rPr/>
        <w:t>Caso o fornecedor não apresente lances, concorrerá com o valor de sua proposta.</w:t>
      </w:r>
    </w:p>
    <w:p>
      <w:pPr>
        <w:pStyle w:val="Nivel2"/>
        <w:numPr>
          <w:ilvl w:val="1"/>
          <w:numId w:val="1"/>
        </w:numPr>
        <w:ind w:hanging="0" w:left="0"/>
        <w:rPr/>
      </w:pPr>
      <w:r>
        <w:rPr/>
        <w:t>Durante o procedimento, os fornecedores serão informados, em tempo real, do valor do menor lance ou do maior desconto registrado, vedada a identificação do fornecedor.</w:t>
      </w:r>
    </w:p>
    <w:p>
      <w:pPr>
        <w:pStyle w:val="Nivel2"/>
        <w:numPr>
          <w:ilvl w:val="1"/>
          <w:numId w:val="1"/>
        </w:numPr>
        <w:ind w:hanging="0" w:left="0"/>
        <w:rPr/>
      </w:pPr>
      <w:r>
        <w:rPr/>
        <w:t>Imediatamente após o término do prazo estabelecido para a fase de lances, haverá o seu encerramento, com o ordenamento e divulgação dos lances, pelo sistema, em ordem crescente de classificação.</w:t>
      </w:r>
    </w:p>
    <w:p>
      <w:pPr>
        <w:pStyle w:val="Nivel3"/>
        <w:numPr>
          <w:ilvl w:val="2"/>
          <w:numId w:val="1"/>
        </w:numPr>
        <w:ind w:hanging="0" w:left="284"/>
        <w:rPr/>
      </w:pPr>
      <w:r>
        <w:rPr/>
        <w:t>O encerramento da fase de lances ocorrerá de forma automática pontualmente no horário indicado, sem qualquer possibilidade de prorrogação e não havendo tempo aleatório ou mecanismo similar.</w:t>
      </w:r>
    </w:p>
    <w:p>
      <w:pPr>
        <w:pStyle w:val="Nivel01"/>
        <w:numPr>
          <w:ilvl w:val="0"/>
          <w:numId w:val="1"/>
        </w:numPr>
        <w:spacing w:before="288" w:after="288"/>
        <w:ind w:hanging="357" w:left="357"/>
        <w:rPr/>
      </w:pPr>
      <w:bookmarkStart w:id="16" w:name="_Toc226962642"/>
      <w:r>
        <w:rPr/>
        <w:t xml:space="preserve">DA FASE DE </w:t>
      </w:r>
      <w:bookmarkStart w:id="17" w:name="_Toc142925865"/>
      <w:r>
        <w:rPr/>
        <w:t>JULGAMENTO E ACEITAÇÃO DAS PROPOSTAS</w:t>
      </w:r>
      <w:bookmarkEnd w:id="16"/>
      <w:r>
        <w:rPr/>
        <w:t xml:space="preserve"> </w:t>
      </w:r>
      <w:bookmarkEnd w:id="17"/>
    </w:p>
    <w:p>
      <w:pPr>
        <w:pStyle w:val="Nivel2"/>
        <w:numPr>
          <w:ilvl w:val="1"/>
          <w:numId w:val="1"/>
        </w:numPr>
        <w:ind w:hanging="0" w:left="0"/>
        <w:rPr/>
      </w:pPr>
      <w:r>
        <w:rPr/>
        <w:t xml:space="preserve">Encerrada a fase de lances, quando a proposta do primeiro colocado permanecer acima do preço máximo ou abaixo do desconto definido para a contratação, o gestor poderá negociar condições mais vantajosas. </w:t>
      </w:r>
    </w:p>
    <w:p>
      <w:pPr>
        <w:pStyle w:val="Nivel3"/>
        <w:numPr>
          <w:ilvl w:val="2"/>
          <w:numId w:val="1"/>
        </w:numPr>
        <w:ind w:hanging="0" w:left="284"/>
        <w:rPr/>
      </w:pPr>
      <w:r>
        <w:rPr/>
        <w:t>Neste caso, será encaminhada contraproposta ao fornecedor que tenha apresentado o menor preço ou o maior desconto, para que seja obtida a melhor proposta compatível em relação ao estipulado pela Administração.</w:t>
      </w:r>
    </w:p>
    <w:p>
      <w:pPr>
        <w:pStyle w:val="Nivel3"/>
        <w:numPr>
          <w:ilvl w:val="2"/>
          <w:numId w:val="1"/>
        </w:numPr>
        <w:ind w:hanging="0" w:left="284"/>
        <w:rPr/>
      </w:pPr>
      <w:r>
        <w:rPr/>
        <w:t xml:space="preserve">A negociação poderá ser feita com os demais fornecedores classificados, </w:t>
      </w:r>
      <w:r>
        <w:rPr>
          <w:rFonts w:ascii="Helvetica" w:hAnsi="Helvetica"/>
          <w:shd w:fill="FFFFFF" w:val="clear"/>
        </w:rPr>
        <w:t>exclusivamente por meio do sistema,</w:t>
      </w:r>
      <w:r>
        <w:rPr/>
        <w:t xml:space="preserve"> respeitada a ordem de classificação, quando o primeiro colocado, mesmo após a negociação, for desclassificado em razão de sua proposta permanecer acima do preço máximo ou abaixo do desconto definido para a contratação.</w:t>
      </w:r>
    </w:p>
    <w:p>
      <w:pPr>
        <w:pStyle w:val="Nivel2"/>
        <w:numPr>
          <w:ilvl w:val="1"/>
          <w:numId w:val="1"/>
        </w:numPr>
        <w:ind w:hanging="0" w:left="0"/>
        <w:rPr/>
      </w:pPr>
      <w:r>
        <w:rPr/>
        <w:t xml:space="preserve">Em qualquer caso, concluída a negociação, se houver, o resultado será divulgado a todos e registrado na ata do procedimento da dispensa eletrônica, </w:t>
      </w:r>
      <w:r>
        <w:rPr>
          <w:rFonts w:ascii="Helvetica" w:hAnsi="Helvetica"/>
          <w:shd w:fill="FFFFFF" w:val="clear"/>
        </w:rPr>
        <w:t>devendo esta ser anexada aos autos do processo de contratação.</w:t>
      </w:r>
    </w:p>
    <w:p>
      <w:pPr>
        <w:pStyle w:val="Nivel2"/>
        <w:numPr>
          <w:ilvl w:val="1"/>
          <w:numId w:val="1"/>
        </w:numPr>
        <w:ind w:hanging="0" w:left="0"/>
        <w:rPr/>
      </w:pPr>
      <w:r>
        <w:rPr/>
        <w:t xml:space="preserve">Constatada a compatibilidade entre o valor da proposta e o estipulado para a contratação, será solicitado ao fornecedor o envio da proposta adequada ao último lance ofertado ou ao valor negociado, se for o caso, acompanhada dos documentos complementares, quando necessários. </w:t>
      </w:r>
    </w:p>
    <w:p>
      <w:pPr>
        <w:pStyle w:val="Nvel3-R"/>
        <w:numPr>
          <w:ilvl w:val="2"/>
          <w:numId w:val="1"/>
        </w:numPr>
        <w:ind w:hanging="0" w:left="284"/>
        <w:rPr>
          <w:color w:val="111111"/>
          <w:highlight w:val="none"/>
          <w:shd w:fill="CCCCCC" w:val="clear"/>
        </w:rPr>
      </w:pPr>
      <w:r>
        <w:rPr>
          <w:color w:val="111111"/>
          <w:shd w:fill="CCCCCC" w:val="clear"/>
        </w:rPr>
        <w:t>Além da documentação supracitada, o fornecedor com a melhor proposta deverá encaminhar planilha com indicação de custos unitários e formação de preços, conforme modelo anexo, com os valores adequados à proposta vencedora.</w:t>
      </w:r>
    </w:p>
    <w:p>
      <w:pPr>
        <w:pStyle w:val="Nivel2"/>
        <w:numPr>
          <w:ilvl w:val="1"/>
          <w:numId w:val="1"/>
        </w:numPr>
        <w:ind w:hanging="0" w:left="0"/>
        <w:rPr/>
      </w:pPr>
      <w:r>
        <w:rPr/>
        <w:t xml:space="preserve">Encerrada a etapa de negociação, se houver, o gestor verificará se o fornecedor provisoriamente classificado em primeiro lugar atende às condições de participação no certame, conforme previsto no art. 14 da Lei nº 14.133, de 2021, legislação correlata e nos itens </w:t>
      </w:r>
      <w:r>
        <w:rPr/>
        <w:fldChar w:fldCharType="begin"/>
      </w:r>
      <w:r>
        <w:rPr/>
        <w:instrText xml:space="preserve"> REF _Ref144286315 \r \r \h </w:instrText>
      </w:r>
      <w:r>
        <w:rPr/>
        <w:fldChar w:fldCharType="separate"/>
      </w:r>
      <w:r>
        <w:rPr/>
        <w:t>3.3</w:t>
      </w:r>
      <w:r>
        <w:rPr/>
        <w:fldChar w:fldCharType="end"/>
      </w:r>
      <w:r>
        <w:rPr/>
        <w:t xml:space="preserve"> e seguintes deste Aviso, especialmente quanto à existência de sanção que impeça a participação </w:t>
      </w:r>
      <w:r>
        <w:rPr>
          <w:lang w:eastAsia="ar-SA"/>
        </w:rPr>
        <w:t xml:space="preserve">no processo de contratação direta </w:t>
      </w:r>
      <w:r>
        <w:rPr/>
        <w:t>ou a futura contratação, mediante a consulta aos seguintes cadastros:</w:t>
      </w:r>
    </w:p>
    <w:p>
      <w:pPr>
        <w:pStyle w:val="Nivel3"/>
        <w:numPr>
          <w:ilvl w:val="2"/>
          <w:numId w:val="1"/>
        </w:numPr>
        <w:ind w:hanging="0" w:left="284"/>
        <w:rPr/>
      </w:pPr>
      <w:r>
        <w:rPr/>
        <w:t>Sicaf;</w:t>
      </w:r>
    </w:p>
    <w:p>
      <w:pPr>
        <w:pStyle w:val="Nivel3"/>
        <w:numPr>
          <w:ilvl w:val="2"/>
          <w:numId w:val="1"/>
        </w:numPr>
        <w:ind w:hanging="0" w:left="284"/>
        <w:rPr>
          <w:color w:val="111111"/>
          <w:highlight w:val="none"/>
          <w:shd w:fill="CCCCCC" w:val="clear"/>
        </w:rPr>
      </w:pPr>
      <w:r>
        <w:rPr>
          <w:color w:val="111111"/>
          <w:shd w:fill="CCCCCC" w:val="clear"/>
        </w:rPr>
        <w:t xml:space="preserve">Cadastro Nacional de Empresas Inidôneas e Suspensas – CEIS, </w:t>
      </w:r>
    </w:p>
    <w:p>
      <w:pPr>
        <w:pStyle w:val="Nivel3"/>
        <w:numPr>
          <w:ilvl w:val="2"/>
          <w:numId w:val="1"/>
        </w:numPr>
        <w:ind w:hanging="0" w:left="284"/>
        <w:rPr/>
      </w:pPr>
      <w:r>
        <w:rPr/>
        <w:t>Cadastro Nacional de Empresas Punidas – CNEP e</w:t>
      </w:r>
    </w:p>
    <w:p>
      <w:pPr>
        <w:pStyle w:val="Nivel3"/>
        <w:numPr>
          <w:ilvl w:val="2"/>
          <w:numId w:val="1"/>
        </w:numPr>
        <w:ind w:hanging="0" w:left="284"/>
        <w:rPr>
          <w:color w:val="111111"/>
          <w:highlight w:val="none"/>
          <w:shd w:fill="CCCCCC" w:val="clear"/>
        </w:rPr>
      </w:pPr>
      <w:r>
        <w:rPr>
          <w:color w:val="111111"/>
          <w:shd w:fill="CCCCCC" w:val="clear"/>
        </w:rPr>
        <w:t>Lista de licitantes inidôneos, mantida pelo Tribunal de Contas da União.</w:t>
      </w:r>
    </w:p>
    <w:p>
      <w:pPr>
        <w:pStyle w:val="Nivel2"/>
        <w:numPr>
          <w:ilvl w:val="1"/>
          <w:numId w:val="1"/>
        </w:numPr>
        <w:ind w:hanging="0" w:left="0"/>
        <w:rPr/>
      </w:pPr>
      <w:r>
        <w:rPr/>
        <w:t>A consulta aos cadastros será realizada no nome e no CNPJ da empresa fornecedora.</w:t>
      </w:r>
    </w:p>
    <w:p>
      <w:pPr>
        <w:pStyle w:val="Nivel3"/>
        <w:numPr>
          <w:ilvl w:val="2"/>
          <w:numId w:val="1"/>
        </w:numPr>
        <w:ind w:hanging="0" w:left="284"/>
        <w:rPr/>
      </w:pPr>
      <w:r>
        <w:rPr/>
        <w:t xml:space="preserve">A consulta no </w:t>
      </w:r>
      <w:r>
        <w:rPr>
          <w:shd w:fill="CCCCCC" w:val="clear"/>
        </w:rPr>
        <w:t xml:space="preserve">CEIS </w:t>
      </w:r>
      <w:r>
        <w:rPr/>
        <w:t xml:space="preserve">quanto às sanções previstas na Lei nº 8.429, de 1992, também ocorrerá no nome e no CPF do sócio majoritário da empresa fornecedora, se houver, por força do art. 12 da </w:t>
      </w:r>
      <w:r>
        <w:rPr>
          <w:shd w:fill="CCCCCC" w:val="clear"/>
        </w:rPr>
        <w:t>citada lei.</w:t>
      </w:r>
    </w:p>
    <w:p>
      <w:pPr>
        <w:pStyle w:val="Nivel2"/>
        <w:numPr>
          <w:ilvl w:val="1"/>
          <w:numId w:val="1"/>
        </w:numPr>
        <w:ind w:hanging="0" w:left="0"/>
        <w:rPr>
          <w:highlight w:val="none"/>
          <w:shd w:fill="CCCCCC" w:val="clear"/>
        </w:rPr>
      </w:pPr>
      <w:r>
        <w:rPr>
          <w:shd w:fill="CCCCCC" w:val="clear"/>
        </w:rPr>
        <w:t>Para a consulta de licitantes pessoa jurídica poderá haver a substituição das consultas ao CEIS, CNEP e Lista de licitantes inidôneos pela Consulta Consolidada de Pessoa Jurídica do TCU.</w:t>
      </w:r>
    </w:p>
    <w:p>
      <w:pPr>
        <w:pStyle w:val="Nivel2"/>
        <w:numPr>
          <w:ilvl w:val="1"/>
          <w:numId w:val="1"/>
        </w:numPr>
        <w:ind w:hanging="0" w:left="0"/>
        <w:rPr/>
      </w:pPr>
      <w:r>
        <w:rPr/>
        <w:t>Caso conste na Consulta de Situação do fornecedor a existência de Ocorrências Impeditivas Indiretas, o órgão diligenciará para verificar se houve fraude por parte das empresas apontadas no Relatório de Ocorrências Impeditivas Indiretas.</w:t>
      </w:r>
    </w:p>
    <w:p>
      <w:pPr>
        <w:pStyle w:val="Nivel3"/>
        <w:numPr>
          <w:ilvl w:val="2"/>
          <w:numId w:val="1"/>
        </w:numPr>
        <w:ind w:hanging="0" w:left="284"/>
        <w:rPr/>
      </w:pPr>
      <w:r>
        <w:rPr/>
        <w:t xml:space="preserve">A tentativa de burla será verificada por meio dos vínculos societários, linhas de fornecimento </w:t>
      </w:r>
      <w:r>
        <w:rPr>
          <w:color w:val="000000"/>
        </w:rPr>
        <w:t>similares</w:t>
      </w:r>
      <w:r>
        <w:rPr/>
        <w:t>, dentre outros.</w:t>
      </w:r>
    </w:p>
    <w:p>
      <w:pPr>
        <w:pStyle w:val="Nivel3"/>
        <w:numPr>
          <w:ilvl w:val="2"/>
          <w:numId w:val="1"/>
        </w:numPr>
        <w:ind w:hanging="0" w:left="284"/>
        <w:rPr/>
      </w:pPr>
      <w:r>
        <w:rPr/>
        <w:t xml:space="preserve">O </w:t>
      </w:r>
      <w:r>
        <w:rPr>
          <w:color w:themeColor="text1" w:val="000000"/>
        </w:rPr>
        <w:t>fornecedor</w:t>
      </w:r>
      <w:r>
        <w:rPr/>
        <w:t xml:space="preserve"> </w:t>
      </w:r>
      <w:r>
        <w:rPr>
          <w:color w:val="000000"/>
        </w:rPr>
        <w:t>será</w:t>
      </w:r>
      <w:r>
        <w:rPr/>
        <w:t xml:space="preserve"> convocado para manifestação previamente a uma eventual desclassificação.</w:t>
      </w:r>
    </w:p>
    <w:p>
      <w:pPr>
        <w:pStyle w:val="Nivel3"/>
        <w:numPr>
          <w:ilvl w:val="2"/>
          <w:numId w:val="1"/>
        </w:numPr>
        <w:ind w:hanging="0" w:left="284"/>
        <w:rPr/>
      </w:pPr>
      <w:r>
        <w:rPr/>
        <w:t xml:space="preserve">Constatada a existência de sanção, o </w:t>
      </w:r>
      <w:r>
        <w:rPr>
          <w:color w:themeColor="text1" w:val="000000"/>
        </w:rPr>
        <w:t>fornecedor</w:t>
      </w:r>
      <w:r>
        <w:rPr/>
        <w:t xml:space="preserve"> será reputado inabilitado, por falta de condição de participação.</w:t>
      </w:r>
    </w:p>
    <w:p>
      <w:pPr>
        <w:pStyle w:val="Nivel2"/>
        <w:numPr>
          <w:ilvl w:val="1"/>
          <w:numId w:val="1"/>
        </w:numPr>
        <w:ind w:hanging="0" w:left="0"/>
        <w:rPr/>
      </w:pPr>
      <w:r>
        <w:rPr/>
        <w:t>Caso o fornecedor provisoriamente classificado em primeiro lugar tenha se utilizado de algum tratamento favorecido às ME/EPPs ou tenha se valido da aplicação da margem de preferência, o gestor verificará se o fornecedor faz jus ao benefício aplicado.</w:t>
      </w:r>
    </w:p>
    <w:p>
      <w:pPr>
        <w:pStyle w:val="Nvel3-R"/>
        <w:numPr>
          <w:ilvl w:val="2"/>
          <w:numId w:val="1"/>
        </w:numPr>
        <w:ind w:hanging="0" w:left="284"/>
        <w:rPr>
          <w:color w:val="111111"/>
          <w:highlight w:val="none"/>
          <w:shd w:fill="CCCCCC" w:val="clear"/>
        </w:rPr>
      </w:pPr>
      <w:r>
        <w:rPr>
          <w:color w:val="111111"/>
          <w:shd w:fill="CCCCCC" w:val="clear"/>
        </w:rPr>
        <w:t>Caso o fornecedor não venha a comprovar o atendimento dos requisitos para fazer jus ao benefício da margem de preferência, as propostas serão reclassificadas, para fins de nova aplicação da margem de preferência.</w:t>
      </w:r>
    </w:p>
    <w:p>
      <w:pPr>
        <w:pStyle w:val="Nivel2"/>
        <w:numPr>
          <w:ilvl w:val="1"/>
          <w:numId w:val="1"/>
        </w:numPr>
        <w:ind w:hanging="0" w:left="0"/>
        <w:rPr/>
      </w:pPr>
      <w:r>
        <w:rPr/>
        <w:t>Verificadas as condições de participação e de utilização do tratamento favorecido, o gestor examinará a proposta classificada em primeiro lugar quanto à adequação ao objeto e à compatibilidade do preço em relação ao máximo estipulado para contratação neste Aviso de Contratação Direta e em seus anexos.</w:t>
      </w:r>
    </w:p>
    <w:p>
      <w:pPr>
        <w:pStyle w:val="Nivel2"/>
        <w:numPr>
          <w:ilvl w:val="1"/>
          <w:numId w:val="1"/>
        </w:numPr>
        <w:ind w:hanging="0" w:left="0"/>
        <w:rPr>
          <w:i/>
          <w:i/>
        </w:rPr>
      </w:pPr>
      <w:r>
        <w:rPr/>
        <w:t xml:space="preserve">Será desclassificada a proposta vencedora que: </w:t>
      </w:r>
    </w:p>
    <w:p>
      <w:pPr>
        <w:pStyle w:val="Nivel3"/>
        <w:numPr>
          <w:ilvl w:val="2"/>
          <w:numId w:val="1"/>
        </w:numPr>
        <w:ind w:hanging="0" w:left="284"/>
        <w:rPr>
          <w:i/>
          <w:i/>
          <w:color w:themeColor="text1" w:val="000000"/>
        </w:rPr>
      </w:pPr>
      <w:r>
        <w:rPr/>
        <w:t>contiver vícios insanáveis</w:t>
      </w:r>
      <w:r>
        <w:rPr>
          <w:iCs/>
          <w:color w:themeColor="text1" w:val="000000"/>
        </w:rPr>
        <w:t>;</w:t>
      </w:r>
    </w:p>
    <w:p>
      <w:pPr>
        <w:pStyle w:val="Nivel3"/>
        <w:numPr>
          <w:ilvl w:val="2"/>
          <w:numId w:val="1"/>
        </w:numPr>
        <w:ind w:hanging="0" w:left="284"/>
        <w:rPr>
          <w:i/>
          <w:i/>
          <w:color w:themeColor="text1" w:val="000000"/>
        </w:rPr>
      </w:pPr>
      <w:r>
        <w:rPr/>
        <w:t>não obedecer às especificações técnicas pormenorizadas neste Aviso ou em seus anexos</w:t>
      </w:r>
      <w:r>
        <w:rPr>
          <w:iCs/>
          <w:color w:themeColor="text1" w:val="000000"/>
        </w:rPr>
        <w:t>;</w:t>
      </w:r>
    </w:p>
    <w:p>
      <w:pPr>
        <w:pStyle w:val="Nvel3Misto"/>
        <w:numPr>
          <w:ilvl w:val="2"/>
          <w:numId w:val="1"/>
        </w:numPr>
        <w:ind w:hanging="0" w:left="284"/>
        <w:rPr/>
      </w:pPr>
      <w:r>
        <w:rPr/>
        <w:t>apresentar preços inexequíveis ou que permanecerem acima do preço máximo definido para a contratação;</w:t>
      </w:r>
    </w:p>
    <w:p>
      <w:pPr>
        <w:pStyle w:val="Nivel3"/>
        <w:numPr>
          <w:ilvl w:val="2"/>
          <w:numId w:val="1"/>
        </w:numPr>
        <w:ind w:hanging="0" w:left="284"/>
        <w:rPr>
          <w:i/>
          <w:i/>
          <w:color w:themeColor="text1" w:val="000000"/>
        </w:rPr>
      </w:pPr>
      <w:r>
        <w:rPr/>
        <w:t>não tiver sua exequibilidade demonstrada, quando exigido pela Administração</w:t>
      </w:r>
      <w:r>
        <w:rPr>
          <w:iCs/>
          <w:color w:themeColor="text1" w:val="000000"/>
        </w:rPr>
        <w:t>;</w:t>
      </w:r>
    </w:p>
    <w:p>
      <w:pPr>
        <w:pStyle w:val="Nivel3"/>
        <w:numPr>
          <w:ilvl w:val="2"/>
          <w:numId w:val="1"/>
        </w:numPr>
        <w:ind w:hanging="0" w:left="284"/>
        <w:rPr>
          <w:highlight w:val="none"/>
          <w:shd w:fill="CCCCCC" w:val="clear"/>
        </w:rPr>
      </w:pPr>
      <w:r>
        <w:rPr>
          <w:shd w:fill="CCCCCC" w:val="clear"/>
        </w:rPr>
        <w:t>não cumpra os critérios de aceitabilidade de preços definidos no Termo de Referência;</w:t>
      </w:r>
    </w:p>
    <w:p>
      <w:pPr>
        <w:pStyle w:val="Nivel3"/>
        <w:numPr>
          <w:ilvl w:val="2"/>
          <w:numId w:val="1"/>
        </w:numPr>
        <w:ind w:hanging="0" w:left="284"/>
        <w:rPr>
          <w:i/>
          <w:i/>
          <w:color w:themeColor="text1" w:val="000000"/>
        </w:rPr>
      </w:pPr>
      <w:r>
        <w:rPr/>
        <w:t>apresentar desconformidade com quaisquer outras exigências deste Aviso ou seus anexos, desde que insanável.</w:t>
      </w:r>
    </w:p>
    <w:p>
      <w:pPr>
        <w:pStyle w:val="Nivel2"/>
        <w:numPr>
          <w:ilvl w:val="1"/>
          <w:numId w:val="1"/>
        </w:numPr>
        <w:ind w:hanging="0" w:left="0"/>
        <w:rPr>
          <w:i/>
          <w:i/>
          <w:color w:themeColor="text1" w:val="000000"/>
        </w:rPr>
      </w:pPr>
      <w:r>
        <w:rPr>
          <w:color w:themeColor="text1" w:val="000000"/>
        </w:rPr>
        <w:t>Quando</w:t>
      </w:r>
      <w:r>
        <w:rPr/>
        <w:t xml:space="preserve"> o fornecedor não conseguir comprovar que possui ou possuirá recursos suficientes para executar a contento o objeto, será considerada inexequível a proposta de preços ou menor lance que:</w:t>
      </w:r>
    </w:p>
    <w:p>
      <w:pPr>
        <w:pStyle w:val="Nvel3-R"/>
        <w:numPr>
          <w:ilvl w:val="2"/>
          <w:numId w:val="1"/>
        </w:numPr>
        <w:ind w:hanging="0" w:left="284"/>
        <w:rPr>
          <w:color w:val="111111"/>
          <w:highlight w:val="none"/>
          <w:shd w:fill="CCCCCC" w:val="clear"/>
        </w:rPr>
      </w:pPr>
      <w:r>
        <w:rPr>
          <w:color w:val="111111"/>
          <w:shd w:fill="CCCCCC" w:val="clear"/>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pPr>
        <w:pStyle w:val="Nvel3-R"/>
        <w:numPr>
          <w:ilvl w:val="2"/>
          <w:numId w:val="1"/>
        </w:numPr>
        <w:ind w:hanging="0" w:left="284"/>
        <w:rPr>
          <w:color w:val="111111"/>
          <w:highlight w:val="none"/>
          <w:shd w:fill="CCCCCC" w:val="clear"/>
        </w:rPr>
      </w:pPr>
      <w:r>
        <w:rPr>
          <w:color w:val="111111"/>
          <w:shd w:fill="CCCCCC" w:val="clear"/>
        </w:rPr>
        <w:t>apresentar um ou mais valores da planilha de custo que sejam inferiores àqueles fixados em instrumentos de caráter normativo obrigatório, tais como leis, medidas provisórias e convenções coletivas de trabalho vigentes.</w:t>
      </w:r>
    </w:p>
    <w:p>
      <w:pPr>
        <w:pStyle w:val="Nivel2"/>
        <w:numPr>
          <w:ilvl w:val="1"/>
          <w:numId w:val="1"/>
        </w:numPr>
        <w:ind w:hanging="0" w:left="0"/>
        <w:rPr>
          <w:color w:val="666666"/>
          <w:highlight w:val="none"/>
          <w:shd w:fill="CCCCCC" w:val="clear"/>
        </w:rPr>
      </w:pPr>
      <w:r>
        <w:rPr>
          <w:color w:val="666666"/>
          <w:shd w:fill="CCCCCC" w:val="clear"/>
        </w:rPr>
        <w:t>Em contratação de obras ou serviços de engenharia, além das disposições acima, o critério de aceitabilidade de preços considerará o seguinte:</w:t>
      </w:r>
    </w:p>
    <w:p>
      <w:pPr>
        <w:pStyle w:val="Nvel3-R"/>
        <w:numPr>
          <w:ilvl w:val="2"/>
          <w:numId w:val="1"/>
        </w:numPr>
        <w:ind w:hanging="0" w:left="284"/>
        <w:rPr>
          <w:color w:val="666666"/>
          <w:highlight w:val="none"/>
          <w:shd w:fill="CCCCCC" w:val="clear"/>
        </w:rPr>
      </w:pPr>
      <w:r>
        <w:rPr>
          <w:color w:val="666666"/>
          <w:shd w:fill="CCCCCC" w:val="clear"/>
        </w:rPr>
        <w:t>Ressalvado o objeto ou parte dele sujeito ao regime de empreitada por preço unitário, o critério de aceitabilidade de preços será o valor global estimado para a contratação.</w:t>
      </w:r>
    </w:p>
    <w:p>
      <w:pPr>
        <w:pStyle w:val="Nvel4-R"/>
        <w:numPr>
          <w:ilvl w:val="3"/>
          <w:numId w:val="1"/>
        </w:numPr>
        <w:ind w:hanging="0" w:left="567"/>
        <w:rPr>
          <w:color w:val="666666"/>
          <w:highlight w:val="none"/>
          <w:shd w:fill="CCCCCC" w:val="clear"/>
        </w:rPr>
      </w:pPr>
      <w:r>
        <w:rPr>
          <w:color w:val="666666"/>
          <w:shd w:fill="CCCCCC" w:val="clear"/>
        </w:rPr>
        <w:t>Aquele que estiver mais bem colocado na disputa deverá apresentar à Administração, por meio eletrônico, planilha que contenha o preço global, os quantitativos e os preços unitários tidos como relevantes, conforme modelo de planilha elaborada pela Administração, para efeito de avaliação de exequibilidade;</w:t>
      </w:r>
    </w:p>
    <w:p>
      <w:pPr>
        <w:pStyle w:val="Nvel3-R"/>
        <w:numPr>
          <w:ilvl w:val="2"/>
          <w:numId w:val="1"/>
        </w:numPr>
        <w:ind w:hanging="0" w:left="284"/>
        <w:rPr>
          <w:color w:val="666666"/>
          <w:highlight w:val="none"/>
          <w:shd w:fill="CCCCCC" w:val="clear"/>
        </w:rPr>
      </w:pPr>
      <w:r>
        <w:rPr>
          <w:color w:val="666666"/>
          <w:shd w:fill="CCCCCC" w:val="clear"/>
        </w:rPr>
        <w:t>Para o objeto ou parte dele sujeito ao regime de empreitada por preço unitário o critério de aceitabilidade de preços será:</w:t>
      </w:r>
    </w:p>
    <w:p>
      <w:pPr>
        <w:pStyle w:val="Nvel4-R"/>
        <w:numPr>
          <w:ilvl w:val="3"/>
          <w:numId w:val="1"/>
        </w:numPr>
        <w:ind w:hanging="0" w:left="567"/>
        <w:rPr>
          <w:color w:val="666666"/>
          <w:highlight w:val="none"/>
          <w:shd w:fill="CCCCCC" w:val="clear"/>
        </w:rPr>
      </w:pPr>
      <w:r>
        <w:rPr>
          <w:color w:val="666666"/>
          <w:shd w:fill="CCCCCC" w:val="clear"/>
        </w:rPr>
        <w:t>O valor global estimado para a contratação;</w:t>
      </w:r>
    </w:p>
    <w:p>
      <w:pPr>
        <w:pStyle w:val="Nvel4-R"/>
        <w:numPr>
          <w:ilvl w:val="3"/>
          <w:numId w:val="1"/>
        </w:numPr>
        <w:ind w:hanging="0" w:left="567"/>
        <w:rPr>
          <w:color w:val="666666"/>
          <w:highlight w:val="none"/>
          <w:shd w:fill="CCCCCC" w:val="clear"/>
        </w:rPr>
      </w:pPr>
      <w:r>
        <w:rPr>
          <w:color w:val="666666"/>
          <w:shd w:fill="CCCCCC" w:val="clear"/>
        </w:rPr>
        <w:t>Preços unitários: conforme Planilha de Custos elaborada pelo Contratante, anexa a este documento.</w:t>
      </w:r>
    </w:p>
    <w:p>
      <w:pPr>
        <w:pStyle w:val="Nvel3-R"/>
        <w:numPr>
          <w:ilvl w:val="2"/>
          <w:numId w:val="1"/>
        </w:numPr>
        <w:ind w:hanging="0" w:left="284"/>
        <w:rPr>
          <w:color w:val="666666"/>
          <w:highlight w:val="none"/>
          <w:shd w:fill="CCCCCC" w:val="clear"/>
        </w:rPr>
      </w:pPr>
      <w:r>
        <w:rPr>
          <w:color w:val="666666"/>
          <w:shd w:fill="CCCCCC" w:val="clear"/>
        </w:rPr>
        <w:t>Serão consideradas inexequíveis as propostas cujos valores forem inferiores a 75% (setenta e cinco por cento) do valor orçado pela Administração.</w:t>
      </w:r>
    </w:p>
    <w:p>
      <w:pPr>
        <w:pStyle w:val="Nvel3-R"/>
        <w:numPr>
          <w:ilvl w:val="2"/>
          <w:numId w:val="1"/>
        </w:numPr>
        <w:ind w:hanging="0" w:left="284"/>
        <w:rPr>
          <w:color w:val="666666"/>
          <w:highlight w:val="none"/>
          <w:shd w:fill="CCCCCC" w:val="clear"/>
        </w:rPr>
      </w:pPr>
      <w:r>
        <w:rPr>
          <w:color w:val="666666"/>
          <w:shd w:fill="CCCCCC" w:val="clear"/>
        </w:rPr>
        <w:t>Será exigida garantia adicional do fornecedor vencedor cuja proposta for inferior a 85% (oitenta e cinco por cento) do valor orçado pela Administração, equivalente à diferença entre este último e o valor da proposta, sem prejuízo das demais garantias exigíveis de acordo a Lei.</w:t>
      </w:r>
    </w:p>
    <w:p>
      <w:pPr>
        <w:pStyle w:val="Nivel2"/>
        <w:numPr>
          <w:ilvl w:val="1"/>
          <w:numId w:val="1"/>
        </w:numPr>
        <w:ind w:hanging="0" w:left="0"/>
        <w:rPr/>
      </w:pPr>
      <w:r>
        <w:rPr/>
        <w:t>Se houver indícios de inexequibilidade da proposta de preço, ou em caso da necessidade de esclarecimentos complementares, poderão ser efetuadas diligências, para que o fornecedor comprove a exequibilidade da proposta.</w:t>
      </w:r>
    </w:p>
    <w:p>
      <w:pPr>
        <w:pStyle w:val="Nivel2"/>
        <w:numPr>
          <w:ilvl w:val="1"/>
          <w:numId w:val="1"/>
        </w:numPr>
        <w:ind w:hanging="0" w:left="0"/>
        <w:rPr/>
      </w:pPr>
      <w:r>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pPr>
        <w:pStyle w:val="Nivel3"/>
        <w:numPr>
          <w:ilvl w:val="2"/>
          <w:numId w:val="1"/>
        </w:numPr>
        <w:ind w:hanging="0" w:left="284"/>
        <w:rPr/>
      </w:pPr>
      <w:r>
        <w:rPr/>
        <w:t>O ajuste de que trata este dispositivo se limita a sanar erros ou falhas que não alterem a substância das propostas;</w:t>
      </w:r>
    </w:p>
    <w:p>
      <w:pPr>
        <w:pStyle w:val="Nivel3"/>
        <w:numPr>
          <w:ilvl w:val="2"/>
          <w:numId w:val="1"/>
        </w:numPr>
        <w:ind w:hanging="0" w:left="284"/>
        <w:rPr/>
      </w:pPr>
      <w:r>
        <w:rPr/>
        <w:t>Considera-se erro no preenchimento da planilha passível de correção a indicação de recolhimento de impostos e contribuições na forma do Simples Nacional, quando não cabível esse regime.</w:t>
      </w:r>
    </w:p>
    <w:p>
      <w:pPr>
        <w:pStyle w:val="Nivel2"/>
        <w:numPr>
          <w:ilvl w:val="1"/>
          <w:numId w:val="1"/>
        </w:numPr>
        <w:ind w:hanging="0" w:left="0"/>
        <w:rPr/>
      </w:pPr>
      <w:r>
        <w:rPr/>
        <w:t>Para fins de análise da proposta quanto ao cumprimento das especificações do objeto, poderá ser colhida a manifestação escrita do setor requisitante do serviço ou da área especializada no objeto.</w:t>
      </w:r>
    </w:p>
    <w:p>
      <w:pPr>
        <w:pStyle w:val="Nivel2"/>
        <w:numPr>
          <w:ilvl w:val="1"/>
          <w:numId w:val="1"/>
        </w:numPr>
        <w:ind w:hanging="0" w:left="0"/>
        <w:rPr/>
      </w:pPr>
      <w:r>
        <w:rPr/>
        <w:t>Se a proposta ou lance vencedor for desclassificado, será examinada a proposta ou lance subsequente, e, assim sucessivamente, na ordem de classificação.</w:t>
      </w:r>
    </w:p>
    <w:p>
      <w:pPr>
        <w:pStyle w:val="Nivel2"/>
        <w:numPr>
          <w:ilvl w:val="1"/>
          <w:numId w:val="1"/>
        </w:numPr>
        <w:ind w:hanging="0" w:left="0"/>
        <w:rPr/>
      </w:pPr>
      <w:r>
        <w:rPr/>
        <w:t>Havendo necessidade, a sessão será suspensa, informando-se no “chat” a nova data e horário para a sua continuidade.</w:t>
      </w:r>
    </w:p>
    <w:p>
      <w:pPr>
        <w:pStyle w:val="Nivel2"/>
        <w:numPr>
          <w:ilvl w:val="1"/>
          <w:numId w:val="1"/>
        </w:numPr>
        <w:ind w:hanging="0" w:left="0"/>
        <w:rPr/>
      </w:pPr>
      <w:r>
        <w:rPr/>
        <w:t>Encerrada a análise quanto à aceitação da proposta, será iniciada a fase de habilitação, observado o disposto neste Aviso de Contratação Direta.</w:t>
      </w:r>
    </w:p>
    <w:p>
      <w:pPr>
        <w:pStyle w:val="Nivel01"/>
        <w:numPr>
          <w:ilvl w:val="0"/>
          <w:numId w:val="1"/>
        </w:numPr>
        <w:spacing w:before="288" w:after="288"/>
        <w:ind w:hanging="357" w:left="357"/>
        <w:rPr/>
      </w:pPr>
      <w:bookmarkStart w:id="18" w:name="_Toc226962643"/>
      <w:r>
        <w:rPr/>
        <w:t xml:space="preserve">DA FASE DE </w:t>
      </w:r>
      <w:bookmarkStart w:id="19" w:name="_Toc142925866"/>
      <w:r>
        <w:rPr/>
        <w:t>HABILITAÇÃO</w:t>
      </w:r>
      <w:bookmarkEnd w:id="18"/>
      <w:bookmarkEnd w:id="19"/>
    </w:p>
    <w:p>
      <w:pPr>
        <w:pStyle w:val="Nivel2"/>
        <w:numPr>
          <w:ilvl w:val="1"/>
          <w:numId w:val="1"/>
        </w:numPr>
        <w:ind w:hanging="0" w:left="0"/>
        <w:rPr>
          <w:b/>
        </w:rPr>
      </w:pPr>
      <w:r>
        <w:rPr/>
        <w:t>Os documentos a serem exigidos para fins de habilitação, nos termos dos arts. 62 a 70 da Lei nº 14.133, de 2021, constam do Termo de Referência e serão solicitados do fornecedor mais bem classificado na fase de lances.</w:t>
      </w:r>
    </w:p>
    <w:p>
      <w:pPr>
        <w:pStyle w:val="Nivel2"/>
        <w:numPr>
          <w:ilvl w:val="1"/>
          <w:numId w:val="1"/>
        </w:numPr>
        <w:ind w:hanging="0" w:left="0"/>
        <w:rPr/>
      </w:pPr>
      <w:r>
        <w:rPr/>
        <w:t>A habilitação dos fornecedores será verificada por meio do Sicaf, nos documentos por ele abrangidos.</w:t>
      </w:r>
    </w:p>
    <w:p>
      <w:pPr>
        <w:pStyle w:val="Nivel3"/>
        <w:numPr>
          <w:ilvl w:val="2"/>
          <w:numId w:val="1"/>
        </w:numPr>
        <w:ind w:hanging="0" w:left="284"/>
        <w:rPr/>
      </w:pPr>
      <w:r>
        <w:rPr/>
        <w:t>É dever do fornecedor atualizar previamente as comprovações constantes do Sicaf para que estejam vigentes na data da abertura da sessão pública, ou encaminhar, quando solicitado, a respectiva documentação atualizada.</w:t>
      </w:r>
    </w:p>
    <w:p>
      <w:pPr>
        <w:pStyle w:val="Nivel3"/>
        <w:numPr>
          <w:ilvl w:val="2"/>
          <w:numId w:val="1"/>
        </w:numPr>
        <w:ind w:hanging="0" w:left="284"/>
        <w:rPr/>
      </w:pPr>
      <w:r>
        <w:rPr/>
        <w:t>O descumprimento do subitem acima implicará a inabilitação do fornecedor, exceto se a consulta aos sítios eletrônicos oficiais emissores de certidões lograr êxito em encontrar a(s) certidão(ões) válida(s).</w:t>
      </w:r>
    </w:p>
    <w:p>
      <w:pPr>
        <w:pStyle w:val="Nivel2"/>
        <w:numPr>
          <w:ilvl w:val="1"/>
          <w:numId w:val="1"/>
        </w:numPr>
        <w:ind w:hanging="0" w:left="0"/>
        <w:rPr/>
      </w:pPr>
      <w:r>
        <w:rPr/>
        <w:t>Quando permitida a participação de empresas estrangeiras que não funcionem no País, as exigências de habilitação serão atendidas mediante documentos equivalentes, inicialmente apresentados em tradução livre.</w:t>
      </w:r>
    </w:p>
    <w:p>
      <w:pPr>
        <w:pStyle w:val="Nivel2"/>
        <w:numPr>
          <w:ilvl w:val="1"/>
          <w:numId w:val="1"/>
        </w:numPr>
        <w:ind w:hanging="0" w:left="0"/>
        <w:rPr/>
      </w:pPr>
      <w:r>
        <w:rPr/>
        <w:t>Na hipótese de o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pPr>
        <w:pStyle w:val="Nivel2"/>
        <w:numPr>
          <w:ilvl w:val="1"/>
          <w:numId w:val="1"/>
        </w:numPr>
        <w:ind w:hanging="0" w:left="0"/>
        <w:rPr/>
      </w:pPr>
      <w:r>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pPr>
        <w:pStyle w:val="Nvel3-R"/>
        <w:numPr>
          <w:ilvl w:val="2"/>
          <w:numId w:val="1"/>
        </w:numPr>
        <w:ind w:hanging="0" w:left="284"/>
        <w:rPr>
          <w:color w:val="111111"/>
          <w:highlight w:val="none"/>
          <w:shd w:fill="CCCCCC" w:val="clear"/>
        </w:rPr>
      </w:pPr>
      <w:r>
        <w:rPr>
          <w:color w:val="111111"/>
          <w:shd w:fill="CCCCCC" w:val="clear"/>
        </w:rPr>
        <w:t>Se o consórcio não for formado integralmente por microempresas ou empresas de pequeno porte e o Termo de Referência exigir requisitos de habilitação econômico-financeira, haverá um acréscimo de  30 %, SALVO SE HOUVER JUSTIFICATIVA NOS AUTOS PARA SUPRIMIR ESSE ACRÉSCIMO para o consórcio em relação ao valor exigido para os fornecedores individuais.</w:t>
      </w:r>
    </w:p>
    <w:p>
      <w:pPr>
        <w:pStyle w:val="Nivel2"/>
        <w:numPr>
          <w:ilvl w:val="1"/>
          <w:numId w:val="1"/>
        </w:numPr>
        <w:ind w:hanging="0" w:left="0"/>
        <w:rPr/>
      </w:pPr>
      <w:r>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de </w:t>
      </w:r>
      <w:r>
        <w:rPr>
          <w:rFonts w:eastAsia="Arial"/>
          <w:b/>
          <w:color w:val="111111"/>
          <w:shd w:fill="CCCCCC" w:val="clear"/>
        </w:rPr>
        <w:t>2</w:t>
      </w:r>
      <w:r>
        <w:rPr>
          <w:rFonts w:eastAsia="Arial"/>
          <w:color w:val="111111"/>
          <w:shd w:fill="CCCCCC" w:val="clear"/>
        </w:rPr>
        <w:t xml:space="preserve"> ( duas</w:t>
      </w:r>
      <w:r>
        <w:rPr>
          <w:rFonts w:eastAsia="Arial"/>
          <w:shd w:fill="CCCCCC" w:val="clear"/>
        </w:rPr>
        <w:t>)</w:t>
      </w:r>
      <w:r>
        <w:rPr>
          <w:iCs/>
        </w:rPr>
        <w:t xml:space="preserve"> horas</w:t>
      </w:r>
      <w:r>
        <w:rPr/>
        <w:t>, sob pena de inabilitação.</w:t>
      </w:r>
    </w:p>
    <w:p>
      <w:pPr>
        <w:pStyle w:val="Nivel2"/>
        <w:numPr>
          <w:ilvl w:val="1"/>
          <w:numId w:val="1"/>
        </w:numPr>
        <w:ind w:hanging="0" w:left="0"/>
        <w:rPr>
          <w:b/>
        </w:rPr>
      </w:pPr>
      <w:r>
        <w:rPr/>
        <w:t>Somente haverá a necessidade de comprovação do preenchimento de requisitos mediante apresentação dos documentos originais não-digitais quando houver dúvida em relação à integridade do documento digital.</w:t>
      </w:r>
    </w:p>
    <w:p>
      <w:pPr>
        <w:pStyle w:val="Nivel2"/>
        <w:numPr>
          <w:ilvl w:val="1"/>
          <w:numId w:val="1"/>
        </w:numPr>
        <w:ind w:hanging="0" w:left="0"/>
        <w:rPr/>
      </w:pPr>
      <w:r>
        <w:rPr/>
        <w:t>Não serão aceitos documentos de habilitação com indicação de CNPJ/CPF diferentes, salvo aqueles legalmente permitidos.</w:t>
      </w:r>
    </w:p>
    <w:p>
      <w:pPr>
        <w:pStyle w:val="Nivel2"/>
        <w:numPr>
          <w:ilvl w:val="1"/>
          <w:numId w:val="1"/>
        </w:numPr>
        <w:ind w:hanging="0" w:left="0"/>
        <w:rPr/>
      </w:pPr>
      <w:r>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pPr>
        <w:pStyle w:val="Nivel2"/>
        <w:numPr>
          <w:ilvl w:val="1"/>
          <w:numId w:val="1"/>
        </w:numPr>
        <w:ind w:hanging="0" w:left="0"/>
        <w:rPr/>
      </w:pPr>
      <w:r>
        <w:rPr/>
        <w:t>Serão aceitos registros de CNPJ de fornecedor matriz e filial com diferenças de números de documentos pertinentes ao CND e ao CRF/FGTS, quando for comprovada a centralização do recolhimento dessas contribuições.</w:t>
      </w:r>
    </w:p>
    <w:p>
      <w:pPr>
        <w:pStyle w:val="Nivel2"/>
        <w:numPr>
          <w:ilvl w:val="1"/>
          <w:numId w:val="1"/>
        </w:numPr>
        <w:ind w:hanging="0" w:left="0"/>
        <w:rPr/>
      </w:pPr>
      <w:r>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pPr>
        <w:pStyle w:val="Nvel3-R"/>
        <w:numPr>
          <w:ilvl w:val="2"/>
          <w:numId w:val="1"/>
        </w:numPr>
        <w:ind w:hanging="0" w:left="284"/>
        <w:rPr>
          <w:color w:val="111111"/>
          <w:highlight w:val="none"/>
          <w:shd w:fill="CCCCCC" w:val="clear"/>
        </w:rPr>
      </w:pPr>
      <w:r>
        <w:rPr>
          <w:color w:val="111111"/>
          <w:shd w:fill="CCCCCC" w:val="clear"/>
        </w:rPr>
        <w:t>Não havendo a comprovação cumulativa dos requisitos de habilitação, a inabilitação recairá sobre o(s) item(ns) de menor(es) valor(es) cuja retirada(s) seja(m) suficiente(s) para a habilitação do fornecedor nos remanescentes.</w:t>
      </w:r>
    </w:p>
    <w:p>
      <w:pPr>
        <w:pStyle w:val="Nivel2"/>
        <w:numPr>
          <w:ilvl w:val="1"/>
          <w:numId w:val="1"/>
        </w:numPr>
        <w:ind w:hanging="0" w:left="0"/>
        <w:rPr/>
      </w:pPr>
      <w:r>
        <w:rPr/>
        <w:t xml:space="preserve">Havendo </w:t>
      </w:r>
      <w:r>
        <w:rPr>
          <w:iCs/>
        </w:rPr>
        <w:t>necessidade</w:t>
      </w:r>
      <w:r>
        <w:rPr/>
        <w:t xml:space="preserve"> de analisar minuciosamente os documentos exigidos, a sessão será suspensa, sendo informada a nova data e horário para a sua continuidade.</w:t>
      </w:r>
    </w:p>
    <w:p>
      <w:pPr>
        <w:pStyle w:val="Nivel2"/>
        <w:numPr>
          <w:ilvl w:val="1"/>
          <w:numId w:val="1"/>
        </w:numPr>
        <w:ind w:hanging="0" w:left="0"/>
        <w:rPr/>
      </w:pPr>
      <w:r>
        <w:rPr/>
        <w:t xml:space="preserve">Será inabilitado o fornecedor que não comprovar sua habilitação, seja por não apresentar </w:t>
      </w:r>
      <w:r>
        <w:rPr>
          <w:iCs/>
        </w:rPr>
        <w:t>quaisquer</w:t>
      </w:r>
      <w:r>
        <w:rPr/>
        <w:t xml:space="preserve"> dos documentos exigidos, ou apresentá-los em desacordo com o estabelecido neste Aviso de Contratação Direta.</w:t>
      </w:r>
    </w:p>
    <w:p>
      <w:pPr>
        <w:pStyle w:val="Nivel3"/>
        <w:numPr>
          <w:ilvl w:val="2"/>
          <w:numId w:val="1"/>
        </w:numPr>
        <w:ind w:hanging="0" w:left="284"/>
        <w:rPr/>
      </w:pPr>
      <w:r>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Nivel2"/>
        <w:numPr>
          <w:ilvl w:val="1"/>
          <w:numId w:val="1"/>
        </w:numPr>
        <w:ind w:hanging="0" w:left="0"/>
        <w:rPr/>
      </w:pPr>
      <w:r>
        <w:rPr/>
        <w:t>Constatado o atendimento às exigências de habilitação, o fornecedor será habilitado.</w:t>
      </w:r>
    </w:p>
    <w:p>
      <w:pPr>
        <w:pStyle w:val="Nivel01"/>
        <w:numPr>
          <w:ilvl w:val="0"/>
          <w:numId w:val="1"/>
        </w:numPr>
        <w:spacing w:before="288" w:after="288"/>
        <w:ind w:hanging="357" w:left="357"/>
        <w:rPr>
          <w:highlight w:val="none"/>
          <w:shd w:fill="CCCCCC" w:val="clear"/>
        </w:rPr>
      </w:pPr>
      <w:bookmarkStart w:id="20" w:name="_Toc226962644"/>
      <w:r>
        <w:rPr>
          <w:shd w:fill="CCCCCC" w:val="clear"/>
        </w:rPr>
        <w:t xml:space="preserve">DA </w:t>
      </w:r>
      <w:bookmarkStart w:id="21" w:name="_Toc142925867"/>
      <w:r>
        <w:rPr>
          <w:shd w:fill="CCCCCC" w:val="clear"/>
        </w:rPr>
        <w:t>ATA DE REGISTRO DE PREÇOS</w:t>
      </w:r>
      <w:bookmarkEnd w:id="20"/>
      <w:bookmarkEnd w:id="21"/>
    </w:p>
    <w:p>
      <w:pPr>
        <w:pStyle w:val="Nivel2"/>
        <w:numPr>
          <w:ilvl w:val="1"/>
          <w:numId w:val="1"/>
        </w:numPr>
        <w:ind w:hanging="0" w:left="0"/>
        <w:rPr>
          <w:highlight w:val="none"/>
          <w:shd w:fill="CCCCCC" w:val="clear"/>
        </w:rPr>
      </w:pPr>
      <w:r>
        <w:rPr>
          <w:shd w:fill="CCCCCC" w:val="clear"/>
        </w:rPr>
        <w:t xml:space="preserve">Homologado o resultado do procedimento, o fornecedor mais bem classificado terá o prazo de </w:t>
      </w:r>
      <w:r>
        <w:rPr>
          <w:rFonts w:eastAsia="Arial"/>
          <w:b/>
          <w:color w:val="EE0000"/>
          <w:shd w:fill="CCCCCC" w:val="clear"/>
        </w:rPr>
        <w:t>30</w:t>
      </w:r>
      <w:r>
        <w:rPr>
          <w:rFonts w:eastAsia="Arial"/>
          <w:color w:val="EE0000"/>
          <w:shd w:fill="CCCCCC" w:val="clear"/>
        </w:rPr>
        <w:t xml:space="preserve"> </w:t>
      </w:r>
      <w:r>
        <w:rPr>
          <w:rFonts w:eastAsia="Arial"/>
          <w:shd w:fill="CCCCCC" w:val="clear"/>
        </w:rPr>
        <w:t>(trinta)</w:t>
      </w:r>
      <w:r>
        <w:rPr>
          <w:iCs/>
          <w:shd w:fill="CCCCCC" w:val="clear"/>
        </w:rPr>
        <w:t xml:space="preserve"> dias</w:t>
      </w:r>
      <w:r>
        <w:rPr>
          <w:shd w:fill="CCCCCC" w:val="clear"/>
        </w:rPr>
        <w:t xml:space="preserve">, contados a partir da data de sua convocação, para assinar a Ata de Registro de Preços, cujo prazo de validade encontra-se nela fixado, sob pena de decadência do direito à contratação, sem prejuízo das sanções previstas na Lei nº 14.133, de 2021. </w:t>
      </w:r>
    </w:p>
    <w:p>
      <w:pPr>
        <w:pStyle w:val="Nivel2"/>
        <w:numPr>
          <w:ilvl w:val="1"/>
          <w:numId w:val="1"/>
        </w:numPr>
        <w:ind w:hanging="0" w:left="0"/>
        <w:rPr>
          <w:highlight w:val="none"/>
          <w:shd w:fill="CCCCCC" w:val="clear"/>
        </w:rPr>
      </w:pPr>
      <w:r>
        <w:rPr>
          <w:shd w:fill="CCCCCC" w:val="clear"/>
        </w:rPr>
        <w:t>O prazo de convocação poderá ser prorrogado uma vez, por igual período, mediante solicitação do fornecedor mais bem classificado ou convocado, desde que:</w:t>
      </w:r>
    </w:p>
    <w:p>
      <w:pPr>
        <w:pStyle w:val="Nivel3"/>
        <w:numPr>
          <w:ilvl w:val="2"/>
          <w:numId w:val="1"/>
        </w:numPr>
        <w:ind w:hanging="0" w:left="284"/>
        <w:rPr>
          <w:highlight w:val="none"/>
          <w:shd w:fill="CCCCCC" w:val="clear"/>
        </w:rPr>
      </w:pPr>
      <w:r>
        <w:rPr>
          <w:shd w:fill="CCCCCC" w:val="clear"/>
        </w:rPr>
        <w:t>a solicitação seja devidamente justificada e apresentada dentro do prazo; e</w:t>
      </w:r>
    </w:p>
    <w:p>
      <w:pPr>
        <w:pStyle w:val="Nivel3"/>
        <w:numPr>
          <w:ilvl w:val="2"/>
          <w:numId w:val="1"/>
        </w:numPr>
        <w:ind w:hanging="0" w:left="284"/>
        <w:rPr>
          <w:highlight w:val="none"/>
          <w:shd w:fill="CCCCCC" w:val="clear"/>
        </w:rPr>
      </w:pPr>
      <w:r>
        <w:rPr>
          <w:shd w:fill="CCCCCC" w:val="clear"/>
        </w:rPr>
        <w:t>a justificativa apresentada seja aceita pela Administração.</w:t>
      </w:r>
    </w:p>
    <w:p>
      <w:pPr>
        <w:pStyle w:val="Nivel2"/>
        <w:numPr>
          <w:ilvl w:val="1"/>
          <w:numId w:val="1"/>
        </w:numPr>
        <w:ind w:hanging="0" w:left="0"/>
        <w:rPr>
          <w:highlight w:val="none"/>
          <w:shd w:fill="CCCCCC" w:val="clear"/>
        </w:rPr>
      </w:pPr>
      <w:r>
        <w:rPr>
          <w:shd w:fill="CCCCCC" w:val="clear"/>
        </w:rPr>
        <w:t>A ata de registro de preços será assinada por meio de assinatura digital e disponibilizada no sistema de registro de preços.</w:t>
      </w:r>
    </w:p>
    <w:p>
      <w:pPr>
        <w:pStyle w:val="Nivel2"/>
        <w:numPr>
          <w:ilvl w:val="1"/>
          <w:numId w:val="1"/>
        </w:numPr>
        <w:ind w:hanging="0" w:left="0"/>
        <w:rPr>
          <w:highlight w:val="none"/>
          <w:shd w:fill="CCCCCC" w:val="clear"/>
        </w:rPr>
      </w:pPr>
      <w:r>
        <w:rPr>
          <w:shd w:fill="CCCCCC" w:val="clear"/>
        </w:rPr>
        <w:t>Serão formalizadas tantas Atas de Registro de Preços quantas forem necessárias para o registro de todos os itens constantes no Termo de Referência, com a indicação do fornecedor vencedor, a descrição do(s) item(ns), as respectivas quantidades, preços registrados e demais condições.</w:t>
      </w:r>
    </w:p>
    <w:p>
      <w:pPr>
        <w:pStyle w:val="Nivel2"/>
        <w:numPr>
          <w:ilvl w:val="1"/>
          <w:numId w:val="1"/>
        </w:numPr>
        <w:ind w:hanging="0" w:left="0"/>
        <w:rPr>
          <w:highlight w:val="none"/>
          <w:shd w:fill="CCCCCC" w:val="clear"/>
        </w:rPr>
      </w:pPr>
      <w:r>
        <w:rPr>
          <w:shd w:fill="CCCCCC" w:val="clear"/>
        </w:rPr>
        <w:t>O preço registrado, com a indicação dos fornecedores, será divulgado no PNCP e disponibilizado durante a vigência da ata de registro de preços.</w:t>
      </w:r>
    </w:p>
    <w:p>
      <w:pPr>
        <w:pStyle w:val="Nivel2"/>
        <w:numPr>
          <w:ilvl w:val="1"/>
          <w:numId w:val="1"/>
        </w:numPr>
        <w:ind w:hanging="0" w:left="0"/>
        <w:rPr>
          <w:highlight w:val="none"/>
          <w:shd w:fill="CCCCCC" w:val="clear"/>
        </w:rPr>
      </w:pPr>
      <w:r>
        <w:rPr>
          <w:shd w:fill="CCCCCC" w:val="clear"/>
        </w:rPr>
        <w:t>A existência de preços registrados implicará compromisso de fornecimento nas condições estabelecidas, mas não obrigará a Administração a contratar, facultada a realização de contratação específica para a aquisição pretendida, desde que devidamente justificada.</w:t>
      </w:r>
    </w:p>
    <w:p>
      <w:pPr>
        <w:pStyle w:val="Nivel2"/>
        <w:numPr>
          <w:ilvl w:val="1"/>
          <w:numId w:val="1"/>
        </w:numPr>
        <w:ind w:hanging="0" w:left="0"/>
        <w:rPr>
          <w:highlight w:val="none"/>
          <w:shd w:fill="CCCCCC" w:val="clear"/>
        </w:rPr>
      </w:pPr>
      <w:r>
        <w:rPr>
          <w:shd w:fill="CCCCCC" w:val="clear"/>
        </w:rPr>
        <w:t>Na hipótese de o convocado não assinar a ata de registro de preços no prazo e nas condições estabelecidas, fica facultado à Administração convocar os fornecedores remanescentes do cadastro de reserva, na ordem de classificação, para fazê-lo em igual prazo e nas condições propostas pelo primeiro classificado.</w:t>
      </w:r>
    </w:p>
    <w:p>
      <w:pPr>
        <w:pStyle w:val="Nivel2"/>
        <w:numPr>
          <w:ilvl w:val="1"/>
          <w:numId w:val="1"/>
        </w:numPr>
        <w:ind w:hanging="0" w:left="0"/>
        <w:rPr>
          <w:highlight w:val="none"/>
          <w:shd w:fill="CCCCCC" w:val="clear"/>
        </w:rPr>
      </w:pPr>
      <w:r>
        <w:rPr>
          <w:shd w:fill="CCCCCC" w:val="clear"/>
        </w:rPr>
        <w:t>O prazo de vigência da ata de registro de preços será de 1 (um) ano e poderá ser prorrogado, por igual período, desde que comprovado o preço vantajoso.</w:t>
      </w:r>
    </w:p>
    <w:p>
      <w:pPr>
        <w:pStyle w:val="Nvel3-R"/>
        <w:numPr>
          <w:ilvl w:val="2"/>
          <w:numId w:val="1"/>
        </w:numPr>
        <w:ind w:hanging="0" w:left="284"/>
        <w:rPr>
          <w:color w:val="111111"/>
          <w:highlight w:val="none"/>
          <w:shd w:fill="CCCCCC" w:val="clear"/>
        </w:rPr>
      </w:pPr>
      <w:r>
        <w:rPr>
          <w:color w:val="111111"/>
          <w:shd w:fill="CCCCCC" w:val="clear"/>
        </w:rPr>
        <w:t xml:space="preserve">Em caso de prorrogação da ata, </w:t>
      </w:r>
      <w:r>
        <w:rPr>
          <w:b/>
          <w:bCs/>
          <w:color w:val="111111"/>
          <w:shd w:fill="CCCCCC" w:val="clear"/>
        </w:rPr>
        <w:t>[poderá] OU [não poderá]</w:t>
      </w:r>
      <w:r>
        <w:rPr>
          <w:color w:val="111111"/>
          <w:shd w:fill="CCCCCC" w:val="clear"/>
        </w:rPr>
        <w:t xml:space="preserve"> ser renovado o quantitativo originalmente registrado.</w:t>
      </w:r>
    </w:p>
    <w:p>
      <w:pPr>
        <w:pStyle w:val="Nivel01"/>
        <w:numPr>
          <w:ilvl w:val="0"/>
          <w:numId w:val="1"/>
        </w:numPr>
        <w:spacing w:before="288" w:after="288"/>
        <w:ind w:hanging="357" w:left="357"/>
        <w:rPr>
          <w:highlight w:val="none"/>
          <w:shd w:fill="CCCCCC" w:val="clear"/>
        </w:rPr>
      </w:pPr>
      <w:bookmarkStart w:id="22" w:name="_Toc226962645"/>
      <w:r>
        <w:rPr>
          <w:shd w:fill="CCCCCC" w:val="clear"/>
        </w:rPr>
        <w:t xml:space="preserve">DA </w:t>
      </w:r>
      <w:bookmarkStart w:id="23" w:name="_Toc142925868"/>
      <w:r>
        <w:rPr>
          <w:shd w:fill="CCCCCC" w:val="clear"/>
        </w:rPr>
        <w:t>FORMAÇÃO DO CADASTRO DE RESERVA</w:t>
      </w:r>
      <w:bookmarkEnd w:id="22"/>
      <w:bookmarkEnd w:id="23"/>
    </w:p>
    <w:p>
      <w:pPr>
        <w:pStyle w:val="Nivel2"/>
        <w:numPr>
          <w:ilvl w:val="1"/>
          <w:numId w:val="1"/>
        </w:numPr>
        <w:ind w:hanging="0" w:left="0"/>
        <w:rPr>
          <w:highlight w:val="none"/>
          <w:shd w:fill="CCCCCC" w:val="clear"/>
        </w:rPr>
      </w:pPr>
      <w:r>
        <w:rPr>
          <w:shd w:fill="CCCCCC" w:val="clear"/>
        </w:rPr>
        <w:t>Após a homologação do procedimento, será incluído na ata, na forma de anexo, o registro:</w:t>
      </w:r>
    </w:p>
    <w:p>
      <w:pPr>
        <w:pStyle w:val="Nivel3"/>
        <w:numPr>
          <w:ilvl w:val="2"/>
          <w:numId w:val="1"/>
        </w:numPr>
        <w:ind w:hanging="0" w:left="284"/>
        <w:rPr>
          <w:highlight w:val="none"/>
          <w:shd w:fill="CCCCCC" w:val="clear"/>
        </w:rPr>
      </w:pPr>
      <w:r>
        <w:rPr>
          <w:shd w:fill="CCCCCC" w:val="clear"/>
        </w:rPr>
        <w:t xml:space="preserve">dos fornecedores </w:t>
      </w:r>
      <w:bookmarkStart w:id="24" w:name="_Hlk132991372"/>
      <w:r>
        <w:rPr>
          <w:shd w:fill="CCCCCC" w:val="clear"/>
        </w:rPr>
        <w:t xml:space="preserve">que </w:t>
      </w:r>
      <w:bookmarkStart w:id="25" w:name="_Hlk132989696"/>
      <w:r>
        <w:rPr>
          <w:shd w:fill="CCCCCC" w:val="clear"/>
        </w:rPr>
        <w:t>aceitarem cotar o objeto com preço igual ao do adjudicatári</w:t>
      </w:r>
      <w:bookmarkEnd w:id="24"/>
      <w:r>
        <w:rPr>
          <w:shd w:fill="CCCCCC" w:val="clear"/>
        </w:rPr>
        <w:t>o</w:t>
      </w:r>
      <w:bookmarkEnd w:id="25"/>
      <w:r>
        <w:rPr>
          <w:shd w:fill="CCCCCC" w:val="clear"/>
        </w:rPr>
        <w:t>, observada a classificação no procedimento e excluído o percentual referente à margem de preferência, quando o objeto não atender aos requisitos previstos no art. 26 da Lei nº 14.133, de 2021; e</w:t>
      </w:r>
    </w:p>
    <w:p>
      <w:pPr>
        <w:pStyle w:val="Nivel3"/>
        <w:numPr>
          <w:ilvl w:val="2"/>
          <w:numId w:val="1"/>
        </w:numPr>
        <w:ind w:hanging="0" w:left="284"/>
        <w:rPr>
          <w:highlight w:val="none"/>
          <w:shd w:fill="CCCCCC" w:val="clear"/>
        </w:rPr>
      </w:pPr>
      <w:r>
        <w:rPr>
          <w:shd w:fill="CCCCCC" w:val="clear"/>
        </w:rPr>
        <w:t>dos fornecedores que mantiverem sua proposta original.</w:t>
      </w:r>
    </w:p>
    <w:p>
      <w:pPr>
        <w:pStyle w:val="Nivel2"/>
        <w:numPr>
          <w:ilvl w:val="1"/>
          <w:numId w:val="1"/>
        </w:numPr>
        <w:ind w:hanging="0" w:left="0"/>
        <w:rPr>
          <w:highlight w:val="none"/>
          <w:shd w:fill="CCCCCC" w:val="clear"/>
        </w:rPr>
      </w:pPr>
      <w:r>
        <w:rPr>
          <w:shd w:fill="CCCCCC" w:val="clear"/>
        </w:rPr>
        <w:t>Será respeitada, nas contratações, a ordem de classificação dos fornecedores registrados na ata.</w:t>
      </w:r>
    </w:p>
    <w:p>
      <w:pPr>
        <w:pStyle w:val="Nivel2"/>
        <w:numPr>
          <w:ilvl w:val="1"/>
          <w:numId w:val="1"/>
        </w:numPr>
        <w:ind w:hanging="0" w:left="0"/>
        <w:rPr>
          <w:highlight w:val="none"/>
          <w:shd w:fill="CCCCCC" w:val="clear"/>
        </w:rPr>
      </w:pPr>
      <w:r>
        <w:rPr>
          <w:shd w:fill="CCCCCC" w:val="clear"/>
        </w:rPr>
        <w:t>A apresentação de novas propostas na forma deste item não prejudicará o resultado do procedimento em relação ao fornecedor mais bem classificado.</w:t>
      </w:r>
    </w:p>
    <w:p>
      <w:pPr>
        <w:pStyle w:val="Nivel2"/>
        <w:numPr>
          <w:ilvl w:val="1"/>
          <w:numId w:val="1"/>
        </w:numPr>
        <w:ind w:hanging="0" w:left="0"/>
        <w:rPr/>
      </w:pPr>
      <w:r>
        <w:rPr/>
        <w:t>Para fins da ordem de classificação, os fornecedores que aceitarem cotar o objeto com preço igual ao do adjudicatário antecederão aqueles que mantiverem sua proposta original.</w:t>
      </w:r>
    </w:p>
    <w:p>
      <w:pPr>
        <w:pStyle w:val="Nivel2"/>
        <w:numPr>
          <w:ilvl w:val="1"/>
          <w:numId w:val="1"/>
        </w:numPr>
        <w:ind w:hanging="0" w:left="0"/>
        <w:rPr>
          <w:highlight w:val="none"/>
          <w:shd w:fill="CCCCCC" w:val="clear"/>
        </w:rPr>
      </w:pPr>
      <w:r>
        <w:rPr>
          <w:shd w:fill="CCCCCC" w:val="clear"/>
        </w:rPr>
        <w:t>A habilitação dos fornecedores que comporão o cadastro de reserva será efetuada quando houver necessidade de contratação dos fornecedores remanescentes, nas seguintes hipóteses:</w:t>
      </w:r>
    </w:p>
    <w:p>
      <w:pPr>
        <w:pStyle w:val="Nivel3"/>
        <w:numPr>
          <w:ilvl w:val="2"/>
          <w:numId w:val="1"/>
        </w:numPr>
        <w:ind w:hanging="0" w:left="284"/>
        <w:rPr>
          <w:highlight w:val="none"/>
          <w:shd w:fill="CCCCCC" w:val="clear"/>
        </w:rPr>
      </w:pPr>
      <w:r>
        <w:rPr>
          <w:shd w:fill="CCCCCC" w:val="clear"/>
        </w:rPr>
        <w:t>quando o adjudicatário não assinar a ata de registro de preços no prazo e nas condições estabelecidos no aviso de dispensa; ou</w:t>
      </w:r>
    </w:p>
    <w:p>
      <w:pPr>
        <w:pStyle w:val="Nivel3"/>
        <w:numPr>
          <w:ilvl w:val="2"/>
          <w:numId w:val="1"/>
        </w:numPr>
        <w:ind w:hanging="0" w:left="284"/>
        <w:rPr>
          <w:highlight w:val="none"/>
          <w:shd w:fill="CCCCCC" w:val="clear"/>
        </w:rPr>
      </w:pPr>
      <w:r>
        <w:rPr>
          <w:shd w:fill="CCCCCC" w:val="clear"/>
        </w:rPr>
        <w:t>quando houver o cancelamento do registro do fornecedor ou do registro de preços, nas hipóteses previstas nos arts. 28 e 29 do Decreto nº 11.462, de 2023.</w:t>
      </w:r>
    </w:p>
    <w:p>
      <w:pPr>
        <w:pStyle w:val="Nivel2"/>
        <w:numPr>
          <w:ilvl w:val="1"/>
          <w:numId w:val="1"/>
        </w:numPr>
        <w:ind w:hanging="0" w:left="0"/>
        <w:rPr>
          <w:highlight w:val="none"/>
          <w:shd w:fill="CCCCCC" w:val="clear"/>
        </w:rPr>
      </w:pPr>
      <w:r>
        <w:rPr>
          <w:shd w:fill="CCCCCC" w:val="clear"/>
        </w:rPr>
        <w:t>Na hipótese de nenhum dos fornecedores que aceitaram cotar o objeto com preço igual ao do adjudicatário concordar com a contratação nos termos em igual prazo e nas condições propostas pelo primeiro classificado, a Administração, observados o valor estimado e a sua eventual atualização na forma prevista no Termo de Referência, poderá:</w:t>
      </w:r>
    </w:p>
    <w:p>
      <w:pPr>
        <w:pStyle w:val="Nivel3"/>
        <w:numPr>
          <w:ilvl w:val="2"/>
          <w:numId w:val="1"/>
        </w:numPr>
        <w:ind w:hanging="0" w:left="284"/>
        <w:rPr>
          <w:highlight w:val="none"/>
          <w:shd w:fill="CCCCCC" w:val="clear"/>
        </w:rPr>
      </w:pPr>
      <w:r>
        <w:rPr>
          <w:shd w:fill="CCCCCC" w:val="clear"/>
        </w:rPr>
        <w:t>convocar os fornecedores que mantiveram sua proposta original para negociação, na ordem de classificação, com vistas à obtenção de preço melhor, mesmo que acima do preço do adjudicatário; ou</w:t>
      </w:r>
    </w:p>
    <w:p>
      <w:pPr>
        <w:pStyle w:val="Nivel3"/>
        <w:numPr>
          <w:ilvl w:val="2"/>
          <w:numId w:val="1"/>
        </w:numPr>
        <w:ind w:hanging="0" w:left="284"/>
        <w:rPr>
          <w:highlight w:val="none"/>
          <w:shd w:fill="CCCCCC" w:val="clear"/>
        </w:rPr>
      </w:pPr>
      <w:r>
        <w:rPr>
          <w:shd w:fill="CCCCCC" w:val="clear"/>
        </w:rPr>
        <w:t>adjudicar e firmar o contrato nas condições ofertadas pelos fornecedores remanescentes, observada a ordem de classificação, quando frustrada a negociação de melhor condição.</w:t>
      </w:r>
    </w:p>
    <w:p>
      <w:pPr>
        <w:pStyle w:val="Nivel01"/>
        <w:numPr>
          <w:ilvl w:val="0"/>
          <w:numId w:val="1"/>
        </w:numPr>
        <w:spacing w:before="288" w:after="288"/>
        <w:ind w:hanging="357" w:left="357"/>
        <w:rPr>
          <w:highlight w:val="none"/>
          <w:shd w:fill="CCCCCC" w:val="clear"/>
        </w:rPr>
      </w:pPr>
      <w:bookmarkStart w:id="26" w:name="_Toc226962646"/>
      <w:r>
        <w:rPr>
          <w:shd w:fill="CCCCCC" w:val="clear"/>
        </w:rPr>
        <w:t xml:space="preserve">DA </w:t>
      </w:r>
      <w:bookmarkStart w:id="27" w:name="_Toc142925869"/>
      <w:r>
        <w:rPr>
          <w:shd w:fill="CCCCCC" w:val="clear"/>
        </w:rPr>
        <w:t>CONTRATAÇÃO</w:t>
      </w:r>
      <w:bookmarkEnd w:id="26"/>
      <w:bookmarkEnd w:id="27"/>
    </w:p>
    <w:p>
      <w:pPr>
        <w:pStyle w:val="Nivel2"/>
        <w:numPr>
          <w:ilvl w:val="1"/>
          <w:numId w:val="1"/>
        </w:numPr>
        <w:ind w:hanging="0" w:left="0"/>
        <w:rPr>
          <w:rFonts w:eastAsia="Arial"/>
        </w:rPr>
      </w:pPr>
      <w:r>
        <w:rPr>
          <w:rFonts w:eastAsia="Arial"/>
        </w:rPr>
        <w:t>Após a homologação e adjudicação, caso se conclua pela contratação, será firmado Termo de Contrato ou emitido instrumento equivalente.</w:t>
      </w:r>
    </w:p>
    <w:p>
      <w:pPr>
        <w:pStyle w:val="Nvel2Misto"/>
        <w:numPr>
          <w:ilvl w:val="1"/>
          <w:numId w:val="1"/>
        </w:numPr>
        <w:ind w:hanging="0" w:left="0"/>
        <w:rPr/>
      </w:pPr>
      <w:r>
        <w:rPr/>
        <w:t xml:space="preserve">O adjudicatário terá o prazo de </w:t>
      </w:r>
      <w:r>
        <w:rPr>
          <w:b/>
        </w:rPr>
        <w:t>30</w:t>
      </w:r>
      <w:r>
        <w:rPr/>
        <w:t xml:space="preserve"> </w:t>
      </w:r>
      <w:r>
        <w:rPr>
          <w:color w:val="auto"/>
        </w:rPr>
        <w:t>(trinta)</w:t>
      </w:r>
      <w:r>
        <w:rPr>
          <w:iCs/>
          <w:color w:val="auto"/>
        </w:rPr>
        <w:t xml:space="preserve"> dias</w:t>
      </w:r>
      <w:r>
        <w:rPr>
          <w:iCs/>
        </w:rPr>
        <w:t xml:space="preserve"> úteis</w:t>
      </w:r>
      <w:r>
        <w:rPr/>
        <w:t xml:space="preserve">, contados a partir da data de sua convocação, para assinar o </w:t>
      </w:r>
      <w:r>
        <w:rPr>
          <w:color w:val="111111"/>
        </w:rPr>
        <w:t xml:space="preserve">Termo de Contrato </w:t>
      </w:r>
      <w:r>
        <w:rPr>
          <w:b/>
          <w:color w:val="111111"/>
          <w:u w:val="single"/>
        </w:rPr>
        <w:t>OU</w:t>
      </w:r>
      <w:r>
        <w:rPr>
          <w:b/>
          <w:color w:val="111111"/>
          <w:sz w:val="22"/>
          <w:szCs w:val="22"/>
          <w:u w:val="single"/>
        </w:rPr>
        <w:t xml:space="preserve"> </w:t>
      </w:r>
      <w:r>
        <w:rPr>
          <w:color w:val="111111"/>
        </w:rPr>
        <w:t>aceitar instrumento equivalente, conforme o caso (Nota de Empenho/Carta Contrato/Autorização),</w:t>
      </w:r>
      <w:r>
        <w:rPr/>
        <w:t xml:space="preserve"> sob pena de decair o direito à contratação, sem prejuízo das sanções previstas neste Aviso de Contratação Direta.</w:t>
      </w:r>
    </w:p>
    <w:p>
      <w:pPr>
        <w:pStyle w:val="Nivel3"/>
        <w:numPr>
          <w:ilvl w:val="2"/>
          <w:numId w:val="1"/>
        </w:numPr>
        <w:ind w:hanging="0" w:left="284"/>
        <w:rPr/>
      </w:pPr>
      <w:r>
        <w:rPr/>
        <w:t xml:space="preserve">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 prazo de </w:t>
      </w:r>
      <w:r>
        <w:rPr>
          <w:rFonts w:eastAsia="Arial"/>
          <w:b/>
          <w:bCs/>
          <w:color w:val="111111"/>
          <w:shd w:fill="CCCCCC" w:val="clear"/>
        </w:rPr>
        <w:t>7</w:t>
      </w:r>
      <w:r>
        <w:rPr>
          <w:rFonts w:eastAsia="Arial"/>
          <w:color w:val="111111"/>
          <w:shd w:fill="CCCCCC" w:val="clear"/>
        </w:rPr>
        <w:t xml:space="preserve"> (</w:t>
      </w:r>
      <w:r>
        <w:rPr>
          <w:rFonts w:eastAsia="Arial"/>
          <w:b/>
          <w:bCs/>
          <w:color w:val="111111"/>
          <w:shd w:fill="CCCCCC" w:val="clear"/>
        </w:rPr>
        <w:t>sete</w:t>
      </w:r>
      <w:r>
        <w:rPr>
          <w:rFonts w:eastAsia="Arial"/>
          <w:color w:val="111111"/>
          <w:shd w:fill="CCCCCC" w:val="clear"/>
        </w:rPr>
        <w:t>)</w:t>
      </w:r>
      <w:r>
        <w:rPr>
          <w:bCs/>
          <w:iCs/>
        </w:rPr>
        <w:t xml:space="preserve"> dias</w:t>
      </w:r>
      <w:r>
        <w:rPr/>
        <w:t>, a contar da data de seu recebimento ou da disponibilização do acesso ao sistema de processo eletrônico.</w:t>
      </w:r>
    </w:p>
    <w:p>
      <w:pPr>
        <w:pStyle w:val="Nivel3"/>
        <w:numPr>
          <w:ilvl w:val="2"/>
          <w:numId w:val="1"/>
        </w:numPr>
        <w:ind w:hanging="0" w:left="284"/>
        <w:rPr/>
      </w:pPr>
      <w:r>
        <w:rPr/>
        <w:t>O prazo previsto no subitem anterior poderá ser prorrogado, por igual período, por solicitação justificada do adjudicatário e aceita pela Administração.</w:t>
      </w:r>
    </w:p>
    <w:p>
      <w:pPr>
        <w:pStyle w:val="Nivel2"/>
        <w:numPr>
          <w:ilvl w:val="1"/>
          <w:numId w:val="1"/>
        </w:numPr>
        <w:ind w:hanging="0" w:left="0"/>
        <w:rPr/>
      </w:pPr>
      <w:r>
        <w:rPr/>
        <w:t>O Aceite da Nota de Empenho ou do instrumento equivalente, emitida ao fornecedor adjudicado, implica o reconhecimento de que:</w:t>
      </w:r>
    </w:p>
    <w:p>
      <w:pPr>
        <w:pStyle w:val="Nvel3-R"/>
        <w:numPr>
          <w:ilvl w:val="2"/>
          <w:numId w:val="1"/>
        </w:numPr>
        <w:ind w:hanging="0" w:left="284"/>
        <w:rPr/>
      </w:pPr>
      <w:r>
        <w:rPr>
          <w:rFonts w:eastAsia="Arial"/>
          <w:color w:val="111111"/>
          <w:shd w:fill="CCCCCC" w:val="clear"/>
        </w:rPr>
        <w:t xml:space="preserve">referida Nota está substituindo o contrato, aplicando-se à relação de negócios ali estabelecida as disposições da </w:t>
      </w:r>
      <w:hyperlink r:id="rId8">
        <w:r>
          <w:rPr>
            <w:rStyle w:val="Hyperlink"/>
            <w:rFonts w:eastAsia="Arial"/>
            <w:color w:val="111111"/>
            <w:u w:val="none"/>
            <w:shd w:fill="CCCCCC" w:val="clear"/>
          </w:rPr>
          <w:t>Lei nº 14.133, de 2021</w:t>
        </w:r>
      </w:hyperlink>
      <w:r>
        <w:rPr>
          <w:rFonts w:eastAsia="Arial"/>
          <w:color w:val="111111"/>
          <w:shd w:fill="CCCCCC" w:val="clear"/>
        </w:rPr>
        <w:t>;</w:t>
      </w:r>
    </w:p>
    <w:p>
      <w:pPr>
        <w:pStyle w:val="Nvel3-R"/>
        <w:numPr>
          <w:ilvl w:val="2"/>
          <w:numId w:val="1"/>
        </w:numPr>
        <w:ind w:hanging="0" w:left="284"/>
        <w:rPr>
          <w:color w:val="111111"/>
          <w:highlight w:val="none"/>
          <w:shd w:fill="CCCCCC" w:val="clear"/>
        </w:rPr>
      </w:pPr>
      <w:r>
        <w:rPr>
          <w:rFonts w:eastAsia="Arial"/>
          <w:color w:val="111111"/>
          <w:shd w:fill="CCCCCC" w:val="clear"/>
        </w:rPr>
        <w:t>a contratada se vincula à sua proposta e às previsões contidas no Aviso de Contratação Direta e seus anexos;</w:t>
      </w:r>
    </w:p>
    <w:p>
      <w:pPr>
        <w:pStyle w:val="Nvel3-R"/>
        <w:numPr>
          <w:ilvl w:val="2"/>
          <w:numId w:val="1"/>
        </w:numPr>
        <w:ind w:hanging="0" w:left="284"/>
        <w:rPr/>
      </w:pPr>
      <w:r>
        <w:rPr>
          <w:rFonts w:eastAsia="Arial"/>
          <w:color w:val="111111"/>
          <w:shd w:fill="CCCCCC" w:val="clear"/>
        </w:rPr>
        <w:t xml:space="preserve">a contratada reconhece que as hipóteses de rescisão são aquelas previstas nos </w:t>
      </w:r>
      <w:r>
        <w:fldChar w:fldCharType="begin"/>
      </w:r>
      <w:r>
        <w:rPr>
          <w:rStyle w:val="Hyperlink"/>
          <w:u w:val="none"/>
          <w:shd w:fill="CCCCCC" w:val="clear"/>
          <w:rFonts w:eastAsia="Arial"/>
          <w:color w:themeColor="hyperlink" w:val="111111"/>
        </w:rPr>
        <w:instrText xml:space="preserve"> HYPERLINK "http://www.planalto.gov.br/ccivil_03/_ato2019-2022/2021/lei/L14133.htm" \l "art137"</w:instrText>
      </w:r>
      <w:r>
        <w:rPr>
          <w:rStyle w:val="Hyperlink"/>
          <w:u w:val="none"/>
          <w:shd w:fill="CCCCCC" w:val="clear"/>
          <w:rFonts w:eastAsia="Arial"/>
          <w:color w:themeColor="hyperlink" w:val="111111"/>
        </w:rPr>
        <w:fldChar w:fldCharType="separate"/>
      </w:r>
      <w:r>
        <w:rPr>
          <w:rStyle w:val="Hyperlink"/>
          <w:rFonts w:eastAsia="Arial"/>
          <w:color w:themeColor="hyperlink" w:val="111111"/>
          <w:u w:val="none"/>
          <w:shd w:fill="CCCCCC" w:val="clear"/>
        </w:rPr>
        <w:t>arts. 137 e 138 da Lei nº 14.133, de 2021</w:t>
      </w:r>
      <w:r>
        <w:rPr>
          <w:rStyle w:val="Hyperlink"/>
          <w:u w:val="none"/>
          <w:shd w:fill="CCCCCC" w:val="clear"/>
          <w:rFonts w:eastAsia="Arial"/>
          <w:color w:themeColor="hyperlink" w:val="111111"/>
        </w:rPr>
        <w:fldChar w:fldCharType="end"/>
      </w:r>
      <w:r>
        <w:rPr>
          <w:color w:val="111111"/>
          <w:shd w:fill="CCCCCC" w:val="clear"/>
        </w:rPr>
        <w:t>,</w:t>
      </w:r>
      <w:r>
        <w:rPr>
          <w:rFonts w:eastAsia="Arial"/>
          <w:color w:val="111111"/>
          <w:shd w:fill="CCCCCC" w:val="clear"/>
        </w:rPr>
        <w:t xml:space="preserve"> e reconhece os direitos da Administração previstos nos </w:t>
      </w:r>
      <w:r>
        <w:fldChar w:fldCharType="begin"/>
      </w:r>
      <w:r>
        <w:rPr>
          <w:rStyle w:val="Hyperlink"/>
          <w:u w:val="none"/>
          <w:shd w:fill="CCCCCC" w:val="clear"/>
          <w:rFonts w:eastAsia="Arial"/>
          <w:color w:themeColor="hyperlink" w:val="111111"/>
        </w:rPr>
        <w:instrText xml:space="preserve"> HYPERLINK "http://www.planalto.gov.br/ccivil_03/_ato2019-2022/2021/lei/L14133.htm" \l "art137"</w:instrText>
      </w:r>
      <w:r>
        <w:rPr>
          <w:rStyle w:val="Hyperlink"/>
          <w:u w:val="none"/>
          <w:shd w:fill="CCCCCC" w:val="clear"/>
          <w:rFonts w:eastAsia="Arial"/>
          <w:color w:themeColor="hyperlink" w:val="111111"/>
        </w:rPr>
        <w:fldChar w:fldCharType="separate"/>
      </w:r>
      <w:r>
        <w:rPr>
          <w:rStyle w:val="Hyperlink"/>
          <w:rFonts w:eastAsia="Arial"/>
          <w:color w:themeColor="hyperlink" w:val="111111"/>
          <w:u w:val="none"/>
          <w:shd w:fill="CCCCCC" w:val="clear"/>
        </w:rPr>
        <w:t>arts. 137 a 139 da mesma Lei</w:t>
      </w:r>
      <w:r>
        <w:rPr>
          <w:rStyle w:val="Hyperlink"/>
          <w:u w:val="none"/>
          <w:shd w:fill="CCCCCC" w:val="clear"/>
          <w:rFonts w:eastAsia="Arial"/>
          <w:color w:themeColor="hyperlink" w:val="111111"/>
        </w:rPr>
        <w:fldChar w:fldCharType="end"/>
      </w:r>
      <w:r>
        <w:rPr>
          <w:rFonts w:eastAsia="Arial"/>
          <w:color w:val="111111"/>
          <w:shd w:fill="CCCCCC" w:val="clear"/>
        </w:rPr>
        <w:t>.</w:t>
      </w:r>
    </w:p>
    <w:p>
      <w:pPr>
        <w:pStyle w:val="Nivel2"/>
        <w:numPr>
          <w:ilvl w:val="1"/>
          <w:numId w:val="1"/>
        </w:numPr>
        <w:ind w:hanging="0" w:left="0"/>
        <w:rPr>
          <w:rFonts w:eastAsia="Arial"/>
        </w:rPr>
      </w:pPr>
      <w:r>
        <w:rPr>
          <w:rFonts w:eastAsia="Arial"/>
        </w:rPr>
        <w:t xml:space="preserve">O prazo de vigência da contratação é o estabelecido no Termo de Referência. </w:t>
      </w:r>
    </w:p>
    <w:p>
      <w:pPr>
        <w:pStyle w:val="Nivel2"/>
        <w:numPr>
          <w:ilvl w:val="1"/>
          <w:numId w:val="1"/>
        </w:numPr>
        <w:ind w:hanging="0" w:left="0"/>
        <w:rPr>
          <w:rFonts w:eastAsia="Arial"/>
        </w:rPr>
      </w:pPr>
      <w:r>
        <w:rPr/>
        <w:t>Na assinatura do contrato ou do instrumento equivalente será exigida a comprovação das condições de habilitação e contratação consignadas neste aviso, que deverão ser mantidas pelo fornecedor durante a vigência do contrato.</w:t>
      </w:r>
    </w:p>
    <w:p>
      <w:pPr>
        <w:pStyle w:val="Nivel01"/>
        <w:numPr>
          <w:ilvl w:val="0"/>
          <w:numId w:val="1"/>
        </w:numPr>
        <w:spacing w:before="288" w:after="288"/>
        <w:ind w:hanging="357" w:left="357"/>
        <w:rPr/>
      </w:pPr>
      <w:bookmarkStart w:id="28" w:name="_Toc226962647"/>
      <w:r>
        <w:rPr/>
        <w:t xml:space="preserve">DAS </w:t>
      </w:r>
      <w:bookmarkStart w:id="29" w:name="_Toc142925870"/>
      <w:r>
        <w:rPr/>
        <w:t>INFRAÇÕES E SANÇÕES ADMINISTRATIVAS</w:t>
      </w:r>
      <w:bookmarkEnd w:id="28"/>
      <w:bookmarkEnd w:id="29"/>
    </w:p>
    <w:p>
      <w:pPr>
        <w:pStyle w:val="Nivel2"/>
        <w:numPr>
          <w:ilvl w:val="1"/>
          <w:numId w:val="1"/>
        </w:numPr>
        <w:ind w:hanging="0" w:left="0"/>
        <w:rPr>
          <w:b/>
        </w:rPr>
      </w:pPr>
      <w:r>
        <w:rPr/>
        <w:t xml:space="preserve">Comete infração administrativa o fornecedor que praticar quaisquer das hipóteses previstas no </w:t>
      </w:r>
      <w:r>
        <w:fldChar w:fldCharType="begin"/>
      </w:r>
      <w:r>
        <w:rPr>
          <w:rStyle w:val="Hyperlink"/>
          <w:u w:val="none"/>
          <w:color w:themeColor="hyperlink" w:val="auto"/>
        </w:rPr>
        <w:instrText xml:space="preserve"> HYPERLINK "http://www.planalto.gov.br/ccivil_03/_ato2019-2022/2021/lei/L14133.htm" \l "art155"</w:instrText>
      </w:r>
      <w:r>
        <w:rPr>
          <w:rStyle w:val="Hyperlink"/>
          <w:u w:val="none"/>
          <w:color w:themeColor="hyperlink" w:val="auto"/>
        </w:rPr>
        <w:fldChar w:fldCharType="separate"/>
      </w:r>
      <w:r>
        <w:rPr>
          <w:rStyle w:val="Hyperlink"/>
          <w:color w:themeColor="hyperlink" w:val="auto"/>
          <w:u w:val="none"/>
        </w:rPr>
        <w:t>art. 155 da Lei nº 14.133, de 2021</w:t>
      </w:r>
      <w:r>
        <w:rPr>
          <w:rStyle w:val="Hyperlink"/>
          <w:u w:val="none"/>
          <w:color w:themeColor="hyperlink" w:val="auto"/>
        </w:rPr>
        <w:fldChar w:fldCharType="end"/>
      </w:r>
      <w:r>
        <w:rPr/>
        <w:t xml:space="preserve">, quais sejam: </w:t>
      </w:r>
    </w:p>
    <w:p>
      <w:pPr>
        <w:pStyle w:val="Nivel3"/>
        <w:numPr>
          <w:ilvl w:val="2"/>
          <w:numId w:val="1"/>
        </w:numPr>
        <w:ind w:hanging="0" w:left="284"/>
        <w:rPr/>
      </w:pPr>
      <w:bookmarkStart w:id="30" w:name="_Ref143509900"/>
      <w:r>
        <w:rPr/>
        <w:t>dar causa à inexecução parcial do contrato;</w:t>
      </w:r>
      <w:bookmarkEnd w:id="30"/>
    </w:p>
    <w:p>
      <w:pPr>
        <w:pStyle w:val="Nivel3"/>
        <w:numPr>
          <w:ilvl w:val="2"/>
          <w:numId w:val="1"/>
        </w:numPr>
        <w:ind w:hanging="0" w:left="284"/>
        <w:rPr/>
      </w:pPr>
      <w:bookmarkStart w:id="31" w:name="_Ref143510015"/>
      <w:r>
        <w:rPr/>
        <w:t>dar causa à inexecução parcial do contrato que cause grave dano à Administração, ao funcionamento dos serviços públicos ou ao interesse coletivo;</w:t>
      </w:r>
      <w:bookmarkEnd w:id="31"/>
    </w:p>
    <w:p>
      <w:pPr>
        <w:pStyle w:val="Nivel3"/>
        <w:numPr>
          <w:ilvl w:val="2"/>
          <w:numId w:val="1"/>
        </w:numPr>
        <w:ind w:hanging="0" w:left="284"/>
        <w:rPr/>
      </w:pPr>
      <w:r>
        <w:rPr/>
        <w:t>dar causa à inexecução total do contrato;</w:t>
      </w:r>
    </w:p>
    <w:p>
      <w:pPr>
        <w:pStyle w:val="Nivel3"/>
        <w:numPr>
          <w:ilvl w:val="2"/>
          <w:numId w:val="1"/>
        </w:numPr>
        <w:ind w:hanging="0" w:left="284"/>
        <w:rPr/>
      </w:pPr>
      <w:r>
        <w:rPr/>
        <w:t>deixar de entregar a documentação exigida para o certame;</w:t>
      </w:r>
    </w:p>
    <w:p>
      <w:pPr>
        <w:pStyle w:val="Nivel3"/>
        <w:numPr>
          <w:ilvl w:val="2"/>
          <w:numId w:val="1"/>
        </w:numPr>
        <w:ind w:hanging="0" w:left="284"/>
        <w:rPr/>
      </w:pPr>
      <w:r>
        <w:rPr/>
        <w:t>não manter a proposta, salvo em decorrência de fato superveniente devidamente justificado;</w:t>
      </w:r>
    </w:p>
    <w:p>
      <w:pPr>
        <w:pStyle w:val="Nivel3"/>
        <w:numPr>
          <w:ilvl w:val="2"/>
          <w:numId w:val="1"/>
        </w:numPr>
        <w:ind w:hanging="0" w:left="284"/>
        <w:rPr/>
      </w:pPr>
      <w:r>
        <w:rPr/>
        <w:t>não celebrar o contrato ou não entregar a documentação exigida para a contratação, quando convocado dentro do prazo de validade de sua proposta;</w:t>
      </w:r>
    </w:p>
    <w:p>
      <w:pPr>
        <w:pStyle w:val="Nivel3"/>
        <w:numPr>
          <w:ilvl w:val="2"/>
          <w:numId w:val="1"/>
        </w:numPr>
        <w:ind w:hanging="0" w:left="284"/>
        <w:rPr/>
      </w:pPr>
      <w:r>
        <w:rPr/>
        <w:t> </w:t>
      </w:r>
      <w:bookmarkStart w:id="32" w:name="_Ref143510046"/>
      <w:r>
        <w:rPr/>
        <w:t>ensejar o retardamento da execução ou da entrega do objeto da contratação direta sem motivo justificado;</w:t>
      </w:r>
      <w:bookmarkEnd w:id="32"/>
    </w:p>
    <w:p>
      <w:pPr>
        <w:pStyle w:val="Nivel3"/>
        <w:numPr>
          <w:ilvl w:val="2"/>
          <w:numId w:val="1"/>
        </w:numPr>
        <w:ind w:hanging="0" w:left="284"/>
        <w:rPr/>
      </w:pPr>
      <w:bookmarkStart w:id="33" w:name="_Ref143510088"/>
      <w:r>
        <w:rPr/>
        <w:t>apresentar declaração ou documentação falsa exigida para o certame ou prestar declaração falsa durante a dispensa eletrônica ou a execução do contrato;</w:t>
      </w:r>
      <w:bookmarkEnd w:id="33"/>
    </w:p>
    <w:p>
      <w:pPr>
        <w:pStyle w:val="Nivel3"/>
        <w:numPr>
          <w:ilvl w:val="2"/>
          <w:numId w:val="1"/>
        </w:numPr>
        <w:ind w:hanging="0" w:left="284"/>
        <w:rPr/>
      </w:pPr>
      <w:r>
        <w:rPr/>
        <w:t>fraudar a dispensa eletrônica ou praticar ato fraudulento na execução do contrato;</w:t>
      </w:r>
    </w:p>
    <w:p>
      <w:pPr>
        <w:pStyle w:val="Nivel3"/>
        <w:numPr>
          <w:ilvl w:val="2"/>
          <w:numId w:val="1"/>
        </w:numPr>
        <w:ind w:hanging="0" w:left="284"/>
        <w:rPr/>
      </w:pPr>
      <w:r>
        <w:rPr/>
        <w:t>comportar-se de modo inidôneo ou cometer fraude de qualquer natureza;</w:t>
      </w:r>
    </w:p>
    <w:p>
      <w:pPr>
        <w:pStyle w:val="Nivel4"/>
        <w:numPr>
          <w:ilvl w:val="3"/>
          <w:numId w:val="1"/>
        </w:numPr>
        <w:ind w:hanging="0" w:left="567"/>
        <w:rPr/>
      </w:pPr>
      <w:r>
        <w:rPr/>
        <w:t>Considera-se comportamento inidôneo, entre outros, a declaração falsa quanto às condições de participação, quanto ao enquadramento como ME/EPP ou o conluio entre os fornecedores, em qualquer momento da dispensa, mesmo após o encerramento da fase de lances.</w:t>
      </w:r>
    </w:p>
    <w:p>
      <w:pPr>
        <w:pStyle w:val="Nivel3"/>
        <w:numPr>
          <w:ilvl w:val="2"/>
          <w:numId w:val="1"/>
        </w:numPr>
        <w:ind w:hanging="0" w:left="284"/>
        <w:rPr/>
      </w:pPr>
      <w:r>
        <w:rPr/>
        <w:t>praticar atos ilícitos com vistas a frustrar os objetivos deste certame; e</w:t>
      </w:r>
    </w:p>
    <w:p>
      <w:pPr>
        <w:pStyle w:val="Nivel3"/>
        <w:numPr>
          <w:ilvl w:val="2"/>
          <w:numId w:val="1"/>
        </w:numPr>
        <w:ind w:hanging="0" w:left="284"/>
        <w:rPr>
          <w:rStyle w:val="Hyperlink"/>
          <w:color w:val="auto"/>
          <w:u w:val="none"/>
        </w:rPr>
      </w:pPr>
      <w:bookmarkStart w:id="34" w:name="_Ref143509952"/>
      <w:bookmarkEnd w:id="34"/>
      <w:r>
        <w:rPr/>
        <w:t>praticar ato lesivo previsto no </w:t>
      </w:r>
      <w:r>
        <w:fldChar w:fldCharType="begin"/>
      </w:r>
      <w:r>
        <w:rPr>
          <w:rStyle w:val="Hyperlink"/>
          <w:u w:val="none"/>
          <w:color w:themeColor="hyperlink" w:val="auto"/>
        </w:rPr>
        <w:instrText xml:space="preserve"> HYPERLINK "http://www.planalto.gov.br/ccivil_03/_ato2019-2022/2021/lei/L14133.htm" \l "art5"</w:instrText>
      </w:r>
      <w:r>
        <w:rPr>
          <w:rStyle w:val="Hyperlink"/>
          <w:u w:val="none"/>
          <w:color w:themeColor="hyperlink" w:val="auto"/>
        </w:rPr>
        <w:fldChar w:fldCharType="separate"/>
      </w:r>
      <w:r>
        <w:rPr>
          <w:rStyle w:val="Hyperlink"/>
          <w:color w:themeColor="hyperlink" w:val="auto"/>
          <w:u w:val="none"/>
        </w:rPr>
        <w:t>art. 5º da Lei nº 12.846, de 1º de agosto de 2013.</w:t>
      </w:r>
      <w:r>
        <w:rPr>
          <w:rStyle w:val="Hyperlink"/>
          <w:u w:val="none"/>
          <w:color w:themeColor="hyperlink" w:val="auto"/>
        </w:rPr>
        <w:fldChar w:fldCharType="end"/>
      </w:r>
    </w:p>
    <w:p>
      <w:pPr>
        <w:pStyle w:val="Nivel3"/>
        <w:numPr>
          <w:ilvl w:val="2"/>
          <w:numId w:val="1"/>
        </w:numPr>
        <w:ind w:hanging="0" w:left="284"/>
        <w:rPr>
          <w:b/>
        </w:rPr>
      </w:pPr>
      <w:r>
        <w:fldChar w:fldCharType="begin"/>
      </w:r>
      <w:r>
        <w:rPr>
          <w:rStyle w:val="ListLabel4"/>
        </w:rPr>
        <w:instrText xml:space="preserve"> HYPERLINK "http://www.planalto.gov.br/ccivil_03/_ato2019-2022/2021/lei/L14133.htm" \l "art5"</w:instrText>
      </w:r>
      <w:r>
        <w:rPr>
          <w:rStyle w:val="ListLabel4"/>
        </w:rPr>
        <w:fldChar w:fldCharType="separate"/>
      </w:r>
      <w:bookmarkStart w:id="35" w:name="_Ref143509952_Copia_1"/>
      <w:bookmarkEnd w:id="35"/>
      <w:r>
        <w:rPr>
          <w:rStyle w:val="ListLabel4"/>
        </w:rPr>
        <w:t>O fornecedor que cometer qualquer das infrações discriminadas nos subitens anteriores ficará sujeito, sem prejuízo da responsabilidade civil e criminal, às seguintes sanções:</w:t>
      </w:r>
      <w:r>
        <w:rPr>
          <w:rStyle w:val="ListLabel4"/>
        </w:rPr>
        <w:fldChar w:fldCharType="end"/>
      </w:r>
    </w:p>
    <w:p>
      <w:pPr>
        <w:pStyle w:val="Nivel3"/>
        <w:numPr>
          <w:ilvl w:val="2"/>
          <w:numId w:val="1"/>
        </w:numPr>
        <w:ind w:hanging="0" w:left="284"/>
        <w:rPr>
          <w:bCs/>
          <w:i/>
          <w:i/>
          <w:iCs/>
        </w:rPr>
      </w:pPr>
      <w:bookmarkStart w:id="36" w:name="_Hlk196926862"/>
      <w:r>
        <w:rPr/>
        <w:t xml:space="preserve">Advertência pela falta do subitem </w:t>
      </w:r>
      <w:r>
        <w:rPr>
          <w:i/>
          <w:iCs/>
        </w:rPr>
        <w:fldChar w:fldCharType="begin"/>
      </w:r>
      <w:r>
        <w:rPr>
          <w:i/>
          <w:iCs/>
        </w:rPr>
        <w:instrText xml:space="preserve"> REF _Ref143509900 \r \r \h </w:instrText>
      </w:r>
      <w:r>
        <w:rPr>
          <w:i/>
          <w:iCs/>
        </w:rPr>
        <w:fldChar w:fldCharType="separate"/>
      </w:r>
      <w:r>
        <w:rPr>
          <w:i/>
          <w:iCs/>
        </w:rPr>
        <w:t>11.1.1</w:t>
      </w:r>
      <w:r>
        <w:rPr>
          <w:i/>
          <w:iCs/>
        </w:rPr>
        <w:fldChar w:fldCharType="end"/>
      </w:r>
      <w:r>
        <w:rPr/>
        <w:t xml:space="preserve"> deste Aviso de Contratação Direta, quando não se justificar a imposição de penalidade mais grave;</w:t>
      </w:r>
      <w:bookmarkEnd w:id="36"/>
    </w:p>
    <w:p>
      <w:pPr>
        <w:pStyle w:val="Nivel3"/>
        <w:numPr>
          <w:ilvl w:val="2"/>
          <w:numId w:val="1"/>
        </w:numPr>
        <w:ind w:hanging="0" w:left="284"/>
        <w:rPr>
          <w:i/>
          <w:i/>
          <w:iCs/>
        </w:rPr>
      </w:pPr>
      <w:r>
        <w:rPr/>
        <w:t xml:space="preserve">Multa de 30 % (..... por cento) sobre o valor estimado do(s) item(s) prejudicado(s) pela conduta do fornecedor, por qualquer das infrações dos subitens </w:t>
      </w:r>
      <w:r>
        <w:rPr>
          <w:i/>
          <w:iCs/>
        </w:rPr>
        <w:fldChar w:fldCharType="begin"/>
      </w:r>
      <w:r>
        <w:rPr>
          <w:i/>
          <w:iCs/>
        </w:rPr>
        <w:instrText xml:space="preserve"> REF _Ref143509900 \r \r \h </w:instrText>
      </w:r>
      <w:r>
        <w:rPr>
          <w:i/>
          <w:iCs/>
        </w:rPr>
        <w:fldChar w:fldCharType="separate"/>
      </w:r>
      <w:r>
        <w:rPr>
          <w:i/>
          <w:iCs/>
        </w:rPr>
        <w:t>11.1.1</w:t>
      </w:r>
      <w:r>
        <w:rPr>
          <w:i/>
          <w:iCs/>
        </w:rPr>
        <w:fldChar w:fldCharType="end"/>
      </w:r>
      <w:r>
        <w:rPr/>
        <w:t xml:space="preserve"> a </w:t>
      </w:r>
      <w:r>
        <w:rPr>
          <w:i/>
          <w:iCs/>
        </w:rPr>
        <w:fldChar w:fldCharType="begin"/>
      </w:r>
      <w:r>
        <w:rPr>
          <w:i/>
          <w:iCs/>
        </w:rPr>
        <w:instrText xml:space="preserve"> REF _Ref143509952 \r \r \h </w:instrText>
      </w:r>
      <w:r>
        <w:rPr>
          <w:i/>
          <w:iCs/>
        </w:rPr>
        <w:fldChar w:fldCharType="separate"/>
      </w:r>
      <w:r>
        <w:rPr>
          <w:i/>
          <w:iCs/>
        </w:rPr>
        <w:t>11.1.12</w:t>
      </w:r>
      <w:r>
        <w:rPr>
          <w:i/>
          <w:iCs/>
        </w:rPr>
        <w:fldChar w:fldCharType="end"/>
      </w:r>
      <w:r>
        <w:rPr/>
        <w:t>;</w:t>
      </w:r>
    </w:p>
    <w:p>
      <w:pPr>
        <w:pStyle w:val="Nivel3"/>
        <w:numPr>
          <w:ilvl w:val="2"/>
          <w:numId w:val="1"/>
        </w:numPr>
        <w:ind w:hanging="0" w:left="284"/>
        <w:rPr>
          <w:i/>
          <w:i/>
          <w:iCs/>
        </w:rPr>
      </w:pPr>
      <w:r>
        <w:rPr/>
        <w:t xml:space="preserve">Impedimento de licitar e contratar no âmbito da Administração Pública direta e indireta do ente federativo que tiver aplicado a sanção, pelo prazo máximo de 3 (três) anos, nos casos dos subitens </w:t>
      </w:r>
      <w:r>
        <w:rPr>
          <w:i/>
          <w:iCs/>
        </w:rPr>
        <w:fldChar w:fldCharType="begin"/>
      </w:r>
      <w:r>
        <w:rPr>
          <w:i/>
          <w:iCs/>
        </w:rPr>
        <w:instrText xml:space="preserve"> REF _Ref143510015 \r \r \h </w:instrText>
      </w:r>
      <w:r>
        <w:rPr>
          <w:i/>
          <w:iCs/>
        </w:rPr>
        <w:fldChar w:fldCharType="separate"/>
      </w:r>
      <w:r>
        <w:rPr>
          <w:i/>
          <w:iCs/>
        </w:rPr>
        <w:t>11.1.2</w:t>
      </w:r>
      <w:r>
        <w:rPr>
          <w:i/>
          <w:iCs/>
        </w:rPr>
        <w:fldChar w:fldCharType="end"/>
      </w:r>
      <w:r>
        <w:rPr/>
        <w:t xml:space="preserve"> a </w:t>
      </w:r>
      <w:r>
        <w:rPr>
          <w:i/>
          <w:iCs/>
        </w:rPr>
        <w:fldChar w:fldCharType="begin"/>
      </w:r>
      <w:r>
        <w:rPr>
          <w:i/>
          <w:iCs/>
        </w:rPr>
        <w:instrText xml:space="preserve"> REF _Ref143510046 \r \r \h </w:instrText>
      </w:r>
      <w:r>
        <w:rPr>
          <w:i/>
          <w:iCs/>
        </w:rPr>
        <w:fldChar w:fldCharType="separate"/>
      </w:r>
      <w:r>
        <w:rPr>
          <w:i/>
          <w:iCs/>
        </w:rPr>
        <w:t>11.1.7</w:t>
      </w:r>
      <w:r>
        <w:rPr>
          <w:i/>
          <w:iCs/>
        </w:rPr>
        <w:fldChar w:fldCharType="end"/>
      </w:r>
      <w:r>
        <w:rPr/>
        <w:t xml:space="preserve"> deste Aviso de Contratação Direta, quando não se justificar a imposição de penalidade mais grave;</w:t>
      </w:r>
    </w:p>
    <w:p>
      <w:pPr>
        <w:pStyle w:val="Nivel3"/>
        <w:numPr>
          <w:ilvl w:val="2"/>
          <w:numId w:val="1"/>
        </w:numPr>
        <w:ind w:hanging="0" w:left="284"/>
        <w:rPr>
          <w:i/>
          <w:i/>
          <w:iCs/>
        </w:rPr>
      </w:pPr>
      <w:r>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Pr>
          <w:i/>
          <w:iCs/>
        </w:rPr>
        <w:fldChar w:fldCharType="begin"/>
      </w:r>
      <w:r>
        <w:rPr>
          <w:i/>
          <w:iCs/>
        </w:rPr>
        <w:instrText xml:space="preserve"> REF _Ref143510088 \r \r \h </w:instrText>
      </w:r>
      <w:r>
        <w:rPr>
          <w:i/>
          <w:iCs/>
        </w:rPr>
        <w:fldChar w:fldCharType="separate"/>
      </w:r>
      <w:r>
        <w:rPr>
          <w:i/>
          <w:iCs/>
        </w:rPr>
        <w:t>11.1.8</w:t>
      </w:r>
      <w:r>
        <w:rPr>
          <w:i/>
          <w:iCs/>
        </w:rPr>
        <w:fldChar w:fldCharType="end"/>
      </w:r>
      <w:r>
        <w:rPr/>
        <w:t xml:space="preserve"> a </w:t>
      </w:r>
      <w:r>
        <w:rPr>
          <w:i/>
          <w:iCs/>
        </w:rPr>
        <w:fldChar w:fldCharType="begin"/>
      </w:r>
      <w:r>
        <w:rPr>
          <w:i/>
          <w:iCs/>
        </w:rPr>
        <w:instrText xml:space="preserve"> REF _Ref143509952 \r \r \h </w:instrText>
      </w:r>
      <w:r>
        <w:rPr>
          <w:i/>
          <w:iCs/>
        </w:rPr>
        <w:fldChar w:fldCharType="separate"/>
      </w:r>
      <w:r>
        <w:rPr>
          <w:i/>
          <w:iCs/>
        </w:rPr>
        <w:t>11.1.12</w:t>
      </w:r>
      <w:r>
        <w:rPr>
          <w:i/>
          <w:iCs/>
        </w:rPr>
        <w:fldChar w:fldCharType="end"/>
      </w:r>
      <w:r>
        <w:rPr/>
        <w:t>, bem como nos demais casos que justifiquem a imposição da penalidade mais grave.</w:t>
      </w:r>
    </w:p>
    <w:p>
      <w:pPr>
        <w:pStyle w:val="Normal"/>
        <w:numPr>
          <w:ilvl w:val="1"/>
          <w:numId w:val="1"/>
        </w:numPr>
        <w:spacing w:lineRule="auto" w:line="276" w:before="120" w:after="120"/>
        <w:ind w:hanging="0" w:left="425"/>
        <w:jc w:val="both"/>
        <w:rPr>
          <w:rFonts w:cs="Arial"/>
          <w:bCs/>
          <w:strike/>
        </w:rPr>
      </w:pPr>
      <w:r>
        <w:rPr>
          <w:rFonts w:cs="Arial"/>
          <w:bCs/>
        </w:rPr>
        <w:t>A aplicação das sanções previstas neste Aviso de Contratação Direta não exclui, em hipótese alguma, a obrigação de reparação integral do dano causado à Contratante.</w:t>
      </w:r>
    </w:p>
    <w:p>
      <w:pPr>
        <w:pStyle w:val="Normal"/>
        <w:numPr>
          <w:ilvl w:val="1"/>
          <w:numId w:val="1"/>
        </w:numPr>
        <w:spacing w:lineRule="auto" w:line="276" w:before="120" w:after="120"/>
        <w:ind w:hanging="0" w:left="425"/>
        <w:jc w:val="both"/>
        <w:rPr>
          <w:rFonts w:cs="Arial"/>
          <w:bCs/>
        </w:rPr>
      </w:pPr>
      <w:r>
        <w:rPr>
          <w:rFonts w:cs="Arial"/>
          <w:bCs/>
        </w:rPr>
        <w:t>Todas as sanções previstas neste Aviso poderão ser aplicadas cumulativamente com a multa.</w:t>
      </w:r>
    </w:p>
    <w:p>
      <w:pPr>
        <w:pStyle w:val="Nivel2"/>
        <w:numPr>
          <w:ilvl w:val="1"/>
          <w:numId w:val="1"/>
        </w:numPr>
        <w:ind w:hanging="0" w:left="0"/>
        <w:rPr>
          <w:strike/>
        </w:rPr>
      </w:pPr>
      <w:r>
        <w:rPr/>
        <w:t>Antes da aplicação da multa, será facultada a defesa do interessado no prazo de 15 (quinze) dias úteis, contado da data de sua intimação.</w:t>
      </w:r>
    </w:p>
    <w:p>
      <w:pPr>
        <w:pStyle w:val="Nivel2"/>
        <w:numPr>
          <w:ilvl w:val="1"/>
          <w:numId w:val="1"/>
        </w:numPr>
        <w:ind w:hanging="0" w:left="0"/>
        <w:rPr>
          <w:strike/>
        </w:rPr>
      </w:pPr>
      <w:r>
        <w:rPr/>
        <w:t>Se a multa aplicada e as indenizações cabíveis forem superiores ao valor do pagamento eventualmente devido pelo Contratante ao Contratado, além da perda desse valor, a diferença será descontada da garantia prestada ou será cobrada judicialmente.</w:t>
      </w:r>
    </w:p>
    <w:p>
      <w:pPr>
        <w:pStyle w:val="Nivel2"/>
        <w:numPr>
          <w:ilvl w:val="1"/>
          <w:numId w:val="1"/>
        </w:numPr>
        <w:ind w:hanging="0" w:left="0"/>
        <w:rPr/>
      </w:pPr>
      <w:r>
        <w:rPr/>
        <w:t xml:space="preserve">Previamente ao encaminhamento à cobrança judicial, a multa poderá ser recolhida administrativamente no prazo máximo de </w:t>
      </w:r>
      <w:r>
        <w:rPr>
          <w:rFonts w:eastAsia="Arial"/>
          <w:b/>
          <w:color w:val="111111"/>
          <w:shd w:fill="CCCCCC" w:val="clear"/>
        </w:rPr>
        <w:t>30</w:t>
      </w:r>
      <w:r>
        <w:rPr>
          <w:rFonts w:eastAsia="Arial"/>
          <w:color w:val="111111"/>
          <w:shd w:fill="CCCCCC" w:val="clear"/>
        </w:rPr>
        <w:t xml:space="preserve"> (</w:t>
      </w:r>
      <w:r>
        <w:rPr>
          <w:rFonts w:eastAsia="Arial"/>
          <w:b/>
          <w:color w:val="111111"/>
          <w:shd w:fill="CCCCCC" w:val="clear"/>
        </w:rPr>
        <w:t>trinta</w:t>
      </w:r>
      <w:r>
        <w:rPr>
          <w:rFonts w:eastAsia="Arial"/>
        </w:rPr>
        <w:t>)</w:t>
      </w:r>
      <w:r>
        <w:rPr>
          <w:iCs/>
        </w:rPr>
        <w:t xml:space="preserve"> dias</w:t>
      </w:r>
      <w:r>
        <w:rPr/>
        <w:t>, a contar da data do recebimento da comunicação enviada pela autoridade competente.</w:t>
      </w:r>
      <w:bookmarkStart w:id="37" w:name="_Hlk78351618"/>
      <w:bookmarkEnd w:id="37"/>
    </w:p>
    <w:p>
      <w:pPr>
        <w:pStyle w:val="Nivel2"/>
        <w:numPr>
          <w:ilvl w:val="1"/>
          <w:numId w:val="1"/>
        </w:numPr>
        <w:ind w:hanging="0" w:left="0"/>
        <w:rPr/>
      </w:pPr>
      <w:r>
        <w:rPr/>
        <w:t>A aplicação das sanções realizar-se-á em processo administrativo que assegure o contraditório e a ampla defesa ao Contratado, observando-se o procedimento previsto no caput</w:t>
      </w:r>
      <w:r>
        <w:rPr>
          <w:b/>
        </w:rPr>
        <w:t xml:space="preserve"> </w:t>
      </w:r>
      <w:r>
        <w:rPr/>
        <w:t xml:space="preserve">e parágrafos do </w:t>
      </w:r>
      <w:r>
        <w:fldChar w:fldCharType="begin"/>
      </w:r>
      <w:r>
        <w:rPr>
          <w:rStyle w:val="Hyperlink"/>
          <w:u w:val="none"/>
          <w:color w:themeColor="hyperlink" w:val="auto"/>
        </w:rPr>
        <w:instrText xml:space="preserve"> HYPERLINK "http://www.planalto.gov.br/ccivil_03/_ato2019-2022/2021/lei/L14133.htm" \l "art158"</w:instrText>
      </w:r>
      <w:r>
        <w:rPr>
          <w:rStyle w:val="Hyperlink"/>
          <w:u w:val="none"/>
          <w:color w:themeColor="hyperlink" w:val="auto"/>
        </w:rPr>
        <w:fldChar w:fldCharType="separate"/>
      </w:r>
      <w:r>
        <w:rPr>
          <w:rStyle w:val="Hyperlink"/>
          <w:color w:themeColor="hyperlink" w:val="auto"/>
          <w:u w:val="none"/>
        </w:rPr>
        <w:t>art. 158 da Lei nº 14.133, de 2021</w:t>
      </w:r>
      <w:r>
        <w:rPr>
          <w:rStyle w:val="Hyperlink"/>
          <w:u w:val="none"/>
          <w:color w:themeColor="hyperlink" w:val="auto"/>
        </w:rPr>
        <w:fldChar w:fldCharType="end"/>
      </w:r>
      <w:r>
        <w:rPr/>
        <w:t>, para as penalidades de impedimento de licitar e contratar e de declaração de inidoneidade para licitar ou contratar.</w:t>
      </w:r>
    </w:p>
    <w:p>
      <w:pPr>
        <w:pStyle w:val="Nivel2"/>
        <w:numPr>
          <w:ilvl w:val="1"/>
          <w:numId w:val="1"/>
        </w:numPr>
        <w:ind w:hanging="0" w:left="0"/>
        <w:rPr/>
      </w:pPr>
      <w:r>
        <w:rPr/>
        <w:t>Na aplicação das sanções serão considerados:</w:t>
      </w:r>
    </w:p>
    <w:p>
      <w:pPr>
        <w:pStyle w:val="Nivel3"/>
        <w:numPr>
          <w:ilvl w:val="2"/>
          <w:numId w:val="1"/>
        </w:numPr>
        <w:ind w:hanging="0" w:left="284"/>
        <w:rPr>
          <w:i/>
          <w:i/>
          <w:iCs/>
        </w:rPr>
      </w:pPr>
      <w:r>
        <w:rPr/>
        <w:t>a natureza e a gravidade da infração cometida;</w:t>
      </w:r>
    </w:p>
    <w:p>
      <w:pPr>
        <w:pStyle w:val="Nivel3"/>
        <w:numPr>
          <w:ilvl w:val="2"/>
          <w:numId w:val="1"/>
        </w:numPr>
        <w:ind w:hanging="0" w:left="284"/>
        <w:rPr>
          <w:i/>
          <w:i/>
          <w:iCs/>
        </w:rPr>
      </w:pPr>
      <w:r>
        <w:rPr/>
        <w:t>as peculiaridades do caso concreto;</w:t>
      </w:r>
    </w:p>
    <w:p>
      <w:pPr>
        <w:pStyle w:val="Nivel3"/>
        <w:numPr>
          <w:ilvl w:val="2"/>
          <w:numId w:val="1"/>
        </w:numPr>
        <w:ind w:hanging="0" w:left="284"/>
        <w:rPr>
          <w:i/>
          <w:i/>
          <w:iCs/>
        </w:rPr>
      </w:pPr>
      <w:r>
        <w:rPr/>
        <w:t>as circunstâncias agravantes ou atenuantes;</w:t>
      </w:r>
    </w:p>
    <w:p>
      <w:pPr>
        <w:pStyle w:val="Nivel3"/>
        <w:numPr>
          <w:ilvl w:val="2"/>
          <w:numId w:val="1"/>
        </w:numPr>
        <w:ind w:hanging="0" w:left="284"/>
        <w:rPr>
          <w:i/>
          <w:i/>
          <w:iCs/>
        </w:rPr>
      </w:pPr>
      <w:r>
        <w:rPr/>
        <w:t>os danos que dela provierem para o Contratante; e</w:t>
      </w:r>
    </w:p>
    <w:p>
      <w:pPr>
        <w:pStyle w:val="Nivel3"/>
        <w:numPr>
          <w:ilvl w:val="2"/>
          <w:numId w:val="1"/>
        </w:numPr>
        <w:ind w:hanging="0" w:left="284"/>
        <w:rPr>
          <w:i/>
          <w:i/>
          <w:iCs/>
        </w:rPr>
      </w:pPr>
      <w:r>
        <w:rPr/>
        <w:t>a implantação ou o aperfeiçoamento de programa de integridade, conforme normas e orientações dos órgãos de controle.</w:t>
      </w:r>
    </w:p>
    <w:p>
      <w:pPr>
        <w:pStyle w:val="Nivel2"/>
        <w:numPr>
          <w:ilvl w:val="1"/>
          <w:numId w:val="1"/>
        </w:numPr>
        <w:ind w:hanging="0" w:left="0"/>
        <w:rPr>
          <w:strike/>
        </w:rPr>
      </w:pPr>
      <w:r>
        <w:rPr/>
        <w:t xml:space="preserve">Os atos previstos como infrações administrativas na </w:t>
      </w:r>
      <w:hyperlink r:id="rId9">
        <w:r>
          <w:rPr>
            <w:rStyle w:val="Hyperlink"/>
            <w:color w:val="auto"/>
            <w:u w:val="none"/>
          </w:rPr>
          <w:t>Lei nº 14.133, de 2021</w:t>
        </w:r>
      </w:hyperlink>
      <w:r>
        <w:rPr/>
        <w:t xml:space="preserve">, ou em outras leis de licitações e contratos da Administração Pública que também sejam tipificados como atos lesivos na </w:t>
      </w:r>
      <w:hyperlink r:id="rId10">
        <w:r>
          <w:rPr>
            <w:rStyle w:val="Hyperlink"/>
            <w:color w:val="auto"/>
            <w:u w:val="none"/>
          </w:rPr>
          <w:t>Lei nº 12.846, de 1º de agosto de 2013</w:t>
        </w:r>
      </w:hyperlink>
      <w:r>
        <w:rPr/>
        <w:t>, serão apurados e julgados conjuntamente, nos mesmos autos, observados o rito procedimental e autoridade competente definidos na referida Lei.</w:t>
      </w:r>
    </w:p>
    <w:p>
      <w:pPr>
        <w:pStyle w:val="Nivel2"/>
        <w:numPr>
          <w:ilvl w:val="1"/>
          <w:numId w:val="1"/>
        </w:numPr>
        <w:ind w:hanging="0" w:left="0"/>
        <w:rPr>
          <w:i/>
          <w:i/>
          <w:strike/>
          <w:color w:themeColor="accent6" w:val="70AD47"/>
        </w:rPr>
      </w:pPr>
      <w:r>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pPr>
        <w:pStyle w:val="Nivel2"/>
        <w:numPr>
          <w:ilvl w:val="1"/>
          <w:numId w:val="1"/>
        </w:numPr>
        <w:ind w:hanging="0" w:left="0"/>
        <w:rPr>
          <w:i/>
          <w:i/>
        </w:rPr>
      </w:pPr>
      <w:r>
        <w:rPr/>
        <w:t>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w:t>
      </w:r>
    </w:p>
    <w:p>
      <w:pPr>
        <w:pStyle w:val="Nivel2"/>
        <w:numPr>
          <w:ilvl w:val="1"/>
          <w:numId w:val="1"/>
        </w:numPr>
        <w:ind w:hanging="0" w:left="0"/>
        <w:rPr>
          <w:i/>
          <w:i/>
        </w:rPr>
      </w:pPr>
      <w:r>
        <w:rPr/>
        <w:t xml:space="preserve">As sanções de impedimento de licitar e contratar e declaração de inidoneidade para licitar ou contratar são passíveis de reabilitação na forma do </w:t>
      </w:r>
      <w:r>
        <w:fldChar w:fldCharType="begin"/>
      </w:r>
      <w:r>
        <w:rPr>
          <w:rStyle w:val="Hyperlink"/>
          <w:u w:val="none"/>
          <w:color w:themeColor="hyperlink" w:val="auto"/>
        </w:rPr>
        <w:instrText xml:space="preserve"> HYPERLINK "http://www.planalto.gov.br/ccivil_03/_ato2019-2022/2021/lei/L14133.htm" \l "art163"</w:instrText>
      </w:r>
      <w:r>
        <w:rPr>
          <w:rStyle w:val="Hyperlink"/>
          <w:u w:val="none"/>
          <w:color w:themeColor="hyperlink" w:val="auto"/>
        </w:rPr>
        <w:fldChar w:fldCharType="separate"/>
      </w:r>
      <w:r>
        <w:rPr>
          <w:rStyle w:val="Hyperlink"/>
          <w:color w:themeColor="hyperlink" w:val="auto"/>
          <w:u w:val="none"/>
        </w:rPr>
        <w:t>art. 163 da Lei nº 14.133, de 2021.</w:t>
      </w:r>
      <w:r>
        <w:rPr>
          <w:rStyle w:val="Hyperlink"/>
          <w:u w:val="none"/>
          <w:color w:themeColor="hyperlink" w:val="auto"/>
        </w:rPr>
        <w:fldChar w:fldCharType="end"/>
      </w:r>
    </w:p>
    <w:p>
      <w:pPr>
        <w:pStyle w:val="Nivel2"/>
        <w:numPr>
          <w:ilvl w:val="1"/>
          <w:numId w:val="1"/>
        </w:numPr>
        <w:ind w:hanging="0" w:left="0"/>
        <w:rPr/>
      </w:pPr>
      <w:r>
        <w:rPr/>
        <w:t>As sanções por atos praticados no decorrer da contratação estão previstas nos anexos a este Aviso.</w:t>
      </w:r>
    </w:p>
    <w:p>
      <w:pPr>
        <w:pStyle w:val="Nivel01"/>
        <w:numPr>
          <w:ilvl w:val="0"/>
          <w:numId w:val="1"/>
        </w:numPr>
        <w:spacing w:before="288" w:after="288"/>
        <w:ind w:hanging="357" w:left="357"/>
        <w:rPr/>
      </w:pPr>
      <w:bookmarkStart w:id="38" w:name="_Toc226962648"/>
      <w:bookmarkStart w:id="39" w:name="_Toc142925871"/>
      <w:r>
        <w:rPr/>
        <w:t>DAS DISPOSIÇÕES GERAIS</w:t>
      </w:r>
      <w:bookmarkEnd w:id="38"/>
      <w:bookmarkEnd w:id="39"/>
    </w:p>
    <w:p>
      <w:pPr>
        <w:pStyle w:val="Nivel2"/>
        <w:numPr>
          <w:ilvl w:val="1"/>
          <w:numId w:val="1"/>
        </w:numPr>
        <w:ind w:hanging="0" w:left="0"/>
        <w:rPr/>
      </w:pPr>
      <w:r>
        <w:rPr/>
        <w:t>No caso de todos os fornecedores restarem desclassificados ou inabilitados (procedimento fracassado), a Administração poderá:</w:t>
      </w:r>
    </w:p>
    <w:p>
      <w:pPr>
        <w:pStyle w:val="Nivel3"/>
        <w:numPr>
          <w:ilvl w:val="2"/>
          <w:numId w:val="1"/>
        </w:numPr>
        <w:ind w:hanging="0" w:left="284"/>
        <w:rPr/>
      </w:pPr>
      <w:bookmarkStart w:id="40" w:name="_Ref143510170"/>
      <w:r>
        <w:rPr/>
        <w:t>republicar o presente Aviso com uma nova data;</w:t>
      </w:r>
      <w:bookmarkEnd w:id="40"/>
    </w:p>
    <w:p>
      <w:pPr>
        <w:pStyle w:val="Nivel3"/>
        <w:numPr>
          <w:ilvl w:val="2"/>
          <w:numId w:val="1"/>
        </w:numPr>
        <w:ind w:hanging="0" w:left="284"/>
        <w:rPr/>
      </w:pPr>
      <w:bookmarkStart w:id="41" w:name="_Ref143510198"/>
      <w:r>
        <w:rPr/>
        <w:t>valer-se, para a contratação, de proposta obtida na pesquisa de preços que serviu de base ao procedimento, se houver, privilegiando-se os menores preços, sempre que possível, e desde que atendidas às condições de habilitação exigidas</w:t>
      </w:r>
      <w:bookmarkEnd w:id="41"/>
      <w:r>
        <w:rPr/>
        <w:t>;</w:t>
      </w:r>
    </w:p>
    <w:p>
      <w:pPr>
        <w:pStyle w:val="Normal"/>
        <w:numPr>
          <w:ilvl w:val="3"/>
          <w:numId w:val="1"/>
        </w:numPr>
        <w:spacing w:lineRule="auto" w:line="276" w:before="120" w:after="120"/>
        <w:jc w:val="both"/>
        <w:rPr>
          <w:rFonts w:cs="Arial"/>
          <w:color w:val="000000"/>
          <w:szCs w:val="20"/>
        </w:rPr>
      </w:pPr>
      <w:r>
        <w:rPr>
          <w:rFonts w:cs="Arial"/>
          <w:color w:val="000000"/>
          <w:szCs w:val="20"/>
        </w:rPr>
        <w:t>No caso do subitem anterior, a contratação será operacionalizada fora deste procedimento.</w:t>
      </w:r>
    </w:p>
    <w:p>
      <w:pPr>
        <w:pStyle w:val="Nivel4"/>
        <w:numPr>
          <w:ilvl w:val="3"/>
          <w:numId w:val="1"/>
        </w:numPr>
        <w:ind w:hanging="0" w:left="567"/>
        <w:rPr/>
      </w:pPr>
      <w:r>
        <w:rPr/>
        <w:t>fixar prazo para que possa haver adequação das propostas ou da documentação de habilitação, conforme o caso.</w:t>
      </w:r>
    </w:p>
    <w:p>
      <w:pPr>
        <w:pStyle w:val="Nivel2"/>
        <w:numPr>
          <w:ilvl w:val="1"/>
          <w:numId w:val="1"/>
        </w:numPr>
        <w:ind w:hanging="0" w:left="0"/>
        <w:rPr/>
      </w:pPr>
      <w:r>
        <w:rPr/>
        <w:t xml:space="preserve">As providências dos subitens </w:t>
      </w:r>
      <w:r>
        <w:rPr/>
        <w:fldChar w:fldCharType="begin"/>
      </w:r>
      <w:r>
        <w:rPr/>
        <w:instrText xml:space="preserve"> REF _Ref143510170 \r \r \h </w:instrText>
      </w:r>
      <w:r>
        <w:rPr/>
        <w:fldChar w:fldCharType="separate"/>
      </w:r>
      <w:r>
        <w:rPr/>
        <w:t>12.1.1</w:t>
      </w:r>
      <w:r>
        <w:rPr/>
        <w:fldChar w:fldCharType="end"/>
      </w:r>
      <w:r>
        <w:rPr/>
        <w:t xml:space="preserve">  e </w:t>
      </w:r>
      <w:r>
        <w:rPr/>
        <w:fldChar w:fldCharType="begin"/>
      </w:r>
      <w:r>
        <w:rPr/>
        <w:instrText xml:space="preserve"> REF _Ref143510198 \r \r \h </w:instrText>
      </w:r>
      <w:r>
        <w:rPr/>
        <w:fldChar w:fldCharType="separate"/>
      </w:r>
      <w:r>
        <w:rPr/>
        <w:t>12.1.2</w:t>
      </w:r>
      <w:r>
        <w:rPr/>
        <w:fldChar w:fldCharType="end"/>
      </w:r>
      <w:r>
        <w:rPr/>
        <w:t xml:space="preserve"> também poderão ser utilizadas se não houver o comparecimento de quaisquer fornecedores interessados (procedimento deserto).</w:t>
      </w:r>
    </w:p>
    <w:p>
      <w:pPr>
        <w:pStyle w:val="Nivel2"/>
        <w:numPr>
          <w:ilvl w:val="1"/>
          <w:numId w:val="1"/>
        </w:numPr>
        <w:ind w:hanging="0" w:left="0"/>
        <w:rPr/>
      </w:pPr>
      <w:r>
        <w:rPr/>
        <w:t>Havendo a necessidade de realização de ato de qualquer natureza pelos fornecedores, cujo prazo não conste deste Aviso de Contratação Direta, deverá ser atendido o prazo indicado pelo agente competente da Administração na respectiva notificação.</w:t>
      </w:r>
    </w:p>
    <w:p>
      <w:pPr>
        <w:pStyle w:val="Nivel2"/>
        <w:numPr>
          <w:ilvl w:val="1"/>
          <w:numId w:val="1"/>
        </w:numPr>
        <w:ind w:hanging="0" w:left="0"/>
        <w:rPr/>
      </w:pPr>
      <w:r>
        <w:rPr/>
        <w:t>Caberá ao fornecedor acompanhar as operações, ficando responsável pelo ônus decorrente da perda do negócio diante da inobservância de quaisquer mensagens emitidas pela Administração ou de sua desconexão.</w:t>
      </w:r>
    </w:p>
    <w:p>
      <w:pPr>
        <w:pStyle w:val="Nivel2"/>
        <w:numPr>
          <w:ilvl w:val="1"/>
          <w:numId w:val="1"/>
        </w:numPr>
        <w:ind w:hanging="0" w:left="0"/>
        <w:rPr/>
      </w:pPr>
      <w:r>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pPr>
        <w:pStyle w:val="Nivel2"/>
        <w:numPr>
          <w:ilvl w:val="1"/>
          <w:numId w:val="1"/>
        </w:numPr>
        <w:ind w:hanging="0" w:left="0"/>
        <w:rPr/>
      </w:pPr>
      <w:r>
        <w:rPr/>
        <w:t>Os horários estabelecidos na divulgação deste procedimento e durante o envio de lances observarão o horário de Brasília-DF, inclusive para contagem de tempo e registro no Sistema e na documentação relativa ao procedimento.</w:t>
      </w:r>
    </w:p>
    <w:p>
      <w:pPr>
        <w:pStyle w:val="Nivel2"/>
        <w:numPr>
          <w:ilvl w:val="1"/>
          <w:numId w:val="1"/>
        </w:numPr>
        <w:ind w:hanging="0" w:left="0"/>
        <w:rPr/>
      </w:pPr>
      <w:r>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ivel2"/>
        <w:numPr>
          <w:ilvl w:val="1"/>
          <w:numId w:val="1"/>
        </w:numPr>
        <w:ind w:hanging="0" w:left="0"/>
        <w:rPr/>
      </w:pPr>
      <w:r>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pPr>
        <w:pStyle w:val="Nivel2"/>
        <w:numPr>
          <w:ilvl w:val="1"/>
          <w:numId w:val="1"/>
        </w:numPr>
        <w:ind w:hanging="0" w:left="0"/>
        <w:rPr/>
      </w:pPr>
      <w:r>
        <w:rPr/>
        <w:t>Os fornecedores assumem todos os custos de preparação e apresentação de suas propostas e a Administração não será, em nenhum caso, responsável por esses custos, independentemente da condução ou do resultado do processo de contratação.</w:t>
      </w:r>
    </w:p>
    <w:p>
      <w:pPr>
        <w:pStyle w:val="Nivel2"/>
        <w:numPr>
          <w:ilvl w:val="1"/>
          <w:numId w:val="1"/>
        </w:numPr>
        <w:ind w:hanging="0" w:left="0"/>
        <w:rPr/>
      </w:pPr>
      <w:r>
        <w:rPr/>
        <w:t>Em caso de divergência entre disposições deste Aviso de Contratação Direta e de seus anexos ou demais peças que compõem o processo, prevalecerá as deste Aviso.</w:t>
      </w:r>
    </w:p>
    <w:p>
      <w:pPr>
        <w:pStyle w:val="Nivel2"/>
        <w:numPr>
          <w:ilvl w:val="1"/>
          <w:numId w:val="1"/>
        </w:numPr>
        <w:ind w:hanging="0" w:left="0"/>
        <w:rPr/>
      </w:pPr>
      <w:r>
        <w:rPr/>
        <w:t>Da sessão pública será divulgada Ata no sistema eletrônico.</w:t>
      </w:r>
    </w:p>
    <w:p>
      <w:pPr>
        <w:pStyle w:val="Nivel2"/>
        <w:numPr>
          <w:ilvl w:val="1"/>
          <w:numId w:val="1"/>
        </w:numPr>
        <w:ind w:hanging="0" w:left="0"/>
        <w:rPr/>
      </w:pPr>
      <w:r>
        <w:rPr/>
        <w:t>Integram este Aviso de Contratação Direta, para todos os fins e efeitos, os seguintes anexos:</w:t>
      </w:r>
    </w:p>
    <w:p>
      <w:pPr>
        <w:pStyle w:val="Nivel3"/>
        <w:numPr>
          <w:ilvl w:val="2"/>
          <w:numId w:val="1"/>
        </w:numPr>
        <w:ind w:hanging="0" w:left="284"/>
        <w:rPr/>
      </w:pPr>
      <w:r>
        <w:rPr/>
        <w:t>ANEXO I – Termo de Referência</w:t>
      </w:r>
    </w:p>
    <w:p>
      <w:pPr>
        <w:pStyle w:val="Nivel4"/>
        <w:numPr>
          <w:ilvl w:val="3"/>
          <w:numId w:val="1"/>
        </w:numPr>
        <w:ind w:hanging="0" w:left="567"/>
        <w:rPr/>
      </w:pPr>
      <w:r>
        <w:rPr/>
        <w:t>Apêndice do Anexo I – Estudo Técnico Preliminar;</w:t>
      </w:r>
    </w:p>
    <w:p>
      <w:pPr>
        <w:pStyle w:val="Nvel3-R"/>
        <w:numPr>
          <w:ilvl w:val="2"/>
          <w:numId w:val="1"/>
        </w:numPr>
        <w:ind w:hanging="0" w:left="284"/>
        <w:rPr>
          <w:color w:val="111111"/>
          <w:highlight w:val="none"/>
          <w:shd w:fill="CCCCCC" w:val="clear"/>
        </w:rPr>
      </w:pPr>
      <w:r>
        <w:rPr>
          <w:color w:val="111111"/>
          <w:shd w:fill="CCCCCC" w:val="clear"/>
        </w:rPr>
        <w:t>ANEXO II – Minuta de Ata de Registro de Preços;</w:t>
      </w:r>
    </w:p>
    <w:p>
      <w:pPr>
        <w:pStyle w:val="Nivel2"/>
        <w:numPr>
          <w:ilvl w:val="0"/>
          <w:numId w:val="0"/>
        </w:numPr>
        <w:ind w:hanging="0" w:left="0"/>
        <w:rPr/>
      </w:pPr>
      <w:r>
        <w:rPr/>
      </w:r>
    </w:p>
    <w:p>
      <w:pPr>
        <w:pStyle w:val="Nivel2"/>
        <w:numPr>
          <w:ilvl w:val="1"/>
          <w:numId w:val="1"/>
        </w:numPr>
        <w:ind w:hanging="0" w:left="0"/>
        <w:rPr/>
      </w:pPr>
      <w:r>
        <w:rPr/>
        <w:t xml:space="preserve">Rio de Janeiro, </w:t>
      </w:r>
      <w:r>
        <w:rPr/>
        <w:t>10</w:t>
      </w:r>
      <w:r>
        <w:rPr/>
        <w:t xml:space="preserve"> de </w:t>
      </w:r>
      <w:r>
        <w:rPr/>
        <w:t>setembro</w:t>
      </w:r>
      <w:r>
        <w:rPr/>
        <w:t xml:space="preserve"> de 2026.</w:t>
      </w:r>
    </w:p>
    <w:p>
      <w:pPr>
        <w:pStyle w:val="Nivel2"/>
        <w:numPr>
          <w:ilvl w:val="0"/>
          <w:numId w:val="0"/>
        </w:numPr>
        <w:ind w:hanging="0" w:left="0"/>
        <w:rPr/>
      </w:pPr>
      <w:r>
        <w:rPr/>
      </w:r>
    </w:p>
    <w:p>
      <w:pPr>
        <w:pStyle w:val="Nivel2"/>
        <w:numPr>
          <w:ilvl w:val="0"/>
          <w:numId w:val="0"/>
        </w:numPr>
        <w:ind w:hanging="0" w:left="0"/>
        <w:rPr/>
      </w:pPr>
      <w:r>
        <w:rPr/>
      </w:r>
    </w:p>
    <w:p>
      <w:pPr>
        <w:pStyle w:val="Nivel2"/>
        <w:numPr>
          <w:ilvl w:val="0"/>
          <w:numId w:val="0"/>
        </w:numPr>
        <w:ind w:hanging="0" w:left="0"/>
        <w:rPr/>
      </w:pPr>
      <w:r>
        <w:rPr/>
      </w:r>
    </w:p>
    <w:p>
      <w:pPr>
        <w:pStyle w:val="Nivel2"/>
        <w:numPr>
          <w:ilvl w:val="0"/>
          <w:numId w:val="0"/>
        </w:numPr>
        <w:ind w:hanging="0" w:left="0"/>
        <w:rPr/>
      </w:pPr>
      <w:r>
        <w:rPr/>
      </w:r>
    </w:p>
    <w:p>
      <w:pPr>
        <w:pStyle w:val="Heading1"/>
        <w:numPr>
          <w:ilvl w:val="0"/>
          <w:numId w:val="0"/>
        </w:numPr>
        <w:suppressAutoHyphens w:val="true"/>
        <w:spacing w:lineRule="auto" w:line="240" w:before="0" w:after="0"/>
        <w:ind w:hanging="0" w:left="360" w:right="0"/>
        <w:jc w:val="center"/>
        <w:rPr>
          <w:rFonts w:ascii="Calibri" w:hAnsi="Calibri" w:eastAsia="ＭＳ ゴシック" w:cs="Calibri"/>
          <w:b w:val="false"/>
          <w:bCs w:val="false"/>
          <w:i w:val="false"/>
          <w:i w:val="false"/>
          <w:iCs w:val="false"/>
          <w:color w:val="000000"/>
          <w:kern w:val="0"/>
          <w:sz w:val="24"/>
          <w:szCs w:val="24"/>
          <w:lang w:val="zxx" w:eastAsia="zxx" w:bidi="zxx"/>
        </w:rPr>
      </w:pPr>
      <w:r>
        <w:rPr>
          <w:rFonts w:eastAsia="ＭＳ ゴシック" w:cs="Calibri" w:ascii="Calibri" w:hAnsi="Calibri"/>
          <w:b w:val="false"/>
          <w:bCs w:val="false"/>
          <w:i w:val="false"/>
          <w:iCs w:val="false"/>
          <w:color w:val="000000"/>
          <w:kern w:val="0"/>
          <w:sz w:val="24"/>
          <w:szCs w:val="24"/>
          <w:lang w:val="zxx" w:eastAsia="zxx" w:bidi="zxx"/>
        </w:rPr>
        <w:t>RICARDO SILVA GUIMARÃES</w:t>
      </w:r>
    </w:p>
    <w:p>
      <w:pPr>
        <w:pStyle w:val="Heading1"/>
        <w:numPr>
          <w:ilvl w:val="0"/>
          <w:numId w:val="0"/>
        </w:numPr>
        <w:suppressAutoHyphens w:val="true"/>
        <w:spacing w:lineRule="auto" w:line="240" w:before="0" w:after="0"/>
        <w:ind w:hanging="0" w:left="360" w:right="0"/>
        <w:jc w:val="center"/>
        <w:rPr>
          <w:rFonts w:ascii="Calibri" w:hAnsi="Calibri" w:cs="Calibri"/>
          <w:b w:val="false"/>
          <w:bCs w:val="false"/>
          <w:i w:val="false"/>
          <w:i w:val="false"/>
          <w:iCs w:val="false"/>
          <w:color w:val="000000"/>
          <w:sz w:val="24"/>
          <w:szCs w:val="24"/>
          <w:lang w:val="zxx" w:eastAsia="zxx" w:bidi="zxx"/>
        </w:rPr>
      </w:pPr>
      <w:r>
        <w:rPr>
          <w:rFonts w:cs="Calibri" w:ascii="Calibri" w:hAnsi="Calibri"/>
          <w:b w:val="false"/>
          <w:bCs w:val="false"/>
          <w:i w:val="false"/>
          <w:iCs w:val="false"/>
          <w:color w:val="000000"/>
          <w:sz w:val="24"/>
          <w:szCs w:val="24"/>
          <w:lang w:val="zxx" w:eastAsia="zxx" w:bidi="zxx"/>
        </w:rPr>
        <w:t>Capitão de Mar e Guerra (Md)</w:t>
      </w:r>
    </w:p>
    <w:p>
      <w:pPr>
        <w:pStyle w:val="Heading1"/>
        <w:widowControl w:val="false"/>
        <w:numPr>
          <w:ilvl w:val="0"/>
          <w:numId w:val="0"/>
        </w:numPr>
        <w:suppressAutoHyphens w:val="true"/>
        <w:spacing w:lineRule="auto" w:line="240" w:before="0" w:after="0"/>
        <w:ind w:hanging="0" w:left="360" w:right="0"/>
        <w:jc w:val="center"/>
        <w:rPr>
          <w:rFonts w:ascii="Calibri" w:hAnsi="Calibri" w:eastAsia="Times New Roman" w:cs="Calibri"/>
          <w:b w:val="false"/>
          <w:bCs w:val="false"/>
          <w:i w:val="false"/>
          <w:i w:val="false"/>
          <w:iCs w:val="false"/>
          <w:strike w:val="false"/>
          <w:dstrike w:val="false"/>
          <w:color w:val="000000"/>
          <w:sz w:val="24"/>
          <w:szCs w:val="24"/>
          <w:u w:val="none"/>
          <w:lang w:val="en-US" w:eastAsia="pt-BR" w:bidi="zxx"/>
        </w:rPr>
      </w:pPr>
      <w:r>
        <w:rPr>
          <w:rFonts w:eastAsia="Times New Roman" w:cs="Calibri" w:ascii="Calibri" w:hAnsi="Calibri"/>
          <w:b w:val="false"/>
          <w:bCs w:val="false"/>
          <w:i w:val="false"/>
          <w:iCs w:val="false"/>
          <w:strike w:val="false"/>
          <w:dstrike w:val="false"/>
          <w:color w:val="000000"/>
          <w:sz w:val="24"/>
          <w:szCs w:val="24"/>
          <w:u w:val="none"/>
          <w:lang w:val="en-US" w:eastAsia="pt-BR" w:bidi="zxx"/>
        </w:rPr>
        <w:t>Ordenador de Despesas</w:t>
      </w:r>
    </w:p>
    <w:p>
      <w:pPr>
        <w:pStyle w:val="Heading1"/>
        <w:widowControl w:val="false"/>
        <w:numPr>
          <w:ilvl w:val="0"/>
          <w:numId w:val="0"/>
        </w:numPr>
        <w:suppressAutoHyphens w:val="true"/>
        <w:snapToGrid w:val="false"/>
        <w:spacing w:lineRule="auto" w:line="240" w:before="0" w:after="0"/>
        <w:ind w:hanging="0" w:left="360" w:right="0"/>
        <w:jc w:val="center"/>
        <w:rPr/>
      </w:pPr>
      <w:r>
        <w:rPr>
          <w:rStyle w:val="Fontepargpadro"/>
          <w:rFonts w:eastAsia="Times New Roman" w:cs="Calibri" w:ascii="Calibri" w:hAnsi="Calibri"/>
          <w:b w:val="false"/>
          <w:bCs w:val="false"/>
          <w:i w:val="false"/>
          <w:iCs w:val="false"/>
          <w:strike w:val="false"/>
          <w:dstrike w:val="false"/>
          <w:color w:val="000000"/>
          <w:kern w:val="0"/>
          <w:u w:val="none"/>
          <w:bdr w:val="single" w:sz="2" w:space="0" w:color="000000"/>
          <w:lang w:val="pt-BR" w:eastAsia="zh-CN" w:bidi="ar-SA"/>
        </w:rPr>
        <w:t>ASSINADO DIGITALMENTE</w:t>
      </w:r>
    </w:p>
    <w:p>
      <w:pPr>
        <w:pStyle w:val="Normal"/>
        <w:jc w:val="center"/>
        <w:rPr>
          <w:rFonts w:eastAsia="MS Mincho" w:cs="Arial"/>
          <w:b/>
        </w:rPr>
      </w:pPr>
      <w:r>
        <w:rPr>
          <w:rFonts w:eastAsia="MS Mincho" w:cs="Arial"/>
          <w:b/>
        </w:rPr>
      </w:r>
    </w:p>
    <w:sectPr>
      <w:headerReference w:type="even" r:id="rId11"/>
      <w:headerReference w:type="default" r:id="rId12"/>
      <w:headerReference w:type="first" r:id="rId13"/>
      <w:footerReference w:type="even" r:id="rId14"/>
      <w:footerReference w:type="default" r:id="rId15"/>
      <w:footerReference w:type="first" r:id="rId16"/>
      <w:type w:val="nextPage"/>
      <w:pgSz w:w="11906" w:h="16838"/>
      <w:pgMar w:left="1134" w:right="1134" w:gutter="0" w:header="709" w:top="1418" w:footer="709" w:bottom="1418"/>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Arial">
    <w:charset w:val="01"/>
    <w:family w:val="roman"/>
    <w:pitch w:val="variable"/>
  </w:font>
  <w:font w:name="Arial">
    <w:charset w:val="01"/>
    <w:family w:val="swiss"/>
    <w:pitch w:val="variable"/>
  </w:font>
  <w:font w:name="Ecofont_Spranq_eco_Sans">
    <w:charset w:val="01"/>
    <w:family w:val="roman"/>
    <w:pitch w:val="variable"/>
  </w:font>
  <w:font w:name="Segoe UI">
    <w:charset w:val="01"/>
    <w:family w:val="roman"/>
    <w:pitch w:val="variable"/>
  </w:font>
  <w:font w:name="Liberation Sans">
    <w:altName w:val="Arial"/>
    <w:charset w:val="01"/>
    <w:family w:val="roman"/>
    <w:pitch w:val="variable"/>
  </w:font>
  <w:font w:name="Calibri Light">
    <w:charset w:val="01"/>
    <w:family w:val="swiss"/>
    <w:pitch w:val="variable"/>
  </w:font>
  <w:font w:name="Times New Roman">
    <w:charset w:val="01"/>
    <w:family w:val="roman"/>
    <w:pitch w:val="variable"/>
  </w:font>
  <w:font w:name="Courier New">
    <w:charset w:val="01"/>
    <w:family w:val="modern"/>
    <w:pitch w:val="fixed"/>
  </w:font>
  <w:font w:name="Helvetica">
    <w:altName w:val="Arial"/>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sz w:val="12"/>
        <w:szCs w:val="12"/>
      </w:rPr>
    </w:pPr>
    <w:r>
      <w:rPr>
        <w:sz w:val="12"/>
        <w:szCs w:val="12"/>
      </w:rPr>
    </w:r>
  </w:p>
  <w:p>
    <w:pPr>
      <w:pStyle w:val="Normal"/>
      <w:tabs>
        <w:tab w:val="clear" w:pos="708"/>
        <w:tab w:val="center" w:pos="4550" w:leader="none"/>
        <w:tab w:val="left" w:pos="5818" w:leader="none"/>
      </w:tabs>
      <w:ind w:right="260"/>
      <w:jc w:val="right"/>
      <w:rPr>
        <w:color w:themeColor="text2" w:themeShade="80" w:val="222A35"/>
        <w:sz w:val="18"/>
        <w:szCs w:val="18"/>
      </w:rPr>
    </w:pPr>
    <w:r>
      <w:rPr>
        <w:color w:themeColor="text2" w:themeTint="99" w:val="8496B0"/>
        <w:spacing w:val="60"/>
        <w:sz w:val="18"/>
        <w:szCs w:val="18"/>
      </w:rPr>
      <w:t>Página</w:t>
    </w:r>
    <w:r>
      <w:rPr>
        <w:color w:themeColor="text2" w:themeTint="99" w:val="8496B0"/>
        <w:sz w:val="18"/>
        <w:szCs w:val="18"/>
      </w:rPr>
      <w:t xml:space="preserve"> </w:t>
    </w:r>
    <w:r>
      <w:rPr>
        <w:color w:themeColor="text2" w:themeShade="bf" w:val="323E4F"/>
        <w:sz w:val="18"/>
        <w:szCs w:val="18"/>
      </w:rPr>
      <w:fldChar w:fldCharType="begin"/>
    </w:r>
    <w:r>
      <w:rPr>
        <w:sz w:val="18"/>
        <w:szCs w:val="18"/>
        <w:color w:themeColor="text2" w:themeShade="bf" w:val="323E4F"/>
      </w:rPr>
      <w:instrText xml:space="preserve"> PAGE </w:instrText>
    </w:r>
    <w:r>
      <w:rPr>
        <w:sz w:val="18"/>
        <w:szCs w:val="18"/>
        <w:color w:themeColor="text2" w:themeShade="bf" w:val="323E4F"/>
      </w:rPr>
      <w:fldChar w:fldCharType="separate"/>
    </w:r>
    <w:r>
      <w:rPr>
        <w:sz w:val="18"/>
        <w:szCs w:val="18"/>
        <w:color w:themeColor="text2" w:themeShade="bf" w:val="323E4F"/>
      </w:rPr>
      <w:t>18</w:t>
    </w:r>
    <w:r>
      <w:rPr>
        <w:sz w:val="18"/>
        <w:szCs w:val="18"/>
        <w:color w:themeColor="text2" w:themeShade="bf" w:val="323E4F"/>
      </w:rPr>
      <w:fldChar w:fldCharType="end"/>
    </w:r>
    <w:r>
      <w:rPr>
        <w:color w:themeColor="text2" w:themeShade="bf" w:val="323E4F"/>
        <w:sz w:val="18"/>
        <w:szCs w:val="18"/>
      </w:rPr>
      <w:t xml:space="preserve"> | </w:t>
    </w:r>
    <w:r>
      <w:rPr>
        <w:color w:themeColor="text2" w:themeShade="bf" w:val="323E4F"/>
        <w:sz w:val="18"/>
        <w:szCs w:val="18"/>
      </w:rPr>
      <w:fldChar w:fldCharType="begin"/>
    </w:r>
    <w:r>
      <w:rPr>
        <w:sz w:val="18"/>
        <w:szCs w:val="18"/>
        <w:color w:themeColor="text2" w:themeShade="bf" w:val="323E4F"/>
      </w:rPr>
      <w:instrText xml:space="preserve"> NUMPAGES </w:instrText>
    </w:r>
    <w:r>
      <w:rPr>
        <w:sz w:val="18"/>
        <w:szCs w:val="18"/>
        <w:color w:themeColor="text2" w:themeShade="bf" w:val="323E4F"/>
      </w:rPr>
      <w:fldChar w:fldCharType="separate"/>
    </w:r>
    <w:r>
      <w:rPr>
        <w:sz w:val="18"/>
        <w:szCs w:val="18"/>
        <w:color w:themeColor="text2" w:themeShade="bf" w:val="323E4F"/>
      </w:rPr>
      <w:t>18</w:t>
    </w:r>
    <w:r>
      <w:rPr>
        <w:sz w:val="18"/>
        <w:szCs w:val="18"/>
        <w:color w:themeColor="text2" w:themeShade="bf" w:val="323E4F"/>
      </w:rPr>
      <w:fldChar w:fldCharType="end"/>
    </w:r>
  </w:p>
  <w:p>
    <w:pPr>
      <w:pStyle w:val="Footer"/>
      <w:rPr>
        <w:sz w:val="12"/>
        <w:szCs w:val="12"/>
      </w:rPr>
    </w:pPr>
    <w:r>
      <w:rPr>
        <w:sz w:val="12"/>
        <w:szCs w:val="12"/>
      </w:rPr>
    </w:r>
  </w:p>
  <w:p>
    <w:pPr>
      <w:pStyle w:val="Footer"/>
      <w:rPr>
        <w:sz w:val="12"/>
        <w:szCs w:val="12"/>
      </w:rPr>
    </w:pPr>
    <w:r>
      <w:rPr>
        <w:sz w:val="12"/>
        <w:szCs w:val="12"/>
      </w:rPr>
      <w:t>Câmara Nacional de Modelos de Licitações e Contratos da Consultoria-Geral da União</w:t>
    </w:r>
  </w:p>
  <w:p>
    <w:pPr>
      <w:pStyle w:val="Footer"/>
      <w:rPr>
        <w:sz w:val="12"/>
        <w:szCs w:val="12"/>
      </w:rPr>
    </w:pPr>
    <w:r>
      <w:rPr>
        <w:sz w:val="12"/>
        <w:szCs w:val="12"/>
      </w:rPr>
      <w:t>Modelo de Aviso de Contratação Direta – Lei nº 14.133, de 2021</w:t>
    </w:r>
  </w:p>
  <w:p>
    <w:pPr>
      <w:pStyle w:val="Footer"/>
      <w:rPr>
        <w:sz w:val="12"/>
        <w:szCs w:val="12"/>
      </w:rPr>
    </w:pPr>
    <w:r>
      <w:rPr>
        <w:sz w:val="12"/>
        <w:szCs w:val="12"/>
      </w:rPr>
      <w:t>Aprovado pela Secretaria de Gestão e Inovação</w:t>
    </w:r>
  </w:p>
  <w:p>
    <w:pPr>
      <w:pStyle w:val="Footer"/>
      <w:rPr>
        <w:sz w:val="12"/>
        <w:szCs w:val="12"/>
      </w:rPr>
    </w:pPr>
    <w:r>
      <w:rPr>
        <w:sz w:val="12"/>
        <w:szCs w:val="12"/>
      </w:rPr>
      <w:t>Identidade visual pela Secretaria de Gestão e Inovação</w:t>
    </w:r>
  </w:p>
  <w:p>
    <w:pPr>
      <w:pStyle w:val="Footer"/>
      <w:rPr/>
    </w:pPr>
    <w:r>
      <w:rPr>
        <w:sz w:val="12"/>
        <w:szCs w:val="12"/>
      </w:rPr>
      <w:t>Versão: MAR/2026</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right"/>
      <w:rPr>
        <w:rFonts w:cs="Arial"/>
        <w:szCs w:val="20"/>
      </w:rPr>
    </w:pPr>
    <w:r>
      <w:rPr>
        <w:rFonts w:cs="Arial"/>
        <w:szCs w:val="20"/>
      </w:rPr>
      <w:t xml:space="preserve">AVISO DE CONTRATAÇÃO DIRETA Nº </w:t>
    </w:r>
    <w:r>
      <w:rPr>
        <w:rFonts w:cs="Arial"/>
        <w:b/>
        <w:bCs/>
        <w:szCs w:val="20"/>
      </w:rPr>
      <w:t>15</w:t>
    </w:r>
    <w:r>
      <w:rPr>
        <w:rFonts w:cs="Arial"/>
        <w:b/>
        <w:bCs/>
        <w:szCs w:val="20"/>
      </w:rPr>
      <w:t>8</w:t>
    </w:r>
    <w:r>
      <w:rPr>
        <w:rFonts w:cs="Arial"/>
        <w:b/>
        <w:bCs/>
        <w:color w:val="1C1C1C"/>
        <w:szCs w:val="20"/>
      </w:rPr>
      <w:t>/2026</w:t>
    </w:r>
  </w:p>
  <w:p>
    <w:pPr>
      <w:pStyle w:val="Header"/>
      <w:jc w:val="right"/>
      <w:rPr/>
    </w:pPr>
    <w:r>
      <w:rPr/>
    </w:r>
  </w:p>
  <w:p>
    <w:pPr>
      <w:pStyle w:val="Normal"/>
      <w:jc w:val="right"/>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drawing>
        <wp:anchor behindDoc="1" distT="0" distB="0" distL="0" distR="0" simplePos="0" locked="0" layoutInCell="1" allowOverlap="1" relativeHeight="2">
          <wp:simplePos x="0" y="0"/>
          <wp:positionH relativeFrom="column">
            <wp:posOffset>-720090</wp:posOffset>
          </wp:positionH>
          <wp:positionV relativeFrom="paragraph">
            <wp:posOffset>-450215</wp:posOffset>
          </wp:positionV>
          <wp:extent cx="7546340" cy="10692765"/>
          <wp:effectExtent l="0" t="0" r="0" b="0"/>
          <wp:wrapNone/>
          <wp:docPr id="2" name="Imagem 8" descr="Texto&#10;&#10;Descrição gerada automaticamente com confiança média">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8" descr="Texto&#10;&#10;Descrição gerada automaticamente com confiança média">
                    <a:hlinkClick r:id="rId2"/>
                  </pic:cNvPr>
                  <pic:cNvPicPr>
                    <a:picLocks noChangeAspect="1" noChangeArrowheads="1"/>
                  </pic:cNvPicPr>
                </pic:nvPicPr>
                <pic:blipFill>
                  <a:blip r:embed="rId1"/>
                  <a:stretch>
                    <a:fillRect/>
                  </a:stretch>
                </pic:blipFill>
                <pic:spPr bwMode="auto">
                  <a:xfrm>
                    <a:off x="0" y="0"/>
                    <a:ext cx="7546340" cy="10692765"/>
                  </a:xfrm>
                  <a:prstGeom prst="rect">
                    <a:avLst/>
                  </a:prstGeom>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16" w:hanging="432"/>
      </w:pPr>
      <w:rPr>
        <w:dstrike w:val="false"/>
        <w:strike w:val="false"/>
        <w:i w:val="false"/>
        <w:b w:val="false"/>
        <w:iCs/>
        <w:color w:val="auto"/>
      </w:rPr>
    </w:lvl>
    <w:lvl w:ilvl="2">
      <w:start w:val="1"/>
      <w:numFmt w:val="decimal"/>
      <w:lvlText w:val="%1.%2.%3."/>
      <w:lvlJc w:val="left"/>
      <w:pPr>
        <w:tabs>
          <w:tab w:val="num" w:pos="0"/>
        </w:tabs>
        <w:ind w:left="1224" w:hanging="504"/>
      </w:pPr>
      <w:rPr>
        <w:dstrike w:val="false"/>
        <w:strike w:val="false"/>
        <w:i w:val="false"/>
        <w:b w:val="false"/>
        <w:iCs/>
        <w:rFonts w:ascii="Arial" w:hAnsi="Arial" w:cs="Arial"/>
        <w:color w:val="auto"/>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30"/>
  <w:defaultTabStop w:val="708"/>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pt-BR" w:eastAsia=""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lsdException w:name="heading 1" w:uiPriority="9"/>
    <w:lsdException w:name="heading 2" w:uiPriority="9" w:semiHidden="1" w:unhideWhenUsed="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lsdException w:name="header" w:uiPriority="0" w:semiHidden="1" w:unhideWhenUsed="1"/>
    <w:lsdException w:name="footer" w:semiHidden="1" w:unhideWhenUsed="1"/>
    <w:lsdException w:name="index heading" w:semiHidden="1" w:unhideWhenUsed="1"/>
    <w:lsdException w:name="caption" w:uiPriority="0"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lsdException w:name="Quote" w:uiPriority="0"/>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074da"/>
    <w:pPr>
      <w:widowControl/>
      <w:suppressAutoHyphens w:val="true"/>
      <w:bidi w:val="0"/>
      <w:spacing w:lineRule="auto" w:line="240" w:before="0" w:after="0"/>
      <w:jc w:val="left"/>
    </w:pPr>
    <w:rPr>
      <w:rFonts w:ascii="Arial" w:hAnsi="Arial" w:eastAsia="Times New Roman" w:cs="Tahoma"/>
      <w:color w:val="auto"/>
      <w:kern w:val="0"/>
      <w:sz w:val="20"/>
      <w:szCs w:val="24"/>
      <w:lang w:val="pt-BR" w:eastAsia="pt-BR" w:bidi="ar-SA"/>
    </w:rPr>
  </w:style>
  <w:style w:type="paragraph" w:styleId="Heading1">
    <w:name w:val="Heading 1"/>
    <w:basedOn w:val="PADRO"/>
    <w:next w:val="Normal"/>
    <w:link w:val="Ttulo1Char"/>
    <w:autoRedefine/>
    <w:uiPriority w:val="9"/>
    <w:qFormat/>
    <w:rsid w:val="00c355ba"/>
    <w:pPr>
      <w:keepNext w:val="false"/>
      <w:widowControl/>
      <w:numPr>
        <w:ilvl w:val="0"/>
        <w:numId w:val="1"/>
      </w:numPr>
      <w:shd w:val="clear" w:color="auto" w:fill="auto"/>
      <w:outlineLvl w:val="0"/>
    </w:pPr>
    <w:rPr>
      <w:rFonts w:ascii="Arial" w:hAnsi="Arial" w:cs="Arial"/>
      <w:b/>
    </w:rPr>
  </w:style>
  <w:style w:type="character" w:styleId="DefaultParagraphFont" w:default="1">
    <w:name w:val="Default Paragraph Font"/>
    <w:uiPriority w:val="1"/>
    <w:semiHidden/>
    <w:unhideWhenUsed/>
    <w:qFormat/>
    <w:rPr/>
  </w:style>
  <w:style w:type="character" w:styleId="Ttulo1Char" w:customStyle="1">
    <w:name w:val="Título 1 Char"/>
    <w:basedOn w:val="DefaultParagraphFont"/>
    <w:uiPriority w:val="9"/>
    <w:qFormat/>
    <w:rsid w:val="00c355ba"/>
    <w:rPr>
      <w:rFonts w:ascii="Arial" w:hAnsi="Arial" w:eastAsia="WenQuanYi Micro Hei" w:cs="Arial"/>
      <w:b/>
      <w:sz w:val="20"/>
      <w:szCs w:val="24"/>
      <w:lang w:eastAsia="zh-CN" w:bidi="hi-IN"/>
    </w:rPr>
  </w:style>
  <w:style w:type="character" w:styleId="CitaoChar" w:customStyle="1">
    <w:name w:val="Citação Char"/>
    <w:basedOn w:val="DefaultParagraphFont"/>
    <w:link w:val="Quote"/>
    <w:qFormat/>
    <w:rsid w:val="00c074da"/>
    <w:rPr>
      <w:rFonts w:ascii="Arial" w:hAnsi="Arial" w:eastAsia="Calibri" w:cs="Tahoma"/>
      <w:i/>
      <w:iCs/>
      <w:color w:val="000000"/>
      <w:sz w:val="20"/>
      <w:szCs w:val="24"/>
      <w:shd w:fill="FFFFCC" w:val="clear"/>
    </w:rPr>
  </w:style>
  <w:style w:type="character" w:styleId="Nivel01Char" w:customStyle="1">
    <w:name w:val="Nivel 01 Char"/>
    <w:basedOn w:val="Ttulo1Char"/>
    <w:link w:val="Nivel01"/>
    <w:qFormat/>
    <w:rsid w:val="00f716d0"/>
    <w:rPr>
      <w:rFonts w:ascii="Arial" w:hAnsi="Arial" w:eastAsia="WenQuanYi Micro Hei" w:cs="Arial"/>
      <w:b/>
      <w:sz w:val="20"/>
      <w:szCs w:val="24"/>
      <w:lang w:eastAsia="zh-CN" w:bidi="hi-IN"/>
    </w:rPr>
  </w:style>
  <w:style w:type="character" w:styleId="citao2Char" w:customStyle="1">
    <w:name w:val="citação 2 Char"/>
    <w:basedOn w:val="CitaoChar"/>
    <w:qFormat/>
    <w:rsid w:val="00c074da"/>
    <w:rPr>
      <w:rFonts w:ascii="Arial" w:hAnsi="Arial" w:eastAsia="Calibri" w:cs="Tahoma"/>
      <w:i/>
      <w:iCs/>
      <w:color w:val="000000"/>
      <w:sz w:val="20"/>
      <w:szCs w:val="20"/>
      <w:shd w:fill="FFFFCC" w:val="clear"/>
    </w:rPr>
  </w:style>
  <w:style w:type="character" w:styleId="QuoteChar" w:customStyle="1">
    <w:name w:val="Quote Char"/>
    <w:basedOn w:val="DefaultParagraphFont"/>
    <w:link w:val="Citao1"/>
    <w:qFormat/>
    <w:rsid w:val="00c074da"/>
    <w:rPr>
      <w:rFonts w:ascii="Ecofont_Spranq_eco_Sans" w:hAnsi="Ecofont_Spranq_eco_Sans" w:eastAsia="Calibri" w:cs="Tahoma"/>
      <w:i/>
      <w:iCs/>
      <w:color w:val="000000"/>
      <w:shd w:fill="FFFFCC" w:val="clear"/>
    </w:rPr>
  </w:style>
  <w:style w:type="character" w:styleId="annotationreference">
    <w:name w:val="annotation reference"/>
    <w:basedOn w:val="DefaultParagraphFont"/>
    <w:unhideWhenUsed/>
    <w:qFormat/>
    <w:rsid w:val="00c074da"/>
    <w:rPr>
      <w:sz w:val="16"/>
      <w:szCs w:val="16"/>
    </w:rPr>
  </w:style>
  <w:style w:type="character" w:styleId="TextodecomentrioChar" w:customStyle="1">
    <w:name w:val="Texto de comentário Char"/>
    <w:basedOn w:val="DefaultParagraphFont"/>
    <w:qFormat/>
    <w:rsid w:val="00c074da"/>
    <w:rPr>
      <w:rFonts w:ascii="Arial" w:hAnsi="Arial" w:eastAsia="Times New Roman" w:cs="Tahoma"/>
      <w:sz w:val="20"/>
      <w:szCs w:val="20"/>
      <w:lang w:eastAsia="pt-BR"/>
    </w:rPr>
  </w:style>
  <w:style w:type="character" w:styleId="AssuntodocomentrioChar" w:customStyle="1">
    <w:name w:val="Assunto do comentário Char"/>
    <w:basedOn w:val="TextodecomentrioChar"/>
    <w:link w:val="annotationsubject"/>
    <w:uiPriority w:val="99"/>
    <w:semiHidden/>
    <w:qFormat/>
    <w:rsid w:val="00c074da"/>
    <w:rPr>
      <w:rFonts w:ascii="Arial" w:hAnsi="Arial" w:eastAsia="Times New Roman" w:cs="Tahoma"/>
      <w:b/>
      <w:bCs/>
      <w:sz w:val="20"/>
      <w:szCs w:val="20"/>
      <w:lang w:eastAsia="pt-BR"/>
    </w:rPr>
  </w:style>
  <w:style w:type="character" w:styleId="Hyperlink">
    <w:name w:val="Hyperlink"/>
    <w:basedOn w:val="DefaultParagraphFont"/>
    <w:uiPriority w:val="99"/>
    <w:unhideWhenUsed/>
    <w:rsid w:val="00c074da"/>
    <w:rPr>
      <w:color w:themeColor="hyperlink" w:val="0563C1"/>
      <w:u w:val="single"/>
    </w:rPr>
  </w:style>
  <w:style w:type="character" w:styleId="Nivel4Char" w:customStyle="1">
    <w:name w:val="Nivel 4 Char"/>
    <w:basedOn w:val="DefaultParagraphFont"/>
    <w:link w:val="Nivel4"/>
    <w:qFormat/>
    <w:rsid w:val="00c46b78"/>
    <w:rPr>
      <w:rFonts w:ascii="Arial" w:hAnsi="Arial" w:eastAsia="" w:cs="Arial" w:eastAsiaTheme="minorEastAsia"/>
      <w:sz w:val="20"/>
      <w:szCs w:val="20"/>
      <w:lang w:eastAsia="zh-CN" w:bidi="hi-IN"/>
    </w:rPr>
  </w:style>
  <w:style w:type="character" w:styleId="TextodebaloChar" w:customStyle="1">
    <w:name w:val="Texto de balão Char"/>
    <w:basedOn w:val="DefaultParagraphFont"/>
    <w:link w:val="BalloonText"/>
    <w:uiPriority w:val="99"/>
    <w:semiHidden/>
    <w:qFormat/>
    <w:rsid w:val="00c074da"/>
    <w:rPr>
      <w:rFonts w:ascii="Segoe UI" w:hAnsi="Segoe UI" w:eastAsia="Times New Roman" w:cs="Segoe UI"/>
      <w:sz w:val="18"/>
      <w:szCs w:val="18"/>
      <w:lang w:eastAsia="pt-BR"/>
    </w:rPr>
  </w:style>
  <w:style w:type="character" w:styleId="CabealhoChar" w:customStyle="1">
    <w:name w:val="Cabeçalho Char"/>
    <w:basedOn w:val="DefaultParagraphFont"/>
    <w:qFormat/>
    <w:rsid w:val="00c074da"/>
    <w:rPr>
      <w:rFonts w:ascii="Arial" w:hAnsi="Arial" w:eastAsia="Times New Roman" w:cs="Tahoma"/>
      <w:sz w:val="20"/>
      <w:szCs w:val="24"/>
      <w:lang w:eastAsia="pt-BR"/>
    </w:rPr>
  </w:style>
  <w:style w:type="character" w:styleId="RodapChar" w:customStyle="1">
    <w:name w:val="Rodapé Char"/>
    <w:basedOn w:val="DefaultParagraphFont"/>
    <w:uiPriority w:val="99"/>
    <w:qFormat/>
    <w:rsid w:val="00c074da"/>
    <w:rPr>
      <w:rFonts w:ascii="Arial" w:hAnsi="Arial" w:eastAsia="Times New Roman" w:cs="Tahoma"/>
      <w:sz w:val="20"/>
      <w:szCs w:val="24"/>
      <w:lang w:eastAsia="pt-BR"/>
    </w:rPr>
  </w:style>
  <w:style w:type="character" w:styleId="FollowedHyperlink">
    <w:name w:val="FollowedHyperlink"/>
    <w:basedOn w:val="DefaultParagraphFont"/>
    <w:uiPriority w:val="99"/>
    <w:semiHidden/>
    <w:unhideWhenUsed/>
    <w:rsid w:val="00a47c33"/>
    <w:rPr>
      <w:color w:themeColor="followedHyperlink" w:val="954F72"/>
      <w:u w:val="single"/>
    </w:rPr>
  </w:style>
  <w:style w:type="character" w:styleId="Strong">
    <w:name w:val="Strong"/>
    <w:basedOn w:val="DefaultParagraphFont"/>
    <w:uiPriority w:val="22"/>
    <w:qFormat/>
    <w:rsid w:val="00c074da"/>
    <w:rPr>
      <w:b/>
      <w:bCs/>
    </w:rPr>
  </w:style>
  <w:style w:type="character" w:styleId="TtuloChar" w:customStyle="1">
    <w:name w:val="Título Char"/>
    <w:basedOn w:val="DefaultParagraphFont"/>
    <w:qFormat/>
    <w:rsid w:val="00c074da"/>
    <w:rPr>
      <w:rFonts w:ascii="Liberation Sans" w:hAnsi="Liberation Sans" w:eastAsia="Noto Sans CJK SC" w:cs="FreeSans"/>
      <w:sz w:val="28"/>
      <w:szCs w:val="28"/>
      <w:lang w:eastAsia="pt-BR"/>
    </w:rPr>
  </w:style>
  <w:style w:type="character" w:styleId="CorpodetextoChar" w:customStyle="1">
    <w:name w:val="Corpo de texto Char"/>
    <w:basedOn w:val="DefaultParagraphFont"/>
    <w:qFormat/>
    <w:rsid w:val="00c074da"/>
    <w:rPr>
      <w:rFonts w:ascii="Arial" w:hAnsi="Arial" w:eastAsia="Times New Roman" w:cs="Tahoma"/>
      <w:sz w:val="20"/>
      <w:szCs w:val="24"/>
      <w:lang w:eastAsia="pt-BR"/>
    </w:rPr>
  </w:style>
  <w:style w:type="character" w:styleId="CitaoChar1" w:customStyle="1">
    <w:name w:val="Citação Char1"/>
    <w:basedOn w:val="DefaultParagraphFont"/>
    <w:uiPriority w:val="29"/>
    <w:qFormat/>
    <w:rsid w:val="00c074da"/>
    <w:rPr>
      <w:rFonts w:ascii="Arial" w:hAnsi="Arial" w:eastAsia="Times New Roman" w:cs="Tahoma"/>
      <w:i/>
      <w:iCs/>
      <w:color w:themeColor="text1" w:themeTint="bf" w:val="404040"/>
      <w:sz w:val="20"/>
      <w:szCs w:val="24"/>
      <w:lang w:eastAsia="pt-BR"/>
    </w:rPr>
  </w:style>
  <w:style w:type="character" w:styleId="TextodecomentrioChar1" w:customStyle="1">
    <w:name w:val="Texto de comentário Char1"/>
    <w:basedOn w:val="DefaultParagraphFont"/>
    <w:uiPriority w:val="99"/>
    <w:semiHidden/>
    <w:qFormat/>
    <w:rsid w:val="00c074da"/>
    <w:rPr>
      <w:rFonts w:ascii="Arial" w:hAnsi="Arial" w:eastAsia="Times New Roman" w:cs="Tahoma"/>
      <w:sz w:val="20"/>
      <w:szCs w:val="20"/>
      <w:lang w:eastAsia="pt-BR"/>
    </w:rPr>
  </w:style>
  <w:style w:type="character" w:styleId="AssuntodocomentrioChar1" w:customStyle="1">
    <w:name w:val="Assunto do comentário Char1"/>
    <w:basedOn w:val="TextodecomentrioChar1"/>
    <w:uiPriority w:val="99"/>
    <w:semiHidden/>
    <w:qFormat/>
    <w:rsid w:val="00c074da"/>
    <w:rPr>
      <w:rFonts w:ascii="Arial" w:hAnsi="Arial" w:eastAsia="Times New Roman" w:cs="Tahoma"/>
      <w:b/>
      <w:bCs/>
      <w:sz w:val="20"/>
      <w:szCs w:val="20"/>
      <w:lang w:eastAsia="pt-BR"/>
    </w:rPr>
  </w:style>
  <w:style w:type="character" w:styleId="TextodebaloChar1" w:customStyle="1">
    <w:name w:val="Texto de balão Char1"/>
    <w:basedOn w:val="DefaultParagraphFont"/>
    <w:uiPriority w:val="99"/>
    <w:semiHidden/>
    <w:qFormat/>
    <w:rsid w:val="00c074da"/>
    <w:rPr>
      <w:rFonts w:ascii="Segoe UI" w:hAnsi="Segoe UI" w:eastAsia="Times New Roman" w:cs="Segoe UI"/>
      <w:sz w:val="18"/>
      <w:szCs w:val="18"/>
      <w:lang w:eastAsia="pt-BR"/>
    </w:rPr>
  </w:style>
  <w:style w:type="character" w:styleId="CabealhoChar1" w:customStyle="1">
    <w:name w:val="Cabeçalho Char1"/>
    <w:basedOn w:val="DefaultParagraphFont"/>
    <w:uiPriority w:val="99"/>
    <w:semiHidden/>
    <w:qFormat/>
    <w:rsid w:val="00c074da"/>
    <w:rPr>
      <w:rFonts w:ascii="Arial" w:hAnsi="Arial" w:eastAsia="Times New Roman" w:cs="Tahoma"/>
      <w:sz w:val="20"/>
      <w:szCs w:val="24"/>
      <w:lang w:eastAsia="pt-BR"/>
    </w:rPr>
  </w:style>
  <w:style w:type="character" w:styleId="RodapChar1" w:customStyle="1">
    <w:name w:val="Rodapé Char1"/>
    <w:basedOn w:val="DefaultParagraphFont"/>
    <w:uiPriority w:val="99"/>
    <w:semiHidden/>
    <w:qFormat/>
    <w:rsid w:val="00c074da"/>
    <w:rPr>
      <w:rFonts w:ascii="Arial" w:hAnsi="Arial" w:eastAsia="Times New Roman" w:cs="Tahoma"/>
      <w:sz w:val="20"/>
      <w:szCs w:val="24"/>
      <w:lang w:eastAsia="pt-BR"/>
    </w:rPr>
  </w:style>
  <w:style w:type="character" w:styleId="cf01" w:customStyle="1">
    <w:name w:val="cf01"/>
    <w:basedOn w:val="DefaultParagraphFont"/>
    <w:qFormat/>
    <w:rsid w:val="00c074da"/>
    <w:rPr>
      <w:rFonts w:ascii="Segoe UI" w:hAnsi="Segoe UI" w:cs="Segoe UI"/>
      <w:color w:val="555555"/>
      <w:sz w:val="18"/>
      <w:szCs w:val="18"/>
      <w:shd w:fill="FFFFFF" w:val="clear"/>
    </w:rPr>
  </w:style>
  <w:style w:type="character" w:styleId="MenoPendente1" w:customStyle="1">
    <w:name w:val="Menção Pendente1"/>
    <w:basedOn w:val="DefaultParagraphFont"/>
    <w:uiPriority w:val="99"/>
    <w:semiHidden/>
    <w:unhideWhenUsed/>
    <w:qFormat/>
    <w:rsid w:val="00c074da"/>
    <w:rPr>
      <w:color w:val="605E5C"/>
      <w:shd w:fill="E1DFDD" w:val="clear"/>
    </w:rPr>
  </w:style>
  <w:style w:type="character" w:styleId="PlaceholderText">
    <w:name w:val="Placeholder Text"/>
    <w:basedOn w:val="DefaultParagraphFont"/>
    <w:uiPriority w:val="99"/>
    <w:semiHidden/>
    <w:qFormat/>
    <w:rsid w:val="004d7acd"/>
    <w:rPr>
      <w:color w:val="808080"/>
    </w:rPr>
  </w:style>
  <w:style w:type="character" w:styleId="Estilo1" w:customStyle="1">
    <w:name w:val="Estilo1"/>
    <w:basedOn w:val="DefaultParagraphFont"/>
    <w:uiPriority w:val="1"/>
    <w:qFormat/>
    <w:rsid w:val="004d7acd"/>
    <w:rPr>
      <w:rFonts w:ascii="Arial" w:hAnsi="Arial"/>
      <w:b/>
      <w:color w:themeColor="accent6" w:themeShade="bf" w:val="538135"/>
      <w:sz w:val="24"/>
    </w:rPr>
  </w:style>
  <w:style w:type="character" w:styleId="UnresolvedMention">
    <w:name w:val="Unresolved Mention"/>
    <w:basedOn w:val="DefaultParagraphFont"/>
    <w:uiPriority w:val="99"/>
    <w:semiHidden/>
    <w:unhideWhenUsed/>
    <w:qFormat/>
    <w:rsid w:val="004d7acd"/>
    <w:rPr>
      <w:color w:val="605E5C"/>
      <w:shd w:fill="E1DFDD" w:val="clear"/>
    </w:rPr>
  </w:style>
  <w:style w:type="character" w:styleId="Nivel2Char" w:customStyle="1">
    <w:name w:val="Nivel 2 Char"/>
    <w:basedOn w:val="DefaultParagraphFont"/>
    <w:link w:val="Nivel2"/>
    <w:qFormat/>
    <w:locked/>
    <w:rsid w:val="00e23f9e"/>
    <w:rPr>
      <w:rFonts w:ascii="Arial" w:hAnsi="Arial" w:eastAsia="Times New Roman" w:cs="Arial"/>
      <w:bCs/>
      <w:sz w:val="20"/>
      <w:szCs w:val="20"/>
    </w:rPr>
  </w:style>
  <w:style w:type="character" w:styleId="Nvel3-RChar" w:customStyle="1">
    <w:name w:val="Nível 3-R Char"/>
    <w:basedOn w:val="DefaultParagraphFont"/>
    <w:link w:val="Nvel3-R"/>
    <w:qFormat/>
    <w:rsid w:val="004d3a98"/>
    <w:rPr>
      <w:rFonts w:ascii="Arial" w:hAnsi="Arial" w:eastAsia="Times New Roman" w:cs="Arial"/>
      <w:i/>
      <w:iCs/>
      <w:color w:val="EE0000"/>
      <w:sz w:val="20"/>
      <w:szCs w:val="20"/>
      <w:lang w:eastAsia="zh-CN" w:bidi="hi-IN"/>
    </w:rPr>
  </w:style>
  <w:style w:type="character" w:styleId="Nvel4-RChar" w:customStyle="1">
    <w:name w:val="Nível 4-R Char"/>
    <w:basedOn w:val="Nivel4Char"/>
    <w:link w:val="Nvel4-R"/>
    <w:qFormat/>
    <w:rsid w:val="00c46b78"/>
    <w:rPr>
      <w:rFonts w:ascii="Arial" w:hAnsi="Arial" w:eastAsia="" w:cs="Arial" w:eastAsiaTheme="minorEastAsia"/>
      <w:i/>
      <w:iCs/>
      <w:color w:val="FF0000"/>
      <w:sz w:val="20"/>
      <w:szCs w:val="20"/>
      <w:lang w:eastAsia="zh-CN" w:bidi="hi-IN"/>
    </w:rPr>
  </w:style>
  <w:style w:type="character" w:styleId="Nivel3Char" w:customStyle="1">
    <w:name w:val="Nivel 3 Char"/>
    <w:basedOn w:val="DefaultParagraphFont"/>
    <w:link w:val="Nivel3"/>
    <w:qFormat/>
    <w:rsid w:val="00e45ff7"/>
    <w:rPr>
      <w:rFonts w:ascii="Arial" w:hAnsi="Arial" w:eastAsia="WenQuanYi Micro Hei" w:cs="Arial"/>
      <w:sz w:val="20"/>
      <w:szCs w:val="20"/>
      <w:lang w:eastAsia="zh-CN" w:bidi="hi-IN"/>
    </w:rPr>
  </w:style>
  <w:style w:type="character" w:styleId="Nvel2-OpcionalChar" w:customStyle="1">
    <w:name w:val="Nível 2-Opcional Char"/>
    <w:basedOn w:val="DefaultParagraphFont"/>
    <w:link w:val="Nvel2-Opcional"/>
    <w:qFormat/>
    <w:rsid w:val="00431c67"/>
    <w:rPr>
      <w:rFonts w:ascii="Arial" w:hAnsi="Arial" w:eastAsia="Times New Roman" w:cs="Arial"/>
      <w:bCs/>
      <w:i/>
      <w:color w:val="EE0000"/>
      <w:sz w:val="20"/>
      <w:szCs w:val="20"/>
    </w:rPr>
  </w:style>
  <w:style w:type="character" w:styleId="Nvel2MistoChar" w:customStyle="1">
    <w:name w:val="Nível2Misto Char"/>
    <w:basedOn w:val="Nivel2Char"/>
    <w:link w:val="Nvel2Misto"/>
    <w:qFormat/>
    <w:rsid w:val="00f87792"/>
    <w:rPr>
      <w:rFonts w:ascii="Arial" w:hAnsi="Arial" w:eastAsia="Arial" w:cs="Arial"/>
      <w:bCs/>
      <w:color w:val="000000"/>
      <w:sz w:val="20"/>
      <w:szCs w:val="20"/>
    </w:rPr>
  </w:style>
  <w:style w:type="character" w:styleId="Nvel3MistoChar" w:customStyle="1">
    <w:name w:val="Nível 3 Misto Char"/>
    <w:basedOn w:val="Nivel3Char"/>
    <w:link w:val="Nvel3Misto"/>
    <w:qFormat/>
    <w:rsid w:val="007f4145"/>
    <w:rPr>
      <w:rFonts w:ascii="Arial" w:hAnsi="Arial" w:eastAsia="WenQuanYi Micro Hei" w:cs="Arial"/>
      <w:sz w:val="20"/>
      <w:szCs w:val="20"/>
      <w:lang w:eastAsia="zh-CN" w:bidi="hi-IN"/>
    </w:rPr>
  </w:style>
  <w:style w:type="character" w:styleId="Vnculodendice">
    <w:name w:val="Vínculo de índice"/>
    <w:qFormat/>
    <w:rPr/>
  </w:style>
  <w:style w:type="character" w:styleId="Fontepargpadro">
    <w:name w:val="Fonte parág. padrão"/>
    <w:qFormat/>
    <w:rPr/>
  </w:style>
  <w:style w:type="paragraph" w:styleId="Ttulo">
    <w:name w:val="Título"/>
    <w:basedOn w:val="Normal"/>
    <w:next w:val="BodyText"/>
    <w:qFormat/>
    <w:pPr>
      <w:keepNext w:val="true"/>
      <w:spacing w:before="240" w:after="120"/>
    </w:pPr>
    <w:rPr>
      <w:rFonts w:ascii="Liberation Sans" w:hAnsi="Liberation Sans" w:eastAsia="Noto Sans CJK SC" w:cs="Noto Sans Devanagari"/>
      <w:sz w:val="28"/>
      <w:szCs w:val="28"/>
    </w:rPr>
  </w:style>
  <w:style w:type="paragraph" w:styleId="BodyText">
    <w:name w:val="Body Text"/>
    <w:basedOn w:val="Normal"/>
    <w:link w:val="CorpodetextoChar"/>
    <w:rsid w:val="00c074da"/>
    <w:pPr>
      <w:spacing w:lineRule="auto" w:line="276" w:before="0" w:after="140"/>
    </w:pPr>
    <w:rPr/>
  </w:style>
  <w:style w:type="paragraph" w:styleId="List">
    <w:name w:val="List"/>
    <w:basedOn w:val="BodyText"/>
    <w:rsid w:val="00c074da"/>
    <w:pPr/>
    <w:rPr>
      <w:rFonts w:cs="FreeSans"/>
    </w:rPr>
  </w:style>
  <w:style w:type="paragraph" w:styleId="Caption">
    <w:name w:val="Caption"/>
    <w:basedOn w:val="Normal"/>
    <w:qFormat/>
    <w:rsid w:val="00c074da"/>
    <w:pPr>
      <w:suppressLineNumbers/>
      <w:spacing w:before="120" w:after="120"/>
    </w:pPr>
    <w:rPr>
      <w:rFonts w:cs="FreeSans"/>
      <w:i/>
      <w:iCs/>
      <w:sz w:val="24"/>
    </w:rPr>
  </w:style>
  <w:style w:type="paragraph" w:styleId="ndice" w:customStyle="1">
    <w:name w:val="Índice"/>
    <w:basedOn w:val="Normal"/>
    <w:qFormat/>
    <w:rsid w:val="00c074da"/>
    <w:pPr>
      <w:suppressLineNumbers/>
    </w:pPr>
    <w:rPr>
      <w:rFonts w:cs="FreeSans"/>
    </w:rPr>
  </w:style>
  <w:style w:type="paragraph" w:styleId="Title">
    <w:name w:val="Title"/>
    <w:basedOn w:val="Normal"/>
    <w:next w:val="BodyText"/>
    <w:link w:val="TtuloChar"/>
    <w:qFormat/>
    <w:rsid w:val="00c074da"/>
    <w:pPr>
      <w:keepNext w:val="true"/>
      <w:spacing w:before="240" w:after="120"/>
    </w:pPr>
    <w:rPr>
      <w:rFonts w:ascii="Liberation Sans" w:hAnsi="Liberation Sans" w:eastAsia="Noto Sans CJK SC" w:cs="FreeSans"/>
      <w:sz w:val="28"/>
      <w:szCs w:val="28"/>
    </w:rPr>
  </w:style>
  <w:style w:type="paragraph" w:styleId="Quote">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lang w:eastAsia="en-US"/>
    </w:rPr>
  </w:style>
  <w:style w:type="paragraph" w:styleId="Nivel01" w:customStyle="1">
    <w:name w:val="Nivel 01"/>
    <w:basedOn w:val="Heading1"/>
    <w:next w:val="Normal"/>
    <w:link w:val="Nivel01Char"/>
    <w:qFormat/>
    <w:rsid w:val="00f716d0"/>
    <w:pPr>
      <w:spacing w:lineRule="auto" w:line="312"/>
      <w:ind w:hanging="357" w:left="357"/>
    </w:pPr>
    <w:rPr/>
  </w:style>
  <w:style w:type="paragraph" w:styleId="PADRO" w:customStyle="1">
    <w:name w:val="PADRÃO"/>
    <w:autoRedefine/>
    <w:qFormat/>
    <w:rsid w:val="003e23b4"/>
    <w:pPr>
      <w:keepNext w:val="true"/>
      <w:widowControl w:val="false"/>
      <w:shd w:val="clear" w:color="auto" w:fill="FFFFFF"/>
      <w:suppressAutoHyphens w:val="true"/>
      <w:bidi w:val="0"/>
      <w:spacing w:lineRule="auto" w:line="276" w:before="120" w:after="120"/>
      <w:jc w:val="both"/>
      <w:textAlignment w:val="baseline"/>
    </w:pPr>
    <w:rPr>
      <w:rFonts w:ascii="Ecofont_Spranq_eco_Sans" w:hAnsi="Ecofont_Spranq_eco_Sans" w:eastAsia="WenQuanYi Micro Hei" w:cs="Lohit Hindi"/>
      <w:color w:val="auto"/>
      <w:kern w:val="0"/>
      <w:sz w:val="20"/>
      <w:szCs w:val="24"/>
      <w:lang w:val="pt-BR" w:eastAsia="zh-CN" w:bidi="hi-IN"/>
    </w:rPr>
  </w:style>
  <w:style w:type="paragraph" w:styleId="ListParagraph">
    <w:name w:val="List Paragraph"/>
    <w:basedOn w:val="Normal"/>
    <w:uiPriority w:val="34"/>
    <w:qFormat/>
    <w:rsid w:val="00c074da"/>
    <w:pPr>
      <w:spacing w:before="0" w:after="0"/>
      <w:ind w:left="720"/>
      <w:contextualSpacing/>
    </w:pPr>
    <w:rPr/>
  </w:style>
  <w:style w:type="paragraph" w:styleId="citao2" w:customStyle="1">
    <w:name w:val="citação 2"/>
    <w:basedOn w:val="Quote"/>
    <w:qFormat/>
    <w:rsid w:val="00c074da"/>
    <w:pPr/>
    <w:rPr>
      <w:szCs w:val="20"/>
    </w:rPr>
  </w:style>
  <w:style w:type="paragraph" w:styleId="Citao1" w:customStyle="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Ecofont_Spranq_eco_Sans" w:hAnsi="Ecofont_Spranq_eco_Sans" w:eastAsia="Calibri"/>
      <w:i/>
      <w:iCs/>
      <w:color w:val="000000"/>
      <w:sz w:val="22"/>
      <w:szCs w:val="22"/>
      <w:lang w:eastAsia="en-US"/>
    </w:rPr>
  </w:style>
  <w:style w:type="paragraph" w:styleId="AnnotationText">
    <w:name w:val="Annotation Text"/>
    <w:basedOn w:val="Normal"/>
    <w:link w:val="TextodecomentrioChar"/>
    <w:unhideWhenUsed/>
    <w:rsid w:val="00c074da"/>
    <w:pPr/>
    <w:rPr>
      <w:szCs w:val="20"/>
    </w:rPr>
  </w:style>
  <w:style w:type="paragraph" w:styleId="annotationsubject">
    <w:name w:val="annotation subject"/>
    <w:basedOn w:val="AnnotationText"/>
    <w:next w:val="AnnotationText"/>
    <w:link w:val="AssuntodocomentrioChar"/>
    <w:uiPriority w:val="99"/>
    <w:semiHidden/>
    <w:unhideWhenUsed/>
    <w:qFormat/>
    <w:rsid w:val="00c074da"/>
    <w:pPr/>
    <w:rPr>
      <w:b/>
      <w:bCs/>
    </w:rPr>
  </w:style>
  <w:style w:type="paragraph" w:styleId="Nivel1" w:customStyle="1">
    <w:name w:val="Nivel1"/>
    <w:basedOn w:val="Heading1"/>
    <w:qFormat/>
    <w:rsid w:val="00c074da"/>
    <w:pPr>
      <w:spacing w:before="480" w:after="120"/>
      <w:ind w:left="644"/>
    </w:pPr>
    <w:rPr>
      <w:rFonts w:cs="Times New Roman"/>
      <w:b w:val="false"/>
      <w:color w:val="000000"/>
      <w:szCs w:val="20"/>
    </w:rPr>
  </w:style>
  <w:style w:type="paragraph" w:styleId="Nivel2" w:customStyle="1">
    <w:name w:val="Nivel 2"/>
    <w:basedOn w:val="Normal"/>
    <w:link w:val="Nivel2Char"/>
    <w:qFormat/>
    <w:rsid w:val="00e23f9e"/>
    <w:pPr>
      <w:numPr>
        <w:ilvl w:val="1"/>
        <w:numId w:val="1"/>
      </w:numPr>
      <w:spacing w:lineRule="auto" w:line="276" w:before="120" w:after="120"/>
      <w:ind w:hanging="0" w:left="0"/>
      <w:jc w:val="both"/>
    </w:pPr>
    <w:rPr>
      <w:rFonts w:cs="Arial"/>
      <w:bCs/>
      <w:szCs w:val="20"/>
      <w:lang w:eastAsia="en-US"/>
    </w:rPr>
  </w:style>
  <w:style w:type="paragraph" w:styleId="Nivel11" w:customStyle="1">
    <w:name w:val="Nivel 1"/>
    <w:basedOn w:val="Nivel2"/>
    <w:next w:val="Nivel2"/>
    <w:qFormat/>
    <w:rsid w:val="00c074da"/>
    <w:pPr/>
    <w:rPr>
      <w:b/>
    </w:rPr>
  </w:style>
  <w:style w:type="paragraph" w:styleId="Nivel3" w:customStyle="1">
    <w:name w:val="Nivel 3"/>
    <w:basedOn w:val="PADRO"/>
    <w:link w:val="Nivel3Char"/>
    <w:qFormat/>
    <w:rsid w:val="00e45ff7"/>
    <w:pPr>
      <w:keepNext w:val="false"/>
      <w:widowControl/>
      <w:numPr>
        <w:ilvl w:val="2"/>
        <w:numId w:val="1"/>
      </w:numPr>
      <w:shd w:val="clear" w:color="auto" w:fill="auto"/>
      <w:ind w:hanging="0" w:left="284"/>
    </w:pPr>
    <w:rPr>
      <w:rFonts w:ascii="Arial" w:hAnsi="Arial" w:cs="Arial"/>
      <w:szCs w:val="20"/>
    </w:rPr>
  </w:style>
  <w:style w:type="paragraph" w:styleId="Nivel4" w:customStyle="1">
    <w:name w:val="Nivel 4"/>
    <w:basedOn w:val="Normal"/>
    <w:link w:val="Nivel4Char"/>
    <w:qFormat/>
    <w:rsid w:val="00c46b78"/>
    <w:pPr>
      <w:numPr>
        <w:ilvl w:val="3"/>
        <w:numId w:val="1"/>
      </w:numPr>
      <w:suppressAutoHyphens w:val="false"/>
      <w:spacing w:lineRule="auto" w:line="276" w:before="120" w:after="120"/>
      <w:ind w:hanging="0" w:left="567"/>
      <w:jc w:val="both"/>
      <w:textAlignment w:val="baseline"/>
    </w:pPr>
    <w:rPr>
      <w:rFonts w:eastAsia="" w:cs="Arial" w:eastAsiaTheme="minorEastAsia"/>
      <w:szCs w:val="20"/>
      <w:lang w:eastAsia="zh-CN" w:bidi="hi-IN"/>
    </w:rPr>
  </w:style>
  <w:style w:type="paragraph" w:styleId="Nivel5" w:customStyle="1">
    <w:name w:val="Nivel 5"/>
    <w:basedOn w:val="Nivel4"/>
    <w:qFormat/>
    <w:rsid w:val="00c074da"/>
    <w:pPr>
      <w:tabs>
        <w:tab w:val="clear" w:pos="708"/>
        <w:tab w:val="left" w:pos="360" w:leader="none"/>
      </w:tabs>
    </w:pPr>
    <w:rPr/>
  </w:style>
  <w:style w:type="paragraph" w:styleId="BalloonText">
    <w:name w:val="Balloon Text"/>
    <w:basedOn w:val="Normal"/>
    <w:link w:val="TextodebaloChar"/>
    <w:uiPriority w:val="99"/>
    <w:semiHidden/>
    <w:unhideWhenUsed/>
    <w:qFormat/>
    <w:rsid w:val="00c074da"/>
    <w:pPr/>
    <w:rPr>
      <w:rFonts w:ascii="Segoe UI" w:hAnsi="Segoe UI" w:cs="Segoe UI"/>
      <w:sz w:val="18"/>
      <w:szCs w:val="18"/>
    </w:rPr>
  </w:style>
  <w:style w:type="paragraph" w:styleId="CabealhoeRodap" w:customStyle="1">
    <w:name w:val="Cabeçalho e Rodapé"/>
    <w:basedOn w:val="Normal"/>
    <w:qFormat/>
    <w:rsid w:val="00c074da"/>
    <w:pPr/>
    <w:rPr/>
  </w:style>
  <w:style w:type="paragraph" w:styleId="Cabealhoerodap1">
    <w:name w:val="Cabeçalho e rodapé1"/>
    <w:basedOn w:val="Normal"/>
    <w:qFormat/>
    <w:pPr/>
    <w:rPr/>
  </w:style>
  <w:style w:type="paragraph" w:styleId="Cabealhoerodap2">
    <w:name w:val="Cabeçalho e rodapé2"/>
    <w:basedOn w:val="Normal"/>
    <w:qFormat/>
    <w:pPr/>
    <w:rPr/>
  </w:style>
  <w:style w:type="paragraph" w:styleId="Cabealhoerodap3">
    <w:name w:val="Cabeçalho e rodapé3"/>
    <w:basedOn w:val="Normal"/>
    <w:qFormat/>
    <w:pPr/>
    <w:rPr/>
  </w:style>
  <w:style w:type="paragraph" w:styleId="Header">
    <w:name w:val="Header"/>
    <w:basedOn w:val="Normal"/>
    <w:link w:val="CabealhoChar"/>
    <w:unhideWhenUsed/>
    <w:rsid w:val="00c074da"/>
    <w:pPr>
      <w:tabs>
        <w:tab w:val="clear" w:pos="708"/>
        <w:tab w:val="center" w:pos="4252" w:leader="none"/>
        <w:tab w:val="right" w:pos="8504" w:leader="none"/>
      </w:tabs>
    </w:pPr>
    <w:rPr/>
  </w:style>
  <w:style w:type="paragraph" w:styleId="Footer">
    <w:name w:val="Footer"/>
    <w:basedOn w:val="Normal"/>
    <w:link w:val="RodapChar"/>
    <w:uiPriority w:val="99"/>
    <w:unhideWhenUsed/>
    <w:rsid w:val="00c074da"/>
    <w:pPr>
      <w:tabs>
        <w:tab w:val="clear" w:pos="708"/>
        <w:tab w:val="center" w:pos="4252" w:leader="none"/>
        <w:tab w:val="right" w:pos="8504" w:leader="none"/>
      </w:tabs>
    </w:pPr>
    <w:rPr/>
  </w:style>
  <w:style w:type="paragraph" w:styleId="Nivel01Titulo" w:customStyle="1">
    <w:name w:val="Nivel_01_Titulo"/>
    <w:basedOn w:val="Heading1"/>
    <w:next w:val="Normal"/>
    <w:qFormat/>
    <w:rsid w:val="00c074da"/>
    <w:pPr>
      <w:tabs>
        <w:tab w:val="clear" w:pos="708"/>
        <w:tab w:val="left" w:pos="360" w:leader="none"/>
        <w:tab w:val="left" w:pos="567" w:leader="none"/>
      </w:tabs>
    </w:pPr>
    <w:rPr>
      <w:rFonts w:cs="Times New Roman"/>
      <w:b w:val="false"/>
      <w:bCs/>
      <w:szCs w:val="20"/>
    </w:rPr>
  </w:style>
  <w:style w:type="paragraph" w:styleId="Revision">
    <w:name w:val="Revision"/>
    <w:uiPriority w:val="99"/>
    <w:semiHidden/>
    <w:qFormat/>
    <w:rsid w:val="00c074da"/>
    <w:pPr>
      <w:widowControl/>
      <w:suppressAutoHyphens w:val="true"/>
      <w:bidi w:val="0"/>
      <w:spacing w:lineRule="auto" w:line="240" w:before="0" w:after="0"/>
      <w:jc w:val="left"/>
    </w:pPr>
    <w:rPr>
      <w:rFonts w:ascii="Arial" w:hAnsi="Arial" w:eastAsia="Times New Roman" w:cs="Tahoma"/>
      <w:color w:val="auto"/>
      <w:kern w:val="0"/>
      <w:sz w:val="20"/>
      <w:szCs w:val="24"/>
      <w:lang w:val="pt-BR" w:eastAsia="pt-BR" w:bidi="ar-SA"/>
    </w:rPr>
  </w:style>
  <w:style w:type="paragraph" w:styleId="IndexHeading">
    <w:name w:val="Index Heading"/>
    <w:basedOn w:val="Ttulo"/>
    <w:pPr/>
    <w:rPr/>
  </w:style>
  <w:style w:type="paragraph" w:styleId="TOCHeading">
    <w:name w:val="TOC Heading"/>
    <w:basedOn w:val="Heading1"/>
    <w:next w:val="Normal"/>
    <w:uiPriority w:val="39"/>
    <w:unhideWhenUsed/>
    <w:qFormat/>
    <w:rsid w:val="00781aff"/>
    <w:pPr>
      <w:keepNext w:val="true"/>
      <w:keepLines/>
      <w:numPr>
        <w:ilvl w:val="0"/>
        <w:numId w:val="0"/>
      </w:numPr>
      <w:suppressAutoHyphens w:val="false"/>
      <w:spacing w:lineRule="auto" w:line="259" w:before="240" w:after="0"/>
      <w:jc w:val="left"/>
      <w:textAlignment w:val="auto"/>
      <w:outlineLvl w:val="9"/>
    </w:pPr>
    <w:rPr>
      <w:rFonts w:ascii="Calibri Light" w:hAnsi="Calibri Light" w:eastAsia="" w:cs="" w:asciiTheme="majorHAnsi" w:cstheme="majorBidi" w:eastAsiaTheme="majorEastAsia" w:hAnsiTheme="majorHAnsi"/>
      <w:b w:val="false"/>
      <w:color w:themeColor="accent1" w:themeShade="bf" w:val="2E74B5"/>
      <w:sz w:val="32"/>
      <w:szCs w:val="32"/>
      <w:lang w:eastAsia="pt-BR" w:bidi="ar-SA"/>
    </w:rPr>
  </w:style>
  <w:style w:type="paragraph" w:styleId="TOC1">
    <w:name w:val="TOC 1"/>
    <w:basedOn w:val="Normal"/>
    <w:next w:val="Normal"/>
    <w:autoRedefine/>
    <w:uiPriority w:val="39"/>
    <w:unhideWhenUsed/>
    <w:rsid w:val="00097a7d"/>
    <w:pPr>
      <w:tabs>
        <w:tab w:val="clear" w:pos="708"/>
        <w:tab w:val="left" w:pos="440" w:leader="none"/>
        <w:tab w:val="right" w:pos="8494" w:leader="dot"/>
      </w:tabs>
      <w:spacing w:before="0" w:after="100"/>
    </w:pPr>
    <w:rPr/>
  </w:style>
  <w:style w:type="paragraph" w:styleId="Nvel3-R" w:customStyle="1">
    <w:name w:val="Nível 3-R"/>
    <w:basedOn w:val="Nivel3"/>
    <w:link w:val="Nvel3-RChar"/>
    <w:qFormat/>
    <w:rsid w:val="004d3a98"/>
    <w:pPr>
      <w:suppressAutoHyphens w:val="false"/>
    </w:pPr>
    <w:rPr>
      <w:rFonts w:eastAsia="Times New Roman"/>
      <w:i/>
      <w:iCs/>
      <w:color w:val="EE0000"/>
    </w:rPr>
  </w:style>
  <w:style w:type="paragraph" w:styleId="Nvel4-R" w:customStyle="1">
    <w:name w:val="Nível 4-R"/>
    <w:basedOn w:val="Nivel4"/>
    <w:link w:val="Nvel4-RChar"/>
    <w:qFormat/>
    <w:rsid w:val="00c46b78"/>
    <w:pPr/>
    <w:rPr>
      <w:i/>
      <w:iCs/>
      <w:color w:val="FF0000"/>
    </w:rPr>
  </w:style>
  <w:style w:type="paragraph" w:styleId="Nvel2-Opcional" w:customStyle="1">
    <w:name w:val="Nível 2-Opcional"/>
    <w:basedOn w:val="Nivel2"/>
    <w:link w:val="Nvel2-OpcionalChar"/>
    <w:qFormat/>
    <w:rsid w:val="00431c67"/>
    <w:pPr/>
    <w:rPr>
      <w:i/>
      <w:color w:val="EE0000"/>
    </w:rPr>
  </w:style>
  <w:style w:type="paragraph" w:styleId="Nvel2Misto" w:customStyle="1">
    <w:name w:val="Nível2Misto"/>
    <w:basedOn w:val="Nivel2"/>
    <w:link w:val="Nvel2MistoChar"/>
    <w:qFormat/>
    <w:rsid w:val="00f87792"/>
    <w:pPr/>
    <w:rPr>
      <w:rFonts w:eastAsia="Arial"/>
      <w:color w:val="000000"/>
    </w:rPr>
  </w:style>
  <w:style w:type="paragraph" w:styleId="Nvel3Misto" w:customStyle="1">
    <w:name w:val="Nível 3 Misto"/>
    <w:basedOn w:val="Nivel3"/>
    <w:link w:val="Nvel3MistoChar"/>
    <w:qFormat/>
    <w:rsid w:val="007f4145"/>
    <w:pPr/>
    <w:rPr/>
  </w:style>
  <w:style w:type="paragraph" w:styleId="Contedodatabela">
    <w:name w:val="Conteúdo da tabela"/>
    <w:basedOn w:val="Normal"/>
    <w:qFormat/>
    <w:pPr>
      <w:widowControl w:val="false"/>
      <w:suppressLineNumbers/>
    </w:pPr>
    <w:rPr/>
  </w:style>
  <w:style w:type="paragraph" w:styleId="Ttulodetabela">
    <w:name w:val="Título de tabela"/>
    <w:basedOn w:val="Contedodatabela"/>
    <w:qFormat/>
    <w:pPr>
      <w:suppressLineNumbers/>
      <w:jc w:val="center"/>
    </w:pPr>
    <w:rPr>
      <w:b/>
      <w:bCs/>
    </w:rPr>
  </w:style>
  <w:style w:type="numbering" w:styleId="Semlista" w:default="1">
    <w:name w:val="Sem lista"/>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uiPriority w:val="39"/>
    <w:rsid w:val="00c074da"/>
    <w:pPr>
      <w:spacing w:after="0" w:line="240" w:lineRule="auto"/>
    </w:pPr>
    <w:rPr>
      <w:rFonts w:eastAsiaTheme="minorEastAsia"/>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s://www.gov.br/compras/pt-br/acesso-a-informacao/legislacao/instrucoes-normativas/instrucao-normativa-seges-me-no-67-de-8-de-julho-de-2021" TargetMode="External"/><Relationship Id="rId4" Type="http://schemas.openxmlformats.org/officeDocument/2006/relationships/hyperlink" Target="http://www.gov.br/compras" TargetMode="External"/><Relationship Id="rId5" Type="http://schemas.openxmlformats.org/officeDocument/2006/relationships/hyperlink" Target="http://www.pncp.gov.br/" TargetMode="External"/><Relationship Id="rId6" Type="http://schemas.openxmlformats.org/officeDocument/2006/relationships/hyperlink" Target="https://www.gov.br/compras/pt-br/sistemas/conheca-o-compras/aplicativo-compras" TargetMode="External"/><Relationship Id="rId7" Type="http://schemas.openxmlformats.org/officeDocument/2006/relationships/hyperlink" Target="http://www.planalto.gov.br/ccivil_03/LEIS/L6404consol.htm" TargetMode="External"/><Relationship Id="rId8" Type="http://schemas.openxmlformats.org/officeDocument/2006/relationships/hyperlink" Target="http://www.planalto.gov.br/ccivil_03/_ato2019-2022/2021/lei/L14133.htm" TargetMode="External"/><Relationship Id="rId9"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_ato2011-2014/2013/lei/l12846.htm" TargetMode="External"/><Relationship Id="rId11" Type="http://schemas.openxmlformats.org/officeDocument/2006/relationships/header" Target="header1.xml"/><Relationship Id="rId12" Type="http://schemas.openxmlformats.org/officeDocument/2006/relationships/header" Target="header2.xml"/><Relationship Id="rId13" Type="http://schemas.openxmlformats.org/officeDocument/2006/relationships/header" Target="header3.xml"/><Relationship Id="rId14" Type="http://schemas.openxmlformats.org/officeDocument/2006/relationships/footer" Target="footer1.xml"/><Relationship Id="rId15" Type="http://schemas.openxmlformats.org/officeDocument/2006/relationships/footer" Target="footer2.xml"/><Relationship Id="rId16" Type="http://schemas.openxmlformats.org/officeDocument/2006/relationships/footer" Target="footer3.xml"/><Relationship Id="rId17" Type="http://schemas.openxmlformats.org/officeDocument/2006/relationships/numbering" Target="numbering.xml"/><Relationship Id="rId18" Type="http://schemas.openxmlformats.org/officeDocument/2006/relationships/fontTable" Target="fontTable.xml"/><Relationship Id="rId19" Type="http://schemas.openxmlformats.org/officeDocument/2006/relationships/settings" Target="settings.xml"/><Relationship Id="rId20" Type="http://schemas.openxmlformats.org/officeDocument/2006/relationships/theme" Target="theme/theme1.xml"/>
</Relationships>
</file>

<file path=word/_rels/header3.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hyperlink" Target="https://www.comprasnet.gov.br/seguro/loginPortalFornecedor.asp" TargetMode="External"/>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50</TotalTime>
  <Application>LibreOffice/24.2.7.2$Linux_X86_64 LibreOffice_project/420$Build-2</Application>
  <AppVersion>15.0000</AppVersion>
  <Pages>18</Pages>
  <Words>7134</Words>
  <Characters>39690</Characters>
  <CharactersWithSpaces>46224</CharactersWithSpaces>
  <Paragraphs>415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2026-04-13T11:37:00Z</dcterms:created>
  <dc:creator/>
  <dc:description/>
  <dc:language>pt-BR</dc:language>
  <cp:lastModifiedBy/>
  <dcterms:modified xsi:type="dcterms:W3CDTF">2026-09-10T15:25:57Z</dcterms:modified>
  <cp:revision>12</cp:revision>
  <dc:subject/>
  <dc:title/>
</cp:coreProperties>
</file>

<file path=docProps/custom.xml><?xml version="1.0" encoding="utf-8"?>
<Properties xmlns="http://schemas.openxmlformats.org/officeDocument/2006/custom-properties" xmlns:vt="http://schemas.openxmlformats.org/officeDocument/2006/docPropsVTypes"/>
</file>