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rPr>
          <w:rFonts w:eastAsia="" w:cs="Arial" w:eastAsiaTheme="minorEastAsia"/>
          <w:color w:val="405CA1"/>
          <w:sz w:val="56"/>
          <w:szCs w:val="56"/>
        </w:rPr>
      </w:pPr>
      <w:r>
        <w:rPr>
          <w:rFonts w:eastAsia="" w:cs="Arial" w:eastAsiaTheme="minorEastAsia"/>
          <w:color w:val="405CA1"/>
          <w:sz w:val="56"/>
          <w:szCs w:val="56"/>
        </w:rPr>
        <w:t>AVISO DE CONTRATAÇÃO</w:t>
      </w:r>
    </w:p>
    <w:p>
      <w:pPr>
        <w:pStyle w:val="Normal"/>
        <w:rPr>
          <w:rFonts w:eastAsia="" w:cs="Arial" w:eastAsiaTheme="minorEastAsia"/>
          <w:color w:val="405CA1"/>
          <w:sz w:val="56"/>
          <w:szCs w:val="56"/>
        </w:rPr>
      </w:pPr>
      <w:r>
        <w:rPr>
          <w:rFonts w:eastAsia="" w:cs="Arial" w:eastAsiaTheme="minorEastAsia"/>
          <w:color w:val="405CA1"/>
          <w:sz w:val="56"/>
          <w:szCs w:val="56"/>
        </w:rPr>
        <w:t>DIRETA</w:t>
      </w:r>
    </w:p>
    <w:p>
      <w:pPr>
        <w:pStyle w:val="Normal"/>
        <w:spacing w:lineRule="auto" w:line="259"/>
        <w:rPr>
          <w:rFonts w:cs="Arial"/>
          <w:bCs/>
          <w:color w:val="5B5B5F"/>
          <w:sz w:val="28"/>
          <w:szCs w:val="28"/>
        </w:rPr>
      </w:pPr>
      <w:r>
        <w:rPr>
          <w:rFonts w:cs="Arial"/>
          <w:bCs/>
          <w:i/>
          <w:iCs/>
          <w:color w:val="5B5B5F"/>
          <w:sz w:val="28"/>
          <w:szCs w:val="28"/>
        </w:rPr>
        <w:t>88/2026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CONTRATANTE/</w:t>
      </w:r>
      <w:r>
        <w:rPr>
          <w:rFonts w:eastAsia="" w:cs="Arial" w:eastAsiaTheme="minorEastAsia"/>
          <w:b/>
          <w:bCs/>
          <w:color w:val="405CA1"/>
          <w:sz w:val="32"/>
          <w:szCs w:val="32"/>
          <w:shd w:fill="auto" w:val="clear"/>
        </w:rPr>
        <w:t>PNNSG</w:t>
      </w:r>
      <w:r>
        <w:rPr>
          <w:rFonts w:eastAsia="" w:cs="Arial" w:eastAsiaTheme="minorEastAsia"/>
          <w:b/>
          <w:bCs/>
          <w:color w:val="405CA1"/>
          <w:sz w:val="32"/>
          <w:szCs w:val="32"/>
        </w:rPr>
        <w:t xml:space="preserve"> (765704)</w:t>
      </w:r>
    </w:p>
    <w:p>
      <w:pPr>
        <w:pStyle w:val="Normal"/>
        <w:rPr>
          <w:rFonts w:cs="Arial"/>
          <w:bCs/>
          <w:color w:val="5B5B5F"/>
          <w:sz w:val="28"/>
          <w:szCs w:val="28"/>
        </w:rPr>
      </w:pPr>
      <w:r>
        <w:rPr>
          <w:rFonts w:cs="Arial"/>
          <w:bCs/>
          <w:color w:val="5B5B5F"/>
          <w:sz w:val="28"/>
          <w:szCs w:val="28"/>
        </w:rPr>
        <w:t>POLICLÍNICA NAVAL NOSSA SENHORA DA GLÓRIA</w:t>
      </w:r>
    </w:p>
    <w:p>
      <w:pPr>
        <w:pStyle w:val="Normal"/>
        <w:rPr>
          <w:rFonts w:cs="Arial"/>
          <w:b/>
          <w:bCs/>
          <w:color w:val="405CA1"/>
          <w:sz w:val="32"/>
          <w:szCs w:val="32"/>
        </w:rPr>
      </w:pPr>
      <w:r>
        <w:rPr>
          <w:rFonts w:cs="Arial"/>
          <w:b/>
          <w:bCs/>
          <w:color w:val="405CA1"/>
          <w:sz w:val="32"/>
          <w:szCs w:val="32"/>
        </w:rPr>
      </w:r>
    </w:p>
    <w:p>
      <w:pPr>
        <w:pStyle w:val="Normal"/>
        <w:rPr>
          <w:rFonts w:cs="Arial"/>
          <w:b/>
          <w:bCs/>
          <w:color w:val="5B5B5F"/>
          <w:szCs w:val="20"/>
        </w:rPr>
      </w:pPr>
      <w:r>
        <w:rPr>
          <w:rFonts w:cs="Arial"/>
          <w:b/>
          <w:bCs/>
          <w:color w:val="405CA1"/>
          <w:sz w:val="32"/>
          <w:szCs w:val="32"/>
        </w:rPr>
        <w:t>OBJETO</w:t>
      </w:r>
    </w:p>
    <w:p>
      <w:pPr>
        <w:pStyle w:val="Normal"/>
        <w:jc w:val="both"/>
        <w:rPr>
          <w:color w:val="808080"/>
          <w:sz w:val="22"/>
          <w:szCs w:val="22"/>
        </w:rPr>
      </w:pPr>
      <w:r>
        <w:rPr>
          <w:rFonts w:eastAsia="" w:cs="Arial"/>
          <w:b/>
          <w:bCs/>
          <w:color w:val="808080"/>
          <w:sz w:val="22"/>
          <w:szCs w:val="22"/>
          <w:shd w:fill="auto" w:val="clear"/>
        </w:rPr>
        <w:t xml:space="preserve">AQUISIÇÃO </w:t>
      </w:r>
      <w:r>
        <w:rPr>
          <w:rFonts w:eastAsia="" w:cs="Arial"/>
          <w:b/>
          <w:bCs/>
          <w:color w:val="808080"/>
          <w:sz w:val="22"/>
          <w:szCs w:val="22"/>
          <w:shd w:fill="auto" w:val="clear"/>
        </w:rPr>
        <w:t>INSTALAÇÃO E TRANSPORTE DE CORRIMÃO TUBULAR DE PAREDE E ESCADA</w:t>
      </w:r>
    </w:p>
    <w:p>
      <w:pPr>
        <w:pStyle w:val="Normal"/>
        <w:jc w:val="both"/>
        <w:rPr>
          <w:rFonts w:eastAsia="" w:cs="Arial"/>
          <w:b/>
          <w:bCs/>
          <w:color w:val="405CA1"/>
          <w:sz w:val="32"/>
          <w:szCs w:val="32"/>
          <w:highlight w:val="none"/>
          <w:shd w:fill="auto" w:val="clear"/>
        </w:rPr>
      </w:pPr>
      <w:r>
        <w:rPr/>
      </w:r>
    </w:p>
    <w:p>
      <w:pPr>
        <w:pStyle w:val="Normal"/>
        <w:rPr>
          <w:rFonts w:cs="Arial"/>
          <w:b/>
          <w:bCs/>
          <w:color w:val="405CA1"/>
          <w:sz w:val="32"/>
          <w:szCs w:val="32"/>
        </w:rPr>
      </w:pPr>
      <w:r>
        <w:rPr>
          <w:rFonts w:cs="Arial"/>
          <w:b/>
          <w:bCs/>
          <w:color w:val="405CA1"/>
          <w:sz w:val="32"/>
          <w:szCs w:val="32"/>
        </w:rPr>
        <w:t>VALOR TOTAL DA CONTRATAÇÃO</w:t>
      </w:r>
    </w:p>
    <w:p>
      <w:pPr>
        <w:pStyle w:val="Normal"/>
        <w:rPr>
          <w:rFonts w:cs="Arial"/>
          <w:bCs/>
          <w:color w:val="5B5B5F"/>
          <w:sz w:val="28"/>
          <w:szCs w:val="28"/>
        </w:rPr>
      </w:pPr>
      <w:r>
        <w:rPr>
          <w:rFonts w:cs="Arial"/>
          <w:bCs/>
          <w:color w:val="5B5B5F"/>
          <w:sz w:val="28"/>
          <w:szCs w:val="28"/>
        </w:rPr>
        <w:t>R$59.607,56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DATA DA SESSÃO PÚBLICA</w:t>
      </w:r>
    </w:p>
    <w:p>
      <w:pPr>
        <w:pStyle w:val="Normal"/>
        <w:rPr>
          <w:rFonts w:cs="Arial"/>
          <w:bCs/>
          <w:color w:val="5B5B5F"/>
          <w:sz w:val="28"/>
          <w:szCs w:val="28"/>
        </w:rPr>
      </w:pPr>
      <w:r>
        <w:rPr>
          <w:rFonts w:cs="Arial"/>
          <w:bCs/>
          <w:color w:val="5B5B5F"/>
          <w:sz w:val="28"/>
          <w:szCs w:val="28"/>
        </w:rPr>
        <w:t xml:space="preserve">De </w:t>
      </w:r>
      <w:r>
        <w:rPr>
          <w:rFonts w:cs="Arial"/>
          <w:bCs/>
          <w:color w:val="5B5B5F"/>
          <w:sz w:val="28"/>
          <w:szCs w:val="28"/>
        </w:rPr>
        <w:t>06</w:t>
      </w:r>
      <w:r>
        <w:rPr>
          <w:rFonts w:cs="Arial"/>
          <w:bCs/>
          <w:color w:val="5B5B5F"/>
          <w:sz w:val="28"/>
          <w:szCs w:val="28"/>
        </w:rPr>
        <w:t>/</w:t>
      </w:r>
      <w:r>
        <w:rPr>
          <w:rFonts w:cs="Arial"/>
          <w:bCs/>
          <w:color w:val="5B5B5F"/>
          <w:sz w:val="28"/>
          <w:szCs w:val="28"/>
        </w:rPr>
        <w:t>10</w:t>
      </w:r>
      <w:r>
        <w:rPr>
          <w:rFonts w:cs="Arial"/>
          <w:b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HORÁRIO DA FASE DE LANCES</w:t>
      </w:r>
    </w:p>
    <w:p>
      <w:pPr>
        <w:pStyle w:val="Normal"/>
        <w:rPr>
          <w:rFonts w:cs="Arial"/>
          <w:bCs/>
          <w:color w:val="5B5B5F"/>
          <w:sz w:val="28"/>
          <w:szCs w:val="28"/>
        </w:rPr>
      </w:pPr>
      <w:r>
        <w:rPr>
          <w:rFonts w:cs="Arial"/>
          <w:bCs/>
          <w:color w:val="5B5B5F"/>
          <w:sz w:val="28"/>
          <w:szCs w:val="28"/>
        </w:rPr>
        <w:t>Das 8h até 12h</w:t>
      </w:r>
    </w:p>
    <w:p>
      <w:pPr>
        <w:pStyle w:val="Normal"/>
        <w:rPr>
          <w:rFonts w:cs="Arial"/>
          <w:b/>
          <w:bCs/>
          <w:color w:val="405CA1"/>
          <w:sz w:val="32"/>
          <w:szCs w:val="32"/>
        </w:rPr>
      </w:pPr>
      <w:r>
        <w:rPr>
          <w:rFonts w:cs="Arial"/>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CRITÉRIO DE JULGAMENTO:</w:t>
      </w:r>
    </w:p>
    <w:p>
      <w:pPr>
        <w:pStyle w:val="Normal"/>
        <w:rPr>
          <w:rFonts w:cs="Arial"/>
          <w:bCs/>
          <w:color w:val="5B5B5F"/>
          <w:sz w:val="28"/>
          <w:szCs w:val="28"/>
        </w:rPr>
      </w:pPr>
      <w:r>
        <w:rPr>
          <w:rFonts w:cs="Arial"/>
          <w:bCs/>
          <w:color w:val="5B5B5F"/>
          <w:sz w:val="28"/>
          <w:szCs w:val="28"/>
        </w:rPr>
        <w:t>menor preço</w:t>
      </w:r>
    </w:p>
    <w:p>
      <w:pPr>
        <w:pStyle w:val="Normal"/>
        <w:rPr>
          <w:rFonts w:cs="Arial"/>
          <w:bCs/>
          <w:color w:val="5B5B5F"/>
          <w:sz w:val="28"/>
          <w:szCs w:val="28"/>
        </w:rPr>
      </w:pPr>
      <w:r>
        <w:rPr>
          <w:rFonts w:cs="Arial"/>
          <w:bCs/>
          <w:color w:val="5B5B5F"/>
          <w:sz w:val="28"/>
          <w:szCs w:val="28"/>
        </w:rPr>
      </w:r>
    </w:p>
    <w:p>
      <w:pPr>
        <w:pStyle w:val="Normal"/>
        <w:rPr>
          <w:rFonts w:cs="Arial"/>
          <w:b/>
          <w:bCs/>
          <w:color w:val="5B5B5F"/>
          <w:sz w:val="26"/>
          <w:szCs w:val="26"/>
        </w:rPr>
      </w:pPr>
      <w:r>
        <w:rPr>
          <w:rFonts w:eastAsia="" w:cs="Arial" w:eastAsiaTheme="minorEastAsia"/>
          <w:b/>
          <w:bCs/>
          <w:color w:val="405CA1"/>
          <w:sz w:val="32"/>
          <w:szCs w:val="32"/>
        </w:rPr>
        <w:t>TRATAMENTO FAVORECIDO ME/EPP/EQUIPARADAS</w:t>
        <w:br/>
      </w:r>
      <w:r>
        <w:rPr>
          <w:rFonts w:cs="Arial"/>
          <w:b/>
          <w:bCs/>
          <w:color w:val="5B5B5F"/>
          <w:sz w:val="26"/>
          <w:szCs w:val="26"/>
        </w:rPr>
        <w:t>SIM</w:t>
      </w:r>
    </w:p>
    <w:p>
      <w:pPr>
        <w:pStyle w:val="Normal"/>
        <w:suppressAutoHyphens w:val="false"/>
        <w:spacing w:lineRule="auto" w:line="259" w:before="0" w:after="160"/>
        <w:rPr>
          <w:rFonts w:eastAsia="" w:cs="Arial" w:eastAsiaTheme="minorEastAsia"/>
          <w:b/>
          <w:bCs/>
          <w:color w:val="405CA1"/>
          <w:sz w:val="32"/>
          <w:szCs w:val="32"/>
        </w:rPr>
      </w:pPr>
      <w:r>
        <w:rPr>
          <w:rFonts w:eastAsia="" w:cs="Arial" w:eastAsiaTheme="minorEastAsia"/>
          <w:b/>
          <w:bCs/>
          <w:color w:val="405CA1"/>
          <w:sz w:val="32"/>
          <w:szCs w:val="32"/>
        </w:rPr>
      </w:r>
    </w:p>
    <w:p>
      <w:pPr>
        <w:pStyle w:val="Normal"/>
        <w:rPr>
          <w:rFonts w:eastAsia="" w:cs="Arial" w:eastAsiaTheme="minorEastAsia"/>
          <w:b/>
          <w:bCs/>
          <w:color w:val="405CA1"/>
          <w:sz w:val="32"/>
          <w:szCs w:val="32"/>
        </w:rPr>
      </w:pPr>
      <w:r>
        <w:rPr>
          <w:rFonts w:eastAsia="" w:cs="Arial" w:eastAsiaTheme="minorEastAsia"/>
          <w:b/>
          <w:bCs/>
          <w:color w:val="405CA1"/>
          <w:sz w:val="32"/>
          <w:szCs w:val="32"/>
        </w:rPr>
        <w:t>MARGEM DE PREFERÊNCIA PARA ALGUM ITEM</w:t>
      </w:r>
    </w:p>
    <w:p>
      <w:pPr>
        <w:pStyle w:val="Normal"/>
        <w:rPr>
          <w:rFonts w:cs="Arial"/>
          <w:b/>
          <w:bCs/>
          <w:color w:val="5B5B5F"/>
          <w:sz w:val="26"/>
          <w:szCs w:val="26"/>
        </w:rPr>
      </w:pPr>
      <w:r>
        <w:rPr>
          <w:rFonts w:cs="Arial"/>
          <w:b/>
          <w:bCs/>
          <w:color w:val="5B5B5F"/>
          <w:sz w:val="26"/>
          <w:szCs w:val="26"/>
        </w:rPr>
        <w:t>NÃO</w:t>
      </w:r>
    </w:p>
    <w:p>
      <w:pPr>
        <w:pStyle w:val="Normal"/>
        <w:rPr>
          <w:rFonts w:eastAsia="" w:cs="Arial" w:eastAsiaTheme="minorEastAsia"/>
          <w:b/>
          <w:bCs/>
          <w:color w:val="405CA1"/>
          <w:sz w:val="32"/>
          <w:szCs w:val="32"/>
        </w:rPr>
      </w:pPr>
      <w:r>
        <w:rPr>
          <w:rFonts w:eastAsia="" w:cs="Arial" w:eastAsiaTheme="minorEastAsia"/>
          <w:b/>
          <w:bCs/>
          <w:color w:val="405CA1"/>
          <w:sz w:val="32"/>
          <w:szCs w:val="32"/>
        </w:rPr>
      </w:r>
    </w:p>
    <w:sdt>
      <w:sdtPr>
        <w:docPartObj>
          <w:docPartGallery w:val="Table of Contents"/>
          <w:docPartUnique w:val="true"/>
        </w:docPartObj>
      </w:sdtPr>
      <w:sdtContent>
        <w:p>
          <w:pPr>
            <w:pStyle w:val="TOCHeading"/>
            <w:spacing w:before="0" w:after="0"/>
            <w:ind w:hanging="0" w:left="0"/>
            <w:rPr>
              <w:color w:val="auto"/>
            </w:rPr>
          </w:pPr>
          <w:r>
            <w:br w:type="page"/>
          </w:r>
          <w:r>
            <w:rPr/>
            <w:t>Sumário</w:t>
          </w:r>
        </w:p>
        <w:p>
          <w:pPr>
            <w:pStyle w:val="TOC1"/>
            <w:rPr>
              <w:rFonts w:ascii="Calibri" w:hAnsi="Calibri" w:eastAsia="" w:cs="" w:asciiTheme="minorHAnsi" w:cstheme="minorBidi" w:eastAsiaTheme="minorEastAsia" w:hAnsiTheme="minorHAnsi"/>
              <w:kern w:val="2"/>
              <w:sz w:val="24"/>
              <w14:ligatures w14:val="standardContextual"/>
            </w:rPr>
          </w:pPr>
          <w:r>
            <w:fldChar w:fldCharType="begin"/>
          </w:r>
          <w:r>
            <w:rPr>
              <w:webHidden/>
              <w:rStyle w:val="Vnculodendice"/>
              <w:vanish w:val="false"/>
              <w:rFonts w:eastAsia=""/>
              <w:lang w:bidi="hi-IN"/>
            </w:rPr>
            <w:instrText xml:space="preserve"> TOC \z \o "1-3" \u \h</w:instrText>
          </w:r>
          <w:r>
            <w:rPr>
              <w:webHidden/>
              <w:rStyle w:val="Vnculodendice"/>
              <w:vanish w:val="false"/>
              <w:rFonts w:eastAsia=""/>
              <w:lang w:bidi="hi-IN"/>
            </w:rPr>
            <w:fldChar w:fldCharType="separate"/>
          </w:r>
          <w:hyperlink w:anchor="_Toc226962637">
            <w:r>
              <w:rPr>
                <w:webHidden/>
                <w:rStyle w:val="Vnculodendice"/>
                <w:rFonts w:eastAsia="" w:eastAsiaTheme="minorEastAsia"/>
                <w:vanish w:val="false"/>
                <w:lang w:bidi="hi-IN"/>
              </w:rPr>
              <w:t>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OBJETO</w:t>
            </w:r>
            <w:r>
              <w:rPr>
                <w:webHidden/>
              </w:rPr>
              <w:fldChar w:fldCharType="begin"/>
            </w:r>
            <w:r>
              <w:rPr>
                <w:webHidden/>
              </w:rPr>
              <w:instrText xml:space="preserve">PAGEREF _Toc226962637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8">
            <w:r>
              <w:rPr>
                <w:webHidden/>
                <w:rStyle w:val="Vnculodendice"/>
                <w:rFonts w:eastAsia="" w:eastAsiaTheme="minorEastAsia"/>
                <w:vanish w:val="false"/>
                <w:lang w:bidi="hi-IN"/>
              </w:rPr>
              <w:t>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REGISTRO DE PREÇOS</w:t>
            </w:r>
            <w:r>
              <w:rPr>
                <w:webHidden/>
              </w:rPr>
              <w:fldChar w:fldCharType="begin"/>
            </w:r>
            <w:r>
              <w:rPr>
                <w:webHidden/>
              </w:rPr>
              <w:instrText xml:space="preserve">PAGEREF _Toc226962638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9">
            <w:r>
              <w:rPr>
                <w:webHidden/>
                <w:rStyle w:val="Vnculodendice"/>
                <w:rFonts w:eastAsia="" w:eastAsiaTheme="minorEastAsia"/>
                <w:vanish w:val="false"/>
                <w:lang w:bidi="hi-IN"/>
              </w:rPr>
              <w:t>3.</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PARTICIPAÇÃO NA DISPENSA ELETRÔNICA</w:t>
            </w:r>
            <w:r>
              <w:rPr>
                <w:webHidden/>
              </w:rPr>
              <w:fldChar w:fldCharType="begin"/>
            </w:r>
            <w:r>
              <w:rPr>
                <w:webHidden/>
              </w:rPr>
              <w:instrText xml:space="preserve">PAGEREF _Toc226962639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0">
            <w:r>
              <w:rPr>
                <w:webHidden/>
                <w:rStyle w:val="Vnculodendice"/>
                <w:rFonts w:eastAsia="" w:eastAsiaTheme="minorEastAsia"/>
                <w:vanish w:val="false"/>
                <w:lang w:bidi="hi-IN"/>
              </w:rPr>
              <w:t>4.</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INGRESSO NA DISPENSA ELETRÔNICA E DO CADASTRAMENTO DA PROPOSTA INICIAL</w:t>
            </w:r>
            <w:r>
              <w:rPr>
                <w:webHidden/>
              </w:rPr>
              <w:fldChar w:fldCharType="begin"/>
            </w:r>
            <w:r>
              <w:rPr>
                <w:webHidden/>
              </w:rPr>
              <w:instrText xml:space="preserve">PAGEREF _Toc226962640 \h</w:instrText>
            </w:r>
            <w:r>
              <w:rPr>
                <w:webHidden/>
              </w:rPr>
              <w:fldChar w:fldCharType="separate"/>
            </w:r>
            <w:r>
              <w:rPr>
                <w:rStyle w:val="Vnculodendice"/>
                <w:vanish w:val="false"/>
              </w:rPr>
              <w:tab/>
              <w:t>5</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1">
            <w:r>
              <w:rPr>
                <w:webHidden/>
                <w:rStyle w:val="Vnculodendice"/>
                <w:rFonts w:eastAsia="" w:eastAsiaTheme="minorEastAsia"/>
                <w:vanish w:val="false"/>
                <w:lang w:bidi="hi-IN"/>
              </w:rPr>
              <w:t>5.</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LANCES</w:t>
            </w:r>
            <w:r>
              <w:rPr>
                <w:webHidden/>
              </w:rPr>
              <w:fldChar w:fldCharType="begin"/>
            </w:r>
            <w:r>
              <w:rPr>
                <w:webHidden/>
              </w:rPr>
              <w:instrText xml:space="preserve">PAGEREF _Toc226962641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2">
            <w:r>
              <w:rPr>
                <w:webHidden/>
                <w:rStyle w:val="Vnculodendice"/>
                <w:rFonts w:eastAsia="" w:eastAsiaTheme="minorEastAsia"/>
                <w:vanish w:val="false"/>
                <w:lang w:bidi="hi-IN"/>
              </w:rPr>
              <w:t>6.</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JULGAMENTO E ACEITAÇÃO DAS PROPOSTAS</w:t>
            </w:r>
            <w:r>
              <w:rPr>
                <w:webHidden/>
              </w:rPr>
              <w:fldChar w:fldCharType="begin"/>
            </w:r>
            <w:r>
              <w:rPr>
                <w:webHidden/>
              </w:rPr>
              <w:instrText xml:space="preserve">PAGEREF _Toc226962642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3">
            <w:r>
              <w:rPr>
                <w:webHidden/>
                <w:rStyle w:val="Vnculodendice"/>
                <w:rFonts w:eastAsia="" w:eastAsiaTheme="minorEastAsia"/>
                <w:vanish w:val="false"/>
                <w:lang w:bidi="hi-IN"/>
              </w:rPr>
              <w:t>7.</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HABILITAÇÃO</w:t>
            </w:r>
            <w:r>
              <w:rPr>
                <w:webHidden/>
              </w:rPr>
              <w:fldChar w:fldCharType="begin"/>
            </w:r>
            <w:r>
              <w:rPr>
                <w:webHidden/>
              </w:rPr>
              <w:instrText xml:space="preserve">PAGEREF _Toc226962643 \h</w:instrText>
            </w:r>
            <w:r>
              <w:rPr>
                <w:webHidden/>
              </w:rPr>
              <w:fldChar w:fldCharType="separate"/>
            </w:r>
            <w:r>
              <w:rPr>
                <w:rStyle w:val="Vnculodendice"/>
                <w:vanish w:val="false"/>
              </w:rPr>
              <w:tab/>
              <w:t>10</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4">
            <w:r>
              <w:rPr>
                <w:webHidden/>
                <w:rStyle w:val="Vnculodendice"/>
                <w:rFonts w:eastAsia="" w:eastAsiaTheme="minorEastAsia"/>
                <w:vanish w:val="false"/>
                <w:highlight w:val="cyan"/>
                <w:lang w:bidi="hi-IN"/>
              </w:rPr>
              <w:t>8.</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ATA DE REGISTRO DE PREÇOS</w:t>
            </w:r>
            <w:r>
              <w:rPr>
                <w:webHidden/>
              </w:rPr>
              <w:fldChar w:fldCharType="begin"/>
            </w:r>
            <w:r>
              <w:rPr>
                <w:webHidden/>
              </w:rPr>
              <w:instrText xml:space="preserve">PAGEREF _Toc226962644 \h</w:instrText>
            </w:r>
            <w:r>
              <w:rPr>
                <w:webHidden/>
              </w:rPr>
              <w:fldChar w:fldCharType="separate"/>
            </w:r>
            <w:r>
              <w:rPr>
                <w:rStyle w:val="Vnculodendice"/>
                <w:vanish w:val="false"/>
              </w:rPr>
              <w:tab/>
              <w:t>11</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5">
            <w:r>
              <w:rPr>
                <w:webHidden/>
                <w:rStyle w:val="Vnculodendice"/>
                <w:rFonts w:eastAsia="" w:eastAsiaTheme="minorEastAsia"/>
                <w:bCs/>
                <w:vanish w:val="false"/>
                <w:highlight w:val="cyan"/>
                <w:lang w:bidi="hi-IN"/>
              </w:rPr>
              <w:t>9.</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FORMAÇÃO DO CADASTRO DE RESERVA</w:t>
            </w:r>
            <w:r>
              <w:rPr>
                <w:webHidden/>
              </w:rPr>
              <w:fldChar w:fldCharType="begin"/>
            </w:r>
            <w:r>
              <w:rPr>
                <w:webHidden/>
              </w:rPr>
              <w:instrText xml:space="preserve">PAGEREF _Toc226962645 \h</w:instrText>
            </w:r>
            <w:r>
              <w:rPr>
                <w:webHidden/>
              </w:rPr>
              <w:fldChar w:fldCharType="separate"/>
            </w:r>
            <w:r>
              <w:rPr>
                <w:rStyle w:val="Vnculodendice"/>
                <w:vanish w:val="false"/>
              </w:rPr>
              <w:tab/>
              <w:t>12</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6">
            <w:r>
              <w:rPr>
                <w:webHidden/>
                <w:rStyle w:val="Vnculodendice"/>
                <w:rFonts w:eastAsia="" w:eastAsiaTheme="minorEastAsia"/>
                <w:vanish w:val="false"/>
                <w:lang w:bidi="hi-IN"/>
              </w:rPr>
              <w:t>10.</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CONTRATAÇÃO</w:t>
            </w:r>
            <w:r>
              <w:rPr>
                <w:webHidden/>
              </w:rPr>
              <w:fldChar w:fldCharType="begin"/>
            </w:r>
            <w:r>
              <w:rPr>
                <w:webHidden/>
              </w:rPr>
              <w:instrText xml:space="preserve">PAGEREF _Toc226962646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7">
            <w:r>
              <w:rPr>
                <w:webHidden/>
                <w:rStyle w:val="Vnculodendice"/>
                <w:rFonts w:eastAsia="" w:eastAsiaTheme="minorEastAsia"/>
                <w:vanish w:val="false"/>
                <w:lang w:bidi="hi-IN"/>
              </w:rPr>
              <w:t>11.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INFRAÇÕES E SANÇÕES ADMINISTRATIVAS</w:t>
            </w:r>
            <w:r>
              <w:rPr>
                <w:webHidden/>
              </w:rPr>
              <w:fldChar w:fldCharType="begin"/>
            </w:r>
            <w:r>
              <w:rPr>
                <w:webHidden/>
              </w:rPr>
              <w:instrText xml:space="preserve">PAGEREF _Toc226962647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8">
            <w:r>
              <w:rPr>
                <w:webHidden/>
                <w:rStyle w:val="Vnculodendice"/>
                <w:rFonts w:eastAsia="" w:eastAsiaTheme="minorEastAsia"/>
                <w:vanish w:val="false"/>
                <w:lang w:bidi="hi-IN"/>
              </w:rPr>
              <w:t>12.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DISPOSIÇÕES GERAIS</w:t>
            </w:r>
            <w:r>
              <w:rPr>
                <w:webHidden/>
              </w:rPr>
              <w:fldChar w:fldCharType="begin"/>
            </w:r>
            <w:r>
              <w:rPr>
                <w:webHidden/>
              </w:rPr>
              <w:instrText xml:space="preserve">PAGEREF _Toc226962648 \h</w:instrText>
            </w:r>
            <w:r>
              <w:rPr>
                <w:webHidden/>
              </w:rPr>
              <w:fldChar w:fldCharType="separate"/>
            </w:r>
            <w:r>
              <w:rPr>
                <w:rStyle w:val="Vnculodendice"/>
                <w:vanish w:val="false"/>
              </w:rPr>
              <w:tab/>
              <w:t>15</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Cs/>
          <w:i/>
          <w:i/>
          <w:iCs/>
          <w:szCs w:val="20"/>
        </w:rPr>
      </w:pPr>
      <w:r>
        <w:rPr>
          <w:rFonts w:cs="Arial"/>
          <w:b/>
          <w:bCs/>
          <w:i/>
          <w:iCs/>
          <w:szCs w:val="20"/>
        </w:rPr>
      </w:r>
      <w:r>
        <w:br w:type="page"/>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color w:val="1C1C1C"/>
        </w:rPr>
        <w:drawing>
          <wp:anchor behindDoc="0" distT="0" distB="0" distL="0" distR="0" simplePos="0" locked="0" layoutInCell="0" allowOverlap="1" relativeHeight="3">
            <wp:simplePos x="0" y="0"/>
            <wp:positionH relativeFrom="column">
              <wp:posOffset>2675890</wp:posOffset>
            </wp:positionH>
            <wp:positionV relativeFrom="paragraph">
              <wp:posOffset>417830</wp:posOffset>
            </wp:positionV>
            <wp:extent cx="708660" cy="71818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2772" t="-2725" r="-2772" b="-2725"/>
                    <a:stretch>
                      <a:fillRect/>
                    </a:stretch>
                  </pic:blipFill>
                  <pic:spPr bwMode="auto">
                    <a:xfrm>
                      <a:off x="0" y="0"/>
                      <a:ext cx="708660" cy="718185"/>
                    </a:xfrm>
                    <a:prstGeom prst="rect">
                      <a:avLst/>
                    </a:prstGeom>
                  </pic:spPr>
                </pic:pic>
              </a:graphicData>
            </a:graphic>
          </wp:anchor>
        </w:drawing>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rFonts w:cs="Times New Roman" w:ascii="Times New Roman" w:hAnsi="Times New Roman"/>
          <w:b/>
          <w:bCs/>
          <w:i/>
          <w:iCs/>
          <w:color w:val="1C1C1C"/>
          <w:sz w:val="24"/>
          <w:szCs w:val="24"/>
          <w:lang w:eastAsia="ar-SA"/>
        </w:rPr>
        <w:t>MARINHA DO BRASIL</w:t>
      </w:r>
    </w:p>
    <w:p>
      <w:pPr>
        <w:pStyle w:val="Normal"/>
        <w:spacing w:lineRule="auto" w:line="360" w:before="0" w:after="0"/>
        <w:jc w:val="center"/>
        <w:rPr>
          <w:color w:val="1C1C1C"/>
        </w:rPr>
      </w:pPr>
      <w:r>
        <w:rPr>
          <w:rFonts w:cs="Arial"/>
          <w:b/>
          <w:bCs/>
          <w:i/>
          <w:iCs/>
          <w:color w:val="1C1C1C"/>
          <w:szCs w:val="20"/>
        </w:rPr>
        <w:t>POLICLÍNICA NAVAL NOSSA SENHORA DA GLÓRIA</w:t>
      </w:r>
    </w:p>
    <w:p>
      <w:pPr>
        <w:pStyle w:val="Normal"/>
        <w:spacing w:lineRule="auto" w:line="360"/>
        <w:jc w:val="center"/>
        <w:rPr>
          <w:rFonts w:cs="Arial"/>
          <w:b/>
          <w:color w:val="000000"/>
          <w:szCs w:val="20"/>
        </w:rPr>
      </w:pPr>
      <w:r>
        <w:rPr>
          <w:rFonts w:cs="Arial"/>
          <w:b/>
          <w:bCs/>
          <w:color w:themeColor="text1" w:val="000000"/>
          <w:szCs w:val="20"/>
        </w:rPr>
        <w:t xml:space="preserve">AVISO DE CONTRATAÇÃO DIRETA </w:t>
      </w:r>
      <w:r>
        <w:rPr>
          <w:rFonts w:cs="Arial"/>
          <w:b/>
          <w:color w:val="000000"/>
          <w:szCs w:val="20"/>
        </w:rPr>
        <w:t xml:space="preserve">Nº </w:t>
      </w:r>
      <w:r>
        <w:rPr>
          <w:rFonts w:cs="Arial"/>
          <w:b/>
          <w:color w:val="1C1C1C"/>
          <w:szCs w:val="20"/>
        </w:rPr>
        <w:t>172</w:t>
      </w:r>
      <w:r>
        <w:rPr>
          <w:rFonts w:cs="Arial"/>
          <w:b/>
          <w:i/>
          <w:iCs/>
          <w:color w:val="1C1C1C"/>
          <w:szCs w:val="20"/>
        </w:rPr>
        <w:t>/2026</w:t>
      </w:r>
    </w:p>
    <w:p>
      <w:pPr>
        <w:pStyle w:val="Normal"/>
        <w:spacing w:lineRule="auto" w:line="360" w:before="0" w:after="720"/>
        <w:jc w:val="center"/>
        <w:rPr>
          <w:rFonts w:cs="Arial"/>
          <w:color w:val="000000"/>
          <w:szCs w:val="20"/>
        </w:rPr>
      </w:pPr>
      <w:r>
        <w:rPr>
          <w:rFonts w:cs="Arial"/>
          <w:color w:themeColor="text1" w:val="000000"/>
          <w:szCs w:val="20"/>
        </w:rPr>
        <w:t>(Processo Administrativo n</w:t>
      </w:r>
      <w:r>
        <w:rPr>
          <w:rFonts w:cs="Arial"/>
          <w:color w:val="000000"/>
          <w:szCs w:val="20"/>
        </w:rPr>
        <w:t xml:space="preserve">° </w:t>
      </w:r>
      <w:r>
        <w:rPr>
          <w:rFonts w:cs="Arial"/>
          <w:i/>
          <w:iCs/>
          <w:color w:val="1C1C1C"/>
          <w:szCs w:val="20"/>
        </w:rPr>
        <w:t xml:space="preserve"> 63065.002320/2026-15</w:t>
      </w:r>
      <w:r>
        <w:rPr>
          <w:rFonts w:cs="Arial"/>
          <w:color w:val="000000"/>
          <w:szCs w:val="20"/>
        </w:rPr>
        <w:t>)</w:t>
      </w:r>
    </w:p>
    <w:p>
      <w:pPr>
        <w:pStyle w:val="Normal"/>
        <w:spacing w:lineRule="auto" w:line="276" w:before="120" w:after="120"/>
        <w:ind w:firstLine="1134"/>
        <w:jc w:val="both"/>
        <w:rPr/>
      </w:pPr>
      <w:r>
        <w:rPr/>
        <w:t xml:space="preserve">Torna-se público que a </w:t>
      </w:r>
      <w:r>
        <w:rPr>
          <w:rFonts w:cs="Arial"/>
          <w:b/>
          <w:bCs/>
          <w:i/>
          <w:iCs/>
          <w:color w:val="1C1C1C"/>
          <w:szCs w:val="20"/>
        </w:rPr>
        <w:t>POLICLÍNICA NAVAL NOSSA SENHORA DA GLÓRIA</w:t>
      </w:r>
      <w:r>
        <w:rPr/>
        <w:t xml:space="preserve">, por meio da </w:t>
      </w:r>
      <w:r>
        <w:rPr>
          <w:color w:val="1C1C1C"/>
        </w:rPr>
        <w:t>SEÇÃO DE OBTENÇÃO</w:t>
      </w:r>
      <w:r>
        <w:rPr/>
        <w:t>, sediada</w:t>
      </w:r>
      <w:r>
        <w:rPr>
          <w:color w:val="1C1C1C"/>
        </w:rPr>
        <w:t xml:space="preserve"> </w:t>
      </w:r>
      <w:r>
        <w:rPr>
          <w:iCs/>
          <w:color w:val="1C1C1C"/>
        </w:rPr>
        <w:t>RUA CONDE DE BONFIM, 54, TIJUCA,RJ</w:t>
      </w:r>
      <w:r>
        <w:rPr>
          <w:color w:val="1C1C1C"/>
        </w:rPr>
        <w:t>,</w:t>
      </w:r>
      <w:r>
        <w:rPr/>
        <w:t xml:space="preserve"> realizará Dispensa Eletrônica, </w:t>
      </w:r>
      <w:r>
        <w:rPr>
          <w:shd w:fill="CCCCCC" w:val="clear"/>
        </w:rPr>
        <w:t>para registro de preços</w:t>
      </w:r>
      <w:r>
        <w:rPr/>
        <w:t xml:space="preserve">, </w:t>
      </w:r>
      <w:r>
        <w:rPr>
          <w:bCs/>
        </w:rPr>
        <w:t>com critério de julgamento</w:t>
      </w:r>
      <w:r>
        <w:rPr>
          <w:b/>
          <w:bCs/>
        </w:rPr>
        <w:t xml:space="preserve"> </w:t>
      </w:r>
      <w:r>
        <w:rPr>
          <w:b/>
          <w:bCs/>
          <w:i/>
          <w:iCs/>
          <w:color w:val="1C1C1C"/>
        </w:rPr>
        <w:t>menor preço</w:t>
      </w:r>
      <w:r>
        <w:rPr>
          <w:iCs/>
        </w:rPr>
        <w:t>,</w:t>
      </w:r>
      <w:r>
        <w:rPr>
          <w:b/>
          <w:bCs/>
          <w:i/>
        </w:rPr>
        <w:t xml:space="preserve"> </w:t>
      </w:r>
      <w:r>
        <w:rPr/>
        <w:t xml:space="preserve">na hipótese do </w:t>
      </w:r>
      <w:r>
        <w:fldChar w:fldCharType="begin"/>
      </w:r>
      <w:r>
        <w:rPr>
          <w:rStyle w:val="Hyperlink"/>
          <w:u w:val="none"/>
          <w:rFonts w:cs="Arial"/>
          <w:color w:themeColor="hyperlink" w:val="auto"/>
        </w:rPr>
        <w:instrText xml:space="preserve"> HYPERLINK "http://www.planalto.gov.br/ccivil_03/_ato2019-2022/2021/lei/L14133.htm" \l "art75"</w:instrText>
      </w:r>
      <w:r>
        <w:rPr>
          <w:rStyle w:val="Hyperlink"/>
          <w:u w:val="none"/>
          <w:rFonts w:cs="Arial"/>
          <w:color w:themeColor="hyperlink" w:val="auto"/>
        </w:rPr>
        <w:fldChar w:fldCharType="separate"/>
      </w:r>
      <w:r>
        <w:rPr>
          <w:rStyle w:val="Hyperlink"/>
          <w:rFonts w:cs="Arial"/>
          <w:color w:themeColor="hyperlink" w:val="auto"/>
          <w:u w:val="none"/>
        </w:rPr>
        <w:t>art. 75</w:t>
      </w:r>
      <w:r>
        <w:rPr>
          <w:rStyle w:val="Hyperlink"/>
          <w:u w:val="none"/>
          <w:rFonts w:cs="Arial"/>
          <w:color w:themeColor="hyperlink" w:val="auto"/>
        </w:rPr>
        <w:fldChar w:fldCharType="end"/>
      </w:r>
      <w:r>
        <w:rPr>
          <w:i/>
          <w:iCs/>
        </w:rPr>
        <w:t xml:space="preserve">, </w:t>
      </w:r>
      <w:r>
        <w:rPr>
          <w:color w:val="111111"/>
        </w:rPr>
        <w:t>inciso II</w:t>
      </w:r>
      <w:r>
        <w:rPr>
          <w:i/>
          <w:iCs/>
          <w:color w:val="111111"/>
        </w:rPr>
        <w:t>,</w:t>
      </w:r>
      <w:r>
        <w:rPr>
          <w:color w:val="111111"/>
        </w:rPr>
        <w:t xml:space="preserve"> </w:t>
      </w:r>
      <w:r>
        <w:rPr>
          <w:bCs/>
          <w:color w:val="111111"/>
        </w:rPr>
        <w:t xml:space="preserve">nos termos </w:t>
      </w:r>
      <w:r>
        <w:rPr>
          <w:color w:val="111111"/>
        </w:rPr>
        <w:t xml:space="preserve">da Lei nº 14.133, de 1º de abril de 2021, </w:t>
      </w:r>
      <w:r>
        <w:rPr>
          <w:bCs/>
          <w:color w:val="111111"/>
        </w:rPr>
        <w:t xml:space="preserve">da </w:t>
      </w:r>
      <w:hyperlink r:id="rId3">
        <w:r>
          <w:rPr>
            <w:rStyle w:val="Hyperlink"/>
            <w:rFonts w:cs="Arial"/>
            <w:bCs/>
            <w:color w:val="111111"/>
            <w:u w:val="none"/>
          </w:rPr>
          <w:t>Instrução Normativa SEGES/ME nº 67, de 8 de</w:t>
        </w:r>
        <w:r>
          <w:rPr>
            <w:rStyle w:val="Hyperlink"/>
            <w:rFonts w:cs="Arial"/>
            <w:bCs/>
            <w:color w:val="auto"/>
            <w:u w:val="none"/>
          </w:rPr>
          <w:t xml:space="preserve"> julho de 2021</w:t>
        </w:r>
      </w:hyperlink>
      <w:r>
        <w:rPr>
          <w:bCs/>
        </w:rPr>
        <w:t>,</w:t>
      </w:r>
      <w:r>
        <w:rPr>
          <w:bCs/>
          <w:shd w:fill="CCCCCC" w:val="clear"/>
        </w:rPr>
        <w:t xml:space="preserve"> </w:t>
      </w:r>
      <w:r>
        <w:rPr>
          <w:shd w:fill="CCCCCC" w:val="clear"/>
        </w:rPr>
        <w:t>do Decreto nº 11.462, de 31 de março de 2023</w:t>
      </w:r>
      <w:r>
        <w:rPr/>
        <w:t>, e demais normas aplicáveis.</w:t>
      </w:r>
    </w:p>
    <w:p>
      <w:pPr>
        <w:pStyle w:val="Nivel01"/>
        <w:numPr>
          <w:ilvl w:val="0"/>
          <w:numId w:val="1"/>
        </w:numPr>
        <w:spacing w:before="288" w:after="288"/>
        <w:ind w:hanging="357" w:left="357"/>
        <w:rPr/>
      </w:pPr>
      <w:bookmarkStart w:id="0" w:name="_Toc226962637"/>
      <w:r>
        <w:rPr/>
        <w:t xml:space="preserve">DO </w:t>
      </w:r>
      <w:bookmarkStart w:id="1" w:name="_Toc142925860"/>
      <w:r>
        <w:rPr/>
        <w:t>OBJETO</w:t>
      </w:r>
      <w:bookmarkEnd w:id="0"/>
      <w:bookmarkEnd w:id="1"/>
    </w:p>
    <w:p>
      <w:pPr>
        <w:pStyle w:val="Nivel2"/>
        <w:numPr>
          <w:ilvl w:val="1"/>
          <w:numId w:val="1"/>
        </w:numPr>
        <w:ind w:hanging="0" w:left="0"/>
        <w:rPr/>
      </w:pPr>
      <w:r>
        <w:rPr>
          <w:color w:val="1C1C1C"/>
        </w:rPr>
        <w:t>Contratação de empresa especializada para fornecimento, transporte e instalação de corrimão tubular de parede em escada interna, com fornecimento de materiais, equipamentos, insumos e mão de obra, para a Policlínica Nossa Senhora da Glória, visando garantir a segurança, acessibilidade e conformidade com as normas técnicas vigentes, nos termos da tabela abaixo, conforme as condições e exigências estabelecidas neste instrumento.</w:t>
      </w:r>
    </w:p>
    <w:tbl>
      <w:tblPr>
        <w:tblW w:w="9635" w:type="dxa"/>
        <w:jc w:val="left"/>
        <w:tblInd w:w="-7" w:type="dxa"/>
        <w:tblLayout w:type="fixed"/>
        <w:tblCellMar>
          <w:top w:w="0" w:type="dxa"/>
          <w:left w:w="7" w:type="dxa"/>
          <w:bottom w:w="0" w:type="dxa"/>
          <w:right w:w="7" w:type="dxa"/>
        </w:tblCellMar>
      </w:tblPr>
      <w:tblGrid>
        <w:gridCol w:w="738"/>
        <w:gridCol w:w="1812"/>
        <w:gridCol w:w="1027"/>
        <w:gridCol w:w="1246"/>
        <w:gridCol w:w="1697"/>
        <w:gridCol w:w="1477"/>
        <w:gridCol w:w="1637"/>
      </w:tblGrid>
      <w:tr>
        <w:trPr/>
        <w:tc>
          <w:tcPr>
            <w:tcW w:w="738"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ITEM</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tc>
        <w:tc>
          <w:tcPr>
            <w:tcW w:w="1812"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ESPECIFICAÇÃO</w:t>
            </w:r>
          </w:p>
        </w:tc>
        <w:tc>
          <w:tcPr>
            <w:tcW w:w="102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CAT</w:t>
            </w:r>
            <w:r>
              <w:rPr>
                <w:rFonts w:ascii="Liberation Sans" w:hAnsi="Liberation Sans"/>
                <w:b/>
                <w:bCs/>
                <w:i w:val="false"/>
                <w:iCs w:val="false"/>
                <w:strike w:val="false"/>
                <w:dstrike w:val="false"/>
                <w:outline w:val="false"/>
                <w:shadow w:val="false"/>
                <w:color w:val="000000"/>
                <w:sz w:val="21"/>
                <w:szCs w:val="21"/>
                <w:u w:val="none"/>
              </w:rPr>
              <w:t>SER</w:t>
            </w:r>
          </w:p>
        </w:tc>
        <w:tc>
          <w:tcPr>
            <w:tcW w:w="1246"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UNIDADE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MEDIDA</w:t>
            </w:r>
          </w:p>
        </w:tc>
        <w:tc>
          <w:tcPr>
            <w:tcW w:w="169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QUANTIDADE</w:t>
            </w:r>
          </w:p>
        </w:tc>
        <w:tc>
          <w:tcPr>
            <w:tcW w:w="1477"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UNITÁRIO</w:t>
            </w:r>
          </w:p>
        </w:tc>
        <w:tc>
          <w:tcPr>
            <w:tcW w:w="1637"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TOTAL</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w:t>
            </w:r>
          </w:p>
        </w:tc>
        <w:tc>
          <w:tcPr>
            <w:tcW w:w="1812" w:type="dxa"/>
            <w:tcBorders>
              <w:bottom w:val="single" w:sz="6" w:space="0" w:color="666666"/>
              <w:right w:val="single" w:sz="6" w:space="0" w:color="666666"/>
            </w:tcBorders>
          </w:tcPr>
          <w:p>
            <w:pPr>
              <w:pStyle w:val="Contedodatabela"/>
              <w:jc w:val="center"/>
              <w:rPr>
                <w:rFonts w:ascii="Courier New" w:hAnsi="Courier New"/>
                <w:sz w:val="21"/>
                <w:szCs w:val="21"/>
              </w:rPr>
            </w:pPr>
            <w:r>
              <w:rPr>
                <w:rFonts w:ascii="Courier New" w:hAnsi="Courier New"/>
                <w:b w:val="false"/>
                <w:bCs w:val="false"/>
                <w:i w:val="false"/>
                <w:iCs w:val="false"/>
                <w:strike w:val="false"/>
                <w:dstrike w:val="false"/>
                <w:outline w:val="false"/>
                <w:shadow w:val="false"/>
                <w:color w:val="000000"/>
                <w:sz w:val="21"/>
                <w:szCs w:val="21"/>
                <w:u w:val="none"/>
              </w:rPr>
              <w:t>Fornecimento, transporte e</w:t>
            </w:r>
          </w:p>
          <w:p>
            <w:pPr>
              <w:pStyle w:val="Contedodatabela"/>
              <w:jc w:val="center"/>
              <w:rPr>
                <w:rFonts w:ascii="Courier New" w:hAnsi="Courier New"/>
                <w:sz w:val="21"/>
                <w:szCs w:val="21"/>
              </w:rPr>
            </w:pPr>
            <w:r>
              <w:rPr>
                <w:rFonts w:ascii="Courier New" w:hAnsi="Courier New"/>
                <w:b w:val="false"/>
                <w:bCs w:val="false"/>
                <w:i w:val="false"/>
                <w:iCs w:val="false"/>
                <w:strike w:val="false"/>
                <w:dstrike w:val="false"/>
                <w:outline w:val="false"/>
                <w:shadow w:val="false"/>
                <w:color w:val="000000"/>
                <w:sz w:val="21"/>
                <w:szCs w:val="21"/>
                <w:u w:val="none"/>
              </w:rPr>
              <w:t>instalação de corrimão tubular de</w:t>
            </w:r>
          </w:p>
          <w:p>
            <w:pPr>
              <w:pStyle w:val="Contedodatabela"/>
              <w:jc w:val="center"/>
              <w:rPr>
                <w:rFonts w:ascii="Courier New" w:hAnsi="Courier New"/>
                <w:sz w:val="21"/>
                <w:szCs w:val="21"/>
              </w:rPr>
            </w:pPr>
            <w:r>
              <w:rPr>
                <w:rFonts w:ascii="Courier New" w:hAnsi="Courier New"/>
                <w:b w:val="false"/>
                <w:bCs w:val="false"/>
                <w:i w:val="false"/>
                <w:iCs w:val="false"/>
                <w:strike w:val="false"/>
                <w:dstrike w:val="false"/>
                <w:outline w:val="false"/>
                <w:shadow w:val="false"/>
                <w:color w:val="000000"/>
                <w:sz w:val="21"/>
                <w:szCs w:val="21"/>
                <w:u w:val="none"/>
              </w:rPr>
              <w:t>parede em escada interna, com</w:t>
            </w:r>
          </w:p>
          <w:p>
            <w:pPr>
              <w:pStyle w:val="Contedodatabela"/>
              <w:jc w:val="center"/>
              <w:rPr>
                <w:rFonts w:ascii="Courier New" w:hAnsi="Courier New"/>
                <w:sz w:val="21"/>
                <w:szCs w:val="21"/>
              </w:rPr>
            </w:pPr>
            <w:r>
              <w:rPr>
                <w:rFonts w:ascii="Courier New" w:hAnsi="Courier New"/>
                <w:b w:val="false"/>
                <w:bCs w:val="false"/>
                <w:i w:val="false"/>
                <w:iCs w:val="false"/>
                <w:strike w:val="false"/>
                <w:dstrike w:val="false"/>
                <w:outline w:val="false"/>
                <w:shadow w:val="false"/>
                <w:color w:val="000000"/>
                <w:sz w:val="21"/>
                <w:szCs w:val="21"/>
                <w:u w:val="none"/>
              </w:rPr>
              <w:t>fornecimento de materiais,</w:t>
            </w:r>
          </w:p>
          <w:p>
            <w:pPr>
              <w:pStyle w:val="Contedodatabela"/>
              <w:jc w:val="center"/>
              <w:rPr>
                <w:rFonts w:ascii="Courier New" w:hAnsi="Courier New"/>
                <w:sz w:val="21"/>
                <w:szCs w:val="21"/>
              </w:rPr>
            </w:pPr>
            <w:r>
              <w:rPr>
                <w:rFonts w:ascii="Courier New" w:hAnsi="Courier New"/>
                <w:b w:val="false"/>
                <w:bCs w:val="false"/>
                <w:i w:val="false"/>
                <w:iCs w:val="false"/>
                <w:strike w:val="false"/>
                <w:dstrike w:val="false"/>
                <w:outline w:val="false"/>
                <w:shadow w:val="false"/>
                <w:color w:val="000000"/>
                <w:sz w:val="21"/>
                <w:szCs w:val="21"/>
                <w:u w:val="none"/>
              </w:rPr>
              <w:t>equipamentos, insumos e mão de</w:t>
            </w:r>
          </w:p>
          <w:p>
            <w:pPr>
              <w:pStyle w:val="Contedodatabela"/>
              <w:jc w:val="center"/>
              <w:rPr>
                <w:rFonts w:ascii="Courier New" w:hAnsi="Courier New"/>
                <w:sz w:val="21"/>
                <w:szCs w:val="21"/>
              </w:rPr>
            </w:pPr>
            <w:r>
              <w:rPr>
                <w:rFonts w:ascii="Courier New" w:hAnsi="Courier New"/>
                <w:b w:val="false"/>
                <w:bCs w:val="false"/>
                <w:i w:val="false"/>
                <w:iCs w:val="false"/>
                <w:strike w:val="false"/>
                <w:dstrike w:val="false"/>
                <w:outline w:val="false"/>
                <w:shadow w:val="false"/>
                <w:color w:val="000000"/>
                <w:sz w:val="21"/>
                <w:szCs w:val="21"/>
                <w:u w:val="none"/>
              </w:rPr>
              <w:t>obra.</w:t>
            </w:r>
          </w:p>
          <w:p>
            <w:pPr>
              <w:pStyle w:val="Contedodatabela"/>
              <w:jc w:val="center"/>
              <w:rPr>
                <w:rFonts w:ascii="Courier New" w:hAnsi="Courier New"/>
                <w:sz w:val="21"/>
                <w:szCs w:val="21"/>
              </w:rPr>
            </w:pPr>
            <w:r>
              <w:rPr>
                <w:rFonts w:ascii="Courier New" w:hAnsi="Courier New"/>
                <w:b w:val="false"/>
                <w:bCs w:val="false"/>
                <w:i w:val="false"/>
                <w:iCs w:val="false"/>
                <w:strike w:val="false"/>
                <w:dstrike w:val="false"/>
                <w:outline w:val="false"/>
                <w:shadow w:val="false"/>
                <w:color w:val="000000"/>
                <w:sz w:val="21"/>
                <w:szCs w:val="21"/>
                <w:u w:val="none"/>
              </w:rPr>
              <w:t>*Atenção aos itens 1.2 a 1.6 do</w:t>
            </w:r>
          </w:p>
          <w:p>
            <w:pPr>
              <w:pStyle w:val="Contedodatabela"/>
              <w:jc w:val="center"/>
              <w:rPr>
                <w:rFonts w:ascii="Courier New" w:hAnsi="Courier New"/>
                <w:sz w:val="21"/>
                <w:szCs w:val="21"/>
              </w:rPr>
            </w:pPr>
            <w:r>
              <w:rPr>
                <w:rFonts w:ascii="Courier New" w:hAnsi="Courier New"/>
                <w:b w:val="false"/>
                <w:bCs w:val="false"/>
                <w:i w:val="false"/>
                <w:iCs w:val="false"/>
                <w:strike w:val="false"/>
                <w:dstrike w:val="false"/>
                <w:outline w:val="false"/>
                <w:shadow w:val="false"/>
                <w:color w:val="000000"/>
                <w:sz w:val="21"/>
                <w:szCs w:val="21"/>
                <w:u w:val="none"/>
              </w:rPr>
              <w:t>Termo de Referência</w:t>
            </w:r>
          </w:p>
        </w:tc>
        <w:tc>
          <w:tcPr>
            <w:tcW w:w="1027" w:type="dxa"/>
            <w:tcBorders>
              <w:bottom w:val="single" w:sz="6" w:space="0" w:color="666666"/>
              <w:right w:val="single" w:sz="6" w:space="0" w:color="666666"/>
            </w:tcBorders>
          </w:tcPr>
          <w:p>
            <w:pPr>
              <w:pStyle w:val="Contedodatabela"/>
              <w:spacing w:before="57" w:after="57"/>
              <w:jc w:val="center"/>
              <w:rPr>
                <w:rFonts w:ascii="Courier New" w:hAnsi="Courier New"/>
                <w:sz w:val="21"/>
                <w:szCs w:val="21"/>
              </w:rPr>
            </w:pPr>
            <w:r>
              <w:rPr>
                <w:rFonts w:ascii="Courier New" w:hAnsi="Courier New"/>
                <w:b w:val="false"/>
                <w:bCs w:val="false"/>
                <w:i w:val="false"/>
                <w:iCs w:val="false"/>
                <w:strike w:val="false"/>
                <w:dstrike w:val="false"/>
                <w:outline w:val="false"/>
                <w:shadow w:val="false"/>
                <w:color w:val="000000"/>
                <w:sz w:val="21"/>
                <w:szCs w:val="21"/>
                <w:u w:val="none"/>
              </w:rPr>
              <w:t xml:space="preserve">19925 </w:t>
            </w:r>
          </w:p>
        </w:tc>
        <w:tc>
          <w:tcPr>
            <w:tcW w:w="1246" w:type="dxa"/>
            <w:tcBorders>
              <w:bottom w:val="single" w:sz="6" w:space="0" w:color="666666"/>
              <w:right w:val="single" w:sz="6" w:space="0" w:color="666666"/>
            </w:tcBorders>
          </w:tcPr>
          <w:p>
            <w:pPr>
              <w:pStyle w:val="Contedodatabela"/>
              <w:jc w:val="center"/>
              <w:rPr>
                <w:rFonts w:ascii="Courier New" w:hAnsi="Courier New"/>
                <w:sz w:val="21"/>
                <w:szCs w:val="21"/>
              </w:rPr>
            </w:pPr>
            <w:r>
              <w:rPr>
                <w:rFonts w:ascii="Courier New" w:hAnsi="Courier New"/>
                <w:b w:val="false"/>
                <w:bCs w:val="false"/>
                <w:i w:val="false"/>
                <w:iCs w:val="false"/>
                <w:strike w:val="false"/>
                <w:dstrike w:val="false"/>
                <w:outline w:val="false"/>
                <w:shadow w:val="false"/>
                <w:color w:val="000000"/>
                <w:sz w:val="21"/>
                <w:szCs w:val="21"/>
                <w:u w:val="none"/>
              </w:rPr>
              <w:t xml:space="preserve">metro </w:t>
            </w:r>
          </w:p>
        </w:tc>
        <w:tc>
          <w:tcPr>
            <w:tcW w:w="1697" w:type="dxa"/>
            <w:tcBorders>
              <w:bottom w:val="single" w:sz="6" w:space="0" w:color="666666"/>
              <w:right w:val="single" w:sz="6" w:space="0" w:color="666666"/>
            </w:tcBorders>
          </w:tcPr>
          <w:p>
            <w:pPr>
              <w:pStyle w:val="Contedodatabela"/>
              <w:jc w:val="center"/>
              <w:rPr>
                <w:rFonts w:ascii="Courier New" w:hAnsi="Courier New"/>
                <w:sz w:val="21"/>
                <w:szCs w:val="21"/>
              </w:rPr>
            </w:pPr>
            <w:r>
              <w:rPr>
                <w:rFonts w:ascii="Courier New" w:hAnsi="Courier New"/>
                <w:b w:val="false"/>
                <w:bCs w:val="false"/>
                <w:i w:val="false"/>
                <w:iCs w:val="false"/>
                <w:strike w:val="false"/>
                <w:dstrike w:val="false"/>
                <w:outline w:val="false"/>
                <w:shadow w:val="false"/>
                <w:color w:val="000000"/>
                <w:sz w:val="21"/>
                <w:szCs w:val="21"/>
                <w:u w:val="none"/>
              </w:rPr>
              <w:t>50</w:t>
            </w:r>
          </w:p>
        </w:tc>
        <w:tc>
          <w:tcPr>
            <w:tcW w:w="1477" w:type="dxa"/>
            <w:tcBorders>
              <w:bottom w:val="single" w:sz="6" w:space="0" w:color="666666"/>
              <w:right w:val="single" w:sz="6" w:space="0" w:color="666666"/>
            </w:tcBorders>
          </w:tcPr>
          <w:p>
            <w:pPr>
              <w:pStyle w:val="Contedodatabela"/>
              <w:jc w:val="center"/>
              <w:rPr>
                <w:rFonts w:ascii="Courier New" w:hAnsi="Courier New"/>
                <w:sz w:val="21"/>
                <w:szCs w:val="21"/>
              </w:rPr>
            </w:pPr>
            <w:r>
              <w:rPr>
                <w:rFonts w:ascii="Courier New" w:hAnsi="Courier New"/>
                <w:b w:val="false"/>
                <w:bCs w:val="false"/>
                <w:i w:val="false"/>
                <w:iCs w:val="false"/>
                <w:strike w:val="false"/>
                <w:dstrike w:val="false"/>
                <w:outline w:val="false"/>
                <w:shadow w:val="false"/>
                <w:color w:val="000000"/>
                <w:sz w:val="21"/>
                <w:szCs w:val="21"/>
                <w:u w:val="none"/>
              </w:rPr>
              <w:t>R$ 349,01</w:t>
            </w:r>
          </w:p>
        </w:tc>
        <w:tc>
          <w:tcPr>
            <w:tcW w:w="1637" w:type="dxa"/>
            <w:tcBorders>
              <w:left w:val="single" w:sz="6" w:space="0" w:color="666666"/>
              <w:bottom w:val="single" w:sz="6" w:space="0" w:color="666666"/>
              <w:right w:val="single" w:sz="6" w:space="0" w:color="666666"/>
            </w:tcBorders>
          </w:tcPr>
          <w:p>
            <w:pPr>
              <w:pStyle w:val="Contedodatabela"/>
              <w:jc w:val="center"/>
              <w:rPr>
                <w:rFonts w:ascii="Courier New" w:hAnsi="Courier New"/>
                <w:sz w:val="21"/>
                <w:szCs w:val="21"/>
              </w:rPr>
            </w:pPr>
            <w:r>
              <w:rPr>
                <w:rFonts w:ascii="Courier New" w:hAnsi="Courier New"/>
                <w:b w:val="false"/>
                <w:bCs w:val="false"/>
                <w:i w:val="false"/>
                <w:iCs w:val="false"/>
                <w:strike w:val="false"/>
                <w:dstrike w:val="false"/>
                <w:outline w:val="false"/>
                <w:shadow w:val="false"/>
                <w:color w:val="000000"/>
                <w:sz w:val="21"/>
                <w:szCs w:val="21"/>
                <w:u w:val="none"/>
              </w:rPr>
              <w:t>R$ 17.450,79</w:t>
            </w:r>
          </w:p>
        </w:tc>
      </w:tr>
    </w:tbl>
    <w:p>
      <w:pPr>
        <w:pStyle w:val="Nivel2"/>
        <w:numPr>
          <w:ilvl w:val="1"/>
          <w:numId w:val="1"/>
        </w:numPr>
        <w:ind w:hanging="0" w:left="0"/>
        <w:rPr/>
      </w:pPr>
      <w:r>
        <w:rPr>
          <w:color w:val="1C1C1C"/>
        </w:rPr>
        <w:t xml:space="preserve"> </w:t>
      </w:r>
      <w:r>
        <w:rPr>
          <w:color w:val="1C1C1C"/>
        </w:rPr>
        <w:t xml:space="preserve">da Policlínica Naval </w:t>
      </w:r>
      <w:r>
        <w:rPr>
          <w:bCs w:val="false"/>
          <w:color w:val="1C1C1C"/>
        </w:rPr>
        <w:t>Nossa Senhora da Glória/Centro Médico Assistencial da Marinha</w:t>
      </w:r>
      <w:r>
        <w:rPr>
          <w:bCs w:val="false"/>
        </w:rPr>
        <w:t>,</w:t>
      </w:r>
      <w:r>
        <w:rPr/>
        <w:t xml:space="preserve"> conforme condições, quantidades e exigências estabelecidas neste Aviso de Contratação Direta e seus anexos.</w:t>
      </w:r>
    </w:p>
    <w:p>
      <w:pPr>
        <w:pStyle w:val="Nivel2"/>
        <w:numPr>
          <w:ilvl w:val="1"/>
          <w:numId w:val="1"/>
        </w:numPr>
        <w:ind w:hanging="0" w:left="0"/>
        <w:rPr/>
      </w:pPr>
      <w:r>
        <w:rPr/>
        <w:t>O critério de julgamento adotado será o</w:t>
      </w:r>
      <w:r>
        <w:rPr>
          <w:i/>
          <w:iCs/>
        </w:rPr>
        <w:t xml:space="preserve"> </w:t>
      </w:r>
      <w:r>
        <w:rPr>
          <w:b/>
          <w:bCs w:val="false"/>
          <w:i/>
          <w:iCs/>
          <w:color w:val="1C1C1C"/>
        </w:rPr>
        <w:t>menor preço</w:t>
      </w:r>
      <w:r>
        <w:rPr/>
        <w:t>, observadas as exigências contidas neste Aviso de Contratação Direta e seus Anexos quanto às especificações do objeto.</w:t>
      </w:r>
    </w:p>
    <w:p>
      <w:pPr>
        <w:pStyle w:val="Nivel01"/>
        <w:numPr>
          <w:ilvl w:val="0"/>
          <w:numId w:val="1"/>
        </w:numPr>
        <w:spacing w:before="288" w:after="288"/>
        <w:ind w:hanging="357" w:left="357"/>
        <w:rPr/>
      </w:pPr>
      <w:bookmarkStart w:id="2" w:name="_Toc226962638"/>
      <w:r>
        <w:rPr/>
        <w:t xml:space="preserve">DO </w:t>
      </w:r>
      <w:bookmarkStart w:id="3" w:name="_Toc142925861"/>
      <w:r>
        <w:rPr/>
        <w:t>REGISTRO DE PREÇOS</w:t>
      </w:r>
      <w:bookmarkEnd w:id="2"/>
      <w:r>
        <w:rPr/>
        <w:t xml:space="preserve"> </w:t>
      </w:r>
      <w:bookmarkEnd w:id="3"/>
    </w:p>
    <w:p>
      <w:pPr>
        <w:pStyle w:val="Nivel2"/>
        <w:numPr>
          <w:ilvl w:val="1"/>
          <w:numId w:val="1"/>
        </w:numPr>
        <w:ind w:hanging="0" w:left="0"/>
        <w:rPr>
          <w:highlight w:val="none"/>
          <w:shd w:fill="CCCCCC" w:val="clear"/>
        </w:rPr>
      </w:pPr>
      <w:r>
        <w:rPr>
          <w:shd w:fill="CCCCCC" w:val="clear"/>
        </w:rPr>
        <w:t>As regras referentes aos órgãos gerenciador e participantes, bem como a eventuais adesões são as que constam da minuta de Ata de Registro de Preços.</w:t>
      </w:r>
    </w:p>
    <w:p>
      <w:pPr>
        <w:pStyle w:val="Nivel01"/>
        <w:numPr>
          <w:ilvl w:val="0"/>
          <w:numId w:val="1"/>
        </w:numPr>
        <w:spacing w:before="288" w:after="288"/>
        <w:ind w:hanging="357" w:left="357"/>
        <w:rPr/>
      </w:pPr>
      <w:bookmarkStart w:id="4" w:name="_Toc226962639"/>
      <w:r>
        <w:rPr/>
        <w:t xml:space="preserve">DA </w:t>
      </w:r>
      <w:bookmarkStart w:id="5" w:name="_Toc142925862"/>
      <w:r>
        <w:rPr/>
        <w:t>PARTICIPAÇÃO NA DISPENSA ELETRÔNICA</w:t>
      </w:r>
      <w:bookmarkEnd w:id="4"/>
      <w:bookmarkEnd w:id="5"/>
    </w:p>
    <w:p>
      <w:pPr>
        <w:pStyle w:val="Nivel2"/>
        <w:numPr>
          <w:ilvl w:val="1"/>
          <w:numId w:val="1"/>
        </w:numPr>
        <w:ind w:hanging="0" w:left="0"/>
        <w:rPr/>
      </w:pPr>
      <w:r>
        <w:rPr/>
        <w:t xml:space="preserve">A </w:t>
      </w:r>
      <w:r>
        <w:rPr>
          <w:color w:themeColor="text1" w:val="000000"/>
        </w:rPr>
        <w:t>participação</w:t>
      </w:r>
      <w:r>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4">
        <w:r>
          <w:rPr>
            <w:rStyle w:val="Hyperlink"/>
            <w:color w:val="auto"/>
            <w:u w:val="none"/>
          </w:rPr>
          <w:t>www.gov.br/compras</w:t>
        </w:r>
      </w:hyperlink>
      <w:r>
        <w:rPr/>
        <w:t xml:space="preserve">. </w:t>
      </w:r>
    </w:p>
    <w:p>
      <w:pPr>
        <w:pStyle w:val="Nivel3"/>
        <w:numPr>
          <w:ilvl w:val="2"/>
          <w:numId w:val="1"/>
        </w:numPr>
        <w:ind w:hanging="0" w:left="284"/>
        <w:rPr/>
      </w:pPr>
      <w:r>
        <w:rPr/>
        <w:t xml:space="preserve">O procedimento será divulgado no Compras.gov.br e no </w:t>
      </w:r>
      <w:hyperlink r:id="rId5">
        <w:r>
          <w:rPr>
            <w:rStyle w:val="Hyperlink"/>
            <w:color w:val="auto"/>
            <w:u w:val="none"/>
          </w:rPr>
          <w:t>Portal Nacional de Contratações Públicas - PNCP</w:t>
        </w:r>
      </w:hyperlink>
      <w:r>
        <w:rPr/>
        <w:t>, e encaminhado automaticamente aos fornecedores registrados no Sistema de Cadastramento Unificado de Fornecedores - Sicaf, por mensagem eletrônica, na correspondente linha de fornecimento que pretende atender.</w:t>
      </w:r>
    </w:p>
    <w:p>
      <w:pPr>
        <w:pStyle w:val="Nivel3"/>
        <w:numPr>
          <w:ilvl w:val="2"/>
          <w:numId w:val="1"/>
        </w:numPr>
        <w:ind w:hanging="0" w:left="284"/>
        <w:rPr/>
      </w:pPr>
      <w:r>
        <w:rPr/>
        <w:t xml:space="preserve">O Compras.gov.br poderá ser acessado pela web ou pelo </w:t>
      </w:r>
      <w:hyperlink r:id="rId6">
        <w:r>
          <w:rPr>
            <w:rStyle w:val="Hyperlink"/>
            <w:color w:val="auto"/>
            <w:u w:val="none"/>
          </w:rPr>
          <w:t>aplicativo Compras.gov.br.</w:t>
        </w:r>
      </w:hyperlink>
    </w:p>
    <w:p>
      <w:pPr>
        <w:pStyle w:val="Nivel3"/>
        <w:numPr>
          <w:ilvl w:val="2"/>
          <w:numId w:val="1"/>
        </w:numPr>
        <w:ind w:hanging="0" w:left="284"/>
        <w:rPr/>
      </w:pPr>
      <w: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vel2-Opcional"/>
        <w:numPr>
          <w:ilvl w:val="1"/>
          <w:numId w:val="1"/>
        </w:numPr>
        <w:ind w:hanging="0" w:left="0"/>
        <w:rPr>
          <w:color w:val="111111"/>
          <w:highlight w:val="none"/>
          <w:shd w:fill="CCCCCC" w:val="clear"/>
        </w:rPr>
      </w:pPr>
      <w:r>
        <w:rPr>
          <w:color w:val="111111"/>
          <w:shd w:fill="CCCCCC" w:val="clear"/>
        </w:rPr>
        <w:t>Para  todos  os itens a participação é exclusiva a microempresas e empresas de pequeno porte, nos termos do art. 49, inciso IV, c/c o art. 48, inciso I, da Lei Complementar nº 123, de 14 de dezembro de 2006.</w:t>
      </w:r>
    </w:p>
    <w:p>
      <w:pPr>
        <w:pStyle w:val="Nvel3-R"/>
        <w:numPr>
          <w:ilvl w:val="2"/>
          <w:numId w:val="1"/>
        </w:numPr>
        <w:ind w:hanging="0" w:left="284"/>
        <w:rPr>
          <w:color w:val="111111"/>
          <w:highlight w:val="none"/>
          <w:shd w:fill="CCCCCC" w:val="clear"/>
        </w:rPr>
      </w:pPr>
      <w:r>
        <w:rPr>
          <w:color w:val="111111"/>
          <w:shd w:fill="CCCCCC" w:val="clear"/>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vel3-R"/>
        <w:numPr>
          <w:ilvl w:val="2"/>
          <w:numId w:val="1"/>
        </w:numPr>
        <w:ind w:hanging="0" w:left="284"/>
        <w:rPr>
          <w:color w:val="111111"/>
          <w:highlight w:val="none"/>
          <w:shd w:fill="CCCCCC" w:val="clear"/>
        </w:rPr>
      </w:pPr>
      <w:r>
        <w:rPr>
          <w:color w:val="111111"/>
          <w:shd w:fill="CCCCCC" w:val="clear"/>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pPr>
        <w:pStyle w:val="Nivel2"/>
        <w:numPr>
          <w:ilvl w:val="1"/>
          <w:numId w:val="1"/>
        </w:numPr>
        <w:ind w:hanging="0" w:left="0"/>
        <w:rPr/>
      </w:pPr>
      <w:bookmarkStart w:id="6" w:name="_Ref144286315"/>
      <w:r>
        <w:rPr/>
        <w:t>Não poderão participar desta dispensa de licitação:</w:t>
      </w:r>
      <w:bookmarkEnd w:id="6"/>
    </w:p>
    <w:p>
      <w:pPr>
        <w:pStyle w:val="Nivel3"/>
        <w:numPr>
          <w:ilvl w:val="2"/>
          <w:numId w:val="1"/>
        </w:numPr>
        <w:ind w:hanging="0" w:left="284"/>
        <w:rPr/>
      </w:pPr>
      <w:r>
        <w:rPr/>
        <w:t>aquele que não atenda às condições deste Aviso de Contratação Direta e seu(s) anexo(s);</w:t>
      </w:r>
    </w:p>
    <w:p>
      <w:pPr>
        <w:pStyle w:val="Nivel3"/>
        <w:numPr>
          <w:ilvl w:val="2"/>
          <w:numId w:val="1"/>
        </w:numPr>
        <w:ind w:hanging="0" w:left="284"/>
        <w:rPr>
          <w:i/>
          <w:i/>
          <w:iCs/>
        </w:rPr>
      </w:pPr>
      <w:r>
        <w:rPr/>
        <w:t>sociedade que desempenhe atividade incompatível com o objeto da dispensa;</w:t>
      </w:r>
    </w:p>
    <w:p>
      <w:pPr>
        <w:pStyle w:val="Nivel3"/>
        <w:numPr>
          <w:ilvl w:val="2"/>
          <w:numId w:val="1"/>
        </w:numPr>
        <w:ind w:hanging="0" w:left="284"/>
        <w:rPr>
          <w:rFonts w:eastAsia="Times New Roman"/>
          <w:i/>
          <w:i/>
          <w:iCs/>
        </w:rPr>
      </w:pPr>
      <w:r>
        <w:rPr/>
        <w:t>empresas estrangeiras que não tenham representação legal no Brasil com poderes expressos para receber citação e responder administrativa ou judicialmente;</w:t>
      </w:r>
    </w:p>
    <w:p>
      <w:pPr>
        <w:pStyle w:val="Nivel3"/>
        <w:numPr>
          <w:ilvl w:val="2"/>
          <w:numId w:val="1"/>
        </w:numPr>
        <w:ind w:hanging="0" w:left="284"/>
        <w:rPr>
          <w:strike/>
          <w:color w:themeColor="text1" w:val="000000"/>
        </w:rPr>
      </w:pPr>
      <w:bookmarkStart w:id="7" w:name="_Ref201821777"/>
      <w:r>
        <w:rPr/>
        <w:t>autor do anteprojeto, do projeto básico ou do projeto executivo, pessoa física ou jurídica, quando a contratação versar sobre obra, serviços ou fornecimento de bens a ele relacionados;</w:t>
      </w:r>
      <w:bookmarkEnd w:id="7"/>
    </w:p>
    <w:p>
      <w:pPr>
        <w:pStyle w:val="Nivel3"/>
        <w:numPr>
          <w:ilvl w:val="2"/>
          <w:numId w:val="1"/>
        </w:numPr>
        <w:ind w:hanging="0" w:left="284"/>
        <w:rPr>
          <w:strike/>
          <w:color w:themeColor="text1" w:val="000000"/>
        </w:rPr>
      </w:pPr>
      <w:bookmarkStart w:id="8" w:name="_Ref201821778"/>
      <w: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8"/>
    </w:p>
    <w:p>
      <w:pPr>
        <w:pStyle w:val="Nivel3"/>
        <w:numPr>
          <w:ilvl w:val="2"/>
          <w:numId w:val="1"/>
        </w:numPr>
        <w:ind w:hanging="0" w:left="284"/>
        <w:rPr>
          <w:strike/>
          <w:color w:themeColor="text1" w:val="000000"/>
        </w:rPr>
      </w:pPr>
      <w:bookmarkStart w:id="9" w:name="_Ref201821743"/>
      <w:r>
        <w:rPr/>
        <w:t>pessoa física ou jurídica que se encontre, ao tempo da contratação, impossibilitada de contratar em decorrência de sanção que lhe foi imposta;</w:t>
      </w:r>
      <w:bookmarkEnd w:id="9"/>
    </w:p>
    <w:p>
      <w:pPr>
        <w:pStyle w:val="Nivel3"/>
        <w:numPr>
          <w:ilvl w:val="2"/>
          <w:numId w:val="1"/>
        </w:numPr>
        <w:ind w:hanging="0" w:left="284"/>
        <w:rPr>
          <w:strike/>
          <w:color w:themeColor="text1" w:val="000000"/>
        </w:rPr>
      </w:pPr>
      <w:r>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ivel3"/>
        <w:numPr>
          <w:ilvl w:val="2"/>
          <w:numId w:val="1"/>
        </w:numPr>
        <w:ind w:hanging="0" w:left="284"/>
        <w:rPr>
          <w:strike/>
          <w:color w:themeColor="text1" w:val="000000"/>
        </w:rPr>
      </w:pPr>
      <w:r>
        <w:rPr>
          <w:color w:val="000000"/>
        </w:rPr>
        <w:t>empresas controladoras, controladas ou coligadas, nos termos da </w:t>
      </w:r>
      <w:hyperlink r:id="rId7">
        <w:r>
          <w:rPr>
            <w:rStyle w:val="Hyperlink"/>
            <w:rFonts w:eastAsia="Calibri"/>
            <w:color w:val="auto"/>
            <w:u w:val="none"/>
          </w:rPr>
          <w:t>Lei nº 6.404, de 15 de dezembro de 1976</w:t>
        </w:r>
      </w:hyperlink>
      <w:r>
        <w:rPr>
          <w:color w:val="000000"/>
        </w:rPr>
        <w:t>, concorrendo entre si;</w:t>
      </w:r>
    </w:p>
    <w:p>
      <w:pPr>
        <w:pStyle w:val="Nivel3"/>
        <w:numPr>
          <w:ilvl w:val="2"/>
          <w:numId w:val="1"/>
        </w:numPr>
        <w:ind w:hanging="0" w:left="284"/>
        <w:rPr>
          <w:strike/>
          <w:color w:themeColor="text1" w:val="000000"/>
        </w:rPr>
      </w:pPr>
      <w: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vel3-R"/>
        <w:numPr>
          <w:ilvl w:val="2"/>
          <w:numId w:val="1"/>
        </w:numPr>
        <w:ind w:hanging="0" w:left="284"/>
        <w:rPr>
          <w:color w:val="111111"/>
          <w:highlight w:val="none"/>
          <w:shd w:fill="CCCCCC" w:val="clear"/>
        </w:rPr>
      </w:pPr>
      <w:r>
        <w:rPr>
          <w:color w:val="111111"/>
          <w:shd w:fill="CCCCCC" w:val="clear"/>
        </w:rPr>
        <w:t xml:space="preserve">pessoas jurídicas reunidas em consórcio; </w:t>
      </w:r>
    </w:p>
    <w:p>
      <w:pPr>
        <w:pStyle w:val="Nvel3-R"/>
        <w:numPr>
          <w:ilvl w:val="2"/>
          <w:numId w:val="1"/>
        </w:numPr>
        <w:ind w:hanging="0" w:left="284"/>
        <w:rPr>
          <w:color w:val="111111"/>
          <w:highlight w:val="none"/>
          <w:shd w:fill="CCCCCC" w:val="clear"/>
        </w:rPr>
      </w:pPr>
      <w:r>
        <w:rPr>
          <w:color w:val="111111"/>
          <w:shd w:fill="CCCCCC" w:val="clear"/>
        </w:rPr>
        <w:t>Organização da Sociedade Civil de Interesse Público - OSCIP, atuando nessa condição.</w:t>
      </w:r>
    </w:p>
    <w:p>
      <w:pPr>
        <w:pStyle w:val="Nvel3-R"/>
        <w:numPr>
          <w:ilvl w:val="2"/>
          <w:numId w:val="1"/>
        </w:numPr>
        <w:ind w:hanging="0" w:left="284"/>
        <w:rPr>
          <w:color w:val="111111"/>
          <w:highlight w:val="none"/>
          <w:shd w:fill="CCCCCC" w:val="clear"/>
        </w:rPr>
      </w:pPr>
      <w:r>
        <w:rPr>
          <w:color w:val="111111"/>
          <w:shd w:fill="CCCCCC" w:val="clear"/>
        </w:rPr>
        <w:t>sociedades cooperativas</w:t>
      </w:r>
      <w:bookmarkStart w:id="10" w:name="_Hlk519667815"/>
      <w:bookmarkEnd w:id="10"/>
      <w:r>
        <w:rPr>
          <w:color w:val="111111"/>
          <w:shd w:fill="CCCCCC" w:val="clear"/>
        </w:rPr>
        <w:t>.</w:t>
      </w:r>
    </w:p>
    <w:p>
      <w:pPr>
        <w:pStyle w:val="Nvel3-R"/>
        <w:numPr>
          <w:ilvl w:val="2"/>
          <w:numId w:val="1"/>
        </w:numPr>
        <w:ind w:hanging="0" w:left="284"/>
        <w:rPr>
          <w:color w:val="111111"/>
          <w:highlight w:val="none"/>
          <w:shd w:fill="CCCCCC" w:val="clear"/>
        </w:rPr>
      </w:pPr>
      <w:r>
        <w:rPr>
          <w:color w:val="111111"/>
          <w:shd w:fill="CCCCCC" w:val="clear"/>
        </w:rPr>
        <w:t>pessoas físicas.</w:t>
      </w:r>
    </w:p>
    <w:p>
      <w:pPr>
        <w:pStyle w:val="Nivel2"/>
        <w:numPr>
          <w:ilvl w:val="1"/>
          <w:numId w:val="1"/>
        </w:numPr>
        <w:ind w:hanging="0" w:left="0"/>
        <w:rPr/>
      </w:pPr>
      <w:bookmarkStart w:id="11" w:name="_Ref201821838"/>
      <w: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Hyperlink"/>
          <w:u w:val="none"/>
          <w:color w:themeColor="hyperlink" w:val="auto"/>
        </w:rPr>
        <w:instrText xml:space="preserve"> HYPERLINK "http://www.planalto.gov.br/ccivil_03/_ato2019-2022/2021/lei/L14133.htm" \l "art9%C2%A71"</w:instrText>
      </w:r>
      <w:r>
        <w:rPr>
          <w:rStyle w:val="Hyperlink"/>
          <w:u w:val="none"/>
          <w:color w:themeColor="hyperlink" w:val="auto"/>
        </w:rPr>
        <w:fldChar w:fldCharType="separate"/>
      </w:r>
      <w:r>
        <w:rPr>
          <w:rStyle w:val="Hyperlink"/>
          <w:color w:themeColor="hyperlink" w:val="auto"/>
          <w:u w:val="none"/>
        </w:rPr>
        <w:t>§ 1º do art. 9º da Lei n.º 14.133, de 2021</w:t>
      </w:r>
      <w:r>
        <w:rPr>
          <w:rStyle w:val="Hyperlink"/>
          <w:u w:val="none"/>
          <w:color w:themeColor="hyperlink" w:val="auto"/>
        </w:rPr>
        <w:fldChar w:fldCharType="end"/>
      </w:r>
      <w:r>
        <w:rPr/>
        <w:t>.</w:t>
      </w:r>
      <w:bookmarkEnd w:id="11"/>
    </w:p>
    <w:p>
      <w:pPr>
        <w:pStyle w:val="Nivel2"/>
        <w:numPr>
          <w:ilvl w:val="1"/>
          <w:numId w:val="1"/>
        </w:numPr>
        <w:ind w:hanging="0" w:left="0"/>
        <w:rPr/>
      </w:pPr>
      <w:r>
        <w:rPr/>
        <w:t xml:space="preserve">O impedimento de que trata o item </w:t>
      </w:r>
      <w:r>
        <w:rPr/>
        <w:fldChar w:fldCharType="begin"/>
      </w:r>
      <w:r>
        <w:rPr/>
        <w:instrText xml:space="preserve"> REF _Ref201821743 \r \r \h </w:instrText>
      </w:r>
      <w:r>
        <w:rPr/>
        <w:fldChar w:fldCharType="separate"/>
      </w:r>
      <w:r>
        <w:rPr/>
        <w:t>3.3.6</w:t>
      </w:r>
      <w:r>
        <w:rPr/>
        <w:fldChar w:fldCharType="end"/>
      </w:r>
      <w:r>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ivel2"/>
        <w:numPr>
          <w:ilvl w:val="1"/>
          <w:numId w:val="1"/>
        </w:numPr>
        <w:ind w:hanging="0" w:left="0"/>
        <w:rPr/>
      </w:pPr>
      <w:r>
        <w:rPr/>
        <w:t xml:space="preserve">A critério da Administração e exclusivamente a seu serviço, o autor dos projetos e a empresa a que se referem 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poderão participar no apoio das atividades de planejamento da contratação, de execução da dispensa ou de gestão do contrato, desde que sob supervisão exclusiva de agentes públicos do órgão ou entidade.</w:t>
      </w:r>
    </w:p>
    <w:p>
      <w:pPr>
        <w:pStyle w:val="Nivel2"/>
        <w:numPr>
          <w:ilvl w:val="1"/>
          <w:numId w:val="1"/>
        </w:numPr>
        <w:ind w:hanging="0" w:left="0"/>
        <w:rPr/>
      </w:pPr>
      <w:r>
        <w:rPr/>
        <w:t>Equiparam-se aos autores do projeto as empresas integrantes do mesmo grupo econômico.</w:t>
      </w:r>
    </w:p>
    <w:p>
      <w:pPr>
        <w:pStyle w:val="Nivel2"/>
        <w:numPr>
          <w:ilvl w:val="1"/>
          <w:numId w:val="1"/>
        </w:numPr>
        <w:ind w:hanging="0" w:left="0"/>
        <w:rPr/>
      </w:pPr>
      <w:r>
        <w:rPr/>
        <w:t xml:space="preserve">O disposto nos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não impede a dispensa ou a contratação de serviço que inclua como encargo do contratado a elaboração do projeto básico e do projeto executivo, nas contratações integradas, e do projeto executivo, nos demais regimes de execução.</w:t>
      </w:r>
    </w:p>
    <w:p>
      <w:pPr>
        <w:pStyle w:val="Nivel2"/>
        <w:numPr>
          <w:ilvl w:val="1"/>
          <w:numId w:val="1"/>
        </w:numPr>
        <w:ind w:hanging="0" w:left="0"/>
        <w:rPr/>
      </w:pPr>
      <w:r>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pPr>
        <w:pStyle w:val="Nivel2"/>
        <w:numPr>
          <w:ilvl w:val="1"/>
          <w:numId w:val="1"/>
        </w:numPr>
        <w:ind w:hanging="0" w:left="0"/>
        <w:rPr/>
      </w:pPr>
      <w:r>
        <w:rPr/>
        <w:t xml:space="preserve">A vedação de que trata o item </w:t>
      </w:r>
      <w:r>
        <w:rPr/>
        <w:fldChar w:fldCharType="begin"/>
      </w:r>
      <w:r>
        <w:rPr/>
        <w:instrText xml:space="preserve"> REF _Ref201821838 \r \r \h </w:instrText>
      </w:r>
      <w:r>
        <w:rPr/>
        <w:fldChar w:fldCharType="separate"/>
      </w:r>
      <w:r>
        <w:rPr/>
        <w:t>3.4</w:t>
      </w:r>
      <w:r>
        <w:rPr/>
        <w:fldChar w:fldCharType="end"/>
      </w:r>
      <w:r>
        <w:rPr/>
        <w:t>,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spacing w:before="288" w:after="288"/>
        <w:ind w:hanging="357" w:left="357"/>
        <w:rPr/>
      </w:pPr>
      <w:bookmarkStart w:id="12" w:name="_Toc226962640"/>
      <w:r>
        <w:rPr/>
        <w:t xml:space="preserve">DO </w:t>
      </w:r>
      <w:bookmarkStart w:id="13" w:name="_Toc142925863"/>
      <w:r>
        <w:rPr/>
        <w:t>INGRESSO NA DISPENSA ELETRÔNICA E DO CADASTRAMENTO DA PROPOSTA INICIAL</w:t>
      </w:r>
      <w:bookmarkEnd w:id="12"/>
      <w:bookmarkEnd w:id="13"/>
    </w:p>
    <w:p>
      <w:pPr>
        <w:pStyle w:val="Nivel2"/>
        <w:numPr>
          <w:ilvl w:val="1"/>
          <w:numId w:val="1"/>
        </w:numPr>
        <w:ind w:hanging="0" w:left="0"/>
        <w:rPr/>
      </w:pPr>
      <w:r>
        <w:rPr/>
        <w:t>O ingresso do fornecedor na disputa da dispensa eletrônica ocorrerá com o cadastramento de sua proposta inicial, na forma deste item.</w:t>
      </w:r>
    </w:p>
    <w:p>
      <w:pPr>
        <w:pStyle w:val="Nivel2"/>
        <w:numPr>
          <w:ilvl w:val="1"/>
          <w:numId w:val="1"/>
        </w:numPr>
        <w:ind w:hanging="0" w:left="0"/>
        <w:rPr/>
      </w:pPr>
      <w:r>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vel3-R"/>
        <w:numPr>
          <w:ilvl w:val="2"/>
          <w:numId w:val="1"/>
        </w:numPr>
        <w:ind w:hanging="0" w:left="284"/>
        <w:rPr>
          <w:color w:val="111111"/>
          <w:highlight w:val="none"/>
          <w:shd w:fill="CCCCCC" w:val="clear"/>
        </w:rPr>
      </w:pPr>
      <w:r>
        <w:rPr>
          <w:color w:val="111111"/>
          <w:shd w:fill="CCCCCC" w:val="clear"/>
        </w:rPr>
        <w:t>O fornecedor [</w:t>
      </w:r>
      <w:r>
        <w:rPr>
          <w:b/>
          <w:bCs/>
          <w:color w:val="111111"/>
          <w:shd w:fill="CCCCCC" w:val="clear"/>
        </w:rPr>
        <w:t>NÃO</w:t>
      </w:r>
      <w:r>
        <w:rPr>
          <w:color w:val="111111"/>
          <w:shd w:fill="CCCCCC" w:val="clear"/>
        </w:rPr>
        <w:t>] poderá oferecer proposta em quantitativo inferior ao máximo previsto para contratação.</w:t>
      </w:r>
    </w:p>
    <w:p>
      <w:pPr>
        <w:pStyle w:val="Normal"/>
        <w:numPr>
          <w:ilvl w:val="1"/>
          <w:numId w:val="1"/>
        </w:numPr>
        <w:spacing w:lineRule="auto" w:line="276" w:before="120" w:after="120"/>
        <w:ind w:hanging="0" w:left="425"/>
        <w:jc w:val="both"/>
        <w:rPr>
          <w:rFonts w:cs="Arial"/>
          <w:szCs w:val="20"/>
        </w:rPr>
      </w:pPr>
      <w:r>
        <w:rPr>
          <w:rFonts w:cs="Arial"/>
          <w:szCs w:val="20"/>
        </w:rPr>
        <w:t xml:space="preserve">Todas as especificações do </w:t>
      </w:r>
      <w:r>
        <w:rPr>
          <w:rFonts w:cs="Arial"/>
          <w:color w:themeColor="text1" w:val="000000"/>
          <w:szCs w:val="20"/>
        </w:rPr>
        <w:t>objeto</w:t>
      </w:r>
      <w:r>
        <w:rPr>
          <w:rFonts w:cs="Arial"/>
          <w:szCs w:val="20"/>
        </w:rPr>
        <w:t xml:space="preserve"> contidas na proposta, em especial o preço ou o desconto ofertado, vinculam a Contratada.</w:t>
      </w:r>
    </w:p>
    <w:p>
      <w:pPr>
        <w:pStyle w:val="Normal"/>
        <w:numPr>
          <w:ilvl w:val="1"/>
          <w:numId w:val="1"/>
        </w:numPr>
        <w:spacing w:lineRule="auto" w:line="276" w:before="120" w:after="120"/>
        <w:ind w:hanging="0" w:left="425"/>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ivel3"/>
        <w:numPr>
          <w:ilvl w:val="2"/>
          <w:numId w:val="1"/>
        </w:numPr>
        <w:ind w:hanging="0" w:left="284"/>
        <w:rPr/>
      </w:pPr>
      <w:r>
        <w:rPr/>
        <w:t xml:space="preserve"> </w:t>
      </w:r>
      <w:r>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3"/>
        <w:numPr>
          <w:ilvl w:val="2"/>
          <w:numId w:val="1"/>
        </w:numPr>
        <w:ind w:hanging="0" w:left="284"/>
        <w:rPr/>
      </w:pPr>
      <w:r>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ivel2"/>
        <w:numPr>
          <w:ilvl w:val="1"/>
          <w:numId w:val="1"/>
        </w:numPr>
        <w:ind w:hanging="0" w:left="0"/>
        <w:rPr/>
      </w:pPr>
      <w:r>
        <w:rPr/>
        <w:t xml:space="preserve">Se o regime tributário da empresa implicar o recolhimento de tributos em percentuais variáveis, a cotação adequada será aquela correspondente à média dos efetivos recolhimentos da empresa nos últimos doze meses. </w:t>
      </w:r>
    </w:p>
    <w:p>
      <w:pPr>
        <w:pStyle w:val="Nivel2"/>
        <w:numPr>
          <w:ilvl w:val="1"/>
          <w:numId w:val="1"/>
        </w:numPr>
        <w:ind w:hanging="0" w:left="0"/>
        <w:rPr/>
      </w:pPr>
      <w:r>
        <w:rPr/>
        <w:t>Independentemente do percentual do tributo que constar da planilha, no pagamento serão retidos na fonte os percentuais estabelecidos pela legislação vigente.</w:t>
      </w:r>
    </w:p>
    <w:p>
      <w:pPr>
        <w:pStyle w:val="Nivel2"/>
        <w:numPr>
          <w:ilvl w:val="1"/>
          <w:numId w:val="1"/>
        </w:numPr>
        <w:ind w:hanging="0" w:left="0"/>
        <w:rPr/>
      </w:pPr>
      <w:r>
        <w:rPr/>
        <w:t xml:space="preserve">A apresentação das propostas implica obrigatoriedade do cumprimento das disposições nelas contidas, em conformidade com o que dispõe o </w:t>
      </w:r>
      <w:r>
        <w:rPr>
          <w:iCs/>
        </w:rPr>
        <w:t>Termo de Referência</w:t>
      </w:r>
      <w:r>
        <w:rPr>
          <w:i/>
        </w:rPr>
        <w:t>,</w:t>
      </w:r>
      <w:r>
        <w:rPr>
          <w:i/>
          <w:color w:val="FF0000"/>
        </w:rPr>
        <w:t xml:space="preserve"> </w:t>
      </w:r>
      <w:r>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1"/>
        </w:numPr>
        <w:ind w:hanging="0" w:left="0"/>
        <w:rPr/>
      </w:pPr>
      <w:r>
        <w:rPr/>
        <w:t xml:space="preserve">O prazo de validade da proposta não será inferior a </w:t>
      </w:r>
      <w:r>
        <w:rPr>
          <w:rFonts w:eastAsia="Arial"/>
          <w:b/>
          <w:color w:val="111111"/>
          <w:shd w:fill="CCCCCC" w:val="clear"/>
        </w:rPr>
        <w:t>90</w:t>
      </w:r>
      <w:r>
        <w:rPr>
          <w:rFonts w:eastAsia="Arial"/>
          <w:color w:val="111111"/>
          <w:shd w:fill="CCCCCC" w:val="clear"/>
        </w:rPr>
        <w:t xml:space="preserve"> (</w:t>
      </w:r>
      <w:r>
        <w:rPr>
          <w:rFonts w:eastAsia="Arial"/>
          <w:b/>
          <w:color w:val="111111"/>
          <w:shd w:fill="CCCCCC" w:val="clear"/>
        </w:rPr>
        <w:t>noventa</w:t>
      </w:r>
      <w:r>
        <w:rPr>
          <w:rFonts w:eastAsia="Arial"/>
          <w:color w:val="111111"/>
          <w:shd w:fill="CCCCCC" w:val="clear"/>
        </w:rPr>
        <w:t>)</w:t>
      </w:r>
      <w:r>
        <w:rPr>
          <w:iCs/>
          <w:color w:val="111111"/>
          <w:shd w:fill="CCCCCC" w:val="clear"/>
        </w:rPr>
        <w:t xml:space="preserve"> dias</w:t>
      </w:r>
      <w:r>
        <w:rPr>
          <w:b/>
        </w:rPr>
        <w:t>,</w:t>
      </w:r>
      <w:r>
        <w:rPr/>
        <w:t xml:space="preserve"> a contar da data de sua apresentação.</w:t>
      </w:r>
    </w:p>
    <w:p>
      <w:pPr>
        <w:pStyle w:val="Nivel2"/>
        <w:numPr>
          <w:ilvl w:val="1"/>
          <w:numId w:val="1"/>
        </w:numPr>
        <w:ind w:hanging="0" w:left="0"/>
        <w:rPr/>
      </w:pPr>
      <w:r>
        <w:rPr/>
        <w:t>No cadastramento da proposta inicial, o fornecedor deverá, também, assinalar Termo de Aceitação, em campo próprio do sistema eletrônico, relativo às seguintes declarações:</w:t>
      </w:r>
      <w:r>
        <w:rPr>
          <w:rFonts w:eastAsia="Zurich BT"/>
        </w:rPr>
        <w:t xml:space="preserve"> </w:t>
      </w:r>
    </w:p>
    <w:p>
      <w:pPr>
        <w:pStyle w:val="Nivel3"/>
        <w:numPr>
          <w:ilvl w:val="2"/>
          <w:numId w:val="1"/>
        </w:numPr>
        <w:ind w:hanging="0" w:left="284"/>
        <w:rPr/>
      </w:pPr>
      <w:r>
        <w:rPr/>
        <w:t>que inexistem fatos impeditivos para sua habilitação no certame, ciente da obrigatoriedade de declarar ocorrências posteriores;</w:t>
      </w:r>
    </w:p>
    <w:p>
      <w:pPr>
        <w:pStyle w:val="Nivel3"/>
        <w:numPr>
          <w:ilvl w:val="2"/>
          <w:numId w:val="1"/>
        </w:numPr>
        <w:ind w:hanging="0" w:left="284"/>
        <w:rPr/>
      </w:pPr>
      <w:r>
        <w:rPr/>
        <w:t>que está ciente e concorda com as condições contidas no Aviso de Contratação Direta e seus anexos;</w:t>
      </w:r>
    </w:p>
    <w:p>
      <w:pPr>
        <w:pStyle w:val="Nivel3"/>
        <w:numPr>
          <w:ilvl w:val="2"/>
          <w:numId w:val="1"/>
        </w:numPr>
        <w:ind w:hanging="0" w:left="284"/>
        <w:rPr/>
      </w:pPr>
      <w:r>
        <w:rPr/>
        <w:t>que se responsabiliza pelas transações que forem efetuadas no sistema, assumindo-as como firmes e verdadeiras;</w:t>
      </w:r>
    </w:p>
    <w:p>
      <w:pPr>
        <w:pStyle w:val="Nivel3"/>
        <w:numPr>
          <w:ilvl w:val="2"/>
          <w:numId w:val="1"/>
        </w:numPr>
        <w:ind w:hanging="0" w:left="284"/>
        <w:rPr/>
      </w:pPr>
      <w:r>
        <w:rPr/>
        <w:t>que cumpre as exigências de reserva de cargos para pessoa com deficiência e para reabilitado da Previdência Social, previstas em lei e em outras normas específicas;</w:t>
      </w:r>
    </w:p>
    <w:p>
      <w:pPr>
        <w:pStyle w:val="Nivel3"/>
        <w:numPr>
          <w:ilvl w:val="2"/>
          <w:numId w:val="1"/>
        </w:numPr>
        <w:ind w:hanging="0" w:left="284"/>
        <w:rPr/>
      </w:pPr>
      <w:r>
        <w:rPr/>
        <w:t xml:space="preserve">que não emprega menor de 18 anos em trabalho noturno, perigoso ou insalubre e não emprega menor de 16 anos, salvo menor, a partir de 14 anos, na condição de aprendiz, nos termos do </w:t>
      </w:r>
      <w:r>
        <w:fldChar w:fldCharType="begin"/>
      </w:r>
      <w:r>
        <w:rPr>
          <w:rStyle w:val="Hyperlink"/>
          <w:u w:val="none"/>
          <w:color w:themeColor="hyperlink" w:val="auto"/>
        </w:rPr>
        <w:instrText xml:space="preserve"> HYPERLINK "https://normas.leg.br/?urn=urn:lex:br:federal:constituicao:1988-10-05;1988" \l "art7"</w:instrText>
      </w:r>
      <w:r>
        <w:rPr>
          <w:rStyle w:val="Hyperlink"/>
          <w:u w:val="none"/>
          <w:color w:themeColor="hyperlink" w:val="auto"/>
        </w:rPr>
        <w:fldChar w:fldCharType="separate"/>
      </w:r>
      <w:r>
        <w:rPr>
          <w:rStyle w:val="Hyperlink"/>
          <w:color w:themeColor="hyperlink" w:val="auto"/>
          <w:u w:val="none"/>
        </w:rPr>
        <w:t>art. 7°, inciso XXXIII, da Constituição</w:t>
      </w:r>
      <w:r>
        <w:rPr>
          <w:rStyle w:val="Hyperlink"/>
          <w:u w:val="none"/>
          <w:color w:themeColor="hyperlink" w:val="auto"/>
        </w:rPr>
        <w:fldChar w:fldCharType="end"/>
      </w:r>
      <w:r>
        <w:rPr/>
        <w:t>; e</w:t>
      </w:r>
    </w:p>
    <w:p>
      <w:pPr>
        <w:pStyle w:val="Nivel3"/>
        <w:numPr>
          <w:ilvl w:val="2"/>
          <w:numId w:val="1"/>
        </w:numPr>
        <w:ind w:hanging="0" w:left="284"/>
        <w:rPr/>
      </w:pPr>
      <w:r>
        <w:rPr/>
        <w:t xml:space="preserve"> </w:t>
      </w:r>
      <w:r>
        <w:rPr/>
        <w:t>não possui empregados executando trabalho degradante ou forçado, observando o disposto nos incisos III e IV do art. 1º e no inciso III do art. 5º da Constituição Federal.</w:t>
      </w:r>
    </w:p>
    <w:p>
      <w:pPr>
        <w:pStyle w:val="Normal"/>
        <w:numPr>
          <w:ilvl w:val="1"/>
          <w:numId w:val="1"/>
        </w:numPr>
        <w:spacing w:lineRule="auto" w:line="276" w:before="120" w:after="120"/>
        <w:jc w:val="both"/>
        <w:rPr>
          <w:rFonts w:cs="Arial"/>
          <w:szCs w:val="20"/>
        </w:rPr>
      </w:pPr>
      <w:r>
        <w:rPr>
          <w:rFonts w:cs="Arial"/>
          <w:color w:themeColor="text1" w:val="000000"/>
          <w:szCs w:val="20"/>
        </w:rPr>
        <w:t xml:space="preserve">O fornecedor organizado em cooperativa deverá declarar, ainda, em campo próprio do sistema eletrônico, que cumpre os requisitos estabelecidos no </w:t>
      </w:r>
      <w:r>
        <w:fldChar w:fldCharType="begin"/>
      </w:r>
      <w:r>
        <w:rPr>
          <w:rStyle w:val="Hyperlink"/>
          <w:u w:val="none"/>
          <w:szCs w:val="20"/>
          <w:rFonts w:cs="Arial"/>
          <w:color w:themeColor="hyperlink" w:val="auto"/>
        </w:rPr>
        <w:instrText xml:space="preserve"> HYPERLINK "http://www.planalto.gov.br/ccivil_03/_ato2019-2022/2021/lei/L14133.htm" \l "art16"</w:instrText>
      </w:r>
      <w:r>
        <w:rPr>
          <w:rStyle w:val="Hyperlink"/>
          <w:u w:val="none"/>
          <w:szCs w:val="20"/>
          <w:rFonts w:cs="Arial"/>
          <w:color w:themeColor="hyperlink" w:val="auto"/>
        </w:rPr>
        <w:fldChar w:fldCharType="separate"/>
      </w:r>
      <w:r>
        <w:rPr>
          <w:rStyle w:val="Hyperlink"/>
          <w:rFonts w:cs="Arial"/>
          <w:color w:themeColor="hyperlink" w:val="auto"/>
          <w:szCs w:val="20"/>
          <w:u w:val="none"/>
        </w:rPr>
        <w:t>art. 16 da Lei nº 14.133, de 2021.</w:t>
      </w:r>
      <w:r>
        <w:rPr>
          <w:rStyle w:val="Hyperlink"/>
          <w:u w:val="none"/>
          <w:szCs w:val="20"/>
          <w:rFonts w:cs="Arial"/>
          <w:color w:themeColor="hyperlink" w:val="auto"/>
        </w:rPr>
        <w:fldChar w:fldCharType="end"/>
      </w:r>
    </w:p>
    <w:p>
      <w:pPr>
        <w:pStyle w:val="Nivel2"/>
        <w:numPr>
          <w:ilvl w:val="1"/>
          <w:numId w:val="1"/>
        </w:numPr>
        <w:ind w:hanging="0" w:left="0"/>
        <w:rPr/>
      </w:pPr>
      <w:r>
        <w:rPr/>
        <w:t>O fornecedor deverá declarar em campo próprio do sistema se o produto ou serviço ofertado é manufaturado nacional beneficiado por um dos critérios de margem de preferência indicados no Termo de Referência, quando for o caso, para usufruir do benefício.</w:t>
      </w:r>
    </w:p>
    <w:p>
      <w:pPr>
        <w:pStyle w:val="Nivel2"/>
        <w:numPr>
          <w:ilvl w:val="1"/>
          <w:numId w:val="1"/>
        </w:numPr>
        <w:ind w:hanging="0" w:left="0"/>
        <w:rPr/>
      </w:pPr>
      <w:r>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Hyperlink"/>
          <w:u w:val="none"/>
          <w:color w:themeColor="hyperlink" w:val="auto"/>
        </w:rPr>
        <w:instrText xml:space="preserve"> HYPERLINK "https://www.planalto.gov.br/ccivil_03/leis/lcp/lcp123.htm" \l "art3"</w:instrText>
      </w:r>
      <w:r>
        <w:rPr>
          <w:rStyle w:val="Hyperlink"/>
          <w:u w:val="none"/>
          <w:color w:themeColor="hyperlink" w:val="auto"/>
        </w:rPr>
        <w:fldChar w:fldCharType="separate"/>
      </w:r>
      <w:r>
        <w:rPr>
          <w:rStyle w:val="Hyperlink"/>
          <w:color w:themeColor="hyperlink" w:val="auto"/>
          <w:u w:val="none"/>
        </w:rPr>
        <w:t>art. 3° da Lei Complementar nº 123, de 2006</w:t>
      </w:r>
      <w:r>
        <w:rPr>
          <w:rStyle w:val="Hyperlink"/>
          <w:u w:val="none"/>
          <w:color w:themeColor="hyperlink" w:val="auto"/>
        </w:rPr>
        <w:fldChar w:fldCharType="end"/>
      </w:r>
      <w:r>
        <w:rPr/>
        <w:t xml:space="preserve">, estando apto a usufruir do tratamento favorecido estabelecido em seus arts. 42 a 49, observado o disposto nos </w:t>
      </w:r>
      <w:r>
        <w:fldChar w:fldCharType="begin"/>
      </w:r>
      <w:r>
        <w:rPr>
          <w:rStyle w:val="Hyperlink"/>
          <w:u w:val="none"/>
          <w:color w:themeColor="hyperlink" w:val="auto"/>
        </w:rPr>
        <w:instrText xml:space="preserve"> HYPERLINK "http://www.planalto.gov.br/ccivil_03/_ato2019-2022/2021/lei/L14133.htm" \l "art4%C2%A71"</w:instrText>
      </w:r>
      <w:r>
        <w:rPr>
          <w:rStyle w:val="Hyperlink"/>
          <w:u w:val="none"/>
          <w:color w:themeColor="hyperlink" w:val="auto"/>
        </w:rPr>
        <w:fldChar w:fldCharType="separate"/>
      </w:r>
      <w:r>
        <w:rPr>
          <w:rStyle w:val="Hyperlink"/>
          <w:color w:themeColor="hyperlink" w:val="auto"/>
          <w:u w:val="none"/>
        </w:rPr>
        <w:t>§§ 1º ao 3º do art. 4º, da Lei n.º 14.133, de 2021.</w:t>
      </w:r>
      <w:r>
        <w:rPr>
          <w:rStyle w:val="Hyperlink"/>
          <w:u w:val="none"/>
          <w:color w:themeColor="hyperlink" w:val="auto"/>
        </w:rPr>
        <w:fldChar w:fldCharType="end"/>
      </w:r>
    </w:p>
    <w:p>
      <w:pPr>
        <w:pStyle w:val="Nivel2"/>
        <w:numPr>
          <w:ilvl w:val="1"/>
          <w:numId w:val="1"/>
        </w:numPr>
        <w:ind w:hanging="0" w:left="0"/>
        <w:rPr/>
      </w:pPr>
      <w:r>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vel3-R"/>
        <w:numPr>
          <w:ilvl w:val="2"/>
          <w:numId w:val="1"/>
        </w:numPr>
        <w:ind w:hanging="0" w:left="284"/>
        <w:rPr>
          <w:color w:val="111111"/>
          <w:highlight w:val="none"/>
          <w:shd w:fill="CCCCCC" w:val="clear"/>
        </w:rPr>
      </w:pPr>
      <w:r>
        <w:rPr>
          <w:color w:val="111111"/>
          <w:shd w:fill="CCCCCC" w:val="clear"/>
        </w:rPr>
        <w:t xml:space="preserve">Feita essa opção os lances serão enviados automaticamente pelo sistema, respeitados os limites cadastrados pelo fornecedor e o intervalo mínimo entre lances previsto neste aviso. </w:t>
      </w:r>
    </w:p>
    <w:p>
      <w:pPr>
        <w:pStyle w:val="Nvel4-R"/>
        <w:numPr>
          <w:ilvl w:val="3"/>
          <w:numId w:val="1"/>
        </w:numPr>
        <w:ind w:hanging="0" w:left="567"/>
        <w:rPr>
          <w:color w:val="111111"/>
          <w:highlight w:val="none"/>
          <w:shd w:fill="CCCCCC" w:val="clear"/>
        </w:rPr>
      </w:pPr>
      <w:r>
        <w:rPr>
          <w:color w:val="111111"/>
          <w:shd w:fill="CCCCCC" w:val="clear"/>
        </w:rPr>
        <w:t>Sem prejuízo do disposto acima, os lances poderão ser enviados manualmente, na forma da seção respectiva deste Aviso de Contratação Direta.</w:t>
      </w:r>
    </w:p>
    <w:p>
      <w:pPr>
        <w:pStyle w:val="Nvel3-R"/>
        <w:numPr>
          <w:ilvl w:val="2"/>
          <w:numId w:val="1"/>
        </w:numPr>
        <w:ind w:hanging="0" w:left="284"/>
        <w:rPr>
          <w:color w:val="111111"/>
          <w:highlight w:val="none"/>
          <w:shd w:fill="CCCCCC" w:val="clear"/>
        </w:rPr>
      </w:pPr>
      <w:r>
        <w:rPr>
          <w:color w:val="111111"/>
          <w:shd w:fill="CCCCCC" w:val="clear"/>
        </w:rPr>
        <w:t>O valor final mínimo poderá ser alterado pelo fornecedor durante a fase de disputa, desde que não assuma valor superior a lance já registrado por ele no sistema.</w:t>
      </w:r>
    </w:p>
    <w:p>
      <w:pPr>
        <w:pStyle w:val="Nvel3-R"/>
        <w:numPr>
          <w:ilvl w:val="2"/>
          <w:numId w:val="1"/>
        </w:numPr>
        <w:ind w:hanging="0" w:left="284"/>
        <w:rPr>
          <w:color w:val="111111"/>
          <w:highlight w:val="none"/>
          <w:shd w:fill="CCCCCC" w:val="clear"/>
        </w:rPr>
      </w:pPr>
      <w:r>
        <w:rPr>
          <w:color w:val="111111"/>
          <w:shd w:fill="CCCCCC" w:val="clear"/>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ivel01"/>
        <w:numPr>
          <w:ilvl w:val="0"/>
          <w:numId w:val="1"/>
        </w:numPr>
        <w:spacing w:before="288" w:after="288"/>
        <w:ind w:hanging="357" w:left="357"/>
        <w:rPr/>
      </w:pPr>
      <w:bookmarkStart w:id="14" w:name="_Toc226962641"/>
      <w:r>
        <w:rPr/>
        <w:t xml:space="preserve">DA </w:t>
      </w:r>
      <w:bookmarkStart w:id="15" w:name="_Toc142925864"/>
      <w:r>
        <w:rPr/>
        <w:t>FASE DE LANCES</w:t>
      </w:r>
      <w:bookmarkEnd w:id="14"/>
      <w:bookmarkEnd w:id="15"/>
    </w:p>
    <w:p>
      <w:pPr>
        <w:pStyle w:val="Nivel2"/>
        <w:numPr>
          <w:ilvl w:val="1"/>
          <w:numId w:val="1"/>
        </w:numPr>
        <w:ind w:hanging="0" w:left="0"/>
        <w:rPr/>
      </w:pPr>
      <w:r>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Nivel2"/>
        <w:numPr>
          <w:ilvl w:val="1"/>
          <w:numId w:val="1"/>
        </w:numPr>
        <w:ind w:hanging="0" w:left="0"/>
        <w:rPr/>
      </w:pPr>
      <w:r>
        <w:rPr/>
        <w:t xml:space="preserve">Iniciada a etapa competitiva, os fornecedores deverão encaminhar lances exclusivamente por meio de sistema eletrônico, sendo imediatamente informados do seu recebimento e do valor consignado no registro. </w:t>
      </w:r>
    </w:p>
    <w:p>
      <w:pPr>
        <w:pStyle w:val="Nvel3Misto"/>
        <w:numPr>
          <w:ilvl w:val="2"/>
          <w:numId w:val="1"/>
        </w:numPr>
        <w:ind w:hanging="0" w:left="284"/>
        <w:rPr>
          <w:lang w:eastAsia="en-US"/>
        </w:rPr>
      </w:pPr>
      <w:r>
        <w:rPr/>
        <w:t xml:space="preserve">O lance </w:t>
      </w:r>
      <w:r>
        <w:rPr>
          <w:color w:themeColor="text1" w:val="000000"/>
          <w:lang w:eastAsia="en-US"/>
        </w:rPr>
        <w:t>deverá</w:t>
      </w:r>
      <w:r>
        <w:rPr/>
        <w:t xml:space="preserve"> ser ofertado pelo </w:t>
      </w:r>
      <w:r>
        <w:rPr>
          <w:b/>
          <w:bCs/>
          <w:i/>
          <w:iCs/>
          <w:color w:val="111111"/>
        </w:rPr>
        <w:t>valor unitário</w:t>
      </w:r>
      <w:r>
        <w:rPr/>
        <w:t xml:space="preserve"> do item.</w:t>
      </w:r>
    </w:p>
    <w:p>
      <w:pPr>
        <w:pStyle w:val="Nivel2"/>
        <w:numPr>
          <w:ilvl w:val="1"/>
          <w:numId w:val="1"/>
        </w:numPr>
        <w:ind w:hanging="0" w:left="0"/>
        <w:rPr>
          <w:i/>
          <w:i/>
          <w:iCs/>
        </w:rPr>
      </w:pPr>
      <w:r>
        <w:rPr/>
        <w:t>O fornecedor somente poderá oferecer valor inferior ou percentual de desconto superior ao último lance por ele ofertado e registrado pelo sistema.</w:t>
      </w:r>
    </w:p>
    <w:p>
      <w:pPr>
        <w:pStyle w:val="Nivel3"/>
        <w:numPr>
          <w:ilvl w:val="2"/>
          <w:numId w:val="1"/>
        </w:numPr>
        <w:ind w:hanging="0" w:left="284"/>
        <w:rPr/>
      </w:pPr>
      <w: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Nivel3"/>
        <w:numPr>
          <w:ilvl w:val="2"/>
          <w:numId w:val="1"/>
        </w:numPr>
        <w:ind w:hanging="0" w:left="284"/>
        <w:rPr>
          <w:color w:themeColor="text1" w:val="000000"/>
          <w:lang w:eastAsia="en-US"/>
        </w:rPr>
      </w:pPr>
      <w:r>
        <w:rPr/>
        <w:t>O intervalo mínimo de diferença de valores ou percentuais entre os lances, que incidirá tanto em relação aos lances intermediários quanto em relação ao que cobrir a melhor oferta é de</w:t>
      </w:r>
      <w:r>
        <w:rPr>
          <w:i/>
          <w:iCs/>
        </w:rPr>
        <w:t xml:space="preserve"> R$ 1,00 </w:t>
      </w:r>
      <w:r>
        <w:rPr>
          <w:i/>
          <w:iCs/>
          <w:color w:val="EE0000"/>
        </w:rPr>
        <w:t xml:space="preserve"> </w:t>
      </w:r>
      <w:r>
        <w:rPr/>
        <w:t>(UM REAL).</w:t>
      </w:r>
    </w:p>
    <w:p>
      <w:pPr>
        <w:pStyle w:val="Nivel2"/>
        <w:numPr>
          <w:ilvl w:val="1"/>
          <w:numId w:val="1"/>
        </w:numPr>
        <w:ind w:hanging="0" w:left="0"/>
        <w:rPr/>
      </w:pPr>
      <w:r>
        <w:rPr/>
        <w:t>Havendo lances iguais ao menor já ofertado, prevalecerá aquele que for recebido e registrado primeiro no sistema.</w:t>
      </w:r>
    </w:p>
    <w:p>
      <w:pPr>
        <w:pStyle w:val="Nivel2"/>
        <w:numPr>
          <w:ilvl w:val="1"/>
          <w:numId w:val="1"/>
        </w:numPr>
        <w:ind w:hanging="0" w:left="0"/>
        <w:rPr/>
      </w:pPr>
      <w:r>
        <w:rPr/>
        <w:t>Caso o fornecedor não apresente lances, concorrerá com o valor de sua proposta.</w:t>
      </w:r>
    </w:p>
    <w:p>
      <w:pPr>
        <w:pStyle w:val="Nivel2"/>
        <w:numPr>
          <w:ilvl w:val="1"/>
          <w:numId w:val="1"/>
        </w:numPr>
        <w:ind w:hanging="0" w:left="0"/>
        <w:rPr/>
      </w:pPr>
      <w:r>
        <w:rPr/>
        <w:t>Durante o procedimento, os fornecedores serão informados, em tempo real, do valor do menor lance ou do maior desconto registrado, vedada a identificação do fornecedor.</w:t>
      </w:r>
    </w:p>
    <w:p>
      <w:pPr>
        <w:pStyle w:val="Nivel2"/>
        <w:numPr>
          <w:ilvl w:val="1"/>
          <w:numId w:val="1"/>
        </w:numPr>
        <w:ind w:hanging="0" w:left="0"/>
        <w:rPr/>
      </w:pPr>
      <w:r>
        <w:rPr/>
        <w:t>Imediatamente após o término do prazo estabelecido para a fase de lances, haverá o seu encerramento, com o ordenamento e divulgação dos lances, pelo sistema, em ordem crescente de classificação.</w:t>
      </w:r>
    </w:p>
    <w:p>
      <w:pPr>
        <w:pStyle w:val="Nivel3"/>
        <w:numPr>
          <w:ilvl w:val="2"/>
          <w:numId w:val="1"/>
        </w:numPr>
        <w:ind w:hanging="0" w:left="284"/>
        <w:rPr/>
      </w:pPr>
      <w:r>
        <w:rPr/>
        <w:t>O encerramento da fase de lances ocorrerá de forma automática pontualmente no horário indicado, sem qualquer possibilidade de prorrogação e não havendo tempo aleatório ou mecanismo similar.</w:t>
      </w:r>
    </w:p>
    <w:p>
      <w:pPr>
        <w:pStyle w:val="Nivel01"/>
        <w:numPr>
          <w:ilvl w:val="0"/>
          <w:numId w:val="1"/>
        </w:numPr>
        <w:spacing w:before="288" w:after="288"/>
        <w:ind w:hanging="357" w:left="357"/>
        <w:rPr/>
      </w:pPr>
      <w:bookmarkStart w:id="16" w:name="_Toc226962642"/>
      <w:r>
        <w:rPr/>
        <w:t xml:space="preserve">DA FASE DE </w:t>
      </w:r>
      <w:bookmarkStart w:id="17" w:name="_Toc142925865"/>
      <w:r>
        <w:rPr/>
        <w:t>JULGAMENTO E ACEITAÇÃO DAS PROPOSTAS</w:t>
      </w:r>
      <w:bookmarkEnd w:id="16"/>
      <w:r>
        <w:rPr/>
        <w:t xml:space="preserve"> </w:t>
      </w:r>
      <w:bookmarkEnd w:id="17"/>
    </w:p>
    <w:p>
      <w:pPr>
        <w:pStyle w:val="Nivel2"/>
        <w:numPr>
          <w:ilvl w:val="1"/>
          <w:numId w:val="1"/>
        </w:numPr>
        <w:ind w:hanging="0" w:left="0"/>
        <w:rPr/>
      </w:pPr>
      <w:r>
        <w:rPr/>
        <w:t xml:space="preserve">Encerrada a fase de lances, quando a proposta do primeiro colocado permanecer acima do preço máximo ou abaixo do desconto definido para a contratação, o gestor poderá negociar condições mais vantajosas. </w:t>
      </w:r>
    </w:p>
    <w:p>
      <w:pPr>
        <w:pStyle w:val="Nivel3"/>
        <w:numPr>
          <w:ilvl w:val="2"/>
          <w:numId w:val="1"/>
        </w:numPr>
        <w:ind w:hanging="0" w:left="284"/>
        <w:rPr/>
      </w:pPr>
      <w:r>
        <w:rPr/>
        <w:t>Neste caso, será encaminhada contraproposta ao fornecedor que tenha apresentado o menor preço ou o maior desconto, para que seja obtida a melhor proposta compatível em relação ao estipulado pela Administração.</w:t>
      </w:r>
    </w:p>
    <w:p>
      <w:pPr>
        <w:pStyle w:val="Nivel3"/>
        <w:numPr>
          <w:ilvl w:val="2"/>
          <w:numId w:val="1"/>
        </w:numPr>
        <w:ind w:hanging="0" w:left="284"/>
        <w:rPr/>
      </w:pPr>
      <w:r>
        <w:rPr/>
        <w:t xml:space="preserve">A negociação poderá ser feita com os demais fornecedores classificados, </w:t>
      </w:r>
      <w:r>
        <w:rPr>
          <w:rFonts w:ascii="Helvetica" w:hAnsi="Helvetica"/>
          <w:shd w:fill="FFFFFF" w:val="clear"/>
        </w:rPr>
        <w:t>exclusivamente por meio do sistema,</w:t>
      </w:r>
      <w:r>
        <w:rPr/>
        <w:t xml:space="preserve"> respeitada a ordem de classificação, quando o primeiro colocado, mesmo após a negociação, for desclassificado em razão de sua proposta permanecer acima do preço máximo ou abaixo do desconto definido para a contratação.</w:t>
      </w:r>
    </w:p>
    <w:p>
      <w:pPr>
        <w:pStyle w:val="Nivel2"/>
        <w:numPr>
          <w:ilvl w:val="1"/>
          <w:numId w:val="1"/>
        </w:numPr>
        <w:ind w:hanging="0" w:left="0"/>
        <w:rPr/>
      </w:pPr>
      <w:r>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Nivel2"/>
        <w:numPr>
          <w:ilvl w:val="1"/>
          <w:numId w:val="1"/>
        </w:numPr>
        <w:ind w:hanging="0" w:left="0"/>
        <w:rPr/>
      </w:pPr>
      <w:r>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pPr>
        <w:pStyle w:val="Nvel3-R"/>
        <w:numPr>
          <w:ilvl w:val="2"/>
          <w:numId w:val="1"/>
        </w:numPr>
        <w:ind w:hanging="0" w:left="284"/>
        <w:rPr>
          <w:color w:val="111111"/>
          <w:highlight w:val="none"/>
          <w:shd w:fill="CCCCCC" w:val="clear"/>
        </w:rPr>
      </w:pPr>
      <w:r>
        <w:rPr>
          <w:color w:val="111111"/>
          <w:shd w:fill="CCCCCC" w:val="clear"/>
        </w:rPr>
        <w:t>Além da documentação supracitada, o fornecedor com a melhor proposta deverá encaminhar planilha com indicação de custos unitários e formação de preços, conforme modelo anexo, com os valores adequados à proposta vencedora.</w:t>
      </w:r>
    </w:p>
    <w:p>
      <w:pPr>
        <w:pStyle w:val="Nivel2"/>
        <w:numPr>
          <w:ilvl w:val="1"/>
          <w:numId w:val="1"/>
        </w:numPr>
        <w:ind w:hanging="0" w:left="0"/>
        <w:rPr/>
      </w:pPr>
      <w:r>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Pr/>
        <w:fldChar w:fldCharType="begin"/>
      </w:r>
      <w:r>
        <w:rPr/>
        <w:instrText xml:space="preserve"> REF _Ref144286315 \r \r \h </w:instrText>
      </w:r>
      <w:r>
        <w:rPr/>
        <w:fldChar w:fldCharType="separate"/>
      </w:r>
      <w:r>
        <w:rPr/>
        <w:t>3.3</w:t>
      </w:r>
      <w:r>
        <w:rPr/>
        <w:fldChar w:fldCharType="end"/>
      </w:r>
      <w:r>
        <w:rPr/>
        <w:t xml:space="preserve"> e seguintes deste Aviso, especialmente quanto à existência de sanção que impeça a participação </w:t>
      </w:r>
      <w:r>
        <w:rPr>
          <w:lang w:eastAsia="ar-SA"/>
        </w:rPr>
        <w:t xml:space="preserve">no processo de contratação direta </w:t>
      </w:r>
      <w:r>
        <w:rPr/>
        <w:t>ou a futura contratação, mediante a consulta aos seguintes cadastros:</w:t>
      </w:r>
    </w:p>
    <w:p>
      <w:pPr>
        <w:pStyle w:val="Nivel3"/>
        <w:numPr>
          <w:ilvl w:val="2"/>
          <w:numId w:val="1"/>
        </w:numPr>
        <w:ind w:hanging="0" w:left="284"/>
        <w:rPr/>
      </w:pPr>
      <w:r>
        <w:rPr/>
        <w:t>Sicaf;</w:t>
      </w:r>
    </w:p>
    <w:p>
      <w:pPr>
        <w:pStyle w:val="Nivel3"/>
        <w:numPr>
          <w:ilvl w:val="2"/>
          <w:numId w:val="1"/>
        </w:numPr>
        <w:ind w:hanging="0" w:left="284"/>
        <w:rPr>
          <w:color w:val="111111"/>
          <w:highlight w:val="none"/>
          <w:shd w:fill="CCCCCC" w:val="clear"/>
        </w:rPr>
      </w:pPr>
      <w:r>
        <w:rPr>
          <w:color w:val="111111"/>
          <w:shd w:fill="CCCCCC" w:val="clear"/>
        </w:rPr>
        <w:t xml:space="preserve">Cadastro Nacional de Empresas Inidôneas e Suspensas – CEIS, </w:t>
      </w:r>
    </w:p>
    <w:p>
      <w:pPr>
        <w:pStyle w:val="Nivel3"/>
        <w:numPr>
          <w:ilvl w:val="2"/>
          <w:numId w:val="1"/>
        </w:numPr>
        <w:ind w:hanging="0" w:left="284"/>
        <w:rPr/>
      </w:pPr>
      <w:r>
        <w:rPr/>
        <w:t>Cadastro Nacional de Empresas Punidas – CNEP e</w:t>
      </w:r>
    </w:p>
    <w:p>
      <w:pPr>
        <w:pStyle w:val="Nivel3"/>
        <w:numPr>
          <w:ilvl w:val="2"/>
          <w:numId w:val="1"/>
        </w:numPr>
        <w:ind w:hanging="0" w:left="284"/>
        <w:rPr>
          <w:color w:val="111111"/>
          <w:highlight w:val="none"/>
          <w:shd w:fill="CCCCCC" w:val="clear"/>
        </w:rPr>
      </w:pPr>
      <w:r>
        <w:rPr>
          <w:color w:val="111111"/>
          <w:shd w:fill="CCCCCC" w:val="clear"/>
        </w:rPr>
        <w:t>Lista de licitantes inidôneos, mantida pelo Tribunal de Contas da União.</w:t>
      </w:r>
    </w:p>
    <w:p>
      <w:pPr>
        <w:pStyle w:val="Nivel2"/>
        <w:numPr>
          <w:ilvl w:val="1"/>
          <w:numId w:val="1"/>
        </w:numPr>
        <w:ind w:hanging="0" w:left="0"/>
        <w:rPr/>
      </w:pPr>
      <w:r>
        <w:rPr/>
        <w:t>A consulta aos cadastros será realizada no nome e no CNPJ da empresa fornecedora.</w:t>
      </w:r>
    </w:p>
    <w:p>
      <w:pPr>
        <w:pStyle w:val="Nivel3"/>
        <w:numPr>
          <w:ilvl w:val="2"/>
          <w:numId w:val="1"/>
        </w:numPr>
        <w:ind w:hanging="0" w:left="284"/>
        <w:rPr/>
      </w:pPr>
      <w:r>
        <w:rPr/>
        <w:t xml:space="preserve">A consulta no </w:t>
      </w:r>
      <w:r>
        <w:rPr>
          <w:shd w:fill="CCCCCC" w:val="clear"/>
        </w:rPr>
        <w:t xml:space="preserve">CEIS </w:t>
      </w:r>
      <w:r>
        <w:rPr/>
        <w:t xml:space="preserve">quanto às sanções previstas na Lei nº 8.429, de 1992, também ocorrerá no nome e no CPF do sócio majoritário da empresa fornecedora, se houver, por força do art. 12 da </w:t>
      </w:r>
      <w:r>
        <w:rPr>
          <w:shd w:fill="CCCCCC" w:val="clear"/>
        </w:rPr>
        <w:t>citada lei.</w:t>
      </w:r>
    </w:p>
    <w:p>
      <w:pPr>
        <w:pStyle w:val="Nivel2"/>
        <w:numPr>
          <w:ilvl w:val="1"/>
          <w:numId w:val="1"/>
        </w:numPr>
        <w:ind w:hanging="0" w:left="0"/>
        <w:rPr>
          <w:highlight w:val="none"/>
          <w:shd w:fill="CCCCCC" w:val="clear"/>
        </w:rPr>
      </w:pPr>
      <w:r>
        <w:rPr>
          <w:shd w:fill="CCCCCC" w:val="clear"/>
        </w:rPr>
        <w:t>Para a consulta de licitantes pessoa jurídica poderá haver a substituição das consultas ao CEIS, CNEP e Lista de licitantes inidôneos pela Consulta Consolidada de Pessoa Jurídica do TCU.</w:t>
      </w:r>
    </w:p>
    <w:p>
      <w:pPr>
        <w:pStyle w:val="Nivel2"/>
        <w:numPr>
          <w:ilvl w:val="1"/>
          <w:numId w:val="1"/>
        </w:numPr>
        <w:ind w:hanging="0" w:left="0"/>
        <w:rPr/>
      </w:pPr>
      <w:r>
        <w:rPr/>
        <w:t>Caso conste na Consulta de Situação do fornecedor a existência de Ocorrências Impeditivas Indiretas, o órgão diligenciará para verificar se houve fraude por parte das empresas apontadas no Relatório de Ocorrências Impeditivas Indiretas.</w:t>
      </w:r>
    </w:p>
    <w:p>
      <w:pPr>
        <w:pStyle w:val="Nivel3"/>
        <w:numPr>
          <w:ilvl w:val="2"/>
          <w:numId w:val="1"/>
        </w:numPr>
        <w:ind w:hanging="0" w:left="284"/>
        <w:rPr/>
      </w:pPr>
      <w:r>
        <w:rPr/>
        <w:t xml:space="preserve">A tentativa de burla será verificada por meio dos vínculos societários, linhas de fornecimento </w:t>
      </w:r>
      <w:r>
        <w:rPr>
          <w:color w:val="000000"/>
        </w:rPr>
        <w:t>similares</w:t>
      </w:r>
      <w:r>
        <w:rPr/>
        <w:t>, dentre outros.</w:t>
      </w:r>
    </w:p>
    <w:p>
      <w:pPr>
        <w:pStyle w:val="Nivel3"/>
        <w:numPr>
          <w:ilvl w:val="2"/>
          <w:numId w:val="1"/>
        </w:numPr>
        <w:ind w:hanging="0" w:left="284"/>
        <w:rPr/>
      </w:pPr>
      <w:r>
        <w:rPr/>
        <w:t xml:space="preserve">O </w:t>
      </w:r>
      <w:r>
        <w:rPr>
          <w:color w:themeColor="text1" w:val="000000"/>
        </w:rPr>
        <w:t>fornecedor</w:t>
      </w:r>
      <w:r>
        <w:rPr/>
        <w:t xml:space="preserve"> </w:t>
      </w:r>
      <w:r>
        <w:rPr>
          <w:color w:val="000000"/>
        </w:rPr>
        <w:t>será</w:t>
      </w:r>
      <w:r>
        <w:rPr/>
        <w:t xml:space="preserve"> convocado para manifestação previamente a uma eventual desclassificação.</w:t>
      </w:r>
    </w:p>
    <w:p>
      <w:pPr>
        <w:pStyle w:val="Nivel3"/>
        <w:numPr>
          <w:ilvl w:val="2"/>
          <w:numId w:val="1"/>
        </w:numPr>
        <w:ind w:hanging="0" w:left="284"/>
        <w:rPr/>
      </w:pPr>
      <w:r>
        <w:rPr/>
        <w:t xml:space="preserve">Constatada a existência de sanção, o </w:t>
      </w:r>
      <w:r>
        <w:rPr>
          <w:color w:themeColor="text1" w:val="000000"/>
        </w:rPr>
        <w:t>fornecedor</w:t>
      </w:r>
      <w:r>
        <w:rPr/>
        <w:t xml:space="preserve"> será reputado inabilitado, por falta de condição de participação.</w:t>
      </w:r>
    </w:p>
    <w:p>
      <w:pPr>
        <w:pStyle w:val="Nivel2"/>
        <w:numPr>
          <w:ilvl w:val="1"/>
          <w:numId w:val="1"/>
        </w:numPr>
        <w:ind w:hanging="0" w:left="0"/>
        <w:rPr/>
      </w:pPr>
      <w:r>
        <w:rPr/>
        <w:t>Caso o fornecedor provisoriamente classificado em primeiro lugar tenha se utilizado de algum tratamento favorecido às ME/EPPs ou tenha se valido da aplicação da margem de preferência, o gestor verificará se o fornecedor faz jus ao benefício aplicado.</w:t>
      </w:r>
    </w:p>
    <w:p>
      <w:pPr>
        <w:pStyle w:val="Nvel3-R"/>
        <w:numPr>
          <w:ilvl w:val="2"/>
          <w:numId w:val="1"/>
        </w:numPr>
        <w:ind w:hanging="0" w:left="284"/>
        <w:rPr>
          <w:color w:val="111111"/>
          <w:highlight w:val="none"/>
          <w:shd w:fill="CCCCCC" w:val="clear"/>
        </w:rPr>
      </w:pPr>
      <w:r>
        <w:rPr>
          <w:color w:val="111111"/>
          <w:shd w:fill="CCCCCC" w:val="clear"/>
        </w:rPr>
        <w:t>Caso o fornecedor não venha a comprovar o atendimento dos requisitos para fazer jus ao benefício da margem de preferência, as propostas serão reclassificadas, para fins de nova aplicação da margem de preferência.</w:t>
      </w:r>
    </w:p>
    <w:p>
      <w:pPr>
        <w:pStyle w:val="Nivel2"/>
        <w:numPr>
          <w:ilvl w:val="1"/>
          <w:numId w:val="1"/>
        </w:numPr>
        <w:ind w:hanging="0" w:left="0"/>
        <w:rPr/>
      </w:pPr>
      <w:r>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pPr>
        <w:pStyle w:val="Nivel2"/>
        <w:numPr>
          <w:ilvl w:val="1"/>
          <w:numId w:val="1"/>
        </w:numPr>
        <w:ind w:hanging="0" w:left="0"/>
        <w:rPr>
          <w:i/>
          <w:i/>
        </w:rPr>
      </w:pPr>
      <w:r>
        <w:rPr/>
        <w:t xml:space="preserve">Será desclassificada a proposta vencedora que: </w:t>
      </w:r>
    </w:p>
    <w:p>
      <w:pPr>
        <w:pStyle w:val="Nivel3"/>
        <w:numPr>
          <w:ilvl w:val="2"/>
          <w:numId w:val="1"/>
        </w:numPr>
        <w:ind w:hanging="0" w:left="284"/>
        <w:rPr>
          <w:i/>
          <w:i/>
          <w:color w:themeColor="text1" w:val="000000"/>
        </w:rPr>
      </w:pPr>
      <w:r>
        <w:rPr/>
        <w:t>contiver vícios insanáveis</w:t>
      </w:r>
      <w:r>
        <w:rPr>
          <w:iCs/>
          <w:color w:themeColor="text1" w:val="000000"/>
        </w:rPr>
        <w:t>;</w:t>
      </w:r>
    </w:p>
    <w:p>
      <w:pPr>
        <w:pStyle w:val="Nivel3"/>
        <w:numPr>
          <w:ilvl w:val="2"/>
          <w:numId w:val="1"/>
        </w:numPr>
        <w:ind w:hanging="0" w:left="284"/>
        <w:rPr>
          <w:i/>
          <w:i/>
          <w:color w:themeColor="text1" w:val="000000"/>
        </w:rPr>
      </w:pPr>
      <w:r>
        <w:rPr/>
        <w:t>não obedecer às especificações técnicas pormenorizadas neste Aviso ou em seus anexos</w:t>
      </w:r>
      <w:r>
        <w:rPr>
          <w:iCs/>
          <w:color w:themeColor="text1" w:val="000000"/>
        </w:rPr>
        <w:t>;</w:t>
      </w:r>
    </w:p>
    <w:p>
      <w:pPr>
        <w:pStyle w:val="Nvel3Misto"/>
        <w:numPr>
          <w:ilvl w:val="2"/>
          <w:numId w:val="1"/>
        </w:numPr>
        <w:ind w:hanging="0" w:left="284"/>
        <w:rPr/>
      </w:pPr>
      <w:r>
        <w:rPr/>
        <w:t>apresentar preços inexequíveis ou que permanecerem acima do preço máximo definido para a contratação;</w:t>
      </w:r>
    </w:p>
    <w:p>
      <w:pPr>
        <w:pStyle w:val="Nivel3"/>
        <w:numPr>
          <w:ilvl w:val="2"/>
          <w:numId w:val="1"/>
        </w:numPr>
        <w:ind w:hanging="0" w:left="284"/>
        <w:rPr>
          <w:i/>
          <w:i/>
          <w:color w:themeColor="text1" w:val="000000"/>
        </w:rPr>
      </w:pPr>
      <w:r>
        <w:rPr/>
        <w:t>não tiver sua exequibilidade demonstrada, quando exigido pela Administração</w:t>
      </w:r>
      <w:r>
        <w:rPr>
          <w:iCs/>
          <w:color w:themeColor="text1" w:val="000000"/>
        </w:rPr>
        <w:t>;</w:t>
      </w:r>
    </w:p>
    <w:p>
      <w:pPr>
        <w:pStyle w:val="Nivel3"/>
        <w:numPr>
          <w:ilvl w:val="2"/>
          <w:numId w:val="1"/>
        </w:numPr>
        <w:ind w:hanging="0" w:left="284"/>
        <w:rPr>
          <w:highlight w:val="none"/>
          <w:shd w:fill="CCCCCC" w:val="clear"/>
        </w:rPr>
      </w:pPr>
      <w:r>
        <w:rPr>
          <w:shd w:fill="CCCCCC" w:val="clear"/>
        </w:rPr>
        <w:t>não cumpra os critérios de aceitabilidade de preços definidos no Termo de Referência;</w:t>
      </w:r>
    </w:p>
    <w:p>
      <w:pPr>
        <w:pStyle w:val="Nivel3"/>
        <w:numPr>
          <w:ilvl w:val="2"/>
          <w:numId w:val="1"/>
        </w:numPr>
        <w:ind w:hanging="0" w:left="284"/>
        <w:rPr>
          <w:i/>
          <w:i/>
          <w:color w:themeColor="text1" w:val="000000"/>
        </w:rPr>
      </w:pPr>
      <w:r>
        <w:rPr/>
        <w:t>apresentar desconformidade com quaisquer outras exigências deste Aviso ou seus anexos, desde que insanável.</w:t>
      </w:r>
    </w:p>
    <w:p>
      <w:pPr>
        <w:pStyle w:val="Nivel2"/>
        <w:numPr>
          <w:ilvl w:val="1"/>
          <w:numId w:val="1"/>
        </w:numPr>
        <w:ind w:hanging="0" w:left="0"/>
        <w:rPr>
          <w:i/>
          <w:i/>
          <w:color w:themeColor="text1" w:val="000000"/>
        </w:rPr>
      </w:pPr>
      <w:r>
        <w:rPr>
          <w:color w:themeColor="text1" w:val="000000"/>
        </w:rPr>
        <w:t>Quando</w:t>
      </w:r>
      <w:r>
        <w:rPr/>
        <w:t xml:space="preserve"> o fornecedor não conseguir comprovar que possui ou possuirá recursos suficientes para executar a contento o objeto, será considerada inexequível a proposta de preços ou menor lance que:</w:t>
      </w:r>
    </w:p>
    <w:p>
      <w:pPr>
        <w:pStyle w:val="Nvel3-R"/>
        <w:numPr>
          <w:ilvl w:val="2"/>
          <w:numId w:val="1"/>
        </w:numPr>
        <w:ind w:hanging="0" w:left="284"/>
        <w:rPr>
          <w:color w:val="111111"/>
          <w:highlight w:val="none"/>
          <w:shd w:fill="CCCCCC" w:val="clear"/>
        </w:rPr>
      </w:pPr>
      <w:r>
        <w:rPr>
          <w:color w:val="111111"/>
          <w:shd w:fill="CCCCCC" w:val="clear"/>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vel3-R"/>
        <w:numPr>
          <w:ilvl w:val="2"/>
          <w:numId w:val="1"/>
        </w:numPr>
        <w:ind w:hanging="0" w:left="284"/>
        <w:rPr>
          <w:color w:val="111111"/>
          <w:highlight w:val="none"/>
          <w:shd w:fill="CCCCCC" w:val="clear"/>
        </w:rPr>
      </w:pPr>
      <w:r>
        <w:rPr>
          <w:color w:val="111111"/>
          <w:shd w:fill="CCCCCC" w:val="clear"/>
        </w:rPr>
        <w:t>apresentar um ou mais valores da planilha de custo que sejam inferiores àqueles fixados em instrumentos de caráter normativo obrigatório, tais como leis, medidas provisórias e convenções coletivas de trabalho vigentes.</w:t>
      </w:r>
    </w:p>
    <w:p>
      <w:pPr>
        <w:pStyle w:val="Nivel2"/>
        <w:numPr>
          <w:ilvl w:val="1"/>
          <w:numId w:val="1"/>
        </w:numPr>
        <w:ind w:hanging="0" w:left="0"/>
        <w:rPr>
          <w:color w:val="666666"/>
          <w:highlight w:val="none"/>
          <w:shd w:fill="CCCCCC" w:val="clear"/>
        </w:rPr>
      </w:pPr>
      <w:r>
        <w:rPr>
          <w:color w:val="666666"/>
          <w:shd w:fill="CCCCCC" w:val="clear"/>
        </w:rPr>
        <w:t>Em contratação de obras ou serviços de engenharia, além das disposições acima, o critério de aceitabilidade de preços considerará o seguinte:</w:t>
      </w:r>
    </w:p>
    <w:p>
      <w:pPr>
        <w:pStyle w:val="Nvel3-R"/>
        <w:numPr>
          <w:ilvl w:val="2"/>
          <w:numId w:val="1"/>
        </w:numPr>
        <w:ind w:hanging="0" w:left="284"/>
        <w:rPr>
          <w:color w:val="666666"/>
          <w:highlight w:val="none"/>
          <w:shd w:fill="CCCCCC" w:val="clear"/>
        </w:rPr>
      </w:pPr>
      <w:r>
        <w:rPr>
          <w:color w:val="666666"/>
          <w:shd w:fill="CCCCCC" w:val="clear"/>
        </w:rPr>
        <w:t>Ressalvado o objeto ou parte dele sujeito ao regime de empreitada por preço unitário, o critério de aceitabilidade de preços será 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pPr>
        <w:pStyle w:val="Nvel3-R"/>
        <w:numPr>
          <w:ilvl w:val="2"/>
          <w:numId w:val="1"/>
        </w:numPr>
        <w:ind w:hanging="0" w:left="284"/>
        <w:rPr>
          <w:color w:val="666666"/>
          <w:highlight w:val="none"/>
          <w:shd w:fill="CCCCCC" w:val="clear"/>
        </w:rPr>
      </w:pPr>
      <w:r>
        <w:rPr>
          <w:color w:val="666666"/>
          <w:shd w:fill="CCCCCC" w:val="clear"/>
        </w:rPr>
        <w:t>Para o objeto ou parte dele sujeito ao regime de empreitada por preço unitário o critério de aceitabilidade de preços será:</w:t>
      </w:r>
    </w:p>
    <w:p>
      <w:pPr>
        <w:pStyle w:val="Nvel4-R"/>
        <w:numPr>
          <w:ilvl w:val="3"/>
          <w:numId w:val="1"/>
        </w:numPr>
        <w:ind w:hanging="0" w:left="567"/>
        <w:rPr>
          <w:color w:val="666666"/>
          <w:highlight w:val="none"/>
          <w:shd w:fill="CCCCCC" w:val="clear"/>
        </w:rPr>
      </w:pPr>
      <w:r>
        <w:rPr>
          <w:color w:val="666666"/>
          <w:shd w:fill="CCCCCC" w:val="clear"/>
        </w:rPr>
        <w:t>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Preços unitários: conforme Planilha de Custos elaborada pelo Contratante, anexa a este documento.</w:t>
      </w:r>
    </w:p>
    <w:p>
      <w:pPr>
        <w:pStyle w:val="Nvel3-R"/>
        <w:numPr>
          <w:ilvl w:val="2"/>
          <w:numId w:val="1"/>
        </w:numPr>
        <w:ind w:hanging="0" w:left="284"/>
        <w:rPr>
          <w:color w:val="666666"/>
          <w:highlight w:val="none"/>
          <w:shd w:fill="CCCCCC" w:val="clear"/>
        </w:rPr>
      </w:pPr>
      <w:r>
        <w:rPr>
          <w:color w:val="666666"/>
          <w:shd w:fill="CCCCCC" w:val="clear"/>
        </w:rPr>
        <w:t>Serão consideradas inexequíveis as propostas cujos valores forem inferiores a 75% (setenta e cinco por cento) do valor orçado pela Administração.</w:t>
      </w:r>
    </w:p>
    <w:p>
      <w:pPr>
        <w:pStyle w:val="Nvel3-R"/>
        <w:numPr>
          <w:ilvl w:val="2"/>
          <w:numId w:val="1"/>
        </w:numPr>
        <w:ind w:hanging="0" w:left="284"/>
        <w:rPr>
          <w:color w:val="666666"/>
          <w:highlight w:val="none"/>
          <w:shd w:fill="CCCCCC" w:val="clear"/>
        </w:rPr>
      </w:pPr>
      <w:r>
        <w:rPr>
          <w:color w:val="666666"/>
          <w:shd w:fill="CCCCCC" w:val="clear"/>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pPr>
        <w:pStyle w:val="Nivel2"/>
        <w:numPr>
          <w:ilvl w:val="1"/>
          <w:numId w:val="1"/>
        </w:numPr>
        <w:ind w:hanging="0" w:left="0"/>
        <w:rPr/>
      </w:pPr>
      <w:r>
        <w:rPr/>
        <w:t>Se houver indícios de inexequibilidade da proposta de preço, ou em caso da necessidade de esclarecimentos complementares, poderão ser efetuadas diligências, para que o fornecedor comprove a exequibilidade da proposta.</w:t>
      </w:r>
    </w:p>
    <w:p>
      <w:pPr>
        <w:pStyle w:val="Nivel2"/>
        <w:numPr>
          <w:ilvl w:val="1"/>
          <w:numId w:val="1"/>
        </w:numPr>
        <w:ind w:hanging="0" w:left="0"/>
        <w:rPr/>
      </w:pPr>
      <w: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numPr>
          <w:ilvl w:val="2"/>
          <w:numId w:val="1"/>
        </w:numPr>
        <w:ind w:hanging="0" w:left="284"/>
        <w:rPr/>
      </w:pPr>
      <w:r>
        <w:rPr/>
        <w:t>O ajuste de que trata este dispositivo se limita a sanar erros ou falhas que não alterem a substância das propostas;</w:t>
      </w:r>
    </w:p>
    <w:p>
      <w:pPr>
        <w:pStyle w:val="Nivel3"/>
        <w:numPr>
          <w:ilvl w:val="2"/>
          <w:numId w:val="1"/>
        </w:numPr>
        <w:ind w:hanging="0" w:left="284"/>
        <w:rPr/>
      </w:pPr>
      <w:r>
        <w:rPr/>
        <w:t>Considera-se erro no preenchimento da planilha passível de correção a indicação de recolhimento de impostos e contribuições na forma do Simples Nacional, quando não cabível esse regime.</w:t>
      </w:r>
    </w:p>
    <w:p>
      <w:pPr>
        <w:pStyle w:val="Nivel2"/>
        <w:numPr>
          <w:ilvl w:val="1"/>
          <w:numId w:val="1"/>
        </w:numPr>
        <w:ind w:hanging="0" w:left="0"/>
        <w:rPr/>
      </w:pPr>
      <w:r>
        <w:rPr/>
        <w:t>Para fins de análise da proposta quanto ao cumprimento das especificações do objeto, poderá ser colhida a manifestação escrita do setor requisitante do serviço ou da área especializada no objeto.</w:t>
      </w:r>
    </w:p>
    <w:p>
      <w:pPr>
        <w:pStyle w:val="Nivel2"/>
        <w:numPr>
          <w:ilvl w:val="1"/>
          <w:numId w:val="1"/>
        </w:numPr>
        <w:ind w:hanging="0" w:left="0"/>
        <w:rPr/>
      </w:pPr>
      <w:r>
        <w:rPr/>
        <w:t>Se a proposta ou lance vencedor for desclassificado, será examinada a proposta ou lance subsequente, e, assim sucessivamente, na ordem de classificação.</w:t>
      </w:r>
    </w:p>
    <w:p>
      <w:pPr>
        <w:pStyle w:val="Nivel2"/>
        <w:numPr>
          <w:ilvl w:val="1"/>
          <w:numId w:val="1"/>
        </w:numPr>
        <w:ind w:hanging="0" w:left="0"/>
        <w:rPr/>
      </w:pPr>
      <w:r>
        <w:rPr/>
        <w:t>Havendo necessidade, a sessão será suspensa, informando-se no “chat” a nova data e horário para a sua continuidade.</w:t>
      </w:r>
    </w:p>
    <w:p>
      <w:pPr>
        <w:pStyle w:val="Nivel2"/>
        <w:numPr>
          <w:ilvl w:val="1"/>
          <w:numId w:val="1"/>
        </w:numPr>
        <w:ind w:hanging="0" w:left="0"/>
        <w:rPr/>
      </w:pPr>
      <w:r>
        <w:rPr/>
        <w:t>Encerrada a análise quanto à aceitação da proposta, será iniciada a fase de habilitação, observado o disposto neste Aviso de Contratação Direta.</w:t>
      </w:r>
    </w:p>
    <w:p>
      <w:pPr>
        <w:pStyle w:val="Nivel01"/>
        <w:numPr>
          <w:ilvl w:val="0"/>
          <w:numId w:val="1"/>
        </w:numPr>
        <w:spacing w:before="288" w:after="288"/>
        <w:ind w:hanging="357" w:left="357"/>
        <w:rPr/>
      </w:pPr>
      <w:bookmarkStart w:id="18" w:name="_Toc226962643"/>
      <w:r>
        <w:rPr/>
        <w:t xml:space="preserve">DA FASE DE </w:t>
      </w:r>
      <w:bookmarkStart w:id="19" w:name="_Toc142925866"/>
      <w:r>
        <w:rPr/>
        <w:t>HABILITAÇÃO</w:t>
      </w:r>
      <w:bookmarkEnd w:id="18"/>
      <w:bookmarkEnd w:id="19"/>
    </w:p>
    <w:p>
      <w:pPr>
        <w:pStyle w:val="Nivel2"/>
        <w:numPr>
          <w:ilvl w:val="1"/>
          <w:numId w:val="1"/>
        </w:numPr>
        <w:ind w:hanging="0" w:left="0"/>
        <w:rPr>
          <w:b/>
        </w:rPr>
      </w:pPr>
      <w:r>
        <w:rPr/>
        <w:t>Os documentos a serem exigidos para fins de habilitação, nos termos dos arts. 62 a 70 da Lei nº 14.133, de 2021, constam do Termo de Referência e serão solicitados do fornecedor mais bem classificado na fase de lances.</w:t>
      </w:r>
    </w:p>
    <w:p>
      <w:pPr>
        <w:pStyle w:val="Nivel2"/>
        <w:numPr>
          <w:ilvl w:val="1"/>
          <w:numId w:val="1"/>
        </w:numPr>
        <w:ind w:hanging="0" w:left="0"/>
        <w:rPr/>
      </w:pPr>
      <w:r>
        <w:rPr/>
        <w:t>A habilitação dos fornecedores será verificada por meio do Sicaf, nos documentos por ele abrangidos.</w:t>
      </w:r>
    </w:p>
    <w:p>
      <w:pPr>
        <w:pStyle w:val="Nivel3"/>
        <w:numPr>
          <w:ilvl w:val="2"/>
          <w:numId w:val="1"/>
        </w:numPr>
        <w:ind w:hanging="0" w:left="284"/>
        <w:rPr/>
      </w:pPr>
      <w:r>
        <w:rPr/>
        <w:t>É dever do fornecedor atualizar previamente as comprovações constantes do Sicaf para que estejam vigentes na data da abertura da sessão pública, ou encaminhar, quando solicitado, a respectiva documentação atualizada.</w:t>
      </w:r>
    </w:p>
    <w:p>
      <w:pPr>
        <w:pStyle w:val="Nivel3"/>
        <w:numPr>
          <w:ilvl w:val="2"/>
          <w:numId w:val="1"/>
        </w:numPr>
        <w:ind w:hanging="0" w:left="284"/>
        <w:rPr/>
      </w:pPr>
      <w:r>
        <w:rPr/>
        <w:t>O descumprimento do subitem acima implicará a inabilitação do fornecedor, exceto se a consulta aos sítios eletrônicos oficiais emissores de certidões lograr êxito em encontrar a(s) certidão(ões) válida(s).</w:t>
      </w:r>
    </w:p>
    <w:p>
      <w:pPr>
        <w:pStyle w:val="Nivel2"/>
        <w:numPr>
          <w:ilvl w:val="1"/>
          <w:numId w:val="1"/>
        </w:numPr>
        <w:ind w:hanging="0" w:left="0"/>
        <w:rPr/>
      </w:pPr>
      <w:r>
        <w:rPr/>
        <w:t>Quando permitida a participação de empresas estrangeiras que não funcionem no País, as exigências de habilitação serão atendidas mediante documentos equivalentes, inicialmente apresentados em tradução livre.</w:t>
      </w:r>
    </w:p>
    <w:p>
      <w:pPr>
        <w:pStyle w:val="Nivel2"/>
        <w:numPr>
          <w:ilvl w:val="1"/>
          <w:numId w:val="1"/>
        </w:numPr>
        <w:ind w:hanging="0" w:left="0"/>
        <w:rPr/>
      </w:pPr>
      <w:r>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ivel2"/>
        <w:numPr>
          <w:ilvl w:val="1"/>
          <w:numId w:val="1"/>
        </w:numPr>
        <w:ind w:hanging="0" w:left="0"/>
        <w:rPr/>
      </w:pPr>
      <w: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3-R"/>
        <w:numPr>
          <w:ilvl w:val="2"/>
          <w:numId w:val="1"/>
        </w:numPr>
        <w:ind w:hanging="0" w:left="284"/>
        <w:rPr>
          <w:color w:val="111111"/>
          <w:highlight w:val="none"/>
          <w:shd w:fill="CCCCCC" w:val="clear"/>
        </w:rPr>
      </w:pPr>
      <w:r>
        <w:rPr>
          <w:color w:val="111111"/>
          <w:shd w:fill="CCCCCC" w:val="clear"/>
        </w:rPr>
        <w:t>Se o consórcio não for formado integralmente por microempresas ou empresas de pequeno porte e o Termo de Referência exigir requisitos de habilitação econômico-financeira, haverá um acréscimo de  30 %, SALVO SE HOUVER JUSTIFICATIVA NOS AUTOS PARA SUPRIMIR ESSE ACRÉSCIMO para o consórcio em relação ao valor exigido para os fornecedores individuais.</w:t>
      </w:r>
    </w:p>
    <w:p>
      <w:pPr>
        <w:pStyle w:val="Nivel2"/>
        <w:numPr>
          <w:ilvl w:val="1"/>
          <w:numId w:val="1"/>
        </w:numPr>
        <w:ind w:hanging="0" w:left="0"/>
        <w:rPr/>
      </w:pPr>
      <w:r>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eastAsia="Arial"/>
          <w:b/>
          <w:color w:val="111111"/>
          <w:shd w:fill="CCCCCC" w:val="clear"/>
        </w:rPr>
        <w:t>2</w:t>
      </w:r>
      <w:r>
        <w:rPr>
          <w:rFonts w:eastAsia="Arial"/>
          <w:color w:val="111111"/>
          <w:shd w:fill="CCCCCC" w:val="clear"/>
        </w:rPr>
        <w:t xml:space="preserve"> ( duas</w:t>
      </w:r>
      <w:r>
        <w:rPr>
          <w:rFonts w:eastAsia="Arial"/>
          <w:shd w:fill="CCCCCC" w:val="clear"/>
        </w:rPr>
        <w:t>)</w:t>
      </w:r>
      <w:r>
        <w:rPr>
          <w:iCs/>
        </w:rPr>
        <w:t xml:space="preserve"> horas</w:t>
      </w:r>
      <w:r>
        <w:rPr/>
        <w:t>, sob pena de inabilitação.</w:t>
      </w:r>
    </w:p>
    <w:p>
      <w:pPr>
        <w:pStyle w:val="Nivel2"/>
        <w:numPr>
          <w:ilvl w:val="1"/>
          <w:numId w:val="1"/>
        </w:numPr>
        <w:ind w:hanging="0" w:left="0"/>
        <w:rPr>
          <w:b/>
        </w:rPr>
      </w:pPr>
      <w:r>
        <w:rPr/>
        <w:t>Somente haverá a necessidade de comprovação do preenchimento de requisitos mediante apresentação dos documentos originais não-digitais quando houver dúvida em relação à integridade do documento digital.</w:t>
      </w:r>
    </w:p>
    <w:p>
      <w:pPr>
        <w:pStyle w:val="Nivel2"/>
        <w:numPr>
          <w:ilvl w:val="1"/>
          <w:numId w:val="1"/>
        </w:numPr>
        <w:ind w:hanging="0" w:left="0"/>
        <w:rPr/>
      </w:pPr>
      <w:r>
        <w:rPr/>
        <w:t>Não serão aceitos documentos de habilitação com indicação de CNPJ/CPF diferentes, salvo aqueles legalmente permitidos.</w:t>
      </w:r>
    </w:p>
    <w:p>
      <w:pPr>
        <w:pStyle w:val="Nivel2"/>
        <w:numPr>
          <w:ilvl w:val="1"/>
          <w:numId w:val="1"/>
        </w:numPr>
        <w:ind w:hanging="0" w:left="0"/>
        <w:rPr/>
      </w:pPr>
      <w: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ivel2"/>
        <w:numPr>
          <w:ilvl w:val="1"/>
          <w:numId w:val="1"/>
        </w:numPr>
        <w:ind w:hanging="0" w:left="0"/>
        <w:rPr/>
      </w:pPr>
      <w:r>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ind w:hanging="0" w:left="0"/>
        <w:rPr/>
      </w:pPr>
      <w:r>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vel3-R"/>
        <w:numPr>
          <w:ilvl w:val="2"/>
          <w:numId w:val="1"/>
        </w:numPr>
        <w:ind w:hanging="0" w:left="284"/>
        <w:rPr>
          <w:color w:val="111111"/>
          <w:highlight w:val="none"/>
          <w:shd w:fill="CCCCCC" w:val="clear"/>
        </w:rPr>
      </w:pPr>
      <w:r>
        <w:rPr>
          <w:color w:val="111111"/>
          <w:shd w:fill="CCCCCC" w:val="clear"/>
        </w:rPr>
        <w:t>Não havendo a comprovação cumulativa dos requisitos de habilitação, a inabilitação recairá sobre o(s) item(ns) de menor(es) valor(es) cuja retirada(s) seja(m) suficiente(s) para a habilitação do fornecedor nos remanescentes.</w:t>
      </w:r>
    </w:p>
    <w:p>
      <w:pPr>
        <w:pStyle w:val="Nivel2"/>
        <w:numPr>
          <w:ilvl w:val="1"/>
          <w:numId w:val="1"/>
        </w:numPr>
        <w:ind w:hanging="0" w:left="0"/>
        <w:rPr/>
      </w:pPr>
      <w:r>
        <w:rPr/>
        <w:t xml:space="preserve">Havendo </w:t>
      </w:r>
      <w:r>
        <w:rPr>
          <w:iCs/>
        </w:rPr>
        <w:t>necessidade</w:t>
      </w:r>
      <w:r>
        <w:rPr/>
        <w:t xml:space="preserve"> de analisar minuciosamente os documentos exigidos, a sessão será suspensa, sendo informada a nova data e horário para a sua continuidade.</w:t>
      </w:r>
    </w:p>
    <w:p>
      <w:pPr>
        <w:pStyle w:val="Nivel2"/>
        <w:numPr>
          <w:ilvl w:val="1"/>
          <w:numId w:val="1"/>
        </w:numPr>
        <w:ind w:hanging="0" w:left="0"/>
        <w:rPr/>
      </w:pPr>
      <w:r>
        <w:rPr/>
        <w:t xml:space="preserve">Será inabilitado o fornecedor que não comprovar sua habilitação, seja por não apresentar </w:t>
      </w:r>
      <w:r>
        <w:rPr>
          <w:iCs/>
        </w:rPr>
        <w:t>quaisquer</w:t>
      </w:r>
      <w:r>
        <w:rPr/>
        <w:t xml:space="preserve"> dos documentos exigidos, ou apresentá-los em desacordo com o estabelecido neste Aviso de Contratação Direta.</w:t>
      </w:r>
    </w:p>
    <w:p>
      <w:pPr>
        <w:pStyle w:val="Nivel3"/>
        <w:numPr>
          <w:ilvl w:val="2"/>
          <w:numId w:val="1"/>
        </w:numPr>
        <w:ind w:hanging="0" w:left="284"/>
        <w:rPr/>
      </w:pPr>
      <w: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ivel2"/>
        <w:numPr>
          <w:ilvl w:val="1"/>
          <w:numId w:val="1"/>
        </w:numPr>
        <w:ind w:hanging="0" w:left="0"/>
        <w:rPr/>
      </w:pPr>
      <w:r>
        <w:rPr/>
        <w:t>Constatado o atendimento às exigências de habilitação, o fornecedor será habilitado.</w:t>
      </w:r>
    </w:p>
    <w:p>
      <w:pPr>
        <w:pStyle w:val="Nivel01"/>
        <w:numPr>
          <w:ilvl w:val="0"/>
          <w:numId w:val="1"/>
        </w:numPr>
        <w:spacing w:before="288" w:after="288"/>
        <w:ind w:hanging="357" w:left="357"/>
        <w:rPr>
          <w:highlight w:val="none"/>
          <w:shd w:fill="CCCCCC" w:val="clear"/>
        </w:rPr>
      </w:pPr>
      <w:bookmarkStart w:id="20" w:name="_Toc226962644"/>
      <w:r>
        <w:rPr>
          <w:shd w:fill="CCCCCC" w:val="clear"/>
        </w:rPr>
        <w:t xml:space="preserve">DA </w:t>
      </w:r>
      <w:bookmarkStart w:id="21" w:name="_Toc142925867"/>
      <w:r>
        <w:rPr>
          <w:shd w:fill="CCCCCC" w:val="clear"/>
        </w:rPr>
        <w:t>ATA DE REGISTRO DE PREÇOS</w:t>
      </w:r>
      <w:bookmarkEnd w:id="20"/>
      <w:bookmarkEnd w:id="21"/>
    </w:p>
    <w:p>
      <w:pPr>
        <w:pStyle w:val="Nivel2"/>
        <w:numPr>
          <w:ilvl w:val="1"/>
          <w:numId w:val="1"/>
        </w:numPr>
        <w:ind w:hanging="0" w:left="0"/>
        <w:rPr>
          <w:highlight w:val="none"/>
          <w:shd w:fill="CCCCCC" w:val="clear"/>
        </w:rPr>
      </w:pPr>
      <w:r>
        <w:rPr>
          <w:shd w:fill="CCCCCC" w:val="clear"/>
        </w:rPr>
        <w:t xml:space="preserve">Homologado o resultado do procedimento, o fornecedor mais bem classificado terá o prazo de </w:t>
      </w:r>
      <w:r>
        <w:rPr>
          <w:rFonts w:eastAsia="Arial"/>
          <w:b/>
          <w:color w:val="EE0000"/>
          <w:shd w:fill="CCCCCC" w:val="clear"/>
        </w:rPr>
        <w:t>30</w:t>
      </w:r>
      <w:r>
        <w:rPr>
          <w:rFonts w:eastAsia="Arial"/>
          <w:color w:val="EE0000"/>
          <w:shd w:fill="CCCCCC" w:val="clear"/>
        </w:rPr>
        <w:t xml:space="preserve"> </w:t>
      </w:r>
      <w:r>
        <w:rPr>
          <w:rFonts w:eastAsia="Arial"/>
          <w:shd w:fill="CCCCCC" w:val="clear"/>
        </w:rPr>
        <w:t>(trinta)</w:t>
      </w:r>
      <w:r>
        <w:rPr>
          <w:iCs/>
          <w:shd w:fill="CCCCCC" w:val="clear"/>
        </w:rPr>
        <w:t xml:space="preserve"> dias</w:t>
      </w:r>
      <w:r>
        <w:rPr>
          <w:shd w:fill="CCCCCC" w:val="clear"/>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ind w:hanging="0" w:left="0"/>
        <w:rPr>
          <w:highlight w:val="none"/>
          <w:shd w:fill="CCCCCC" w:val="clear"/>
        </w:rPr>
      </w:pPr>
      <w:r>
        <w:rPr>
          <w:shd w:fill="CCCCCC" w:val="clear"/>
        </w:rPr>
        <w:t>O prazo de convocação poderá ser prorrogado uma vez, por igual período, mediante solicitação do fornecedor mais bem classificado ou convocado, desde que:</w:t>
      </w:r>
    </w:p>
    <w:p>
      <w:pPr>
        <w:pStyle w:val="Nivel3"/>
        <w:numPr>
          <w:ilvl w:val="2"/>
          <w:numId w:val="1"/>
        </w:numPr>
        <w:ind w:hanging="0" w:left="284"/>
        <w:rPr>
          <w:highlight w:val="none"/>
          <w:shd w:fill="CCCCCC" w:val="clear"/>
        </w:rPr>
      </w:pPr>
      <w:r>
        <w:rPr>
          <w:shd w:fill="CCCCCC" w:val="clear"/>
        </w:rPr>
        <w:t>a solicitação seja devidamente justificada e apresentada dentro do prazo; e</w:t>
      </w:r>
    </w:p>
    <w:p>
      <w:pPr>
        <w:pStyle w:val="Nivel3"/>
        <w:numPr>
          <w:ilvl w:val="2"/>
          <w:numId w:val="1"/>
        </w:numPr>
        <w:ind w:hanging="0" w:left="284"/>
        <w:rPr>
          <w:highlight w:val="none"/>
          <w:shd w:fill="CCCCCC" w:val="clear"/>
        </w:rPr>
      </w:pPr>
      <w:r>
        <w:rPr>
          <w:shd w:fill="CCCCCC" w:val="clear"/>
        </w:rPr>
        <w:t>a justificativa apresentada seja aceita pela Administração.</w:t>
      </w:r>
    </w:p>
    <w:p>
      <w:pPr>
        <w:pStyle w:val="Nivel2"/>
        <w:numPr>
          <w:ilvl w:val="1"/>
          <w:numId w:val="1"/>
        </w:numPr>
        <w:ind w:hanging="0" w:left="0"/>
        <w:rPr>
          <w:highlight w:val="none"/>
          <w:shd w:fill="CCCCCC" w:val="clear"/>
        </w:rPr>
      </w:pPr>
      <w:r>
        <w:rPr>
          <w:shd w:fill="CCCCCC" w:val="clear"/>
        </w:rPr>
        <w:t>A ata de registro de preços será assinada por meio de assinatura digital e disponibilizada no sistema de registro de preços.</w:t>
      </w:r>
    </w:p>
    <w:p>
      <w:pPr>
        <w:pStyle w:val="Nivel2"/>
        <w:numPr>
          <w:ilvl w:val="1"/>
          <w:numId w:val="1"/>
        </w:numPr>
        <w:ind w:hanging="0" w:left="0"/>
        <w:rPr>
          <w:highlight w:val="none"/>
          <w:shd w:fill="CCCCCC" w:val="clear"/>
        </w:rPr>
      </w:pPr>
      <w:r>
        <w:rPr>
          <w:shd w:fill="CCCCCC" w:val="clear"/>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pPr>
        <w:pStyle w:val="Nivel2"/>
        <w:numPr>
          <w:ilvl w:val="1"/>
          <w:numId w:val="1"/>
        </w:numPr>
        <w:ind w:hanging="0" w:left="0"/>
        <w:rPr>
          <w:highlight w:val="none"/>
          <w:shd w:fill="CCCCCC" w:val="clear"/>
        </w:rPr>
      </w:pPr>
      <w:r>
        <w:rPr>
          <w:shd w:fill="CCCCCC" w:val="clear"/>
        </w:rPr>
        <w:t>O preço registrado, com a indicação dos fornecedores, será divulgado no PNCP e disponibilizado durante a vigência da ata de registro de preços.</w:t>
      </w:r>
    </w:p>
    <w:p>
      <w:pPr>
        <w:pStyle w:val="Nivel2"/>
        <w:numPr>
          <w:ilvl w:val="1"/>
          <w:numId w:val="1"/>
        </w:numPr>
        <w:ind w:hanging="0" w:left="0"/>
        <w:rPr>
          <w:highlight w:val="none"/>
          <w:shd w:fill="CCCCCC" w:val="clear"/>
        </w:rPr>
      </w:pPr>
      <w:r>
        <w:rPr>
          <w:shd w:fill="CCCCCC" w:val="clear"/>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pPr>
        <w:pStyle w:val="Nivel2"/>
        <w:numPr>
          <w:ilvl w:val="1"/>
          <w:numId w:val="1"/>
        </w:numPr>
        <w:ind w:hanging="0" w:left="0"/>
        <w:rPr>
          <w:highlight w:val="none"/>
          <w:shd w:fill="CCCCCC" w:val="clear"/>
        </w:rPr>
      </w:pPr>
      <w:r>
        <w:rPr>
          <w:shd w:fill="CCCCCC" w:val="clear"/>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pPr>
        <w:pStyle w:val="Nivel2"/>
        <w:numPr>
          <w:ilvl w:val="1"/>
          <w:numId w:val="1"/>
        </w:numPr>
        <w:ind w:hanging="0" w:left="0"/>
        <w:rPr>
          <w:highlight w:val="none"/>
          <w:shd w:fill="CCCCCC" w:val="clear"/>
        </w:rPr>
      </w:pPr>
      <w:r>
        <w:rPr>
          <w:shd w:fill="CCCCCC" w:val="clear"/>
        </w:rPr>
        <w:t>O prazo de vigência da ata de registro de preços será de 1 (um) ano e poderá ser prorrogado, por igual período, desde que comprovado o preço vantajoso.</w:t>
      </w:r>
    </w:p>
    <w:p>
      <w:pPr>
        <w:pStyle w:val="Nvel3-R"/>
        <w:numPr>
          <w:ilvl w:val="2"/>
          <w:numId w:val="1"/>
        </w:numPr>
        <w:ind w:hanging="0" w:left="284"/>
        <w:rPr>
          <w:color w:val="111111"/>
          <w:highlight w:val="none"/>
          <w:shd w:fill="CCCCCC" w:val="clear"/>
        </w:rPr>
      </w:pPr>
      <w:r>
        <w:rPr>
          <w:color w:val="111111"/>
          <w:shd w:fill="CCCCCC" w:val="clear"/>
        </w:rPr>
        <w:t xml:space="preserve">Em caso de prorrogação da ata, </w:t>
      </w:r>
      <w:r>
        <w:rPr>
          <w:b/>
          <w:bCs/>
          <w:color w:val="111111"/>
          <w:shd w:fill="CCCCCC" w:val="clear"/>
        </w:rPr>
        <w:t>[poderá] OU [não poderá]</w:t>
      </w:r>
      <w:r>
        <w:rPr>
          <w:color w:val="111111"/>
          <w:shd w:fill="CCCCCC" w:val="clear"/>
        </w:rPr>
        <w:t xml:space="preserve"> ser renovado o quantitativo originalmente registrado.</w:t>
      </w:r>
    </w:p>
    <w:p>
      <w:pPr>
        <w:pStyle w:val="Nivel01"/>
        <w:numPr>
          <w:ilvl w:val="0"/>
          <w:numId w:val="1"/>
        </w:numPr>
        <w:spacing w:before="288" w:after="288"/>
        <w:ind w:hanging="357" w:left="357"/>
        <w:rPr>
          <w:highlight w:val="none"/>
          <w:shd w:fill="CCCCCC" w:val="clear"/>
        </w:rPr>
      </w:pPr>
      <w:bookmarkStart w:id="22" w:name="_Toc226962645"/>
      <w:r>
        <w:rPr>
          <w:shd w:fill="CCCCCC" w:val="clear"/>
        </w:rPr>
        <w:t xml:space="preserve">DA </w:t>
      </w:r>
      <w:bookmarkStart w:id="23" w:name="_Toc142925868"/>
      <w:r>
        <w:rPr>
          <w:shd w:fill="CCCCCC" w:val="clear"/>
        </w:rPr>
        <w:t>FORMAÇÃO DO CADASTRO DE RESERVA</w:t>
      </w:r>
      <w:bookmarkEnd w:id="22"/>
      <w:bookmarkEnd w:id="23"/>
    </w:p>
    <w:p>
      <w:pPr>
        <w:pStyle w:val="Nivel2"/>
        <w:numPr>
          <w:ilvl w:val="1"/>
          <w:numId w:val="1"/>
        </w:numPr>
        <w:ind w:hanging="0" w:left="0"/>
        <w:rPr>
          <w:highlight w:val="none"/>
          <w:shd w:fill="CCCCCC" w:val="clear"/>
        </w:rPr>
      </w:pPr>
      <w:r>
        <w:rPr>
          <w:shd w:fill="CCCCCC" w:val="clear"/>
        </w:rPr>
        <w:t>Após a homologação do procedimento, será incluído na ata, na forma de anexo, o registro:</w:t>
      </w:r>
    </w:p>
    <w:p>
      <w:pPr>
        <w:pStyle w:val="Nivel3"/>
        <w:numPr>
          <w:ilvl w:val="2"/>
          <w:numId w:val="1"/>
        </w:numPr>
        <w:ind w:hanging="0" w:left="284"/>
        <w:rPr>
          <w:highlight w:val="none"/>
          <w:shd w:fill="CCCCCC" w:val="clear"/>
        </w:rPr>
      </w:pPr>
      <w:r>
        <w:rPr>
          <w:shd w:fill="CCCCCC" w:val="clear"/>
        </w:rPr>
        <w:t xml:space="preserve">dos fornecedores </w:t>
      </w:r>
      <w:bookmarkStart w:id="24" w:name="_Hlk132991372"/>
      <w:r>
        <w:rPr>
          <w:shd w:fill="CCCCCC" w:val="clear"/>
        </w:rPr>
        <w:t xml:space="preserve">que </w:t>
      </w:r>
      <w:bookmarkStart w:id="25" w:name="_Hlk132989696"/>
      <w:r>
        <w:rPr>
          <w:shd w:fill="CCCCCC" w:val="clear"/>
        </w:rPr>
        <w:t>aceitarem cotar o objeto com preço igual ao do adjudicatári</w:t>
      </w:r>
      <w:bookmarkEnd w:id="24"/>
      <w:r>
        <w:rPr>
          <w:shd w:fill="CCCCCC" w:val="clear"/>
        </w:rPr>
        <w:t>o</w:t>
      </w:r>
      <w:bookmarkEnd w:id="25"/>
      <w:r>
        <w:rPr>
          <w:shd w:fill="CCCCCC" w:val="clear"/>
        </w:rPr>
        <w:t>, observada a classificação no procedimento e excluído o percentual referente à margem de preferência, quando o objeto não atender aos requisitos previstos no art. 26 da Lei nº 14.133, de 2021; e</w:t>
      </w:r>
    </w:p>
    <w:p>
      <w:pPr>
        <w:pStyle w:val="Nivel3"/>
        <w:numPr>
          <w:ilvl w:val="2"/>
          <w:numId w:val="1"/>
        </w:numPr>
        <w:ind w:hanging="0" w:left="284"/>
        <w:rPr>
          <w:highlight w:val="none"/>
          <w:shd w:fill="CCCCCC" w:val="clear"/>
        </w:rPr>
      </w:pPr>
      <w:r>
        <w:rPr>
          <w:shd w:fill="CCCCCC" w:val="clear"/>
        </w:rPr>
        <w:t>dos fornecedores que mantiverem sua proposta original.</w:t>
      </w:r>
    </w:p>
    <w:p>
      <w:pPr>
        <w:pStyle w:val="Nivel2"/>
        <w:numPr>
          <w:ilvl w:val="1"/>
          <w:numId w:val="1"/>
        </w:numPr>
        <w:ind w:hanging="0" w:left="0"/>
        <w:rPr>
          <w:highlight w:val="none"/>
          <w:shd w:fill="CCCCCC" w:val="clear"/>
        </w:rPr>
      </w:pPr>
      <w:r>
        <w:rPr>
          <w:shd w:fill="CCCCCC" w:val="clear"/>
        </w:rPr>
        <w:t>Será respeitada, nas contratações, a ordem de classificação dos fornecedores registrados na ata.</w:t>
      </w:r>
    </w:p>
    <w:p>
      <w:pPr>
        <w:pStyle w:val="Nivel2"/>
        <w:numPr>
          <w:ilvl w:val="1"/>
          <w:numId w:val="1"/>
        </w:numPr>
        <w:ind w:hanging="0" w:left="0"/>
        <w:rPr>
          <w:highlight w:val="none"/>
          <w:shd w:fill="CCCCCC" w:val="clear"/>
        </w:rPr>
      </w:pPr>
      <w:r>
        <w:rPr>
          <w:shd w:fill="CCCCCC" w:val="clear"/>
        </w:rPr>
        <w:t>A apresentação de novas propostas na forma deste item não prejudicará o resultado do procedimento em relação ao fornecedor mais bem classificado.</w:t>
      </w:r>
    </w:p>
    <w:p>
      <w:pPr>
        <w:pStyle w:val="Nivel2"/>
        <w:numPr>
          <w:ilvl w:val="1"/>
          <w:numId w:val="1"/>
        </w:numPr>
        <w:ind w:hanging="0" w:left="0"/>
        <w:rPr/>
      </w:pPr>
      <w:r>
        <w:rPr/>
        <w:t>Para fins da ordem de classificação, os fornecedores que aceitarem cotar o objeto com preço igual ao do adjudicatário antecederão aqueles que mantiverem sua proposta original.</w:t>
      </w:r>
    </w:p>
    <w:p>
      <w:pPr>
        <w:pStyle w:val="Nivel2"/>
        <w:numPr>
          <w:ilvl w:val="1"/>
          <w:numId w:val="1"/>
        </w:numPr>
        <w:ind w:hanging="0" w:left="0"/>
        <w:rPr>
          <w:highlight w:val="none"/>
          <w:shd w:fill="CCCCCC" w:val="clear"/>
        </w:rPr>
      </w:pPr>
      <w:r>
        <w:rPr>
          <w:shd w:fill="CCCCCC" w:val="clear"/>
        </w:rPr>
        <w:t>A habilitação dos fornecedores que comporão o cadastro de reserva será efetuada quando houver necessidade de contratação dos fornecedores remanescentes, nas seguintes hipóteses:</w:t>
      </w:r>
    </w:p>
    <w:p>
      <w:pPr>
        <w:pStyle w:val="Nivel3"/>
        <w:numPr>
          <w:ilvl w:val="2"/>
          <w:numId w:val="1"/>
        </w:numPr>
        <w:ind w:hanging="0" w:left="284"/>
        <w:rPr>
          <w:highlight w:val="none"/>
          <w:shd w:fill="CCCCCC" w:val="clear"/>
        </w:rPr>
      </w:pPr>
      <w:r>
        <w:rPr>
          <w:shd w:fill="CCCCCC" w:val="clear"/>
        </w:rPr>
        <w:t>quando o adjudicatário não assinar a ata de registro de preços no prazo e nas condições estabelecidos no aviso de dispensa; ou</w:t>
      </w:r>
    </w:p>
    <w:p>
      <w:pPr>
        <w:pStyle w:val="Nivel3"/>
        <w:numPr>
          <w:ilvl w:val="2"/>
          <w:numId w:val="1"/>
        </w:numPr>
        <w:ind w:hanging="0" w:left="284"/>
        <w:rPr>
          <w:highlight w:val="none"/>
          <w:shd w:fill="CCCCCC" w:val="clear"/>
        </w:rPr>
      </w:pPr>
      <w:r>
        <w:rPr>
          <w:shd w:fill="CCCCCC" w:val="clear"/>
        </w:rPr>
        <w:t>quando houver o cancelamento do registro do fornecedor ou do registro de preços, nas hipóteses previstas nos arts. 28 e 29 do Decreto nº 11.462, de 2023.</w:t>
      </w:r>
    </w:p>
    <w:p>
      <w:pPr>
        <w:pStyle w:val="Nivel2"/>
        <w:numPr>
          <w:ilvl w:val="1"/>
          <w:numId w:val="1"/>
        </w:numPr>
        <w:ind w:hanging="0" w:left="0"/>
        <w:rPr>
          <w:highlight w:val="none"/>
          <w:shd w:fill="CCCCCC" w:val="clear"/>
        </w:rPr>
      </w:pPr>
      <w:r>
        <w:rPr>
          <w:shd w:fill="CCCCCC" w:val="clear"/>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ivel3"/>
        <w:numPr>
          <w:ilvl w:val="2"/>
          <w:numId w:val="1"/>
        </w:numPr>
        <w:ind w:hanging="0" w:left="284"/>
        <w:rPr>
          <w:highlight w:val="none"/>
          <w:shd w:fill="CCCCCC" w:val="clear"/>
        </w:rPr>
      </w:pPr>
      <w:r>
        <w:rPr>
          <w:shd w:fill="CCCCCC" w:val="clear"/>
        </w:rPr>
        <w:t>convocar os fornecedores que mantiveram sua proposta original para negociação, na ordem de classificação, com vistas à obtenção de preço melhor, mesmo que acima do preço do adjudicatário; ou</w:t>
      </w:r>
    </w:p>
    <w:p>
      <w:pPr>
        <w:pStyle w:val="Nivel3"/>
        <w:numPr>
          <w:ilvl w:val="2"/>
          <w:numId w:val="1"/>
        </w:numPr>
        <w:ind w:hanging="0" w:left="284"/>
        <w:rPr>
          <w:highlight w:val="none"/>
          <w:shd w:fill="CCCCCC" w:val="clear"/>
        </w:rPr>
      </w:pPr>
      <w:r>
        <w:rPr>
          <w:shd w:fill="CCCCCC" w:val="clear"/>
        </w:rPr>
        <w:t>adjudicar e firmar o contrato nas condições ofertadas pelos fornecedores remanescentes, observada a ordem de classificação, quando frustrada a negociação de melhor condição.</w:t>
      </w:r>
    </w:p>
    <w:p>
      <w:pPr>
        <w:pStyle w:val="Nivel01"/>
        <w:numPr>
          <w:ilvl w:val="0"/>
          <w:numId w:val="1"/>
        </w:numPr>
        <w:spacing w:before="288" w:after="288"/>
        <w:ind w:hanging="357" w:left="357"/>
        <w:rPr>
          <w:highlight w:val="none"/>
          <w:shd w:fill="CCCCCC" w:val="clear"/>
        </w:rPr>
      </w:pPr>
      <w:bookmarkStart w:id="26" w:name="_Toc226962646"/>
      <w:r>
        <w:rPr>
          <w:shd w:fill="CCCCCC" w:val="clear"/>
        </w:rPr>
        <w:t xml:space="preserve">DA </w:t>
      </w:r>
      <w:bookmarkStart w:id="27" w:name="_Toc142925869"/>
      <w:r>
        <w:rPr>
          <w:shd w:fill="CCCCCC" w:val="clear"/>
        </w:rPr>
        <w:t>CONTRATAÇÃO</w:t>
      </w:r>
      <w:bookmarkEnd w:id="26"/>
      <w:bookmarkEnd w:id="27"/>
    </w:p>
    <w:p>
      <w:pPr>
        <w:pStyle w:val="Nivel2"/>
        <w:numPr>
          <w:ilvl w:val="1"/>
          <w:numId w:val="1"/>
        </w:numPr>
        <w:ind w:hanging="0" w:left="0"/>
        <w:rPr>
          <w:rFonts w:eastAsia="Arial"/>
        </w:rPr>
      </w:pPr>
      <w:r>
        <w:rPr>
          <w:rFonts w:eastAsia="Arial"/>
        </w:rPr>
        <w:t>Após a homologação e adjudicação, caso se conclua pela contratação, será firmado Termo de Contrato ou emitido instrumento equivalente.</w:t>
      </w:r>
    </w:p>
    <w:p>
      <w:pPr>
        <w:pStyle w:val="Nvel2Misto"/>
        <w:numPr>
          <w:ilvl w:val="1"/>
          <w:numId w:val="1"/>
        </w:numPr>
        <w:ind w:hanging="0" w:left="0"/>
        <w:rPr/>
      </w:pPr>
      <w:r>
        <w:rPr/>
        <w:t xml:space="preserve">O adjudicatário terá o prazo de </w:t>
      </w:r>
      <w:r>
        <w:rPr>
          <w:b/>
        </w:rPr>
        <w:t>30</w:t>
      </w:r>
      <w:r>
        <w:rPr/>
        <w:t xml:space="preserve"> </w:t>
      </w:r>
      <w:r>
        <w:rPr>
          <w:color w:val="auto"/>
        </w:rPr>
        <w:t>(trinta)</w:t>
      </w:r>
      <w:r>
        <w:rPr>
          <w:iCs/>
          <w:color w:val="auto"/>
        </w:rPr>
        <w:t xml:space="preserve"> dias</w:t>
      </w:r>
      <w:r>
        <w:rPr>
          <w:iCs/>
        </w:rPr>
        <w:t xml:space="preserve"> úteis</w:t>
      </w:r>
      <w:r>
        <w:rPr/>
        <w:t xml:space="preserve">, contados a partir da data de sua convocação, para assinar o </w:t>
      </w:r>
      <w:r>
        <w:rPr>
          <w:color w:val="111111"/>
        </w:rPr>
        <w:t xml:space="preserve">Termo de Contrato </w:t>
      </w:r>
      <w:r>
        <w:rPr>
          <w:b/>
          <w:color w:val="111111"/>
          <w:u w:val="single"/>
        </w:rPr>
        <w:t>OU</w:t>
      </w:r>
      <w:r>
        <w:rPr>
          <w:b/>
          <w:color w:val="111111"/>
          <w:sz w:val="22"/>
          <w:szCs w:val="22"/>
          <w:u w:val="single"/>
        </w:rPr>
        <w:t xml:space="preserve"> </w:t>
      </w:r>
      <w:r>
        <w:rPr>
          <w:color w:val="111111"/>
        </w:rPr>
        <w:t>aceitar instrumento equivalente, conforme o caso (Nota de Empenho/Carta Contrato/Autorização),</w:t>
      </w:r>
      <w:r>
        <w:rPr/>
        <w:t xml:space="preserve"> sob pena de decair o direito à contratação, sem prejuízo das sanções previstas neste Aviso de Contratação Direta.</w:t>
      </w:r>
    </w:p>
    <w:p>
      <w:pPr>
        <w:pStyle w:val="Nivel3"/>
        <w:numPr>
          <w:ilvl w:val="2"/>
          <w:numId w:val="1"/>
        </w:numPr>
        <w:ind w:hanging="0" w:left="284"/>
        <w:rPr/>
      </w:pPr>
      <w:r>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eastAsia="Arial"/>
          <w:b/>
          <w:bCs/>
          <w:color w:val="111111"/>
          <w:shd w:fill="CCCCCC" w:val="clear"/>
        </w:rPr>
        <w:t>7</w:t>
      </w:r>
      <w:r>
        <w:rPr>
          <w:rFonts w:eastAsia="Arial"/>
          <w:color w:val="111111"/>
          <w:shd w:fill="CCCCCC" w:val="clear"/>
        </w:rPr>
        <w:t xml:space="preserve"> (</w:t>
      </w:r>
      <w:r>
        <w:rPr>
          <w:rFonts w:eastAsia="Arial"/>
          <w:b/>
          <w:bCs/>
          <w:color w:val="111111"/>
          <w:shd w:fill="CCCCCC" w:val="clear"/>
        </w:rPr>
        <w:t>sete</w:t>
      </w:r>
      <w:r>
        <w:rPr>
          <w:rFonts w:eastAsia="Arial"/>
          <w:color w:val="111111"/>
          <w:shd w:fill="CCCCCC" w:val="clear"/>
        </w:rPr>
        <w:t>)</w:t>
      </w:r>
      <w:r>
        <w:rPr>
          <w:bCs/>
          <w:iCs/>
        </w:rPr>
        <w:t xml:space="preserve"> dias</w:t>
      </w:r>
      <w:r>
        <w:rPr/>
        <w:t>, a contar da data de seu recebimento ou da disponibilização do acesso ao sistema de processo eletrônico.</w:t>
      </w:r>
    </w:p>
    <w:p>
      <w:pPr>
        <w:pStyle w:val="Nivel3"/>
        <w:numPr>
          <w:ilvl w:val="2"/>
          <w:numId w:val="1"/>
        </w:numPr>
        <w:ind w:hanging="0" w:left="284"/>
        <w:rPr/>
      </w:pPr>
      <w:r>
        <w:rPr/>
        <w:t>O prazo previsto no subitem anterior poderá ser prorrogado, por igual período, por solicitação justificada do adjudicatário e aceita pela Administração.</w:t>
      </w:r>
    </w:p>
    <w:p>
      <w:pPr>
        <w:pStyle w:val="Nivel2"/>
        <w:numPr>
          <w:ilvl w:val="1"/>
          <w:numId w:val="1"/>
        </w:numPr>
        <w:ind w:hanging="0" w:left="0"/>
        <w:rPr/>
      </w:pPr>
      <w:r>
        <w:rPr/>
        <w:t>O Aceite da Nota de Empenho ou do instrumento equivalente, emitida ao fornecedor adjudicado, implica o reconhecimento de que:</w:t>
      </w:r>
    </w:p>
    <w:p>
      <w:pPr>
        <w:pStyle w:val="Nvel3-R"/>
        <w:numPr>
          <w:ilvl w:val="2"/>
          <w:numId w:val="1"/>
        </w:numPr>
        <w:ind w:hanging="0" w:left="284"/>
        <w:rPr/>
      </w:pPr>
      <w:r>
        <w:rPr>
          <w:rFonts w:eastAsia="Arial"/>
          <w:color w:val="111111"/>
          <w:shd w:fill="CCCCCC" w:val="clear"/>
        </w:rPr>
        <w:t xml:space="preserve">referida Nota está substituindo o contrato, aplicando-se à relação de negócios ali estabelecida as disposições da </w:t>
      </w:r>
      <w:hyperlink r:id="rId8">
        <w:r>
          <w:rPr>
            <w:rStyle w:val="Hyperlink"/>
            <w:rFonts w:eastAsia="Arial"/>
            <w:color w:val="111111"/>
            <w:u w:val="none"/>
            <w:shd w:fill="CCCCCC" w:val="clear"/>
          </w:rPr>
          <w:t>Lei nº 14.133, de 2021</w:t>
        </w:r>
      </w:hyperlink>
      <w:r>
        <w:rPr>
          <w:rFonts w:eastAsia="Arial"/>
          <w:color w:val="111111"/>
          <w:shd w:fill="CCCCCC" w:val="clear"/>
        </w:rPr>
        <w:t>;</w:t>
      </w:r>
    </w:p>
    <w:p>
      <w:pPr>
        <w:pStyle w:val="Nvel3-R"/>
        <w:numPr>
          <w:ilvl w:val="2"/>
          <w:numId w:val="1"/>
        </w:numPr>
        <w:ind w:hanging="0" w:left="284"/>
        <w:rPr>
          <w:color w:val="111111"/>
          <w:highlight w:val="none"/>
          <w:shd w:fill="CCCCCC" w:val="clear"/>
        </w:rPr>
      </w:pPr>
      <w:r>
        <w:rPr>
          <w:rFonts w:eastAsia="Arial"/>
          <w:color w:val="111111"/>
          <w:shd w:fill="CCCCCC" w:val="clear"/>
        </w:rPr>
        <w:t>a contratada se vincula à sua proposta e às previsões contidas no Aviso de Contratação Direta e seus anexos;</w:t>
      </w:r>
    </w:p>
    <w:p>
      <w:pPr>
        <w:pStyle w:val="Nvel3-R"/>
        <w:numPr>
          <w:ilvl w:val="2"/>
          <w:numId w:val="1"/>
        </w:numPr>
        <w:ind w:hanging="0" w:left="284"/>
        <w:rPr/>
      </w:pPr>
      <w:r>
        <w:rPr>
          <w:rFonts w:eastAsia="Arial"/>
          <w:color w:val="111111"/>
          <w:shd w:fill="CCCCCC" w:val="clear"/>
        </w:rPr>
        <w:t xml:space="preserve">a contratada reconhece que as hipóteses de rescisão são aquelas previstas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e 138 da Lei nº 14.133, de 2021</w:t>
      </w:r>
      <w:r>
        <w:rPr>
          <w:rStyle w:val="Hyperlink"/>
          <w:u w:val="none"/>
          <w:shd w:fill="CCCCCC" w:val="clear"/>
          <w:rFonts w:eastAsia="Arial"/>
          <w:color w:themeColor="hyperlink" w:val="111111"/>
        </w:rPr>
        <w:fldChar w:fldCharType="end"/>
      </w:r>
      <w:r>
        <w:rPr>
          <w:color w:val="111111"/>
          <w:shd w:fill="CCCCCC" w:val="clear"/>
        </w:rPr>
        <w:t>,</w:t>
      </w:r>
      <w:r>
        <w:rPr>
          <w:rFonts w:eastAsia="Arial"/>
          <w:color w:val="111111"/>
          <w:shd w:fill="CCCCCC" w:val="clear"/>
        </w:rPr>
        <w:t xml:space="preserve"> e reconhece os direitos da Administração previstos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a 139 da mesma Lei</w:t>
      </w:r>
      <w:r>
        <w:rPr>
          <w:rStyle w:val="Hyperlink"/>
          <w:u w:val="none"/>
          <w:shd w:fill="CCCCCC" w:val="clear"/>
          <w:rFonts w:eastAsia="Arial"/>
          <w:color w:themeColor="hyperlink" w:val="111111"/>
        </w:rPr>
        <w:fldChar w:fldCharType="end"/>
      </w:r>
      <w:r>
        <w:rPr>
          <w:rFonts w:eastAsia="Arial"/>
          <w:color w:val="111111"/>
          <w:shd w:fill="CCCCCC" w:val="clear"/>
        </w:rPr>
        <w:t>.</w:t>
      </w:r>
    </w:p>
    <w:p>
      <w:pPr>
        <w:pStyle w:val="Nivel2"/>
        <w:numPr>
          <w:ilvl w:val="1"/>
          <w:numId w:val="1"/>
        </w:numPr>
        <w:ind w:hanging="0" w:left="0"/>
        <w:rPr>
          <w:rFonts w:eastAsia="Arial"/>
        </w:rPr>
      </w:pPr>
      <w:r>
        <w:rPr>
          <w:rFonts w:eastAsia="Arial"/>
        </w:rPr>
        <w:t xml:space="preserve">O prazo de vigência da contratação é o estabelecido no Termo de Referência. </w:t>
      </w:r>
    </w:p>
    <w:p>
      <w:pPr>
        <w:pStyle w:val="Nivel2"/>
        <w:numPr>
          <w:ilvl w:val="1"/>
          <w:numId w:val="1"/>
        </w:numPr>
        <w:ind w:hanging="0" w:left="0"/>
        <w:rPr>
          <w:rFonts w:eastAsia="Arial"/>
        </w:rPr>
      </w:pPr>
      <w:r>
        <w:rPr/>
        <w:t>Na assinatura do contrato ou do instrumento equivalente será exigida a comprovação das condições de habilitação e contratação consignadas neste aviso, que deverão ser mantidas pelo fornecedor durante a vigência do contrato.</w:t>
      </w:r>
    </w:p>
    <w:p>
      <w:pPr>
        <w:pStyle w:val="Nivel01"/>
        <w:numPr>
          <w:ilvl w:val="0"/>
          <w:numId w:val="1"/>
        </w:numPr>
        <w:spacing w:before="288" w:after="288"/>
        <w:ind w:hanging="357" w:left="357"/>
        <w:rPr/>
      </w:pPr>
      <w:bookmarkStart w:id="28" w:name="_Toc226962647"/>
      <w:r>
        <w:rPr/>
        <w:t xml:space="preserve">DAS </w:t>
      </w:r>
      <w:bookmarkStart w:id="29" w:name="_Toc142925870"/>
      <w:r>
        <w:rPr/>
        <w:t>INFRAÇÕES E SANÇÕES ADMINISTRATIVAS</w:t>
      </w:r>
      <w:bookmarkEnd w:id="28"/>
      <w:bookmarkEnd w:id="29"/>
    </w:p>
    <w:p>
      <w:pPr>
        <w:pStyle w:val="Nivel2"/>
        <w:numPr>
          <w:ilvl w:val="1"/>
          <w:numId w:val="1"/>
        </w:numPr>
        <w:ind w:hanging="0" w:left="0"/>
        <w:rPr>
          <w:b/>
        </w:rPr>
      </w:pPr>
      <w:r>
        <w:rPr/>
        <w:t xml:space="preserve">Comete infração administrativa o fornecedor que praticar quaisquer das hipóteses previstas no </w:t>
      </w:r>
      <w:r>
        <w:fldChar w:fldCharType="begin"/>
      </w:r>
      <w:r>
        <w:rPr>
          <w:rStyle w:val="Hyperlink"/>
          <w:u w:val="none"/>
          <w:color w:themeColor="hyperlink" w:val="auto"/>
        </w:rPr>
        <w:instrText xml:space="preserve"> HYPERLINK "http://www.planalto.gov.br/ccivil_03/_ato2019-2022/2021/lei/L14133.htm" \l "art155"</w:instrText>
      </w:r>
      <w:r>
        <w:rPr>
          <w:rStyle w:val="Hyperlink"/>
          <w:u w:val="none"/>
          <w:color w:themeColor="hyperlink" w:val="auto"/>
        </w:rPr>
        <w:fldChar w:fldCharType="separate"/>
      </w:r>
      <w:r>
        <w:rPr>
          <w:rStyle w:val="Hyperlink"/>
          <w:color w:themeColor="hyperlink" w:val="auto"/>
          <w:u w:val="none"/>
        </w:rPr>
        <w:t>art. 155 da Lei nº 14.133, de 2021</w:t>
      </w:r>
      <w:r>
        <w:rPr>
          <w:rStyle w:val="Hyperlink"/>
          <w:u w:val="none"/>
          <w:color w:themeColor="hyperlink" w:val="auto"/>
        </w:rPr>
        <w:fldChar w:fldCharType="end"/>
      </w:r>
      <w:r>
        <w:rPr/>
        <w:t xml:space="preserve">, quais sejam: </w:t>
      </w:r>
    </w:p>
    <w:p>
      <w:pPr>
        <w:pStyle w:val="Nivel3"/>
        <w:numPr>
          <w:ilvl w:val="2"/>
          <w:numId w:val="1"/>
        </w:numPr>
        <w:ind w:hanging="0" w:left="284"/>
        <w:rPr/>
      </w:pPr>
      <w:bookmarkStart w:id="30" w:name="_Ref143509900"/>
      <w:r>
        <w:rPr/>
        <w:t>dar causa à inexecução parcial do contrato;</w:t>
      </w:r>
      <w:bookmarkEnd w:id="30"/>
    </w:p>
    <w:p>
      <w:pPr>
        <w:pStyle w:val="Nivel3"/>
        <w:numPr>
          <w:ilvl w:val="2"/>
          <w:numId w:val="1"/>
        </w:numPr>
        <w:ind w:hanging="0" w:left="284"/>
        <w:rPr/>
      </w:pPr>
      <w:bookmarkStart w:id="31" w:name="_Ref143510015"/>
      <w:r>
        <w:rPr/>
        <w:t>dar causa à inexecução parcial do contrato que cause grave dano à Administração, ao funcionamento dos serviços públicos ou ao interesse coletivo;</w:t>
      </w:r>
      <w:bookmarkEnd w:id="31"/>
    </w:p>
    <w:p>
      <w:pPr>
        <w:pStyle w:val="Nivel3"/>
        <w:numPr>
          <w:ilvl w:val="2"/>
          <w:numId w:val="1"/>
        </w:numPr>
        <w:ind w:hanging="0" w:left="284"/>
        <w:rPr/>
      </w:pPr>
      <w:r>
        <w:rPr/>
        <w:t>dar causa à inexecução total do contrato;</w:t>
      </w:r>
    </w:p>
    <w:p>
      <w:pPr>
        <w:pStyle w:val="Nivel3"/>
        <w:numPr>
          <w:ilvl w:val="2"/>
          <w:numId w:val="1"/>
        </w:numPr>
        <w:ind w:hanging="0" w:left="284"/>
        <w:rPr/>
      </w:pPr>
      <w:r>
        <w:rPr/>
        <w:t>deixar de entregar a documentação exigida para o certame;</w:t>
      </w:r>
    </w:p>
    <w:p>
      <w:pPr>
        <w:pStyle w:val="Nivel3"/>
        <w:numPr>
          <w:ilvl w:val="2"/>
          <w:numId w:val="1"/>
        </w:numPr>
        <w:ind w:hanging="0" w:left="284"/>
        <w:rPr/>
      </w:pPr>
      <w:r>
        <w:rPr/>
        <w:t>não manter a proposta, salvo em decorrência de fato superveniente devidamente justificado;</w:t>
      </w:r>
    </w:p>
    <w:p>
      <w:pPr>
        <w:pStyle w:val="Nivel3"/>
        <w:numPr>
          <w:ilvl w:val="2"/>
          <w:numId w:val="1"/>
        </w:numPr>
        <w:ind w:hanging="0" w:left="284"/>
        <w:rPr/>
      </w:pPr>
      <w:r>
        <w:rPr/>
        <w:t>não celebrar o contrato ou não entregar a documentação exigida para a contratação, quando convocado dentro do prazo de validade de sua proposta;</w:t>
      </w:r>
    </w:p>
    <w:p>
      <w:pPr>
        <w:pStyle w:val="Nivel3"/>
        <w:numPr>
          <w:ilvl w:val="2"/>
          <w:numId w:val="1"/>
        </w:numPr>
        <w:ind w:hanging="0" w:left="284"/>
        <w:rPr/>
      </w:pPr>
      <w:r>
        <w:rPr/>
        <w:t> </w:t>
      </w:r>
      <w:bookmarkStart w:id="32" w:name="_Ref143510046"/>
      <w:r>
        <w:rPr/>
        <w:t>ensejar o retardamento da execução ou da entrega do objeto da contratação direta sem motivo justificado;</w:t>
      </w:r>
      <w:bookmarkEnd w:id="32"/>
    </w:p>
    <w:p>
      <w:pPr>
        <w:pStyle w:val="Nivel3"/>
        <w:numPr>
          <w:ilvl w:val="2"/>
          <w:numId w:val="1"/>
        </w:numPr>
        <w:ind w:hanging="0" w:left="284"/>
        <w:rPr/>
      </w:pPr>
      <w:bookmarkStart w:id="33" w:name="_Ref143510088"/>
      <w:r>
        <w:rPr/>
        <w:t>apresentar declaração ou documentação falsa exigida para o certame ou prestar declaração falsa durante a dispensa eletrônica ou a execução do contrato;</w:t>
      </w:r>
      <w:bookmarkEnd w:id="33"/>
    </w:p>
    <w:p>
      <w:pPr>
        <w:pStyle w:val="Nivel3"/>
        <w:numPr>
          <w:ilvl w:val="2"/>
          <w:numId w:val="1"/>
        </w:numPr>
        <w:ind w:hanging="0" w:left="284"/>
        <w:rPr/>
      </w:pPr>
      <w:r>
        <w:rPr/>
        <w:t>fraudar a dispensa eletrônica ou praticar ato fraudulento na execução do contrato;</w:t>
      </w:r>
    </w:p>
    <w:p>
      <w:pPr>
        <w:pStyle w:val="Nivel3"/>
        <w:numPr>
          <w:ilvl w:val="2"/>
          <w:numId w:val="1"/>
        </w:numPr>
        <w:ind w:hanging="0" w:left="284"/>
        <w:rPr/>
      </w:pPr>
      <w:r>
        <w:rPr/>
        <w:t>comportar-se de modo inidôneo ou cometer fraude de qualquer natureza;</w:t>
      </w:r>
    </w:p>
    <w:p>
      <w:pPr>
        <w:pStyle w:val="Nivel4"/>
        <w:numPr>
          <w:ilvl w:val="3"/>
          <w:numId w:val="1"/>
        </w:numPr>
        <w:ind w:hanging="0" w:left="567"/>
        <w:rPr/>
      </w:pPr>
      <w:r>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ivel3"/>
        <w:numPr>
          <w:ilvl w:val="2"/>
          <w:numId w:val="1"/>
        </w:numPr>
        <w:ind w:hanging="0" w:left="284"/>
        <w:rPr/>
      </w:pPr>
      <w:r>
        <w:rPr/>
        <w:t>praticar atos ilícitos com vistas a frustrar os objetivos deste certame; e</w:t>
      </w:r>
    </w:p>
    <w:p>
      <w:pPr>
        <w:pStyle w:val="Nivel3"/>
        <w:numPr>
          <w:ilvl w:val="2"/>
          <w:numId w:val="1"/>
        </w:numPr>
        <w:ind w:hanging="0" w:left="284"/>
        <w:rPr>
          <w:rStyle w:val="Hyperlink"/>
          <w:color w:val="auto"/>
          <w:u w:val="none"/>
        </w:rPr>
      </w:pPr>
      <w:bookmarkStart w:id="34" w:name="_Ref143509952"/>
      <w:bookmarkEnd w:id="34"/>
      <w:r>
        <w:rPr/>
        <w:t>praticar ato lesivo previsto no </w:t>
      </w:r>
      <w:r>
        <w:fldChar w:fldCharType="begin"/>
      </w:r>
      <w:r>
        <w:rPr>
          <w:rStyle w:val="Hyperlink"/>
          <w:u w:val="none"/>
          <w:color w:themeColor="hyperlink" w:val="auto"/>
        </w:rPr>
        <w:instrText xml:space="preserve"> HYPERLINK "http://www.planalto.gov.br/ccivil_03/_ato2019-2022/2021/lei/L14133.htm" \l "art5"</w:instrText>
      </w:r>
      <w:r>
        <w:rPr>
          <w:rStyle w:val="Hyperlink"/>
          <w:u w:val="none"/>
          <w:color w:themeColor="hyperlink" w:val="auto"/>
        </w:rPr>
        <w:fldChar w:fldCharType="separate"/>
      </w:r>
      <w:r>
        <w:rPr>
          <w:rStyle w:val="Hyperlink"/>
          <w:color w:themeColor="hyperlink" w:val="auto"/>
          <w:u w:val="none"/>
        </w:rPr>
        <w:t>art. 5º da Lei nº 12.846, de 1º de agosto de 2013.</w:t>
      </w:r>
      <w:r>
        <w:rPr>
          <w:rStyle w:val="Hyperlink"/>
          <w:u w:val="none"/>
          <w:color w:themeColor="hyperlink" w:val="auto"/>
        </w:rPr>
        <w:fldChar w:fldCharType="end"/>
      </w:r>
    </w:p>
    <w:p>
      <w:pPr>
        <w:pStyle w:val="Nivel3"/>
        <w:numPr>
          <w:ilvl w:val="2"/>
          <w:numId w:val="1"/>
        </w:numPr>
        <w:ind w:hanging="0" w:left="284"/>
        <w:rPr>
          <w:b/>
        </w:rPr>
      </w:pPr>
      <w:r>
        <w:fldChar w:fldCharType="begin"/>
      </w:r>
      <w:r>
        <w:rPr>
          <w:rStyle w:val="ListLabel4"/>
        </w:rPr>
        <w:instrText xml:space="preserve"> HYPERLINK "http://www.planalto.gov.br/ccivil_03/_ato2019-2022/2021/lei/L14133.htm" \l "art5"</w:instrText>
      </w:r>
      <w:r>
        <w:rPr>
          <w:rStyle w:val="ListLabel4"/>
        </w:rPr>
        <w:fldChar w:fldCharType="separate"/>
      </w:r>
      <w:bookmarkStart w:id="35" w:name="_Ref143509952_Copia_1"/>
      <w:bookmarkEnd w:id="35"/>
      <w:r>
        <w:rPr>
          <w:rStyle w:val="ListLabel4"/>
        </w:rPr>
        <w:t>O fornecedor que cometer qualquer das infrações discriminadas nos subitens anteriores ficará sujeito, sem prejuízo da responsabilidade civil e criminal, às seguintes sanções:</w:t>
      </w:r>
      <w:r>
        <w:rPr>
          <w:rStyle w:val="ListLabel4"/>
        </w:rPr>
        <w:fldChar w:fldCharType="end"/>
      </w:r>
    </w:p>
    <w:p>
      <w:pPr>
        <w:pStyle w:val="Nivel3"/>
        <w:numPr>
          <w:ilvl w:val="2"/>
          <w:numId w:val="1"/>
        </w:numPr>
        <w:ind w:hanging="0" w:left="284"/>
        <w:rPr>
          <w:bCs/>
          <w:i/>
          <w:i/>
          <w:iCs/>
        </w:rPr>
      </w:pPr>
      <w:bookmarkStart w:id="36" w:name="_Hlk196926862"/>
      <w:r>
        <w:rPr/>
        <w:t xml:space="preserve">Advertência pela falta do subitem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deste Aviso de Contratação Direta, quando não se justificar a imposição de penalidade mais grave;</w:t>
      </w:r>
      <w:bookmarkEnd w:id="36"/>
    </w:p>
    <w:p>
      <w:pPr>
        <w:pStyle w:val="Nivel3"/>
        <w:numPr>
          <w:ilvl w:val="2"/>
          <w:numId w:val="1"/>
        </w:numPr>
        <w:ind w:hanging="0" w:left="284"/>
        <w:rPr>
          <w:i/>
          <w:i/>
          <w:iCs/>
        </w:rPr>
      </w:pPr>
      <w:r>
        <w:rPr/>
        <w:t xml:space="preserve">Multa de 30 % (..... por cento) sobre o valor estimado do(s) item(s) prejudicado(s) pela conduta do fornecedor, por qualquer das infrações dos subitens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w:t>
      </w:r>
    </w:p>
    <w:p>
      <w:pPr>
        <w:pStyle w:val="Nivel3"/>
        <w:numPr>
          <w:ilvl w:val="2"/>
          <w:numId w:val="1"/>
        </w:numPr>
        <w:ind w:hanging="0" w:left="284"/>
        <w:rPr>
          <w:i/>
          <w:i/>
          <w:iCs/>
        </w:rPr>
      </w:pPr>
      <w:r>
        <w:rPr/>
        <w:t xml:space="preserve">Impedimento de licitar e contratar no âmbito da Administração Pública direta e indireta do ente federativo que tiver aplicado a sanção, pelo prazo máximo de 3 (três) anos, nos casos dos subitens </w:t>
      </w:r>
      <w:r>
        <w:rPr>
          <w:i/>
          <w:iCs/>
        </w:rPr>
        <w:fldChar w:fldCharType="begin"/>
      </w:r>
      <w:r>
        <w:rPr>
          <w:i/>
          <w:iCs/>
        </w:rPr>
        <w:instrText xml:space="preserve"> REF _Ref143510015 \r \r \h </w:instrText>
      </w:r>
      <w:r>
        <w:rPr>
          <w:i/>
          <w:iCs/>
        </w:rPr>
        <w:fldChar w:fldCharType="separate"/>
      </w:r>
      <w:r>
        <w:rPr>
          <w:i/>
          <w:iCs/>
        </w:rPr>
        <w:t>11.1.2</w:t>
      </w:r>
      <w:r>
        <w:rPr>
          <w:i/>
          <w:iCs/>
        </w:rPr>
        <w:fldChar w:fldCharType="end"/>
      </w:r>
      <w:r>
        <w:rPr/>
        <w:t xml:space="preserve"> a </w:t>
      </w:r>
      <w:r>
        <w:rPr>
          <w:i/>
          <w:iCs/>
        </w:rPr>
        <w:fldChar w:fldCharType="begin"/>
      </w:r>
      <w:r>
        <w:rPr>
          <w:i/>
          <w:iCs/>
        </w:rPr>
        <w:instrText xml:space="preserve"> REF _Ref143510046 \r \r \h </w:instrText>
      </w:r>
      <w:r>
        <w:rPr>
          <w:i/>
          <w:iCs/>
        </w:rPr>
        <w:fldChar w:fldCharType="separate"/>
      </w:r>
      <w:r>
        <w:rPr>
          <w:i/>
          <w:iCs/>
        </w:rPr>
        <w:t>11.1.7</w:t>
      </w:r>
      <w:r>
        <w:rPr>
          <w:i/>
          <w:iCs/>
        </w:rPr>
        <w:fldChar w:fldCharType="end"/>
      </w:r>
      <w:r>
        <w:rPr/>
        <w:t xml:space="preserve"> deste Aviso de Contratação Direta, quando não se justificar a imposição de penalidade mais grave;</w:t>
      </w:r>
    </w:p>
    <w:p>
      <w:pPr>
        <w:pStyle w:val="Nivel3"/>
        <w:numPr>
          <w:ilvl w:val="2"/>
          <w:numId w:val="1"/>
        </w:numPr>
        <w:ind w:hanging="0" w:left="284"/>
        <w:rPr>
          <w:i/>
          <w:i/>
          <w:iCs/>
        </w:rPr>
      </w:pPr>
      <w:r>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i/>
          <w:iCs/>
        </w:rPr>
        <w:fldChar w:fldCharType="begin"/>
      </w:r>
      <w:r>
        <w:rPr>
          <w:i/>
          <w:iCs/>
        </w:rPr>
        <w:instrText xml:space="preserve"> REF _Ref143510088 \r \r \h </w:instrText>
      </w:r>
      <w:r>
        <w:rPr>
          <w:i/>
          <w:iCs/>
        </w:rPr>
        <w:fldChar w:fldCharType="separate"/>
      </w:r>
      <w:r>
        <w:rPr>
          <w:i/>
          <w:iCs/>
        </w:rPr>
        <w:t>11.1.8</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 bem como nos demais casos que justifiquem a imposição da penalidade mais grave.</w:t>
      </w:r>
    </w:p>
    <w:p>
      <w:pPr>
        <w:pStyle w:val="Normal"/>
        <w:numPr>
          <w:ilvl w:val="1"/>
          <w:numId w:val="1"/>
        </w:numPr>
        <w:spacing w:lineRule="auto" w:line="276" w:before="120" w:after="120"/>
        <w:ind w:hanging="0" w:left="425"/>
        <w:jc w:val="both"/>
        <w:rPr>
          <w:rFonts w:cs="Arial"/>
          <w:bCs/>
          <w:strike/>
        </w:rPr>
      </w:pPr>
      <w:r>
        <w:rPr>
          <w:rFonts w:cs="Arial"/>
          <w:bCs/>
        </w:rPr>
        <w:t>A aplicação das sanções previstas neste Aviso de Contratação Direta não exclui, em hipótese alguma, a obrigação de reparação integral do dano causado à Contratante.</w:t>
      </w:r>
    </w:p>
    <w:p>
      <w:pPr>
        <w:pStyle w:val="Normal"/>
        <w:numPr>
          <w:ilvl w:val="1"/>
          <w:numId w:val="1"/>
        </w:numPr>
        <w:spacing w:lineRule="auto" w:line="276" w:before="120" w:after="120"/>
        <w:ind w:hanging="0" w:left="425"/>
        <w:jc w:val="both"/>
        <w:rPr>
          <w:rFonts w:cs="Arial"/>
          <w:bCs/>
        </w:rPr>
      </w:pPr>
      <w:r>
        <w:rPr>
          <w:rFonts w:cs="Arial"/>
          <w:bCs/>
        </w:rPr>
        <w:t>Todas as sanções previstas neste Aviso poderão ser aplicadas cumulativamente com a multa.</w:t>
      </w:r>
    </w:p>
    <w:p>
      <w:pPr>
        <w:pStyle w:val="Nivel2"/>
        <w:numPr>
          <w:ilvl w:val="1"/>
          <w:numId w:val="1"/>
        </w:numPr>
        <w:ind w:hanging="0" w:left="0"/>
        <w:rPr>
          <w:strike/>
        </w:rPr>
      </w:pPr>
      <w:r>
        <w:rPr/>
        <w:t>Antes da aplicação da multa, será facultada a defesa do interessado no prazo de 15 (quinze) dias úteis, contado da data de sua intimação.</w:t>
      </w:r>
    </w:p>
    <w:p>
      <w:pPr>
        <w:pStyle w:val="Nivel2"/>
        <w:numPr>
          <w:ilvl w:val="1"/>
          <w:numId w:val="1"/>
        </w:numPr>
        <w:ind w:hanging="0" w:left="0"/>
        <w:rPr>
          <w:strike/>
        </w:rPr>
      </w:pPr>
      <w:r>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ivel2"/>
        <w:numPr>
          <w:ilvl w:val="1"/>
          <w:numId w:val="1"/>
        </w:numPr>
        <w:ind w:hanging="0" w:left="0"/>
        <w:rPr/>
      </w:pPr>
      <w:r>
        <w:rPr/>
        <w:t xml:space="preserve">Previamente ao encaminhamento à cobrança judicial, a multa poderá ser recolhida administrativamente no prazo máximo de </w:t>
      </w:r>
      <w:r>
        <w:rPr>
          <w:rFonts w:eastAsia="Arial"/>
          <w:b/>
          <w:color w:val="111111"/>
          <w:shd w:fill="CCCCCC" w:val="clear"/>
        </w:rPr>
        <w:t>30</w:t>
      </w:r>
      <w:r>
        <w:rPr>
          <w:rFonts w:eastAsia="Arial"/>
          <w:color w:val="111111"/>
          <w:shd w:fill="CCCCCC" w:val="clear"/>
        </w:rPr>
        <w:t xml:space="preserve"> (</w:t>
      </w:r>
      <w:r>
        <w:rPr>
          <w:rFonts w:eastAsia="Arial"/>
          <w:b/>
          <w:color w:val="111111"/>
          <w:shd w:fill="CCCCCC" w:val="clear"/>
        </w:rPr>
        <w:t>trinta</w:t>
      </w:r>
      <w:r>
        <w:rPr>
          <w:rFonts w:eastAsia="Arial"/>
        </w:rPr>
        <w:t>)</w:t>
      </w:r>
      <w:r>
        <w:rPr>
          <w:iCs/>
        </w:rPr>
        <w:t xml:space="preserve"> dias</w:t>
      </w:r>
      <w:r>
        <w:rPr/>
        <w:t>, a contar da data do recebimento da comunicação enviada pela autoridade competente.</w:t>
      </w:r>
      <w:bookmarkStart w:id="37" w:name="_Hlk78351618"/>
      <w:bookmarkEnd w:id="37"/>
    </w:p>
    <w:p>
      <w:pPr>
        <w:pStyle w:val="Nivel2"/>
        <w:numPr>
          <w:ilvl w:val="1"/>
          <w:numId w:val="1"/>
        </w:numPr>
        <w:ind w:hanging="0" w:left="0"/>
        <w:rPr/>
      </w:pPr>
      <w:r>
        <w:rPr/>
        <w:t>A aplicação das sanções realizar-se-á em processo administrativo que assegure o contraditório e a ampla defesa ao Contratado, observando-se o procedimento previsto no caput</w:t>
      </w:r>
      <w:r>
        <w:rPr>
          <w:b/>
        </w:rPr>
        <w:t xml:space="preserve"> </w:t>
      </w:r>
      <w:r>
        <w:rPr/>
        <w:t xml:space="preserve">e parágrafos do </w:t>
      </w:r>
      <w:r>
        <w:fldChar w:fldCharType="begin"/>
      </w:r>
      <w:r>
        <w:rPr>
          <w:rStyle w:val="Hyperlink"/>
          <w:u w:val="none"/>
          <w:color w:themeColor="hyperlink" w:val="auto"/>
        </w:rPr>
        <w:instrText xml:space="preserve"> HYPERLINK "http://www.planalto.gov.br/ccivil_03/_ato2019-2022/2021/lei/L14133.htm" \l "art158"</w:instrText>
      </w:r>
      <w:r>
        <w:rPr>
          <w:rStyle w:val="Hyperlink"/>
          <w:u w:val="none"/>
          <w:color w:themeColor="hyperlink" w:val="auto"/>
        </w:rPr>
        <w:fldChar w:fldCharType="separate"/>
      </w:r>
      <w:r>
        <w:rPr>
          <w:rStyle w:val="Hyperlink"/>
          <w:color w:themeColor="hyperlink" w:val="auto"/>
          <w:u w:val="none"/>
        </w:rPr>
        <w:t>art. 158 da Lei nº 14.133, de 2021</w:t>
      </w:r>
      <w:r>
        <w:rPr>
          <w:rStyle w:val="Hyperlink"/>
          <w:u w:val="none"/>
          <w:color w:themeColor="hyperlink" w:val="auto"/>
        </w:rPr>
        <w:fldChar w:fldCharType="end"/>
      </w:r>
      <w:r>
        <w:rPr/>
        <w:t>, para as penalidades de impedimento de licitar e contratar e de declaração de inidoneidade para licitar ou contratar.</w:t>
      </w:r>
    </w:p>
    <w:p>
      <w:pPr>
        <w:pStyle w:val="Nivel2"/>
        <w:numPr>
          <w:ilvl w:val="1"/>
          <w:numId w:val="1"/>
        </w:numPr>
        <w:ind w:hanging="0" w:left="0"/>
        <w:rPr/>
      </w:pPr>
      <w:r>
        <w:rPr/>
        <w:t>Na aplicação das sanções serão considerados:</w:t>
      </w:r>
    </w:p>
    <w:p>
      <w:pPr>
        <w:pStyle w:val="Nivel3"/>
        <w:numPr>
          <w:ilvl w:val="2"/>
          <w:numId w:val="1"/>
        </w:numPr>
        <w:ind w:hanging="0" w:left="284"/>
        <w:rPr>
          <w:i/>
          <w:i/>
          <w:iCs/>
        </w:rPr>
      </w:pPr>
      <w:r>
        <w:rPr/>
        <w:t>a natureza e a gravidade da infração cometida;</w:t>
      </w:r>
    </w:p>
    <w:p>
      <w:pPr>
        <w:pStyle w:val="Nivel3"/>
        <w:numPr>
          <w:ilvl w:val="2"/>
          <w:numId w:val="1"/>
        </w:numPr>
        <w:ind w:hanging="0" w:left="284"/>
        <w:rPr>
          <w:i/>
          <w:i/>
          <w:iCs/>
        </w:rPr>
      </w:pPr>
      <w:r>
        <w:rPr/>
        <w:t>as peculiaridades do caso concreto;</w:t>
      </w:r>
    </w:p>
    <w:p>
      <w:pPr>
        <w:pStyle w:val="Nivel3"/>
        <w:numPr>
          <w:ilvl w:val="2"/>
          <w:numId w:val="1"/>
        </w:numPr>
        <w:ind w:hanging="0" w:left="284"/>
        <w:rPr>
          <w:i/>
          <w:i/>
          <w:iCs/>
        </w:rPr>
      </w:pPr>
      <w:r>
        <w:rPr/>
        <w:t>as circunstâncias agravantes ou atenuantes;</w:t>
      </w:r>
    </w:p>
    <w:p>
      <w:pPr>
        <w:pStyle w:val="Nivel3"/>
        <w:numPr>
          <w:ilvl w:val="2"/>
          <w:numId w:val="1"/>
        </w:numPr>
        <w:ind w:hanging="0" w:left="284"/>
        <w:rPr>
          <w:i/>
          <w:i/>
          <w:iCs/>
        </w:rPr>
      </w:pPr>
      <w:r>
        <w:rPr/>
        <w:t>os danos que dela provierem para o Contratante; e</w:t>
      </w:r>
    </w:p>
    <w:p>
      <w:pPr>
        <w:pStyle w:val="Nivel3"/>
        <w:numPr>
          <w:ilvl w:val="2"/>
          <w:numId w:val="1"/>
        </w:numPr>
        <w:ind w:hanging="0" w:left="284"/>
        <w:rPr>
          <w:i/>
          <w:i/>
          <w:iCs/>
        </w:rPr>
      </w:pPr>
      <w:r>
        <w:rPr/>
        <w:t>a implantação ou o aperfeiçoamento de programa de integridade, conforme normas e orientações dos órgãos de controle.</w:t>
      </w:r>
    </w:p>
    <w:p>
      <w:pPr>
        <w:pStyle w:val="Nivel2"/>
        <w:numPr>
          <w:ilvl w:val="1"/>
          <w:numId w:val="1"/>
        </w:numPr>
        <w:ind w:hanging="0" w:left="0"/>
        <w:rPr>
          <w:strike/>
        </w:rPr>
      </w:pPr>
      <w:r>
        <w:rPr/>
        <w:t xml:space="preserve">Os atos previstos como infrações administrativas na </w:t>
      </w:r>
      <w:hyperlink r:id="rId9">
        <w:r>
          <w:rPr>
            <w:rStyle w:val="Hyperlink"/>
            <w:color w:val="auto"/>
            <w:u w:val="none"/>
          </w:rPr>
          <w:t>Lei nº 14.133, de 2021</w:t>
        </w:r>
      </w:hyperlink>
      <w:r>
        <w:rPr/>
        <w:t xml:space="preserve">, ou em outras leis de licitações e contratos da Administração Pública que também sejam tipificados como atos lesivos na </w:t>
      </w:r>
      <w:hyperlink r:id="rId10">
        <w:r>
          <w:rPr>
            <w:rStyle w:val="Hyperlink"/>
            <w:color w:val="auto"/>
            <w:u w:val="none"/>
          </w:rPr>
          <w:t>Lei nº 12.846, de 1º de agosto de 2013</w:t>
        </w:r>
      </w:hyperlink>
      <w:r>
        <w:rPr/>
        <w:t>, serão apurados e julgados conjuntamente, nos mesmos autos, observados o rito procedimental e autoridade competente definidos na referida Lei.</w:t>
      </w:r>
    </w:p>
    <w:p>
      <w:pPr>
        <w:pStyle w:val="Nivel2"/>
        <w:numPr>
          <w:ilvl w:val="1"/>
          <w:numId w:val="1"/>
        </w:numPr>
        <w:ind w:hanging="0" w:left="0"/>
        <w:rPr>
          <w:i/>
          <w:i/>
          <w:strike/>
          <w:color w:themeColor="accent6" w:val="70AD47"/>
        </w:rPr>
      </w:pPr>
      <w: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ivel2"/>
        <w:numPr>
          <w:ilvl w:val="1"/>
          <w:numId w:val="1"/>
        </w:numPr>
        <w:ind w:hanging="0" w:left="0"/>
        <w:rPr>
          <w:i/>
          <w:i/>
        </w:rPr>
      </w:pPr>
      <w:r>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pPr>
        <w:pStyle w:val="Nivel2"/>
        <w:numPr>
          <w:ilvl w:val="1"/>
          <w:numId w:val="1"/>
        </w:numPr>
        <w:ind w:hanging="0" w:left="0"/>
        <w:rPr>
          <w:i/>
          <w:i/>
        </w:rPr>
      </w:pPr>
      <w:r>
        <w:rPr/>
        <w:t xml:space="preserve">As sanções de impedimento de licitar e contratar e declaração de inidoneidade para licitar ou contratar são passíveis de reabilitação na forma do </w:t>
      </w:r>
      <w:r>
        <w:fldChar w:fldCharType="begin"/>
      </w:r>
      <w:r>
        <w:rPr>
          <w:rStyle w:val="Hyperlink"/>
          <w:u w:val="none"/>
          <w:color w:themeColor="hyperlink" w:val="auto"/>
        </w:rPr>
        <w:instrText xml:space="preserve"> HYPERLINK "http://www.planalto.gov.br/ccivil_03/_ato2019-2022/2021/lei/L14133.htm" \l "art163"</w:instrText>
      </w:r>
      <w:r>
        <w:rPr>
          <w:rStyle w:val="Hyperlink"/>
          <w:u w:val="none"/>
          <w:color w:themeColor="hyperlink" w:val="auto"/>
        </w:rPr>
        <w:fldChar w:fldCharType="separate"/>
      </w:r>
      <w:r>
        <w:rPr>
          <w:rStyle w:val="Hyperlink"/>
          <w:color w:themeColor="hyperlink" w:val="auto"/>
          <w:u w:val="none"/>
        </w:rPr>
        <w:t>art. 163 da Lei nº 14.133, de 2021.</w:t>
      </w:r>
      <w:r>
        <w:rPr>
          <w:rStyle w:val="Hyperlink"/>
          <w:u w:val="none"/>
          <w:color w:themeColor="hyperlink" w:val="auto"/>
        </w:rPr>
        <w:fldChar w:fldCharType="end"/>
      </w:r>
    </w:p>
    <w:p>
      <w:pPr>
        <w:pStyle w:val="Nivel2"/>
        <w:numPr>
          <w:ilvl w:val="1"/>
          <w:numId w:val="1"/>
        </w:numPr>
        <w:ind w:hanging="0" w:left="0"/>
        <w:rPr/>
      </w:pPr>
      <w:r>
        <w:rPr/>
        <w:t>As sanções por atos praticados no decorrer da contratação estão previstas nos anexos a este Aviso.</w:t>
      </w:r>
    </w:p>
    <w:p>
      <w:pPr>
        <w:pStyle w:val="Nivel01"/>
        <w:numPr>
          <w:ilvl w:val="0"/>
          <w:numId w:val="1"/>
        </w:numPr>
        <w:spacing w:before="288" w:after="288"/>
        <w:ind w:hanging="357" w:left="357"/>
        <w:rPr/>
      </w:pPr>
      <w:bookmarkStart w:id="38" w:name="_Toc226962648"/>
      <w:bookmarkStart w:id="39" w:name="_Toc142925871"/>
      <w:r>
        <w:rPr/>
        <w:t>DAS DISPOSIÇÕES GERAIS</w:t>
      </w:r>
      <w:bookmarkEnd w:id="38"/>
      <w:bookmarkEnd w:id="39"/>
    </w:p>
    <w:p>
      <w:pPr>
        <w:pStyle w:val="Nivel2"/>
        <w:numPr>
          <w:ilvl w:val="1"/>
          <w:numId w:val="1"/>
        </w:numPr>
        <w:ind w:hanging="0" w:left="0"/>
        <w:rPr/>
      </w:pPr>
      <w:r>
        <w:rPr/>
        <w:t>No caso de todos os fornecedores restarem desclassificados ou inabilitados (procedimento fracassado), a Administração poderá:</w:t>
      </w:r>
    </w:p>
    <w:p>
      <w:pPr>
        <w:pStyle w:val="Nivel3"/>
        <w:numPr>
          <w:ilvl w:val="2"/>
          <w:numId w:val="1"/>
        </w:numPr>
        <w:ind w:hanging="0" w:left="284"/>
        <w:rPr/>
      </w:pPr>
      <w:bookmarkStart w:id="40" w:name="_Ref143510170"/>
      <w:r>
        <w:rPr/>
        <w:t>republicar o presente Aviso com uma nova data;</w:t>
      </w:r>
      <w:bookmarkEnd w:id="40"/>
    </w:p>
    <w:p>
      <w:pPr>
        <w:pStyle w:val="Nivel3"/>
        <w:numPr>
          <w:ilvl w:val="2"/>
          <w:numId w:val="1"/>
        </w:numPr>
        <w:ind w:hanging="0" w:left="284"/>
        <w:rPr/>
      </w:pPr>
      <w:bookmarkStart w:id="41" w:name="_Ref143510198"/>
      <w:r>
        <w:rPr/>
        <w:t>valer-se, para a contratação, de proposta obtida na pesquisa de preços que serviu de base ao procedimento, se houver, privilegiando-se os menores preços, sempre que possível, e desde que atendidas às condições de habilitação exigidas</w:t>
      </w:r>
      <w:bookmarkEnd w:id="41"/>
      <w:r>
        <w:rPr/>
        <w:t>;</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ivel4"/>
        <w:numPr>
          <w:ilvl w:val="3"/>
          <w:numId w:val="1"/>
        </w:numPr>
        <w:ind w:hanging="0" w:left="567"/>
        <w:rPr/>
      </w:pPr>
      <w:r>
        <w:rPr/>
        <w:t>fixar prazo para que possa haver adequação das propostas ou da documentação de habilitação, conforme o caso.</w:t>
      </w:r>
    </w:p>
    <w:p>
      <w:pPr>
        <w:pStyle w:val="Nivel2"/>
        <w:numPr>
          <w:ilvl w:val="1"/>
          <w:numId w:val="1"/>
        </w:numPr>
        <w:ind w:hanging="0" w:left="0"/>
        <w:rPr/>
      </w:pPr>
      <w:r>
        <w:rPr/>
        <w:t xml:space="preserve">As providências dos subitens </w:t>
      </w:r>
      <w:r>
        <w:rPr/>
        <w:fldChar w:fldCharType="begin"/>
      </w:r>
      <w:r>
        <w:rPr/>
        <w:instrText xml:space="preserve"> REF _Ref143510170 \r \r \h </w:instrText>
      </w:r>
      <w:r>
        <w:rPr/>
        <w:fldChar w:fldCharType="separate"/>
      </w:r>
      <w:r>
        <w:rPr/>
        <w:t>12.1.1</w:t>
      </w:r>
      <w:r>
        <w:rPr/>
        <w:fldChar w:fldCharType="end"/>
      </w:r>
      <w:r>
        <w:rPr/>
        <w:t xml:space="preserve">  e </w:t>
      </w:r>
      <w:r>
        <w:rPr/>
        <w:fldChar w:fldCharType="begin"/>
      </w:r>
      <w:r>
        <w:rPr/>
        <w:instrText xml:space="preserve"> REF _Ref143510198 \r \r \h </w:instrText>
      </w:r>
      <w:r>
        <w:rPr/>
        <w:fldChar w:fldCharType="separate"/>
      </w:r>
      <w:r>
        <w:rPr/>
        <w:t>12.1.2</w:t>
      </w:r>
      <w:r>
        <w:rPr/>
        <w:fldChar w:fldCharType="end"/>
      </w:r>
      <w:r>
        <w:rPr/>
        <w:t xml:space="preserve"> também poderão ser utilizadas se não houver o comparecimento de quaisquer fornecedores interessados (procedimento deserto).</w:t>
      </w:r>
    </w:p>
    <w:p>
      <w:pPr>
        <w:pStyle w:val="Nivel2"/>
        <w:numPr>
          <w:ilvl w:val="1"/>
          <w:numId w:val="1"/>
        </w:numPr>
        <w:ind w:hanging="0" w:left="0"/>
        <w:rPr/>
      </w:pPr>
      <w:r>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ivel2"/>
        <w:numPr>
          <w:ilvl w:val="1"/>
          <w:numId w:val="1"/>
        </w:numPr>
        <w:ind w:hanging="0" w:left="0"/>
        <w:rPr/>
      </w:pPr>
      <w:r>
        <w:rPr/>
        <w:t>Caberá ao fornecedor acompanhar as operações, ficando responsável pelo ônus decorrente da perda do negócio diante da inobservância de quaisquer mensagens emitidas pela Administração ou de sua desconexão.</w:t>
      </w:r>
    </w:p>
    <w:p>
      <w:pPr>
        <w:pStyle w:val="Nivel2"/>
        <w:numPr>
          <w:ilvl w:val="1"/>
          <w:numId w:val="1"/>
        </w:numPr>
        <w:ind w:hanging="0" w:left="0"/>
        <w:rPr/>
      </w:pPr>
      <w: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ivel2"/>
        <w:numPr>
          <w:ilvl w:val="1"/>
          <w:numId w:val="1"/>
        </w:numPr>
        <w:ind w:hanging="0" w:left="0"/>
        <w:rPr/>
      </w:pPr>
      <w:r>
        <w:rPr/>
        <w:t>Os horários estabelecidos na divulgação deste procedimento e durante o envio de lances observarão o horário de Brasília-DF, inclusive para contagem de tempo e registro no Sistema e na documentação relativa ao procedimento.</w:t>
      </w:r>
    </w:p>
    <w:p>
      <w:pPr>
        <w:pStyle w:val="Nivel2"/>
        <w:numPr>
          <w:ilvl w:val="1"/>
          <w:numId w:val="1"/>
        </w:numPr>
        <w:ind w:hanging="0" w:left="0"/>
        <w:rPr/>
      </w:pPr>
      <w: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ivel2"/>
        <w:numPr>
          <w:ilvl w:val="1"/>
          <w:numId w:val="1"/>
        </w:numPr>
        <w:ind w:hanging="0" w:left="0"/>
        <w:rPr/>
      </w:pPr>
      <w: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ind w:hanging="0" w:left="0"/>
        <w:rPr/>
      </w:pPr>
      <w:r>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ivel2"/>
        <w:numPr>
          <w:ilvl w:val="1"/>
          <w:numId w:val="1"/>
        </w:numPr>
        <w:ind w:hanging="0" w:left="0"/>
        <w:rPr/>
      </w:pPr>
      <w:r>
        <w:rPr/>
        <w:t>Em caso de divergência entre disposições deste Aviso de Contratação Direta e de seus anexos ou demais peças que compõem o processo, prevalecerá as deste Aviso.</w:t>
      </w:r>
    </w:p>
    <w:p>
      <w:pPr>
        <w:pStyle w:val="Nivel2"/>
        <w:numPr>
          <w:ilvl w:val="1"/>
          <w:numId w:val="1"/>
        </w:numPr>
        <w:ind w:hanging="0" w:left="0"/>
        <w:rPr/>
      </w:pPr>
      <w:r>
        <w:rPr/>
        <w:t>Da sessão pública será divulgada Ata no sistema eletrônico.</w:t>
      </w:r>
    </w:p>
    <w:p>
      <w:pPr>
        <w:pStyle w:val="Nivel2"/>
        <w:numPr>
          <w:ilvl w:val="1"/>
          <w:numId w:val="1"/>
        </w:numPr>
        <w:ind w:hanging="0" w:left="0"/>
        <w:rPr/>
      </w:pPr>
      <w:r>
        <w:rPr/>
        <w:t>Integram este Aviso de Contratação Direta, para todos os fins e efeitos, os seguintes anexos:</w:t>
      </w:r>
    </w:p>
    <w:p>
      <w:pPr>
        <w:pStyle w:val="Nivel3"/>
        <w:numPr>
          <w:ilvl w:val="2"/>
          <w:numId w:val="1"/>
        </w:numPr>
        <w:ind w:hanging="0" w:left="284"/>
        <w:rPr/>
      </w:pPr>
      <w:r>
        <w:rPr/>
        <w:t>ANEXO I – Termo de Referência</w:t>
      </w:r>
    </w:p>
    <w:p>
      <w:pPr>
        <w:pStyle w:val="Nivel4"/>
        <w:numPr>
          <w:ilvl w:val="3"/>
          <w:numId w:val="1"/>
        </w:numPr>
        <w:ind w:hanging="0" w:left="567"/>
        <w:rPr/>
      </w:pPr>
      <w:r>
        <w:rPr/>
        <w:t>Apêndice do Anexo I – Estudo Técnico Preliminar;</w:t>
      </w:r>
    </w:p>
    <w:p>
      <w:pPr>
        <w:pStyle w:val="Nvel3-R"/>
        <w:numPr>
          <w:ilvl w:val="2"/>
          <w:numId w:val="1"/>
        </w:numPr>
        <w:ind w:hanging="0" w:left="284"/>
        <w:rPr>
          <w:color w:val="111111"/>
          <w:highlight w:val="none"/>
          <w:shd w:fill="CCCCCC" w:val="clear"/>
        </w:rPr>
      </w:pPr>
      <w:r>
        <w:rPr>
          <w:color w:val="111111"/>
          <w:shd w:fill="CCCCCC" w:val="clear"/>
        </w:rPr>
        <w:t>ANEXO II – Minuta de Ata de Registro de Preços;</w:t>
      </w:r>
    </w:p>
    <w:p>
      <w:pPr>
        <w:pStyle w:val="Nivel2"/>
        <w:numPr>
          <w:ilvl w:val="0"/>
          <w:numId w:val="0"/>
        </w:numPr>
        <w:ind w:hanging="0" w:left="0"/>
        <w:rPr/>
      </w:pPr>
      <w:r>
        <w:rPr/>
      </w:r>
    </w:p>
    <w:p>
      <w:pPr>
        <w:pStyle w:val="Nivel2"/>
        <w:numPr>
          <w:ilvl w:val="1"/>
          <w:numId w:val="1"/>
        </w:numPr>
        <w:ind w:hanging="0" w:left="0"/>
        <w:rPr/>
      </w:pPr>
      <w:r>
        <w:rPr/>
        <w:t>Rio de Janeiro, 25 de maio de 2026.</w:t>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Heading1"/>
        <w:numPr>
          <w:ilvl w:val="0"/>
          <w:numId w:val="0"/>
        </w:numPr>
        <w:suppressAutoHyphens w:val="true"/>
        <w:spacing w:lineRule="auto" w:line="240" w:before="0" w:after="0"/>
        <w:ind w:hanging="0" w:left="360" w:right="0"/>
        <w:jc w:val="center"/>
        <w:rPr>
          <w:rFonts w:ascii="Calibri" w:hAnsi="Calibri" w:eastAsia="ＭＳ ゴシック" w:cs="Calibri"/>
          <w:b w:val="false"/>
          <w:bCs w:val="false"/>
          <w:i w:val="false"/>
          <w:i w:val="false"/>
          <w:iCs w:val="false"/>
          <w:color w:val="000000"/>
          <w:kern w:val="0"/>
          <w:sz w:val="24"/>
          <w:szCs w:val="24"/>
          <w:lang w:val="zxx" w:eastAsia="zxx" w:bidi="zxx"/>
        </w:rPr>
      </w:pPr>
      <w:r>
        <w:rPr>
          <w:rFonts w:eastAsia="ＭＳ ゴシック" w:cs="Calibri" w:ascii="Calibri" w:hAnsi="Calibri"/>
          <w:b w:val="false"/>
          <w:bCs w:val="false"/>
          <w:i w:val="false"/>
          <w:iCs w:val="false"/>
          <w:color w:val="000000"/>
          <w:kern w:val="0"/>
          <w:sz w:val="24"/>
          <w:szCs w:val="24"/>
          <w:lang w:val="zxx" w:eastAsia="zxx" w:bidi="zxx"/>
        </w:rPr>
        <w:t>RICARDO SILVA GUIMARÃES</w:t>
      </w:r>
    </w:p>
    <w:p>
      <w:pPr>
        <w:pStyle w:val="Heading1"/>
        <w:numPr>
          <w:ilvl w:val="0"/>
          <w:numId w:val="0"/>
        </w:numPr>
        <w:suppressAutoHyphens w:val="true"/>
        <w:spacing w:lineRule="auto" w:line="240" w:before="0" w:after="0"/>
        <w:ind w:hanging="0" w:left="360" w:right="0"/>
        <w:jc w:val="center"/>
        <w:rPr>
          <w:rFonts w:ascii="Calibri" w:hAnsi="Calibri" w:cs="Calibri"/>
          <w:b w:val="false"/>
          <w:bCs w:val="false"/>
          <w:i w:val="false"/>
          <w:i w:val="false"/>
          <w:iCs w:val="false"/>
          <w:color w:val="000000"/>
          <w:sz w:val="24"/>
          <w:szCs w:val="24"/>
          <w:lang w:val="zxx" w:eastAsia="zxx" w:bidi="zxx"/>
        </w:rPr>
      </w:pPr>
      <w:r>
        <w:rPr>
          <w:rFonts w:cs="Calibri" w:ascii="Calibri" w:hAnsi="Calibri"/>
          <w:b w:val="false"/>
          <w:bCs w:val="false"/>
          <w:i w:val="false"/>
          <w:iCs w:val="false"/>
          <w:color w:val="000000"/>
          <w:sz w:val="24"/>
          <w:szCs w:val="24"/>
          <w:lang w:val="zxx" w:eastAsia="zxx" w:bidi="zxx"/>
        </w:rPr>
        <w:t>Capitão de Mar e Guerra (Md)</w:t>
      </w:r>
    </w:p>
    <w:p>
      <w:pPr>
        <w:pStyle w:val="Heading1"/>
        <w:widowControl w:val="false"/>
        <w:numPr>
          <w:ilvl w:val="0"/>
          <w:numId w:val="0"/>
        </w:numPr>
        <w:suppressAutoHyphens w:val="true"/>
        <w:spacing w:lineRule="auto" w:line="240" w:before="0" w:after="0"/>
        <w:ind w:hanging="0" w:left="360" w:right="0"/>
        <w:jc w:val="center"/>
        <w:rPr>
          <w:rFonts w:ascii="Calibri" w:hAnsi="Calibri" w:eastAsia="Times New Roman" w:cs="Calibri"/>
          <w:b w:val="false"/>
          <w:bCs w:val="false"/>
          <w:i w:val="false"/>
          <w:i w:val="false"/>
          <w:iCs w:val="false"/>
          <w:strike w:val="false"/>
          <w:dstrike w:val="false"/>
          <w:color w:val="000000"/>
          <w:sz w:val="24"/>
          <w:szCs w:val="24"/>
          <w:u w:val="none"/>
          <w:lang w:val="en-US" w:eastAsia="pt-BR" w:bidi="zxx"/>
        </w:rPr>
      </w:pPr>
      <w:r>
        <w:rPr>
          <w:rFonts w:eastAsia="Times New Roman" w:cs="Calibri" w:ascii="Calibri" w:hAnsi="Calibri"/>
          <w:b w:val="false"/>
          <w:bCs w:val="false"/>
          <w:i w:val="false"/>
          <w:iCs w:val="false"/>
          <w:strike w:val="false"/>
          <w:dstrike w:val="false"/>
          <w:color w:val="000000"/>
          <w:sz w:val="24"/>
          <w:szCs w:val="24"/>
          <w:u w:val="none"/>
          <w:lang w:val="en-US" w:eastAsia="pt-BR" w:bidi="zxx"/>
        </w:rPr>
        <w:t>Ordenador de Despesas</w:t>
      </w:r>
    </w:p>
    <w:p>
      <w:pPr>
        <w:pStyle w:val="Heading1"/>
        <w:widowControl w:val="false"/>
        <w:numPr>
          <w:ilvl w:val="0"/>
          <w:numId w:val="0"/>
        </w:numPr>
        <w:suppressAutoHyphens w:val="true"/>
        <w:snapToGrid w:val="false"/>
        <w:spacing w:lineRule="auto" w:line="240" w:before="0" w:after="0"/>
        <w:ind w:hanging="0" w:left="360" w:right="0"/>
        <w:jc w:val="center"/>
        <w:rPr/>
      </w:pPr>
      <w:r>
        <w:rPr>
          <w:rStyle w:val="Fontepargpadro"/>
          <w:rFonts w:eastAsia="Times New Roman" w:cs="Calibri" w:ascii="Calibri" w:hAnsi="Calibri"/>
          <w:b w:val="false"/>
          <w:bCs w:val="false"/>
          <w:i w:val="false"/>
          <w:iCs w:val="false"/>
          <w:strike w:val="false"/>
          <w:dstrike w:val="false"/>
          <w:color w:val="000000"/>
          <w:kern w:val="0"/>
          <w:u w:val="none"/>
          <w:bdr w:val="single" w:sz="2" w:space="0" w:color="000000"/>
          <w:lang w:val="pt-BR" w:eastAsia="zh-CN" w:bidi="ar-SA"/>
        </w:rPr>
        <w:t>ASSINADO DIGITALMENTE</w:t>
      </w:r>
    </w:p>
    <w:p>
      <w:pPr>
        <w:pStyle w:val="Normal"/>
        <w:jc w:val="center"/>
        <w:rPr>
          <w:rFonts w:eastAsia="MS Mincho" w:cs="Arial"/>
          <w:b/>
        </w:rPr>
      </w:pPr>
      <w:r>
        <w:rPr>
          <w:rFonts w:eastAsia="MS Mincho" w:cs="Arial"/>
          <w:b/>
        </w:rPr>
      </w:r>
    </w:p>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swiss"/>
    <w:pitch w:val="variable"/>
  </w:font>
  <w:font w:name="Times New Roman">
    <w:charset w:val="01"/>
    <w:family w:val="roman"/>
    <w:pitch w:val="variable"/>
  </w:font>
  <w:font w:name="Courier New">
    <w:charset w:val="01"/>
    <w:family w:val="modern"/>
    <w:pitch w:val="fixed"/>
  </w:font>
  <w:font w:name="Helvetica">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2"/>
        <w:szCs w:val="12"/>
      </w:rPr>
    </w:pPr>
    <w:r>
      <w:rPr>
        <w:sz w:val="12"/>
        <w:szCs w:val="12"/>
      </w:rPr>
    </w:r>
  </w:p>
  <w:p>
    <w:pPr>
      <w:pStyle w:val="Normal"/>
      <w:tabs>
        <w:tab w:val="clear" w:pos="708"/>
        <w:tab w:val="center" w:pos="4550" w:leader="none"/>
        <w:tab w:val="left" w:pos="5818" w:leader="none"/>
      </w:tabs>
      <w:ind w:right="260"/>
      <w:jc w:val="right"/>
      <w:rPr>
        <w:color w:themeColor="text2" w:themeShade="80" w:val="222A35"/>
        <w:sz w:val="18"/>
        <w:szCs w:val="18"/>
      </w:rPr>
    </w:pPr>
    <w:r>
      <w:rPr>
        <w:color w:themeColor="text2" w:themeTint="99" w:val="8496B0"/>
        <w:spacing w:val="60"/>
        <w:sz w:val="18"/>
        <w:szCs w:val="18"/>
      </w:rPr>
      <w:t>Página</w:t>
    </w:r>
    <w:r>
      <w:rPr>
        <w:color w:themeColor="text2" w:themeTint="99" w:val="8496B0"/>
        <w:sz w:val="18"/>
        <w:szCs w:val="18"/>
      </w:rPr>
      <w:t xml:space="preserve"> </w:t>
    </w:r>
    <w:r>
      <w:rPr>
        <w:color w:themeColor="text2" w:themeShade="bf" w:val="323E4F"/>
        <w:sz w:val="18"/>
        <w:szCs w:val="18"/>
      </w:rPr>
      <w:fldChar w:fldCharType="begin"/>
    </w:r>
    <w:r>
      <w:rPr>
        <w:sz w:val="18"/>
        <w:szCs w:val="18"/>
        <w:color w:themeColor="text2" w:themeShade="bf" w:val="323E4F"/>
      </w:rPr>
      <w:instrText xml:space="preserve"> PAGE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r>
      <w:rPr>
        <w:color w:themeColor="text2" w:themeShade="bf" w:val="323E4F"/>
        <w:sz w:val="18"/>
        <w:szCs w:val="18"/>
      </w:rPr>
      <w:t xml:space="preserve"> | </w:t>
    </w:r>
    <w:r>
      <w:rPr>
        <w:color w:themeColor="text2" w:themeShade="bf" w:val="323E4F"/>
        <w:sz w:val="18"/>
        <w:szCs w:val="18"/>
      </w:rPr>
      <w:fldChar w:fldCharType="begin"/>
    </w:r>
    <w:r>
      <w:rPr>
        <w:sz w:val="18"/>
        <w:szCs w:val="18"/>
        <w:color w:themeColor="text2" w:themeShade="bf" w:val="323E4F"/>
      </w:rPr>
      <w:instrText xml:space="preserve"> NUMPAGES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p>
  <w:p>
    <w:pPr>
      <w:pStyle w:val="Footer"/>
      <w:rPr>
        <w:sz w:val="12"/>
        <w:szCs w:val="12"/>
      </w:rPr>
    </w:pPr>
    <w:r>
      <w:rPr>
        <w:sz w:val="12"/>
        <w:szCs w:val="12"/>
      </w:rPr>
    </w:r>
  </w:p>
  <w:p>
    <w:pPr>
      <w:pStyle w:val="Footer"/>
      <w:rPr>
        <w:sz w:val="12"/>
        <w:szCs w:val="12"/>
      </w:rPr>
    </w:pPr>
    <w:r>
      <w:rPr>
        <w:sz w:val="12"/>
        <w:szCs w:val="12"/>
      </w:rPr>
      <w:t>Câmara Nacional de Modelos de Licitações e Contratos da Consultoria-Geral da União</w:t>
    </w:r>
  </w:p>
  <w:p>
    <w:pPr>
      <w:pStyle w:val="Footer"/>
      <w:rPr>
        <w:sz w:val="12"/>
        <w:szCs w:val="12"/>
      </w:rPr>
    </w:pPr>
    <w:r>
      <w:rPr>
        <w:sz w:val="12"/>
        <w:szCs w:val="12"/>
      </w:rPr>
      <w:t>Modelo de Aviso de Contratação Direta – Lei nº 14.133, de 2021</w:t>
    </w:r>
  </w:p>
  <w:p>
    <w:pPr>
      <w:pStyle w:val="Footer"/>
      <w:rPr>
        <w:sz w:val="12"/>
        <w:szCs w:val="12"/>
      </w:rPr>
    </w:pPr>
    <w:r>
      <w:rPr>
        <w:sz w:val="12"/>
        <w:szCs w:val="12"/>
      </w:rPr>
      <w:t>Aprovado pela Secretaria de Gestão e Inovação</w:t>
    </w:r>
  </w:p>
  <w:p>
    <w:pPr>
      <w:pStyle w:val="Footer"/>
      <w:rPr>
        <w:sz w:val="12"/>
        <w:szCs w:val="12"/>
      </w:rPr>
    </w:pPr>
    <w:r>
      <w:rPr>
        <w:sz w:val="12"/>
        <w:szCs w:val="12"/>
      </w:rPr>
      <w:t>Identidade visual pela Secretaria de Gestão e Inovação</w:t>
    </w:r>
  </w:p>
  <w:p>
    <w:pPr>
      <w:pStyle w:val="Footer"/>
      <w:rPr/>
    </w:pPr>
    <w:r>
      <w:rPr>
        <w:sz w:val="12"/>
        <w:szCs w:val="12"/>
      </w:rPr>
      <w:t>Versão: MAR/2026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cs="Arial"/>
        <w:szCs w:val="20"/>
      </w:rPr>
    </w:pPr>
    <w:r>
      <w:rPr>
        <w:rFonts w:cs="Arial"/>
        <w:szCs w:val="20"/>
      </w:rPr>
      <w:t xml:space="preserve">AVISO DE CONTRATAÇÃO DIRETA Nº </w:t>
    </w:r>
    <w:r>
      <w:rPr>
        <w:rFonts w:cs="Arial"/>
        <w:b/>
        <w:bCs/>
        <w:color w:val="1C1C1C"/>
        <w:szCs w:val="20"/>
      </w:rPr>
      <w:t>88/2026</w:t>
    </w:r>
  </w:p>
  <w:p>
    <w:pPr>
      <w:pStyle w:val="Header"/>
      <w:jc w:val="right"/>
      <w:rPr/>
    </w:pPr>
    <w:r>
      <w:rPr/>
    </w:r>
  </w:p>
  <w:p>
    <w:pPr>
      <w:pStyle w:val="Normal"/>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2">
          <wp:simplePos x="0" y="0"/>
          <wp:positionH relativeFrom="column">
            <wp:posOffset>6019800</wp:posOffset>
          </wp:positionH>
          <wp:positionV relativeFrom="paragraph">
            <wp:posOffset>-450215</wp:posOffset>
          </wp:positionV>
          <wp:extent cx="806450" cy="10692765"/>
          <wp:effectExtent l="0" t="0" r="0" b="0"/>
          <wp:wrapNone/>
          <wp:docPr id="2"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806450" cy="1069276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dstrike w:val="false"/>
        <w:strike w:val="false"/>
        <w:i w:val="false"/>
        <w:b w:val="false"/>
        <w:iCs/>
        <w:color w:val="auto"/>
      </w:rPr>
    </w:lvl>
    <w:lvl w:ilvl="2">
      <w:start w:val="1"/>
      <w:numFmt w:val="decimal"/>
      <w:lvlText w:val="%1.%2.%3."/>
      <w:lvlJc w:val="left"/>
      <w:pPr>
        <w:tabs>
          <w:tab w:val="num" w:pos="0"/>
        </w:tabs>
        <w:ind w:left="1224" w:hanging="504"/>
      </w:pPr>
      <w:rPr>
        <w:dstrike w:val="false"/>
        <w:strike w:val="false"/>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Heading1">
    <w:name w:val="Heading 1"/>
    <w:basedOn w:val="PADRO"/>
    <w:next w:val="Normal"/>
    <w:link w:val="Ttulo1Char"/>
    <w:autoRedefine/>
    <w:uiPriority w:val="9"/>
    <w:qFormat/>
    <w:rsid w:val="00c355ba"/>
    <w:pPr>
      <w:keepNext w:val="false"/>
      <w:widowControl/>
      <w:numPr>
        <w:ilvl w:val="0"/>
        <w:numId w:val="1"/>
      </w:numPr>
      <w:shd w:val="clear" w:color="auto" w:fill="auto"/>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c355ba"/>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f716d0"/>
    <w:rPr>
      <w:rFonts w:ascii="Arial" w:hAnsi="Arial" w:eastAsia="WenQuanYi Micro Hei" w:cs="Arial"/>
      <w:b/>
      <w:sz w:val="20"/>
      <w:szCs w:val="24"/>
      <w:lang w:eastAsia="zh-CN"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Hyperlink">
    <w:name w:val="Hyperlink"/>
    <w:basedOn w:val="DefaultParagraphFont"/>
    <w:uiPriority w:val="99"/>
    <w:unhideWhenUsed/>
    <w:rsid w:val="00c074da"/>
    <w:rPr>
      <w:color w:themeColor="hyperlink" w:val="0563C1"/>
      <w:u w:val="single"/>
    </w:rPr>
  </w:style>
  <w:style w:type="character" w:styleId="Nivel4Char" w:customStyle="1">
    <w:name w:val="Nivel 4 Char"/>
    <w:basedOn w:val="DefaultParagraphFont"/>
    <w:link w:val="Nivel4"/>
    <w:qFormat/>
    <w:rsid w:val="00c46b78"/>
    <w:rPr>
      <w:rFonts w:ascii="Arial" w:hAnsi="Arial" w:eastAsia="" w:cs="Arial" w:eastAsiaTheme="minorEastAsia"/>
      <w:sz w:val="20"/>
      <w:szCs w:val="20"/>
      <w:lang w:eastAsia="zh-CN" w:bidi="hi-IN"/>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FollowedHyperlink">
    <w:name w:val="FollowedHyperlink"/>
    <w:basedOn w:val="DefaultParagraphFont"/>
    <w:uiPriority w:val="99"/>
    <w:semiHidden/>
    <w:unhideWhenUsed/>
    <w:rsid w:val="00a47c33"/>
    <w:rPr>
      <w:color w:themeColor="followedHyperlink" w:val="954F72"/>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themeColor="text1" w:themeTint="bf" w:val="404040"/>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themeColor="accent6" w:themeShade="bf" w:val="538135"/>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e23f9e"/>
    <w:rPr>
      <w:rFonts w:ascii="Arial" w:hAnsi="Arial" w:eastAsia="Times New Roman" w:cs="Arial"/>
      <w:bCs/>
      <w:sz w:val="20"/>
      <w:szCs w:val="20"/>
    </w:rPr>
  </w:style>
  <w:style w:type="character" w:styleId="Nvel3-RChar" w:customStyle="1">
    <w:name w:val="Nível 3-R Char"/>
    <w:basedOn w:val="DefaultParagraphFont"/>
    <w:link w:val="Nvel3-R"/>
    <w:qFormat/>
    <w:rsid w:val="004d3a98"/>
    <w:rPr>
      <w:rFonts w:ascii="Arial" w:hAnsi="Arial" w:eastAsia="Times New Roman" w:cs="Arial"/>
      <w:i/>
      <w:iCs/>
      <w:color w:val="EE0000"/>
      <w:sz w:val="20"/>
      <w:szCs w:val="20"/>
      <w:lang w:eastAsia="zh-CN" w:bidi="hi-IN"/>
    </w:rPr>
  </w:style>
  <w:style w:type="character" w:styleId="Nvel4-RChar" w:customStyle="1">
    <w:name w:val="Nível 4-R Char"/>
    <w:basedOn w:val="Nivel4Char"/>
    <w:link w:val="Nvel4-R"/>
    <w:qFormat/>
    <w:rsid w:val="00c46b78"/>
    <w:rPr>
      <w:rFonts w:ascii="Arial" w:hAnsi="Arial" w:eastAsia="" w:cs="Arial" w:eastAsiaTheme="minorEastAsia"/>
      <w:i/>
      <w:iCs/>
      <w:color w:val="FF0000"/>
      <w:sz w:val="20"/>
      <w:szCs w:val="20"/>
      <w:lang w:eastAsia="zh-CN" w:bidi="hi-IN"/>
    </w:rPr>
  </w:style>
  <w:style w:type="character" w:styleId="Nivel3Char" w:customStyle="1">
    <w:name w:val="Nivel 3 Char"/>
    <w:basedOn w:val="DefaultParagraphFont"/>
    <w:link w:val="Nivel3"/>
    <w:qFormat/>
    <w:rsid w:val="00e45ff7"/>
    <w:rPr>
      <w:rFonts w:ascii="Arial" w:hAnsi="Arial" w:eastAsia="WenQuanYi Micro Hei" w:cs="Arial"/>
      <w:sz w:val="20"/>
      <w:szCs w:val="20"/>
      <w:lang w:eastAsia="zh-CN" w:bidi="hi-IN"/>
    </w:rPr>
  </w:style>
  <w:style w:type="character" w:styleId="Nvel2-OpcionalChar" w:customStyle="1">
    <w:name w:val="Nível 2-Opcional Char"/>
    <w:basedOn w:val="DefaultParagraphFont"/>
    <w:link w:val="Nvel2-Opcional"/>
    <w:qFormat/>
    <w:rsid w:val="00431c67"/>
    <w:rPr>
      <w:rFonts w:ascii="Arial" w:hAnsi="Arial" w:eastAsia="Times New Roman" w:cs="Arial"/>
      <w:bCs/>
      <w:i/>
      <w:color w:val="EE0000"/>
      <w:sz w:val="20"/>
      <w:szCs w:val="20"/>
    </w:rPr>
  </w:style>
  <w:style w:type="character" w:styleId="Nvel2MistoChar" w:customStyle="1">
    <w:name w:val="Nível2Misto Char"/>
    <w:basedOn w:val="Nivel2Char"/>
    <w:link w:val="Nvel2Misto"/>
    <w:qFormat/>
    <w:rsid w:val="00f87792"/>
    <w:rPr>
      <w:rFonts w:ascii="Arial" w:hAnsi="Arial" w:eastAsia="Arial" w:cs="Arial"/>
      <w:bCs/>
      <w:color w:val="000000"/>
      <w:sz w:val="20"/>
      <w:szCs w:val="20"/>
    </w:rPr>
  </w:style>
  <w:style w:type="character" w:styleId="Nvel3MistoChar" w:customStyle="1">
    <w:name w:val="Nível 3 Misto Char"/>
    <w:basedOn w:val="Nivel3Char"/>
    <w:link w:val="Nvel3Misto"/>
    <w:qFormat/>
    <w:rsid w:val="007f4145"/>
    <w:rPr>
      <w:rFonts w:ascii="Arial" w:hAnsi="Arial" w:eastAsia="WenQuanYi Micro Hei" w:cs="Arial"/>
      <w:sz w:val="20"/>
      <w:szCs w:val="20"/>
      <w:lang w:eastAsia="zh-CN" w:bidi="hi-IN"/>
    </w:rPr>
  </w:style>
  <w:style w:type="character" w:styleId="Vnculodendice">
    <w:name w:val="Vínculo de índice"/>
    <w:qFormat/>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CorpodetextoChar"/>
    <w:rsid w:val="00c074da"/>
    <w:pPr>
      <w:spacing w:lineRule="auto" w:line="276" w:before="0" w:after="140"/>
    </w:pPr>
    <w:rPr/>
  </w:style>
  <w:style w:type="paragraph" w:styleId="List">
    <w:name w:val="List"/>
    <w:basedOn w:val="BodyText"/>
    <w:rsid w:val="00c074da"/>
    <w:pPr/>
    <w:rPr>
      <w:rFonts w:cs="FreeSans"/>
    </w:rPr>
  </w:style>
  <w:style w:type="paragraph" w:styleId="Caption">
    <w:name w:val="Caption"/>
    <w:basedOn w:val="Normal"/>
    <w:qFormat/>
    <w:rsid w:val="00c074da"/>
    <w:pPr>
      <w:suppressLineNumbers/>
      <w:spacing w:before="120" w:after="120"/>
    </w:pPr>
    <w:rPr>
      <w:rFonts w:cs="FreeSans"/>
      <w:i/>
      <w:iCs/>
      <w:sz w:val="24"/>
    </w:rPr>
  </w:style>
  <w:style w:type="paragraph" w:styleId="ndice" w:customStyle="1">
    <w:name w:val="Índice"/>
    <w:basedOn w:val="Normal"/>
    <w:qFormat/>
    <w:rsid w:val="00c074da"/>
    <w:pPr>
      <w:suppressLineNumbers/>
    </w:pPr>
    <w:rPr>
      <w:rFonts w:cs="FreeSans"/>
    </w:rPr>
  </w:style>
  <w:style w:type="paragraph" w:styleId="Title">
    <w:name w:val="Title"/>
    <w:basedOn w:val="Normal"/>
    <w:next w:val="BodyText"/>
    <w:link w:val="TtuloChar"/>
    <w:qFormat/>
    <w:rsid w:val="00c074da"/>
    <w:pPr>
      <w:keepNext w:val="true"/>
      <w:spacing w:before="240" w:after="120"/>
    </w:pPr>
    <w:rPr>
      <w:rFonts w:ascii="Liberation Sans" w:hAnsi="Liberation Sans" w:eastAsia="Noto Sans CJK SC" w:cs="FreeSans"/>
      <w:sz w:val="28"/>
      <w:szCs w:val="28"/>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Normal"/>
    <w:link w:val="Nivel01Char"/>
    <w:qFormat/>
    <w:rsid w:val="00f716d0"/>
    <w:pPr>
      <w:spacing w:lineRule="auto" w:line="312"/>
      <w:ind w:hanging="357" w:left="357"/>
    </w:pPr>
    <w:rPr/>
  </w:style>
  <w:style w:type="paragraph" w:styleId="PADRO" w:customStyle="1">
    <w:name w:val="PADRÃO"/>
    <w:autoRedefine/>
    <w:qFormat/>
    <w:rsid w:val="003e23b4"/>
    <w:pPr>
      <w:keepNext w:val="true"/>
      <w:widowControl w:val="false"/>
      <w:shd w:val="clear" w:color="auto" w:fill="FFFFFF"/>
      <w:suppressAutoHyphens w:val="true"/>
      <w:bidi w:val="0"/>
      <w:spacing w:lineRule="auto" w:line="276" w:before="120" w:after="120"/>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Heading1"/>
    <w:qFormat/>
    <w:rsid w:val="00c074da"/>
    <w:pPr>
      <w:spacing w:before="480" w:after="120"/>
      <w:ind w:left="644"/>
    </w:pPr>
    <w:rPr>
      <w:rFonts w:cs="Times New Roman"/>
      <w:b w:val="false"/>
      <w:color w:val="000000"/>
      <w:szCs w:val="20"/>
    </w:rPr>
  </w:style>
  <w:style w:type="paragraph" w:styleId="Nivel2" w:customStyle="1">
    <w:name w:val="Nivel 2"/>
    <w:basedOn w:val="Normal"/>
    <w:link w:val="Nivel2Char"/>
    <w:qFormat/>
    <w:rsid w:val="00e23f9e"/>
    <w:pPr>
      <w:numPr>
        <w:ilvl w:val="1"/>
        <w:numId w:val="1"/>
      </w:numPr>
      <w:spacing w:lineRule="auto" w:line="276" w:before="120" w:after="120"/>
      <w:ind w:hanging="0" w:left="0"/>
      <w:jc w:val="both"/>
    </w:pPr>
    <w:rPr>
      <w:rFonts w:cs="Arial"/>
      <w:bCs/>
      <w:szCs w:val="20"/>
      <w:lang w:eastAsia="en-US"/>
    </w:rPr>
  </w:style>
  <w:style w:type="paragraph" w:styleId="Nivel11" w:customStyle="1">
    <w:name w:val="Nivel 1"/>
    <w:basedOn w:val="Nivel2"/>
    <w:next w:val="Nivel2"/>
    <w:qFormat/>
    <w:rsid w:val="00c074da"/>
    <w:pPr/>
    <w:rPr>
      <w:b/>
    </w:rPr>
  </w:style>
  <w:style w:type="paragraph" w:styleId="Nivel3" w:customStyle="1">
    <w:name w:val="Nivel 3"/>
    <w:basedOn w:val="PADRO"/>
    <w:link w:val="Nivel3Char"/>
    <w:qFormat/>
    <w:rsid w:val="00e45ff7"/>
    <w:pPr>
      <w:keepNext w:val="false"/>
      <w:widowControl/>
      <w:numPr>
        <w:ilvl w:val="2"/>
        <w:numId w:val="1"/>
      </w:numPr>
      <w:shd w:val="clear" w:color="auto" w:fill="auto"/>
      <w:ind w:hanging="0" w:left="284"/>
    </w:pPr>
    <w:rPr>
      <w:rFonts w:ascii="Arial" w:hAnsi="Arial" w:cs="Arial"/>
      <w:szCs w:val="20"/>
    </w:rPr>
  </w:style>
  <w:style w:type="paragraph" w:styleId="Nivel4" w:customStyle="1">
    <w:name w:val="Nivel 4"/>
    <w:basedOn w:val="Normal"/>
    <w:link w:val="Nivel4Char"/>
    <w:qFormat/>
    <w:rsid w:val="00c46b78"/>
    <w:pPr>
      <w:numPr>
        <w:ilvl w:val="3"/>
        <w:numId w:val="1"/>
      </w:numPr>
      <w:suppressAutoHyphens w:val="false"/>
      <w:spacing w:lineRule="auto" w:line="276" w:before="120" w:after="120"/>
      <w:ind w:hanging="0" w:left="567"/>
      <w:jc w:val="both"/>
      <w:textAlignment w:val="baseline"/>
    </w:pPr>
    <w:rPr>
      <w:rFonts w:eastAsia="" w:cs="Arial" w:eastAsiaTheme="minorEastAsia"/>
      <w:szCs w:val="20"/>
      <w:lang w:eastAsia="zh-CN" w:bidi="hi-IN"/>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Header">
    <w:name w:val="Header"/>
    <w:basedOn w:val="Normal"/>
    <w:link w:val="CabealhoChar"/>
    <w:unhideWhenUsed/>
    <w:rsid w:val="00c074da"/>
    <w:pPr>
      <w:tabs>
        <w:tab w:val="clear" w:pos="708"/>
        <w:tab w:val="center" w:pos="4252" w:leader="none"/>
        <w:tab w:val="right" w:pos="8504" w:leader="none"/>
      </w:tabs>
    </w:pPr>
    <w:rPr/>
  </w:style>
  <w:style w:type="paragraph" w:styleId="Footer">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Heading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IndexHeading">
    <w:name w:val="Index Heading"/>
    <w:basedOn w:val="Ttulo"/>
    <w:pPr/>
    <w:rPr/>
  </w:style>
  <w:style w:type="paragraph" w:styleId="TOCHeading">
    <w:name w:val="TOC Heading"/>
    <w:basedOn w:val="Heading1"/>
    <w:next w:val="Normal"/>
    <w:uiPriority w:val="39"/>
    <w:unhideWhenUsed/>
    <w:qFormat/>
    <w:rsid w:val="00781aff"/>
    <w:pPr>
      <w:keepNext w:val="true"/>
      <w:keepLines/>
      <w:numPr>
        <w:ilvl w:val="0"/>
        <w:numId w:val="0"/>
      </w:numPr>
      <w:suppressAutoHyphens w:val="false"/>
      <w:spacing w:lineRule="auto" w:line="259" w:before="240" w:after="0"/>
      <w:jc w:val="left"/>
      <w:textAlignment w:val="auto"/>
      <w:outlineLvl w:val="9"/>
    </w:pPr>
    <w:rPr>
      <w:rFonts w:ascii="Calibri Light" w:hAnsi="Calibri Light" w:eastAsia="" w:cs="" w:asciiTheme="majorHAnsi" w:cstheme="majorBidi" w:eastAsiaTheme="majorEastAsia" w:hAnsiTheme="majorHAnsi"/>
      <w:b w:val="false"/>
      <w:color w:themeColor="accent1" w:themeShade="bf" w:val="2E74B5"/>
      <w:sz w:val="32"/>
      <w:szCs w:val="32"/>
      <w:lang w:eastAsia="pt-BR" w:bidi="ar-SA"/>
    </w:rPr>
  </w:style>
  <w:style w:type="paragraph" w:styleId="TOC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4d3a98"/>
    <w:pPr>
      <w:suppressAutoHyphens w:val="false"/>
    </w:pPr>
    <w:rPr>
      <w:rFonts w:eastAsia="Times New Roman"/>
      <w:i/>
      <w:iCs/>
      <w:color w:val="EE0000"/>
    </w:rPr>
  </w:style>
  <w:style w:type="paragraph" w:styleId="Nvel4-R" w:customStyle="1">
    <w:name w:val="Nível 4-R"/>
    <w:basedOn w:val="Nivel4"/>
    <w:link w:val="Nvel4-RChar"/>
    <w:qFormat/>
    <w:rsid w:val="00c46b78"/>
    <w:pPr/>
    <w:rPr>
      <w:i/>
      <w:iCs/>
      <w:color w:val="FF0000"/>
    </w:rPr>
  </w:style>
  <w:style w:type="paragraph" w:styleId="Nvel2-Opcional" w:customStyle="1">
    <w:name w:val="Nível 2-Opcional"/>
    <w:basedOn w:val="Nivel2"/>
    <w:link w:val="Nvel2-OpcionalChar"/>
    <w:qFormat/>
    <w:rsid w:val="00431c67"/>
    <w:pPr/>
    <w:rPr>
      <w:i/>
      <w:color w:val="EE0000"/>
    </w:rPr>
  </w:style>
  <w:style w:type="paragraph" w:styleId="Nvel2Misto" w:customStyle="1">
    <w:name w:val="Nível2Misto"/>
    <w:basedOn w:val="Nivel2"/>
    <w:link w:val="Nvel2MistoChar"/>
    <w:qFormat/>
    <w:rsid w:val="00f87792"/>
    <w:pPr/>
    <w:rPr>
      <w:rFonts w:eastAsia="Arial"/>
      <w:color w:val="000000"/>
    </w:rPr>
  </w:style>
  <w:style w:type="paragraph" w:styleId="Nvel3Misto" w:customStyle="1">
    <w:name w:val="Nível 3 Misto"/>
    <w:basedOn w:val="Nivel3"/>
    <w:link w:val="Nvel3MistoChar"/>
    <w:qFormat/>
    <w:rsid w:val="007f4145"/>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hyperlink" Target="http://www.gov.br/compras" TargetMode="External"/><Relationship Id="rId5" Type="http://schemas.openxmlformats.org/officeDocument/2006/relationships/hyperlink" Target="http://www.pncp.gov.br/" TargetMode="External"/><Relationship Id="rId6" Type="http://schemas.openxmlformats.org/officeDocument/2006/relationships/hyperlink" Target="https://www.gov.br/compras/pt-br/sistemas/conheca-o-compras/aplicativo-compras" TargetMode="External"/><Relationship Id="rId7" Type="http://schemas.openxmlformats.org/officeDocument/2006/relationships/hyperlink" Target="http://www.planalto.gov.br/ccivil_03/LEIS/L6404consol.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1-2014/2013/lei/l12846.htm"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28</TotalTime>
  <Application>LibreOffice/24.2.7.2$Linux_X86_64 LibreOffice_project/420$Build-2</Application>
  <AppVersion>15.0000</AppVersion>
  <Pages>17</Pages>
  <Words>6956</Words>
  <Characters>39029</Characters>
  <CharactersWithSpaces>45476</CharactersWithSpaces>
  <Paragraphs>308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2026-04-13T11:37:00Z</dcterms:created>
  <dc:creator/>
  <dc:description/>
  <dc:language>pt-BR</dc:language>
  <cp:lastModifiedBy/>
  <dcterms:modified xsi:type="dcterms:W3CDTF">2026-10-01T11:09:42Z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