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178/2026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CONTRATAÇÃO DE EMPRESA PARA INSTALAÇÃO DE BLINDEX</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R$45.000,00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14</w:t>
      </w:r>
      <w:r>
        <w:rPr>
          <w:rFonts w:cs="Arial"/>
          <w:bCs/>
          <w:color w:val="5B5B5F"/>
          <w:sz w:val="28"/>
          <w:szCs w:val="28"/>
        </w:rPr>
        <w:t>/10/2026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88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63065.001202/2026-81</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tendo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auto"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empresa especializada para fornecimento e instalação de blindex, por dispensa de licitação, </w:t>
      </w:r>
      <w:r>
        <w:rPr>
          <w:color w:val="1C1C1C"/>
        </w:rPr>
        <w:t xml:space="preserve">que atendendo as necessidades 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auto" w:val="clear"/>
        </w:rPr>
      </w:pPr>
      <w:r>
        <w:rPr>
          <w:shd w:fill="auto" w:val="clear"/>
        </w:rPr>
        <w:t>Não se aplica.</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highlight w:val="none"/>
          <w:shd w:fill="auto" w:val="clear"/>
        </w:rPr>
      </w:pPr>
      <w:r>
        <w:rPr>
          <w:color w:val="111111"/>
          <w:shd w:fill="auto"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highlight w:val="none"/>
          <w:shd w:fill="auto" w:val="clear"/>
        </w:rPr>
      </w:pPr>
      <w:r>
        <w:rPr>
          <w:color w:val="111111"/>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highlight w:val="none"/>
          <w:shd w:fill="auto" w:val="clear"/>
        </w:rPr>
      </w:pPr>
      <w:r>
        <w:rPr>
          <w:color w:val="111111"/>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highlight w:val="none"/>
          <w:shd w:fill="auto" w:val="clear"/>
        </w:rPr>
      </w:pPr>
      <w:r>
        <w:rPr>
          <w:color w:val="111111"/>
          <w:shd w:fill="auto" w:val="clear"/>
        </w:rPr>
        <w:t xml:space="preserve">pessoas jurídicas reunidas em consórcio; </w:t>
      </w:r>
    </w:p>
    <w:p>
      <w:pPr>
        <w:pStyle w:val="Nvel3-R"/>
        <w:numPr>
          <w:ilvl w:val="2"/>
          <w:numId w:val="1"/>
        </w:numPr>
        <w:ind w:hanging="0" w:left="284"/>
        <w:rPr>
          <w:highlight w:val="none"/>
          <w:shd w:fill="auto" w:val="clear"/>
        </w:rPr>
      </w:pPr>
      <w:r>
        <w:rPr>
          <w:color w:val="111111"/>
          <w:shd w:fill="auto" w:val="clear"/>
        </w:rPr>
        <w:t>Organização da Sociedade Civil de Interesse Público - OSCIP, atuando nessa condição.</w:t>
      </w:r>
    </w:p>
    <w:p>
      <w:pPr>
        <w:pStyle w:val="Nvel3-R"/>
        <w:numPr>
          <w:ilvl w:val="2"/>
          <w:numId w:val="1"/>
        </w:numPr>
        <w:ind w:hanging="0" w:left="284"/>
        <w:rPr>
          <w:highlight w:val="none"/>
          <w:shd w:fill="auto" w:val="clear"/>
        </w:rPr>
      </w:pPr>
      <w:r>
        <w:rPr>
          <w:color w:val="111111"/>
          <w:shd w:fill="auto" w:val="clear"/>
        </w:rPr>
        <w:t>sociedades cooperativas</w:t>
      </w:r>
      <w:bookmarkStart w:id="10" w:name="_Hlk519667815"/>
      <w:bookmarkEnd w:id="10"/>
      <w:r>
        <w:rPr>
          <w:color w:val="111111"/>
          <w:shd w:fill="auto" w:val="clear"/>
        </w:rPr>
        <w:t>.</w:t>
      </w:r>
    </w:p>
    <w:p>
      <w:pPr>
        <w:pStyle w:val="Nvel3-R"/>
        <w:numPr>
          <w:ilvl w:val="2"/>
          <w:numId w:val="1"/>
        </w:numPr>
        <w:ind w:hanging="0" w:left="284"/>
        <w:rPr>
          <w:highlight w:val="none"/>
          <w:shd w:fill="auto" w:val="clear"/>
        </w:rPr>
      </w:pPr>
      <w:r>
        <w:rPr>
          <w:color w:val="111111"/>
          <w:shd w:fill="auto"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highlight w:val="none"/>
          <w:shd w:fill="auto" w:val="clear"/>
        </w:rPr>
      </w:pPr>
      <w:r>
        <w:rPr>
          <w:color w:val="111111"/>
          <w:shd w:fill="auto" w:val="clear"/>
        </w:rPr>
        <w:t>O fornecedor [</w:t>
      </w:r>
      <w:r>
        <w:rPr>
          <w:b/>
          <w:bCs/>
          <w:color w:val="111111"/>
          <w:shd w:fill="auto" w:val="clear"/>
        </w:rPr>
        <w:t>NÃO</w:t>
      </w:r>
      <w:r>
        <w:rPr>
          <w:color w:val="111111"/>
          <w:shd w:fill="auto"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color w:val="111111"/>
          <w:shd w:fill="auto" w:val="clear"/>
        </w:rPr>
        <w:t>)</w:t>
      </w:r>
      <w:r>
        <w:rPr>
          <w:iCs/>
          <w:color w:val="111111"/>
          <w:shd w:fill="auto" w:val="clear"/>
        </w:rPr>
        <w:t xml:space="preserve"> dias</w:t>
      </w:r>
      <w:r>
        <w:rPr>
          <w:b/>
          <w:shd w:fill="auto" w:val="clear"/>
        </w:rPr>
        <w:t>,</w:t>
      </w:r>
      <w:r>
        <w:rPr>
          <w:shd w:fill="auto" w:val="clear"/>
        </w:rPr>
        <w:t xml:space="preserve"> </w:t>
      </w:r>
      <w:r>
        <w:rPr/>
        <w:t>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highlight w:val="none"/>
          <w:shd w:fill="auto" w:val="clear"/>
        </w:rPr>
      </w:pPr>
      <w:r>
        <w:rPr>
          <w:color w:val="111111"/>
          <w:shd w:fill="auto"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highlight w:val="none"/>
          <w:shd w:fill="auto" w:val="clear"/>
        </w:rPr>
      </w:pPr>
      <w:r>
        <w:rPr>
          <w:color w:val="111111"/>
          <w:shd w:fill="auto" w:val="clear"/>
        </w:rPr>
        <w:t>Sem prejuízo do disposto acima, os lances poderão ser enviados manualmente, na forma da seção respectiva deste Aviso de Contratação Direta.</w:t>
      </w:r>
    </w:p>
    <w:p>
      <w:pPr>
        <w:pStyle w:val="Nvel3-R"/>
        <w:numPr>
          <w:ilvl w:val="2"/>
          <w:numId w:val="1"/>
        </w:numPr>
        <w:ind w:hanging="0" w:left="284"/>
        <w:rPr>
          <w:highlight w:val="none"/>
          <w:shd w:fill="auto" w:val="clear"/>
        </w:rPr>
      </w:pPr>
      <w:r>
        <w:rPr>
          <w:color w:val="111111"/>
          <w:shd w:fill="auto"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highlight w:val="none"/>
          <w:shd w:fill="auto" w:val="clear"/>
        </w:rPr>
      </w:pPr>
      <w:r>
        <w:rPr>
          <w:color w:val="111111"/>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3"/>
        <w:numPr>
          <w:ilvl w:val="0"/>
          <w:numId w:val="0"/>
        </w:numPr>
        <w:ind w:hanging="0" w:left="284"/>
        <w:rPr/>
      </w:pPr>
      <w:r>
        <w:rPr/>
      </w:r>
    </w:p>
    <w:p>
      <w:pPr>
        <w:pStyle w:val="Nivel3"/>
        <w:numPr>
          <w:ilvl w:val="0"/>
          <w:numId w:val="0"/>
        </w:numPr>
        <w:ind w:hanging="0" w:left="284"/>
        <w:rPr/>
      </w:pPr>
      <w:r>
        <w:rPr/>
      </w:r>
    </w:p>
    <w:p>
      <w:pPr>
        <w:pStyle w:val="Nivel3"/>
        <w:numPr>
          <w:ilvl w:val="0"/>
          <w:numId w:val="0"/>
        </w:numPr>
        <w:ind w:hanging="0" w:left="284"/>
        <w:rPr/>
      </w:pPr>
      <w:r>
        <w:rPr/>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highlight w:val="none"/>
          <w:shd w:fill="auto" w:val="clear"/>
        </w:rPr>
      </w:pPr>
      <w:r>
        <w:rPr>
          <w:color w:val="111111"/>
          <w:shd w:fill="auto" w:val="clear"/>
        </w:rPr>
        <w:t>Além da documentação supracitada, o fornecedor com a melhor proposta deverá encaminhar planilha com indicação de custos unitários e formação de preços, conforme modelo anexo, com os valores adequados à proposta vencedora, caso solcitado.</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highlight w:val="none"/>
          <w:shd w:fill="auto" w:val="clear"/>
        </w:rPr>
      </w:pPr>
      <w:r>
        <w:rPr>
          <w:color w:val="111111"/>
          <w:shd w:fill="auto" w:val="clear"/>
        </w:rPr>
        <w:t xml:space="preserve">Cadastro Nacional de Empresas Inidôneas e Suspensas – CEIS, </w:t>
      </w:r>
    </w:p>
    <w:p>
      <w:pPr>
        <w:pStyle w:val="Nivel3"/>
        <w:numPr>
          <w:ilvl w:val="2"/>
          <w:numId w:val="1"/>
        </w:numPr>
        <w:ind w:hanging="0" w:left="284"/>
        <w:rPr>
          <w:highlight w:val="none"/>
          <w:shd w:fill="auto" w:val="clear"/>
        </w:rPr>
      </w:pPr>
      <w:r>
        <w:rPr>
          <w:shd w:fill="auto" w:val="clear"/>
        </w:rPr>
        <w:t>Cadastro Nacional de Empresas Punidas – CNEP e</w:t>
      </w:r>
    </w:p>
    <w:p>
      <w:pPr>
        <w:pStyle w:val="Nivel3"/>
        <w:numPr>
          <w:ilvl w:val="2"/>
          <w:numId w:val="1"/>
        </w:numPr>
        <w:ind w:hanging="0" w:left="284"/>
        <w:rPr>
          <w:highlight w:val="none"/>
          <w:shd w:fill="auto" w:val="clear"/>
        </w:rPr>
      </w:pPr>
      <w:r>
        <w:rPr>
          <w:color w:val="111111"/>
          <w:shd w:fill="auto" w:val="clear"/>
        </w:rPr>
        <w:t>Lista de licitantes inidôneos, mantida pelo Tribunal de Contas da União.</w:t>
      </w:r>
    </w:p>
    <w:p>
      <w:pPr>
        <w:pStyle w:val="Nivel2"/>
        <w:numPr>
          <w:ilvl w:val="1"/>
          <w:numId w:val="1"/>
        </w:numPr>
        <w:ind w:hanging="0" w:left="0"/>
        <w:rPr>
          <w:highlight w:val="none"/>
          <w:shd w:fill="auto" w:val="clear"/>
        </w:rPr>
      </w:pPr>
      <w:r>
        <w:rPr>
          <w:shd w:fill="auto" w:val="clear"/>
        </w:rPr>
        <w:t>A consulta aos cadastros será realizada no nome e no CNPJ da empresa fornecedora.</w:t>
      </w:r>
    </w:p>
    <w:p>
      <w:pPr>
        <w:pStyle w:val="Nivel3"/>
        <w:numPr>
          <w:ilvl w:val="2"/>
          <w:numId w:val="1"/>
        </w:numPr>
        <w:ind w:hanging="0" w:left="284"/>
        <w:rPr>
          <w:highlight w:val="none"/>
          <w:shd w:fill="auto" w:val="clear"/>
        </w:rPr>
      </w:pPr>
      <w:r>
        <w:rPr>
          <w:shd w:fill="auto" w:val="clear"/>
        </w:rPr>
        <w:t>A consulta no CEIS quanto às sanções previstas na Lei nº 8.429, de 1992, também ocorrerá no nome e no CPF do sócio majoritário da empresa fornecedora, se houver, por força do art. 12 da citada lei.</w:t>
      </w:r>
    </w:p>
    <w:p>
      <w:pPr>
        <w:pStyle w:val="Nivel2"/>
        <w:numPr>
          <w:ilvl w:val="1"/>
          <w:numId w:val="1"/>
        </w:numPr>
        <w:ind w:hanging="0" w:left="0"/>
        <w:rPr>
          <w:highlight w:val="none"/>
          <w:shd w:fill="auto" w:val="clear"/>
        </w:rPr>
      </w:pPr>
      <w:r>
        <w:rPr>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highlight w:val="none"/>
          <w:shd w:fill="auto" w:val="clear"/>
        </w:rPr>
      </w:pPr>
      <w:r>
        <w:rPr>
          <w:color w:val="111111"/>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000000"/>
          <w:highlight w:val="none"/>
          <w:shd w:fill="auto" w:val="clear"/>
        </w:rPr>
      </w:pPr>
      <w:r>
        <w:rPr>
          <w:color w:val="000000"/>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000000"/>
          <w:highlight w:val="none"/>
          <w:shd w:fill="auto" w:val="clear"/>
        </w:rPr>
      </w:pPr>
      <w:r>
        <w:rPr>
          <w:color w:val="000000"/>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000000"/>
          <w:highlight w:val="none"/>
          <w:shd w:fill="auto" w:val="clear"/>
        </w:rPr>
      </w:pPr>
      <w:r>
        <w:rPr>
          <w:color w:val="000000"/>
          <w:shd w:fill="auto"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000000"/>
          <w:highlight w:val="none"/>
          <w:shd w:fill="auto" w:val="clear"/>
        </w:rPr>
      </w:pPr>
      <w:r>
        <w:rPr>
          <w:color w:val="000000"/>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000000"/>
          <w:highlight w:val="none"/>
          <w:shd w:fill="auto" w:val="clear"/>
        </w:rPr>
      </w:pPr>
      <w:r>
        <w:rPr>
          <w:color w:val="000000"/>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000000"/>
          <w:highlight w:val="none"/>
          <w:shd w:fill="auto" w:val="clear"/>
        </w:rPr>
      </w:pPr>
      <w:r>
        <w:rPr>
          <w:color w:val="000000"/>
          <w:shd w:fill="auto" w:val="clear"/>
        </w:rPr>
        <w:t>Para o objeto ou parte dele sujeito ao regime de empreitada por preço unitário o critério de aceitabilidade de preços será:</w:t>
      </w:r>
    </w:p>
    <w:p>
      <w:pPr>
        <w:pStyle w:val="Nvel4-R"/>
        <w:numPr>
          <w:ilvl w:val="3"/>
          <w:numId w:val="1"/>
        </w:numPr>
        <w:ind w:hanging="0" w:left="567"/>
        <w:rPr>
          <w:color w:val="000000"/>
          <w:highlight w:val="none"/>
          <w:shd w:fill="auto" w:val="clear"/>
        </w:rPr>
      </w:pPr>
      <w:r>
        <w:rPr>
          <w:color w:val="000000"/>
          <w:shd w:fill="auto" w:val="clear"/>
        </w:rPr>
        <w:t>O valor global estimado para a contratação;</w:t>
      </w:r>
    </w:p>
    <w:p>
      <w:pPr>
        <w:pStyle w:val="Nvel4-R"/>
        <w:numPr>
          <w:ilvl w:val="3"/>
          <w:numId w:val="1"/>
        </w:numPr>
        <w:ind w:hanging="0" w:left="567"/>
        <w:rPr>
          <w:color w:val="000000"/>
          <w:highlight w:val="none"/>
          <w:shd w:fill="auto" w:val="clear"/>
        </w:rPr>
      </w:pPr>
      <w:r>
        <w:rPr>
          <w:color w:val="000000"/>
          <w:shd w:fill="auto" w:val="clear"/>
        </w:rPr>
        <w:t>Preços unitários: conforme Planilha de Custos elaborada pelo Contratante, anexa a este documento.</w:t>
      </w:r>
    </w:p>
    <w:p>
      <w:pPr>
        <w:pStyle w:val="Nvel3-R"/>
        <w:numPr>
          <w:ilvl w:val="2"/>
          <w:numId w:val="1"/>
        </w:numPr>
        <w:ind w:hanging="0" w:left="284"/>
        <w:rPr>
          <w:color w:val="000000"/>
          <w:highlight w:val="none"/>
          <w:shd w:fill="auto" w:val="clear"/>
        </w:rPr>
      </w:pPr>
      <w:r>
        <w:rPr>
          <w:color w:val="000000"/>
          <w:shd w:fill="auto" w:val="clear"/>
        </w:rPr>
        <w:t>Serão consideradas inexequíveis as propostas cujos valores forem inferiores a 75% (setenta e cinco por cento) do valor orçado pela Administração.</w:t>
      </w:r>
    </w:p>
    <w:p>
      <w:pPr>
        <w:pStyle w:val="Nvel3-R"/>
        <w:numPr>
          <w:ilvl w:val="2"/>
          <w:numId w:val="1"/>
        </w:numPr>
        <w:ind w:hanging="0" w:left="284"/>
        <w:rPr>
          <w:color w:val="000000"/>
          <w:highlight w:val="none"/>
          <w:shd w:fill="auto" w:val="clear"/>
        </w:rPr>
      </w:pPr>
      <w:r>
        <w:rPr>
          <w:color w:val="000000"/>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000000"/>
        </w:rPr>
      </w:pPr>
      <w:r>
        <w:rPr>
          <w:color w:val="000000"/>
          <w:shd w:fill="CCCCCC" w:val="clear"/>
        </w:rPr>
        <w:t>S</w:t>
      </w:r>
      <w:r>
        <w:rPr>
          <w:color w:val="000000"/>
          <w:shd w:fill="auto" w:val="clear"/>
        </w:rPr>
        <w:t>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Pr>
          <w:shd w:fill="auto" w:val="clear"/>
        </w:rPr>
        <w:t xml:space="preserve"> </w:t>
      </w:r>
      <w:r>
        <w:rPr>
          <w:rFonts w:eastAsia="Arial"/>
          <w:b/>
          <w:color w:val="111111"/>
          <w:shd w:fill="auto" w:val="clear"/>
        </w:rPr>
        <w:t>2</w:t>
      </w:r>
      <w:r>
        <w:rPr>
          <w:rFonts w:eastAsia="Arial"/>
          <w:color w:val="111111"/>
          <w:shd w:fill="auto" w:val="clear"/>
        </w:rPr>
        <w:t xml:space="preserve"> ( duas</w:t>
      </w:r>
      <w:r>
        <w:rPr>
          <w:rFonts w:eastAsia="Arial"/>
          <w:shd w:fill="auto" w:val="clear"/>
        </w:rPr>
        <w:t>)</w:t>
      </w:r>
      <w:r>
        <w:rPr>
          <w:iCs/>
          <w:shd w:fill="auto" w:val="clear"/>
        </w:rPr>
        <w:t xml:space="preserve"> horas</w:t>
      </w:r>
      <w:r>
        <w:rPr>
          <w:shd w:fill="auto" w:val="clea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highlight w:val="none"/>
          <w:shd w:fill="auto" w:val="clear"/>
        </w:rPr>
      </w:pPr>
      <w:r>
        <w:rPr>
          <w:color w:val="111111"/>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auto" w:val="clear"/>
        </w:rPr>
      </w:pPr>
      <w:r>
        <w:rPr>
          <w:shd w:fill="auto" w:val="clear"/>
        </w:rPr>
        <w:t xml:space="preserve">Homologado o resultado do procedimento, o fornecedor mais bem classificado terá o prazo de </w:t>
      </w:r>
      <w:r>
        <w:rPr>
          <w:rFonts w:eastAsia="Arial"/>
          <w:b/>
          <w:color w:val="EE0000"/>
          <w:shd w:fill="auto" w:val="clear"/>
        </w:rPr>
        <w:t>30</w:t>
      </w:r>
      <w:r>
        <w:rPr>
          <w:rFonts w:eastAsia="Arial"/>
          <w:color w:val="EE0000"/>
          <w:shd w:fill="auto" w:val="clear"/>
        </w:rPr>
        <w:t xml:space="preserve"> </w:t>
      </w:r>
      <w:r>
        <w:rPr>
          <w:rFonts w:eastAsia="Arial"/>
          <w:shd w:fill="auto" w:val="clear"/>
        </w:rPr>
        <w:t>(trinta)</w:t>
      </w:r>
      <w:r>
        <w:rPr>
          <w:iCs/>
          <w:shd w:fill="auto" w:val="clear"/>
        </w:rPr>
        <w:t xml:space="preserve"> dias</w:t>
      </w:r>
      <w:r>
        <w:rPr>
          <w:shd w:fill="auto"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auto" w:val="clear"/>
        </w:rPr>
      </w:pPr>
      <w:r>
        <w:rPr>
          <w:shd w:fill="auto"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auto" w:val="clear"/>
        </w:rPr>
      </w:pPr>
      <w:r>
        <w:rPr>
          <w:shd w:fill="auto" w:val="clear"/>
        </w:rPr>
        <w:t>a solicitação seja devidamente justificada e apresentada dentro do prazo; e</w:t>
      </w:r>
    </w:p>
    <w:p>
      <w:pPr>
        <w:pStyle w:val="Nivel3"/>
        <w:numPr>
          <w:ilvl w:val="2"/>
          <w:numId w:val="1"/>
        </w:numPr>
        <w:ind w:hanging="0" w:left="284"/>
        <w:rPr>
          <w:highlight w:val="none"/>
          <w:shd w:fill="auto" w:val="clear"/>
        </w:rPr>
      </w:pPr>
      <w:r>
        <w:rPr>
          <w:shd w:fill="auto" w:val="clear"/>
        </w:rPr>
        <w:t>a justificativa apresentada seja aceita pela Administração.</w:t>
      </w:r>
    </w:p>
    <w:p>
      <w:pPr>
        <w:pStyle w:val="Nivel2"/>
        <w:numPr>
          <w:ilvl w:val="1"/>
          <w:numId w:val="1"/>
        </w:numPr>
        <w:ind w:hanging="0" w:left="0"/>
        <w:rPr>
          <w:highlight w:val="none"/>
          <w:shd w:fill="auto" w:val="clear"/>
        </w:rPr>
      </w:pPr>
      <w:r>
        <w:rPr>
          <w:shd w:fill="auto" w:val="clear"/>
        </w:rPr>
        <w:t>A ata de registro de preços será assinada por meio de assinatura digital e disponibilizada no sistema de registro de preços.</w:t>
      </w:r>
    </w:p>
    <w:p>
      <w:pPr>
        <w:pStyle w:val="Nivel2"/>
        <w:numPr>
          <w:ilvl w:val="1"/>
          <w:numId w:val="1"/>
        </w:numPr>
        <w:ind w:hanging="0" w:left="0"/>
        <w:rPr>
          <w:highlight w:val="none"/>
          <w:shd w:fill="auto" w:val="clear"/>
        </w:rPr>
      </w:pPr>
      <w:r>
        <w:rPr>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auto" w:val="clear"/>
        </w:rPr>
      </w:pPr>
      <w:r>
        <w:rPr>
          <w:shd w:fill="auto"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auto" w:val="clear"/>
        </w:rPr>
      </w:pPr>
      <w:r>
        <w:rPr>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auto" w:val="clear"/>
        </w:rPr>
      </w:pPr>
      <w:r>
        <w:rPr>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auto" w:val="clear"/>
        </w:rPr>
      </w:pPr>
      <w:r>
        <w:rPr>
          <w:shd w:fill="auto" w:val="clear"/>
        </w:rPr>
        <w:t>O prazo de vigência da ata de registro de preços será de 1 (um) ano e poderá ser prorrogado, por igual período, desde que comprovado o preço vantajoso.</w:t>
      </w:r>
    </w:p>
    <w:p>
      <w:pPr>
        <w:pStyle w:val="Nvel3-R"/>
        <w:numPr>
          <w:ilvl w:val="2"/>
          <w:numId w:val="1"/>
        </w:numPr>
        <w:ind w:hanging="0" w:left="284"/>
        <w:rPr>
          <w:highlight w:val="none"/>
          <w:shd w:fill="auto" w:val="clear"/>
        </w:rPr>
      </w:pPr>
      <w:r>
        <w:rPr>
          <w:color w:val="111111"/>
          <w:shd w:fill="auto" w:val="clear"/>
        </w:rPr>
        <w:t xml:space="preserve">Em caso de prorrogação da ata, </w:t>
      </w:r>
      <w:r>
        <w:rPr>
          <w:b/>
          <w:bCs/>
          <w:color w:val="111111"/>
          <w:shd w:fill="auto" w:val="clear"/>
        </w:rPr>
        <w:t xml:space="preserve">poderá </w:t>
      </w:r>
      <w:r>
        <w:rPr>
          <w:color w:val="111111"/>
          <w:shd w:fill="auto" w:val="clear"/>
        </w:rPr>
        <w:t>ser renovado o quantitativo originalmente registrado.</w:t>
      </w:r>
    </w:p>
    <w:p>
      <w:pPr>
        <w:pStyle w:val="Nivel01"/>
        <w:numPr>
          <w:ilvl w:val="0"/>
          <w:numId w:val="1"/>
        </w:numPr>
        <w:spacing w:before="288" w:after="288"/>
        <w:ind w:hanging="357" w:left="357"/>
        <w:rPr>
          <w:highlight w:val="none"/>
          <w:shd w:fill="auto" w:val="clear"/>
        </w:rPr>
      </w:pPr>
      <w:bookmarkStart w:id="22" w:name="_Toc226962645"/>
      <w:r>
        <w:rPr>
          <w:shd w:fill="auto" w:val="clear"/>
        </w:rPr>
        <w:t xml:space="preserve">DA </w:t>
      </w:r>
      <w:bookmarkStart w:id="23" w:name="_Toc142925868"/>
      <w:r>
        <w:rPr>
          <w:shd w:fill="auto" w:val="clear"/>
        </w:rPr>
        <w:t>FORMAÇÃO DO CADASTRO DE RESERVA</w:t>
      </w:r>
      <w:bookmarkEnd w:id="22"/>
      <w:bookmarkEnd w:id="23"/>
    </w:p>
    <w:p>
      <w:pPr>
        <w:pStyle w:val="Nivel2"/>
        <w:numPr>
          <w:ilvl w:val="1"/>
          <w:numId w:val="1"/>
        </w:numPr>
        <w:ind w:hanging="0" w:left="0"/>
        <w:rPr>
          <w:highlight w:val="none"/>
          <w:shd w:fill="auto" w:val="clear"/>
        </w:rPr>
      </w:pPr>
      <w:r>
        <w:rPr>
          <w:shd w:fill="auto" w:val="clear"/>
        </w:rPr>
        <w:t>Após a homologação do procedimento, será incluído na ata, na forma de anexo, o registro:</w:t>
      </w:r>
    </w:p>
    <w:p>
      <w:pPr>
        <w:pStyle w:val="Nivel3"/>
        <w:numPr>
          <w:ilvl w:val="2"/>
          <w:numId w:val="1"/>
        </w:numPr>
        <w:ind w:hanging="0" w:left="284"/>
        <w:rPr>
          <w:highlight w:val="none"/>
          <w:shd w:fill="auto" w:val="clear"/>
        </w:rPr>
      </w:pPr>
      <w:r>
        <w:rPr>
          <w:shd w:fill="auto" w:val="clear"/>
        </w:rPr>
        <w:t xml:space="preserve">dos fornecedores </w:t>
      </w:r>
      <w:bookmarkStart w:id="24" w:name="_Hlk132991372"/>
      <w:r>
        <w:rPr>
          <w:shd w:fill="auto" w:val="clear"/>
        </w:rPr>
        <w:t xml:space="preserve">que </w:t>
      </w:r>
      <w:bookmarkStart w:id="25" w:name="_Hlk132989696"/>
      <w:r>
        <w:rPr>
          <w:shd w:fill="auto" w:val="clear"/>
        </w:rPr>
        <w:t>aceitarem cotar o objeto com preço igual ao do adjudicatári</w:t>
      </w:r>
      <w:bookmarkEnd w:id="24"/>
      <w:r>
        <w:rPr>
          <w:shd w:fill="auto" w:val="clear"/>
        </w:rPr>
        <w:t>o</w:t>
      </w:r>
      <w:bookmarkEnd w:id="25"/>
      <w:r>
        <w:rPr>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auto" w:val="clear"/>
        </w:rPr>
      </w:pPr>
      <w:r>
        <w:rPr>
          <w:shd w:fill="auto" w:val="clear"/>
        </w:rPr>
        <w:t>dos fornecedores que mantiverem sua proposta original.</w:t>
      </w:r>
    </w:p>
    <w:p>
      <w:pPr>
        <w:pStyle w:val="Nivel2"/>
        <w:numPr>
          <w:ilvl w:val="1"/>
          <w:numId w:val="1"/>
        </w:numPr>
        <w:ind w:hanging="0" w:left="0"/>
        <w:rPr>
          <w:highlight w:val="none"/>
          <w:shd w:fill="auto" w:val="clear"/>
        </w:rPr>
      </w:pPr>
      <w:r>
        <w:rPr>
          <w:shd w:fill="auto" w:val="clear"/>
        </w:rPr>
        <w:t>Será respeitada, nas contratações, a ordem de classificação dos fornecedores registrados na ata.</w:t>
      </w:r>
    </w:p>
    <w:p>
      <w:pPr>
        <w:pStyle w:val="Nivel2"/>
        <w:numPr>
          <w:ilvl w:val="1"/>
          <w:numId w:val="1"/>
        </w:numPr>
        <w:ind w:hanging="0" w:left="0"/>
        <w:rPr>
          <w:highlight w:val="none"/>
          <w:shd w:fill="auto" w:val="clear"/>
        </w:rPr>
      </w:pPr>
      <w:r>
        <w:rPr>
          <w:shd w:fill="auto" w:val="clear"/>
        </w:rPr>
        <w:t>A apresentação de novas propostas na forma deste item não prejudicará o resultado do procedimento em relação ao fornecedor mais bem classificado.</w:t>
      </w:r>
    </w:p>
    <w:p>
      <w:pPr>
        <w:pStyle w:val="Nivel2"/>
        <w:numPr>
          <w:ilvl w:val="1"/>
          <w:numId w:val="1"/>
        </w:numPr>
        <w:ind w:hanging="0" w:left="0"/>
        <w:rPr>
          <w:highlight w:val="none"/>
          <w:shd w:fill="auto" w:val="clear"/>
        </w:rPr>
      </w:pPr>
      <w:r>
        <w:rPr>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auto" w:val="clear"/>
        </w:rPr>
      </w:pPr>
      <w:r>
        <w:rPr>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auto" w:val="clear"/>
        </w:rPr>
      </w:pPr>
      <w:r>
        <w:rPr>
          <w:shd w:fill="auto"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auto" w:val="clear"/>
        </w:rPr>
      </w:pPr>
      <w:r>
        <w:rPr>
          <w:shd w:fill="auto"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auto" w:val="clear"/>
        </w:rPr>
      </w:pPr>
      <w:r>
        <w:rPr>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auto" w:val="clear"/>
        </w:rPr>
      </w:pPr>
      <w:r>
        <w:rPr>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auto" w:val="clear"/>
        </w:rPr>
      </w:pPr>
      <w:r>
        <w:rPr>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auto" w:val="clear"/>
        </w:rPr>
      </w:pPr>
      <w:bookmarkStart w:id="26" w:name="_Toc226962646"/>
      <w:r>
        <w:rPr>
          <w:shd w:fill="auto" w:val="clear"/>
        </w:rPr>
        <w:t xml:space="preserve">DA </w:t>
      </w:r>
      <w:bookmarkStart w:id="27" w:name="_Toc142925869"/>
      <w:r>
        <w:rPr>
          <w:shd w:fill="auto"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w:t>
      </w:r>
      <w:r>
        <w:rPr>
          <w:shd w:fill="auto" w:val="clear"/>
        </w:rPr>
        <w:t xml:space="preserve"> </w:t>
      </w:r>
      <w:r>
        <w:rPr>
          <w:rFonts w:eastAsia="Arial"/>
          <w:b/>
          <w:bCs/>
          <w:color w:val="111111"/>
          <w:shd w:fill="auto" w:val="clear"/>
        </w:rPr>
        <w:t>7</w:t>
      </w:r>
      <w:r>
        <w:rPr>
          <w:rFonts w:eastAsia="Arial"/>
          <w:color w:val="111111"/>
          <w:shd w:fill="auto" w:val="clear"/>
        </w:rPr>
        <w:t xml:space="preserve"> (</w:t>
      </w:r>
      <w:r>
        <w:rPr>
          <w:rFonts w:eastAsia="Arial"/>
          <w:b/>
          <w:bCs/>
          <w:color w:val="111111"/>
          <w:shd w:fill="auto" w:val="clear"/>
        </w:rPr>
        <w:t>sete</w:t>
      </w:r>
      <w:r>
        <w:rPr>
          <w:rFonts w:eastAsia="Arial"/>
          <w:color w:val="111111"/>
          <w:shd w:fill="auto" w:val="clear"/>
        </w:rPr>
        <w:t>)</w:t>
      </w:r>
      <w:r>
        <w:rPr>
          <w:bCs/>
          <w:iCs/>
          <w:shd w:fill="auto" w:val="clear"/>
        </w:rPr>
        <w:t xml:space="preserve"> </w:t>
      </w:r>
      <w:r>
        <w:rPr>
          <w:bCs/>
          <w:iCs/>
        </w:rPr>
        <w:t>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auto" w:val="clear"/>
        </w:rPr>
        <w:t xml:space="preserve">referida Nota está substituindo o contrato, aplicando-se à relação de negócios ali estabelecida as disposições da </w:t>
      </w:r>
      <w:hyperlink r:id="rId8">
        <w:r>
          <w:rPr>
            <w:rStyle w:val="Hyperlink"/>
            <w:rFonts w:eastAsia="Arial"/>
            <w:color w:val="111111"/>
            <w:u w:val="none"/>
            <w:shd w:fill="auto" w:val="clear"/>
          </w:rPr>
          <w:t>Lei nº 14.133, de 2021</w:t>
        </w:r>
      </w:hyperlink>
      <w:r>
        <w:rPr>
          <w:rFonts w:eastAsia="Arial"/>
          <w:color w:val="111111"/>
          <w:shd w:fill="auto" w:val="clear"/>
        </w:rPr>
        <w:t>;</w:t>
      </w:r>
    </w:p>
    <w:p>
      <w:pPr>
        <w:pStyle w:val="Nvel3-R"/>
        <w:numPr>
          <w:ilvl w:val="2"/>
          <w:numId w:val="1"/>
        </w:numPr>
        <w:ind w:hanging="0" w:left="284"/>
        <w:rPr>
          <w:highlight w:val="none"/>
          <w:shd w:fill="auto" w:val="clear"/>
        </w:rPr>
      </w:pPr>
      <w:r>
        <w:rPr>
          <w:rFonts w:eastAsia="Arial"/>
          <w:color w:val="111111"/>
          <w:shd w:fill="auto"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auto" w:val="clear"/>
        </w:rPr>
        <w:t xml:space="preserve">a contratada reconhece que as hipóteses de rescisão são aquelas previstas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e 138 da Lei nº 14.133, de 2021</w:t>
      </w:r>
      <w:r>
        <w:rPr>
          <w:rStyle w:val="Hyperlink"/>
          <w:u w:val="none"/>
          <w:shd w:fill="auto" w:val="clear"/>
          <w:rFonts w:eastAsia="Arial"/>
          <w:color w:themeColor="hyperlink" w:val="111111"/>
        </w:rPr>
        <w:fldChar w:fldCharType="end"/>
      </w:r>
      <w:r>
        <w:rPr>
          <w:color w:val="111111"/>
          <w:shd w:fill="auto" w:val="clear"/>
        </w:rPr>
        <w:t>,</w:t>
      </w:r>
      <w:r>
        <w:rPr>
          <w:rFonts w:eastAsia="Arial"/>
          <w:color w:val="111111"/>
          <w:shd w:fill="auto" w:val="clear"/>
        </w:rPr>
        <w:t xml:space="preserve"> e reconhece os direitos da Administração previstos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a 139 da mesma Lei</w:t>
      </w:r>
      <w:r>
        <w:rPr>
          <w:rStyle w:val="Hyperlink"/>
          <w:u w:val="none"/>
          <w:shd w:fill="auto" w:val="clear"/>
          <w:rFonts w:eastAsia="Arial"/>
          <w:color w:themeColor="hyperlink" w:val="111111"/>
        </w:rPr>
        <w:fldChar w:fldCharType="end"/>
      </w:r>
      <w:r>
        <w:rPr>
          <w:rFonts w:eastAsia="Arial"/>
          <w:color w:val="111111"/>
          <w:shd w:fill="auto"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shd w:fill="auto" w:val="clear"/>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Anexo- Imagem Ilustrativa do projeto.</w:t>
      </w:r>
    </w:p>
    <w:p>
      <w:pPr>
        <w:pStyle w:val="Nvel3-R"/>
        <w:numPr>
          <w:ilvl w:val="0"/>
          <w:numId w:val="0"/>
        </w:numPr>
        <w:ind w:hanging="0" w:left="284"/>
        <w:rPr>
          <w:color w:val="111111"/>
          <w:highlight w:val="none"/>
          <w:shd w:fill="CCCCCC" w:val="clear"/>
        </w:rPr>
      </w:pPr>
      <w:r>
        <w:rPr>
          <w:color w:val="111111"/>
          <w:shd w:fill="CCCCCC" w:val="clear"/>
        </w:rPr>
      </w:r>
    </w:p>
    <w:p>
      <w:pPr>
        <w:pStyle w:val="Nivel2"/>
        <w:numPr>
          <w:ilvl w:val="0"/>
          <w:numId w:val="0"/>
        </w:numPr>
        <w:ind w:hanging="0" w:left="0"/>
        <w:rPr/>
      </w:pPr>
      <w:r>
        <w:rPr/>
      </w:r>
    </w:p>
    <w:p>
      <w:pPr>
        <w:pStyle w:val="Nivel2"/>
        <w:numPr>
          <w:ilvl w:val="1"/>
          <w:numId w:val="1"/>
        </w:numPr>
        <w:ind w:hanging="0" w:left="0"/>
        <w:rPr/>
      </w:pPr>
      <w:r>
        <w:rPr/>
        <w:t>Rio de Janeiro, data da assinatura digital.</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Carlito" w:hAnsi="Carlito"/>
        <w:sz w:val="20"/>
        <w:szCs w:val="20"/>
      </w:rPr>
    </w:pPr>
    <w:r>
      <w:rPr>
        <w:rFonts w:cs="Arial" w:ascii="Carlito" w:hAnsi="Carlito"/>
        <w:sz w:val="20"/>
        <w:szCs w:val="20"/>
      </w:rPr>
      <w:t xml:space="preserve">                                                                                                                                </w:t>
    </w:r>
    <w:r>
      <w:rPr>
        <w:rFonts w:cs="Arial" w:ascii="Carlito" w:hAnsi="Carlito"/>
        <w:sz w:val="20"/>
        <w:szCs w:val="20"/>
      </w:rPr>
      <w:t>AVISO DE CONTRATAÇÃO DIRETA Nº 178</w:t>
    </w:r>
    <w:r>
      <w:rPr>
        <w:rFonts w:cs="Arial" w:ascii="Carlito" w:hAnsi="Carlito"/>
        <w:b/>
        <w:bCs/>
        <w:color w:val="1C1C1C"/>
        <w:sz w:val="20"/>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-610870</wp:posOffset>
          </wp:positionH>
          <wp:positionV relativeFrom="paragraph">
            <wp:posOffset>-417830</wp:posOffset>
          </wp:positionV>
          <wp:extent cx="7393305" cy="10660380"/>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393305" cy="106603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LibreOffice/24.2.7.2$Linux_X86_64 LibreOffice_project/420$Build-2</Application>
  <AppVersion>15.0000</AppVersion>
  <Pages>17</Pages>
  <Words>6833</Words>
  <Characters>38366</Characters>
  <CharactersWithSpaces>44841</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2026-10-07T14:28:56Z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