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comments.xml" ContentType="application/vnd.openxmlformats-officedocument.wordprocessingml.comments+xml"/>
  <Override PartName="/word/media/image1.wmf" ContentType="image/x-wmf"/>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360" w:after="288"/>
        <w:jc w:val="center"/>
        <w:rPr>
          <w:rFonts w:ascii="Calibri" w:hAnsi="Calibri"/>
          <w:i w:val="false"/>
          <w:i w:val="false"/>
          <w:iCs w:val="false"/>
          <w:color w:val="000000"/>
          <w:sz w:val="22"/>
          <w:szCs w:val="22"/>
          <w:highlight w:val="none"/>
          <w:shd w:fill="auto" w:val="clear"/>
        </w:rPr>
      </w:pPr>
      <w:r>
        <w:drawing>
          <wp:anchor behindDoc="0" distT="0" distB="0" distL="114300" distR="114300" simplePos="0" locked="0" layoutInCell="0" allowOverlap="1" relativeHeight="2">
            <wp:simplePos x="0" y="0"/>
            <wp:positionH relativeFrom="margin">
              <wp:posOffset>2818130</wp:posOffset>
            </wp:positionH>
            <wp:positionV relativeFrom="paragraph">
              <wp:posOffset>64135</wp:posOffset>
            </wp:positionV>
            <wp:extent cx="737870" cy="805815"/>
            <wp:effectExtent l="0" t="0" r="0" b="0"/>
            <wp:wrapTopAndBottom/>
            <wp:docPr id="1" name="Imagem 186696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66963775"/>
                    <pic:cNvPicPr>
                      <a:picLocks noChangeAspect="1" noChangeArrowheads="1"/>
                    </pic:cNvPicPr>
                  </pic:nvPicPr>
                  <pic:blipFill>
                    <a:blip r:embed="rId2"/>
                    <a:stretch>
                      <a:fillRect/>
                    </a:stretch>
                  </pic:blipFill>
                  <pic:spPr bwMode="auto">
                    <a:xfrm>
                      <a:off x="0" y="0"/>
                      <a:ext cx="737870" cy="805815"/>
                    </a:xfrm>
                    <a:prstGeom prst="rect">
                      <a:avLst/>
                    </a:prstGeom>
                    <a:noFill/>
                  </pic:spPr>
                </pic:pic>
              </a:graphicData>
            </a:graphic>
          </wp:anchor>
        </w:drawing>
      </w:r>
      <w:r>
        <w:rPr>
          <w:rFonts w:eastAsia="Times New Roman" w:cs="Arial" w:ascii="Calibri" w:hAnsi="Calibri"/>
          <w:b/>
          <w:i w:val="false"/>
          <w:iCs w:val="false"/>
          <w:color w:val="000000"/>
          <w:sz w:val="22"/>
          <w:szCs w:val="22"/>
          <w:shd w:fill="auto" w:val="clear"/>
        </w:rPr>
        <w:t>MARINHA DO BRASIL</w:t>
      </w:r>
    </w:p>
    <w:p>
      <w:pPr>
        <w:pStyle w:val="Normal"/>
        <w:spacing w:lineRule="auto" w:line="312" w:before="360" w:after="288"/>
        <w:jc w:val="center"/>
        <w:rPr>
          <w:rFonts w:ascii="Calibri" w:hAnsi="Calibri"/>
          <w:i w:val="false"/>
          <w:i w:val="false"/>
          <w:iCs w:val="false"/>
          <w:color w:val="000000"/>
          <w:sz w:val="22"/>
          <w:szCs w:val="22"/>
          <w:highlight w:val="none"/>
          <w:shd w:fill="auto" w:val="clear"/>
        </w:rPr>
      </w:pPr>
      <w:r>
        <w:rPr>
          <w:rFonts w:eastAsia="Times New Roman" w:cs="Arial" w:ascii="Calibri" w:hAnsi="Calibri"/>
          <w:b/>
          <w:i w:val="false"/>
          <w:iCs w:val="false"/>
          <w:color w:val="000000"/>
          <w:sz w:val="22"/>
          <w:szCs w:val="22"/>
          <w:shd w:fill="auto" w:val="clear"/>
        </w:rPr>
        <w:t>COMANDO DO 1º DISTRITO NAVAL</w:t>
      </w:r>
    </w:p>
    <w:p>
      <w:pPr>
        <w:pStyle w:val="Normal"/>
        <w:spacing w:lineRule="auto" w:line="312" w:before="120" w:after="288"/>
        <w:jc w:val="center"/>
        <w:rPr/>
      </w:pPr>
      <w:r>
        <w:rPr>
          <w:rFonts w:cs="Arial" w:ascii="Calibri" w:hAnsi="Calibri"/>
          <w:i w:val="false"/>
          <w:iCs w:val="false"/>
          <w:color w:val="000000"/>
          <w:sz w:val="22"/>
          <w:szCs w:val="22"/>
          <w:shd w:fill="auto" w:val="clear"/>
        </w:rPr>
        <w:t>(Processo Administrativo n</w:t>
      </w:r>
      <w:r>
        <w:rPr>
          <w:rFonts w:cs="Arial" w:ascii="Calibri" w:hAnsi="Calibri"/>
          <w:bCs/>
          <w:i w:val="false"/>
          <w:iCs w:val="false"/>
          <w:color w:val="000000"/>
          <w:sz w:val="22"/>
          <w:szCs w:val="22"/>
          <w:shd w:fill="auto" w:val="clear"/>
        </w:rPr>
        <w:t xml:space="preserve">° </w:t>
      </w:r>
      <w:r>
        <w:rPr>
          <w:rStyle w:val="Strong"/>
          <w:rFonts w:cs="Calibri" w:ascii="Calibri" w:hAnsi="Calibri" w:asciiTheme="majorHAnsi" w:cstheme="majorHAnsi" w:hAnsiTheme="majorHAnsi"/>
          <w:b w:val="false"/>
          <w:i w:val="false"/>
          <w:iCs w:val="false"/>
          <w:color w:val="000000"/>
          <w:sz w:val="22"/>
          <w:szCs w:val="22"/>
          <w:shd w:fill="auto" w:val="clear"/>
        </w:rPr>
        <w:t>62002.002328/2026-45</w:t>
      </w:r>
      <w:r>
        <w:rPr>
          <w:rStyle w:val="Strong"/>
          <w:rFonts w:cs="Arial" w:ascii="Calibri" w:hAnsi="Calibri"/>
          <w:b w:val="false"/>
          <w:bCs w:val="false"/>
          <w:i w:val="false"/>
          <w:iCs w:val="false"/>
          <w:color w:val="000000"/>
          <w:sz w:val="22"/>
          <w:szCs w:val="22"/>
          <w:shd w:fill="auto" w:val="clear"/>
        </w:rPr>
        <w:t xml:space="preserve"> </w:t>
      </w:r>
      <w:r>
        <w:rPr>
          <w:rFonts w:cs="Arial" w:ascii="Calibri" w:hAnsi="Calibri"/>
          <w:bCs/>
          <w:i w:val="false"/>
          <w:iCs w:val="false"/>
          <w:color w:val="000000"/>
          <w:sz w:val="22"/>
          <w:szCs w:val="22"/>
          <w:shd w:fill="auto" w:val="clear"/>
        </w:rPr>
        <w:t>)</w:t>
      </w:r>
    </w:p>
    <w:p>
      <w:pPr>
        <w:pStyle w:val="Normal"/>
        <w:spacing w:lineRule="auto" w:line="312" w:before="0" w:after="288"/>
        <w:jc w:val="center"/>
        <w:rPr>
          <w:rFonts w:ascii="Calibri" w:hAnsi="Calibri"/>
          <w:i w:val="false"/>
          <w:i w:val="false"/>
          <w:iCs w:val="false"/>
          <w:color w:val="000000"/>
          <w:sz w:val="22"/>
          <w:szCs w:val="22"/>
          <w:highlight w:val="none"/>
          <w:shd w:fill="auto" w:val="clear"/>
        </w:rPr>
      </w:pPr>
      <w:r>
        <w:rPr>
          <w:rFonts w:cs="Arial" w:ascii="Calibri" w:hAnsi="Calibri"/>
          <w:b/>
          <w:bCs/>
          <w:i w:val="false"/>
          <w:iCs w:val="false"/>
          <w:color w:val="000000"/>
          <w:sz w:val="22"/>
          <w:szCs w:val="22"/>
          <w:shd w:fill="auto" w:val="clear"/>
        </w:rPr>
        <w:t>TERMO DE REFERÊNCIA</w:t>
      </w:r>
    </w:p>
    <w:p>
      <w:pPr>
        <w:pStyle w:val="Nivel01"/>
        <w:numPr>
          <w:ilvl w:val="0"/>
          <w:numId w:val="1"/>
        </w:numPr>
        <w:ind w:hanging="357" w:start="357"/>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CONDIÇÕES GERAIS DA CONTRATAÇÃO</w:t>
      </w:r>
    </w:p>
    <w:p>
      <w:pPr>
        <w:pStyle w:val="Nivel2"/>
        <w:numPr>
          <w:ilvl w:val="1"/>
          <w:numId w:val="1"/>
        </w:numPr>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Aquisição de materiais acessórios relacionados</w:t>
      </w:r>
      <w:r>
        <w:rPr>
          <w:rFonts w:ascii="Calibri" w:hAnsi="Calibri"/>
          <w:b/>
          <w:bCs/>
          <w:i w:val="false"/>
          <w:iCs w:val="false"/>
          <w:color w:val="000000"/>
          <w:sz w:val="22"/>
          <w:szCs w:val="22"/>
          <w:shd w:fill="auto" w:val="clear"/>
        </w:rPr>
        <w:t>,</w:t>
      </w:r>
      <w:r>
        <w:rPr>
          <w:rFonts w:ascii="Calibri" w:hAnsi="Calibri"/>
          <w:i w:val="false"/>
          <w:iCs w:val="false"/>
          <w:color w:val="000000"/>
          <w:sz w:val="22"/>
          <w:szCs w:val="22"/>
          <w:shd w:fill="auto" w:val="clear"/>
        </w:rPr>
        <w:t xml:space="preserve"> nos termos da tabela abaixo, conforme condições e exigências estabelecidas neste instrumento, conforme imagens constantes no Anexo deste Termo de Referência.</w:t>
      </w:r>
    </w:p>
    <w:tbl>
      <w:tblPr>
        <w:tblW w:w="9930" w:type="dxa"/>
        <w:jc w:val="start"/>
        <w:tblInd w:w="-158" w:type="dxa"/>
        <w:tblLayout w:type="fixed"/>
        <w:tblCellMar>
          <w:top w:w="0" w:type="dxa"/>
          <w:start w:w="103" w:type="dxa"/>
          <w:bottom w:w="0" w:type="dxa"/>
          <w:end w:w="108" w:type="dxa"/>
        </w:tblCellMar>
        <w:tblLook w:firstRow="1" w:noVBand="1" w:lastRow="0" w:firstColumn="1" w:lastColumn="0" w:noHBand="0" w:val="04a0"/>
      </w:tblPr>
      <w:tblGrid>
        <w:gridCol w:w="899"/>
        <w:gridCol w:w="3153"/>
        <w:gridCol w:w="1156"/>
        <w:gridCol w:w="570"/>
        <w:gridCol w:w="1075"/>
        <w:gridCol w:w="1595"/>
        <w:gridCol w:w="1482"/>
      </w:tblGrid>
      <w:tr>
        <w:trPr/>
        <w:tc>
          <w:tcPr>
            <w:tcW w:w="89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jc w:val="center"/>
              <w:rPr>
                <w:rFonts w:ascii="Calibri" w:hAnsi="Calibri"/>
                <w:i w:val="false"/>
                <w:i w:val="false"/>
                <w:iCs w:val="false"/>
                <w:color w:val="000000"/>
                <w:sz w:val="22"/>
                <w:szCs w:val="22"/>
                <w:highlight w:val="none"/>
                <w:shd w:fill="auto" w:val="clear"/>
              </w:rPr>
            </w:pPr>
            <w:r>
              <w:rPr>
                <w:rFonts w:cs="Carlito, Calibri" w:ascii="Calibri" w:hAnsi="Calibri"/>
                <w:b/>
                <w:bCs/>
                <w:i w:val="false"/>
                <w:iCs w:val="false"/>
                <w:color w:val="000000"/>
                <w:sz w:val="22"/>
                <w:szCs w:val="22"/>
                <w:shd w:fill="auto" w:val="clear"/>
              </w:rPr>
              <w:t>ITEM</w:t>
            </w:r>
          </w:p>
        </w:tc>
        <w:tc>
          <w:tcPr>
            <w:tcW w:w="315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jc w:val="center"/>
              <w:rPr>
                <w:rFonts w:ascii="Calibri" w:hAnsi="Calibri"/>
                <w:i w:val="false"/>
                <w:i w:val="false"/>
                <w:iCs w:val="false"/>
                <w:color w:val="000000"/>
                <w:sz w:val="22"/>
                <w:szCs w:val="22"/>
                <w:highlight w:val="none"/>
                <w:shd w:fill="auto" w:val="clear"/>
              </w:rPr>
            </w:pPr>
            <w:r>
              <w:rPr>
                <w:rFonts w:cs="Carlito, Calibri" w:ascii="Calibri" w:hAnsi="Calibri"/>
                <w:b/>
                <w:bCs/>
                <w:i w:val="false"/>
                <w:iCs w:val="false"/>
                <w:color w:val="000000"/>
                <w:sz w:val="22"/>
                <w:szCs w:val="22"/>
                <w:shd w:fill="auto" w:val="clear"/>
              </w:rPr>
              <w:t>DESCRIÇÃO/ESPECIFICAÇÃO</w:t>
            </w:r>
          </w:p>
        </w:tc>
        <w:tc>
          <w:tcPr>
            <w:tcW w:w="115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jc w:val="center"/>
              <w:rPr>
                <w:rFonts w:ascii="Calibri" w:hAnsi="Calibri"/>
                <w:i w:val="false"/>
                <w:i w:val="false"/>
                <w:iCs w:val="false"/>
                <w:color w:val="000000"/>
                <w:sz w:val="22"/>
                <w:szCs w:val="22"/>
                <w:highlight w:val="none"/>
                <w:shd w:fill="auto" w:val="clear"/>
              </w:rPr>
            </w:pPr>
            <w:r>
              <w:rPr>
                <w:rFonts w:cs="Carlito, Calibri" w:ascii="Calibri" w:hAnsi="Calibri"/>
                <w:b/>
                <w:bCs/>
                <w:i w:val="false"/>
                <w:iCs w:val="false"/>
                <w:color w:val="000000"/>
                <w:sz w:val="22"/>
                <w:szCs w:val="22"/>
                <w:shd w:fill="auto" w:val="clear"/>
              </w:rPr>
              <w:t>CATMAT</w:t>
            </w:r>
          </w:p>
        </w:tc>
        <w:tc>
          <w:tcPr>
            <w:tcW w:w="570"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jc w:val="center"/>
              <w:rPr>
                <w:rFonts w:ascii="Calibri" w:hAnsi="Calibri"/>
                <w:i w:val="false"/>
                <w:i w:val="false"/>
                <w:iCs w:val="false"/>
                <w:color w:val="000000"/>
                <w:sz w:val="22"/>
                <w:szCs w:val="22"/>
                <w:highlight w:val="none"/>
                <w:shd w:fill="auto" w:val="clear"/>
              </w:rPr>
            </w:pPr>
            <w:r>
              <w:rPr>
                <w:rFonts w:cs="Carlito, Calibri" w:ascii="Calibri" w:hAnsi="Calibri"/>
                <w:b/>
                <w:bCs/>
                <w:i w:val="false"/>
                <w:iCs w:val="false"/>
                <w:color w:val="000000"/>
                <w:sz w:val="22"/>
                <w:szCs w:val="22"/>
                <w:shd w:fill="auto" w:val="clear"/>
              </w:rPr>
              <w:t>UF</w:t>
            </w:r>
          </w:p>
        </w:tc>
        <w:tc>
          <w:tcPr>
            <w:tcW w:w="1075"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jc w:val="center"/>
              <w:rPr>
                <w:rFonts w:ascii="Calibri" w:hAnsi="Calibri"/>
                <w:i w:val="false"/>
                <w:i w:val="false"/>
                <w:iCs w:val="false"/>
                <w:color w:val="000000"/>
                <w:sz w:val="22"/>
                <w:szCs w:val="22"/>
                <w:highlight w:val="none"/>
                <w:shd w:fill="auto" w:val="clear"/>
              </w:rPr>
            </w:pPr>
            <w:r>
              <w:rPr>
                <w:rFonts w:cs="Carlito, Calibri" w:ascii="Calibri" w:hAnsi="Calibri"/>
                <w:b/>
                <w:bCs/>
                <w:i w:val="false"/>
                <w:iCs w:val="false"/>
                <w:color w:val="000000"/>
                <w:sz w:val="22"/>
                <w:szCs w:val="22"/>
                <w:shd w:fill="auto" w:val="clear"/>
              </w:rPr>
              <w:t>QTD MIN</w:t>
            </w:r>
          </w:p>
        </w:tc>
        <w:tc>
          <w:tcPr>
            <w:tcW w:w="1595"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jc w:val="center"/>
              <w:rPr>
                <w:rFonts w:ascii="Calibri" w:hAnsi="Calibri"/>
                <w:i w:val="false"/>
                <w:i w:val="false"/>
                <w:iCs w:val="false"/>
                <w:color w:val="000000"/>
                <w:sz w:val="22"/>
                <w:szCs w:val="22"/>
                <w:highlight w:val="none"/>
                <w:shd w:fill="auto" w:val="clear"/>
              </w:rPr>
            </w:pPr>
            <w:r>
              <w:rPr>
                <w:rFonts w:cs="Carlito, Calibri" w:ascii="Calibri" w:hAnsi="Calibri"/>
                <w:b/>
                <w:bCs/>
                <w:i w:val="false"/>
                <w:iCs w:val="false"/>
                <w:color w:val="000000"/>
                <w:sz w:val="22"/>
                <w:szCs w:val="22"/>
                <w:shd w:fill="auto" w:val="clear"/>
              </w:rPr>
              <w:t>VALOR UNITÁRIO MÉDIO</w:t>
            </w:r>
          </w:p>
        </w:tc>
        <w:tc>
          <w:tcPr>
            <w:tcW w:w="1482"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jc w:val="center"/>
              <w:rPr>
                <w:rFonts w:ascii="Calibri" w:hAnsi="Calibri"/>
                <w:i w:val="false"/>
                <w:i w:val="false"/>
                <w:iCs w:val="false"/>
                <w:color w:val="000000"/>
                <w:sz w:val="22"/>
                <w:szCs w:val="22"/>
                <w:highlight w:val="none"/>
                <w:shd w:fill="auto" w:val="clear"/>
              </w:rPr>
            </w:pPr>
            <w:r>
              <w:rPr>
                <w:rFonts w:cs="Carlito, Calibri" w:ascii="Calibri" w:hAnsi="Calibri"/>
                <w:b/>
                <w:bCs/>
                <w:i w:val="false"/>
                <w:iCs w:val="false"/>
                <w:color w:val="000000"/>
                <w:sz w:val="22"/>
                <w:szCs w:val="22"/>
                <w:shd w:fill="auto" w:val="clear"/>
              </w:rPr>
              <w:t>VALOR TOTAL ESTIMADO</w:t>
            </w:r>
          </w:p>
        </w:tc>
      </w:tr>
      <w:tr>
        <w:trPr/>
        <w:tc>
          <w:tcPr>
            <w:tcW w:w="89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jc w:val="center"/>
              <w:rPr>
                <w:rFonts w:ascii="Calibri" w:hAnsi="Calibri"/>
                <w:i w:val="false"/>
                <w:i w:val="false"/>
                <w:iCs w:val="false"/>
                <w:color w:val="000000"/>
                <w:sz w:val="22"/>
                <w:szCs w:val="22"/>
                <w:highlight w:val="none"/>
                <w:shd w:fill="auto" w:val="clear"/>
              </w:rPr>
            </w:pPr>
            <w:r>
              <w:rPr>
                <w:rFonts w:eastAsia="MS Mincho" w:cs="Carlito, Calibri" w:ascii="Calibri" w:hAnsi="Calibri"/>
                <w:i w:val="false"/>
                <w:iCs w:val="false"/>
                <w:color w:val="000000"/>
                <w:kern w:val="0"/>
                <w:sz w:val="22"/>
                <w:szCs w:val="22"/>
                <w:shd w:fill="auto" w:val="clear"/>
              </w:rPr>
              <w:t>1</w:t>
            </w:r>
          </w:p>
        </w:tc>
        <w:tc>
          <w:tcPr>
            <w:tcW w:w="315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rPr>
                <w:rFonts w:ascii="Calibri" w:hAnsi="Calibri"/>
                <w:i w:val="false"/>
                <w:i w:val="false"/>
                <w:iCs w:val="false"/>
                <w:color w:val="000000"/>
                <w:sz w:val="22"/>
                <w:szCs w:val="22"/>
                <w:highlight w:val="none"/>
                <w:shd w:fill="auto" w:val="clear"/>
              </w:rPr>
            </w:pPr>
            <w:r>
              <w:rPr>
                <w:rFonts w:eastAsia="MS Mincho" w:cs="Carlito, Calibri" w:ascii="Calibri" w:hAnsi="Calibri"/>
                <w:b/>
                <w:bCs/>
                <w:i w:val="false"/>
                <w:iCs w:val="false"/>
                <w:color w:val="000000"/>
                <w:kern w:val="0"/>
                <w:sz w:val="22"/>
                <w:szCs w:val="22"/>
                <w:shd w:fill="auto" w:val="clear"/>
              </w:rPr>
              <w:t>BANDEIRA SINALIZAÇÃO</w:t>
            </w:r>
            <w:r>
              <w:rPr>
                <w:rFonts w:eastAsia="MS Mincho" w:cs="Carlito, Calibri" w:ascii="Calibri" w:hAnsi="Calibri"/>
                <w:bCs/>
                <w:i w:val="false"/>
                <w:iCs w:val="false"/>
                <w:color w:val="000000"/>
                <w:kern w:val="0"/>
                <w:sz w:val="22"/>
                <w:szCs w:val="22"/>
                <w:shd w:fill="auto" w:val="clear"/>
              </w:rPr>
              <w:t xml:space="preserve"> MATERIAL:POLIAMIDA, TIPO:CORNETA SUBSTITUTA 3A, FORMATO:TRAPEZOIDAL, COR:PRETA E BRANCA, COMPRIMENTO:60 CM, LARGURA:45 CM, CARACTERÍSTICAS ADICIONAIS:TIPO 1, TRÊS LISTRAS HORIZONTAIS DE LARGURA IGUAL</w:t>
            </w:r>
          </w:p>
        </w:tc>
        <w:tc>
          <w:tcPr>
            <w:tcW w:w="115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napToGrid w:val="false"/>
              <w:jc w:val="center"/>
              <w:rPr>
                <w:rFonts w:ascii="Calibri" w:hAnsi="Calibri"/>
                <w:i w:val="false"/>
                <w:i w:val="false"/>
                <w:iCs w:val="false"/>
                <w:color w:val="000000"/>
                <w:sz w:val="22"/>
                <w:szCs w:val="22"/>
                <w:highlight w:val="none"/>
                <w:shd w:fill="auto" w:val="clear"/>
              </w:rPr>
            </w:pPr>
            <w:r>
              <w:rPr>
                <w:rFonts w:cs="Calibri" w:ascii="Calibri" w:hAnsi="Calibri" w:asciiTheme="majorHAnsi" w:cstheme="majorHAnsi" w:hAnsiTheme="majorHAnsi"/>
                <w:i w:val="false"/>
                <w:iCs w:val="false"/>
                <w:color w:val="000000"/>
                <w:sz w:val="22"/>
                <w:szCs w:val="22"/>
                <w:shd w:fill="auto" w:val="clear"/>
              </w:rPr>
              <w:t>299026</w:t>
            </w:r>
          </w:p>
        </w:tc>
        <w:tc>
          <w:tcPr>
            <w:tcW w:w="570"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spacing w:lineRule="auto" w:line="276" w:before="0" w:after="120"/>
              <w:jc w:val="center"/>
              <w:rPr>
                <w:rFonts w:ascii="Calibri" w:hAnsi="Calibri"/>
                <w:i w:val="false"/>
                <w:i w:val="false"/>
                <w:iCs w:val="false"/>
                <w:color w:val="000000"/>
                <w:sz w:val="22"/>
                <w:szCs w:val="22"/>
                <w:highlight w:val="none"/>
                <w:shd w:fill="auto" w:val="clear"/>
              </w:rPr>
            </w:pPr>
            <w:r>
              <w:rPr>
                <w:rFonts w:cs="Carlito, Calibri" w:ascii="Calibri" w:hAnsi="Calibri"/>
                <w:i w:val="false"/>
                <w:iCs w:val="false"/>
                <w:color w:val="000000"/>
                <w:sz w:val="22"/>
                <w:szCs w:val="22"/>
                <w:shd w:fill="auto" w:val="clear"/>
              </w:rPr>
              <w:t>UN</w:t>
            </w:r>
          </w:p>
        </w:tc>
        <w:tc>
          <w:tcPr>
            <w:tcW w:w="1075"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spacing w:lineRule="auto" w:line="276" w:before="0" w:after="120"/>
              <w:jc w:val="center"/>
              <w:rPr>
                <w:rFonts w:ascii="Calibri" w:hAnsi="Calibri"/>
                <w:i w:val="false"/>
                <w:i w:val="false"/>
                <w:iCs w:val="false"/>
                <w:color w:val="000000"/>
                <w:sz w:val="22"/>
                <w:szCs w:val="22"/>
                <w:highlight w:val="none"/>
                <w:shd w:fill="auto" w:val="clear"/>
              </w:rPr>
            </w:pPr>
            <w:r>
              <w:rPr>
                <w:rFonts w:cs="Carlito, Calibri" w:ascii="Calibri" w:hAnsi="Calibri"/>
                <w:i w:val="false"/>
                <w:iCs w:val="false"/>
                <w:color w:val="000000"/>
                <w:sz w:val="22"/>
                <w:szCs w:val="22"/>
                <w:shd w:fill="auto" w:val="clear"/>
              </w:rPr>
              <w:t>16</w:t>
            </w:r>
          </w:p>
        </w:tc>
        <w:tc>
          <w:tcPr>
            <w:tcW w:w="1595"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jc w:val="center"/>
              <w:rPr>
                <w:rFonts w:ascii="Calibri" w:hAnsi="Calibri"/>
                <w:i w:val="false"/>
                <w:i w:val="false"/>
                <w:iCs w:val="false"/>
                <w:color w:val="000000"/>
                <w:sz w:val="22"/>
                <w:szCs w:val="22"/>
                <w:highlight w:val="none"/>
                <w:shd w:fill="auto" w:val="clear"/>
              </w:rPr>
            </w:pPr>
            <w:r>
              <w:rPr>
                <w:rFonts w:cs="Carlito, Calibri" w:ascii="Calibri" w:hAnsi="Calibri"/>
                <w:i w:val="false"/>
                <w:iCs w:val="false"/>
                <w:color w:val="000000"/>
                <w:sz w:val="22"/>
                <w:szCs w:val="22"/>
                <w:shd w:fill="auto" w:val="clear"/>
              </w:rPr>
              <w:t xml:space="preserve">R$ </w:t>
            </w:r>
            <w:r>
              <w:rPr>
                <w:rFonts w:cs="Carlito, Calibri" w:ascii="Calibri" w:hAnsi="Calibri"/>
                <w:i w:val="false"/>
                <w:iCs w:val="false"/>
                <w:color w:val="000000"/>
                <w:sz w:val="22"/>
                <w:szCs w:val="22"/>
                <w:shd w:fill="auto" w:val="clear"/>
              </w:rPr>
              <w:t>65,00</w:t>
            </w:r>
          </w:p>
        </w:tc>
        <w:tc>
          <w:tcPr>
            <w:tcW w:w="1482"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jc w:val="center"/>
              <w:rPr>
                <w:rFonts w:ascii="Calibri" w:hAnsi="Calibri"/>
                <w:i w:val="false"/>
                <w:i w:val="false"/>
                <w:iCs w:val="false"/>
                <w:color w:val="000000"/>
                <w:sz w:val="22"/>
                <w:szCs w:val="22"/>
                <w:highlight w:val="none"/>
                <w:shd w:fill="auto" w:val="clear"/>
              </w:rPr>
            </w:pPr>
            <w:r>
              <w:rPr>
                <w:rFonts w:cs="Carlito, Calibri" w:ascii="Calibri" w:hAnsi="Calibri"/>
                <w:i w:val="false"/>
                <w:iCs w:val="false"/>
                <w:color w:val="000000"/>
                <w:sz w:val="22"/>
                <w:szCs w:val="22"/>
                <w:shd w:fill="auto" w:val="clear"/>
              </w:rPr>
              <w:t>R1.040,00</w:t>
            </w:r>
          </w:p>
        </w:tc>
      </w:tr>
      <w:tr>
        <w:trPr/>
        <w:tc>
          <w:tcPr>
            <w:tcW w:w="8448" w:type="dxa"/>
            <w:gridSpan w:val="6"/>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jc w:val="center"/>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TOTAL</w:t>
            </w:r>
          </w:p>
        </w:tc>
        <w:tc>
          <w:tcPr>
            <w:tcW w:w="1482"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Standard"/>
              <w:widowControl w:val="false"/>
              <w:jc w:val="center"/>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R$ 1.040,00</w:t>
            </w:r>
          </w:p>
        </w:tc>
      </w:tr>
    </w:tbl>
    <w:p>
      <w:pPr>
        <w:pStyle w:val="Normal"/>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r>
    </w:p>
    <w:p>
      <w:pPr>
        <w:pStyle w:val="Nvel2-Opcional"/>
        <w:numPr>
          <w:ilvl w:val="1"/>
          <w:numId w:val="1"/>
        </w:numPr>
        <w:rPr>
          <w:rFonts w:ascii="Calibri" w:hAnsi="Calibri"/>
          <w:i w:val="false"/>
          <w:i w:val="false"/>
          <w:iCs w:val="false"/>
          <w:color w:val="000000"/>
          <w:sz w:val="22"/>
          <w:szCs w:val="22"/>
          <w:highlight w:val="none"/>
          <w:shd w:fill="auto" w:val="clear"/>
        </w:rPr>
      </w:pPr>
      <w:bookmarkStart w:id="0" w:name="_Hlk176363679"/>
      <w:commentRangeStart w:id="0"/>
      <w:r>
        <w:rPr>
          <w:rFonts w:ascii="Calibri" w:hAnsi="Calibri"/>
          <w:i w:val="false"/>
          <w:iCs w:val="false"/>
          <w:color w:val="000000"/>
          <w:sz w:val="22"/>
          <w:szCs w:val="22"/>
          <w:shd w:fill="auto" w:val="clear"/>
        </w:rPr>
        <w:t>O objeto desta contratação não se enquadra como bem de luxo, conforme Decreto nº 10.818, de 27 de setembro de 2021.</w:t>
      </w:r>
      <w:bookmarkEnd w:id="0"/>
      <w:commentRangeEnd w:id="0"/>
      <w:r>
        <w:commentReference w:id="0"/>
      </w:r>
      <w:r>
        <w:rPr>
          <w:rFonts w:ascii="Calibri" w:hAnsi="Calibri"/>
          <w:i w:val="false"/>
          <w:iCs w:val="false"/>
          <w:color w:val="000000"/>
          <w:sz w:val="22"/>
          <w:szCs w:val="22"/>
          <w:shd w:fill="auto" w:val="clear"/>
        </w:rPr>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contrato ou outro instrumento hábil que o substitua oferece maior detalhamento das regras que serão aplicadas em relação à vigência da contratação.</w:t>
      </w:r>
    </w:p>
    <w:p>
      <w:pPr>
        <w:pStyle w:val="Nivel01"/>
        <w:numPr>
          <w:ilvl w:val="0"/>
          <w:numId w:val="1"/>
        </w:numPr>
        <w:ind w:hanging="357" w:start="357"/>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FUNDAMENTAÇÃO E DESCRIÇÃO DA NECESSIDADE DA CONTRATAÇÃO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bookmarkStart w:id="1" w:name="_Hlk170988156"/>
      <w:commentRangeStart w:id="1"/>
      <w:r>
        <w:rPr>
          <w:rFonts w:ascii="Calibri" w:hAnsi="Calibri"/>
          <w:i w:val="false"/>
          <w:iCs w:val="false"/>
          <w:color w:val="000000"/>
          <w:sz w:val="22"/>
          <w:szCs w:val="22"/>
          <w:shd w:fill="auto" w:val="clear"/>
        </w:rPr>
        <w:t>A Fundamentação da Contratação e de seus quantitativos encontra-se pormenorizada em tópico específico dos Estudos Técnicos Preliminares, apêndice deste Termo de Referência.</w:t>
      </w:r>
      <w:bookmarkEnd w:id="1"/>
      <w:commentRangeEnd w:id="1"/>
      <w:r>
        <w:commentReference w:id="1"/>
      </w:r>
      <w:r>
        <w:rPr>
          <w:rFonts w:ascii="Calibri" w:hAnsi="Calibri"/>
          <w:i w:val="false"/>
          <w:iCs w:val="false"/>
          <w:color w:val="000000"/>
          <w:sz w:val="22"/>
          <w:szCs w:val="22"/>
          <w:shd w:fill="auto" w:val="clear"/>
        </w:rPr>
      </w:r>
    </w:p>
    <w:p>
      <w:pPr>
        <w:pStyle w:val="Nvel2-Opcional"/>
        <w:numPr>
          <w:ilvl w:val="1"/>
          <w:numId w:val="1"/>
        </w:numPr>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objeto da contratação está previsto no Plano de Contratações Anual [</w:t>
      </w:r>
      <w:r>
        <w:rPr>
          <w:rFonts w:ascii="Calibri" w:hAnsi="Calibri"/>
          <w:b/>
          <w:bCs/>
          <w:i w:val="false"/>
          <w:iCs w:val="false"/>
          <w:color w:val="000000"/>
          <w:sz w:val="22"/>
          <w:szCs w:val="22"/>
          <w:shd w:fill="auto" w:val="clear"/>
        </w:rPr>
        <w:t>ANO</w:t>
      </w:r>
      <w:r>
        <w:rPr>
          <w:rFonts w:ascii="Calibri" w:hAnsi="Calibri"/>
          <w:i w:val="false"/>
          <w:iCs w:val="false"/>
          <w:color w:val="000000"/>
          <w:sz w:val="22"/>
          <w:szCs w:val="22"/>
          <w:shd w:fill="auto" w:val="clear"/>
        </w:rPr>
        <w:t>], conforme consta das informações básicas desse Termo de Referência.</w:t>
      </w:r>
    </w:p>
    <w:p>
      <w:pPr>
        <w:pStyle w:val="Nivel01"/>
        <w:numPr>
          <w:ilvl w:val="0"/>
          <w:numId w:val="1"/>
        </w:numPr>
        <w:ind w:hanging="357" w:start="357"/>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DESCRIÇÃO DA SOLUÇÃO COMO UM TODO CONSIDERADO O CICLO DE VIDA DO OBJETO E ESPECIFICAÇÃO DO PRODUTO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bookmarkStart w:id="2" w:name="_Ref121236534"/>
      <w:commentRangeStart w:id="2"/>
      <w:r>
        <w:rPr>
          <w:rFonts w:ascii="Calibri" w:hAnsi="Calibri"/>
          <w:i w:val="false"/>
          <w:iCs w:val="false"/>
          <w:color w:val="000000"/>
          <w:sz w:val="22"/>
          <w:szCs w:val="22"/>
          <w:shd w:fill="auto" w:val="clear"/>
        </w:rPr>
        <w:t>A descrição da solução como um todo encontra-se pormenorizada em tópico específico dos Estudos Técnicos Preliminares, apêndice deste Termo de Referência.</w:t>
      </w:r>
      <w:bookmarkEnd w:id="2"/>
      <w:commentRangeEnd w:id="2"/>
      <w:r>
        <w:commentReference w:id="2"/>
      </w:r>
      <w:r>
        <w:rPr>
          <w:rFonts w:ascii="Calibri" w:hAnsi="Calibri"/>
          <w:i w:val="false"/>
          <w:iCs w:val="false"/>
          <w:color w:val="000000"/>
          <w:sz w:val="22"/>
          <w:szCs w:val="22"/>
          <w:shd w:fill="auto" w:val="clear"/>
        </w:rPr>
      </w:r>
    </w:p>
    <w:p>
      <w:pPr>
        <w:pStyle w:val="Nivel01"/>
        <w:numPr>
          <w:ilvl w:val="0"/>
          <w:numId w:val="1"/>
        </w:numPr>
        <w:ind w:hanging="357" w:start="357"/>
        <w:rPr>
          <w:rFonts w:ascii="Calibri" w:hAnsi="Calibri"/>
          <w:i w:val="false"/>
          <w:i w:val="false"/>
          <w:iCs w:val="false"/>
          <w:color w:val="000000"/>
          <w:sz w:val="22"/>
          <w:szCs w:val="22"/>
          <w:highlight w:val="none"/>
          <w:shd w:fill="auto" w:val="clear"/>
        </w:rPr>
      </w:pPr>
      <w:commentRangeStart w:id="3"/>
      <w:r>
        <w:rPr>
          <w:rFonts w:ascii="Calibri" w:hAnsi="Calibri"/>
          <w:i w:val="false"/>
          <w:iCs w:val="false"/>
          <w:color w:val="000000"/>
          <w:sz w:val="22"/>
          <w:szCs w:val="22"/>
          <w:shd w:fill="auto" w:val="clear"/>
        </w:rPr>
        <w:t>REQUISITOS DA CONTRATAÇÃO</w:t>
      </w:r>
      <w:commentRangeEnd w:id="3"/>
      <w:r>
        <w:commentReference w:id="3"/>
      </w:r>
      <w:r>
        <w:rPr>
          <w:rFonts w:ascii="Calibri" w:hAnsi="Calibri"/>
          <w:i w:val="false"/>
          <w:iCs w:val="false"/>
          <w:color w:val="000000"/>
          <w:sz w:val="22"/>
          <w:szCs w:val="22"/>
          <w:shd w:fill="auto" w:val="clear"/>
        </w:rPr>
      </w:r>
    </w:p>
    <w:p>
      <w:pPr>
        <w:pStyle w:val="Nvel1-SemNumerao"/>
        <w:ind w:hanging="0" w:start="0"/>
        <w:rPr>
          <w:rFonts w:ascii="Calibri" w:hAnsi="Calibri"/>
          <w:i w:val="false"/>
          <w:i w:val="false"/>
          <w:iCs w:val="false"/>
          <w:color w:val="000000"/>
          <w:sz w:val="22"/>
          <w:szCs w:val="22"/>
          <w:highlight w:val="none"/>
          <w:shd w:fill="auto" w:val="clear"/>
        </w:rPr>
      </w:pPr>
      <w:commentRangeStart w:id="4"/>
      <w:r>
        <w:rPr>
          <w:rFonts w:ascii="Calibri" w:hAnsi="Calibri"/>
          <w:i w:val="false"/>
          <w:iCs w:val="false"/>
          <w:color w:val="000000"/>
          <w:sz w:val="22"/>
          <w:szCs w:val="22"/>
          <w:shd w:fill="auto" w:val="clear"/>
        </w:rPr>
        <w:t>Garantia da contratação</w:t>
      </w:r>
      <w:commentRangeEnd w:id="4"/>
      <w:r>
        <w:commentReference w:id="4"/>
      </w:r>
      <w:r>
        <w:rPr>
          <w:rFonts w:ascii="Calibri" w:hAnsi="Calibri"/>
          <w:i w:val="false"/>
          <w:iCs w:val="false"/>
          <w:color w:val="000000"/>
          <w:sz w:val="22"/>
          <w:szCs w:val="22"/>
          <w:shd w:fill="auto" w:val="clear"/>
        </w:rPr>
      </w:r>
    </w:p>
    <w:p>
      <w:pPr>
        <w:pStyle w:val="Nvel2-Red"/>
        <w:numPr>
          <w:ilvl w:val="1"/>
          <w:numId w:val="1"/>
        </w:numPr>
        <w:ind w:hanging="0" w:start="0"/>
        <w:rPr/>
      </w:pPr>
      <w:r>
        <w:rPr>
          <w:rFonts w:ascii="Calibri" w:hAnsi="Calibri"/>
          <w:i w:val="false"/>
          <w:iCs w:val="false"/>
          <w:color w:val="000000"/>
          <w:sz w:val="22"/>
          <w:szCs w:val="22"/>
          <w:shd w:fill="auto" w:val="clear"/>
        </w:rPr>
        <w:t xml:space="preserve">Não haverá exigência da garantia da contratação dos </w:t>
      </w:r>
      <w:r>
        <w:fldChar w:fldCharType="begin"/>
      </w:r>
      <w:r>
        <w:rPr>
          <w:u w:val="single"/>
          <w:rStyle w:val="Style4"/>
          <w:sz w:val="22"/>
          <w:i w:val="false"/>
          <w:shd w:fill="auto" w:val="clear"/>
          <w:szCs w:val="22"/>
          <w:iCs w:val="false"/>
          <w:rFonts w:ascii="Calibri" w:hAnsi="Calibri"/>
          <w:color w:val="000000"/>
        </w:rPr>
        <w:instrText xml:space="preserve"> HYPERLINK "http://www.planalto.gov.br/ccivil_03/_ato2019-2022/2021/lei/L14133.htm" \l "art96"</w:instrText>
      </w:r>
      <w:r>
        <w:rPr>
          <w:u w:val="single"/>
          <w:rStyle w:val="Style4"/>
          <w:sz w:val="22"/>
          <w:i w:val="false"/>
          <w:shd w:fill="auto" w:val="clear"/>
          <w:szCs w:val="22"/>
          <w:iCs w:val="false"/>
          <w:rFonts w:ascii="Calibri" w:hAnsi="Calibri"/>
          <w:color w:val="000000"/>
        </w:rPr>
        <w:fldChar w:fldCharType="separate"/>
      </w:r>
      <w:r>
        <w:rPr>
          <w:rStyle w:val="Style4"/>
          <w:rFonts w:ascii="Calibri" w:hAnsi="Calibri"/>
          <w:i w:val="false"/>
          <w:iCs w:val="false"/>
          <w:color w:val="000000"/>
          <w:sz w:val="22"/>
          <w:szCs w:val="22"/>
          <w:u w:val="single"/>
          <w:shd w:fill="auto" w:val="clear"/>
        </w:rPr>
        <w:t>artigos 96 e seguintes da Lei nº 14.133, de 2021</w:t>
      </w:r>
      <w:r>
        <w:rPr>
          <w:u w:val="single"/>
          <w:rStyle w:val="Style4"/>
          <w:sz w:val="22"/>
          <w:i w:val="false"/>
          <w:shd w:fill="auto" w:val="clear"/>
          <w:szCs w:val="22"/>
          <w:iCs w:val="false"/>
          <w:rFonts w:ascii="Calibri" w:hAnsi="Calibri"/>
          <w:color w:val="000000"/>
        </w:rPr>
        <w:fldChar w:fldCharType="end"/>
      </w:r>
      <w:r>
        <w:rPr>
          <w:rFonts w:ascii="Calibri" w:hAnsi="Calibri"/>
          <w:i w:val="false"/>
          <w:iCs w:val="false"/>
          <w:color w:val="000000"/>
          <w:sz w:val="22"/>
          <w:szCs w:val="22"/>
          <w:shd w:fill="auto" w:val="clear"/>
        </w:rPr>
        <w:t>, pelas razões constantes do Estudo Técnico Preliminar.</w:t>
      </w:r>
    </w:p>
    <w:p>
      <w:pPr>
        <w:pStyle w:val="Nivel01"/>
        <w:numPr>
          <w:ilvl w:val="0"/>
          <w:numId w:val="1"/>
        </w:numPr>
        <w:ind w:hanging="357" w:start="357"/>
        <w:rPr>
          <w:rFonts w:ascii="Calibri" w:hAnsi="Calibri"/>
          <w:i w:val="false"/>
          <w:i w:val="false"/>
          <w:iCs w:val="false"/>
          <w:color w:val="000000"/>
          <w:sz w:val="22"/>
          <w:szCs w:val="22"/>
          <w:highlight w:val="none"/>
          <w:shd w:fill="auto" w:val="clear"/>
        </w:rPr>
      </w:pPr>
      <w:commentRangeStart w:id="5"/>
      <w:r>
        <w:rPr>
          <w:rFonts w:ascii="Calibri" w:hAnsi="Calibri"/>
          <w:i w:val="false"/>
          <w:iCs w:val="false"/>
          <w:color w:val="000000"/>
          <w:sz w:val="22"/>
          <w:szCs w:val="22"/>
          <w:shd w:fill="auto" w:val="clear"/>
        </w:rPr>
        <w:t xml:space="preserve">MODELO </w:t>
      </w:r>
      <w:r>
        <w:rPr>
          <w:rFonts w:ascii="Calibri" w:hAnsi="Calibri"/>
          <w:i w:val="false"/>
          <w:iCs w:val="false"/>
          <w:color w:val="000000"/>
          <w:sz w:val="22"/>
          <w:szCs w:val="22"/>
          <w:shd w:fill="auto" w:val="clear"/>
        </w:rPr>
      </w:r>
      <w:commentRangeEnd w:id="5"/>
      <w:r>
        <w:commentReference w:id="5"/>
      </w:r>
      <w:r>
        <w:rPr>
          <w:rFonts w:ascii="Calibri" w:hAnsi="Calibri"/>
          <w:i w:val="false"/>
          <w:iCs w:val="false"/>
          <w:color w:val="000000"/>
          <w:sz w:val="22"/>
          <w:szCs w:val="22"/>
          <w:shd w:fill="auto" w:val="clear"/>
        </w:rPr>
        <w:t>DE EXECUÇÃO DO OBJETO</w:t>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Condições de Entrega</w:t>
      </w:r>
    </w:p>
    <w:p>
      <w:pPr>
        <w:pStyle w:val="Nvel2-Opcional"/>
        <w:numPr>
          <w:ilvl w:val="1"/>
          <w:numId w:val="1"/>
        </w:numPr>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 xml:space="preserve">O prazo de entrega dos bens é de </w:t>
      </w:r>
      <w:r>
        <w:rPr>
          <w:rFonts w:ascii="Calibri" w:hAnsi="Calibri"/>
          <w:i w:val="false"/>
          <w:iCs w:val="false"/>
          <w:color w:val="000000"/>
          <w:sz w:val="22"/>
          <w:szCs w:val="22"/>
          <w:shd w:fill="auto" w:val="clear"/>
        </w:rPr>
        <w:t>2</w:t>
      </w:r>
      <w:r>
        <w:rPr>
          <w:rFonts w:ascii="Calibri" w:hAnsi="Calibri"/>
          <w:i w:val="false"/>
          <w:iCs w:val="false"/>
          <w:color w:val="000000"/>
          <w:sz w:val="22"/>
          <w:szCs w:val="22"/>
          <w:shd w:fill="auto" w:val="clear"/>
        </w:rPr>
        <w:t xml:space="preserve"> (d</w:t>
      </w:r>
      <w:r>
        <w:rPr>
          <w:rFonts w:ascii="Calibri" w:hAnsi="Calibri"/>
          <w:i w:val="false"/>
          <w:iCs w:val="false"/>
          <w:color w:val="000000"/>
          <w:sz w:val="22"/>
          <w:szCs w:val="22"/>
          <w:shd w:fill="auto" w:val="clear"/>
        </w:rPr>
        <w:t>ois</w:t>
      </w:r>
      <w:r>
        <w:rPr>
          <w:rFonts w:ascii="Calibri" w:hAnsi="Calibri"/>
          <w:i w:val="false"/>
          <w:iCs w:val="false"/>
          <w:color w:val="000000"/>
          <w:sz w:val="22"/>
          <w:szCs w:val="22"/>
          <w:shd w:fill="auto" w:val="clear"/>
        </w:rPr>
        <w:t xml:space="preserve">) dias, contados da solicitação da contratante  em que constarão os itens e quantidades solicitados. </w:t>
      </w:r>
    </w:p>
    <w:p>
      <w:pPr>
        <w:pStyle w:val="Nvel2-Opcional"/>
        <w:numPr>
          <w:ilvl w:val="1"/>
          <w:numId w:val="1"/>
        </w:numPr>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Caso não seja possível a entrega na data assinalada, a empresa deverá comunicar as razões respectivas com pelo menos 7 (sete.) dias de antecedência para que qualquer pleito de prorrogação de prazo seja analisado, ressalvadas situações de caso fortuito e força maior.</w:t>
      </w:r>
    </w:p>
    <w:p>
      <w:pPr>
        <w:pStyle w:val="Nvel2-Opcional"/>
        <w:numPr>
          <w:ilvl w:val="1"/>
          <w:numId w:val="1"/>
        </w:numPr>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Os bens deverão ser entregues no seguinte endereço: Assessoria de Comunicação Social do Comando do 1º Distrito Naval – Praça Mauá, 65, Centro, Rio de Janeiro/RJ CEP-20081-240.</w:t>
      </w:r>
    </w:p>
    <w:p>
      <w:pPr>
        <w:pStyle w:val="Nivel01"/>
        <w:numPr>
          <w:ilvl w:val="0"/>
          <w:numId w:val="1"/>
        </w:numPr>
        <w:ind w:hanging="357" w:start="357"/>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MODELO DE GESTÃO DO CONTRATO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contrato deverá ser executado fielmente pelas partes, de acordo com as cláusulas avençadas e as normas da Lei nº 14.133, de 2021, e cada parte responderá pelas consequências de sua inexecução total ou parcial.</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Em caso de impedimento, ordem de paralisação ou suspensão do contrato, o cronograma de execução será prorrogado automaticamente pelo tempo correspondente, anotadas tais circunstâncias mediante simples apostila.</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As comunicações entre o órgão ou entidade e a contratada devem ser realizadas por escrito sempre que o ato exigir tal formalidade, admitindo-se o uso de mensagem eletrônica para esse fim.</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órgão ou entidade poderá convocar representante da empresa para adoção de providências que devam ser cumpridas de imediato.</w:t>
      </w:r>
    </w:p>
    <w:p>
      <w:pPr>
        <w:pStyle w:val="Nvel2-Opcional"/>
        <w:numPr>
          <w:ilvl w:val="1"/>
          <w:numId w:val="1"/>
        </w:numPr>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Fiscalização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commentRangeStart w:id="6"/>
      <w:r>
        <w:rPr>
          <w:rFonts w:ascii="Calibri" w:hAnsi="Calibri"/>
          <w:i w:val="false"/>
          <w:iCs w:val="false"/>
          <w:color w:val="000000"/>
          <w:sz w:val="22"/>
          <w:szCs w:val="22"/>
          <w:shd w:fill="auto" w:val="clear"/>
        </w:rPr>
        <w:t>A execução do contrato deverá ser acompanhada e fiscalizada pelo(s) fiscal(is) do contrato, ou pelos respectivos substitutos.</w:t>
      </w:r>
      <w:commentRangeEnd w:id="6"/>
      <w:r>
        <w:commentReference w:id="6"/>
      </w:r>
      <w:r>
        <w:rPr>
          <w:rFonts w:ascii="Calibri" w:hAnsi="Calibri"/>
          <w:i w:val="false"/>
          <w:iCs w:val="false"/>
          <w:color w:val="000000"/>
          <w:sz w:val="22"/>
          <w:szCs w:val="22"/>
          <w:shd w:fill="auto" w:val="clear"/>
        </w:rPr>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Fiscalização Técnica</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fiscal técnico do contrato acompanhará a execução do contrato, para que sejam cumpridas todas as condições estabelecidas no contrato, de modo a assegurar os melhores resultados para a Administração.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fiscal técnico do contrato anotará no histórico de gerenciamento do contrato todas as ocorrências relacionadas à execução do contrato, com a descrição do que for necessário para a regularização das faltas ou dos defeitos observados.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Identificada qualquer inexatidão ou irregularidade, o fiscal técnico do contrato emitirá notificações para a correção da execução do contrato, determinando prazo para a correção.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fiscal técnico do contrato informará ao gestor do contato, em tempo hábil, a situação que demandar decisão ou adoção de medidas que ultrapassem sua competência, para que adote as medidas necessárias e saneadoras, se for o caso.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No caso de ocorrências que possam inviabilizar a execução do contrato nas datas aprazadas, o fiscal técnico do contrato comunicará o fato imediatamente ao gestor do contrato.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fiscal técnico do contrato comunicará ao gestor do contrato, em tempo hábil, o término do contrato sob sua responsabilidade, com vistas à renovação tempestiva ou à prorrogação contratual.</w:t>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Fiscalização Administrativa</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Caso ocorra descumprimento das obrigações contratuais, o fiscal administrativo do contrato atuará tempestivamente na solução do problema, reportando ao gestor do contrato para que tome as providências cabíveis, quando ultrapassar a sua competência.</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Gestor do Contrato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Cabe ao gestor do contrato:</w:t>
      </w:r>
    </w:p>
    <w:p>
      <w:pPr>
        <w:pStyle w:val="Nivel3"/>
        <w:numPr>
          <w:ilvl w:val="2"/>
          <w:numId w:val="3"/>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Nivel3"/>
        <w:numPr>
          <w:ilvl w:val="2"/>
          <w:numId w:val="4"/>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acompanhar os registros realizados pelos fiscais do contrato, de todas as ocorrências relacionadas à execução do contrato e as medidas adotadas, informando, se for o caso, à autoridade superior àquelas que ultrapassarem a sua competência.</w:t>
      </w:r>
    </w:p>
    <w:p>
      <w:pPr>
        <w:pStyle w:val="Nivel3"/>
        <w:numPr>
          <w:ilvl w:val="2"/>
          <w:numId w:val="5"/>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acompanhar a manutenção das condições de habilitação da contratada, para fins de empenho de despesa e pagamento, e anotará os problemas que obstem o fluxo normal da liquidação e do pagamento da despesa no relatório de riscos eventuais.</w:t>
      </w:r>
    </w:p>
    <w:p>
      <w:pPr>
        <w:pStyle w:val="Nivel3"/>
        <w:numPr>
          <w:ilvl w:val="2"/>
          <w:numId w:val="6"/>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Nivel3"/>
        <w:numPr>
          <w:ilvl w:val="2"/>
          <w:numId w:val="7"/>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Nivel3"/>
        <w:numPr>
          <w:ilvl w:val="2"/>
          <w:numId w:val="8"/>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elaborar relatório final com informações sobre a consecução dos objetivos que tenham justificado a contratação e eventuais condutas a serem adotadas para o aprimoramento das atividades da Administração.</w:t>
      </w:r>
    </w:p>
    <w:p>
      <w:pPr>
        <w:pStyle w:val="Nivel3"/>
        <w:numPr>
          <w:ilvl w:val="2"/>
          <w:numId w:val="9"/>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enviar a documentação pertinente ao setor de contratos para a formalização dos procedimentos de liquidação e pagamento, no valor dimensionado pela fiscalização e gestão nos termos do contrato.</w:t>
      </w:r>
    </w:p>
    <w:p>
      <w:pPr>
        <w:pStyle w:val="Nivel01"/>
        <w:numPr>
          <w:ilvl w:val="0"/>
          <w:numId w:val="1"/>
        </w:numPr>
        <w:ind w:hanging="357" w:start="357"/>
        <w:rPr>
          <w:rFonts w:ascii="Calibri" w:hAnsi="Calibri"/>
          <w:i w:val="false"/>
          <w:i w:val="false"/>
          <w:iCs w:val="false"/>
          <w:color w:val="000000"/>
          <w:sz w:val="22"/>
          <w:szCs w:val="22"/>
          <w:highlight w:val="none"/>
          <w:shd w:fill="auto" w:val="clear"/>
        </w:rPr>
      </w:pPr>
      <w:bookmarkStart w:id="3" w:name="_Hlk114498447"/>
      <w:bookmarkStart w:id="4" w:name="_Hlk114498479"/>
      <w:bookmarkEnd w:id="3"/>
      <w:bookmarkEnd w:id="4"/>
      <w:r>
        <w:rPr>
          <w:rFonts w:ascii="Calibri" w:hAnsi="Calibri"/>
          <w:i w:val="false"/>
          <w:iCs w:val="false"/>
          <w:color w:val="000000"/>
          <w:sz w:val="22"/>
          <w:szCs w:val="22"/>
          <w:shd w:fill="auto" w:val="clear"/>
        </w:rPr>
        <w:t>INFRAÇÕES E SANÇÕES ADMINISTRATIVAS</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Comete </w:t>
      </w:r>
      <w:r>
        <w:rPr>
          <w:rFonts w:ascii="Calibri" w:hAnsi="Calibri"/>
          <w:i w:val="false"/>
          <w:iCs w:val="false"/>
          <w:color w:val="000000"/>
          <w:sz w:val="22"/>
          <w:szCs w:val="22"/>
          <w:shd w:fill="auto" w:val="clear"/>
        </w:rPr>
        <w:t>infração</w:t>
      </w:r>
      <w:r>
        <w:rPr>
          <w:rStyle w:val="normaltextrun"/>
          <w:rFonts w:ascii="Calibri" w:hAnsi="Calibri"/>
          <w:i w:val="false"/>
          <w:iCs w:val="false"/>
          <w:color w:val="000000"/>
          <w:sz w:val="22"/>
          <w:szCs w:val="22"/>
          <w:shd w:fill="auto" w:val="clear"/>
        </w:rPr>
        <w:t xml:space="preserve"> administrativa, nos termos da </w:t>
      </w:r>
      <w:r>
        <w:rPr>
          <w:rStyle w:val="normaltextrun"/>
          <w:rFonts w:ascii="Calibri" w:hAnsi="Calibri"/>
          <w:i w:val="false"/>
          <w:iCs w:val="false"/>
          <w:color w:val="000000"/>
          <w:sz w:val="22"/>
          <w:szCs w:val="22"/>
          <w:shd w:fill="auto" w:val="clear"/>
        </w:rPr>
        <w:t>Lei nº 14.133, de 2021</w:t>
      </w:r>
      <w:r>
        <w:rPr>
          <w:rStyle w:val="normaltextrun"/>
          <w:rFonts w:ascii="Calibri" w:hAnsi="Calibri"/>
          <w:i w:val="false"/>
          <w:iCs w:val="false"/>
          <w:color w:val="000000"/>
          <w:sz w:val="22"/>
          <w:szCs w:val="22"/>
          <w:shd w:fill="auto" w:val="clear"/>
        </w:rPr>
        <w:t>, o Contratado que:</w:t>
      </w:r>
    </w:p>
    <w:p>
      <w:pPr>
        <w:pStyle w:val="paragraph"/>
        <w:numPr>
          <w:ilvl w:val="0"/>
          <w:numId w:val="2"/>
        </w:numPr>
        <w:spacing w:lineRule="auto" w:line="276" w:beforeAutospacing="0" w:before="120" w:afterAutospacing="0" w:after="0"/>
        <w:ind w:hanging="0" w:start="284"/>
        <w:jc w:val="both"/>
        <w:textAlignment w:val="baseline"/>
        <w:rPr/>
      </w:pPr>
      <w:r>
        <w:rPr>
          <w:rStyle w:val="normaltextrun"/>
          <w:rFonts w:ascii="Calibri" w:hAnsi="Calibri"/>
          <w:i w:val="false"/>
          <w:iCs w:val="false"/>
          <w:color w:val="000000"/>
          <w:sz w:val="22"/>
          <w:szCs w:val="22"/>
          <w:shd w:fill="auto" w:val="clear"/>
        </w:rPr>
        <w:t>der causa à inexecução parcial do contrato;</w:t>
      </w:r>
    </w:p>
    <w:p>
      <w:pPr>
        <w:pStyle w:val="paragraph"/>
        <w:numPr>
          <w:ilvl w:val="0"/>
          <w:numId w:val="2"/>
        </w:numPr>
        <w:spacing w:lineRule="auto" w:line="276" w:beforeAutospacing="0" w:before="0" w:afterAutospacing="0" w:after="0"/>
        <w:ind w:hanging="0" w:start="284"/>
        <w:jc w:val="both"/>
        <w:textAlignment w:val="baseline"/>
        <w:rPr/>
      </w:pPr>
      <w:r>
        <w:rPr>
          <w:rStyle w:val="normaltextrun"/>
          <w:rFonts w:ascii="Calibri" w:hAnsi="Calibri"/>
          <w:i w:val="false"/>
          <w:iCs w:val="false"/>
          <w:color w:val="000000"/>
          <w:sz w:val="22"/>
          <w:szCs w:val="22"/>
          <w:shd w:fill="auto" w:val="clear"/>
        </w:rPr>
        <w:t>der causa à inexecução parcial do contrato que cause grave dano à Administração ou ao funcionamento dos serviços públicos ou ao interesse coletivo;</w:t>
      </w:r>
    </w:p>
    <w:p>
      <w:pPr>
        <w:pStyle w:val="paragraph"/>
        <w:numPr>
          <w:ilvl w:val="0"/>
          <w:numId w:val="2"/>
        </w:numPr>
        <w:spacing w:lineRule="auto" w:line="276" w:beforeAutospacing="0" w:before="0" w:afterAutospacing="0" w:after="0"/>
        <w:ind w:hanging="0" w:start="284"/>
        <w:jc w:val="both"/>
        <w:textAlignment w:val="baseline"/>
        <w:rPr/>
      </w:pPr>
      <w:r>
        <w:rPr>
          <w:rStyle w:val="normaltextrun"/>
          <w:rFonts w:ascii="Calibri" w:hAnsi="Calibri"/>
          <w:i w:val="false"/>
          <w:iCs w:val="false"/>
          <w:color w:val="000000"/>
          <w:sz w:val="22"/>
          <w:szCs w:val="22"/>
          <w:shd w:fill="auto" w:val="clear"/>
        </w:rPr>
        <w:t>der causa à inexecução total do contrato;</w:t>
      </w:r>
    </w:p>
    <w:p>
      <w:pPr>
        <w:pStyle w:val="paragraph"/>
        <w:numPr>
          <w:ilvl w:val="0"/>
          <w:numId w:val="2"/>
        </w:numPr>
        <w:spacing w:lineRule="auto" w:line="276" w:beforeAutospacing="0" w:before="0" w:afterAutospacing="0" w:after="0"/>
        <w:ind w:hanging="0" w:start="284"/>
        <w:jc w:val="both"/>
        <w:textAlignment w:val="baseline"/>
        <w:rPr/>
      </w:pPr>
      <w:r>
        <w:rPr>
          <w:rStyle w:val="normaltextrun"/>
          <w:rFonts w:ascii="Calibri" w:hAnsi="Calibri"/>
          <w:i w:val="false"/>
          <w:iCs w:val="false"/>
          <w:color w:val="000000"/>
          <w:sz w:val="22"/>
          <w:szCs w:val="22"/>
          <w:shd w:fill="auto" w:val="clear"/>
        </w:rPr>
        <w:t>ensejar o retardamento da execução ou da entrega do objeto da contratação sem motivo justificado;</w:t>
      </w:r>
    </w:p>
    <w:p>
      <w:pPr>
        <w:pStyle w:val="paragraph"/>
        <w:numPr>
          <w:ilvl w:val="0"/>
          <w:numId w:val="2"/>
        </w:numPr>
        <w:spacing w:lineRule="auto" w:line="276" w:beforeAutospacing="0" w:before="0" w:afterAutospacing="0" w:after="0"/>
        <w:ind w:hanging="0" w:start="284"/>
        <w:jc w:val="both"/>
        <w:textAlignment w:val="baseline"/>
        <w:rPr/>
      </w:pPr>
      <w:r>
        <w:rPr>
          <w:rStyle w:val="normaltextrun"/>
          <w:rFonts w:ascii="Calibri" w:hAnsi="Calibri"/>
          <w:i w:val="false"/>
          <w:iCs w:val="false"/>
          <w:color w:val="000000"/>
          <w:sz w:val="22"/>
          <w:szCs w:val="22"/>
          <w:shd w:fill="auto" w:val="clear"/>
        </w:rPr>
        <w:t>apresentar documentação falsa ou prestar declaração falsa durante a execução do contrato;</w:t>
      </w:r>
    </w:p>
    <w:p>
      <w:pPr>
        <w:pStyle w:val="paragraph"/>
        <w:numPr>
          <w:ilvl w:val="0"/>
          <w:numId w:val="2"/>
        </w:numPr>
        <w:spacing w:lineRule="auto" w:line="276" w:beforeAutospacing="0" w:before="0" w:afterAutospacing="0" w:after="0"/>
        <w:ind w:hanging="0" w:start="284"/>
        <w:jc w:val="both"/>
        <w:textAlignment w:val="baseline"/>
        <w:rPr/>
      </w:pPr>
      <w:r>
        <w:rPr>
          <w:rStyle w:val="normaltextrun"/>
          <w:rFonts w:ascii="Calibri" w:hAnsi="Calibri"/>
          <w:i w:val="false"/>
          <w:iCs w:val="false"/>
          <w:color w:val="000000"/>
          <w:sz w:val="22"/>
          <w:szCs w:val="22"/>
          <w:shd w:fill="auto" w:val="clear"/>
        </w:rPr>
        <w:t>praticar ato fraudulento na execução do contrato;</w:t>
      </w:r>
    </w:p>
    <w:p>
      <w:pPr>
        <w:pStyle w:val="paragraph"/>
        <w:numPr>
          <w:ilvl w:val="0"/>
          <w:numId w:val="2"/>
        </w:numPr>
        <w:spacing w:lineRule="auto" w:line="276" w:beforeAutospacing="0" w:before="0" w:afterAutospacing="0" w:after="0"/>
        <w:ind w:hanging="0" w:start="284"/>
        <w:jc w:val="both"/>
        <w:textAlignment w:val="baseline"/>
        <w:rPr/>
      </w:pPr>
      <w:r>
        <w:rPr>
          <w:rStyle w:val="normaltextrun"/>
          <w:rFonts w:ascii="Calibri" w:hAnsi="Calibri"/>
          <w:i w:val="false"/>
          <w:iCs w:val="false"/>
          <w:color w:val="000000"/>
          <w:sz w:val="22"/>
          <w:szCs w:val="22"/>
          <w:shd w:fill="auto" w:val="clear"/>
        </w:rPr>
        <w:t>comportar-se de modo inidôneo ou cometer fraude de qualquer natureza;</w:t>
      </w:r>
    </w:p>
    <w:p>
      <w:pPr>
        <w:pStyle w:val="paragraph"/>
        <w:numPr>
          <w:ilvl w:val="0"/>
          <w:numId w:val="2"/>
        </w:numPr>
        <w:spacing w:lineRule="auto" w:line="276" w:beforeAutospacing="0" w:before="0" w:afterAutospacing="0" w:after="0"/>
        <w:ind w:hanging="0" w:start="284"/>
        <w:jc w:val="both"/>
        <w:textAlignment w:val="baseline"/>
        <w:rPr/>
      </w:pPr>
      <w:r>
        <w:rPr>
          <w:rStyle w:val="normaltextrun"/>
          <w:rFonts w:ascii="Calibri" w:hAnsi="Calibri"/>
          <w:i w:val="false"/>
          <w:iCs w:val="false"/>
          <w:color w:val="000000"/>
          <w:sz w:val="22"/>
          <w:szCs w:val="22"/>
          <w:shd w:fill="auto" w:val="clear"/>
        </w:rPr>
        <w:t>praticar ato lesivo previsto no art. 5º da Lei nº 12.846, de 1º de agosto de 2013.</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Serão </w:t>
      </w:r>
      <w:r>
        <w:rPr>
          <w:rFonts w:ascii="Calibri" w:hAnsi="Calibri"/>
          <w:i w:val="false"/>
          <w:iCs w:val="false"/>
          <w:color w:val="000000"/>
          <w:sz w:val="22"/>
          <w:szCs w:val="22"/>
          <w:shd w:fill="auto" w:val="clear"/>
        </w:rPr>
        <w:t>aplicadas</w:t>
      </w:r>
      <w:r>
        <w:rPr>
          <w:rStyle w:val="normaltextrun"/>
          <w:rFonts w:ascii="Calibri" w:hAnsi="Calibri"/>
          <w:i w:val="false"/>
          <w:iCs w:val="false"/>
          <w:color w:val="000000"/>
          <w:sz w:val="22"/>
          <w:szCs w:val="22"/>
          <w:shd w:fill="auto" w:val="clear"/>
        </w:rPr>
        <w:t xml:space="preserve"> ao Contratado que incorrer nas infrações acima descritas as seguintes sanções:</w:t>
      </w:r>
    </w:p>
    <w:p>
      <w:pPr>
        <w:pStyle w:val="Nivel3"/>
        <w:numPr>
          <w:ilvl w:val="2"/>
          <w:numId w:val="1"/>
        </w:numPr>
        <w:ind w:hanging="0" w:start="284"/>
        <w:rPr/>
      </w:pPr>
      <w:r>
        <w:rPr>
          <w:rStyle w:val="normaltextrun"/>
          <w:rFonts w:ascii="Calibri" w:hAnsi="Calibri"/>
          <w:i w:val="false"/>
          <w:iCs w:val="false"/>
          <w:color w:val="000000"/>
          <w:sz w:val="22"/>
          <w:szCs w:val="22"/>
          <w:shd w:fill="auto" w:val="clear"/>
        </w:rPr>
        <w:t>Advertência, quando o Contratado der causa à inexecução parcial do contrato, sempre que não se justificar a imposição de penalidade mais grave;</w:t>
      </w:r>
    </w:p>
    <w:p>
      <w:pPr>
        <w:pStyle w:val="Nivel3"/>
        <w:numPr>
          <w:ilvl w:val="2"/>
          <w:numId w:val="1"/>
        </w:numPr>
        <w:ind w:hanging="0" w:start="284"/>
        <w:rPr/>
      </w:pPr>
      <w:r>
        <w:rPr>
          <w:rStyle w:val="normaltextrun"/>
          <w:rFonts w:ascii="Calibri" w:hAnsi="Calibri"/>
          <w:i w:val="false"/>
          <w:iCs w:val="false"/>
          <w:color w:val="000000"/>
          <w:sz w:val="22"/>
          <w:szCs w:val="22"/>
          <w:shd w:fill="auto" w:val="clear"/>
        </w:rPr>
        <w:t>Impedimento de licitar e contratar, quando praticadas as condutas descritas nas alíneas “b”, “c” e “d” do subitem acima, sempre que não se justificar a imposição de penalidade mais grave;</w:t>
      </w:r>
    </w:p>
    <w:p>
      <w:pPr>
        <w:pStyle w:val="Nivel3"/>
        <w:numPr>
          <w:ilvl w:val="2"/>
          <w:numId w:val="1"/>
        </w:numPr>
        <w:ind w:hanging="0" w:start="284"/>
        <w:rPr/>
      </w:pPr>
      <w:r>
        <w:rPr>
          <w:rStyle w:val="normaltextrun"/>
          <w:rFonts w:ascii="Calibri" w:hAnsi="Calibri"/>
          <w:i w:val="false"/>
          <w:iCs w:val="false"/>
          <w:color w:val="000000"/>
          <w:sz w:val="22"/>
          <w:szCs w:val="22"/>
          <w:shd w:fill="auto" w:val="clear"/>
        </w:rPr>
        <w:t>Declaração de inidoneidade para licitar e contratar, quando praticadas as condutas descritas nas alíneas “e”, “f”, “g” e “h” do subitem acima, bem como nas alíneas “b”, “c” e “d”, que justifiquem a imposição de penalidade mais grave.</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A aplicação das sanções previstas </w:t>
      </w:r>
      <w:bookmarkStart w:id="5" w:name="_Hlk170830409"/>
      <w:r>
        <w:rPr>
          <w:rStyle w:val="normaltextrun"/>
          <w:rFonts w:ascii="Calibri" w:hAnsi="Calibri"/>
          <w:i w:val="false"/>
          <w:iCs w:val="false"/>
          <w:color w:val="000000"/>
          <w:sz w:val="22"/>
          <w:szCs w:val="22"/>
          <w:shd w:fill="auto" w:val="clear"/>
        </w:rPr>
        <w:t xml:space="preserve">neste </w:t>
      </w:r>
      <w:r>
        <w:rPr>
          <w:rFonts w:ascii="Calibri" w:hAnsi="Calibri"/>
          <w:i w:val="false"/>
          <w:iCs w:val="false"/>
          <w:color w:val="000000"/>
          <w:sz w:val="22"/>
          <w:szCs w:val="22"/>
          <w:shd w:fill="auto" w:val="clear"/>
        </w:rPr>
        <w:t xml:space="preserve">Termo de Referência </w:t>
      </w:r>
      <w:bookmarkEnd w:id="5"/>
      <w:r>
        <w:rPr>
          <w:rStyle w:val="normaltextrun"/>
          <w:rFonts w:ascii="Calibri" w:hAnsi="Calibri"/>
          <w:i w:val="false"/>
          <w:iCs w:val="false"/>
          <w:color w:val="000000"/>
          <w:sz w:val="22"/>
          <w:szCs w:val="22"/>
          <w:shd w:fill="auto" w:val="clear"/>
        </w:rPr>
        <w:t>não exclui, em hipótese alguma, a obrigação de reparação integral do dano causado ao Contratante</w:t>
      </w:r>
      <w:r>
        <w:rPr>
          <w:rStyle w:val="normaltextrun"/>
          <w:rFonts w:ascii="Calibri" w:hAnsi="Calibri"/>
          <w:i w:val="false"/>
          <w:iCs w:val="false"/>
          <w:color w:val="000000"/>
          <w:sz w:val="22"/>
          <w:szCs w:val="22"/>
          <w:shd w:fill="auto" w:val="clear"/>
        </w:rPr>
        <w:t>.</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Todas as sanções previstas neste </w:t>
      </w:r>
      <w:r>
        <w:rPr>
          <w:rFonts w:ascii="Calibri" w:hAnsi="Calibri"/>
          <w:i w:val="false"/>
          <w:iCs w:val="false"/>
          <w:color w:val="000000"/>
          <w:sz w:val="22"/>
          <w:szCs w:val="22"/>
          <w:shd w:fill="auto" w:val="clear"/>
        </w:rPr>
        <w:t>Termo de Referência</w:t>
      </w:r>
      <w:r>
        <w:rPr>
          <w:rStyle w:val="normaltextrun"/>
          <w:rFonts w:ascii="Calibri" w:hAnsi="Calibri"/>
          <w:i w:val="false"/>
          <w:iCs w:val="false"/>
          <w:color w:val="000000"/>
          <w:sz w:val="22"/>
          <w:szCs w:val="22"/>
          <w:shd w:fill="auto" w:val="clear"/>
        </w:rPr>
        <w:t xml:space="preserve"> poderão ser aplicadas cumulativamente com a multa</w:t>
      </w:r>
      <w:r>
        <w:rPr>
          <w:rStyle w:val="normaltextrun"/>
          <w:rFonts w:ascii="Calibri" w:hAnsi="Calibri"/>
          <w:i w:val="false"/>
          <w:iCs w:val="false"/>
          <w:color w:val="000000"/>
          <w:sz w:val="22"/>
          <w:szCs w:val="22"/>
          <w:shd w:fill="auto" w:val="clear"/>
        </w:rPr>
        <w:t>.</w:t>
      </w:r>
    </w:p>
    <w:p>
      <w:pPr>
        <w:pStyle w:val="Nvel02"/>
        <w:numPr>
          <w:ilvl w:val="1"/>
          <w:numId w:val="1"/>
        </w:numPr>
        <w:shd w:val="clear" w:color="auto" w:fill="FFFFFF"/>
        <w:ind w:hanging="0" w:start="0"/>
        <w:rPr/>
      </w:pPr>
      <w:r>
        <w:rPr>
          <w:rFonts w:ascii="Calibri" w:hAnsi="Calibri"/>
          <w:i w:val="false"/>
          <w:iCs w:val="false"/>
          <w:color w:val="000000"/>
          <w:sz w:val="22"/>
          <w:szCs w:val="22"/>
          <w:shd w:fill="auto" w:val="clear"/>
        </w:rPr>
        <w:t xml:space="preserve">Antes da aplicação da </w:t>
      </w:r>
      <w:r>
        <w:rPr>
          <w:rStyle w:val="normaltextrun"/>
          <w:rFonts w:ascii="Calibri" w:hAnsi="Calibri"/>
          <w:i w:val="false"/>
          <w:iCs w:val="false"/>
          <w:color w:val="000000"/>
          <w:sz w:val="22"/>
          <w:szCs w:val="22"/>
          <w:shd w:fill="auto" w:val="clear"/>
        </w:rPr>
        <w:t>multa</w:t>
      </w:r>
      <w:r>
        <w:rPr>
          <w:rFonts w:ascii="Calibri" w:hAnsi="Calibri"/>
          <w:i w:val="false"/>
          <w:iCs w:val="false"/>
          <w:color w:val="000000"/>
          <w:sz w:val="22"/>
          <w:szCs w:val="22"/>
          <w:shd w:fill="auto" w:val="clear"/>
        </w:rPr>
        <w:t xml:space="preserve"> será facultada a defesa do interessado no prazo de 15 (quinze) dias úteis, contado da data de sua intimação</w:t>
      </w:r>
      <w:r>
        <w:rPr>
          <w:rStyle w:val="normaltextrun"/>
          <w:rFonts w:ascii="Calibri" w:hAnsi="Calibri"/>
          <w:i w:val="false"/>
          <w:iCs w:val="false"/>
          <w:color w:val="000000"/>
          <w:sz w:val="22"/>
          <w:szCs w:val="22"/>
          <w:shd w:fill="auto" w:val="clear"/>
        </w:rPr>
        <w:t>.</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Se a multa aplicada e as indenizações cabíveis forem superiores ao valor do pagamento </w:t>
      </w:r>
      <w:r>
        <w:rPr>
          <w:rFonts w:ascii="Calibri" w:hAnsi="Calibri"/>
          <w:i w:val="false"/>
          <w:iCs w:val="false"/>
          <w:color w:val="000000"/>
          <w:sz w:val="22"/>
          <w:szCs w:val="22"/>
          <w:shd w:fill="auto" w:val="clear"/>
        </w:rPr>
        <w:t>eventualmente</w:t>
      </w:r>
      <w:r>
        <w:rPr>
          <w:rStyle w:val="normaltextrun"/>
          <w:rFonts w:ascii="Calibri" w:hAnsi="Calibri"/>
          <w:i w:val="false"/>
          <w:iCs w:val="false"/>
          <w:color w:val="000000"/>
          <w:sz w:val="22"/>
          <w:szCs w:val="22"/>
          <w:shd w:fill="auto" w:val="clear"/>
        </w:rPr>
        <w:t xml:space="preserve"> devido pelo Contratante ao Contratado, além da perda desse valor, a diferença será descontada da garantia prestada ou será cobrada judicialmente.</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A multa poderá ser recolhida </w:t>
      </w:r>
      <w:r>
        <w:rPr>
          <w:rFonts w:ascii="Calibri" w:hAnsi="Calibri"/>
          <w:i w:val="false"/>
          <w:iCs w:val="false"/>
          <w:color w:val="000000"/>
          <w:sz w:val="22"/>
          <w:szCs w:val="22"/>
          <w:shd w:fill="auto" w:val="clear"/>
        </w:rPr>
        <w:t>administrativamente</w:t>
      </w:r>
      <w:r>
        <w:rPr>
          <w:rStyle w:val="normaltextrun"/>
          <w:rFonts w:ascii="Calibri" w:hAnsi="Calibri"/>
          <w:i w:val="false"/>
          <w:iCs w:val="false"/>
          <w:color w:val="000000"/>
          <w:sz w:val="22"/>
          <w:szCs w:val="22"/>
          <w:shd w:fill="auto" w:val="clear"/>
        </w:rPr>
        <w:t xml:space="preserve"> no prazo máximo de </w:t>
      </w:r>
      <w:r>
        <w:rPr>
          <w:rStyle w:val="normaltextrun"/>
          <w:rFonts w:ascii="Calibri" w:hAnsi="Calibri"/>
          <w:i w:val="false"/>
          <w:iCs w:val="false"/>
          <w:color w:val="000000"/>
          <w:sz w:val="22"/>
          <w:szCs w:val="22"/>
          <w:shd w:fill="auto" w:val="clear"/>
        </w:rPr>
        <w:t>XX</w:t>
      </w:r>
      <w:r>
        <w:rPr>
          <w:rStyle w:val="normaltextrun"/>
          <w:rFonts w:ascii="Calibri" w:hAnsi="Calibri"/>
          <w:i w:val="false"/>
          <w:iCs w:val="false"/>
          <w:color w:val="000000"/>
          <w:sz w:val="22"/>
          <w:szCs w:val="22"/>
          <w:shd w:fill="auto" w:val="clear"/>
        </w:rPr>
        <w:t xml:space="preserve"> (</w:t>
      </w:r>
      <w:r>
        <w:rPr>
          <w:rStyle w:val="normaltextrun"/>
          <w:rFonts w:ascii="Calibri" w:hAnsi="Calibri"/>
          <w:i w:val="false"/>
          <w:iCs w:val="false"/>
          <w:color w:val="000000"/>
          <w:sz w:val="22"/>
          <w:szCs w:val="22"/>
          <w:shd w:fill="auto" w:val="clear"/>
        </w:rPr>
        <w:t>xxxxx</w:t>
      </w:r>
      <w:r>
        <w:rPr>
          <w:rStyle w:val="normaltextrun"/>
          <w:rFonts w:ascii="Calibri" w:hAnsi="Calibri"/>
          <w:i w:val="false"/>
          <w:iCs w:val="false"/>
          <w:color w:val="000000"/>
          <w:sz w:val="22"/>
          <w:szCs w:val="22"/>
          <w:shd w:fill="auto" w:val="clear"/>
        </w:rPr>
        <w:t xml:space="preserve">) </w:t>
      </w:r>
      <w:r>
        <w:rPr>
          <w:rStyle w:val="normaltextrun"/>
          <w:rFonts w:ascii="Calibri" w:hAnsi="Calibri"/>
          <w:i w:val="false"/>
          <w:iCs w:val="false"/>
          <w:color w:val="000000"/>
          <w:sz w:val="22"/>
          <w:szCs w:val="22"/>
          <w:shd w:fill="auto" w:val="clear"/>
        </w:rPr>
        <w:t>dias, a contar da data do recebimento da comunicação enviada pela autoridade competente.</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A aplicação das sanções realizar-se-á em processo administrativo que assegure o contraditório e a ampla defesa ao Contratado, observando-se o procedimento previsto no caput e </w:t>
      </w:r>
      <w:r>
        <w:rPr>
          <w:rStyle w:val="normaltextrun"/>
          <w:rFonts w:ascii="Calibri" w:hAnsi="Calibri"/>
          <w:i w:val="false"/>
          <w:iCs w:val="false"/>
          <w:color w:val="000000"/>
          <w:sz w:val="22"/>
          <w:szCs w:val="22"/>
          <w:shd w:fill="auto" w:val="clear"/>
        </w:rPr>
        <w:t>parágrafos do art. 158 da Lei nº 14.133, de 2021, para as penalidades de impedimento de licitar e contratar e de</w:t>
      </w:r>
      <w:r>
        <w:rPr>
          <w:rStyle w:val="normaltextrun"/>
          <w:rFonts w:ascii="Calibri" w:hAnsi="Calibri"/>
          <w:i w:val="false"/>
          <w:iCs w:val="false"/>
          <w:color w:val="000000"/>
          <w:sz w:val="22"/>
          <w:szCs w:val="22"/>
          <w:shd w:fill="auto" w:val="clear"/>
        </w:rPr>
        <w:t xml:space="preserve"> declaração de inidoneidade para licitar ou contratar.</w:t>
      </w:r>
    </w:p>
    <w:p>
      <w:pPr>
        <w:pStyle w:val="Nivel3"/>
        <w:numPr>
          <w:ilvl w:val="2"/>
          <w:numId w:val="1"/>
        </w:numPr>
        <w:ind w:hanging="0" w:start="284"/>
        <w:rPr/>
      </w:pPr>
      <w:r>
        <w:rPr>
          <w:rStyle w:val="normaltextrun"/>
          <w:rFonts w:ascii="Calibri" w:hAnsi="Calibri"/>
          <w:i w:val="false"/>
          <w:iCs w:val="false"/>
          <w:color w:val="000000"/>
          <w:sz w:val="22"/>
          <w:szCs w:val="22"/>
          <w:shd w:fill="auto" w:val="clear"/>
        </w:rPr>
        <w:t>Para a garantia da ampla defesa e contraditório, as notificações serão enviadas eletronicamente para os endereços de e-mail informados na proposta comercial, bem como os cadastrados pela empresa no SICAF.</w:t>
      </w:r>
    </w:p>
    <w:p>
      <w:pPr>
        <w:pStyle w:val="Nivel3"/>
        <w:numPr>
          <w:ilvl w:val="2"/>
          <w:numId w:val="1"/>
        </w:numPr>
        <w:ind w:hanging="0" w:start="284"/>
        <w:rPr/>
      </w:pPr>
      <w:r>
        <w:rPr>
          <w:rStyle w:val="normaltextrun"/>
          <w:rFonts w:ascii="Calibri" w:hAnsi="Calibri"/>
          <w:i w:val="false"/>
          <w:iCs w:val="false"/>
          <w:color w:val="000000"/>
          <w:sz w:val="22"/>
          <w:szCs w:val="22"/>
          <w:shd w:fill="auto" w:val="clear"/>
        </w:rPr>
        <w:t>Os endereços de e-mail informados na proposta comercial e/ou cadastrados no Sicaf serão considerados de uso contínuo da empresa, não cabendo alegação de desconhecimento das comunicações a eles comprovadamente enviadas.</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Na aplicação </w:t>
      </w:r>
      <w:r>
        <w:rPr>
          <w:rFonts w:ascii="Calibri" w:hAnsi="Calibri"/>
          <w:i w:val="false"/>
          <w:iCs w:val="false"/>
          <w:color w:val="000000"/>
          <w:sz w:val="22"/>
          <w:szCs w:val="22"/>
          <w:shd w:fill="auto" w:val="clear"/>
        </w:rPr>
        <w:t>das</w:t>
      </w:r>
      <w:r>
        <w:rPr>
          <w:rStyle w:val="normaltextrun"/>
          <w:rFonts w:ascii="Calibri" w:hAnsi="Calibri"/>
          <w:i w:val="false"/>
          <w:iCs w:val="false"/>
          <w:color w:val="000000"/>
          <w:sz w:val="22"/>
          <w:szCs w:val="22"/>
          <w:shd w:fill="auto" w:val="clear"/>
        </w:rPr>
        <w:t xml:space="preserve"> sanções serão considerados:</w:t>
      </w:r>
    </w:p>
    <w:p>
      <w:pPr>
        <w:pStyle w:val="Nivel3"/>
        <w:numPr>
          <w:ilvl w:val="2"/>
          <w:numId w:val="1"/>
        </w:numPr>
        <w:ind w:hanging="0" w:start="284"/>
        <w:rPr/>
      </w:pPr>
      <w:r>
        <w:rPr>
          <w:rStyle w:val="normaltextrun"/>
          <w:rFonts w:ascii="Calibri" w:hAnsi="Calibri"/>
          <w:i w:val="false"/>
          <w:iCs w:val="false"/>
          <w:color w:val="000000"/>
          <w:sz w:val="22"/>
          <w:szCs w:val="22"/>
          <w:shd w:fill="auto" w:val="clear"/>
        </w:rPr>
        <w:t>a natureza e a gravidade da infração cometida;</w:t>
      </w:r>
    </w:p>
    <w:p>
      <w:pPr>
        <w:pStyle w:val="Nivel3"/>
        <w:numPr>
          <w:ilvl w:val="2"/>
          <w:numId w:val="1"/>
        </w:numPr>
        <w:ind w:hanging="0" w:start="284"/>
        <w:rPr/>
      </w:pPr>
      <w:r>
        <w:rPr>
          <w:rStyle w:val="normaltextrun"/>
          <w:rFonts w:ascii="Calibri" w:hAnsi="Calibri"/>
          <w:i w:val="false"/>
          <w:iCs w:val="false"/>
          <w:color w:val="000000"/>
          <w:sz w:val="22"/>
          <w:szCs w:val="22"/>
          <w:shd w:fill="auto" w:val="clear"/>
        </w:rPr>
        <w:t>as peculiaridades do caso concreto;</w:t>
      </w:r>
    </w:p>
    <w:p>
      <w:pPr>
        <w:pStyle w:val="Nivel3"/>
        <w:numPr>
          <w:ilvl w:val="2"/>
          <w:numId w:val="1"/>
        </w:numPr>
        <w:ind w:hanging="0" w:start="284"/>
        <w:rPr/>
      </w:pPr>
      <w:r>
        <w:rPr>
          <w:rStyle w:val="normaltextrun"/>
          <w:rFonts w:ascii="Calibri" w:hAnsi="Calibri"/>
          <w:i w:val="false"/>
          <w:iCs w:val="false"/>
          <w:color w:val="000000"/>
          <w:sz w:val="22"/>
          <w:szCs w:val="22"/>
          <w:shd w:fill="auto" w:val="clear"/>
        </w:rPr>
        <w:t>as circunstâncias agravantes ou atenuantes;</w:t>
      </w:r>
    </w:p>
    <w:p>
      <w:pPr>
        <w:pStyle w:val="Nivel3"/>
        <w:numPr>
          <w:ilvl w:val="2"/>
          <w:numId w:val="1"/>
        </w:numPr>
        <w:ind w:hanging="0" w:start="284"/>
        <w:rPr/>
      </w:pPr>
      <w:r>
        <w:rPr>
          <w:rFonts w:ascii="Calibri" w:hAnsi="Calibri"/>
          <w:i w:val="false"/>
          <w:iCs w:val="false"/>
          <w:color w:val="000000"/>
          <w:sz w:val="22"/>
          <w:szCs w:val="22"/>
          <w:shd w:fill="auto" w:val="clear"/>
        </w:rPr>
        <w:t>os danos que dela provierem para o Contratante;</w:t>
      </w:r>
      <w:r>
        <w:rPr>
          <w:rStyle w:val="normaltextrun"/>
          <w:rFonts w:cs="Arial" w:ascii="Calibri" w:hAnsi="Calibri"/>
          <w:i w:val="false"/>
          <w:iCs w:val="false"/>
          <w:color w:val="000000"/>
          <w:sz w:val="22"/>
          <w:szCs w:val="22"/>
          <w:shd w:fill="auto" w:val="clear"/>
        </w:rPr>
        <w:t xml:space="preserve"> </w:t>
      </w:r>
      <w:r>
        <w:rPr>
          <w:rStyle w:val="normaltextrun"/>
          <w:rFonts w:ascii="Calibri" w:hAnsi="Calibri"/>
          <w:i w:val="false"/>
          <w:iCs w:val="false"/>
          <w:color w:val="000000"/>
          <w:sz w:val="22"/>
          <w:szCs w:val="22"/>
          <w:shd w:fill="auto" w:val="clear"/>
        </w:rPr>
        <w:t>e</w:t>
      </w:r>
    </w:p>
    <w:p>
      <w:pPr>
        <w:pStyle w:val="Nivel3"/>
        <w:numPr>
          <w:ilvl w:val="2"/>
          <w:numId w:val="1"/>
        </w:numPr>
        <w:ind w:hanging="0" w:start="284"/>
        <w:rPr/>
      </w:pPr>
      <w:r>
        <w:rPr>
          <w:rStyle w:val="normaltextrun"/>
          <w:rFonts w:ascii="Calibri" w:hAnsi="Calibri"/>
          <w:i w:val="false"/>
          <w:iCs w:val="false"/>
          <w:color w:val="000000"/>
          <w:sz w:val="22"/>
          <w:szCs w:val="22"/>
          <w:shd w:fill="auto" w:val="clear"/>
        </w:rPr>
        <w:t>a implantação ou o aperfeiçoamento de programa de integridade, conforme normas e orientações dos órgãos de controle.</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Os atos previstos como infrações </w:t>
      </w:r>
      <w:r>
        <w:rPr>
          <w:rStyle w:val="normaltextrun"/>
          <w:rFonts w:ascii="Calibri" w:hAnsi="Calibri"/>
          <w:i w:val="false"/>
          <w:iCs w:val="false"/>
          <w:color w:val="000000"/>
          <w:sz w:val="22"/>
          <w:szCs w:val="22"/>
          <w:shd w:fill="auto" w:val="clear"/>
        </w:rPr>
        <w:t xml:space="preserve">administrativas na Lei nº 14.133, de 2021, ou em outras leis de licitações e contratos da </w:t>
      </w:r>
      <w:r>
        <w:rPr>
          <w:rFonts w:ascii="Calibri" w:hAnsi="Calibri"/>
          <w:i w:val="false"/>
          <w:iCs w:val="false"/>
          <w:color w:val="000000"/>
          <w:sz w:val="22"/>
          <w:szCs w:val="22"/>
          <w:shd w:fill="auto" w:val="clear"/>
        </w:rPr>
        <w:t>Administração</w:t>
      </w:r>
      <w:r>
        <w:rPr>
          <w:rStyle w:val="normaltextrun"/>
          <w:rFonts w:ascii="Calibri" w:hAnsi="Calibri"/>
          <w:i w:val="false"/>
          <w:iCs w:val="false"/>
          <w:color w:val="000000"/>
          <w:sz w:val="22"/>
          <w:szCs w:val="22"/>
          <w:shd w:fill="auto" w:val="clear"/>
        </w:rPr>
        <w:t xml:space="preserve"> Pública que também sejam tipificados como atos lesivos na Lei nº 12.846, de 2013, serão apurados e julgados conj</w:t>
      </w:r>
      <w:r>
        <w:rPr>
          <w:rStyle w:val="normaltextrun"/>
          <w:rFonts w:ascii="Calibri" w:hAnsi="Calibri"/>
          <w:i w:val="false"/>
          <w:iCs w:val="false"/>
          <w:color w:val="000000"/>
          <w:sz w:val="22"/>
          <w:szCs w:val="22"/>
          <w:shd w:fill="auto" w:val="clear"/>
        </w:rPr>
        <w:t xml:space="preserve">untamente, nos mesmos autos, observados o rito procedimental e autoridade competente definidos na </w:t>
      </w:r>
      <w:r>
        <w:rPr>
          <w:rStyle w:val="normaltextrun"/>
          <w:rFonts w:ascii="Calibri" w:hAnsi="Calibri"/>
          <w:i w:val="false"/>
          <w:iCs w:val="false"/>
          <w:color w:val="000000"/>
          <w:sz w:val="22"/>
          <w:szCs w:val="22"/>
          <w:shd w:fill="auto" w:val="clear"/>
        </w:rPr>
        <w:t>referida Lei.</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A personalidade jurídica do Contratado poderá ser desconsiderada sempre que utilizada com abuso do direito para facilitar, encobrir ou dissimular a prática dos atos ilícitos </w:t>
      </w:r>
      <w:bookmarkStart w:id="6" w:name="_Hlk170830482"/>
      <w:r>
        <w:rPr>
          <w:rStyle w:val="normaltextrun"/>
          <w:rFonts w:ascii="Calibri" w:hAnsi="Calibri"/>
          <w:i w:val="false"/>
          <w:iCs w:val="false"/>
          <w:color w:val="000000"/>
          <w:sz w:val="22"/>
          <w:szCs w:val="22"/>
          <w:shd w:fill="auto" w:val="clear"/>
        </w:rPr>
        <w:t xml:space="preserve">previstos </w:t>
      </w:r>
      <w:r>
        <w:rPr>
          <w:rFonts w:ascii="Calibri" w:hAnsi="Calibri"/>
          <w:i w:val="false"/>
          <w:iCs w:val="false"/>
          <w:color w:val="000000"/>
          <w:sz w:val="22"/>
          <w:szCs w:val="22"/>
          <w:shd w:fill="auto" w:val="clear"/>
        </w:rPr>
        <w:t>neste Termo de Referência</w:t>
      </w:r>
      <w:bookmarkEnd w:id="6"/>
      <w:r>
        <w:rPr>
          <w:rStyle w:val="normaltextrun"/>
          <w:rFonts w:ascii="Calibri" w:hAnsi="Calibri"/>
          <w:i w:val="false"/>
          <w:iCs w:val="false"/>
          <w:color w:val="000000"/>
          <w:sz w:val="22"/>
          <w:szCs w:val="22"/>
          <w:shd w:fill="auto" w:val="clear"/>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O Contratante deverá, no prazo máximo </w:t>
      </w:r>
      <w:r>
        <w:rPr>
          <w:rStyle w:val="normaltextrun"/>
          <w:rFonts w:ascii="Calibri" w:hAnsi="Calibri"/>
          <w:i w:val="false"/>
          <w:iCs w:val="false"/>
          <w:color w:val="000000"/>
          <w:sz w:val="22"/>
          <w:szCs w:val="22"/>
          <w:shd w:fill="auto" w:val="clear"/>
        </w:rPr>
        <w:t>de</w:t>
      </w:r>
      <w:r>
        <w:rPr>
          <w:rStyle w:val="normaltextrun"/>
          <w:rFonts w:ascii="Calibri" w:hAnsi="Calibri"/>
          <w:i w:val="false"/>
          <w:iCs w:val="false"/>
          <w:color w:val="000000"/>
          <w:sz w:val="22"/>
          <w:szCs w:val="22"/>
          <w:shd w:fill="auto" w:val="clear"/>
        </w:rPr>
        <w:t xml:space="preserve"> 15 (quinze) dias úteis, contado da data de aplicação da sanção, </w:t>
      </w:r>
      <w:r>
        <w:rPr>
          <w:rFonts w:ascii="Calibri" w:hAnsi="Calibri"/>
          <w:i w:val="false"/>
          <w:iCs w:val="false"/>
          <w:color w:val="000000"/>
          <w:sz w:val="22"/>
          <w:szCs w:val="22"/>
          <w:shd w:fill="auto" w:val="clear"/>
        </w:rPr>
        <w:t>informar</w:t>
      </w:r>
      <w:r>
        <w:rPr>
          <w:rStyle w:val="normaltextrun"/>
          <w:rFonts w:ascii="Calibri" w:hAnsi="Calibri"/>
          <w:i w:val="false"/>
          <w:iCs w:val="false"/>
          <w:color w:val="000000"/>
          <w:sz w:val="22"/>
          <w:szCs w:val="22"/>
          <w:shd w:fill="auto" w:val="clear"/>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As sanções de impedimento de licitar e contratar e declaração de inidoneidade para licitar ou contratar são passíveis </w:t>
      </w:r>
      <w:r>
        <w:rPr>
          <w:rFonts w:ascii="Calibri" w:hAnsi="Calibri"/>
          <w:i w:val="false"/>
          <w:iCs w:val="false"/>
          <w:color w:val="000000"/>
          <w:sz w:val="22"/>
          <w:szCs w:val="22"/>
          <w:shd w:fill="auto" w:val="clear"/>
        </w:rPr>
        <w:t>de</w:t>
      </w:r>
      <w:r>
        <w:rPr>
          <w:rStyle w:val="normaltextrun"/>
          <w:rFonts w:ascii="Calibri" w:hAnsi="Calibri"/>
          <w:i w:val="false"/>
          <w:iCs w:val="false"/>
          <w:color w:val="000000"/>
          <w:sz w:val="22"/>
          <w:szCs w:val="22"/>
          <w:shd w:fill="auto" w:val="clear"/>
        </w:rPr>
        <w:t xml:space="preserve"> reabilitação na forma do art. 163 da Lei nº 14.133, de 2021.</w:t>
      </w:r>
    </w:p>
    <w:p>
      <w:pPr>
        <w:pStyle w:val="Nvel02"/>
        <w:numPr>
          <w:ilvl w:val="1"/>
          <w:numId w:val="1"/>
        </w:numPr>
        <w:shd w:val="clear" w:color="auto" w:fill="FFFFFF"/>
        <w:ind w:hanging="0" w:start="0"/>
        <w:rPr/>
      </w:pPr>
      <w:r>
        <w:rPr>
          <w:rFonts w:ascii="Calibri" w:hAnsi="Calibri"/>
          <w:i w:val="false"/>
          <w:iCs w:val="false"/>
          <w:color w:val="000000"/>
          <w:sz w:val="22"/>
          <w:szCs w:val="22"/>
          <w:shd w:fill="auto" w:val="clear"/>
        </w:rPr>
        <w:t>Os</w:t>
      </w:r>
      <w:r>
        <w:rPr>
          <w:rStyle w:val="normaltextrun"/>
          <w:rFonts w:ascii="Calibri" w:hAnsi="Calibri"/>
          <w:i w:val="false"/>
          <w:iCs w:val="false"/>
          <w:color w:val="000000"/>
          <w:sz w:val="22"/>
          <w:szCs w:val="22"/>
          <w:shd w:fill="auto" w:val="clear"/>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w:t>
      </w:r>
      <w:r>
        <w:rPr>
          <w:rStyle w:val="normaltextrun"/>
          <w:rFonts w:ascii="Calibri" w:hAnsi="Calibri"/>
          <w:i w:val="false"/>
          <w:iCs w:val="false"/>
          <w:color w:val="000000"/>
          <w:sz w:val="22"/>
          <w:szCs w:val="22"/>
          <w:shd w:fill="auto" w:val="clear"/>
        </w:rPr>
        <w:t>da Instrução Normativa SEGES/ME nº 26, de 13 de abril de 2022.</w:t>
      </w:r>
    </w:p>
    <w:p>
      <w:pPr>
        <w:pStyle w:val="Nivel01"/>
        <w:numPr>
          <w:ilvl w:val="0"/>
          <w:numId w:val="1"/>
        </w:numPr>
        <w:ind w:hanging="357" w:start="357"/>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CRITÉRIOS DE MEDIÇÃO E DE PAGAMENTO</w:t>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Recebimento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commentRangeStart w:id="7"/>
      <w:r>
        <w:rPr>
          <w:rFonts w:ascii="Calibri" w:hAnsi="Calibri"/>
          <w:i w:val="false"/>
          <w:iCs w:val="false"/>
          <w:color w:val="000000"/>
          <w:sz w:val="22"/>
          <w:szCs w:val="22"/>
          <w:shd w:fill="auto" w:val="clear"/>
          <w:lang w:eastAsia="en-US"/>
        </w:rPr>
        <w:t>Os bens serão recebidos provisoriamente, de forma sumária</w:t>
      </w:r>
      <w:r>
        <w:rPr>
          <w:rFonts w:ascii="Calibri" w:hAnsi="Calibri"/>
          <w:i w:val="false"/>
          <w:iCs w:val="false"/>
          <w:color w:val="000000"/>
          <w:sz w:val="22"/>
          <w:szCs w:val="22"/>
          <w:shd w:fill="auto" w:val="clear"/>
          <w:lang w:eastAsia="en-US"/>
        </w:rPr>
      </w:r>
      <w:commentRangeEnd w:id="7"/>
      <w:r>
        <w:commentReference w:id="7"/>
      </w:r>
      <w:r>
        <w:rPr>
          <w:rFonts w:ascii="Calibri" w:hAnsi="Calibri"/>
          <w:i w:val="false"/>
          <w:iCs w:val="false"/>
          <w:color w:val="000000"/>
          <w:sz w:val="22"/>
          <w:szCs w:val="22"/>
          <w:shd w:fill="auto" w:val="clear"/>
          <w:lang w:eastAsia="en-US"/>
        </w:rPr>
        <w:t xml:space="preserve">, no ato da entrega, juntamente com a </w:t>
      </w:r>
      <w:r>
        <w:rPr>
          <w:rFonts w:eastAsia="Calibri" w:ascii="Calibri" w:hAnsi="Calibri"/>
          <w:i w:val="false"/>
          <w:iCs w:val="false"/>
          <w:color w:val="000000"/>
          <w:sz w:val="22"/>
          <w:szCs w:val="22"/>
          <w:shd w:fill="auto" w:val="clear"/>
          <w:lang w:eastAsia="en-US"/>
        </w:rPr>
        <w:t>nota</w:t>
      </w:r>
      <w:r>
        <w:rPr>
          <w:rFonts w:ascii="Calibri" w:hAnsi="Calibri"/>
          <w:i w:val="false"/>
          <w:iCs w:val="false"/>
          <w:color w:val="000000"/>
          <w:sz w:val="22"/>
          <w:szCs w:val="22"/>
          <w:shd w:fill="auto" w:val="clea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Pr>
          <w:rFonts w:ascii="Calibri" w:hAnsi="Calibri"/>
          <w:i w:val="false"/>
          <w:iCs w:val="false"/>
          <w:color w:val="000000"/>
          <w:sz w:val="22"/>
          <w:szCs w:val="22"/>
          <w:shd w:fill="auto" w:val="clear"/>
          <w:lang w:eastAsia="en-US"/>
        </w:rPr>
        <w:t xml:space="preserve">2 (dois) </w:t>
      </w:r>
      <w:r>
        <w:rPr>
          <w:rFonts w:ascii="Calibri" w:hAnsi="Calibri"/>
          <w:i w:val="false"/>
          <w:iCs w:val="false"/>
          <w:color w:val="000000"/>
          <w:sz w:val="22"/>
          <w:szCs w:val="22"/>
          <w:shd w:fill="auto" w:val="clear"/>
          <w:lang w:eastAsia="en-US"/>
        </w:rPr>
        <w:t>dias, a contar da notificação da contratada, às suas custas, sem prejuízo da aplicação das penalidades.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commentRangeStart w:id="8"/>
      <w:r>
        <w:rPr>
          <w:rFonts w:ascii="Calibri" w:hAnsi="Calibri"/>
          <w:i w:val="false"/>
          <w:iCs w:val="false"/>
          <w:color w:val="000000"/>
          <w:sz w:val="22"/>
          <w:szCs w:val="22"/>
          <w:shd w:fill="auto" w:val="clear"/>
          <w:lang w:eastAsia="en-US"/>
        </w:rPr>
        <w:t xml:space="preserve">O recebimento definitivo ocorrerá no prazo de  </w:t>
      </w:r>
      <w:r>
        <w:rPr>
          <w:rFonts w:ascii="Calibri" w:hAnsi="Calibri"/>
          <w:i w:val="false"/>
          <w:iCs w:val="false"/>
          <w:color w:val="000000"/>
          <w:sz w:val="22"/>
          <w:szCs w:val="22"/>
          <w:shd w:fill="auto" w:val="clear"/>
          <w:lang w:eastAsia="en-US"/>
        </w:rPr>
        <w:t xml:space="preserve">5 </w:t>
      </w:r>
      <w:r>
        <w:rPr>
          <w:rFonts w:ascii="Calibri" w:hAnsi="Calibri"/>
          <w:i w:val="false"/>
          <w:iCs w:val="false"/>
          <w:color w:val="000000"/>
          <w:sz w:val="22"/>
          <w:szCs w:val="22"/>
          <w:shd w:fill="auto" w:val="clear"/>
          <w:lang w:eastAsia="en-US"/>
        </w:rPr>
        <w:t>(</w:t>
      </w:r>
      <w:r>
        <w:rPr>
          <w:rFonts w:ascii="Calibri" w:hAnsi="Calibri"/>
          <w:i w:val="false"/>
          <w:iCs w:val="false"/>
          <w:color w:val="000000"/>
          <w:sz w:val="22"/>
          <w:szCs w:val="22"/>
          <w:shd w:fill="auto" w:val="clear"/>
          <w:lang w:eastAsia="en-US"/>
        </w:rPr>
        <w:t>cinco</w:t>
      </w:r>
      <w:r>
        <w:rPr>
          <w:rFonts w:ascii="Calibri" w:hAnsi="Calibri"/>
          <w:i w:val="false"/>
          <w:iCs w:val="false"/>
          <w:color w:val="000000"/>
          <w:sz w:val="22"/>
          <w:szCs w:val="22"/>
          <w:shd w:fill="auto" w:val="clear"/>
          <w:lang w:eastAsia="en-US"/>
        </w:rPr>
        <w:t>)</w:t>
      </w:r>
      <w:r>
        <w:rPr>
          <w:rFonts w:ascii="Calibri" w:hAnsi="Calibri"/>
          <w:i w:val="false"/>
          <w:iCs w:val="false"/>
          <w:color w:val="000000"/>
          <w:sz w:val="22"/>
          <w:szCs w:val="22"/>
          <w:shd w:fill="auto" w:val="clear"/>
          <w:lang w:eastAsia="en-US"/>
        </w:rPr>
        <w:t xml:space="preserve"> dias úteis, a contar do recebimento da nota fiscal ou instrumento de cobrança equivalente pela Administração, após a verificação da qualidade e quantidade do material e consequente aceitação mediante termo detalhado.</w:t>
      </w:r>
      <w:commentRangeEnd w:id="8"/>
      <w:r>
        <w:commentReference w:id="8"/>
      </w:r>
      <w:r>
        <w:rPr>
          <w:rFonts w:ascii="Calibri" w:hAnsi="Calibri"/>
          <w:i w:val="false"/>
          <w:iCs w:val="false"/>
          <w:color w:val="000000"/>
          <w:sz w:val="22"/>
          <w:szCs w:val="22"/>
          <w:shd w:fill="auto" w:val="clear"/>
          <w:lang w:eastAsia="en-US"/>
        </w:rPr>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commentRangeStart w:id="9"/>
      <w:r>
        <w:rPr>
          <w:rFonts w:ascii="Calibri" w:hAnsi="Calibri"/>
          <w:i w:val="false"/>
          <w:iCs w:val="false"/>
          <w:color w:val="000000"/>
          <w:sz w:val="22"/>
          <w:szCs w:val="22"/>
          <w:shd w:fill="auto" w:val="clear"/>
          <w:lang w:eastAsia="en-US"/>
        </w:rPr>
        <w:t xml:space="preserve">Para as contratações decorrentes de despesas cujos valores não ultrapassem o limite de que trata o inciso II do art. 75 da Lei nº 14.133, de 2021, o prazo máximo para o recebimento definitivo será de até </w:t>
      </w:r>
      <w:r>
        <w:rPr>
          <w:rFonts w:ascii="Calibri" w:hAnsi="Calibri"/>
          <w:i w:val="false"/>
          <w:iCs w:val="false"/>
          <w:color w:val="000000"/>
          <w:sz w:val="22"/>
          <w:szCs w:val="22"/>
          <w:shd w:fill="auto" w:val="clear"/>
          <w:lang w:eastAsia="en-US"/>
        </w:rPr>
        <w:t>5 (cinco)</w:t>
      </w:r>
      <w:r>
        <w:rPr>
          <w:rFonts w:ascii="Calibri" w:hAnsi="Calibri"/>
          <w:i w:val="false"/>
          <w:iCs w:val="false"/>
          <w:color w:val="000000"/>
          <w:sz w:val="22"/>
          <w:szCs w:val="22"/>
          <w:shd w:fill="auto" w:val="clear"/>
          <w:lang w:eastAsia="en-US"/>
        </w:rPr>
        <w:t xml:space="preserve"> dias úteis.</w:t>
      </w:r>
      <w:commentRangeEnd w:id="9"/>
      <w:r>
        <w:commentReference w:id="9"/>
      </w:r>
      <w:r>
        <w:rPr>
          <w:rFonts w:ascii="Calibri" w:hAnsi="Calibri"/>
          <w:i w:val="false"/>
          <w:iCs w:val="false"/>
          <w:color w:val="000000"/>
          <w:sz w:val="22"/>
          <w:szCs w:val="22"/>
          <w:shd w:fill="auto" w:val="clear"/>
          <w:lang w:eastAsia="en-US"/>
        </w:rPr>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lang w:eastAsia="en-US"/>
        </w:rPr>
        <w:t>O prazo para recebimento definitivo poderá ser excepcionalmente prorrogado, de forma justificada, por igual período, quando houver necessidade de diligências para a aferição do atendimento das exigências contratuais.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lang w:eastAsia="en-US"/>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lang w:eastAsia="en-US"/>
        </w:rPr>
        <w:t>O recebimento provisório ou definitivo não excluirá a responsabilidade civil pela solidez e pela segurança dos bens nem a responsabilidade ético-profissional pela perfeita execução do contrato.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As atividades de montagem, instalação e quaisquer outras necessárias para o funcionamento ou uso do bem correrão por conta do Contratado e são condição para o recebimento do objeto.</w:t>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Liquidação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Recebida a Nota Fiscal ou documento de cobrança equivalente, correrá o prazo de dez dias úteis para fins de liquidação, na forma desta seção, prorrogáveis por igual período, nos termos do art. 7º, §3º da Instrução Normativa SEGES/ME nº 77/2022.</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prazo de que trata o item anterior será reduzido à metade, mantendo-se a possibilidade de prorrogação, no caso de contratações decorrentes de despesas cujos valores não ultrapassem o limite de que trata o inciso II do art. 75 da Lei nº 14.133, de 2021.</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lang w:eastAsia="en-US"/>
        </w:rPr>
        <w:t xml:space="preserve">Para fins de liquidação, o setor competente deverá verificar se a nota fiscal ou instrumento de cobrança equivalente apresentado expressa os elementos necessários e essenciais do documento, tais como: </w:t>
      </w:r>
    </w:p>
    <w:p>
      <w:pPr>
        <w:pStyle w:val="Nivel3"/>
        <w:numPr>
          <w:ilvl w:val="2"/>
          <w:numId w:val="10"/>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prazo de validade;</w:t>
      </w:r>
    </w:p>
    <w:p>
      <w:pPr>
        <w:pStyle w:val="Nivel3"/>
        <w:numPr>
          <w:ilvl w:val="2"/>
          <w:numId w:val="11"/>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 xml:space="preserve">a data da emissão; </w:t>
      </w:r>
    </w:p>
    <w:p>
      <w:pPr>
        <w:pStyle w:val="Nivel3"/>
        <w:numPr>
          <w:ilvl w:val="2"/>
          <w:numId w:val="12"/>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 xml:space="preserve">os dados do contrato e do órgão contratante; </w:t>
      </w:r>
    </w:p>
    <w:p>
      <w:pPr>
        <w:pStyle w:val="Nivel3"/>
        <w:numPr>
          <w:ilvl w:val="2"/>
          <w:numId w:val="13"/>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 xml:space="preserve">o período respectivo de execução do contrato; </w:t>
      </w:r>
    </w:p>
    <w:p>
      <w:pPr>
        <w:pStyle w:val="Nivel3"/>
        <w:numPr>
          <w:ilvl w:val="2"/>
          <w:numId w:val="14"/>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 xml:space="preserve">o valor a pagar; e </w:t>
      </w:r>
    </w:p>
    <w:p>
      <w:pPr>
        <w:pStyle w:val="Nivel3"/>
        <w:numPr>
          <w:ilvl w:val="2"/>
          <w:numId w:val="15"/>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eventual destaque do valor de retenções tributárias cabíveis.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 xml:space="preserve"> </w:t>
      </w:r>
      <w:r>
        <w:rPr>
          <w:rFonts w:ascii="Calibri" w:hAnsi="Calibri"/>
          <w:i w:val="false"/>
          <w:iCs w:val="false"/>
          <w:color w:val="000000"/>
          <w:sz w:val="22"/>
          <w:szCs w:val="22"/>
          <w:shd w:fill="auto" w:val="clea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 xml:space="preserve"> </w:t>
      </w:r>
      <w:r>
        <w:rPr>
          <w:rFonts w:ascii="Calibri" w:hAnsi="Calibri"/>
          <w:i w:val="false"/>
          <w:iCs w:val="false"/>
          <w:color w:val="000000"/>
          <w:sz w:val="22"/>
          <w:szCs w:val="22"/>
          <w:shd w:fill="auto" w:val="clear"/>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A Administração deverá realizar consulta ao SICAF para:</w:t>
      </w:r>
    </w:p>
    <w:p>
      <w:pPr>
        <w:pStyle w:val="Nivel3"/>
        <w:numPr>
          <w:ilvl w:val="2"/>
          <w:numId w:val="16"/>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verificar a manutenção das condições de habilitação exigidas;</w:t>
      </w:r>
    </w:p>
    <w:p>
      <w:pPr>
        <w:pStyle w:val="Nivel3"/>
        <w:numPr>
          <w:ilvl w:val="2"/>
          <w:numId w:val="17"/>
        </w:numPr>
        <w:ind w:hanging="0" w:start="284"/>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identificar possível razão que impeça a participação em licitação/contratação no âmbito do órgão ou entidade, tais como a proibição de contratar com a Administração ou com o Poder Público, bem como ocorrências impeditivas indiretas.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lang w:eastAsia="en-US"/>
        </w:rPr>
        <w:t xml:space="preserve">Persistindo a irregularidade, o Contratante deverá adotar as medidas necessárias à rescisão contratual nos autos do processo administrativo correspondente, assegurada ao Contratado a ampla defesa. </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Havendo a efetiva execução do objeto, os pagamentos serão realizados normalmente, até que se decida pela rescisão do contrato, caso o Contratado não regularize sua situação junto ao SICAF.</w:t>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Prazo de pagamento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pagamento será efetuado no prazo de até 10 (dez) dias úteis contados da finalização da liquidação da despesa, conforme seção anterior, nos termos da Instrução Normativa SEGES/ME nº 77, de 2022.</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commentRangeStart w:id="10"/>
      <w:r>
        <w:rPr>
          <w:rFonts w:ascii="Calibri" w:hAnsi="Calibri"/>
          <w:i w:val="false"/>
          <w:iCs w:val="false"/>
          <w:color w:val="000000"/>
          <w:sz w:val="22"/>
          <w:szCs w:val="22"/>
          <w:shd w:fill="auto" w:val="clear"/>
          <w:lang w:eastAsia="en-US"/>
        </w:rPr>
        <w:t xml:space="preserve">No caso de atraso pelo Contratante, os valores devidos ao Contratado serão atualizados monetariamente entre o termo final do prazo de pagamento até a data de sua efetiva realização, mediante aplicação do índice </w:t>
      </w:r>
      <w:r>
        <w:rPr>
          <w:rFonts w:ascii="Calibri" w:hAnsi="Calibri"/>
          <w:i w:val="false"/>
          <w:iCs w:val="false"/>
          <w:color w:val="000000"/>
          <w:sz w:val="22"/>
          <w:szCs w:val="22"/>
          <w:shd w:fill="auto" w:val="clear"/>
          <w:lang w:eastAsia="en-US"/>
        </w:rPr>
        <w:t>IPCA</w:t>
      </w:r>
      <w:r>
        <w:rPr>
          <w:rFonts w:ascii="Calibri" w:hAnsi="Calibri"/>
          <w:i w:val="false"/>
          <w:iCs w:val="false"/>
          <w:color w:val="000000"/>
          <w:sz w:val="22"/>
          <w:szCs w:val="22"/>
          <w:shd w:fill="auto" w:val="clear"/>
          <w:lang w:eastAsia="en-US"/>
        </w:rPr>
        <w:t xml:space="preserve"> </w:t>
      </w:r>
      <w:r>
        <w:rPr>
          <w:rFonts w:ascii="Calibri" w:hAnsi="Calibri"/>
          <w:i w:val="false"/>
          <w:iCs w:val="false"/>
          <w:color w:val="000000"/>
          <w:sz w:val="22"/>
          <w:szCs w:val="22"/>
          <w:shd w:fill="auto" w:val="clear"/>
          <w:lang w:eastAsia="en-US"/>
        </w:rPr>
        <w:t>de correção monetária.</w:t>
      </w:r>
      <w:commentRangeEnd w:id="10"/>
      <w:r>
        <w:commentReference w:id="10"/>
      </w:r>
      <w:r>
        <w:rPr>
          <w:rFonts w:ascii="Calibri" w:hAnsi="Calibri"/>
          <w:i w:val="false"/>
          <w:iCs w:val="false"/>
          <w:color w:val="000000"/>
          <w:sz w:val="22"/>
          <w:szCs w:val="22"/>
          <w:shd w:fill="auto" w:val="clear"/>
          <w:lang w:eastAsia="en-US"/>
        </w:rPr>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Forma de pagamento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pagamento será realizado por meio de ordem bancária, para crédito em banco, agência e conta corrente indicados pelo Contratado.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Será considerada data do pagamento o dia em que constar como emitida a ordem bancária para pagamento.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commentRangeStart w:id="11"/>
      <w:r>
        <w:rPr>
          <w:rFonts w:ascii="Calibri" w:hAnsi="Calibri"/>
          <w:i w:val="false"/>
          <w:iCs w:val="false"/>
          <w:color w:val="000000"/>
          <w:sz w:val="22"/>
          <w:szCs w:val="22"/>
          <w:shd w:fill="auto" w:val="clear"/>
          <w:lang w:eastAsia="en-US"/>
        </w:rPr>
        <w:t>Quando do pagamento, será efetuada a retenção tributária prevista na legislação aplicável.</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Independentemente</w:t>
      </w:r>
      <w:r>
        <w:rPr>
          <w:rFonts w:ascii="Calibri" w:hAnsi="Calibri"/>
          <w:i w:val="false"/>
          <w:iCs w:val="false"/>
          <w:color w:val="000000"/>
          <w:sz w:val="22"/>
          <w:szCs w:val="22"/>
          <w:shd w:fill="auto" w:val="clear"/>
          <w:lang w:eastAsia="en-US"/>
        </w:rPr>
        <w:t xml:space="preserve"> do percentual de tributo inserido na planilha, quando houver, serão retidos na fonte, quando da realização do pagamento, os percentuais estabelecidos na legislação vigente.</w:t>
      </w:r>
      <w:commentRangeEnd w:id="11"/>
      <w:r>
        <w:commentReference w:id="11"/>
      </w:r>
      <w:r>
        <w:rPr>
          <w:rFonts w:ascii="Calibri" w:hAnsi="Calibri"/>
          <w:i w:val="false"/>
          <w:iCs w:val="false"/>
          <w:color w:val="000000"/>
          <w:sz w:val="22"/>
          <w:szCs w:val="22"/>
          <w:shd w:fill="auto" w:val="clear"/>
          <w:lang w:eastAsia="en-US"/>
        </w:rPr>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vel1-SemNumerao"/>
        <w:ind w:hanging="0" w:start="0"/>
        <w:rPr>
          <w:rFonts w:ascii="Calibri" w:hAnsi="Calibri"/>
          <w:i w:val="false"/>
          <w:i w:val="false"/>
          <w:iCs w:val="false"/>
          <w:color w:val="000000"/>
          <w:sz w:val="22"/>
          <w:szCs w:val="22"/>
          <w:highlight w:val="none"/>
          <w:shd w:fill="auto" w:val="clear"/>
        </w:rPr>
      </w:pPr>
      <w:commentRangeStart w:id="12"/>
      <w:r>
        <w:rPr>
          <w:rFonts w:ascii="Calibri" w:hAnsi="Calibri"/>
          <w:i w:val="false"/>
          <w:iCs w:val="false"/>
          <w:color w:val="000000"/>
          <w:sz w:val="22"/>
          <w:szCs w:val="22"/>
          <w:shd w:fill="auto" w:val="clear"/>
        </w:rPr>
        <w:t>Cessão de crédito</w:t>
      </w:r>
      <w:commentRangeEnd w:id="12"/>
      <w:r>
        <w:commentReference w:id="12"/>
      </w:r>
      <w:r>
        <w:rPr>
          <w:rFonts w:ascii="Calibri" w:hAnsi="Calibri"/>
          <w:i w:val="false"/>
          <w:iCs w:val="false"/>
          <w:color w:val="000000"/>
          <w:sz w:val="22"/>
          <w:szCs w:val="22"/>
          <w:shd w:fill="auto" w:val="clear"/>
        </w:rPr>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lang w:eastAsia="en-US"/>
        </w:rPr>
        <w:t>É admitida a cessão fiduciária de direitos creditícios com instituição financeira, nos termos e de acordo com os procedimentos previstos na Instrução Normativa SEGES/ME nº 53, de 8 de Julho de 2020, conforme as regras deste presente tópico.</w:t>
      </w:r>
    </w:p>
    <w:p>
      <w:pPr>
        <w:pStyle w:val="Nvel2-Opcional"/>
        <w:numPr>
          <w:ilvl w:val="1"/>
          <w:numId w:val="1"/>
        </w:numPr>
        <w:rPr>
          <w:rFonts w:ascii="Calibri" w:hAnsi="Calibri"/>
          <w:i w:val="false"/>
          <w:i w:val="false"/>
          <w:iCs w:val="false"/>
          <w:color w:val="000000"/>
          <w:sz w:val="22"/>
          <w:szCs w:val="22"/>
          <w:highlight w:val="none"/>
          <w:shd w:fill="auto" w:val="clear"/>
        </w:rPr>
      </w:pPr>
      <w:bookmarkStart w:id="7" w:name="_Ref118216946"/>
      <w:commentRangeStart w:id="13"/>
      <w:r>
        <w:rPr>
          <w:rFonts w:ascii="Calibri" w:hAnsi="Calibri"/>
          <w:i w:val="false"/>
          <w:iCs w:val="false"/>
          <w:color w:val="000000"/>
          <w:sz w:val="22"/>
          <w:szCs w:val="22"/>
          <w:shd w:fill="auto" w:val="clear"/>
        </w:rPr>
        <w:t>As cessões de crédito não abrangidas pela Instrução Normativa SEGES/ME nº 53, de 8 de julho de 2020 dependerão de prévia aprovação do Contratante.</w:t>
      </w:r>
      <w:bookmarkEnd w:id="7"/>
      <w:commentRangeEnd w:id="13"/>
      <w:r>
        <w:commentReference w:id="13"/>
      </w:r>
      <w:r>
        <w:rPr>
          <w:rFonts w:ascii="Calibri" w:hAnsi="Calibri"/>
          <w:i w:val="false"/>
          <w:iCs w:val="false"/>
          <w:color w:val="000000"/>
          <w:sz w:val="22"/>
          <w:szCs w:val="22"/>
          <w:shd w:fill="auto" w:val="clear"/>
        </w:rPr>
      </w:r>
    </w:p>
    <w:p>
      <w:pPr>
        <w:pStyle w:val="Nvel2-Opcional"/>
        <w:numPr>
          <w:ilvl w:val="1"/>
          <w:numId w:val="1"/>
        </w:numPr>
        <w:rPr>
          <w:rFonts w:ascii="Calibri" w:hAnsi="Calibri"/>
          <w:i w:val="false"/>
          <w:i w:val="false"/>
          <w:iCs w:val="false"/>
          <w:color w:val="000000"/>
          <w:sz w:val="22"/>
          <w:szCs w:val="22"/>
          <w:highlight w:val="none"/>
          <w:shd w:fill="auto" w:val="clear"/>
        </w:rPr>
      </w:pPr>
      <w:commentRangeStart w:id="14"/>
      <w:r>
        <w:rPr>
          <w:rFonts w:ascii="Calibri" w:hAnsi="Calibri"/>
          <w:i w:val="false"/>
          <w:iCs w:val="false"/>
          <w:color w:val="000000"/>
          <w:sz w:val="22"/>
          <w:szCs w:val="22"/>
          <w:shd w:fill="auto" w:val="clear"/>
          <w:lang w:eastAsia="en-US"/>
        </w:rPr>
        <w:t>A eficácia da cessão de crédito</w:t>
      </w:r>
      <w:r>
        <w:rPr>
          <w:rFonts w:ascii="Calibri" w:hAnsi="Calibri"/>
          <w:i w:val="false"/>
          <w:iCs w:val="false"/>
          <w:color w:val="000000"/>
          <w:sz w:val="22"/>
          <w:szCs w:val="22"/>
          <w:shd w:fill="auto" w:val="clear"/>
        </w:rPr>
        <w:t xml:space="preserve"> não abrangidas pela Instrução Normativa SEGES/ME nº 53, de 8 de julho de 2020,</w:t>
      </w:r>
      <w:r>
        <w:rPr>
          <w:rFonts w:ascii="Calibri" w:hAnsi="Calibri"/>
          <w:i w:val="false"/>
          <w:iCs w:val="false"/>
          <w:color w:val="000000"/>
          <w:sz w:val="22"/>
          <w:szCs w:val="22"/>
          <w:shd w:fill="auto" w:val="clear"/>
          <w:lang w:eastAsia="en-US"/>
        </w:rPr>
        <w:t xml:space="preserve"> em relação à Administração, está condicionada à celebração de termo aditivo ao contrato administrativo.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lang w:eastAsia="en-US"/>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lang w:eastAsia="en-US"/>
        </w:rPr>
        <w:t>A cessão de crédito não afetará a execução do objeto contratado, que continuará sob a integral responsabilidade do Contratado.</w:t>
      </w:r>
      <w:commentRangeEnd w:id="14"/>
      <w:r>
        <w:commentReference w:id="14"/>
      </w:r>
      <w:r>
        <w:rPr>
          <w:rFonts w:ascii="Calibri" w:hAnsi="Calibri"/>
          <w:i w:val="false"/>
          <w:iCs w:val="false"/>
          <w:color w:val="000000"/>
          <w:sz w:val="22"/>
          <w:szCs w:val="22"/>
          <w:shd w:fill="auto" w:val="clear"/>
          <w:lang w:eastAsia="en-US"/>
        </w:rPr>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Reajuste</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 xml:space="preserve">Os preços inicialmente contratados são fixos e irreajustáveis no prazo de um ano contado da data do orçamento estimado, em </w:t>
      </w:r>
      <w:r>
        <w:rPr>
          <w:rFonts w:ascii="Calibri" w:hAnsi="Calibri"/>
          <w:i w:val="false"/>
          <w:iCs w:val="false"/>
          <w:color w:val="000000"/>
          <w:sz w:val="22"/>
          <w:szCs w:val="22"/>
          <w:shd w:fill="auto" w:val="clear"/>
        </w:rPr>
        <w:t>11/03/2026.</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commentRangeStart w:id="15"/>
      <w:r>
        <w:rPr>
          <w:rFonts w:ascii="Calibri" w:hAnsi="Calibri"/>
          <w:i w:val="false"/>
          <w:iCs w:val="false"/>
          <w:color w:val="000000"/>
          <w:sz w:val="22"/>
          <w:szCs w:val="22"/>
          <w:shd w:fill="auto" w:val="clear"/>
        </w:rPr>
        <w:t>Após o interregno de um ano, e independentemente de pedido do C</w:t>
      </w:r>
      <w:commentRangeStart w:id="16"/>
      <w:r>
        <w:rPr>
          <w:rFonts w:ascii="Calibri" w:hAnsi="Calibri"/>
          <w:i w:val="false"/>
          <w:iCs w:val="false"/>
          <w:color w:val="000000"/>
          <w:sz w:val="22"/>
          <w:szCs w:val="22"/>
          <w:shd w:fill="auto" w:val="clear"/>
        </w:rPr>
        <w:t>ontratado</w:t>
      </w:r>
      <w:r>
        <w:rPr>
          <w:rFonts w:ascii="Calibri" w:hAnsi="Calibri"/>
          <w:i w:val="false"/>
          <w:iCs w:val="false"/>
          <w:color w:val="000000"/>
          <w:sz w:val="22"/>
          <w:szCs w:val="22"/>
          <w:shd w:fill="auto" w:val="clear"/>
        </w:rPr>
      </w:r>
      <w:commentRangeEnd w:id="16"/>
      <w:r>
        <w:commentReference w:id="16"/>
      </w:r>
      <w:r>
        <w:rPr>
          <w:rFonts w:ascii="Calibri" w:hAnsi="Calibri"/>
          <w:i w:val="false"/>
          <w:iCs w:val="false"/>
          <w:color w:val="000000"/>
          <w:sz w:val="22"/>
          <w:szCs w:val="22"/>
          <w:shd w:fill="auto" w:val="clear"/>
        </w:rPr>
        <w:t xml:space="preserve">, os preços iniciais serão reajustados, mediante a aplicação, pelo Contratante, do índice </w:t>
      </w:r>
      <w:r>
        <w:rPr>
          <w:rFonts w:ascii="Calibri" w:hAnsi="Calibri"/>
          <w:i w:val="false"/>
          <w:iCs w:val="false"/>
          <w:color w:val="000000"/>
          <w:sz w:val="22"/>
          <w:szCs w:val="22"/>
          <w:shd w:fill="auto" w:val="clear"/>
        </w:rPr>
        <w:t>IPCA</w:t>
      </w:r>
      <w:r>
        <w:rPr>
          <w:rFonts w:ascii="Calibri" w:hAnsi="Calibri"/>
          <w:i w:val="false"/>
          <w:iCs w:val="false"/>
          <w:color w:val="000000"/>
          <w:sz w:val="22"/>
          <w:szCs w:val="22"/>
          <w:shd w:fill="auto" w:val="clear"/>
        </w:rPr>
        <w:t>, exclusivamente para as obrigações iniciadas e concluídas após a ocorrência da anualidade</w:t>
      </w:r>
      <w:r>
        <w:rPr>
          <w:rFonts w:ascii="Calibri" w:hAnsi="Calibri"/>
          <w:i w:val="false"/>
          <w:iCs w:val="false"/>
          <w:color w:val="000000"/>
          <w:sz w:val="22"/>
          <w:szCs w:val="22"/>
          <w:shd w:fill="auto" w:val="clear"/>
        </w:rPr>
      </w:r>
      <w:commentRangeEnd w:id="15"/>
      <w:r>
        <w:commentReference w:id="15"/>
      </w:r>
      <w:r>
        <w:rPr>
          <w:rFonts w:ascii="Calibri" w:hAnsi="Calibri"/>
          <w:i w:val="false"/>
          <w:iCs w:val="false"/>
          <w:color w:val="000000"/>
          <w:sz w:val="22"/>
          <w:szCs w:val="22"/>
          <w:shd w:fill="auto" w:val="clear"/>
        </w:rPr>
        <w:t>.</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Nos reajustes subsequentes ao primeiro, o interregno mínimo de um ano será contado a partir dos efeitos financeiros do último reajuste.</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Nas aferições finais, o(s) índice(s) utilizado(s) para reajuste será(ão), obrigatoriamente, o(s) definitivo(s).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Caso o(s) índice(s) estabelecido(s) para reajustamento venha(m) a ser extinto(s) ou de qualquer forma não possa(m) mais ser utilizado(s), será(ão) adotado(s), em substituição, o(s) que vier(em) a ser determinado(s) pela legislação então em vigor.</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Na ausência de previsão legal quanto ao índice substituto, as partes elegerão novo índice oficial, para reajustamento do preço do valor remanescente, por meio de termo aditivo.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 reajuste será realizado por apostilamento.</w:t>
      </w:r>
    </w:p>
    <w:p>
      <w:pPr>
        <w:pStyle w:val="Nivel01"/>
        <w:numPr>
          <w:ilvl w:val="0"/>
          <w:numId w:val="1"/>
        </w:numPr>
        <w:ind w:hanging="357" w:start="357"/>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FORMA E CRITÉRIOS DE SELEÇÃO DO FORNECEDOR E FORMA DE FORNECIMENTO</w:t>
      </w:r>
    </w:p>
    <w:p>
      <w:pPr>
        <w:pStyle w:val="Nvel1-SemNumerao"/>
        <w:ind w:hanging="0" w:start="0"/>
        <w:rPr>
          <w:rFonts w:ascii="Calibri" w:hAnsi="Calibri"/>
          <w:i w:val="false"/>
          <w:i w:val="false"/>
          <w:iCs w:val="false"/>
          <w:color w:val="000000"/>
          <w:sz w:val="22"/>
          <w:szCs w:val="22"/>
          <w:highlight w:val="none"/>
          <w:shd w:fill="auto" w:val="clear"/>
        </w:rPr>
      </w:pPr>
      <w:bookmarkStart w:id="8" w:name="_Hlk171371350"/>
      <w:r>
        <w:rPr>
          <w:rFonts w:ascii="Calibri" w:hAnsi="Calibri"/>
          <w:i w:val="false"/>
          <w:iCs w:val="false"/>
          <w:color w:val="000000"/>
          <w:sz w:val="22"/>
          <w:szCs w:val="22"/>
          <w:shd w:fill="auto" w:val="clear"/>
        </w:rPr>
        <w:t xml:space="preserve">Forma de seleção e critério de julgamento da </w:t>
      </w:r>
      <w:commentRangeStart w:id="17"/>
      <w:r>
        <w:rPr>
          <w:rFonts w:ascii="Calibri" w:hAnsi="Calibri"/>
          <w:i w:val="false"/>
          <w:iCs w:val="false"/>
          <w:color w:val="000000"/>
          <w:sz w:val="22"/>
          <w:szCs w:val="22"/>
          <w:shd w:fill="auto" w:val="clear"/>
        </w:rPr>
        <w:t>proposta</w:t>
      </w:r>
      <w:commentRangeEnd w:id="17"/>
      <w:r>
        <w:commentReference w:id="17"/>
      </w:r>
      <w:r>
        <w:rPr>
          <w:rFonts w:ascii="Calibri" w:hAnsi="Calibri"/>
          <w:i w:val="false"/>
          <w:iCs w:val="false"/>
          <w:color w:val="000000"/>
          <w:sz w:val="22"/>
          <w:szCs w:val="22"/>
          <w:shd w:fill="auto" w:val="clear"/>
        </w:rPr>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bookmarkStart w:id="9" w:name="_Hlk171371350"/>
      <w:bookmarkStart w:id="10" w:name="_Hlk171371336"/>
      <w:r>
        <w:rPr>
          <w:rFonts w:ascii="Calibri" w:hAnsi="Calibri"/>
          <w:i w:val="false"/>
          <w:iCs w:val="false"/>
          <w:color w:val="000000"/>
          <w:sz w:val="22"/>
          <w:szCs w:val="22"/>
          <w:shd w:fill="auto" w:val="clear"/>
        </w:rPr>
        <w:t xml:space="preserve">O </w:t>
      </w:r>
      <w:bookmarkEnd w:id="9"/>
      <w:bookmarkEnd w:id="10"/>
      <w:r>
        <w:rPr>
          <w:rFonts w:ascii="Calibri" w:hAnsi="Calibri"/>
          <w:i w:val="false"/>
          <w:iCs w:val="false"/>
          <w:color w:val="000000"/>
          <w:sz w:val="22"/>
          <w:szCs w:val="22"/>
          <w:shd w:fill="auto" w:val="clear"/>
        </w:rPr>
        <w:t xml:space="preserve">fornecedor será selecionado por meio de contratação direta com fundamento no art. </w:t>
      </w:r>
      <w:r>
        <w:rPr>
          <w:rFonts w:ascii="Calibri" w:hAnsi="Calibri"/>
          <w:b/>
          <w:bCs/>
          <w:i w:val="false"/>
          <w:iCs w:val="false"/>
          <w:color w:val="000000"/>
          <w:sz w:val="22"/>
          <w:szCs w:val="22"/>
          <w:shd w:fill="auto" w:val="clear"/>
        </w:rPr>
        <w:t>75</w:t>
      </w:r>
      <w:r>
        <w:rPr>
          <w:rFonts w:ascii="Calibri" w:hAnsi="Calibri"/>
          <w:i w:val="false"/>
          <w:iCs w:val="false"/>
          <w:color w:val="000000"/>
          <w:sz w:val="22"/>
          <w:szCs w:val="22"/>
          <w:shd w:fill="auto" w:val="clear"/>
        </w:rPr>
        <w:t xml:space="preserve">], inciso </w:t>
      </w:r>
      <w:r>
        <w:rPr>
          <w:rFonts w:ascii="Calibri" w:hAnsi="Calibri"/>
          <w:i w:val="false"/>
          <w:iCs w:val="false"/>
          <w:color w:val="000000"/>
          <w:sz w:val="22"/>
          <w:szCs w:val="22"/>
          <w:shd w:fill="auto" w:val="clear"/>
        </w:rPr>
        <w:t>II</w:t>
      </w:r>
      <w:r>
        <w:rPr>
          <w:rFonts w:ascii="Calibri" w:hAnsi="Calibri"/>
          <w:i w:val="false"/>
          <w:iCs w:val="false"/>
          <w:color w:val="000000"/>
          <w:sz w:val="22"/>
          <w:szCs w:val="22"/>
          <w:shd w:fill="auto" w:val="clear"/>
        </w:rPr>
        <w:t xml:space="preserve">, da Lei nº 14.133, de 1º de abril de 2021, com base no seguinte fundamento: </w:t>
      </w:r>
      <w:r>
        <w:rPr>
          <w:rFonts w:ascii="Calibri" w:hAnsi="Calibri"/>
          <w:i w:val="false"/>
          <w:iCs w:val="false"/>
          <w:color w:val="000000"/>
          <w:sz w:val="22"/>
          <w:szCs w:val="22"/>
          <w:shd w:fill="auto" w:val="clear"/>
        </w:rPr>
        <w:t>contratação pontual e abaixo do valor limite de dispensa de licitação.</w:t>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Forma de fornecimento</w:t>
      </w:r>
    </w:p>
    <w:p>
      <w:pPr>
        <w:pStyle w:val="Nvel02"/>
        <w:numPr>
          <w:ilvl w:val="1"/>
          <w:numId w:val="1"/>
        </w:numPr>
        <w:shd w:val="clear" w:color="auto" w:fill="FFFFFF"/>
        <w:ind w:hanging="0" w:start="0"/>
        <w:rPr/>
      </w:pPr>
      <w:r>
        <w:rPr>
          <w:rStyle w:val="normaltextrun"/>
          <w:rFonts w:ascii="Calibri" w:hAnsi="Calibri"/>
          <w:i w:val="false"/>
          <w:iCs w:val="false"/>
          <w:color w:val="000000"/>
          <w:sz w:val="22"/>
          <w:szCs w:val="22"/>
          <w:shd w:fill="auto" w:val="clear"/>
        </w:rPr>
        <w:t xml:space="preserve">O </w:t>
      </w:r>
      <w:r>
        <w:rPr>
          <w:rStyle w:val="findhit"/>
          <w:rFonts w:ascii="Calibri" w:hAnsi="Calibri"/>
          <w:i w:val="false"/>
          <w:iCs w:val="false"/>
          <w:color w:val="000000"/>
          <w:sz w:val="22"/>
          <w:szCs w:val="22"/>
          <w:shd w:fill="auto" w:val="clear"/>
        </w:rPr>
        <w:t>fornecimento do objeto será Integral.</w:t>
      </w:r>
    </w:p>
    <w:p>
      <w:pPr>
        <w:pStyle w:val="Nvel1-SemNumerao"/>
        <w:ind w:hanging="0" w:start="0"/>
        <w:rPr>
          <w:rFonts w:ascii="Calibri" w:hAnsi="Calibri"/>
          <w:i w:val="false"/>
          <w:i w:val="false"/>
          <w:iCs w:val="false"/>
          <w:color w:val="000000"/>
          <w:sz w:val="22"/>
          <w:szCs w:val="22"/>
          <w:highlight w:val="none"/>
          <w:shd w:fill="auto" w:val="clear"/>
        </w:rPr>
      </w:pPr>
      <w:commentRangeStart w:id="18"/>
      <w:r>
        <w:rPr>
          <w:rFonts w:ascii="Calibri" w:hAnsi="Calibri"/>
          <w:i w:val="false"/>
          <w:iCs w:val="false"/>
          <w:color w:val="000000"/>
          <w:sz w:val="22"/>
          <w:szCs w:val="22"/>
          <w:shd w:fill="auto" w:val="clear"/>
        </w:rPr>
        <w:t>Exigências de habilitação</w:t>
      </w:r>
      <w:commentRangeEnd w:id="18"/>
      <w:r>
        <w:commentReference w:id="18"/>
      </w:r>
      <w:r>
        <w:rPr>
          <w:rFonts w:ascii="Calibri" w:hAnsi="Calibri"/>
          <w:i w:val="false"/>
          <w:iCs w:val="false"/>
          <w:color w:val="000000"/>
          <w:sz w:val="22"/>
          <w:szCs w:val="22"/>
          <w:shd w:fill="auto" w:val="clear"/>
        </w:rPr>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Para fins de habilitação, deverá o interessado comprovar os seguintes requisitos:</w:t>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Habilitação jurídica</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bookmarkStart w:id="11" w:name="_Ref115800561"/>
      <w:commentRangeStart w:id="19"/>
      <w:commentRangeStart w:id="20"/>
      <w:r>
        <w:rPr>
          <w:rFonts w:ascii="Calibri" w:hAnsi="Calibri"/>
          <w:i w:val="false"/>
          <w:iCs w:val="false"/>
          <w:color w:val="000000"/>
          <w:sz w:val="22"/>
          <w:szCs w:val="22"/>
          <w:shd w:fill="auto" w:val="clear"/>
        </w:rPr>
        <w:t>Pessoa física: cédula de identidade (RG) ou documento equivalente que, por força de lei, tenha validade para fins de identificação em todo o território nacional;</w:t>
      </w:r>
      <w:bookmarkEnd w:id="11"/>
      <w:r>
        <w:rPr>
          <w:rFonts w:ascii="Calibri" w:hAnsi="Calibri"/>
          <w:i w:val="false"/>
          <w:iCs w:val="false"/>
          <w:color w:val="000000"/>
          <w:sz w:val="22"/>
          <w:szCs w:val="22"/>
          <w:shd w:fill="auto" w:val="clear"/>
        </w:rPr>
      </w:r>
      <w:commentRangeEnd w:id="20"/>
      <w:r>
        <w:commentReference w:id="20"/>
      </w:r>
      <w:commentRangeEnd w:id="19"/>
      <w:r>
        <w:commentReference w:id="19"/>
      </w:r>
      <w:r>
        <w:rPr>
          <w:rFonts w:ascii="Calibri" w:hAnsi="Calibri"/>
          <w:i w:val="false"/>
          <w:iCs w:val="false"/>
          <w:color w:val="000000"/>
          <w:sz w:val="22"/>
          <w:szCs w:val="22"/>
          <w:shd w:fill="auto" w:val="clear"/>
        </w:rPr>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Empresário individual: inscrição no Registro Público de Empresas Mercantis, a cargo da Junta Comercial da respectiva sede;</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Microempreendedor Individual - MEI: Certificado da Condição de Microempreendedor Individual - CCMEI, cuja aceitação ficará condicionada à verificação da autenticidade no sítio https://www.gov.br/empresas-e-negocios/pt-br/empreendedor;</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commentRangeStart w:id="21"/>
      <w:r>
        <w:rPr>
          <w:rFonts w:ascii="Calibri" w:hAnsi="Calibri"/>
          <w:i w:val="false"/>
          <w:iCs w:val="false"/>
          <w:color w:val="000000"/>
          <w:sz w:val="22"/>
          <w:szCs w:val="22"/>
          <w:shd w:fill="auto" w:val="clea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commentRangeEnd w:id="21"/>
      <w:r>
        <w:commentReference w:id="21"/>
      </w:r>
      <w:r>
        <w:rPr>
          <w:rFonts w:ascii="Calibri" w:hAnsi="Calibri"/>
          <w:i w:val="false"/>
          <w:iCs w:val="false"/>
          <w:color w:val="000000"/>
          <w:sz w:val="22"/>
          <w:szCs w:val="22"/>
          <w:shd w:fill="auto" w:val="clear"/>
        </w:rPr>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Sociedade simples: inscrição do ato constitutivo no Registro Civil de Pessoas Jurídicas do local de sua sede, acompanhada de documento comprobatório de seus administradores;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2" w:name="_Int_ySfCXwr4"/>
      <w:r>
        <w:rPr>
          <w:rFonts w:ascii="Calibri" w:hAnsi="Calibri"/>
          <w:i w:val="false"/>
          <w:iCs w:val="false"/>
          <w:color w:val="000000"/>
          <w:sz w:val="22"/>
          <w:szCs w:val="22"/>
          <w:shd w:fill="auto" w:val="clear"/>
        </w:rPr>
        <w:t>Mercantis onde</w:t>
      </w:r>
      <w:bookmarkEnd w:id="12"/>
      <w:r>
        <w:rPr>
          <w:rFonts w:ascii="Calibri" w:hAnsi="Calibri"/>
          <w:i w:val="false"/>
          <w:iCs w:val="false"/>
          <w:color w:val="000000"/>
          <w:sz w:val="22"/>
          <w:szCs w:val="22"/>
          <w:shd w:fill="auto" w:val="clear"/>
        </w:rPr>
        <w:t xml:space="preserve"> opera, com averbação no Registro onde tem sede a matriz;</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Os documentos apresentados deverão estar acompanhados de todas as alterações ou da consolidação respectiva.</w:t>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Habilitação fiscal, social e trabalhista</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commentRangeStart w:id="22"/>
      <w:r>
        <w:rPr>
          <w:rFonts w:ascii="Calibri" w:hAnsi="Calibri"/>
          <w:i w:val="false"/>
          <w:iCs w:val="false"/>
          <w:color w:val="000000"/>
          <w:sz w:val="22"/>
          <w:szCs w:val="22"/>
          <w:shd w:fill="auto" w:val="clear"/>
        </w:rPr>
        <w:t>Prova de inscrição no Cadastro Nacional de Pessoas Jurídicas ou no Cadastro de Pessoas Físicas, conforme o caso;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Prova de regularidade com o Fundo de Garantia do Tempo de Serviço (FGTS);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Prova de inscrição no cadastro de contribuintes Estadual ou Distrital relativo ao domicílio ou sede do fornecedor, pertinente ao seu ramo de atividade e compatível com o objeto contratual;</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Prova de regularidade com a Fazenda Estadual ou Distrital do domicílio ou sede do fornecedor, relativa à atividade em cujo exercício contrata ou concorre;</w:t>
      </w:r>
      <w:commentRangeEnd w:id="22"/>
      <w:r>
        <w:commentReference w:id="22"/>
      </w:r>
      <w:r>
        <w:rPr>
          <w:rFonts w:ascii="Calibri" w:hAnsi="Calibri"/>
          <w:i w:val="false"/>
          <w:iCs w:val="false"/>
          <w:color w:val="000000"/>
          <w:sz w:val="22"/>
          <w:szCs w:val="22"/>
          <w:shd w:fill="auto" w:val="clear"/>
        </w:rPr>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Caso o fornecedor seja considerado isento dos tributos relacionados ao objeto contratual, deverá comprovar tal condição mediante a apresentação de declaração da Fazenda respectiva do seu domicílio ou sede, ou outra equivalente, na forma da lei.</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bookmarkStart w:id="13" w:name="_Hlk121934117"/>
      <w:commentRangeStart w:id="23"/>
      <w:r>
        <w:rPr>
          <w:rFonts w:ascii="Calibri" w:hAnsi="Calibri"/>
          <w:i w:val="false"/>
          <w:iCs w:val="false"/>
          <w:color w:val="000000"/>
          <w:sz w:val="22"/>
          <w:szCs w:val="22"/>
          <w:shd w:fill="auto" w:val="clear"/>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3"/>
      <w:commentRangeEnd w:id="23"/>
      <w:r>
        <w:commentReference w:id="23"/>
      </w:r>
      <w:r>
        <w:rPr>
          <w:rFonts w:ascii="Calibri" w:hAnsi="Calibri"/>
          <w:i w:val="false"/>
          <w:iCs w:val="false"/>
          <w:color w:val="000000"/>
          <w:sz w:val="22"/>
          <w:szCs w:val="22"/>
          <w:shd w:fill="auto" w:val="clear"/>
        </w:rPr>
      </w:r>
    </w:p>
    <w:p>
      <w:pPr>
        <w:pStyle w:val="Nvel1-SemNumerao"/>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Disposições gerais sobre habilitação</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Quando permitida a participação de empresas estrangeiras que não funcionem no País, as exigências de habilitação serão atendidas mediante documentos equivalentes, inicialmente apresentados em tradução livre.</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Não serão aceitos documentos de habilitação com indicação de CNPJ/CPF diferentes, salvo aqueles legalmente permitidos.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bookmarkStart w:id="14" w:name="_Hlk82473550"/>
      <w:r>
        <w:rPr>
          <w:rFonts w:ascii="Calibri" w:hAnsi="Calibri"/>
          <w:i w:val="false"/>
          <w:iCs w:val="false"/>
          <w:color w:val="000000"/>
          <w:sz w:val="22"/>
          <w:szCs w:val="22"/>
          <w:shd w:fill="auto" w:val="clear"/>
        </w:rPr>
        <w:t>Serão aceitos registros de CNPJ de fornecedor matriz e filial com diferenças de números de documentos pertinentes ao CND e ao CRF/FGTS, quando for comprovada a centralização do recolhimento dessas contribuições.</w:t>
      </w:r>
      <w:bookmarkEnd w:id="14"/>
    </w:p>
    <w:p>
      <w:pPr>
        <w:pStyle w:val="Nivel01"/>
        <w:numPr>
          <w:ilvl w:val="0"/>
          <w:numId w:val="1"/>
        </w:numPr>
        <w:ind w:hanging="357" w:start="357"/>
        <w:rPr>
          <w:rFonts w:ascii="Calibri" w:hAnsi="Calibri"/>
          <w:i w:val="false"/>
          <w:i w:val="false"/>
          <w:iCs w:val="false"/>
          <w:color w:val="000000"/>
          <w:sz w:val="22"/>
          <w:szCs w:val="22"/>
          <w:highlight w:val="none"/>
          <w:shd w:fill="auto" w:val="clear"/>
        </w:rPr>
      </w:pPr>
      <w:commentRangeStart w:id="24"/>
      <w:r>
        <w:rPr>
          <w:rFonts w:ascii="Calibri" w:hAnsi="Calibri"/>
          <w:i w:val="false"/>
          <w:iCs w:val="false"/>
          <w:color w:val="000000"/>
          <w:sz w:val="22"/>
          <w:szCs w:val="22"/>
          <w:shd w:fill="auto" w:val="clear"/>
        </w:rPr>
        <w:t>ESTIMATIVAS DO VALOR DA CONTRATAÇÃO</w:t>
      </w:r>
      <w:commentRangeEnd w:id="24"/>
      <w:r>
        <w:commentReference w:id="24"/>
      </w:r>
      <w:r>
        <w:rPr>
          <w:rFonts w:ascii="Calibri" w:hAnsi="Calibri"/>
          <w:i w:val="false"/>
          <w:iCs w:val="false"/>
          <w:color w:val="000000"/>
          <w:sz w:val="22"/>
          <w:szCs w:val="22"/>
          <w:shd w:fill="auto" w:val="clear"/>
        </w:rPr>
      </w:r>
    </w:p>
    <w:p>
      <w:pPr>
        <w:pStyle w:val="Nvel2-Opcional"/>
        <w:numPr>
          <w:ilvl w:val="1"/>
          <w:numId w:val="1"/>
        </w:numPr>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 xml:space="preserve">O custo estimado total da contratação, que corresponde ao valor máximo aceitável, é de R$ </w:t>
      </w:r>
      <w:r>
        <w:rPr>
          <w:rFonts w:ascii="Calibri" w:hAnsi="Calibri"/>
          <w:i w:val="false"/>
          <w:iCs w:val="false"/>
          <w:color w:val="000000"/>
          <w:sz w:val="22"/>
          <w:szCs w:val="22"/>
          <w:shd w:fill="auto" w:val="clear"/>
        </w:rPr>
        <w:t>1.040,00,</w:t>
      </w:r>
      <w:r>
        <w:rPr>
          <w:rFonts w:ascii="Calibri" w:hAnsi="Calibri"/>
          <w:i w:val="false"/>
          <w:iCs w:val="false"/>
          <w:color w:val="000000"/>
          <w:sz w:val="22"/>
          <w:szCs w:val="22"/>
          <w:shd w:fill="auto" w:val="clear"/>
        </w:rPr>
        <w:t xml:space="preserve"> conforme custos unitários em anexo</w:t>
      </w:r>
    </w:p>
    <w:p>
      <w:pPr>
        <w:pStyle w:val="Nivel01"/>
        <w:numPr>
          <w:ilvl w:val="0"/>
          <w:numId w:val="1"/>
        </w:numPr>
        <w:ind w:hanging="357" w:start="357"/>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ADEQUAÇÃO ORÇAMENTÁRIA</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As despesas decorrentes da presente contratação correrão à conta de recursos específicos consignados no Orçamento Geral da União.</w:t>
      </w:r>
    </w:p>
    <w:p>
      <w:pPr>
        <w:pStyle w:val="Nvel02"/>
        <w:numPr>
          <w:ilvl w:val="0"/>
          <w:numId w:val="0"/>
        </w:numPr>
        <w:shd w:val="clear" w:color="auto" w:fill="FFFFFF"/>
        <w:ind w:hanging="0" w:start="0"/>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r>
    </w:p>
    <w:p>
      <w:pPr>
        <w:pStyle w:val="Nivel01"/>
        <w:numPr>
          <w:ilvl w:val="0"/>
          <w:numId w:val="1"/>
        </w:numPr>
        <w:ind w:hanging="357" w:start="357"/>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DISPOSIÇÕES FINAIS</w:t>
      </w:r>
    </w:p>
    <w:p>
      <w:pPr>
        <w:pStyle w:val="Nvel02"/>
        <w:numPr>
          <w:ilvl w:val="1"/>
          <w:numId w:val="1"/>
        </w:numPr>
        <w:shd w:val="clear" w:color="auto" w:fill="FFFFFF"/>
        <w:ind w:hanging="0" w:start="0"/>
        <w:rPr>
          <w:rFonts w:ascii="Calibri" w:hAnsi="Calibri"/>
          <w:i w:val="false"/>
          <w:i w:val="false"/>
          <w:iCs w:val="false"/>
          <w:color w:val="000000"/>
          <w:sz w:val="22"/>
          <w:szCs w:val="22"/>
          <w:highlight w:val="none"/>
          <w:shd w:fill="auto" w:val="clear"/>
        </w:rPr>
      </w:pPr>
      <w:bookmarkStart w:id="15" w:name="_Hlk82471863"/>
      <w:commentRangeStart w:id="25"/>
      <w:r>
        <w:rPr>
          <w:rFonts w:ascii="Calibri" w:hAnsi="Calibri"/>
          <w:i w:val="false"/>
          <w:iCs w:val="false"/>
          <w:color w:val="000000"/>
          <w:sz w:val="22"/>
          <w:szCs w:val="22"/>
          <w:shd w:fill="auto" w:val="clear"/>
        </w:rPr>
        <w:t>As informações contidas neste Termo de Referência não são classificadas como sigilosas,</w:t>
      </w:r>
      <w:bookmarkEnd w:id="15"/>
      <w:commentRangeEnd w:id="25"/>
      <w:r>
        <w:commentReference w:id="25"/>
      </w:r>
      <w:r>
        <w:rPr>
          <w:rFonts w:ascii="Calibri" w:hAnsi="Calibri"/>
          <w:i w:val="false"/>
          <w:iCs w:val="false"/>
          <w:color w:val="000000"/>
          <w:sz w:val="22"/>
          <w:szCs w:val="22"/>
          <w:shd w:fill="auto" w:val="clear"/>
        </w:rPr>
      </w:r>
    </w:p>
    <w:p>
      <w:pPr>
        <w:pStyle w:val="Nvel2-Opcional"/>
        <w:ind w:start="709"/>
        <w:rPr>
          <w:rFonts w:ascii="Calibri" w:hAnsi="Calibri"/>
          <w:i w:val="false"/>
          <w:i w:val="false"/>
          <w:iCs w:val="false"/>
          <w:color w:val="000000"/>
          <w:sz w:val="22"/>
          <w:szCs w:val="22"/>
          <w:highlight w:val="none"/>
          <w:shd w:fill="auto" w:val="clear"/>
        </w:rPr>
      </w:pPr>
      <w:r>
        <w:rPr>
          <w:rFonts w:ascii="Calibri" w:hAnsi="Calibri"/>
          <w:i w:val="false"/>
          <w:iCs w:val="false"/>
          <w:color w:val="000000"/>
          <w:sz w:val="22"/>
          <w:szCs w:val="22"/>
          <w:shd w:fill="auto" w:val="clear"/>
        </w:rPr>
        <w:t>Rio de Janeiro,</w:t>
      </w:r>
      <w:r>
        <w:rPr>
          <w:rFonts w:ascii="Calibri" w:hAnsi="Calibri"/>
          <w:i w:val="false"/>
          <w:iCs w:val="false"/>
          <w:color w:val="000000"/>
          <w:sz w:val="22"/>
          <w:szCs w:val="22"/>
          <w:shd w:fill="auto" w:val="clear"/>
        </w:rPr>
        <w:t xml:space="preserve"> </w:t>
      </w:r>
      <w:r>
        <w:rPr>
          <w:rFonts w:ascii="Calibri" w:hAnsi="Calibri"/>
          <w:i w:val="false"/>
          <w:iCs w:val="false"/>
          <w:color w:val="000000"/>
          <w:sz w:val="22"/>
          <w:szCs w:val="22"/>
          <w:shd w:fill="auto" w:val="clear"/>
        </w:rPr>
        <w:t>11 de março de 2026</w:t>
      </w:r>
    </w:p>
    <w:p>
      <w:pPr>
        <w:pStyle w:val="Nvel2-Opcional"/>
        <w:ind w:start="709"/>
        <w:rPr>
          <w:rFonts w:ascii="Calibri" w:hAnsi="Calibri" w:eastAsia="Arial" w:cs="Arial"/>
          <w:i w:val="false"/>
          <w:i w:val="false"/>
          <w:iCs w:val="false"/>
          <w:color w:val="000000"/>
          <w:sz w:val="22"/>
          <w:szCs w:val="22"/>
          <w:highlight w:val="none"/>
          <w:shd w:fill="auto" w:val="clear"/>
        </w:rPr>
      </w:pPr>
      <w:r>
        <w:rPr>
          <w:rFonts w:eastAsia="Arial" w:cs="Arial" w:ascii="Calibri" w:hAnsi="Calibri"/>
          <w:i w:val="false"/>
          <w:iCs w:val="false"/>
          <w:color w:val="000000"/>
          <w:sz w:val="22"/>
          <w:szCs w:val="22"/>
          <w:shd w:fill="auto" w:val="clear"/>
        </w:rPr>
      </w:r>
    </w:p>
    <w:p>
      <w:pPr>
        <w:pStyle w:val="Nvel2-Opcional"/>
        <w:ind w:start="709"/>
        <w:rPr>
          <w:rFonts w:ascii="Calibri" w:hAnsi="Calibri" w:eastAsia="Arial" w:cs="Arial"/>
          <w:i w:val="false"/>
          <w:i w:val="false"/>
          <w:iCs w:val="false"/>
          <w:color w:val="000000"/>
          <w:sz w:val="22"/>
          <w:szCs w:val="22"/>
          <w:highlight w:val="none"/>
          <w:shd w:fill="auto" w:val="clear"/>
        </w:rPr>
      </w:pPr>
      <w:r>
        <w:rPr>
          <w:rFonts w:eastAsia="Arial" w:cs="Arial" w:ascii="Calibri" w:hAnsi="Calibri"/>
          <w:i w:val="false"/>
          <w:iCs w:val="false"/>
          <w:color w:val="000000"/>
          <w:sz w:val="22"/>
          <w:szCs w:val="22"/>
          <w:shd w:fill="auto" w:val="clear"/>
        </w:rPr>
      </w:r>
    </w:p>
    <w:p>
      <w:pPr>
        <w:pStyle w:val="Nvel2-Opcional"/>
        <w:ind w:start="709"/>
        <w:rPr>
          <w:rFonts w:ascii="Calibri" w:hAnsi="Calibri" w:eastAsia="Arial" w:cs="Arial"/>
          <w:i w:val="false"/>
          <w:i w:val="false"/>
          <w:iCs w:val="false"/>
          <w:color w:val="000000"/>
          <w:sz w:val="22"/>
          <w:szCs w:val="22"/>
          <w:highlight w:val="none"/>
          <w:shd w:fill="auto" w:val="clear"/>
        </w:rPr>
      </w:pPr>
      <w:r>
        <w:rPr>
          <w:rFonts w:eastAsia="Arial" w:cs="Arial" w:ascii="Calibri" w:hAnsi="Calibri"/>
          <w:i w:val="false"/>
          <w:iCs w:val="false"/>
          <w:color w:val="000000"/>
          <w:sz w:val="22"/>
          <w:szCs w:val="22"/>
          <w:shd w:fill="auto" w:val="clear"/>
        </w:rPr>
      </w:r>
    </w:p>
    <w:p>
      <w:pPr>
        <w:pStyle w:val="Normal"/>
        <w:widowControl w:val="false"/>
        <w:jc w:val="center"/>
        <w:rPr>
          <w:rFonts w:ascii="Calibri" w:hAnsi="Calibri"/>
          <w:i w:val="false"/>
          <w:i w:val="false"/>
          <w:iCs w:val="false"/>
          <w:color w:val="000000"/>
          <w:sz w:val="22"/>
          <w:szCs w:val="22"/>
          <w:highlight w:val="none"/>
          <w:shd w:fill="auto" w:val="clear"/>
        </w:rPr>
      </w:pPr>
      <w:r>
        <w:rPr>
          <w:rFonts w:cs="Calibri" w:ascii="Calibri" w:hAnsi="Calibri"/>
          <w:i w:val="false"/>
          <w:iCs w:val="false"/>
          <w:color w:val="000000"/>
          <w:sz w:val="22"/>
          <w:szCs w:val="22"/>
          <w:shd w:fill="auto" w:val="clear"/>
        </w:rPr>
        <w:t>CARINE PEIXOTO CORREA DO CARMO</w:t>
      </w:r>
    </w:p>
    <w:p>
      <w:pPr>
        <w:pStyle w:val="Normal"/>
        <w:widowControl w:val="false"/>
        <w:jc w:val="center"/>
        <w:rPr>
          <w:rFonts w:ascii="Calibri" w:hAnsi="Calibri"/>
          <w:i w:val="false"/>
          <w:i w:val="false"/>
          <w:iCs w:val="false"/>
          <w:color w:val="000000"/>
          <w:sz w:val="22"/>
          <w:szCs w:val="22"/>
          <w:highlight w:val="none"/>
          <w:shd w:fill="auto" w:val="clear"/>
        </w:rPr>
      </w:pPr>
      <w:r>
        <w:rPr>
          <w:rFonts w:cs="Calibri" w:ascii="Calibri" w:hAnsi="Calibri"/>
          <w:i w:val="false"/>
          <w:iCs w:val="false"/>
          <w:color w:val="000000"/>
          <w:sz w:val="22"/>
          <w:szCs w:val="22"/>
          <w:shd w:fill="auto" w:val="clear"/>
        </w:rPr>
        <w:t>Segundo</w:t>
      </w:r>
      <w:bookmarkStart w:id="16" w:name="_GoBack"/>
      <w:bookmarkEnd w:id="16"/>
      <w:r>
        <w:rPr>
          <w:rFonts w:cs="Calibri" w:ascii="Calibri" w:hAnsi="Calibri"/>
          <w:i w:val="false"/>
          <w:iCs w:val="false"/>
          <w:color w:val="000000"/>
          <w:sz w:val="22"/>
          <w:szCs w:val="22"/>
          <w:shd w:fill="auto" w:val="clear"/>
        </w:rPr>
        <w:t>-Tenente (RM2-T)</w:t>
      </w:r>
    </w:p>
    <w:p>
      <w:pPr>
        <w:pStyle w:val="Normal"/>
        <w:widowControl w:val="false"/>
        <w:jc w:val="center"/>
        <w:rPr>
          <w:rFonts w:ascii="Calibri" w:hAnsi="Calibri" w:eastAsia="Arial" w:cs="Arial"/>
          <w:i w:val="false"/>
          <w:i w:val="false"/>
          <w:iCs w:val="false"/>
          <w:color w:val="000000"/>
          <w:sz w:val="22"/>
          <w:szCs w:val="22"/>
          <w:highlight w:val="none"/>
          <w:shd w:fill="auto" w:val="clear"/>
        </w:rPr>
      </w:pPr>
      <w:r>
        <w:rPr>
          <w:rFonts w:eastAsia="Arial" w:cs="Arial" w:ascii="Calibri" w:hAnsi="Calibri"/>
          <w:i w:val="false"/>
          <w:iCs w:val="false"/>
          <w:color w:val="000000"/>
          <w:sz w:val="22"/>
          <w:szCs w:val="22"/>
          <w:shd w:fill="auto" w:val="clear"/>
        </w:rPr>
        <w:t>Membro da equipe de planejamento</w:t>
      </w:r>
    </w:p>
    <w:p>
      <w:pPr>
        <w:pStyle w:val="Normal"/>
        <w:widowControl w:val="false"/>
        <w:jc w:val="center"/>
        <w:rPr>
          <w:rFonts w:ascii="Calibri" w:hAnsi="Calibri" w:eastAsia="Arial" w:cs="Arial"/>
          <w:i w:val="false"/>
          <w:i w:val="false"/>
          <w:iCs w:val="false"/>
          <w:color w:val="000000"/>
          <w:sz w:val="22"/>
          <w:szCs w:val="22"/>
          <w:highlight w:val="none"/>
          <w:shd w:fill="auto" w:val="clear"/>
        </w:rPr>
      </w:pPr>
      <w:r>
        <w:rPr>
          <w:rFonts w:eastAsia="Arial" w:cs="Arial" w:ascii="Calibri" w:hAnsi="Calibri"/>
          <w:i w:val="false"/>
          <w:iCs w:val="false"/>
          <w:color w:val="000000"/>
          <w:sz w:val="22"/>
          <w:szCs w:val="22"/>
          <w:shd w:fill="auto" w:val="clear"/>
        </w:rPr>
      </w:r>
    </w:p>
    <w:p>
      <w:pPr>
        <w:pStyle w:val="Normal"/>
        <w:tabs>
          <w:tab w:val="clear" w:pos="709"/>
          <w:tab w:val="left" w:pos="680" w:leader="none"/>
          <w:tab w:val="left" w:pos="1020" w:leader="none"/>
          <w:tab w:val="left" w:pos="1417" w:leader="none"/>
          <w:tab w:val="left" w:pos="1644" w:leader="none"/>
        </w:tabs>
        <w:spacing w:before="57" w:after="57"/>
        <w:jc w:val="both"/>
        <w:rPr>
          <w:rFonts w:ascii="Calibri" w:hAnsi="Calibri" w:cs="Calibri"/>
          <w:b/>
          <w:color w:val="000000"/>
          <w:lang w:eastAsia="en-US"/>
        </w:rPr>
      </w:pPr>
      <w:r>
        <w:rPr>
          <w:rFonts w:cs="Calibri" w:ascii="Calibri" w:hAnsi="Calibri"/>
          <w:b/>
          <w:color w:val="000000"/>
          <w:lang w:eastAsia="en-US"/>
        </w:rPr>
        <w:t>APROVO:</w:t>
      </w:r>
    </w:p>
    <w:p>
      <w:pPr>
        <w:pStyle w:val="Normal"/>
        <w:tabs>
          <w:tab w:val="clear" w:pos="709"/>
          <w:tab w:val="left" w:pos="680" w:leader="none"/>
          <w:tab w:val="left" w:pos="1020" w:leader="none"/>
          <w:tab w:val="left" w:pos="1417" w:leader="none"/>
          <w:tab w:val="left" w:pos="1644" w:leader="none"/>
        </w:tabs>
        <w:jc w:val="both"/>
        <w:rPr>
          <w:rFonts w:ascii="Calibri" w:hAnsi="Calibri" w:cs="Calibri"/>
          <w:b/>
          <w:color w:val="C9211E"/>
          <w:lang w:eastAsia="en-US"/>
        </w:rPr>
      </w:pPr>
      <w:r>
        <w:rPr>
          <w:rFonts w:cs="Calibri" w:ascii="Calibri" w:hAnsi="Calibri"/>
          <w:b/>
          <w:color w:val="C9211E"/>
          <w:lang w:eastAsia="en-US"/>
        </w:rPr>
      </w:r>
    </w:p>
    <w:p>
      <w:pPr>
        <w:pStyle w:val="Normal"/>
        <w:tabs>
          <w:tab w:val="clear" w:pos="709"/>
          <w:tab w:val="left" w:pos="680" w:leader="none"/>
          <w:tab w:val="left" w:pos="1020" w:leader="none"/>
          <w:tab w:val="left" w:pos="1417" w:leader="none"/>
          <w:tab w:val="left" w:pos="1644" w:leader="none"/>
        </w:tabs>
        <w:jc w:val="both"/>
        <w:rPr>
          <w:rFonts w:ascii="Calibri" w:hAnsi="Calibri" w:cs="Calibri"/>
        </w:rPr>
      </w:pPr>
      <w:r>
        <w:rPr>
          <w:rFonts w:cs="Calibri" w:ascii="Calibri" w:hAnsi="Calibri"/>
        </w:rPr>
      </w:r>
    </w:p>
    <w:p>
      <w:pPr>
        <w:pStyle w:val="Contedodatabela"/>
        <w:tabs>
          <w:tab w:val="clear" w:pos="709"/>
          <w:tab w:val="left" w:pos="2839" w:leader="none"/>
        </w:tabs>
        <w:spacing w:before="280" w:after="280"/>
        <w:contextualSpacing/>
        <w:jc w:val="center"/>
        <w:rPr>
          <w:rFonts w:ascii="Calibri" w:hAnsi="Calibri" w:cs="Times New Roman"/>
          <w:color w:val="000000"/>
          <w:sz w:val="24"/>
          <w:szCs w:val="24"/>
          <w:shd w:fill="auto" w:val="clear"/>
        </w:rPr>
      </w:pPr>
      <w:r>
        <w:rPr>
          <w:rFonts w:cs="Times New Roman" w:ascii="Calibri" w:hAnsi="Calibri"/>
          <w:color w:val="000000"/>
          <w:sz w:val="24"/>
          <w:szCs w:val="24"/>
          <w:shd w:fill="auto" w:val="clear"/>
        </w:rPr>
        <w:t>RONALD ARAUJO REZENDE</w:t>
      </w:r>
    </w:p>
    <w:p>
      <w:pPr>
        <w:pStyle w:val="Contedodatabela"/>
        <w:tabs>
          <w:tab w:val="clear" w:pos="709"/>
          <w:tab w:val="left" w:pos="2839" w:leader="none"/>
        </w:tabs>
        <w:spacing w:before="280" w:after="280"/>
        <w:contextualSpacing/>
        <w:jc w:val="center"/>
        <w:rPr>
          <w:rFonts w:ascii="Calibri" w:hAnsi="Calibri" w:cs="Times New Roman"/>
          <w:color w:val="000000"/>
          <w:sz w:val="24"/>
          <w:szCs w:val="24"/>
          <w:shd w:fill="auto" w:val="clear"/>
        </w:rPr>
      </w:pPr>
      <w:r>
        <w:rPr>
          <w:rFonts w:cs="Times New Roman" w:ascii="Calibri" w:hAnsi="Calibri"/>
          <w:color w:val="000000"/>
          <w:sz w:val="24"/>
          <w:szCs w:val="24"/>
          <w:shd w:fill="auto" w:val="clear"/>
        </w:rPr>
        <w:t>Capitão de Mar e Guerra (IM)</w:t>
      </w:r>
    </w:p>
    <w:p>
      <w:pPr>
        <w:pStyle w:val="Contedodatabela"/>
        <w:tabs>
          <w:tab w:val="clear" w:pos="709"/>
          <w:tab w:val="left" w:pos="2839" w:leader="none"/>
        </w:tabs>
        <w:spacing w:before="280" w:after="280"/>
        <w:contextualSpacing/>
        <w:jc w:val="center"/>
        <w:rPr>
          <w:sz w:val="24"/>
          <w:szCs w:val="24"/>
          <w:shd w:fill="auto" w:val="clear"/>
        </w:rPr>
      </w:pPr>
      <w:r>
        <w:rPr>
          <w:rStyle w:val="Fontepargpadro"/>
          <w:rFonts w:cs="Times New Roman" w:ascii="Calibri" w:hAnsi="Calibri"/>
          <w:b w:val="false"/>
          <w:bCs w:val="false"/>
          <w:sz w:val="24"/>
          <w:szCs w:val="24"/>
          <w:shd w:fill="auto" w:val="clear"/>
        </w:rPr>
        <w:t>Ordenador de Despesas da OM</w:t>
      </w:r>
    </w:p>
    <w:sectPr>
      <w:footerReference w:type="even" r:id="rId3"/>
      <w:footerReference w:type="default" r:id="rId4"/>
      <w:footerReference w:type="first" r:id="rId5"/>
      <w:type w:val="nextPage"/>
      <w:pgSz w:w="11906" w:h="16838"/>
      <w:pgMar w:left="1134" w:right="1134" w:gutter="0" w:header="0" w:top="1418" w:footer="709" w:bottom="1418"/>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 xml:space="preserve">Nota Explicativa: Vedação quanto à aquisição de itens de luxo - </w:t>
      </w:r>
      <w:r>
        <w:rPr>
          <w:rFonts w:eastAsia="Segoe UI" w:cs="DejaVu Sans" w:ascii="Liberation Serif" w:hAnsi="Liberation Serif"/>
          <w:i/>
          <w:iCs/>
          <w:color w:val="000000"/>
          <w:lang w:val="en-US" w:eastAsia="en-US" w:bidi="en-US"/>
        </w:rPr>
        <w:t xml:space="preserve">O artigo 20 da Lei nº 14.133, de 2021, estabelece que os itens de consumo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 </w:t>
      </w:r>
    </w:p>
  </w:comment>
  <w:comment w:id="1"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w:t>
      </w:r>
      <w:r>
        <w:rPr>
          <w:rFonts w:eastAsia="Segoe UI" w:cs="DejaVu Sans" w:ascii="Liberation Serif" w:hAnsi="Liberation Serif"/>
          <w:i/>
          <w:iCs/>
          <w:color w:val="000000"/>
          <w:lang w:val="en-US" w:eastAsia="en-US" w:bidi="en-US"/>
        </w:rPr>
        <w:t xml:space="preserve"> De acordo com o artigo 6º, inciso XXIII, alínea ‘c’, da Lei nº 14.133, de 2021, a fundamentação da contratação é realizada mediante “referência aos estudos técnicos preliminares (ETP) correspondentes ou, quando não for possível divulgar esses estudos, no extrato das partes que não contiverem informações sigilosas”. A Instrução Normativa SEGES/ME nº 58, de 8 de agosto de 2022, dispõe sobre a “elaboração do ETP, para a aquisição de bens e a contratação de serviços e obras no âmbito da administração pública federal direta, autárquica e fundacional, e sobre o Sistema ETP digital”. No mesmo sentido é a previsão do art. 9º, inciso II, da Instrução Normativa Seges/ME nº 81, de 2022.</w:t>
      </w:r>
    </w:p>
  </w:comment>
  <w:comment w:id="2"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 1:</w:t>
      </w:r>
      <w:r>
        <w:rPr>
          <w:rFonts w:eastAsia="Segoe UI" w:cs="DejaVu Sans" w:ascii="Liberation Serif" w:hAnsi="Liberation Serif"/>
          <w:i/>
          <w:iCs/>
          <w:color w:val="000000"/>
          <w:lang w:val="en-US" w:eastAsia="en-US" w:bidi="en-US"/>
        </w:rPr>
        <w:t xml:space="preserve"> Artigo 18, §1º, da Lei nº 14.133, de 2021, contém a seguinte redação: </w:t>
      </w:r>
    </w:p>
    <w:p>
      <w:pPr>
        <w:overflowPunct w:val="false"/>
        <w:rPr/>
      </w:pPr>
      <w:r>
        <w:rPr>
          <w:rFonts w:eastAsia="Segoe UI" w:cs="DejaVu Sans" w:ascii="Liberation Serif" w:hAnsi="Liberation Serif"/>
          <w:i/>
          <w:iCs/>
          <w:color w:val="000000"/>
          <w:lang w:val="en-US" w:eastAsia="en-US" w:bidi="en-US"/>
        </w:rPr>
        <w:t>§ 1º O estudo técnico preliminar a que se refere o inciso I do caput deste artigo deverá evidenciar o problema a ser resolvido e a sua melhor solução, de modo a permitir a avaliação da viabilidade técnica e econômica da contratação, e conterá os seguintes elementos: (...)VII - descrição da solução como um todo, inclusive das exigências relacionadas à manutenção e à assistência técnica, quando for o caso.</w:t>
      </w:r>
    </w:p>
    <w:p>
      <w:pPr>
        <w:overflowPunct w:val="false"/>
        <w:rPr/>
      </w:pPr>
      <w:r>
        <w:rPr>
          <w:rFonts w:eastAsia="Segoe UI" w:cs="DejaVu Sans" w:ascii="Liberation Serif" w:hAnsi="Liberation Serif"/>
          <w:i/>
          <w:iCs/>
          <w:color w:val="000000"/>
          <w:lang w:val="en-US" w:eastAsia="en-US" w:bidi="en-US"/>
        </w:rPr>
        <w:t>Ver também Instrução Normativa SEGES/ME nº 58, de 08 de agosto de 2022 (ETP), art. 3º, inciso I e art. 6º.</w:t>
      </w:r>
    </w:p>
    <w:p>
      <w:pPr>
        <w:overflowPunct w:val="false"/>
        <w:rPr/>
      </w:pPr>
      <w:r>
        <w:rPr>
          <w:rFonts w:eastAsia="Segoe UI" w:cs="DejaVu Sans" w:ascii="Liberation Serif" w:hAnsi="Liberation Serif"/>
          <w:i/>
          <w:iCs/>
          <w:color w:val="000000"/>
          <w:lang w:val="en-US" w:eastAsia="en-US" w:bidi="en-US"/>
        </w:rPr>
        <w:t>Caso haja a necessidade de modificação da descrição em relação à originalmente feita nos estudos técnicos preliminares, recomenda-se o dispositivo 3.1, para que passe a contemplar essa alteração.</w:t>
      </w:r>
    </w:p>
    <w:p>
      <w:pPr>
        <w:overflowPunct w:val="false"/>
        <w:rPr/>
      </w:pPr>
      <w:r>
        <w:rPr>
          <w:rFonts w:eastAsia="Segoe UI" w:cs="DejaVu Sans" w:ascii="Liberation Serif" w:hAnsi="Liberation Serif"/>
          <w:i/>
          <w:iCs/>
          <w:color w:val="000000"/>
          <w:lang w:val="en-US" w:eastAsia="en-US" w:bidi="en-US"/>
        </w:rPr>
        <w:t>A Instrução Normativa Seges/ME nº 81, de 2022, também trata da necessidade de descrição da solução como um todo, considerado todo o ciclo de vida do objeto, com preferência a arranjos inovadores em sede de economia circular, conforme seu artigo 9º, inciso III.</w:t>
      </w:r>
    </w:p>
    <w:p>
      <w:pPr>
        <w:overflowPunct w:val="false"/>
        <w:rPr/>
      </w:pPr>
      <w:r>
        <w:rPr>
          <w:rFonts w:eastAsia="Segoe UI" w:ascii="Liberation Serif" w:hAnsi="Liberation Serif"/>
          <w:lang w:eastAsia="en-US" w:val="en-US" w:bidi="en-US"/>
        </w:rPr>
      </w:r>
    </w:p>
    <w:p>
      <w:pPr>
        <w:overflowPunct w:val="false"/>
        <w:rPr/>
      </w:pPr>
      <w:r>
        <w:rPr>
          <w:rFonts w:eastAsia="Segoe UI" w:cs="DejaVu Sans" w:ascii="Liberation Serif" w:hAnsi="Liberation Serif"/>
          <w:b/>
          <w:bCs/>
          <w:i/>
          <w:iCs/>
          <w:color w:val="000000"/>
          <w:lang w:val="en-US" w:eastAsia="en-US" w:bidi="en-US"/>
        </w:rPr>
        <w:t>Nota Explicativa 2:</w:t>
      </w:r>
      <w:r>
        <w:rPr>
          <w:rFonts w:eastAsia="Segoe UI" w:cs="DejaVu Sans" w:ascii="Liberation Serif" w:hAnsi="Liberation Serif"/>
          <w:i/>
          <w:iCs/>
          <w:color w:val="000000"/>
          <w:lang w:val="en-US" w:eastAsia="en-US" w:bidi="en-US"/>
        </w:rPr>
        <w:t xml:space="preserve"> A Instrução Normativa SEGES/ME nº 73, de 30 de setembro de 2022, em seu art. 9º, §1º, estabelece que os custos indiretos, relacionados às despesas de manutenção, utilização, reposição, depreciação e impacto ambiental, entre outros fatores vinculados ao seu ciclo de vida, poderão ser considerados para a definição do menor dispêndio, sempre que objetivamente mensuráveis, conforme parâmetros definidos em regulamento, de acordo com o § 1º do art. 34 da Lei nº 14.133, de 2021. Logo, a definição do menor dispêndio para Administração deve levar em consideração esse aspecto.</w:t>
      </w:r>
    </w:p>
    <w:p>
      <w:pPr>
        <w:overflowPunct w:val="false"/>
        <w:rPr/>
      </w:pPr>
      <w:r>
        <w:rPr>
          <w:rFonts w:eastAsia="Segoe UI" w:ascii="Liberation Serif" w:hAnsi="Liberation Serif"/>
          <w:lang w:eastAsia="en-US" w:val="en-US" w:bidi="en-US"/>
        </w:rPr>
      </w:r>
    </w:p>
    <w:p>
      <w:pPr>
        <w:overflowPunct w:val="false"/>
        <w:rPr/>
      </w:pPr>
      <w:r>
        <w:rPr>
          <w:rFonts w:eastAsia="Segoe UI" w:cs="DejaVu Sans" w:ascii="Liberation Serif" w:hAnsi="Liberation Serif"/>
          <w:b/>
          <w:bCs/>
          <w:i/>
          <w:iCs/>
          <w:color w:val="000000"/>
          <w:lang w:val="en-US" w:eastAsia="en-US" w:bidi="en-US"/>
        </w:rPr>
        <w:t xml:space="preserve">Nota Explicativa 3: </w:t>
      </w:r>
      <w:r>
        <w:rPr>
          <w:rFonts w:eastAsia="Segoe UI" w:cs="DejaVu Sans" w:ascii="Liberation Serif" w:hAnsi="Liberation Serif"/>
          <w:i/>
          <w:iCs/>
          <w:color w:val="000000"/>
          <w:lang w:val="en-US" w:eastAsia="en-US" w:bidi="en-US"/>
        </w:rPr>
        <w:t>O objeto deve ser descrito de forma detalhada, com todas as especificações necessárias e suficientes para garantir a qualidade da contração, cuidando-se para que não sejam admitidas, previstas ou incluídas condições impertinentes ou irrelevantes para o específico objeto do contrato. Deve-se levar em consideração as normas técnicas eventualmente existentes, elaboradas pela Associação Brasileira de Normas Técnicas – ABNT, quanto a requisitos mínimos de qualidade, utilidade, resistência e segurança, nos termos da Lei n° 4.150, de 21 de novembro de 1962.</w:t>
      </w:r>
    </w:p>
    <w:p>
      <w:pPr>
        <w:overflowPunct w:val="false"/>
        <w:rPr/>
      </w:pPr>
      <w:r>
        <w:rPr>
          <w:rFonts w:eastAsia="Segoe UI" w:ascii="Liberation Serif" w:hAnsi="Liberation Serif"/>
          <w:lang w:eastAsia="en-US" w:val="en-US" w:bidi="en-US"/>
        </w:rPr>
      </w:r>
    </w:p>
    <w:p>
      <w:pPr>
        <w:overflowPunct w:val="false"/>
        <w:rPr/>
      </w:pPr>
      <w:r>
        <w:rPr>
          <w:rFonts w:eastAsia="Segoe UI" w:cs="DejaVu Sans" w:ascii="Liberation Serif" w:hAnsi="Liberation Serif"/>
          <w:b/>
          <w:bCs/>
          <w:i/>
          <w:iCs/>
          <w:color w:val="000000"/>
          <w:lang w:val="en-US" w:eastAsia="en-US" w:bidi="en-US"/>
        </w:rPr>
        <w:t xml:space="preserve">Nota Explicativa 4: </w:t>
      </w:r>
      <w:r>
        <w:rPr>
          <w:rFonts w:eastAsia="Segoe UI" w:cs="DejaVu Sans" w:ascii="Liberation Serif" w:hAnsi="Liberation Serif"/>
          <w:i/>
          <w:iCs/>
          <w:color w:val="000000"/>
          <w:lang w:val="en-US" w:eastAsia="en-US" w:bidi="en-US"/>
        </w:rPr>
        <w:t xml:space="preserve">O art. 6º, XXIII, “c”, da Lei nº 14.133, de 2021, e o art. 9º, IIII, da Instrução Normativa Seges/ME nº 81, de 2022, dispõem que a descrição da solução como um todo deve considerar todo o ciclo de vida do objeto. “Ciclo de Vida” é definido no art. 3º da Lei nº 12.305, de 02 de agosto de 2010, como sendo “série de etapas que envolvem o desenvolvimento do produto, a obtenção de matérias-primas e insumos, o processo produtivo, o consumo e a disposição final”. Desse modo, a descrição da solução deve considerar não só suas características intrínsecas ao uso em si, mas também eventual sustentabilidade de sua produção, duração de seu consumo (se é menos ou mais durável) até a destinação final. </w:t>
      </w:r>
      <w:r>
        <w:rPr>
          <w:rFonts w:eastAsia="Segoe UI" w:cs="DejaVu Sans" w:ascii="Liberation Serif" w:hAnsi="Liberation Serif"/>
          <w:b/>
          <w:bCs/>
          <w:i/>
          <w:iCs/>
          <w:color w:val="000000"/>
          <w:lang w:val="en-US" w:eastAsia="en-US" w:bidi="en-US"/>
        </w:rPr>
        <w:t>Reitere-se: se a descrição contida no ETP não contiver esse ponto, deve ser complementada neste TR</w:t>
      </w:r>
      <w:r>
        <w:rPr>
          <w:rFonts w:eastAsia="Segoe UI" w:cs="DejaVu Sans" w:ascii="Liberation Serif" w:hAnsi="Liberation Serif"/>
          <w:i/>
          <w:iCs/>
          <w:color w:val="000000"/>
          <w:lang w:val="en-US" w:eastAsia="en-US" w:bidi="en-US"/>
        </w:rPr>
        <w:t>.</w:t>
      </w:r>
    </w:p>
    <w:p>
      <w:pPr>
        <w:overflowPunct w:val="false"/>
        <w:rPr/>
      </w:pPr>
      <w:r>
        <w:rPr>
          <w:rFonts w:eastAsia="Segoe UI" w:ascii="Liberation Serif" w:hAnsi="Liberation Serif"/>
          <w:lang w:eastAsia="en-US" w:val="en-US" w:bidi="en-US"/>
        </w:rPr>
      </w:r>
    </w:p>
    <w:p>
      <w:pPr>
        <w:overflowPunct w:val="false"/>
        <w:rPr/>
      </w:pPr>
      <w:r>
        <w:rPr>
          <w:rFonts w:eastAsia="Segoe UI" w:cs="DejaVu Sans" w:ascii="Liberation Serif" w:hAnsi="Liberation Serif"/>
          <w:b/>
          <w:bCs/>
          <w:i/>
          <w:iCs/>
          <w:color w:val="000000"/>
          <w:lang w:val="en-US" w:eastAsia="en-US" w:bidi="en-US"/>
        </w:rPr>
        <w:t>Nota Explicativa 5:</w:t>
      </w:r>
      <w:r>
        <w:rPr>
          <w:rFonts w:eastAsia="Segoe UI" w:cs="DejaVu Sans" w:ascii="Liberation Serif" w:hAnsi="Liberation Serif"/>
          <w:i/>
          <w:iCs/>
          <w:color w:val="000000"/>
          <w:lang w:val="en-US" w:eastAsia="en-US" w:bidi="en-US"/>
        </w:rPr>
        <w:t xml:space="preserve"> O art. 40, §1º, inciso I, da Lei nº 14.133, de 2021, e o art. 9º, inciso I, alínea b, da Instrução Normativa Seges/ME nº 81, de 2022, estabelece que deve ser feita a especificação do produto/bem/serviço, preferencialmente conforme catálogo eletrônico de padronização, observados os requisitos de qualidade, rendimento, compatibilidade, durabilidade e segurança”. A Portaria SEGES/ME nº 938, de 02 de fevereiro de 2022, instituiu o catálogo eletrônico de padronização, o qual deverá ser consultado para verificar se a contratação almejada está contemplada em seus termos. Em existindo padronização aprovada, ela deve ser considerada e eventual não-uso justificado nos autos.</w:t>
      </w:r>
    </w:p>
    <w:p>
      <w:pPr>
        <w:overflowPunct w:val="false"/>
        <w:rPr/>
      </w:pPr>
      <w:r>
        <w:rPr>
          <w:rFonts w:eastAsia="Segoe UI" w:ascii="Liberation Serif" w:hAnsi="Liberation Serif"/>
          <w:lang w:eastAsia="en-US" w:val="en-US" w:bidi="en-US"/>
        </w:rPr>
      </w:r>
    </w:p>
    <w:p>
      <w:pPr>
        <w:overflowPunct w:val="false"/>
        <w:rPr/>
      </w:pPr>
      <w:r>
        <w:rPr>
          <w:rFonts w:eastAsia="Segoe UI" w:cs="DejaVu Sans" w:ascii="Liberation Serif" w:hAnsi="Liberation Serif"/>
          <w:b/>
          <w:bCs/>
          <w:i/>
          <w:iCs/>
          <w:color w:val="000000"/>
          <w:lang w:val="en-US" w:eastAsia="en-US" w:bidi="en-US"/>
        </w:rPr>
        <w:t xml:space="preserve">Nota Explicativa 6: </w:t>
      </w:r>
      <w:r>
        <w:rPr>
          <w:rFonts w:eastAsia="Segoe UI" w:cs="DejaVu Sans" w:ascii="Liberation Serif" w:hAnsi="Liberation Serif"/>
          <w:i/>
          <w:iCs/>
          <w:color w:val="000000"/>
          <w:lang w:val="en-US" w:eastAsia="en-US" w:bidi="en-US"/>
        </w:rPr>
        <w:t>Em havendo elementos de sustentabilidade (fornecimento em material reciclável ou com madeira de reflorestamento etc.) inerentes ao objeto contratual, estes devem estar na solução como um todo de modo específico e concreto, evitando-se descrições genéricas, de difícil aferição e controle. Recomenda-se destacar em tópicos específicos da descrição do objeto seus elementos atinentes a aspectos de sustentabilidade. Sugere-se consultar o Guia Nacional de Contratações Sustentáveis da AGU para tal fim. Caso o Estudo Técnico Preliminar seja silente ou insuficiente a esse respeito, recomenda-se abrir tópico específico nesta seção sobre a matéria.</w:t>
      </w:r>
    </w:p>
    <w:p>
      <w:pPr>
        <w:overflowPunct w:val="false"/>
        <w:rPr/>
      </w:pPr>
      <w:r>
        <w:rPr>
          <w:rFonts w:eastAsia="Segoe UI" w:cs="DejaVu Sans" w:ascii="Liberation Serif" w:hAnsi="Liberation Serif"/>
          <w:i/>
          <w:iCs/>
          <w:color w:val="000000"/>
          <w:lang w:val="en-US" w:eastAsia="en-US" w:bidi="en-US"/>
        </w:rPr>
        <w:t>Vale registrar que a sustentabilidade pode incidir a partir de características do próprio objeto a ser contratado como também de outros modos, compilados no tópico “requisitos da contratação”, abaixo.</w:t>
      </w:r>
    </w:p>
  </w:comment>
  <w:comment w:id="3"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 xml:space="preserve">Nota Explicativa 1: </w:t>
      </w:r>
      <w:r>
        <w:rPr>
          <w:rFonts w:eastAsia="Segoe UI" w:cs="DejaVu Sans" w:ascii="Liberation Serif" w:hAnsi="Liberation Serif"/>
          <w:i/>
          <w:iCs/>
          <w:color w:val="000000"/>
          <w:lang w:val="en-US" w:eastAsia="en-US" w:bidi="en-US"/>
        </w:rPr>
        <w:t>Os requisitos da contratação deverão ser registrados nos Sistemas TR DIGITAL E ETP DIGITAL, nos term</w:t>
      </w:r>
      <w:r>
        <w:rPr>
          <w:rFonts w:eastAsia="Segoe UI" w:cs="DejaVu Sans" w:ascii="Liberation Serif" w:hAnsi="Liberation Serif"/>
          <w:i/>
          <w:iCs/>
          <w:lang w:val="en-US" w:eastAsia="en-US" w:bidi="en-US"/>
        </w:rPr>
        <w:t>os do art. 9º, inciso IV da IN Seges/ME nº 81, de 2022 e art. 9º, inciso II, da Instrução Normativa Seges/ME nº 58, de 2022.</w:t>
      </w:r>
    </w:p>
    <w:p>
      <w:pPr>
        <w:overflowPunct w:val="false"/>
        <w:rPr/>
      </w:pPr>
      <w:r>
        <w:rPr>
          <w:rFonts w:eastAsia="Segoe UI" w:ascii="Liberation Serif" w:hAnsi="Liberation Serif"/>
          <w:lang w:eastAsia="en-US" w:val="en-US" w:bidi="en-US"/>
        </w:rPr>
      </w:r>
    </w:p>
    <w:p>
      <w:pPr>
        <w:overflowPunct w:val="false"/>
        <w:rPr/>
      </w:pPr>
      <w:r>
        <w:rPr>
          <w:rFonts w:eastAsia="Segoe UI" w:cs="DejaVu Sans" w:ascii="Liberation Serif" w:hAnsi="Liberation Serif"/>
          <w:b/>
          <w:bCs/>
          <w:i/>
          <w:iCs/>
          <w:color w:val="000000"/>
          <w:lang w:val="en-US" w:eastAsia="en-US" w:bidi="en-US"/>
        </w:rPr>
        <w:t xml:space="preserve">Nota Explicativa 2: </w:t>
      </w:r>
      <w:r>
        <w:rPr>
          <w:rFonts w:eastAsia="Segoe UI" w:cs="DejaVu Sans" w:ascii="Liberation Serif" w:hAnsi="Liberation Serif"/>
          <w:i/>
          <w:iCs/>
          <w:color w:val="000000"/>
          <w:lang w:val="en-US" w:eastAsia="en-US" w:bidi="en-US"/>
        </w:rPr>
        <w:t xml:space="preserve">Alguns requisitos de contratação tratados na lei foram abordados neste tópico do Termo de Referência. Isso não impede que outros requisitos de contratação, de caráter técnico, sejam inseridos pela área competente. Registre-se, apenas, que a documentação de habilitação técnica é objeto </w:t>
      </w:r>
      <w:r>
        <w:rPr>
          <w:rFonts w:eastAsia="Segoe UI" w:cs="DejaVu Sans" w:ascii="Liberation Serif" w:hAnsi="Liberation Serif"/>
          <w:i/>
          <w:iCs/>
          <w:lang w:val="en-US" w:eastAsia="en-US" w:bidi="en-US"/>
        </w:rPr>
        <w:t>de tópico específico neste TR (CRITÉRIOS DE SELEÇÃO DO FORNECEDOR) de modo que sua inclusão aqui seria redundante.</w:t>
      </w:r>
    </w:p>
  </w:comment>
  <w:comment w:id="4" w:author="Autor" w:date="1900-01-01T00:00:00Z" w:initials="A">
    <w:p>
      <w:pPr>
        <w:overflowPunct w:val="false"/>
        <w:rPr/>
      </w:pPr>
      <w:r>
        <w:annotationRef/>
      </w:r>
      <w:r>
        <w:rPr>
          <w:rFonts w:eastAsia="DejaVu Sans" w:cs="DejaVu Sans" w:ascii="Liberation Serif" w:hAnsi="Liberation Serif"/>
          <w:lang w:val="en-US" w:eastAsia="en-US" w:bidi="en-US"/>
        </w:rPr>
        <w:t xml:space="preserve">Nota Explicativa 1: Neste momento, a área técnica competente deverá indicar se será, ou não, exigida a garantia de execução do objeto para a contratação. </w:t>
      </w:r>
    </w:p>
    <w:p>
      <w:pPr>
        <w:overflowPunct w:val="false"/>
        <w:rPr/>
      </w:pPr>
      <w:r>
        <w:rPr>
          <w:rFonts w:eastAsia="Segoe UI" w:ascii="Liberation Serif" w:hAnsi="Liberation Serif"/>
          <w:lang w:eastAsia="en-US" w:val="en-US" w:bidi="en-US"/>
        </w:rPr>
      </w:r>
    </w:p>
    <w:p>
      <w:pPr>
        <w:overflowPunct w:val="false"/>
        <w:rPr/>
      </w:pPr>
      <w:r>
        <w:rPr>
          <w:rFonts w:eastAsia="DejaVu Sans" w:cs="DejaVu Sans" w:ascii="Liberation Serif" w:hAnsi="Liberation Serif"/>
          <w:lang w:val="en-US" w:eastAsia="en-US" w:bidi="en-US"/>
        </w:rPr>
        <w:t>Nota Explicativa 2: O percentual da garantia será de:</w:t>
      </w:r>
      <w:r>
        <w:rPr>
          <w:rFonts w:cs="DejaVu Sans" w:ascii="Liberation Serif" w:hAnsi="Liberation Serif" w:eastAsia="Segoe UI"/>
          <w:i/>
          <w:iCs/>
          <w:color w:val="000000"/>
          <w:lang w:val="en-US" w:eastAsia="en-US" w:bidi="en-US"/>
        </w:rPr>
        <w:t> </w:t>
      </w:r>
    </w:p>
    <w:p>
      <w:pPr>
        <w:overflowPunct w:val="false"/>
        <w:rPr/>
      </w:pPr>
      <w:r>
        <w:rPr>
          <w:rFonts w:eastAsia="DejaVu Sans" w:cs="DejaVu Sans" w:ascii="Liberation Serif" w:hAnsi="Liberation Serif"/>
          <w:lang w:val="en-US" w:eastAsia="en-US" w:bidi="en-US"/>
        </w:rPr>
        <w:t>a) até 5% (cinco por cento) do valor inicial do contrato, para contratações em geral, conforme art. 98 da Lei nº 14.133, de 2021;</w:t>
      </w:r>
      <w:r>
        <w:rPr>
          <w:rFonts w:cs="DejaVu Sans" w:ascii="Liberation Serif" w:hAnsi="Liberation Serif" w:eastAsia="Segoe UI"/>
          <w:i/>
          <w:iCs/>
          <w:color w:val="000000"/>
          <w:lang w:val="en-US" w:eastAsia="en-US" w:bidi="en-US"/>
        </w:rPr>
        <w:t> </w:t>
      </w:r>
    </w:p>
    <w:p>
      <w:pPr>
        <w:overflowPunct w:val="false"/>
        <w:rPr/>
      </w:pPr>
      <w:r>
        <w:rPr>
          <w:rFonts w:eastAsia="DejaVu Sans" w:cs="DejaVu Sans" w:ascii="Liberation Serif" w:hAnsi="Liberation Serif"/>
          <w:lang w:val="en-US" w:eastAsia="en-US" w:bidi="en-US"/>
        </w:rPr>
        <w:t>b) até 10% (dez por cento) do valor inicial do contrato, nos casos de alta complexidade técnica e riscos envolvidos, caso em que deverá haver justificativa específica nos autos, conforme art. 98 da Lei nº 14.133, de 2021;</w:t>
      </w:r>
      <w:r>
        <w:rPr>
          <w:rFonts w:cs="DejaVu Sans" w:ascii="Liberation Serif" w:hAnsi="Liberation Serif" w:eastAsia="Segoe UI"/>
          <w:i/>
          <w:iCs/>
          <w:color w:val="000000"/>
          <w:lang w:val="en-US" w:eastAsia="en-US" w:bidi="en-US"/>
        </w:rPr>
        <w:t> </w:t>
      </w:r>
    </w:p>
    <w:p>
      <w:pPr>
        <w:overflowPunct w:val="false"/>
        <w:rPr/>
      </w:pPr>
      <w:r>
        <w:rPr>
          <w:rFonts w:eastAsia="DejaVu Sans" w:cs="DejaVu Sans" w:ascii="Liberation Serif" w:hAnsi="Liberation Serif"/>
          <w:lang w:val="en-US" w:eastAsia="en-US" w:bidi="en-US"/>
        </w:rPr>
        <w:t>c) deverá ser acrescido de garantia adicional aos percentuais citados anteriormente, em casos de previsão de antecipação de pagamento, nos termos do art. 145, § 2º, da Lei nº 14.133, de 2021.</w:t>
      </w:r>
      <w:r>
        <w:rPr>
          <w:rFonts w:cs="DejaVu Sans" w:ascii="Liberation Serif" w:hAnsi="Liberation Serif" w:eastAsia="Segoe UI"/>
          <w:i/>
          <w:iCs/>
          <w:color w:val="000000"/>
          <w:lang w:val="en-US" w:eastAsia="en-US" w:bidi="en-US"/>
        </w:rPr>
        <w:t> </w:t>
      </w:r>
    </w:p>
    <w:p>
      <w:pPr>
        <w:overflowPunct w:val="false"/>
        <w:rPr/>
      </w:pPr>
      <w:r>
        <w:rPr>
          <w:rFonts w:eastAsia="DejaVu Sans" w:cs="DejaVu Sans" w:ascii="Liberation Serif" w:hAnsi="Liberation Serif"/>
          <w:lang w:val="en-US" w:eastAsia="en-US" w:bidi="en-US"/>
        </w:rPr>
        <w:t>d) nos casos de contratos que impliquem a entrega de bens pela Administração, dos quais o contratado ficará depositário, o valor desses bens deverá ser acrescido ao valor da garantia calculado de acordo com os itens anteriores.</w:t>
      </w:r>
      <w:r>
        <w:rPr>
          <w:rFonts w:cs="DejaVu Sans" w:ascii="Liberation Serif" w:hAnsi="Liberation Serif" w:eastAsia="Segoe UI"/>
          <w:i/>
          <w:iCs/>
          <w:color w:val="000000"/>
          <w:lang w:val="en-US" w:eastAsia="en-US" w:bidi="en-US"/>
        </w:rPr>
        <w:t> </w:t>
      </w:r>
    </w:p>
    <w:p>
      <w:pPr>
        <w:overflowPunct w:val="false"/>
        <w:rPr/>
      </w:pPr>
      <w:r>
        <w:rPr>
          <w:rFonts w:eastAsia="Segoe UI" w:ascii="Liberation Serif" w:hAnsi="Liberation Serif"/>
          <w:lang w:eastAsia="en-US" w:val="en-US" w:bidi="en-US"/>
        </w:rPr>
      </w:r>
    </w:p>
    <w:p>
      <w:pPr>
        <w:overflowPunct w:val="false"/>
        <w:rPr/>
      </w:pPr>
      <w:r>
        <w:rPr>
          <w:rFonts w:eastAsia="DejaVu Sans" w:cs="DejaVu Sans" w:ascii="Liberation Serif" w:hAnsi="Liberation Serif"/>
          <w:lang w:val="en-US" w:eastAsia="en-US" w:bidi="en-US"/>
        </w:rPr>
        <w:t>Nota explicativa 3: Nos casos de fornecimentos contínuos com duração até um ano, a garantia será calculada com base no valor total do contrato. Se de duração superior a um ano, o será com base no valor anual. Nos demais casos (serviços ou fornecimentos não-contínuos), o será com base no valor inicial.</w:t>
      </w:r>
    </w:p>
    <w:p>
      <w:pPr>
        <w:overflowPunct w:val="false"/>
        <w:rPr/>
      </w:pPr>
      <w:r>
        <w:rPr>
          <w:rFonts w:eastAsia="Segoe UI" w:ascii="Liberation Serif" w:hAnsi="Liberation Serif"/>
          <w:lang w:eastAsia="en-US" w:val="en-US" w:bidi="en-US"/>
        </w:rPr>
      </w:r>
    </w:p>
    <w:p>
      <w:pPr>
        <w:overflowPunct w:val="false"/>
        <w:rPr/>
      </w:pPr>
      <w:r>
        <w:rPr>
          <w:rFonts w:eastAsia="DejaVu Sans" w:cs="DejaVu Sans" w:ascii="Liberation Serif" w:hAnsi="Liberation Serif"/>
          <w:lang w:val="en-US" w:eastAsia="en-US" w:bidi="en-US"/>
        </w:rPr>
        <w:t>Nota explicativa 4: O art. 96, §1º, da Lei nº 14.133, de 2021, estabelece as modalidades de garantia da execução contratual, que incluem caução, seguro-garantia, fiança bancária e título de capitalização. A escolha entre essas quatro modalidades de garantia é uma prerrogativa do contratado.</w:t>
      </w:r>
      <w:r>
        <w:rPr>
          <w:rFonts w:cs="DejaVu Sans" w:ascii="Liberation Serif" w:hAnsi="Liberation Serif" w:eastAsia="Segoe UI"/>
          <w:i/>
          <w:iCs/>
          <w:color w:val="000000"/>
          <w:lang w:val="en-US" w:eastAsia="en-US" w:bidi="en-US"/>
        </w:rPr>
        <w:t> </w:t>
      </w:r>
    </w:p>
    <w:p>
      <w:pPr>
        <w:overflowPunct w:val="false"/>
        <w:rPr/>
      </w:pPr>
      <w:r>
        <w:rPr>
          <w:rFonts w:eastAsia="DejaVu Sans" w:cs="DejaVu Sans" w:ascii="Liberation Serif" w:hAnsi="Liberation Serif"/>
          <w:lang w:val="en-US" w:eastAsia="en-US" w:bidi="en-US"/>
        </w:rPr>
        <w:t xml:space="preserve">Para a modalidade de seguro-garantia, o §3º do art. 96 da Lei nº 14.133, de 2021, impõe que a prestação da garantia ocorra antes da assinatura do contrato, no prazo mínimo de um mês, a ser estabelecido em edital,  contado da homologação da licitação. A mesma regra deverá ser aplicada, por analogia, às contratações diretas precedidas de dispensa eletrônica. </w:t>
      </w:r>
    </w:p>
    <w:p>
      <w:pPr>
        <w:overflowPunct w:val="false"/>
        <w:rPr/>
      </w:pPr>
      <w:r>
        <w:rPr>
          <w:rFonts w:eastAsia="DejaVu Sans" w:cs="DejaVu Sans" w:ascii="Liberation Serif" w:hAnsi="Liberation Serif"/>
          <w:lang w:val="en-US" w:eastAsia="en-US" w:bidi="en-US"/>
        </w:rPr>
        <w:t>Para as demais modalidades, prevalece o disposto no item 3.1, alínea “a”, do Anexo VII-F, da Instrução Normativa SEGES/MP nº 05, de 2017, que fixa o prazo de 10 dias, prorrogáveis por igual período, a critério do órgão contratante, contado da assinatura do contrato para prestação da garantia.</w:t>
      </w:r>
      <w:r>
        <w:rPr>
          <w:rFonts w:cs="DejaVu Sans" w:ascii="Liberation Serif" w:hAnsi="Liberation Serif" w:eastAsia="Segoe UI"/>
          <w:i/>
          <w:iCs/>
          <w:color w:val="000000"/>
          <w:lang w:val="en-US" w:eastAsia="en-US" w:bidi="en-US"/>
        </w:rPr>
        <w:t> </w:t>
      </w:r>
    </w:p>
  </w:comment>
  <w:comment w:id="5"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 1</w:t>
      </w:r>
      <w:r>
        <w:rPr>
          <w:rFonts w:eastAsia="Segoe UI" w:cs="DejaVu Sans" w:ascii="Liberation Serif" w:hAnsi="Liberation Serif"/>
          <w:i/>
          <w:iCs/>
          <w:color w:val="000000"/>
          <w:lang w:val="en-US" w:eastAsia="en-US" w:bidi="en-US"/>
        </w:rPr>
        <w:t>: Este item deve ser adaptado de acordo com as necessidades específicas do órgão ou entidade, apresentando-se, este modelo, de forma meramente exemplificativa.</w:t>
      </w:r>
    </w:p>
    <w:p>
      <w:pPr>
        <w:overflowPunct w:val="false"/>
        <w:rPr/>
      </w:pPr>
      <w:r>
        <w:rPr>
          <w:rFonts w:eastAsia="Segoe UI" w:ascii="Liberation Serif" w:hAnsi="Liberation Serif"/>
          <w:lang w:eastAsia="en-US" w:val="en-US" w:bidi="en-US"/>
        </w:rPr>
      </w:r>
    </w:p>
    <w:p>
      <w:pPr>
        <w:overflowPunct w:val="false"/>
        <w:rPr/>
      </w:pPr>
      <w:r>
        <w:rPr>
          <w:rFonts w:eastAsia="Segoe UI" w:cs="DejaVu Sans" w:ascii="Liberation Serif" w:hAnsi="Liberation Serif"/>
          <w:b/>
          <w:bCs/>
          <w:i/>
          <w:iCs/>
          <w:color w:val="000000"/>
          <w:lang w:val="en-US" w:eastAsia="en-US" w:bidi="en-US"/>
        </w:rPr>
        <w:t xml:space="preserve">Nota Explicativa 2: </w:t>
      </w:r>
      <w:r>
        <w:rPr>
          <w:rFonts w:eastAsia="Segoe UI" w:cs="DejaVu Sans" w:ascii="Liberation Serif" w:hAnsi="Liberation Serif"/>
          <w:i/>
          <w:iCs/>
          <w:lang w:val="en-US" w:eastAsia="en-US" w:bidi="en-US"/>
        </w:rPr>
        <w:t xml:space="preserve">A descrição das tarefas básicas depende das características específicas do serviço contratado e da realidade de cada órgão. Esse item é importante para a eficácia da contratação, ainda mais em se tratando da contratação de serviços executados com regime de dedicação exclusiva de mão de obra. Deverão ser detalhadas de forma minuciosa as tarefas a serem desenvolvidas pelos empregados alocados e o respectivo método ou rotina de execução, inclusive com a indicação de frequência e periodicidade dos serviços, quando couber, vez que, quando da fiscalização contratual, a Administração só poderá exigir do contratado o cumprimento das atividades que tenham sido expressamente arroladas no Termo de Referência. </w:t>
      </w:r>
    </w:p>
    <w:p>
      <w:pPr>
        <w:overflowPunct w:val="false"/>
        <w:rPr/>
      </w:pPr>
      <w:r>
        <w:rPr>
          <w:rFonts w:eastAsia="Segoe UI" w:ascii="Liberation Serif" w:hAnsi="Liberation Serif"/>
          <w:lang w:eastAsia="en-US" w:val="en-US" w:bidi="en-US"/>
        </w:rPr>
      </w:r>
    </w:p>
    <w:p>
      <w:pPr>
        <w:overflowPunct w:val="false"/>
        <w:rPr/>
      </w:pPr>
      <w:r>
        <w:rPr>
          <w:rFonts w:eastAsia="DejaVu Sans" w:cs="DejaVu Sans" w:ascii="Liberation Serif" w:hAnsi="Liberation Serif"/>
          <w:lang w:val="en-US" w:eastAsia="en-US" w:bidi="en-US"/>
        </w:rPr>
        <w:t xml:space="preserve">Nota explicativa 3: A Administração deverá atentar, quando for o caso, para a existência de regulamentações específicas relativas a determinados serviços, no que tange à respectiva metodologia de execução, como se passa, por exemplo, em relação aos serviços de limpeza e vigilância, que possuem cadernos de logística próprios. </w:t>
      </w:r>
    </w:p>
  </w:comment>
  <w:comment w:id="6"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 xml:space="preserve">Nota Explicativa: </w:t>
      </w:r>
      <w:r>
        <w:rPr>
          <w:rFonts w:eastAsia="Segoe UI" w:cs="DejaVu Sans" w:ascii="Liberation Serif" w:hAnsi="Liberation Serif"/>
          <w:i/>
          <w:iCs/>
          <w:color w:val="000000"/>
          <w:lang w:val="en-US" w:eastAsia="en-US" w:bidi="en-US"/>
        </w:rPr>
        <w:t>Os gestores e fiscais do contrato serão designados pela autoridade máxima do órgão ou da entidade, ou a quem as normas de organização administrativa indicarem, na forma do art. 7º da Lei nº 14.133, de 2021, e art. 8º do Decreto nº 11.246, de 2022, devendo a Administração instruir os autos com as publicações dos atos de designação dos agentes públicos para o exercício dessas funções.</w:t>
      </w:r>
    </w:p>
  </w:comment>
  <w:comment w:id="7" w:author="Autor" w:date="1900-01-01T00:00:00Z" w:initials="A">
    <w:p>
      <w:pPr>
        <w:overflowPunct w:val="false"/>
        <w:rPr/>
      </w:pPr>
      <w:r>
        <w:annotationRef/>
      </w:r>
      <w:r>
        <w:rPr>
          <w:rFonts w:eastAsia="Segoe UI" w:cs="DejaVu Sans" w:ascii="Liberation Serif" w:hAnsi="Liberation Serif"/>
          <w:b/>
          <w:bCs/>
          <w:i/>
          <w:iCs/>
          <w:lang w:val="en-US" w:eastAsia="en-US" w:bidi="en-US"/>
        </w:rPr>
        <w:t>Nota Explicativa:</w:t>
      </w:r>
      <w:r>
        <w:rPr>
          <w:rFonts w:eastAsia="Segoe UI" w:cs="DejaVu Sans" w:ascii="Liberation Serif" w:hAnsi="Liberation Serif"/>
          <w:i/>
          <w:iCs/>
          <w:lang w:val="en-US" w:eastAsia="en-US" w:bidi="en-US"/>
        </w:rPr>
        <w:t xml:space="preserve"> O modelo contém redação mais simples de recebimento. Caso se entenda que há necessidade de maior detalhamento, o órgão poderá promover aprimoramento da redação nesse ponto, inclusive com disciplina do recebimento provisório pelo fiscal técnico e administrativo, se for o caso.</w:t>
      </w:r>
    </w:p>
  </w:comment>
  <w:comment w:id="8"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w:t>
      </w:r>
      <w:r>
        <w:rPr>
          <w:rFonts w:eastAsia="Segoe UI" w:cs="DejaVu Sans" w:ascii="Liberation Serif" w:hAnsi="Liberation Serif"/>
          <w:i/>
          <w:iCs/>
          <w:color w:val="000000"/>
          <w:lang w:val="en-US" w:eastAsia="en-US" w:bidi="en-US"/>
        </w:rPr>
        <w:t xml:space="preserve"> O art. 7º, inciso I, da Instrução Normativa SEGES/ME nº 77, de 4 de novembro de 2022, estabelece o prazo de 10 (dez dias) úteis para a liquidação da despesa, </w:t>
      </w:r>
      <w:r>
        <w:rPr>
          <w:rFonts w:eastAsia="Segoe UI" w:cs="DejaVu Sans" w:ascii="Liberation Serif" w:hAnsi="Liberation Serif"/>
          <w:b/>
          <w:bCs/>
          <w:i/>
          <w:iCs/>
          <w:color w:val="000000"/>
          <w:lang w:val="en-US" w:eastAsia="en-US" w:bidi="en-US"/>
        </w:rPr>
        <w:t xml:space="preserve">a contar do recebimento da nota fiscal ou instrumento de cobrança equivalente </w:t>
      </w:r>
      <w:r>
        <w:rPr>
          <w:rFonts w:eastAsia="Segoe UI" w:cs="DejaVu Sans" w:ascii="Liberation Serif" w:hAnsi="Liberation Serif"/>
          <w:i/>
          <w:iCs/>
          <w:color w:val="000000"/>
          <w:lang w:val="en-US" w:eastAsia="en-US" w:bidi="en-US"/>
        </w:rPr>
        <w:t xml:space="preserve">pela Administração. Tendo em vista que os bens serão entregues para a Administração juntamente com a respectiva nota fiscal ou instrumento equivalente de cobrança (fatura, invoice etc.), deve-se concluir que, no caso das compras, durante o curso do prazo de liquidação, a Administração deverá realizar também os recebimentos provisório e definitivo do bem. Em outras palavras, </w:t>
      </w:r>
      <w:r>
        <w:rPr>
          <w:rFonts w:eastAsia="Segoe UI" w:cs="DejaVu Sans" w:ascii="Liberation Serif" w:hAnsi="Liberation Serif"/>
          <w:b/>
          <w:bCs/>
          <w:i/>
          <w:iCs/>
          <w:color w:val="000000"/>
          <w:lang w:val="en-US" w:eastAsia="en-US" w:bidi="en-US"/>
        </w:rPr>
        <w:t>o prazo máximo de 10 dias úteis deverá ser suficiente para as providências de recebimentos provisório, definitivo e de liquidação</w:t>
      </w:r>
      <w:r>
        <w:rPr>
          <w:rFonts w:eastAsia="Segoe UI" w:cs="DejaVu Sans" w:ascii="Liberation Serif" w:hAnsi="Liberation Serif"/>
          <w:i/>
          <w:iCs/>
          <w:color w:val="000000"/>
          <w:lang w:val="en-US" w:eastAsia="en-US" w:bidi="en-US"/>
        </w:rPr>
        <w:t>. Assim, embora a Lei nº 14.133/21 não fixe prazo máximo de recebimento definitivo, este prazo deverá ser inferior ao fixado para liquidação de despesa pela IN SEGES/ME nº 77, de 2022. Portanto, a Administração deve definir o prazo de recebimento considerando o máximo de 10 dias úteis, a sua realidade administrativa, a complexidade do objeto e o tempo que será consumido para os procedimentos contábeis de liquidação. Em sendo detectado, na fase de planejamento da contratação (notadamente no gerenciamento dos riscos), que haverá dificuldades para cumprimento do prazo estabelecido, deverão ser previstas medidas para superar tais contingências.</w:t>
      </w:r>
    </w:p>
  </w:comment>
  <w:comment w:id="9"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 xml:space="preserve">Nota Explicativa: </w:t>
      </w:r>
      <w:r>
        <w:rPr>
          <w:rFonts w:eastAsia="Segoe UI" w:cs="DejaVu Sans" w:ascii="Liberation Serif" w:hAnsi="Liberation Serif"/>
          <w:i/>
          <w:iCs/>
          <w:color w:val="000000"/>
          <w:lang w:val="en-US" w:eastAsia="en-US" w:bidi="en-US"/>
        </w:rPr>
        <w:t xml:space="preserve">Observar que o artigo 7º, §2º, da Instrução Normativa nº 77, de 2022, prevê que “Para as contratações decorrentes de despesas cujos valores não ultrapassem o limite de que trata o inciso II do art. 75 da Lei nº 14.133, de 2021, os prazos de que dos incisos I e II do caput </w:t>
      </w:r>
      <w:r>
        <w:rPr>
          <w:rFonts w:eastAsia="Segoe UI" w:cs="DejaVu Sans" w:ascii="Liberation Serif" w:hAnsi="Liberation Serif"/>
          <w:b/>
          <w:bCs/>
          <w:i/>
          <w:iCs/>
          <w:color w:val="000000"/>
          <w:lang w:val="en-US" w:eastAsia="en-US" w:bidi="en-US"/>
        </w:rPr>
        <w:t>serão reduzidos pela metade</w:t>
      </w:r>
      <w:r>
        <w:rPr>
          <w:rFonts w:eastAsia="Segoe UI" w:cs="DejaVu Sans" w:ascii="Liberation Serif" w:hAnsi="Liberation Serif"/>
          <w:i/>
          <w:iCs/>
          <w:color w:val="000000"/>
          <w:lang w:val="en-US" w:eastAsia="en-US" w:bidi="en-US"/>
        </w:rPr>
        <w:t>.” (g.n). Como o prazo máximo de liquidação será reduzido pela metade, então o prazo de recebimento também deverá ser ajustado.</w:t>
      </w:r>
    </w:p>
  </w:comment>
  <w:comment w:id="10"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w:t>
      </w:r>
      <w:r>
        <w:rPr>
          <w:rFonts w:eastAsia="Segoe UI" w:cs="DejaVu Sans" w:ascii="Liberation Serif" w:hAnsi="Liberation Serif"/>
          <w:i/>
          <w:iCs/>
          <w:color w:val="000000"/>
          <w:lang w:val="en-US" w:eastAsia="en-US" w:bidi="en-US"/>
        </w:rPr>
        <w:t xml:space="preserve"> Deverá a Administração indicar o índice de preços a ser utilizado para a atualização monetária do valor devido ao contratado.</w:t>
      </w:r>
    </w:p>
  </w:comment>
  <w:comment w:id="11"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 xml:space="preserve">Nota Explicativa: </w:t>
      </w:r>
      <w:r>
        <w:rPr>
          <w:rFonts w:eastAsia="Segoe UI" w:cs="DejaVu Sans" w:ascii="Liberation Serif" w:hAnsi="Liberation Serif"/>
          <w:i/>
          <w:iCs/>
          <w:color w:val="000000"/>
          <w:lang w:val="en-US" w:eastAsia="en-US" w:bidi="en-US"/>
        </w:rPr>
        <w:t>A natureza do contrato e o objeto da contratação irão determinar a retenção tributária eventualmente cabível, bem como a possibilidade de a empresa se beneficiar da condição de optante do Simples Nacional, dentre outras questões de caráter tributário.</w:t>
      </w:r>
    </w:p>
  </w:comment>
  <w:comment w:id="12"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w:t>
      </w:r>
      <w:r>
        <w:rPr>
          <w:rFonts w:eastAsia="Segoe UI" w:cs="DejaVu Sans" w:ascii="Liberation Serif" w:hAnsi="Liberation Serif"/>
          <w:i/>
          <w:iCs/>
          <w:color w:val="000000"/>
          <w:lang w:val="en-US" w:eastAsia="en-US" w:bidi="en-US"/>
        </w:rPr>
        <w:t xml:space="preserve"> </w:t>
      </w:r>
      <w:r>
        <w:rPr>
          <w:rFonts w:eastAsia="Segoe UI" w:cs="DejaVu Sans" w:ascii="Liberation Serif" w:hAnsi="Liberation Serif"/>
          <w:i/>
          <w:iCs/>
          <w:lang w:val="en-US" w:eastAsia="en-US" w:bidi="en-US"/>
        </w:rPr>
        <w:t>A IN SEGES/ME nº 53, de 2020, disciplinou uma modalidade específica de operação de crédito no âmbito dos contratos administrativos – a denominada “operação de crédito garantida por cessão fiduciária” (ou, simplesmente, “cessão fiduciária”) –, prescrevendo, em seu art. 15, que editais e contratos prevejam expressamente sua admissibilidade. A possibilidade de cessão dos créditos de que trata a referida Instrução Normativa é, portanto, mandatória/cogente/impositiva.</w:t>
      </w:r>
    </w:p>
    <w:p>
      <w:pPr>
        <w:overflowPunct w:val="false"/>
        <w:rPr/>
      </w:pPr>
      <w:r>
        <w:rPr>
          <w:rFonts w:eastAsia="Segoe UI" w:cs="DejaVu Sans" w:ascii="Liberation Serif" w:hAnsi="Liberation Serif"/>
          <w:i/>
          <w:iCs/>
          <w:lang w:val="en-US" w:eastAsia="en-US" w:bidi="en-US"/>
        </w:rPr>
        <w:t>A cessão fiduciária, regida pela IN SEGES/ME nº 53/2020, é feita com instituição financeira, para garantia de operação de crédito e ocorre por intermédio do sistema AntecipaGOV. Neste tipo de negócio jurídico, o fornecedor que detém um vínculo contratual com a Administração Pública, contrai empréstimo perante instituição financeira e, como garantia da operação, cede a esta última seus direitos creditórios pertinentes ao contrato administrativo, mas sem envolver a alteração subjetiva do polo contratual. A instituição financeira não passa a receber diretamente da Administração Pública; os pagamentos continuam sendo feitos à contratada, que indica conta corrente para este fim. É do recebimento do pagamento pela contratada em diante que é realizado o acertamento entre esta e a instituição financeira.</w:t>
      </w:r>
    </w:p>
    <w:p>
      <w:pPr>
        <w:overflowPunct w:val="false"/>
        <w:rPr/>
      </w:pPr>
      <w:r>
        <w:rPr>
          <w:rFonts w:eastAsia="Segoe UI" w:cs="DejaVu Sans" w:ascii="Liberation Serif" w:hAnsi="Liberation Serif"/>
          <w:i/>
          <w:iCs/>
          <w:lang w:val="en-US" w:eastAsia="en-US" w:bidi="en-US"/>
        </w:rPr>
        <w:t>Já em relação às demais modalidades de cessão de crédito, não abrangidas pela IN SEGES/ME nº 53/2020, feitas fora da plataforma AntecipaGov, tem-se que sua previsão em editais e contratos administrativos, embora não obrigatória, continua admitida por força do Parecer JL-01, do Advogado-Geral da União (disponível em http://www.planalto.gov.br/ccivil_03/AGU/Pareceres/2019-2022/PRC-JL-01-2020.htm), aprovado pelo Sr. Presidente da República em 26/05/2020, e, portanto, vinculante para toda a administração pública (arts. 40, §1º e 41 da Lei Complementar nº 73, de 1993).</w:t>
      </w:r>
    </w:p>
    <w:p>
      <w:pPr>
        <w:overflowPunct w:val="false"/>
        <w:rPr/>
      </w:pPr>
      <w:r>
        <w:rPr>
          <w:rFonts w:eastAsia="Segoe UI" w:cs="DejaVu Sans" w:ascii="Liberation Serif" w:hAnsi="Liberation Serif"/>
          <w:i/>
          <w:iCs/>
          <w:lang w:val="en-US" w:eastAsia="en-US" w:bidi="en-US"/>
        </w:rPr>
        <w:t>Quanto a estas últimas, importa destacar a seguinte condicionante que foi erigida pelo referido Parecer nº JL – 01/2020 como requisito para a sua admissibilidade em contratos administrativos: inexistência de vedação no instrumento convocatório. Assim, relativamente às cessões de crédito em geral, ter-se-á por admitida desde que não haja vedação em cláusula contratual ou no instrumento convocatório.</w:t>
      </w:r>
    </w:p>
  </w:comment>
  <w:comment w:id="13"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w:t>
      </w:r>
      <w:r>
        <w:rPr>
          <w:rFonts w:eastAsia="Segoe UI" w:cs="DejaVu Sans" w:ascii="Liberation Serif" w:hAnsi="Liberation Serif"/>
          <w:i/>
          <w:iCs/>
          <w:color w:val="000000"/>
          <w:lang w:val="en-US" w:eastAsia="en-US" w:bidi="en-US"/>
        </w:rPr>
        <w:t xml:space="preserve"> No caso desse subitem,, o órgão contratante pode optar por mudar a redação para já vedar de plano as cessões não fiduciárias. Entretanto, reitera-se que as cessões fiduciárias devem permanecer permitidas, por força do art. 15 da IN SEGES/ME nº 53/2020.</w:t>
      </w:r>
    </w:p>
  </w:comment>
  <w:comment w:id="14"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w:t>
      </w:r>
      <w:r>
        <w:rPr>
          <w:rFonts w:eastAsia="Segoe UI" w:cs="DejaVu Sans" w:ascii="Liberation Serif" w:hAnsi="Liberation Serif"/>
          <w:b/>
          <w:bCs/>
          <w:i/>
          <w:iCs/>
          <w:lang w:val="en-US" w:eastAsia="en-US" w:bidi="en-US"/>
        </w:rPr>
        <w:t xml:space="preserve"> </w:t>
      </w:r>
      <w:r>
        <w:rPr>
          <w:rFonts w:eastAsia="Segoe UI" w:cs="DejaVu Sans" w:ascii="Liberation Serif" w:hAnsi="Liberation Serif"/>
          <w:i/>
          <w:iCs/>
          <w:lang w:val="en-US" w:eastAsia="en-US" w:bidi="en-US"/>
        </w:rPr>
        <w:t>Conforme exposto, a operação de crédito realizada por meio do AntecipaGov não configura uma cessão de crédito tratada no PARECER Nº JL - 01, não sendo necessária a formalização por meio de Termo Aditivo.</w:t>
      </w:r>
    </w:p>
  </w:comment>
  <w:comment w:id="16" w:author="Autor" w:date="1900-01-01T00:00:00Z" w:initials="A">
    <w:p>
      <w:pPr>
        <w:overflowPunct w:val="false"/>
        <w:rPr/>
      </w:pPr>
      <w:r>
        <w:annotationRef/>
      </w:r>
      <w:r>
        <w:rPr>
          <w:rFonts w:eastAsia="Segoe UI" w:cs="DejaVu Sans" w:ascii="Liberation Serif" w:hAnsi="Liberation Serif"/>
          <w:b/>
          <w:bCs/>
          <w:i/>
          <w:iCs/>
          <w:lang w:val="en-US" w:eastAsia="en-US" w:bidi="en-US"/>
        </w:rPr>
        <w:t>Nota explicativa</w:t>
      </w:r>
      <w:r>
        <w:rPr>
          <w:rFonts w:eastAsia="Segoe UI" w:cs="DejaVu Sans" w:ascii="Liberation Serif" w:hAnsi="Liberation Serif"/>
          <w:i/>
          <w:iCs/>
          <w:lang w:val="en-US" w:eastAsia="en-US" w:bidi="en-US"/>
        </w:rPr>
        <w:t>: O PARECER n. 00003/2023/DECOR/CGU/AGU, aprovado pelo Advogado-Geral da União, ratificou o entendimento da Consultoria-Geral da União de que o reajuste em sentido estrito dos preços contratados, por meio da aplicação de índice que reflita efetivamente as variações dos custos do mercado, não representa uma modificação contratual e</w:t>
      </w:r>
      <w:r>
        <w:rPr>
          <w:rFonts w:eastAsia="Segoe UI" w:cs="DejaVu Sans" w:ascii="Liberation Serif" w:hAnsi="Liberation Serif"/>
          <w:b/>
          <w:bCs/>
          <w:i/>
          <w:iCs/>
          <w:lang w:val="en-US" w:eastAsia="en-US" w:bidi="en-US"/>
        </w:rPr>
        <w:t xml:space="preserve"> sua concessão ex officio pela Administração deve ser a regra,</w:t>
      </w:r>
      <w:r>
        <w:rPr>
          <w:rFonts w:eastAsia="Segoe UI" w:cs="DejaVu Sans" w:ascii="Liberation Serif" w:hAnsi="Liberation Serif"/>
          <w:i/>
          <w:iCs/>
          <w:lang w:val="en-US" w:eastAsia="en-US" w:bidi="en-US"/>
        </w:rPr>
        <w:t xml:space="preserve"> independentemente da natureza do objeto, incluindo serviços continuados e contratos de escopo. Todavia, restou assentado, excepcionalmente, que, "Por caracterizar-se o reajuste em sentido estrito como direito de ordem patrimonial e disponível, não há óbice jurídico para que, em tese, seja consumada a renúncia tácita ou a preclusão lógica do seu exercício nos contratos continuados e nos contratos de escopo, </w:t>
      </w:r>
      <w:r>
        <w:rPr>
          <w:rFonts w:eastAsia="Segoe UI" w:cs="DejaVu Sans" w:ascii="Liberation Serif" w:hAnsi="Liberation Serif"/>
          <w:b/>
          <w:bCs/>
          <w:i/>
          <w:iCs/>
          <w:lang w:val="en-US" w:eastAsia="en-US" w:bidi="en-US"/>
        </w:rPr>
        <w:t>desde que cumulativamente:</w:t>
      </w:r>
      <w:r>
        <w:rPr>
          <w:rFonts w:eastAsia="Segoe UI" w:cs="DejaVu Sans" w:ascii="Liberation Serif" w:hAnsi="Liberation Serif"/>
          <w:i/>
          <w:iCs/>
          <w:lang w:val="en-US" w:eastAsia="en-US" w:bidi="en-US"/>
        </w:rPr>
        <w:t xml:space="preserve"> (a) o edital ou contrato preveja expressamente que a concessão do reajuste resta condicionada à solicitação do contratado; (b) que não haja solicitação do reajuste antes da celebração de aditamento de vigência; (c) seja celebrado aditamento para a prorrogação do prazo de vigência do contrato sem qualquer ressalva quanto à ulterior análise pela Administração do reajuste e (d) o edital expressamente preveja que a formalização do aditamento sem a concessão do reajuste, ou ressalva de sua superveniente análise, será considerada como renúncia ou preclusão lógica do direito". Observe-se que, para condicionar o reajuste à solicitação do contratado, a Administração deverá apresentar </w:t>
      </w:r>
      <w:r>
        <w:rPr>
          <w:rFonts w:eastAsia="Segoe UI" w:cs="DejaVu Sans" w:ascii="Liberation Serif" w:hAnsi="Liberation Serif"/>
          <w:b/>
          <w:bCs/>
          <w:i/>
          <w:iCs/>
          <w:lang w:val="en-US" w:eastAsia="en-US" w:bidi="en-US"/>
        </w:rPr>
        <w:t>motivação idônea</w:t>
      </w:r>
      <w:r>
        <w:rPr>
          <w:rFonts w:eastAsia="Segoe UI" w:cs="DejaVu Sans" w:ascii="Liberation Serif" w:hAnsi="Liberation Serif"/>
          <w:i/>
          <w:iCs/>
          <w:lang w:val="en-US" w:eastAsia="en-US" w:bidi="en-US"/>
        </w:rPr>
        <w:t xml:space="preserve"> nos autos do processo administrativo, promovendo as respectivas adequações na cláusula sétima da minuta de termo de contrato. </w:t>
      </w:r>
    </w:p>
  </w:comment>
  <w:comment w:id="15"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 1</w:t>
      </w:r>
      <w:r>
        <w:rPr>
          <w:rFonts w:eastAsia="Segoe UI" w:cs="DejaVu Sans" w:ascii="Liberation Serif" w:hAnsi="Liberation Serif"/>
          <w:i/>
          <w:iCs/>
          <w:color w:val="000000"/>
          <w:lang w:val="en-US" w:eastAsia="en-US" w:bidi="en-US"/>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pPr>
        <w:overflowPunct w:val="false"/>
        <w:rPr/>
      </w:pPr>
      <w:r>
        <w:rPr>
          <w:rFonts w:eastAsia="Segoe UI" w:ascii="Liberation Serif" w:hAnsi="Liberation Serif"/>
          <w:lang w:eastAsia="en-US" w:val="en-US" w:bidi="en-US"/>
        </w:rPr>
      </w:r>
    </w:p>
    <w:p>
      <w:pPr>
        <w:overflowPunct w:val="false"/>
        <w:rPr/>
      </w:pPr>
      <w:r>
        <w:rPr>
          <w:rFonts w:eastAsia="Segoe UI" w:cs="DejaVu Sans" w:ascii="Liberation Serif" w:hAnsi="Liberation Serif"/>
          <w:b/>
          <w:bCs/>
          <w:i/>
          <w:iCs/>
          <w:color w:val="000000"/>
          <w:lang w:val="en-US" w:eastAsia="en-US" w:bidi="en-US"/>
        </w:rPr>
        <w:t xml:space="preserve">Nota Explicativa 2: </w:t>
      </w:r>
      <w:r>
        <w:rPr>
          <w:rFonts w:eastAsia="Segoe UI" w:cs="DejaVu Sans" w:ascii="Liberation Serif" w:hAnsi="Liberation Serif"/>
          <w:i/>
          <w:iCs/>
          <w:color w:val="000000"/>
          <w:lang w:val="en-US" w:eastAsia="en-US" w:bidi="en-US"/>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17" w:author="Autor" w:date="1900-01-01T00:00:00Z" w:initials="A">
    <w:p>
      <w:pPr>
        <w:overflowPunct w:val="false"/>
        <w:rPr/>
      </w:pPr>
      <w:r>
        <w:annotationRef/>
      </w:r>
      <w:r>
        <w:rPr>
          <w:rFonts w:eastAsia="DejaVu Sans" w:cs="DejaVu Sans" w:ascii="Liberation Serif" w:hAnsi="Liberation Serif"/>
          <w:lang w:val="en-US" w:eastAsia="en-US" w:bidi="en-US"/>
        </w:rPr>
        <w:t>Nota Explicativa1 : Para o caso de contratação direta, adequar o título da subseção e registrar a justificativa para a dispensa ou inexigibilidade de licitação.</w:t>
      </w:r>
    </w:p>
    <w:p>
      <w:pPr>
        <w:overflowPunct w:val="false"/>
        <w:rPr/>
      </w:pPr>
      <w:r>
        <w:rPr>
          <w:rFonts w:eastAsia="Segoe UI" w:ascii="Liberation Serif" w:hAnsi="Liberation Serif"/>
          <w:lang w:eastAsia="en-US" w:val="en-US" w:bidi="en-US"/>
        </w:rPr>
      </w:r>
    </w:p>
    <w:p>
      <w:pPr>
        <w:overflowPunct w:val="false"/>
        <w:rPr/>
      </w:pPr>
      <w:r>
        <w:rPr>
          <w:rFonts w:eastAsia="DejaVu Sans" w:cs="DejaVu Sans" w:ascii="Liberation Serif" w:hAnsi="Liberation Serif"/>
          <w:lang w:val="en-US" w:eastAsia="en-US" w:bidi="en-US"/>
        </w:rPr>
        <w:t xml:space="preserve">Nota Explicativa 2: A Lei n.º 14.133, de 2021, ao contrário da Lei n.º 8.666, de 1993, não define as modalidades de licitação em razão do valor do objeto, mas, sim, em razão de sua natureza ou complexidade. Assim, enquanto o pregão é a modalidade de licitação obrigatória para aquisição de bens e serviços comuns (art. 6º, inciso XLI, c/c art. 29), exclusivamente pelos critérios de julgamento de menor preço ou maior desconto, a concorrência é a modalidade cabível para a contratação de bens e serviços especiais e de obras e serviços comuns e especiais de engenharia (art. 6º, inciso XXXVIII, c/c o art. 29), pelos critérios de menor preço, melhor técnica ou conteúdo artístico, técnica e preço, maior retorno econômico e maior desconto. A Administração deverá atentar para o regramento legal e definir a modalidade de licitação e o critério de julgamento a serem adotados, conforme a natureza do objeto e suas especificidades. </w:t>
      </w:r>
    </w:p>
  </w:comment>
  <w:comment w:id="18"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w:t>
      </w:r>
      <w:r>
        <w:rPr>
          <w:rFonts w:eastAsia="Segoe UI" w:cs="DejaVu Sans" w:ascii="Liberation Serif" w:hAnsi="Liberation Serif"/>
          <w:i/>
          <w:iCs/>
          <w:color w:val="000000"/>
          <w:lang w:val="en-US" w:eastAsia="en-US" w:bidi="en-US"/>
        </w:rPr>
        <w:t xml:space="preserve"> É fundamental que a Administração observe que exigências demasiadas poderão prejudicar a competitividade da licitação e ofender a o disposto no art. 37, inciso XXI da Constituição Federal, o qual preceitua que “o processo de licitação pública... somente permitirá as exigências de qualificação técnica e econômica indispensáveis à garantia do cumprimento das obrigações”.</w:t>
      </w:r>
    </w:p>
    <w:p>
      <w:pPr>
        <w:overflowPunct w:val="false"/>
        <w:rPr/>
      </w:pPr>
      <w:r>
        <w:rPr>
          <w:rFonts w:eastAsia="Segoe UI" w:cs="DejaVu Sans" w:ascii="Liberation Serif" w:hAnsi="Liberation Serif"/>
          <w:i/>
          <w:iCs/>
          <w:color w:val="000000"/>
          <w:lang w:val="en-US" w:eastAsia="en-US" w:bidi="en-US"/>
        </w:rPr>
        <w:t>O art. 70, III, da Lei Nº 14.133/2021, por sua vez, dispõe que as exigências de habilitação poderão ser dispensadas, “total ou parcialmente, nas contratações para entrega imediata, nas contratações em valores inferiores a 1/4 (um quarto) do limite para dispensa de licitação para compras em geral e nas contratações de produto para pesquisa e desenvolvimento até o valor de R$ 300.000,00 (trezentos mil reais).” (Referidos valores são atualizados anualmente por Decreto, conforme art. 182 da mesma Lei).</w:t>
      </w:r>
    </w:p>
    <w:p>
      <w:pPr>
        <w:overflowPunct w:val="false"/>
        <w:rPr/>
      </w:pPr>
      <w:r>
        <w:rPr>
          <w:rFonts w:eastAsia="Segoe UI" w:cs="DejaVu Sans" w:ascii="Liberation Serif" w:hAnsi="Liberation Serif"/>
          <w:i/>
          <w:iCs/>
          <w:color w:val="000000"/>
          <w:lang w:val="en-US" w:eastAsia="en-US" w:bidi="en-US"/>
        </w:rPr>
        <w:t xml:space="preserve">A combinação da disposição constitucional com a disposição legal resulta que as exigências de qualificação técnica e econômica nas situações retratadas no art. 70, III, deve ser excepcional e justificada. Nas demais situações, em razão da diretriz constitucional, a Administração deve observar, diante do caso concreto, se o objeto da contratação demanda a exigência de todos os requisitos de habilitação apresentados neste modelo, levando-se em consideração o vulto e/ou a complexidade do objeto, a essencialidade do serviço e os riscos decorrentes de sua paralisação em função da eventual incapacidade econômica da contratada em suportar vicissitudes contratuais, excluindo-se o que entender excessivo. </w:t>
      </w:r>
    </w:p>
    <w:p>
      <w:pPr>
        <w:overflowPunct w:val="false"/>
        <w:rPr/>
      </w:pPr>
      <w:r>
        <w:rPr>
          <w:rFonts w:eastAsia="Segoe UI" w:cs="DejaVu Sans" w:ascii="Liberation Serif" w:hAnsi="Liberation Serif"/>
          <w:i/>
          <w:iCs/>
          <w:color w:val="000000"/>
          <w:lang w:val="en-US" w:eastAsia="en-US" w:bidi="en-US"/>
        </w:rPr>
        <w:t>Em contratações dividida em itens, as exigências de habilitação podem adequar-se a essa divisibilidade, sendo possível, em um mesmo instrumento, a exigência de requisitos de habilitação mais amplos somente para alguns itens. Para se fazer isso, basta acrescentar uma ressalva ao final na exigência pertinente, tal como “(exigência relativa somente aos itens X, Y, Z)”.</w:t>
      </w:r>
    </w:p>
    <w:p>
      <w:pPr>
        <w:overflowPunct w:val="false"/>
        <w:rPr/>
      </w:pPr>
      <w:r>
        <w:rPr>
          <w:rFonts w:eastAsia="Segoe UI" w:cs="DejaVu Sans" w:ascii="Liberation Serif" w:hAnsi="Liberation Serif"/>
          <w:i/>
          <w:iCs/>
          <w:color w:val="000000"/>
          <w:lang w:val="en-US" w:eastAsia="en-US" w:bidi="en-US"/>
        </w:rPr>
        <w:t>É vedada a inclusão de requisitos que não tenham suporte nos arts. 66 a 69 da Lei nº 14.133, de 2021.</w:t>
      </w:r>
    </w:p>
  </w:comment>
  <w:comment w:id="20"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w:t>
      </w:r>
      <w:r>
        <w:rPr>
          <w:rFonts w:eastAsia="Segoe UI" w:cs="DejaVu Sans" w:ascii="Liberation Serif" w:hAnsi="Liberation Serif"/>
          <w:i/>
          <w:iCs/>
          <w:color w:val="000000"/>
          <w:lang w:val="en-US" w:eastAsia="en-US" w:bidi="en-US"/>
        </w:rPr>
        <w:t xml:space="preserve"> A Instrução Normativa SEGES/ME nº 116, de 21 de dezembro de 2021, estabelece procedimentos para a participação de pessoa física nas contratações públicas regidas pela Lei nº 14.133, de 2021, no âmbito da Administração Pública federal direta, autárquica e fundacional. Em seu art. 2º, a norma considera pessoa física “ todo o trabalhador autônomo, sem qualquer vínculo de subordinação para fins de execução do objeto da contratação pública, incluindo os profissionais liberais não enquadrados como sociedade empresária ou empresário individual, nos termos das legislações específicas, que participa ou manifesta a intenção de participar de processo de contratação pública, sendo equiparado a fornecedor ou ao prestador de serviço que, em atendimento à solicitação da Administração, oferece proposta”.</w:t>
      </w:r>
    </w:p>
    <w:p>
      <w:pPr>
        <w:overflowPunct w:val="false"/>
        <w:rPr/>
      </w:pPr>
      <w:r>
        <w:rPr>
          <w:rFonts w:eastAsia="Segoe UI" w:cs="DejaVu Sans" w:ascii="Liberation Serif" w:hAnsi="Liberation Serif"/>
          <w:i/>
          <w:iCs/>
          <w:color w:val="000000"/>
          <w:lang w:val="en-US" w:eastAsia="en-US" w:bidi="en-US"/>
        </w:rPr>
        <w:t xml:space="preserve">A IN SEGES/ME nº 116, de 2021, determina, em seu art. 4º, caput, que os editais ou os avisos de contratação direta possibilitem a contratação das pessoas físicas, em observância aos objetivos da isonomia e da justa competição. Ainda de acordo com o parágrafo único desse mesmo dispositivo, será ressalvada a participação de pessoas físicas nas licitações ou contratações diretas, “quando a contratação exigir </w:t>
      </w:r>
      <w:r>
        <w:rPr>
          <w:rFonts w:eastAsia="Segoe UI" w:cs="DejaVu Sans" w:ascii="Liberation Serif" w:hAnsi="Liberation Serif"/>
          <w:b/>
          <w:bCs/>
          <w:i/>
          <w:iCs/>
          <w:color w:val="000000"/>
          <w:lang w:val="en-US" w:eastAsia="en-US" w:bidi="en-US"/>
        </w:rPr>
        <w:t>capital social mínimo</w:t>
      </w:r>
      <w:r>
        <w:rPr>
          <w:rFonts w:eastAsia="Segoe UI" w:cs="DejaVu Sans" w:ascii="Liberation Serif" w:hAnsi="Liberation Serif"/>
          <w:i/>
          <w:iCs/>
          <w:color w:val="000000"/>
          <w:lang w:val="en-US" w:eastAsia="en-US" w:bidi="en-US"/>
        </w:rPr>
        <w:t xml:space="preserve"> e </w:t>
      </w:r>
      <w:r>
        <w:rPr>
          <w:rFonts w:eastAsia="Segoe UI" w:cs="DejaVu Sans" w:ascii="Liberation Serif" w:hAnsi="Liberation Serif"/>
          <w:b/>
          <w:bCs/>
          <w:i/>
          <w:iCs/>
          <w:color w:val="000000"/>
          <w:lang w:val="en-US" w:eastAsia="en-US" w:bidi="en-US"/>
        </w:rPr>
        <w:t>estrutura mínima</w:t>
      </w:r>
      <w:r>
        <w:rPr>
          <w:rFonts w:eastAsia="Segoe UI" w:cs="DejaVu Sans" w:ascii="Liberation Serif" w:hAnsi="Liberation Serif"/>
          <w:i/>
          <w:iCs/>
          <w:color w:val="000000"/>
          <w:lang w:val="en-US" w:eastAsia="en-US" w:bidi="en-US"/>
        </w:rPr>
        <w:t xml:space="preserve">, com equipamentos, instalações e equipe de profissionais ou corpo técnico para a execução do objeto </w:t>
      </w:r>
      <w:r>
        <w:rPr>
          <w:rFonts w:eastAsia="Segoe UI" w:cs="DejaVu Sans" w:ascii="Liberation Serif" w:hAnsi="Liberation Serif"/>
          <w:b/>
          <w:bCs/>
          <w:i/>
          <w:iCs/>
          <w:color w:val="000000"/>
          <w:lang w:val="en-US" w:eastAsia="en-US" w:bidi="en-US"/>
        </w:rPr>
        <w:t>incompatíveis com a natureza profissional da pessoa física</w:t>
      </w:r>
      <w:r>
        <w:rPr>
          <w:rFonts w:eastAsia="Segoe UI" w:cs="DejaVu Sans" w:ascii="Liberation Serif" w:hAnsi="Liberation Serif"/>
          <w:i/>
          <w:iCs/>
          <w:color w:val="000000"/>
          <w:lang w:val="en-US" w:eastAsia="en-US" w:bidi="en-US"/>
        </w:rPr>
        <w:t xml:space="preserve">, conforme </w:t>
      </w:r>
      <w:r>
        <w:rPr>
          <w:rFonts w:eastAsia="Segoe UI" w:cs="DejaVu Sans" w:ascii="Liberation Serif" w:hAnsi="Liberation Serif"/>
          <w:b/>
          <w:bCs/>
          <w:i/>
          <w:iCs/>
          <w:color w:val="000000"/>
          <w:lang w:val="en-US" w:eastAsia="en-US" w:bidi="en-US"/>
        </w:rPr>
        <w:t>demonstrado em estudo técnico preliminar</w:t>
      </w:r>
      <w:r>
        <w:rPr>
          <w:rFonts w:eastAsia="Segoe UI" w:cs="DejaVu Sans" w:ascii="Liberation Serif" w:hAnsi="Liberation Serif"/>
          <w:i/>
          <w:iCs/>
          <w:color w:val="000000"/>
          <w:lang w:val="en-US" w:eastAsia="en-US" w:bidi="en-US"/>
        </w:rPr>
        <w:t xml:space="preserve">”. Portanto, a possibilidade, ou não, de contratação de pessoas físicas deverá ser objeto de prévia análise e manifestação técnica por parte do órgão contratante, na fase de planejamento da contratação. </w:t>
      </w:r>
    </w:p>
    <w:p>
      <w:pPr>
        <w:overflowPunct w:val="false"/>
        <w:rPr/>
      </w:pPr>
      <w:r>
        <w:rPr>
          <w:rFonts w:eastAsia="Segoe UI" w:cs="DejaVu Sans" w:ascii="Liberation Serif" w:hAnsi="Liberation Serif"/>
          <w:i/>
          <w:iCs/>
          <w:color w:val="000000"/>
          <w:lang w:val="en-US" w:eastAsia="en-US" w:bidi="en-US"/>
        </w:rPr>
        <w:t>O Decreto n.º 10.977, de 23 de fevereiro de 2022, que regulamenta a Lei nº 7.116, de 29 de agosto de 1983, e a Lei nº 9.454, de 7 de abril de 1997, estabelece, em seu art. 3º, que a Carteira de Identidade passa a adotar o número de inscrição no Cadastro de Pessoas Físicas - CPF como o número do registro geral nacional previsto no inciso IV do </w:t>
      </w:r>
      <w:r>
        <w:rPr>
          <w:rFonts w:eastAsia="Segoe UI" w:cs="DejaVu Sans" w:ascii="Liberation Serif" w:hAnsi="Liberation Serif"/>
          <w:b/>
          <w:bCs/>
          <w:i/>
          <w:iCs/>
          <w:color w:val="000000"/>
          <w:lang w:val="en-US" w:eastAsia="en-US" w:bidi="en-US"/>
        </w:rPr>
        <w:t>caput </w:t>
      </w:r>
      <w:r>
        <w:rPr>
          <w:rFonts w:eastAsia="Segoe UI" w:cs="DejaVu Sans" w:ascii="Liberation Serif" w:hAnsi="Liberation Serif"/>
          <w:i/>
          <w:iCs/>
          <w:color w:val="000000"/>
          <w:lang w:val="en-US" w:eastAsia="en-US" w:bidi="en-US"/>
        </w:rPr>
        <w:t>do seu art. 11.</w:t>
      </w:r>
    </w:p>
  </w:comment>
  <w:comment w:id="19"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w:t>
      </w:r>
      <w:r>
        <w:rPr>
          <w:rFonts w:eastAsia="Segoe UI" w:cs="DejaVu Sans" w:ascii="Liberation Serif" w:hAnsi="Liberation Serif"/>
          <w:i/>
          <w:iCs/>
          <w:color w:val="000000"/>
          <w:lang w:val="en-US" w:eastAsia="en-US" w:bidi="en-US"/>
        </w:rPr>
        <w:t xml:space="preserve"> A Instrução Normativa SEGES/ME nº 116, de 21 de dezembro de 2021, estabelece procedimentos para a participação de pessoa física nas contratações públicas regidas pela Lei nº 14.133, de 2021, no âmbito da Administração Pública federal direta, autárquica e fundacional. Em seu art. 2º, a norma considera pessoa física “ todo o trabalhador autônomo, sem qualquer vínculo de subordinação para fins de execução do objeto da contratação pública, incluindo os profissionais liberais não enquadrados como sociedade empresária ou empresário individual, nos termos das legislações específicas, que participa ou manifesta a intenção de participar de processo de contratação pública, sendo equiparado a fornecedor ou ao prestador de serviço que, em atendimento à solicitação da Administração, oferece proposta”.</w:t>
      </w:r>
    </w:p>
    <w:p>
      <w:pPr>
        <w:overflowPunct w:val="false"/>
        <w:rPr/>
      </w:pPr>
      <w:r>
        <w:rPr>
          <w:rFonts w:eastAsia="Segoe UI" w:cs="DejaVu Sans" w:ascii="Liberation Serif" w:hAnsi="Liberation Serif"/>
          <w:i/>
          <w:iCs/>
          <w:color w:val="000000"/>
          <w:lang w:val="en-US" w:eastAsia="en-US" w:bidi="en-US"/>
        </w:rPr>
        <w:t xml:space="preserve">A IN SEGES/ME nº 116, de 2021, determina, em seu art. 4º, caput, que os editais ou os avisos de contratação direta possibilitem a contratação das pessoas físicas, em observância aos objetivos da isonomia e da justa competição. Ainda de acordo com o parágrafo único desse mesmo dispositivo, será ressalvada a participação de pessoas físicas nas licitações ou contratações diretas, “quando a contratação exigir </w:t>
      </w:r>
      <w:r>
        <w:rPr>
          <w:rFonts w:eastAsia="Segoe UI" w:cs="DejaVu Sans" w:ascii="Liberation Serif" w:hAnsi="Liberation Serif"/>
          <w:b/>
          <w:bCs/>
          <w:i/>
          <w:iCs/>
          <w:color w:val="000000"/>
          <w:lang w:val="en-US" w:eastAsia="en-US" w:bidi="en-US"/>
        </w:rPr>
        <w:t>capital social mínimo</w:t>
      </w:r>
      <w:r>
        <w:rPr>
          <w:rFonts w:eastAsia="Segoe UI" w:cs="DejaVu Sans" w:ascii="Liberation Serif" w:hAnsi="Liberation Serif"/>
          <w:i/>
          <w:iCs/>
          <w:color w:val="000000"/>
          <w:lang w:val="en-US" w:eastAsia="en-US" w:bidi="en-US"/>
        </w:rPr>
        <w:t xml:space="preserve"> e </w:t>
      </w:r>
      <w:r>
        <w:rPr>
          <w:rFonts w:eastAsia="Segoe UI" w:cs="DejaVu Sans" w:ascii="Liberation Serif" w:hAnsi="Liberation Serif"/>
          <w:b/>
          <w:bCs/>
          <w:i/>
          <w:iCs/>
          <w:color w:val="000000"/>
          <w:lang w:val="en-US" w:eastAsia="en-US" w:bidi="en-US"/>
        </w:rPr>
        <w:t>estrutura mínima</w:t>
      </w:r>
      <w:r>
        <w:rPr>
          <w:rFonts w:eastAsia="Segoe UI" w:cs="DejaVu Sans" w:ascii="Liberation Serif" w:hAnsi="Liberation Serif"/>
          <w:i/>
          <w:iCs/>
          <w:color w:val="000000"/>
          <w:lang w:val="en-US" w:eastAsia="en-US" w:bidi="en-US"/>
        </w:rPr>
        <w:t xml:space="preserve">, com equipamentos, instalações e equipe de profissionais ou corpo técnico para a execução do objeto </w:t>
      </w:r>
      <w:r>
        <w:rPr>
          <w:rFonts w:eastAsia="Segoe UI" w:cs="DejaVu Sans" w:ascii="Liberation Serif" w:hAnsi="Liberation Serif"/>
          <w:b/>
          <w:bCs/>
          <w:i/>
          <w:iCs/>
          <w:color w:val="000000"/>
          <w:lang w:val="en-US" w:eastAsia="en-US" w:bidi="en-US"/>
        </w:rPr>
        <w:t>incompatíveis com a natureza profissional da pessoa física</w:t>
      </w:r>
      <w:r>
        <w:rPr>
          <w:rFonts w:eastAsia="Segoe UI" w:cs="DejaVu Sans" w:ascii="Liberation Serif" w:hAnsi="Liberation Serif"/>
          <w:i/>
          <w:iCs/>
          <w:color w:val="000000"/>
          <w:lang w:val="en-US" w:eastAsia="en-US" w:bidi="en-US"/>
        </w:rPr>
        <w:t xml:space="preserve">, conforme </w:t>
      </w:r>
      <w:r>
        <w:rPr>
          <w:rFonts w:eastAsia="Segoe UI" w:cs="DejaVu Sans" w:ascii="Liberation Serif" w:hAnsi="Liberation Serif"/>
          <w:b/>
          <w:bCs/>
          <w:i/>
          <w:iCs/>
          <w:color w:val="000000"/>
          <w:lang w:val="en-US" w:eastAsia="en-US" w:bidi="en-US"/>
        </w:rPr>
        <w:t>demonstrado em estudo técnico preliminar</w:t>
      </w:r>
      <w:r>
        <w:rPr>
          <w:rFonts w:eastAsia="Segoe UI" w:cs="DejaVu Sans" w:ascii="Liberation Serif" w:hAnsi="Liberation Serif"/>
          <w:i/>
          <w:iCs/>
          <w:color w:val="000000"/>
          <w:lang w:val="en-US" w:eastAsia="en-US" w:bidi="en-US"/>
        </w:rPr>
        <w:t xml:space="preserve">”. Portanto, a possibilidade, ou não, de contratação de pessoas físicas deverá ser objeto de prévia análise e manifestação técnica por parte do órgão contratante, na fase de planejamento da contratação. </w:t>
      </w:r>
    </w:p>
    <w:p>
      <w:pPr>
        <w:overflowPunct w:val="false"/>
        <w:rPr/>
      </w:pPr>
      <w:r>
        <w:rPr>
          <w:rFonts w:eastAsia="Segoe UI" w:cs="DejaVu Sans" w:ascii="Liberation Serif" w:hAnsi="Liberation Serif"/>
          <w:i/>
          <w:iCs/>
          <w:color w:val="000000"/>
          <w:lang w:val="en-US" w:eastAsia="en-US" w:bidi="en-US"/>
        </w:rPr>
        <w:t>O Decreto n.º 10.977, de 23 de fevereiro de 2022, que regulamenta a Lei nº 7.116, de 29 de agosto de 1983, e a Lei nº 9.454, de 7 de abril de 1997, estabelece, em seu art. 3º, que a Carteira de Identidade passa a adotar o número de inscrição no Cadastro de Pessoas Físicas - CPF como o número do registro geral nacional previsto no inciso IV do </w:t>
      </w:r>
      <w:r>
        <w:rPr>
          <w:rFonts w:eastAsia="Segoe UI" w:cs="DejaVu Sans" w:ascii="Liberation Serif" w:hAnsi="Liberation Serif"/>
          <w:b/>
          <w:bCs/>
          <w:i/>
          <w:iCs/>
          <w:color w:val="000000"/>
          <w:lang w:val="en-US" w:eastAsia="en-US" w:bidi="en-US"/>
        </w:rPr>
        <w:t>caput </w:t>
      </w:r>
      <w:r>
        <w:rPr>
          <w:rFonts w:eastAsia="Segoe UI" w:cs="DejaVu Sans" w:ascii="Liberation Serif" w:hAnsi="Liberation Serif"/>
          <w:i/>
          <w:iCs/>
          <w:color w:val="000000"/>
          <w:lang w:val="en-US" w:eastAsia="en-US" w:bidi="en-US"/>
        </w:rPr>
        <w:t>do seu art. 11.</w:t>
      </w:r>
    </w:p>
  </w:comment>
  <w:comment w:id="21"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w:t>
      </w:r>
      <w:r>
        <w:rPr>
          <w:rFonts w:eastAsia="Segoe UI" w:cs="DejaVu Sans" w:ascii="Liberation Serif" w:hAnsi="Liberation Serif"/>
          <w:i/>
          <w:iCs/>
          <w:color w:val="000000"/>
          <w:lang w:val="en-US" w:eastAsia="en-US" w:bidi="en-US"/>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w:t>
      </w:r>
    </w:p>
    <w:p>
      <w:pPr>
        <w:overflowPunct w:val="false"/>
        <w:rPr/>
      </w:pPr>
      <w:r>
        <w:rPr>
          <w:rFonts w:eastAsia="Segoe UI" w:cs="DejaVu Sans" w:ascii="Liberation Serif" w:hAnsi="Liberation Serif"/>
          <w:i/>
          <w:iCs/>
          <w:color w:val="000000"/>
          <w:lang w:val="en-US" w:eastAsia="en-US" w:bidi="en-US"/>
        </w:rPr>
        <w:t>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pPr>
        <w:overflowPunct w:val="false"/>
        <w:rPr/>
      </w:pPr>
      <w:r>
        <w:rPr>
          <w:rFonts w:eastAsia="Segoe UI" w:cs="DejaVu Sans" w:ascii="Liberation Serif" w:hAnsi="Liberation Serif"/>
          <w:i/>
          <w:iCs/>
          <w:color w:val="000000"/>
          <w:lang w:val="en-US" w:eastAsia="en-US" w:bidi="en-US"/>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22"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w:t>
      </w:r>
      <w:r>
        <w:rPr>
          <w:rFonts w:eastAsia="Segoe UI" w:cs="DejaVu Sans" w:ascii="Liberation Serif" w:hAnsi="Liberation Serif"/>
          <w:i/>
          <w:iCs/>
          <w:color w:val="000000"/>
          <w:lang w:val="en-US" w:eastAsia="en-US" w:bidi="en-US"/>
        </w:rPr>
        <w:t xml:space="preserve"> O artigo 193 do Código Tributário Nacional (Lei nº 5.172, de 25 de outubro de 1966) preceitua que a prova da quitação de todos os tributos devidos dar-se-á no âmbito da Fazenda Pública interessada,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23" w:author="Autor" w:date="1900-01-01T00:00:00Z" w:initials="A">
    <w:p>
      <w:pPr>
        <w:overflowPunct w:val="false"/>
        <w:rPr/>
      </w:pPr>
      <w:r>
        <w:annotationRef/>
      </w:r>
      <w:r>
        <w:rPr>
          <w:rFonts w:eastAsia="Segoe UI" w:cs="DejaVu Sans" w:ascii="Liberation Serif" w:hAnsi="Liberation Serif"/>
          <w:b/>
          <w:i/>
          <w:lang w:val="en-US" w:eastAsia="en-US" w:bidi="en-US"/>
        </w:rPr>
        <w:t xml:space="preserve">Nota Explicativa: </w:t>
      </w:r>
      <w:r>
        <w:rPr>
          <w:rFonts w:eastAsia="Segoe UI" w:cs="DejaVu Sans" w:ascii="Liberation Serif" w:hAnsi="Liberation Serif"/>
          <w:i/>
          <w:iCs/>
          <w:color w:val="000000"/>
          <w:lang w:val="en-US" w:eastAsia="en-US" w:bidi="en-US"/>
        </w:rPr>
        <w:t>A apresentação do Certificado de Condição de Microempreendedor Individual – CCMEI supre as exigências de inscrição nos cadastros fiscais, na medida em que essas informações constam no próprio Certificado.</w:t>
      </w:r>
    </w:p>
  </w:comment>
  <w:comment w:id="24"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 xml:space="preserve">Nota Explicativa 1: </w:t>
      </w:r>
      <w:r>
        <w:rPr>
          <w:rFonts w:eastAsia="Segoe UI" w:cs="DejaVu Sans" w:ascii="Liberation Serif" w:hAnsi="Liberation Serif"/>
          <w:i/>
          <w:iCs/>
          <w:color w:val="000000"/>
          <w:lang w:val="en-US" w:eastAsia="en-US" w:bidi="en-US"/>
        </w:rPr>
        <w:t>Pesquisa de Preços - A estimativa de preços deve ser precedida de regular pesquisa, nos moldes do art. 23 da Lei nº 14.133, de 2021, e da Instrução Normativa SEGES/ME nº 65, de 7 de julho 2021.</w:t>
      </w:r>
    </w:p>
    <w:p>
      <w:pPr>
        <w:overflowPunct w:val="false"/>
        <w:rPr/>
      </w:pPr>
      <w:r>
        <w:rPr>
          <w:rFonts w:eastAsia="Segoe UI" w:ascii="Liberation Serif" w:hAnsi="Liberation Serif"/>
          <w:lang w:eastAsia="en-US" w:val="en-US" w:bidi="en-US"/>
        </w:rPr>
      </w:r>
    </w:p>
    <w:p>
      <w:pPr>
        <w:overflowPunct w:val="false"/>
        <w:rPr/>
      </w:pPr>
      <w:r>
        <w:rPr>
          <w:rFonts w:eastAsia="Segoe UI" w:cs="DejaVu Sans" w:ascii="Liberation Serif" w:hAnsi="Liberation Serif"/>
          <w:b/>
          <w:bCs/>
          <w:i/>
          <w:iCs/>
          <w:lang w:val="en-US" w:eastAsia="en-US" w:bidi="en-US"/>
        </w:rPr>
        <w:t>Nota Explicativa 2:</w:t>
      </w:r>
      <w:r>
        <w:rPr>
          <w:rFonts w:eastAsia="Segoe UI" w:cs="DejaVu Sans" w:ascii="Liberation Serif" w:hAnsi="Liberation Serif"/>
          <w:i/>
          <w:iCs/>
          <w:lang w:val="en-US" w:eastAsia="en-US" w:bidi="en-US"/>
        </w:rPr>
        <w:t xml:space="preserve"> Os preços unitários referenciais, as memórias de cálculo e os documentos que lhe dão suporte, com os parâmetros utilizados para a obtenção dos preços e para os respectivos cálculos, devem constar de anexo ao termo de referência,</w:t>
      </w:r>
      <w:r>
        <w:rPr>
          <w:rFonts w:eastAsia="Segoe UI" w:cs="DejaVu Sans" w:ascii="Liberation Serif" w:hAnsi="Liberation Serif"/>
          <w:i/>
          <w:iCs/>
          <w:color w:val="FF0000"/>
          <w:lang w:val="en-US" w:eastAsia="en-US" w:bidi="en-US"/>
        </w:rPr>
        <w:t xml:space="preserve"> </w:t>
      </w:r>
      <w:r>
        <w:rPr>
          <w:rFonts w:eastAsia="Segoe UI" w:cs="DejaVu Sans" w:ascii="Liberation Serif" w:hAnsi="Liberation Serif"/>
          <w:i/>
          <w:iCs/>
          <w:lang w:val="en-US" w:eastAsia="en-US" w:bidi="en-US"/>
        </w:rPr>
        <w:t xml:space="preserve">nos termos do art. 9º, IX, da Instrução Normativa Seges/ME nº 81, de 2022. Caso a Administração opte por preservar o sigilo da estimativa do valor da contratação, também deverá ser preservado o sigilo desse anexo. </w:t>
      </w:r>
    </w:p>
    <w:p>
      <w:pPr>
        <w:overflowPunct w:val="false"/>
        <w:rPr/>
      </w:pPr>
      <w:r>
        <w:rPr>
          <w:rFonts w:eastAsia="Segoe UI" w:ascii="Liberation Serif" w:hAnsi="Liberation Serif"/>
          <w:lang w:eastAsia="en-US" w:val="en-US" w:bidi="en-US"/>
        </w:rPr>
      </w:r>
    </w:p>
    <w:p>
      <w:pPr>
        <w:overflowPunct w:val="false"/>
        <w:rPr/>
      </w:pPr>
      <w:r>
        <w:rPr>
          <w:rFonts w:eastAsia="Segoe UI" w:cs="DejaVu Sans" w:ascii="Liberation Serif" w:hAnsi="Liberation Serif"/>
          <w:b/>
          <w:bCs/>
          <w:i/>
          <w:iCs/>
          <w:lang w:val="en-US" w:eastAsia="en-US" w:bidi="en-US"/>
        </w:rPr>
        <w:t xml:space="preserve">Nota Explicativa 3: </w:t>
      </w:r>
      <w:r>
        <w:rPr>
          <w:rFonts w:eastAsia="Segoe UI" w:cs="DejaVu Sans" w:ascii="Liberation Serif" w:hAnsi="Liberation Serif"/>
          <w:i/>
          <w:iCs/>
          <w:lang w:val="en-US" w:eastAsia="en-US" w:bidi="en-US"/>
        </w:rPr>
        <w:t>Utilizar esta redação na hipótese em que for adotado o critério de julgamento por menor preço, sem caráter sigiloso.</w:t>
      </w:r>
    </w:p>
  </w:comment>
  <w:comment w:id="25" w:author="Autor" w:date="1900-01-01T00:00:00Z" w:initials="A">
    <w:p>
      <w:pPr>
        <w:overflowPunct w:val="false"/>
        <w:rPr/>
      </w:pPr>
      <w:r>
        <w:annotationRef/>
      </w:r>
      <w:r>
        <w:rPr>
          <w:rFonts w:eastAsia="Segoe UI" w:cs="DejaVu Sans" w:ascii="Liberation Serif" w:hAnsi="Liberation Serif"/>
          <w:b/>
          <w:bCs/>
          <w:i/>
          <w:iCs/>
          <w:color w:val="000000"/>
          <w:lang w:val="en-US" w:eastAsia="en-US" w:bidi="en-US"/>
        </w:rPr>
        <w:t>Nota Explicativa:</w:t>
      </w:r>
      <w:r>
        <w:rPr>
          <w:rFonts w:eastAsia="Segoe UI" w:cs="DejaVu Sans" w:ascii="Liberation Serif" w:hAnsi="Liberation Serif"/>
          <w:i/>
          <w:iCs/>
          <w:color w:val="000000"/>
          <w:lang w:val="en-US" w:eastAsia="en-US" w:bidi="en-US"/>
        </w:rPr>
        <w:t xml:space="preserve"> Atentar para a necessidade de avaliação quanto à pertinência de classificar o TR nos termos da Lei n. 12.527, de 2011 (Lei de Acesso à Informação), conforme previsão do artigo 10 da Instrução Normativa n. 81, de 2022.</w:t>
      </w:r>
    </w:p>
  </w:comment>
</w:comments>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Ecofont_Spranq_eco_Sans">
    <w:charset w:val="00" w:characterSet="windows-1252"/>
    <w:family w:val="roman"/>
    <w:pitch w:val="variable"/>
  </w:font>
  <w:font w:name="Calibri">
    <w:charset w:val="00" w:characterSet="windows-1252"/>
    <w:family w:val="roman"/>
    <w:pitch w:val="variable"/>
  </w:font>
  <w:font w:name="Tahoma">
    <w:charset w:val="00" w:characterSet="windows-1252"/>
    <w:family w:val="swiss"/>
    <w:pitch w:val="variable"/>
  </w:font>
  <w:font w:name="Segoe UI">
    <w:charset w:val="00" w:characterSet="windows-1252"/>
    <w:family w:val="swiss"/>
    <w:pitch w:val="variable"/>
  </w:font>
  <w:font w:name="Liberation Sans">
    <w:altName w:val="Arial"/>
    <w:charset w:val="00" w:characterSet="windows-1252"/>
    <w:family w:val="swiss"/>
    <w:pitch w:val="variable"/>
  </w:font>
  <w:font w:name="Calibri">
    <w:charset w:val="01"/>
    <w:family w:val="swiss"/>
    <w:pitch w:val="variable"/>
  </w:font>
  <w:font w:name="Calibri">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466299543"/>
    </w:sdtPr>
    <w:sdtContent>
      <w:p>
        <w:pPr>
          <w:pStyle w:val="Footer"/>
          <w:rPr>
            <w:rFonts w:hint="eastAsia"/>
            <w:color w:themeColor="text2" w:themeTint="99" w:val="548DD4"/>
            <w:spacing w:val="60"/>
            <w:sz w:val="16"/>
            <w:szCs w:val="16"/>
          </w:rPr>
        </w:pPr>
        <w:r>
          <w:rPr>
            <w:color w:themeColor="text2" w:themeTint="99" w:val="548DD4"/>
            <w:spacing w:val="60"/>
            <w:sz w:val="22"/>
            <w:szCs w:val="22"/>
          </w:rPr>
          <w:tab/>
          <w:tab/>
        </w:r>
      </w:p>
      <w:p>
        <w:pPr>
          <w:pStyle w:val="Footer"/>
          <w:rPr>
            <w:rFonts w:hint="eastAsia"/>
          </w:rPr>
        </w:pPr>
        <w:r>
          <w:rPr>
            <w:color w:themeColor="text1" w:themeTint="80" w:val="7F7F7F"/>
            <w:spacing w:val="60"/>
            <w:sz w:val="22"/>
            <w:szCs w:val="22"/>
          </w:rPr>
          <w:tab/>
          <w:tab/>
        </w:r>
        <w:r>
          <w:rPr>
            <w:rFonts w:ascii="Arial" w:hAnsi="Arial"/>
            <w:color w:themeColor="text1" w:themeTint="a6" w:val="595959"/>
            <w:spacing w:val="60"/>
            <w:sz w:val="18"/>
          </w:rPr>
          <w:t>Página</w:t>
        </w:r>
        <w:r>
          <w:rPr>
            <w:rFonts w:ascii="Arial" w:hAnsi="Arial"/>
            <w:color w:themeColor="text1" w:themeTint="a6" w:val="595959"/>
            <w:sz w:val="18"/>
          </w:rPr>
          <w:t xml:space="preserve"> </w:t>
        </w:r>
        <w:r>
          <w:rPr>
            <w:rFonts w:ascii="Arial" w:hAnsi="Arial"/>
            <w:sz w:val="18"/>
          </w:rPr>
          <w:fldChar w:fldCharType="begin"/>
        </w:r>
        <w:r>
          <w:rPr>
            <w:sz w:val="18"/>
            <w:rFonts w:ascii="Arial" w:hAnsi="Arial"/>
          </w:rPr>
          <w:instrText xml:space="preserve"> PAGE </w:instrText>
        </w:r>
        <w:r>
          <w:rPr>
            <w:sz w:val="18"/>
            <w:rFonts w:ascii="Arial" w:hAnsi="Arial"/>
          </w:rPr>
          <w:fldChar w:fldCharType="separate"/>
        </w:r>
        <w:r>
          <w:rPr>
            <w:sz w:val="18"/>
            <w:rFonts w:ascii="Arial" w:hAnsi="Arial"/>
          </w:rPr>
          <w:t>11</w:t>
        </w:r>
        <w:r>
          <w:rPr>
            <w:sz w:val="18"/>
            <w:rFonts w:ascii="Arial" w:hAnsi="Arial"/>
          </w:rPr>
          <w:fldChar w:fldCharType="end"/>
        </w:r>
        <w:r>
          <w:rPr>
            <w:rFonts w:ascii="Arial" w:hAnsi="Arial"/>
            <w:color w:themeColor="text1" w:themeTint="a6" w:val="595959"/>
            <w:sz w:val="18"/>
          </w:rPr>
          <w:t xml:space="preserve"> | </w:t>
        </w:r>
        <w:r>
          <w:rPr>
            <w:rFonts w:ascii="Arial" w:hAnsi="Arial"/>
            <w:sz w:val="18"/>
          </w:rPr>
          <w:fldChar w:fldCharType="begin"/>
        </w:r>
        <w:r>
          <w:rPr>
            <w:sz w:val="18"/>
            <w:rFonts w:ascii="Arial" w:hAnsi="Arial"/>
          </w:rPr>
          <w:instrText xml:space="preserve"> NUMPAGES </w:instrText>
        </w:r>
        <w:r>
          <w:rPr>
            <w:sz w:val="18"/>
            <w:rFonts w:ascii="Arial" w:hAnsi="Arial"/>
          </w:rPr>
          <w:fldChar w:fldCharType="separate"/>
        </w:r>
        <w:r>
          <w:rPr>
            <w:sz w:val="18"/>
            <w:rFonts w:ascii="Arial" w:hAnsi="Arial"/>
          </w:rPr>
          <w:t>12</w:t>
        </w:r>
        <w:r>
          <w:rPr>
            <w:sz w:val="18"/>
            <w:rFonts w:ascii="Arial" w:hAnsi="Arial"/>
          </w:rPr>
          <w:fldChar w:fldCharType="end"/>
        </w:r>
      </w:p>
      <w:p>
        <w:pPr>
          <w:pStyle w:val="Footer"/>
          <w:rPr>
            <w:rFonts w:ascii="Arial" w:hAnsi="Arial"/>
            <w:sz w:val="14"/>
          </w:rPr>
        </w:pPr>
        <w:r>
          <w:rPr>
            <w:rFonts w:ascii="Arial" w:hAnsi="Arial"/>
            <w:sz w:val="14"/>
          </w:rPr>
          <w:t>Câmara Nacional de Modelos de Licitações e Contratos da Consultoria-Geral da União</w:t>
        </w:r>
      </w:p>
      <w:p>
        <w:pPr>
          <w:pStyle w:val="Footer"/>
          <w:rPr>
            <w:rFonts w:ascii="Arial" w:hAnsi="Arial"/>
            <w:color w:themeColor="text2" w:themeShade="80" w:val="0F243E"/>
            <w:sz w:val="14"/>
          </w:rPr>
        </w:pPr>
        <w:r>
          <w:rPr>
            <w:rFonts w:cs="Arial" w:ascii="Arial" w:hAnsi="Arial"/>
            <w:sz w:val="14"/>
            <w:szCs w:val="14"/>
          </w:rPr>
          <w:t xml:space="preserve">Modelo de </w:t>
        </w:r>
        <w:r>
          <w:rPr>
            <w:rFonts w:ascii="Arial" w:hAnsi="Arial"/>
            <w:sz w:val="14"/>
          </w:rPr>
          <w:t xml:space="preserve">Termo de Referência – Aquisições </w:t>
        </w:r>
        <w:r>
          <w:rPr>
            <w:rFonts w:cs="Arial" w:ascii="Arial" w:hAnsi="Arial"/>
            <w:sz w:val="14"/>
            <w:szCs w:val="14"/>
          </w:rPr>
          <w:t>– Lei nº 14.133, de 2021</w:t>
        </w:r>
      </w:p>
      <w:p>
        <w:pPr>
          <w:pStyle w:val="Footer"/>
          <w:rPr>
            <w:rFonts w:ascii="Arial" w:hAnsi="Arial"/>
            <w:sz w:val="14"/>
          </w:rPr>
        </w:pPr>
        <w:r>
          <w:rPr>
            <w:rFonts w:ascii="Arial" w:hAnsi="Arial"/>
            <w:sz w:val="14"/>
          </w:rPr>
          <w:t>Aprovado pela Secretaria de Gestão</w:t>
        </w:r>
        <w:r>
          <w:rPr>
            <w:rFonts w:cs="Arial" w:ascii="Arial" w:hAnsi="Arial"/>
            <w:sz w:val="14"/>
            <w:szCs w:val="14"/>
          </w:rPr>
          <w:t xml:space="preserve"> e Inovação</w:t>
        </w:r>
      </w:p>
      <w:p>
        <w:pPr>
          <w:pStyle w:val="Footer"/>
          <w:rPr>
            <w:rFonts w:ascii="Arial" w:hAnsi="Arial"/>
            <w:sz w:val="14"/>
          </w:rPr>
        </w:pPr>
        <w:r>
          <w:rPr>
            <w:rFonts w:ascii="Arial" w:hAnsi="Arial"/>
            <w:sz w:val="14"/>
          </w:rPr>
          <w:t xml:space="preserve">Identidade visual pela Secretaria de Gestão </w:t>
        </w:r>
        <w:r>
          <w:rPr>
            <w:rFonts w:cs="Arial" w:ascii="Arial" w:hAnsi="Arial"/>
            <w:sz w:val="14"/>
            <w:szCs w:val="14"/>
          </w:rPr>
          <w:t>e Inovação</w:t>
        </w:r>
      </w:p>
      <w:p>
        <w:pPr>
          <w:pStyle w:val="Footer"/>
          <w:rPr>
            <w:rFonts w:ascii="Arial" w:hAnsi="Arial"/>
            <w:sz w:val="14"/>
          </w:rPr>
        </w:pPr>
        <w:bookmarkStart w:id="17" w:name="_Hlk175672605"/>
        <w:r>
          <w:rPr>
            <w:rFonts w:cs="Arial" w:ascii="Arial" w:hAnsi="Arial"/>
            <w:sz w:val="14"/>
            <w:szCs w:val="14"/>
          </w:rPr>
          <w:t>Atualização: NOV/2024</w:t>
        </w:r>
        <w:bookmarkEnd w:id="17"/>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466299543"/>
    </w:sdtPr>
    <w:sdtContent>
      <w:p>
        <w:pPr>
          <w:pStyle w:val="Footer"/>
          <w:rPr>
            <w:rFonts w:hint="eastAsia"/>
            <w:color w:themeColor="text2" w:themeTint="99" w:val="548DD4"/>
            <w:spacing w:val="60"/>
            <w:sz w:val="16"/>
            <w:szCs w:val="16"/>
          </w:rPr>
        </w:pPr>
        <w:r>
          <w:rPr>
            <w:color w:themeColor="text2" w:themeTint="99" w:val="548DD4"/>
            <w:spacing w:val="60"/>
            <w:sz w:val="22"/>
            <w:szCs w:val="22"/>
          </w:rPr>
          <w:tab/>
          <w:tab/>
        </w:r>
      </w:p>
      <w:p>
        <w:pPr>
          <w:pStyle w:val="Footer"/>
          <w:rPr>
            <w:rFonts w:hint="eastAsia"/>
          </w:rPr>
        </w:pPr>
        <w:r>
          <w:rPr>
            <w:color w:themeColor="text1" w:themeTint="80" w:val="7F7F7F"/>
            <w:spacing w:val="60"/>
            <w:sz w:val="22"/>
            <w:szCs w:val="22"/>
          </w:rPr>
          <w:tab/>
          <w:tab/>
        </w:r>
        <w:r>
          <w:rPr>
            <w:rFonts w:ascii="Arial" w:hAnsi="Arial"/>
            <w:color w:themeColor="text1" w:themeTint="a6" w:val="595959"/>
            <w:spacing w:val="60"/>
            <w:sz w:val="18"/>
          </w:rPr>
          <w:t>Página</w:t>
        </w:r>
        <w:r>
          <w:rPr>
            <w:rFonts w:ascii="Arial" w:hAnsi="Arial"/>
            <w:color w:themeColor="text1" w:themeTint="a6" w:val="595959"/>
            <w:sz w:val="18"/>
          </w:rPr>
          <w:t xml:space="preserve"> </w:t>
        </w:r>
        <w:r>
          <w:rPr>
            <w:rFonts w:ascii="Arial" w:hAnsi="Arial"/>
            <w:sz w:val="18"/>
          </w:rPr>
          <w:fldChar w:fldCharType="begin"/>
        </w:r>
        <w:r>
          <w:rPr>
            <w:sz w:val="18"/>
            <w:rFonts w:ascii="Arial" w:hAnsi="Arial"/>
          </w:rPr>
          <w:instrText xml:space="preserve"> PAGE </w:instrText>
        </w:r>
        <w:r>
          <w:rPr>
            <w:sz w:val="18"/>
            <w:rFonts w:ascii="Arial" w:hAnsi="Arial"/>
          </w:rPr>
          <w:fldChar w:fldCharType="separate"/>
        </w:r>
        <w:r>
          <w:rPr>
            <w:sz w:val="18"/>
            <w:rFonts w:ascii="Arial" w:hAnsi="Arial"/>
          </w:rPr>
          <w:t>11</w:t>
        </w:r>
        <w:r>
          <w:rPr>
            <w:sz w:val="18"/>
            <w:rFonts w:ascii="Arial" w:hAnsi="Arial"/>
          </w:rPr>
          <w:fldChar w:fldCharType="end"/>
        </w:r>
        <w:r>
          <w:rPr>
            <w:rFonts w:ascii="Arial" w:hAnsi="Arial"/>
            <w:color w:themeColor="text1" w:themeTint="a6" w:val="595959"/>
            <w:sz w:val="18"/>
          </w:rPr>
          <w:t xml:space="preserve"> | </w:t>
        </w:r>
        <w:r>
          <w:rPr>
            <w:rFonts w:ascii="Arial" w:hAnsi="Arial"/>
            <w:sz w:val="18"/>
          </w:rPr>
          <w:fldChar w:fldCharType="begin"/>
        </w:r>
        <w:r>
          <w:rPr>
            <w:sz w:val="18"/>
            <w:rFonts w:ascii="Arial" w:hAnsi="Arial"/>
          </w:rPr>
          <w:instrText xml:space="preserve"> NUMPAGES </w:instrText>
        </w:r>
        <w:r>
          <w:rPr>
            <w:sz w:val="18"/>
            <w:rFonts w:ascii="Arial" w:hAnsi="Arial"/>
          </w:rPr>
          <w:fldChar w:fldCharType="separate"/>
        </w:r>
        <w:r>
          <w:rPr>
            <w:sz w:val="18"/>
            <w:rFonts w:ascii="Arial" w:hAnsi="Arial"/>
          </w:rPr>
          <w:t>12</w:t>
        </w:r>
        <w:r>
          <w:rPr>
            <w:sz w:val="18"/>
            <w:rFonts w:ascii="Arial" w:hAnsi="Arial"/>
          </w:rPr>
          <w:fldChar w:fldCharType="end"/>
        </w:r>
      </w:p>
      <w:p>
        <w:pPr>
          <w:pStyle w:val="Footer"/>
          <w:rPr>
            <w:rFonts w:ascii="Arial" w:hAnsi="Arial"/>
            <w:sz w:val="14"/>
          </w:rPr>
        </w:pPr>
        <w:r>
          <w:rPr>
            <w:rFonts w:ascii="Arial" w:hAnsi="Arial"/>
            <w:sz w:val="14"/>
          </w:rPr>
          <w:t>Câmara Nacional de Modelos de Licitações e Contratos da Consultoria-Geral da União</w:t>
        </w:r>
      </w:p>
      <w:p>
        <w:pPr>
          <w:pStyle w:val="Footer"/>
          <w:rPr>
            <w:rFonts w:ascii="Arial" w:hAnsi="Arial"/>
            <w:color w:themeColor="text2" w:themeShade="80" w:val="0F243E"/>
            <w:sz w:val="14"/>
          </w:rPr>
        </w:pPr>
        <w:r>
          <w:rPr>
            <w:rFonts w:cs="Arial" w:ascii="Arial" w:hAnsi="Arial"/>
            <w:sz w:val="14"/>
            <w:szCs w:val="14"/>
          </w:rPr>
          <w:t xml:space="preserve">Modelo de </w:t>
        </w:r>
        <w:r>
          <w:rPr>
            <w:rFonts w:ascii="Arial" w:hAnsi="Arial"/>
            <w:sz w:val="14"/>
          </w:rPr>
          <w:t xml:space="preserve">Termo de Referência – Aquisições </w:t>
        </w:r>
        <w:r>
          <w:rPr>
            <w:rFonts w:cs="Arial" w:ascii="Arial" w:hAnsi="Arial"/>
            <w:sz w:val="14"/>
            <w:szCs w:val="14"/>
          </w:rPr>
          <w:t>– Lei nº 14.133, de 2021</w:t>
        </w:r>
      </w:p>
      <w:p>
        <w:pPr>
          <w:pStyle w:val="Footer"/>
          <w:rPr>
            <w:rFonts w:ascii="Arial" w:hAnsi="Arial"/>
            <w:sz w:val="14"/>
          </w:rPr>
        </w:pPr>
        <w:r>
          <w:rPr>
            <w:rFonts w:ascii="Arial" w:hAnsi="Arial"/>
            <w:sz w:val="14"/>
          </w:rPr>
          <w:t>Aprovado pela Secretaria de Gestão</w:t>
        </w:r>
        <w:r>
          <w:rPr>
            <w:rFonts w:cs="Arial" w:ascii="Arial" w:hAnsi="Arial"/>
            <w:sz w:val="14"/>
            <w:szCs w:val="14"/>
          </w:rPr>
          <w:t xml:space="preserve"> e Inovação</w:t>
        </w:r>
      </w:p>
      <w:p>
        <w:pPr>
          <w:pStyle w:val="Footer"/>
          <w:rPr>
            <w:rFonts w:ascii="Arial" w:hAnsi="Arial"/>
            <w:sz w:val="14"/>
          </w:rPr>
        </w:pPr>
        <w:r>
          <w:rPr>
            <w:rFonts w:ascii="Arial" w:hAnsi="Arial"/>
            <w:sz w:val="14"/>
          </w:rPr>
          <w:t xml:space="preserve">Identidade visual pela Secretaria de Gestão </w:t>
        </w:r>
        <w:r>
          <w:rPr>
            <w:rFonts w:cs="Arial" w:ascii="Arial" w:hAnsi="Arial"/>
            <w:sz w:val="14"/>
            <w:szCs w:val="14"/>
          </w:rPr>
          <w:t>e Inovação</w:t>
        </w:r>
      </w:p>
      <w:p>
        <w:pPr>
          <w:pStyle w:val="Footer"/>
          <w:rPr>
            <w:rFonts w:ascii="Arial" w:hAnsi="Arial"/>
            <w:sz w:val="14"/>
          </w:rPr>
        </w:pPr>
        <w:bookmarkStart w:id="18" w:name="_Hlk175672605"/>
        <w:r>
          <w:rPr>
            <w:rFonts w:cs="Arial" w:ascii="Arial" w:hAnsi="Arial"/>
            <w:sz w:val="14"/>
            <w:szCs w:val="14"/>
          </w:rPr>
          <w:t>Atualização: NOV/2024</w:t>
        </w:r>
        <w:bookmarkEnd w:id="18"/>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1495" w:hanging="360"/>
      </w:pPr>
      <w:rPr>
        <w:sz w:val="22"/>
        <w:b/>
        <w:rFonts w:ascii="Calibri" w:hAnsi="Calibri"/>
      </w:rPr>
    </w:lvl>
    <w:lvl w:ilvl="1">
      <w:start w:val="1"/>
      <w:numFmt w:val="decimal"/>
      <w:lvlText w:val="%1.%2."/>
      <w:lvlJc w:val="start"/>
      <w:pPr>
        <w:tabs>
          <w:tab w:val="num" w:pos="0"/>
        </w:tabs>
        <w:ind w:start="1424" w:hanging="432"/>
      </w:pPr>
      <w:rPr>
        <w:dstrike w:val="false"/>
        <w:strike w:val="false"/>
        <w:sz w:val="22"/>
        <w:i w:val="false"/>
        <w:u w:val="none"/>
        <w:b w:val="false"/>
        <w:szCs w:val="20"/>
        <w:rFonts w:ascii="Calibri" w:hAnsi="Calibri"/>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2">
    <w:lvl w:ilvl="0">
      <w:start w:val="1"/>
      <w:numFmt w:val="lowerLetter"/>
      <w:lvlText w:val="%1)"/>
      <w:lvlJc w:val="start"/>
      <w:pPr>
        <w:tabs>
          <w:tab w:val="num" w:pos="0"/>
        </w:tabs>
        <w:ind w:start="2130" w:hanging="360"/>
      </w:pPr>
      <w:rPr/>
    </w:lvl>
    <w:lvl w:ilvl="1">
      <w:start w:val="1"/>
      <w:numFmt w:val="lowerLetter"/>
      <w:lvlText w:val="%2."/>
      <w:lvlJc w:val="start"/>
      <w:pPr>
        <w:tabs>
          <w:tab w:val="num" w:pos="0"/>
        </w:tabs>
        <w:ind w:start="2850" w:hanging="360"/>
      </w:pPr>
      <w:rPr/>
    </w:lvl>
    <w:lvl w:ilvl="2">
      <w:start w:val="1"/>
      <w:numFmt w:val="lowerRoman"/>
      <w:lvlText w:val="%3."/>
      <w:lvlJc w:val="end"/>
      <w:pPr>
        <w:tabs>
          <w:tab w:val="num" w:pos="0"/>
        </w:tabs>
        <w:ind w:start="3570" w:hanging="180"/>
      </w:pPr>
      <w:rPr/>
    </w:lvl>
    <w:lvl w:ilvl="3">
      <w:start w:val="1"/>
      <w:numFmt w:val="decimal"/>
      <w:lvlText w:val="%4."/>
      <w:lvlJc w:val="start"/>
      <w:pPr>
        <w:tabs>
          <w:tab w:val="num" w:pos="0"/>
        </w:tabs>
        <w:ind w:start="4290" w:hanging="360"/>
      </w:pPr>
      <w:rPr/>
    </w:lvl>
    <w:lvl w:ilvl="4">
      <w:start w:val="1"/>
      <w:numFmt w:val="lowerLetter"/>
      <w:lvlText w:val="%5."/>
      <w:lvlJc w:val="start"/>
      <w:pPr>
        <w:tabs>
          <w:tab w:val="num" w:pos="0"/>
        </w:tabs>
        <w:ind w:start="5010" w:hanging="360"/>
      </w:pPr>
      <w:rPr/>
    </w:lvl>
    <w:lvl w:ilvl="5">
      <w:start w:val="1"/>
      <w:numFmt w:val="lowerRoman"/>
      <w:lvlText w:val="%6."/>
      <w:lvlJc w:val="end"/>
      <w:pPr>
        <w:tabs>
          <w:tab w:val="num" w:pos="0"/>
        </w:tabs>
        <w:ind w:start="5730" w:hanging="180"/>
      </w:pPr>
      <w:rPr/>
    </w:lvl>
    <w:lvl w:ilvl="6">
      <w:start w:val="1"/>
      <w:numFmt w:val="decimal"/>
      <w:lvlText w:val="%7."/>
      <w:lvlJc w:val="start"/>
      <w:pPr>
        <w:tabs>
          <w:tab w:val="num" w:pos="0"/>
        </w:tabs>
        <w:ind w:start="6450" w:hanging="360"/>
      </w:pPr>
      <w:rPr/>
    </w:lvl>
    <w:lvl w:ilvl="7">
      <w:start w:val="1"/>
      <w:numFmt w:val="lowerLetter"/>
      <w:lvlText w:val="%8."/>
      <w:lvlJc w:val="start"/>
      <w:pPr>
        <w:tabs>
          <w:tab w:val="num" w:pos="0"/>
        </w:tabs>
        <w:ind w:start="7170" w:hanging="360"/>
      </w:pPr>
      <w:rPr/>
    </w:lvl>
    <w:lvl w:ilvl="8">
      <w:start w:val="1"/>
      <w:numFmt w:val="lowerRoman"/>
      <w:lvlText w:val="%9."/>
      <w:lvlJc w:val="end"/>
      <w:pPr>
        <w:tabs>
          <w:tab w:val="num" w:pos="0"/>
        </w:tabs>
        <w:ind w:start="7890" w:hanging="180"/>
      </w:pPr>
      <w:rPr/>
    </w:lvl>
  </w:abstractNum>
  <w:abstractNum w:abstractNumId="3">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4">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5">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6">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7">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8">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9">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10">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11">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12">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13">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14">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15">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16">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17">
    <w:lvl w:ilvl="0">
      <w:start w:val="1"/>
      <w:numFmt w:val="decimal"/>
      <w:lvlText w:val="%1."/>
      <w:lvlJc w:val="start"/>
      <w:pPr>
        <w:tabs>
          <w:tab w:val="num" w:pos="0"/>
        </w:tabs>
        <w:ind w:start="1495" w:hanging="360"/>
      </w:pPr>
      <w:rPr>
        <w:b/>
      </w:rPr>
    </w:lvl>
    <w:lvl w:ilvl="1">
      <w:start w:val="1"/>
      <w:numFmt w:val="decimal"/>
      <w:lvlText w:val="%1.%2."/>
      <w:lvlJc w:val="start"/>
      <w:pPr>
        <w:tabs>
          <w:tab w:val="num" w:pos="0"/>
        </w:tabs>
        <w:ind w:start="1709" w:hanging="432"/>
      </w:pPr>
      <w:rPr>
        <w:dstrike w:val="false"/>
        <w:strike w:val="false"/>
        <w:sz w:val="20"/>
        <w:i w:val="false"/>
        <w:u w:val="none"/>
        <w:b w:val="false"/>
        <w:szCs w:val="20"/>
        <w:color w:val="auto"/>
      </w:rPr>
    </w:lvl>
    <w:lvl w:ilvl="2">
      <w:start w:val="1"/>
      <w:numFmt w:val="decimal"/>
      <w:lvlText w:val="%1.%2.%3"/>
      <w:lvlJc w:val="start"/>
      <w:pPr>
        <w:tabs>
          <w:tab w:val="num" w:pos="0"/>
        </w:tabs>
        <w:ind w:start="3624" w:hanging="504"/>
      </w:pPr>
      <w:rPr>
        <w:dstrike w:val="false"/>
        <w:strike w:val="false"/>
        <w:sz w:val="20"/>
        <w:i w:val="false"/>
        <w:b w:val="false"/>
        <w:szCs w:val="20"/>
        <w:color w:val="000000"/>
      </w:rPr>
    </w:lvl>
    <w:lvl w:ilvl="3">
      <w:start w:val="1"/>
      <w:numFmt w:val="decimal"/>
      <w:lvlText w:val="%1.%2.%3.%4."/>
      <w:lvlJc w:val="start"/>
      <w:pPr>
        <w:tabs>
          <w:tab w:val="num" w:pos="0"/>
        </w:tabs>
        <w:ind w:start="3626" w:hanging="648"/>
      </w:pPr>
      <w:rPr/>
    </w:lvl>
    <w:lvl w:ilvl="4">
      <w:start w:val="1"/>
      <w:numFmt w:val="decimal"/>
      <w:lvlText w:val="%1.%2.%3.%4.%5."/>
      <w:lvlJc w:val="start"/>
      <w:pPr>
        <w:tabs>
          <w:tab w:val="num" w:pos="0"/>
        </w:tabs>
        <w:ind w:start="3367" w:hanging="792"/>
      </w:pPr>
      <w:rPr/>
    </w:lvl>
    <w:lvl w:ilvl="5">
      <w:start w:val="1"/>
      <w:numFmt w:val="decimal"/>
      <w:lvlText w:val="%1.%2.%3.%4.%5.%6."/>
      <w:lvlJc w:val="start"/>
      <w:pPr>
        <w:tabs>
          <w:tab w:val="num" w:pos="0"/>
        </w:tabs>
        <w:ind w:start="3871" w:hanging="936"/>
      </w:pPr>
      <w:rPr/>
    </w:lvl>
    <w:lvl w:ilvl="6">
      <w:start w:val="1"/>
      <w:numFmt w:val="decimal"/>
      <w:lvlText w:val="%1.%2.%3.%4.%5.%6.%7."/>
      <w:lvlJc w:val="start"/>
      <w:pPr>
        <w:tabs>
          <w:tab w:val="num" w:pos="0"/>
        </w:tabs>
        <w:ind w:start="4375" w:hanging="1080"/>
      </w:pPr>
      <w:rPr/>
    </w:lvl>
    <w:lvl w:ilvl="7">
      <w:start w:val="1"/>
      <w:numFmt w:val="decimal"/>
      <w:lvlText w:val="%1.%2.%3.%4.%5.%6.%7.%8."/>
      <w:lvlJc w:val="start"/>
      <w:pPr>
        <w:tabs>
          <w:tab w:val="num" w:pos="0"/>
        </w:tabs>
        <w:ind w:start="4879" w:hanging="1224"/>
      </w:pPr>
      <w:rPr/>
    </w:lvl>
    <w:lvl w:ilvl="8">
      <w:start w:val="1"/>
      <w:numFmt w:val="decimal"/>
      <w:lvlText w:val="%1.%2.%3.%4.%5.%6.%7.%8.%9."/>
      <w:lvlJc w:val="start"/>
      <w:pPr>
        <w:tabs>
          <w:tab w:val="num" w:pos="0"/>
        </w:tabs>
        <w:ind w:start="5455" w:hanging="1440"/>
      </w:pPr>
      <w:rPr/>
    </w:lvl>
  </w:abstractNum>
  <w:abstractNum w:abstractNumId="18">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00"/>
  <w:mirrorMargins/>
  <w:defaultTabStop w:val="709"/>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1">
    <w:lsdException w:name="heading 1" w:uiPriority="9"/>
    <w:lsdException w:name="heading 3" w:uiPriority="9" w:semiHidden="1" w:unhideWhenUsed="1" w:qFormat="1"/>
    <w:lsdException w:name="heading 4" w:semiHidden="1" w:unhideWhenUsed="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qFormat="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a3333"/>
    <w:pPr>
      <w:widowControl/>
      <w:suppressAutoHyphens w:val="true"/>
      <w:bidi w:val="0"/>
      <w:spacing w:before="0" w:after="0"/>
      <w:jc w:val="start"/>
    </w:pPr>
    <w:rPr>
      <w:rFonts w:ascii="Ecofont_Spranq_eco_Sans" w:hAnsi="Ecofont_Spranq_eco_Sans" w:cs="Tahoma" w:eastAsia="" w:eastAsiaTheme="minorEastAsia"/>
      <w:color w:val="auto"/>
      <w:kern w:val="0"/>
      <w:sz w:val="24"/>
      <w:szCs w:val="24"/>
      <w:lang w:eastAsia="pt-BR" w:val="pt-BR" w:bidi="ar-SA"/>
    </w:rPr>
  </w:style>
  <w:style w:type="paragraph" w:styleId="Heading1">
    <w:name w:val="heading 1"/>
    <w:basedOn w:val="Normal"/>
    <w:next w:val="Normal"/>
    <w:link w:val="Ttulo1Char"/>
    <w:uiPriority w:val="9"/>
    <w:qFormat/>
    <w:rsid w:val="00196a7f"/>
    <w:pPr>
      <w:keepNext w:val="true"/>
      <w:keepLines/>
      <w:spacing w:before="480" w:after="0"/>
      <w:outlineLvl w:val="0"/>
    </w:pPr>
    <w:rPr>
      <w:rFonts w:ascii="Arial" w:hAnsi="Arial" w:eastAsia="" w:cs="" w:cstheme="majorBidi" w:eastAsiaTheme="majorEastAsia"/>
      <w:b/>
      <w:bCs/>
      <w:sz w:val="20"/>
      <w:szCs w:val="28"/>
    </w:rPr>
  </w:style>
  <w:style w:type="paragraph" w:styleId="Heading2">
    <w:name w:val="heading 2"/>
    <w:basedOn w:val="Normal"/>
    <w:next w:val="Normal"/>
    <w:link w:val="Ttulo2Char"/>
    <w:qFormat/>
    <w:rsid w:val="00196a7f"/>
    <w:pPr>
      <w:keepNext w:val="true"/>
      <w:spacing w:lineRule="auto" w:line="276" w:before="120" w:after="120"/>
      <w:jc w:val="both"/>
      <w:outlineLvl w:val="1"/>
    </w:pPr>
    <w:rPr>
      <w:rFonts w:ascii="Arial" w:hAnsi="Arial" w:cs="Times New Roman"/>
      <w:sz w:val="20"/>
      <w:szCs w:val="20"/>
    </w:rPr>
  </w:style>
  <w:style w:type="paragraph" w:styleId="Heading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 w:cs=""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unhideWhenUsed/>
    <w:qFormat/>
    <w:rsid w:val="00196a7f"/>
    <w:pPr>
      <w:keepNext w:val="true"/>
      <w:keepLines/>
      <w:spacing w:before="40" w:after="0"/>
      <w:outlineLvl w:val="3"/>
    </w:pPr>
    <w:rPr>
      <w:rFonts w:ascii="Calibri" w:hAnsi="Calibri" w:eastAsia="" w:cs=""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 w:cs=""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e14b42"/>
    <w:rPr>
      <w:rFonts w:ascii="Arial" w:hAnsi="Arial"/>
      <w:lang w:eastAsia="pt-BR"/>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LinkdaInternetuser" w:customStyle="1">
    <w:name w:val="Link da Internet (user)"/>
    <w:basedOn w:val="DefaultParagraphFont"/>
    <w:uiPriority w:val="99"/>
    <w:unhideWhenUsed/>
    <w:qFormat/>
    <w:rsid w:val="00dc41dd"/>
    <w:rPr>
      <w:color w:themeColor="hyperlink" w:val="0000FF"/>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Comment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 w:cs=""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sid w:val="007f77ad"/>
    <w:rPr>
      <w:rFonts w:ascii="Calibri" w:hAnsi="Calibri" w:eastAsia="" w:cs=""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3b3af3"/>
    <w:rPr>
      <w:rFonts w:ascii="Arial" w:hAnsi="Arial" w:eastAsia="Arial" w:cs="Arial"/>
      <w:b/>
      <w:iCs/>
      <w:color w:themeColor="text2" w:themeShade="bf" w:val="17365D"/>
      <w:spacing w:val="5"/>
      <w:kern w:val="2"/>
      <w:sz w:val="52"/>
      <w:szCs w:val="52"/>
      <w:lang w:eastAsia="pt-BR"/>
    </w:rPr>
  </w:style>
  <w:style w:type="character" w:styleId="Ttulo1Char" w:customStyle="1">
    <w:name w:val="Título 1 Char"/>
    <w:basedOn w:val="DefaultParagraphFont"/>
    <w:uiPriority w:val="9"/>
    <w:qFormat/>
    <w:rsid w:val="00501cb5"/>
    <w:rPr>
      <w:rFonts w:ascii="Arial" w:hAnsi="Arial" w:eastAsia="" w:cs="" w:cstheme="majorBidi" w:eastAsiaTheme="majorEastAsia"/>
      <w:b/>
      <w:bCs/>
      <w:szCs w:val="28"/>
      <w:lang w:eastAsia="pt-BR"/>
    </w:rPr>
  </w:style>
  <w:style w:type="character" w:styleId="Nivel01TituloChar" w:customStyle="1">
    <w:name w:val="Nivel_01_Titulo Char"/>
    <w:basedOn w:val="Nivel01Char"/>
    <w:link w:val="Nivel01Titulo"/>
    <w:qFormat/>
    <w:rsid w:val="00e967ea"/>
    <w:rPr>
      <w:rFonts w:ascii="Arial" w:hAnsi="Arial" w:eastAsia="Arial" w:cs="" w:cstheme="majorBidi"/>
      <w:b/>
      <w:i w:val="false"/>
      <w:iCs/>
      <w:color w:themeColor="text1" w:val="000000"/>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val="000000"/>
      <w:szCs w:val="28"/>
      <w:lang w:eastAsia="pt-BR"/>
    </w:rPr>
  </w:style>
  <w:style w:type="character" w:styleId="Nivel4Char" w:customStyle="1">
    <w:name w:val="Nivel 4 Char"/>
    <w:basedOn w:val="DefaultParagraphFont"/>
    <w:link w:val="Nivel4"/>
    <w:qFormat/>
    <w:rsid w:val="00711273"/>
    <w:rPr>
      <w:rFonts w:ascii="Arial" w:hAnsi="Arial" w:cs="Arial"/>
      <w:bCs/>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uiPriority w:val="99"/>
    <w:semiHidden/>
    <w:unhideWhenUsed/>
    <w:qFormat/>
    <w:rsid w:val="00d30a43"/>
    <w:rPr>
      <w:color w:themeColor="followedHyperlink" w:val="800080"/>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OpcionalChar" w:customStyle="1">
    <w:name w:val="Nivel 2-Opcional Char"/>
    <w:basedOn w:val="DefaultParagraphFont"/>
    <w:qFormat/>
    <w:locked/>
    <w:rsid w:val="00ee5824"/>
    <w:rPr>
      <w:rFonts w:ascii="Arial" w:hAnsi="Arial" w:eastAsia="Arial" w:cs="Arial"/>
      <w:i/>
      <w:color w:val="FF0000"/>
      <w:shd w:fill="76923C" w:val="clear"/>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color w:val="FF0000"/>
      <w:shd w:fill="76923C" w:val="clear"/>
      <w:lang w:eastAsia="pt-BR"/>
    </w:rPr>
  </w:style>
  <w:style w:type="character" w:styleId="Nvel3OpcionalChar" w:customStyle="1">
    <w:name w:val="Nível 3 Opcional Char"/>
    <w:basedOn w:val="DefaultParagraphFont"/>
    <w:link w:val="Nvel3Opcional"/>
    <w:qFormat/>
    <w:rsid w:val="00a831d9"/>
    <w:rPr>
      <w:rFonts w:ascii="Arial" w:hAnsi="Arial" w:eastAsia="Times New Roman" w:cs="Tahoma"/>
      <w:i/>
      <w:iCs/>
      <w:color w:val="FF0000"/>
      <w:szCs w:val="24"/>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057363"/>
    <w:rPr>
      <w:rFonts w:ascii="Arial" w:hAnsi="Arial" w:eastAsia="Cambria" w:cs="Arial" w:eastAsiaTheme="minorHAnsi"/>
      <w:b/>
      <w:bCs/>
      <w:i/>
      <w:iCs/>
      <w:color w:val="FF0000"/>
      <w:sz w:val="24"/>
      <w:szCs w:val="24"/>
      <w:lang w:eastAsia="pt-BR"/>
    </w:rPr>
  </w:style>
  <w:style w:type="character" w:styleId="Nvel02Char" w:customStyle="1">
    <w:name w:val="Nível 02 Char"/>
    <w:basedOn w:val="Nivel2-OpcionalChar"/>
    <w:link w:val="Nvel02"/>
    <w:qFormat/>
    <w:rsid w:val="00ea1440"/>
    <w:rPr>
      <w:rFonts w:ascii="Arial" w:hAnsi="Arial" w:eastAsia="Arial" w:cs="Arial"/>
      <w:i w:val="false"/>
      <w:iCs/>
      <w:color w:val="FF0000"/>
      <w:shd w:fill="76923C" w:val="clear"/>
      <w:lang w:eastAsia="pt-BR"/>
    </w:rPr>
  </w:style>
  <w:style w:type="character" w:styleId="Nivel3-erroChar" w:customStyle="1">
    <w:name w:val="Nivel 3-erro Char"/>
    <w:basedOn w:val="DefaultParagraphFont"/>
    <w:qFormat/>
    <w:rsid w:val="00667c40"/>
    <w:rPr>
      <w:rFonts w:ascii="Arial" w:hAnsi="Arial" w:cs="Tahoma"/>
      <w:szCs w:val="24"/>
      <w:lang w:eastAsia="pt-BR"/>
    </w:rPr>
  </w:style>
  <w:style w:type="character" w:styleId="Nvel3-RChar" w:customStyle="1">
    <w:name w:val="Nível 3-R Char"/>
    <w:basedOn w:val="Nivel3-erroChar"/>
    <w:qFormat/>
    <w:rsid w:val="0074191c"/>
    <w:rPr>
      <w:rFonts w:ascii="Arial" w:hAnsi="Arial" w:cs="Arial"/>
      <w:i/>
      <w:iCs/>
      <w:color w:val="FF0000"/>
      <w:szCs w:val="24"/>
      <w:lang w:eastAsia="pt-BR"/>
    </w:rPr>
  </w:style>
  <w:style w:type="character" w:styleId="Nvel4-RChar" w:customStyle="1">
    <w:name w:val="Nível 4-R Char"/>
    <w:basedOn w:val="Nivel4Char"/>
    <w:qFormat/>
    <w:rsid w:val="00d16569"/>
    <w:rPr>
      <w:rFonts w:ascii="Arial" w:hAnsi="Arial" w:cs="Arial"/>
      <w:bCs/>
      <w:i/>
      <w:color w:val="FF0000"/>
      <w:lang w:eastAsia="pt-BR"/>
    </w:rPr>
  </w:style>
  <w:style w:type="character" w:styleId="Nvel1-SemNumChar" w:customStyle="1">
    <w:name w:val="Nível 1-Sem Num Char"/>
    <w:basedOn w:val="Nivel01Char"/>
    <w:qFormat/>
    <w:rsid w:val="00ee5824"/>
    <w:rPr>
      <w:rFonts w:ascii="Arial" w:hAnsi="Arial" w:eastAsia="Arial" w:cs="Arial"/>
      <w:b/>
      <w:i/>
      <w:iCs w:val="false"/>
      <w:color w:themeColor="text2" w:themeShade="bf" w:val="17365D"/>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8d252d"/>
    <w:rPr>
      <w:color w:val="605E5C"/>
      <w:shd w:fill="E1DFDD" w:val="clear"/>
    </w:rPr>
  </w:style>
  <w:style w:type="character" w:styleId="citao2Char" w:customStyle="1">
    <w:name w:val="citação 2 Char"/>
    <w:basedOn w:val="CitaoChar"/>
    <w:link w:val="citao2"/>
    <w:qFormat/>
    <w:rsid w:val="00573b28"/>
    <w:rPr>
      <w:rFonts w:ascii="Arial" w:hAnsi="Arial" w:eastAsia="Calibri" w:cs="Tahoma"/>
      <w:i/>
      <w:iCs/>
      <w:color w:val="000000"/>
      <w:szCs w:val="24"/>
      <w:shd w:fill="FFFFCC" w:val="clear"/>
    </w:rPr>
  </w:style>
  <w:style w:type="character" w:styleId="Nvel1-SemNumeraoChar" w:customStyle="1">
    <w:name w:val="Nível 1-Sem Numeração Char"/>
    <w:basedOn w:val="Nvel1-SemNumChar"/>
    <w:qFormat/>
    <w:rsid w:val="00e93d90"/>
    <w:rPr>
      <w:rFonts w:ascii="Arial" w:hAnsi="Arial" w:eastAsia="Arial" w:cs="Arial"/>
      <w:b/>
      <w:i w:val="false"/>
      <w:iCs w:val="false"/>
      <w:color w:themeColor="text2" w:themeShade="bf" w:val="17365D"/>
      <w:spacing w:val="5"/>
      <w:kern w:val="2"/>
      <w:sz w:val="52"/>
      <w:szCs w:val="52"/>
      <w:lang w:eastAsia="pt-BR"/>
    </w:rPr>
  </w:style>
  <w:style w:type="character" w:styleId="MenoPendente6" w:customStyle="1">
    <w:name w:val="Menção Pendente6"/>
    <w:basedOn w:val="DefaultParagraphFont"/>
    <w:uiPriority w:val="99"/>
    <w:semiHidden/>
    <w:unhideWhenUsed/>
    <w:qFormat/>
    <w:rsid w:val="004b478e"/>
    <w:rPr>
      <w:color w:val="605E5C"/>
      <w:shd w:fill="E1DFDD" w:val="clear"/>
    </w:rPr>
  </w:style>
  <w:style w:type="character" w:styleId="AlteraesChar" w:customStyle="1">
    <w:name w:val="Alterações Char"/>
    <w:basedOn w:val="Nvel02Char"/>
    <w:link w:val="Alteraes"/>
    <w:uiPriority w:val="1"/>
    <w:qFormat/>
    <w:rsid w:val="00af5de1"/>
    <w:rPr>
      <w:rFonts w:ascii="Arial" w:hAnsi="Arial" w:eastAsia="Arial" w:cs="Arial"/>
      <w:i w:val="false"/>
      <w:iCs/>
      <w:color w:val="0000FF"/>
      <w:shd w:fill="76923C" w:val="clear"/>
      <w:lang w:eastAsia="pt-BR"/>
    </w:rPr>
  </w:style>
  <w:style w:type="character" w:styleId="Nivel3Char" w:customStyle="1">
    <w:name w:val="Nivel 3 Char"/>
    <w:basedOn w:val="DefaultParagraphFont"/>
    <w:link w:val="Nivel3"/>
    <w:qFormat/>
    <w:rsid w:val="00591ffe"/>
    <w:rPr>
      <w:rFonts w:ascii="Arial" w:hAnsi="Arial" w:cs="Tahoma"/>
      <w:szCs w:val="24"/>
      <w:lang w:eastAsia="pt-BR"/>
    </w:rPr>
  </w:style>
  <w:style w:type="character" w:styleId="UnresolvedMention" w:customStyle="1">
    <w:name w:val="Unresolved Mention"/>
    <w:basedOn w:val="DefaultParagraphFont"/>
    <w:uiPriority w:val="99"/>
    <w:semiHidden/>
    <w:unhideWhenUsed/>
    <w:qFormat/>
    <w:rsid w:val="00793206"/>
    <w:rPr>
      <w:color w:val="605E5C"/>
      <w:shd w:fill="E1DFDD" w:val="clear"/>
    </w:rPr>
  </w:style>
  <w:style w:type="character" w:styleId="Nvel2-OpcionalChar" w:customStyle="1">
    <w:name w:val="Nível 2-Opcional Char"/>
    <w:basedOn w:val="Nvel02Char"/>
    <w:qFormat/>
    <w:rsid w:val="00a70641"/>
    <w:rPr>
      <w:rFonts w:ascii="Arial" w:hAnsi="Arial" w:eastAsia="Arial" w:cs="Arial"/>
      <w:i/>
      <w:iCs/>
      <w:color w:val="FF0000"/>
      <w:shd w:fill="76923C" w:val="clear"/>
      <w:lang w:eastAsia="pt-BR"/>
    </w:rPr>
  </w:style>
  <w:style w:type="character" w:styleId="Nvel3-OpcionalChar" w:customStyle="1">
    <w:name w:val="Nível 3-Opcional Char"/>
    <w:basedOn w:val="Nivel3Char"/>
    <w:qFormat/>
    <w:rsid w:val="00a70641"/>
    <w:rPr>
      <w:rFonts w:ascii="Arial" w:hAnsi="Arial" w:cs="Tahoma"/>
      <w:i/>
      <w:color w:val="FF0000"/>
      <w:szCs w:val="24"/>
      <w:lang w:eastAsia="pt-BR"/>
    </w:rPr>
  </w:style>
  <w:style w:type="character" w:styleId="Nvel1-SemBlackChar" w:customStyle="1">
    <w:name w:val="Nível 1-Sem Black Char"/>
    <w:basedOn w:val="DefaultParagraphFont"/>
    <w:uiPriority w:val="1"/>
    <w:qFormat/>
    <w:rsid w:val="00243342"/>
    <w:rPr>
      <w:rFonts w:ascii="Arial" w:hAnsi="Arial" w:eastAsia="" w:cs="Arial" w:eastAsiaTheme="majorEastAsia"/>
      <w:b/>
      <w:bCs/>
      <w:lang w:eastAsia="pt-BR"/>
    </w:rPr>
  </w:style>
  <w:style w:type="character" w:styleId="Nivel2Char" w:customStyle="1">
    <w:name w:val="Nivel 2 Char"/>
    <w:basedOn w:val="DefaultParagraphFont"/>
    <w:link w:val="Nivel2"/>
    <w:qFormat/>
    <w:locked/>
    <w:rsid w:val="00196a7f"/>
    <w:rPr>
      <w:rFonts w:ascii="Arial" w:hAnsi="Arial" w:eastAsia="Arial" w:cs="Arial"/>
      <w:lang w:eastAsia="pt-BR"/>
    </w:rPr>
  </w:style>
  <w:style w:type="character" w:styleId="Nvel2-RedChar" w:customStyle="1">
    <w:name w:val="Nível 2 -Red Char"/>
    <w:basedOn w:val="Nivel2Char"/>
    <w:qFormat/>
    <w:rsid w:val="00196a7f"/>
    <w:rPr>
      <w:rFonts w:ascii="Arial" w:hAnsi="Arial" w:eastAsia="Arial" w:cs="Arial"/>
      <w:i/>
      <w:iCs/>
      <w:color w:val="FF0000"/>
      <w:lang w:eastAsia="pt-BR"/>
    </w:rPr>
  </w:style>
  <w:style w:type="character" w:styleId="Mentionnonrsolue1" w:customStyle="1">
    <w:name w:val="Mention non résolue1"/>
    <w:basedOn w:val="DefaultParagraphFont"/>
    <w:uiPriority w:val="99"/>
    <w:semiHidden/>
    <w:unhideWhenUsed/>
    <w:qFormat/>
    <w:rsid w:val="00196a7f"/>
    <w:rPr>
      <w:color w:val="605E5C"/>
      <w:shd w:fill="E1DFDD" w:val="clear"/>
    </w:rPr>
  </w:style>
  <w:style w:type="character" w:styleId="findhit" w:customStyle="1">
    <w:name w:val="findhit"/>
    <w:basedOn w:val="DefaultParagraphFont"/>
    <w:qFormat/>
    <w:rsid w:val="00196a7f"/>
    <w:rPr/>
  </w:style>
  <w:style w:type="character" w:styleId="Meno1" w:customStyle="1">
    <w:name w:val="Menção1"/>
    <w:basedOn w:val="DefaultParagraphFont"/>
    <w:uiPriority w:val="99"/>
    <w:unhideWhenUsed/>
    <w:qFormat/>
    <w:rsid w:val="00196a7f"/>
    <w:rPr>
      <w:color w:val="2B579A"/>
      <w:shd w:fill="E6E6E6" w:val="clear"/>
    </w:rPr>
  </w:style>
  <w:style w:type="character" w:styleId="Nvel1-SemNumPretoChar" w:customStyle="1">
    <w:name w:val="Nível 1-Sem Num Preto Char"/>
    <w:basedOn w:val="Nvel1-SemNumChar"/>
    <w:qFormat/>
    <w:rsid w:val="00196a7f"/>
    <w:rPr>
      <w:rFonts w:ascii="Arial" w:hAnsi="Arial" w:eastAsia="" w:cs="Arial" w:eastAsiaTheme="majorEastAsia"/>
      <w:b/>
      <w:bCs/>
      <w:i w:val="false"/>
      <w:iCs/>
      <w:color w:themeColor="text2" w:themeShade="bf" w:val="17365D"/>
      <w:spacing w:val="5"/>
      <w:kern w:val="2"/>
      <w:sz w:val="52"/>
      <w:szCs w:val="52"/>
      <w:lang w:eastAsia="zh-CN" w:bidi="hi-IN"/>
    </w:rPr>
  </w:style>
  <w:style w:type="character" w:styleId="cf01" w:customStyle="1">
    <w:name w:val="cf01"/>
    <w:basedOn w:val="DefaultParagraphFont"/>
    <w:qFormat/>
    <w:rsid w:val="00196a7f"/>
    <w:rPr>
      <w:rFonts w:ascii="Segoe UI" w:hAnsi="Segoe UI" w:cs="Segoe UI"/>
      <w:b/>
      <w:bCs/>
      <w:i/>
      <w:iCs/>
      <w:sz w:val="18"/>
      <w:szCs w:val="18"/>
    </w:rPr>
  </w:style>
  <w:style w:type="character" w:styleId="TextodecomentrioChar1" w:customStyle="1">
    <w:name w:val="Texto de comentário Char1"/>
    <w:basedOn w:val="DefaultParagraphFont"/>
    <w:uiPriority w:val="99"/>
    <w:qFormat/>
    <w:rsid w:val="00196a7f"/>
    <w:rPr>
      <w:rFonts w:ascii="Ecofont_Spranq_eco_Sans" w:hAnsi="Ecofont_Spranq_eco_Sans" w:cs="Tahoma"/>
      <w:lang w:eastAsia="pt-BR"/>
    </w:rPr>
  </w:style>
  <w:style w:type="character" w:styleId="Nvel4-RedChar" w:customStyle="1">
    <w:name w:val="Nível 4-Red Char"/>
    <w:basedOn w:val="DefaultParagraphFont"/>
    <w:qFormat/>
    <w:rsid w:val="00196a7f"/>
    <w:rPr>
      <w:rFonts w:ascii="Arial" w:hAnsi="Arial" w:eastAsia="MS Mincho" w:cs="Arial"/>
      <w:iCs/>
      <w:color w:val="FF0000"/>
    </w:rPr>
  </w:style>
  <w:style w:type="character" w:styleId="Nivel4Char1" w:customStyle="1">
    <w:name w:val="Nivel 4 Char1"/>
    <w:basedOn w:val="DefaultParagraphFont"/>
    <w:qFormat/>
    <w:rsid w:val="00196a7f"/>
    <w:rPr>
      <w:rFonts w:ascii="Arial" w:hAnsi="Arial" w:cs="Arial"/>
      <w:color w:val="000000"/>
      <w:lang w:eastAsia="pt-BR"/>
    </w:rPr>
  </w:style>
  <w:style w:type="character" w:styleId="Estilo7Char" w:customStyle="1">
    <w:name w:val="Estilo7 Char"/>
    <w:basedOn w:val="Nivel2Char"/>
    <w:link w:val="Estilo7"/>
    <w:qFormat/>
    <w:rsid w:val="00196a7f"/>
    <w:rPr>
      <w:rFonts w:ascii="Arial" w:hAnsi="Arial" w:eastAsia="Arial" w:cs="Arial"/>
      <w:i/>
      <w:color w:val="FF0000"/>
      <w:lang w:eastAsia="pt-BR"/>
    </w:rPr>
  </w:style>
  <w:style w:type="character" w:styleId="Estilo8Char" w:customStyle="1">
    <w:name w:val="Estilo8 Char"/>
    <w:basedOn w:val="Nivel3Char"/>
    <w:link w:val="Estilo8"/>
    <w:qFormat/>
    <w:rsid w:val="00196a7f"/>
    <w:rPr>
      <w:rFonts w:ascii="Arial" w:hAnsi="Arial" w:cs="Arial"/>
      <w:i/>
      <w:color w:val="FF0000"/>
      <w:szCs w:val="24"/>
      <w:lang w:eastAsia="pt-BR"/>
    </w:rPr>
  </w:style>
  <w:style w:type="character" w:styleId="Nivel5Char" w:customStyle="1">
    <w:name w:val="Nivel 5 Char"/>
    <w:basedOn w:val="Nivel4Char"/>
    <w:link w:val="Nivel5"/>
    <w:qFormat/>
    <w:rsid w:val="00196a7f"/>
    <w:rPr>
      <w:rFonts w:ascii="Arial" w:hAnsi="Arial" w:cs="Arial"/>
      <w:bCs/>
      <w:i/>
      <w:color w:val="FF0000"/>
      <w:lang w:eastAsia="pt-BR"/>
    </w:rPr>
  </w:style>
  <w:style w:type="character" w:styleId="Estilo9Char" w:customStyle="1">
    <w:name w:val="Estilo9 Char"/>
    <w:basedOn w:val="Nivel5Char"/>
    <w:link w:val="Estilo9"/>
    <w:qFormat/>
    <w:rsid w:val="00196a7f"/>
    <w:rPr>
      <w:rFonts w:ascii="Arial" w:hAnsi="Arial" w:cs="Arial"/>
      <w:bCs/>
      <w:i w:val="false"/>
      <w:color w:val="FF0000"/>
      <w:szCs w:val="24"/>
      <w:lang w:eastAsia="pt-BR"/>
    </w:rPr>
  </w:style>
  <w:style w:type="character" w:styleId="Hyperlink">
    <w:name w:val="Hyperlink"/>
    <w:rPr>
      <w:color w:val="000080"/>
      <w:u w:val="single"/>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rPr>
  </w:style>
  <w:style w:type="paragraph" w:styleId="ndice">
    <w:name w:val="Índice"/>
    <w:basedOn w:val="Normal"/>
    <w:qFormat/>
    <w:pPr>
      <w:suppressLineNumbers/>
    </w:pPr>
    <w:rPr>
      <w:rFonts w:cs="Lucida Sans"/>
    </w:rPr>
  </w:style>
  <w:style w:type="paragraph" w:styleId="Title">
    <w:name w:val="Title"/>
    <w:basedOn w:val="Normal"/>
    <w:next w:val="BodyText"/>
    <w:link w:val="TtuloChar"/>
    <w:qFormat/>
    <w:rsid w:val="007f77ad"/>
    <w:pPr>
      <w:pBdr>
        <w:bottom w:val="single" w:sz="8" w:space="4" w:color="4F81BD"/>
      </w:pBdr>
      <w:spacing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ndiceuser" w:customStyle="1">
    <w:name w:val="Índice (user)"/>
    <w:basedOn w:val="Normal"/>
    <w:qFormat/>
    <w:pPr>
      <w:suppressLineNumbers/>
    </w:pPr>
    <w:rPr>
      <w:rFonts w:cs="Lucida Sans"/>
    </w:rPr>
  </w:style>
  <w:style w:type="paragraph" w:styleId="ListParagraph">
    <w:name w:val="List Paragraph"/>
    <w:basedOn w:val="Normal"/>
    <w:link w:val="PargrafodaListaChar"/>
    <w:uiPriority w:val="34"/>
    <w:qFormat/>
    <w:rsid w:val="004773fc"/>
    <w:pPr>
      <w:spacing w:before="0" w:after="0"/>
      <w:ind w:start="72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Header">
    <w:name w:val="header"/>
    <w:basedOn w:val="Normal"/>
    <w:link w:val="CabealhoChar"/>
    <w:uiPriority w:val="99"/>
    <w:rsid w:val="00ca24fb"/>
    <w:pPr>
      <w:tabs>
        <w:tab w:val="clear" w:pos="709"/>
        <w:tab w:val="center" w:pos="4252" w:leader="none"/>
        <w:tab w:val="right" w:pos="8504" w:leader="none"/>
      </w:tabs>
    </w:pPr>
    <w:rPr/>
  </w:style>
  <w:style w:type="paragraph" w:styleId="Footer">
    <w:name w:val="footer"/>
    <w:basedOn w:val="Normal"/>
    <w:link w:val="RodapChar"/>
    <w:uiPriority w:val="99"/>
    <w:rsid w:val="00ca24fb"/>
    <w:pPr>
      <w:tabs>
        <w:tab w:val="clear" w:pos="709"/>
        <w:tab w:val="center" w:pos="4252" w:leader="none"/>
        <w:tab w:val="right" w:pos="8504" w:leader="none"/>
      </w:tabs>
    </w:pPr>
    <w:rPr/>
  </w:style>
  <w:style w:type="paragraph" w:styleId="Comment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CommentText"/>
    <w:link w:val="AssuntodocomentrioChar"/>
    <w:uiPriority w:val="99"/>
    <w:semiHidden/>
    <w:unhideWhenUsed/>
    <w:qFormat/>
    <w:rsid w:val="00430fdb"/>
    <w:pPr/>
    <w:rPr>
      <w:b/>
      <w:bCs/>
    </w:rPr>
  </w:style>
  <w:style w:type="paragraph" w:styleId="Nivel01" w:customStyle="1">
    <w:name w:val="Nivel 01"/>
    <w:basedOn w:val="ListParagraph"/>
    <w:next w:val="Normal"/>
    <w:link w:val="Nivel01Char"/>
    <w:autoRedefine/>
    <w:qFormat/>
    <w:rsid w:val="003b3af3"/>
    <w:pPr>
      <w:spacing w:lineRule="auto" w:line="276" w:before="360" w:after="120"/>
      <w:ind w:hanging="357" w:start="357"/>
      <w:contextualSpacing/>
      <w:jc w:val="both"/>
      <w:outlineLvl w:val="0"/>
    </w:pPr>
    <w:rPr>
      <w:rFonts w:ascii="Arial" w:hAnsi="Arial" w:eastAsia="Arial" w:cs="Arial"/>
      <w:b/>
      <w:iCs/>
      <w:sz w:val="20"/>
      <w:szCs w:val="20"/>
    </w:rPr>
  </w:style>
  <w:style w:type="paragraph" w:styleId="Nivel01Titulo" w:customStyle="1">
    <w:name w:val="Nivel_01_Titulo"/>
    <w:basedOn w:val="Nivel01"/>
    <w:link w:val="Nivel01TituloChar"/>
    <w:qFormat/>
    <w:rsid w:val="00196a7f"/>
    <w:pPr>
      <w:jc w:val="start"/>
    </w:pPr>
    <w:rPr>
      <w:rFonts w:cs="" w:cstheme="majorBidi"/>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eastAsia="zh-CN" w:bidi="hi-IN" w:val="pt-BR"/>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196a7f"/>
    <w:pPr>
      <w:spacing w:lineRule="auto" w:line="276"/>
      <w:ind w:hanging="357" w:start="357"/>
      <w:jc w:val="both"/>
    </w:pPr>
    <w:rPr>
      <w:rFonts w:cs="Arial"/>
      <w:bCs w:val="false"/>
      <w:color w:val="000000"/>
    </w:rPr>
  </w:style>
  <w:style w:type="paragraph" w:styleId="PargrafodaLista1" w:customStyle="1">
    <w:name w:val="Parágrafo da Lista1"/>
    <w:basedOn w:val="Normal"/>
    <w:qFormat/>
    <w:rsid w:val="00d30a43"/>
    <w:pPr>
      <w:ind w:start="720"/>
    </w:pPr>
    <w:rPr>
      <w:rFonts w:eastAsia="Times New Roman" w:cs="Ecofont_Spranq_eco_Sans"/>
    </w:rPr>
  </w:style>
  <w:style w:type="paragraph" w:styleId="Nivel2-Opcional" w:customStyle="1">
    <w:name w:val="Nivel 2-Opcional"/>
    <w:basedOn w:val="Normal"/>
    <w:autoRedefine/>
    <w:qFormat/>
    <w:rsid w:val="00ee5824"/>
    <w:pPr>
      <w:shd w:val="clear" w:color="auto" w:fill="76923C" w:themeFill="accent3" w:themeFillShade="bf"/>
      <w:spacing w:lineRule="auto" w:line="276" w:before="120" w:after="120"/>
      <w:jc w:val="both"/>
    </w:pPr>
    <w:rPr>
      <w:rFonts w:ascii="Arial" w:hAnsi="Arial" w:eastAsia="Arial" w:cs="Arial"/>
      <w:i/>
      <w:color w:val="FF0000"/>
      <w:sz w:val="20"/>
      <w:szCs w:val="20"/>
    </w:rPr>
  </w:style>
  <w:style w:type="paragraph" w:styleId="Nivel11" w:customStyle="1">
    <w:name w:val="Nivel 1"/>
    <w:basedOn w:val="Nivel2-Opcional"/>
    <w:qFormat/>
    <w:rsid w:val="00196a7f"/>
    <w:pPr>
      <w:shd w:val="clear" w:color="auto" w:fill="76923C"/>
      <w:ind w:hanging="360" w:start="360"/>
    </w:pPr>
    <w:rPr>
      <w:b/>
    </w:rPr>
  </w:style>
  <w:style w:type="paragraph" w:styleId="Nivel3-erro" w:customStyle="1">
    <w:name w:val="Nivel 3-erro"/>
    <w:basedOn w:val="Nivel3"/>
    <w:autoRedefine/>
    <w:qFormat/>
    <w:rsid w:val="00196a7f"/>
    <w:pPr>
      <w:ind w:start="993"/>
    </w:pPr>
    <w:rPr/>
  </w:style>
  <w:style w:type="paragraph" w:styleId="Nivel4" w:customStyle="1">
    <w:name w:val="Nivel 4"/>
    <w:basedOn w:val="Nvel4-R"/>
    <w:link w:val="Nivel4Char"/>
    <w:autoRedefine/>
    <w:qFormat/>
    <w:rsid w:val="00196a7f"/>
    <w:pPr/>
    <w:rPr>
      <w:i w:val="false"/>
      <w:color w:val="auto"/>
    </w:rPr>
  </w:style>
  <w:style w:type="paragraph" w:styleId="Nivel5" w:customStyle="1">
    <w:name w:val="Nivel 5"/>
    <w:basedOn w:val="Nvel4-R"/>
    <w:link w:val="Nivel5Char"/>
    <w:autoRedefine/>
    <w:qFormat/>
    <w:rsid w:val="00196a7f"/>
    <w:pPr>
      <w:ind w:start="851"/>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start="416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start"/>
    </w:pPr>
    <w:rPr>
      <w:rFonts w:ascii="Ecofont_Spranq_eco_Sans" w:hAnsi="Ecofont_Spranq_eco_Sans" w:eastAsia="Times New Roman" w:cs="Tahoma"/>
      <w:color w:val="auto"/>
      <w:kern w:val="0"/>
      <w:sz w:val="24"/>
      <w:szCs w:val="24"/>
      <w:lang w:eastAsia="pt-BR" w:val="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start"/>
    </w:pPr>
    <w:rPr>
      <w:rFonts w:eastAsia="Times New Roman" w:ascii="Times New Roman" w:hAnsi="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Opcional"/>
    <w:link w:val="Nvel2OpcionalChar"/>
    <w:qFormat/>
    <w:rsid w:val="00196a7f"/>
    <w:pPr>
      <w:shd w:val="clear" w:color="auto" w:fill="76923C"/>
      <w:ind w:hanging="432" w:start="432"/>
    </w:pPr>
    <w:rPr>
      <w:rFonts w:eastAsia="Times New Roman"/>
      <w:i w:val="false"/>
    </w:rPr>
  </w:style>
  <w:style w:type="paragraph" w:styleId="Nvel3Opcional" w:customStyle="1">
    <w:name w:val="Nível 3 Opcional"/>
    <w:basedOn w:val="Nivel3-erro"/>
    <w:link w:val="Nvel3OpcionalChar"/>
    <w:qFormat/>
    <w:rsid w:val="00196a7f"/>
    <w:pPr>
      <w:ind w:hanging="504" w:start="1072"/>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start"/>
    </w:pPr>
    <w:rPr>
      <w:rFonts w:ascii="Liberation Serif" w:hAnsi="Liberation Serif" w:eastAsia="NSimSun" w:cs="Lucida Sans"/>
      <w:color w:val="auto"/>
      <w:kern w:val="2"/>
      <w:sz w:val="24"/>
      <w:szCs w:val="24"/>
      <w:lang w:eastAsia="zh-CN" w:bidi="hi-IN" w:val="pt-BR"/>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autoRedefine/>
    <w:qFormat/>
    <w:rsid w:val="00196a7f"/>
    <w:pPr>
      <w:spacing w:lineRule="auto" w:line="259" w:before="60" w:after="60"/>
      <w:ind w:start="0"/>
      <w:contextualSpacing/>
      <w:jc w:val="center"/>
    </w:pPr>
    <w:rPr>
      <w:rFonts w:ascii="Arial" w:hAnsi="Arial" w:eastAsia="Cambria" w:cs="Arial" w:eastAsiaTheme="minorHAnsi"/>
      <w:b/>
      <w:bCs/>
      <w:i/>
      <w:iCs/>
      <w:color w:val="FF0000"/>
      <w:sz w:val="20"/>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02" w:customStyle="1">
    <w:name w:val="Nível 02"/>
    <w:basedOn w:val="Nivel2-Opcional"/>
    <w:link w:val="Nvel02Char"/>
    <w:autoRedefine/>
    <w:qFormat/>
    <w:rsid w:val="00ea1440"/>
    <w:pPr>
      <w:shd w:val="clear" w:color="auto" w:fill="auto"/>
    </w:pPr>
    <w:rPr>
      <w:i w:val="false"/>
      <w:iCs/>
      <w:color w:val="auto"/>
    </w:rPr>
  </w:style>
  <w:style w:type="paragraph" w:styleId="Nvel3-R" w:customStyle="1">
    <w:name w:val="Nível 3-R"/>
    <w:basedOn w:val="Nivel3-erro"/>
    <w:autoRedefine/>
    <w:qFormat/>
    <w:rsid w:val="00196a7f"/>
    <w:pPr>
      <w:ind w:hanging="504" w:start="1638"/>
    </w:pPr>
    <w:rPr>
      <w:rFonts w:cs="Arial"/>
      <w:i/>
      <w:iCs/>
      <w:color w:val="FF0000"/>
    </w:rPr>
  </w:style>
  <w:style w:type="paragraph" w:styleId="Nvel4-R" w:customStyle="1">
    <w:name w:val="Nível 4-R"/>
    <w:basedOn w:val="Nvel3-Opcional"/>
    <w:autoRedefine/>
    <w:qFormat/>
    <w:rsid w:val="00196a7f"/>
    <w:pPr>
      <w:ind w:start="567"/>
    </w:pPr>
    <w:rPr>
      <w:rFonts w:cs="Arial"/>
      <w:bCs/>
      <w:szCs w:val="20"/>
    </w:rPr>
  </w:style>
  <w:style w:type="paragraph" w:styleId="Nvel1-SemNum" w:customStyle="1">
    <w:name w:val="Nível 1-Sem Num"/>
    <w:basedOn w:val="Nivel01"/>
    <w:autoRedefine/>
    <w:qFormat/>
    <w:rsid w:val="00196a7f"/>
    <w:pPr>
      <w:spacing w:before="120" w:after="120"/>
      <w:contextualSpacing/>
      <w:outlineLvl w:val="1"/>
    </w:pPr>
    <w:rPr>
      <w:i/>
      <w:iCs w:val="false"/>
      <w:color w:val="FF0000"/>
    </w:rPr>
  </w:style>
  <w:style w:type="paragraph" w:styleId="citao2" w:customStyle="1">
    <w:name w:val="citação 2"/>
    <w:basedOn w:val="Quote"/>
    <w:link w:val="citao2Char"/>
    <w:qFormat/>
    <w:rsid w:val="00dc41dd"/>
    <w:pPr/>
    <w:rPr>
      <w:szCs w:val="20"/>
    </w:rPr>
  </w:style>
  <w:style w:type="paragraph" w:styleId="Prembulo" w:customStyle="1">
    <w:name w:val="Preâmbulo"/>
    <w:basedOn w:val="Normal"/>
    <w:link w:val="PrembuloChar"/>
    <w:qFormat/>
    <w:rsid w:val="00bb19e4"/>
    <w:pPr>
      <w:spacing w:lineRule="auto" w:line="360" w:before="480" w:after="120"/>
      <w:ind w:start="4253" w:end="-17"/>
      <w:jc w:val="both"/>
    </w:pPr>
    <w:rPr>
      <w:rFonts w:ascii="Arial" w:hAnsi="Arial" w:eastAsia="Arial" w:cs="Arial"/>
      <w:bCs/>
      <w:sz w:val="20"/>
      <w:szCs w:val="20"/>
    </w:rPr>
  </w:style>
  <w:style w:type="paragraph" w:styleId="Nvel1-SemNumerao" w:customStyle="1">
    <w:name w:val="Nível 1-Sem Numeração"/>
    <w:basedOn w:val="Nvel1-SemNum"/>
    <w:autoRedefine/>
    <w:qFormat/>
    <w:rsid w:val="00e93d90"/>
    <w:pPr/>
    <w:rPr>
      <w:i w:val="false"/>
      <w:color w:val="auto"/>
    </w:rPr>
  </w:style>
  <w:style w:type="paragraph" w:styleId="Nivel3" w:customStyle="1">
    <w:name w:val="Nivel 3"/>
    <w:basedOn w:val="Normal"/>
    <w:link w:val="Nivel3Char"/>
    <w:qFormat/>
    <w:rsid w:val="00196a7f"/>
    <w:pPr>
      <w:spacing w:lineRule="auto" w:line="276" w:before="120" w:after="120"/>
      <w:ind w:start="284"/>
      <w:jc w:val="both"/>
    </w:pPr>
    <w:rPr>
      <w:rFonts w:ascii="Arial" w:hAnsi="Arial"/>
      <w:sz w:val="20"/>
    </w:rPr>
  </w:style>
  <w:style w:type="paragraph" w:styleId="Alteraes" w:customStyle="1">
    <w:name w:val="Alterações"/>
    <w:basedOn w:val="Nvel02"/>
    <w:link w:val="AlteraesChar"/>
    <w:uiPriority w:val="1"/>
    <w:qFormat/>
    <w:rsid w:val="00196a7f"/>
    <w:pPr>
      <w:shd w:val="clear" w:color="auto" w:fill="FFFFFF"/>
    </w:pPr>
    <w:rPr>
      <w:color w:val="0000FF"/>
    </w:rPr>
  </w:style>
  <w:style w:type="paragraph" w:styleId="Contedodatabelauser" w:customStyle="1">
    <w:name w:val="Conteúdo da tabela (user)"/>
    <w:basedOn w:val="Normal"/>
    <w:qFormat/>
    <w:rsid w:val="005f7663"/>
    <w:pPr>
      <w:widowControl w:val="false"/>
      <w:suppressLineNumbers/>
      <w:textAlignment w:val="baseline"/>
    </w:pPr>
    <w:rPr>
      <w:rFonts w:ascii="Times New Roman" w:hAnsi="Times New Roman" w:eastAsia="SimSun"/>
      <w:kern w:val="2"/>
      <w:lang w:eastAsia="zh-CN" w:bidi="hi-IN"/>
    </w:rPr>
  </w:style>
  <w:style w:type="paragraph" w:styleId="Nivel21" w:customStyle="1">
    <w:name w:val="Nivel 21"/>
    <w:basedOn w:val="Normal"/>
    <w:autoRedefine/>
    <w:qFormat/>
    <w:rsid w:val="00591ffe"/>
    <w:pPr>
      <w:shd w:val="clear" w:color="auto" w:fill="948A54" w:themeFill="background2" w:themeFillShade="80"/>
      <w:spacing w:lineRule="auto" w:line="276" w:before="120" w:after="120"/>
      <w:ind w:hanging="432" w:start="999"/>
      <w:jc w:val="both"/>
    </w:pPr>
    <w:rPr>
      <w:rFonts w:ascii="Arial" w:hAnsi="Arial" w:eastAsia="Arial" w:cs="Arial"/>
      <w:color w:themeColor="text1" w:val="000000"/>
      <w:sz w:val="20"/>
      <w:szCs w:val="20"/>
    </w:rPr>
  </w:style>
  <w:style w:type="paragraph" w:styleId="Nvel2-Opcional" w:customStyle="1">
    <w:name w:val="Nível 2-Opcional"/>
    <w:basedOn w:val="Nvel02"/>
    <w:qFormat/>
    <w:rsid w:val="00a70641"/>
    <w:pPr>
      <w:shd w:val="clear" w:color="auto" w:fill="FFFFFF"/>
    </w:pPr>
    <w:rPr>
      <w:i/>
      <w:color w:val="FF0000"/>
    </w:rPr>
  </w:style>
  <w:style w:type="paragraph" w:styleId="Nvel3-Opcional" w:customStyle="1">
    <w:name w:val="Nível 3-Opcional"/>
    <w:basedOn w:val="Nivel3"/>
    <w:qFormat/>
    <w:rsid w:val="00a70641"/>
    <w:pPr/>
    <w:rPr>
      <w:i/>
      <w:color w:val="FF0000"/>
    </w:rPr>
  </w:style>
  <w:style w:type="paragraph" w:styleId="Nvel1-SemBlack" w:customStyle="1">
    <w:name w:val="Nível 1-Sem Black"/>
    <w:basedOn w:val="Normal"/>
    <w:uiPriority w:val="1"/>
    <w:qFormat/>
    <w:rsid w:val="00243342"/>
    <w:pPr>
      <w:keepNext w:val="true"/>
      <w:keepLines/>
      <w:tabs>
        <w:tab w:val="clear" w:pos="709"/>
        <w:tab w:val="left" w:pos="567" w:leader="none"/>
      </w:tabs>
      <w:spacing w:lineRule="auto" w:line="276" w:before="240" w:after="120"/>
      <w:jc w:val="both"/>
      <w:outlineLvl w:val="1"/>
    </w:pPr>
    <w:rPr>
      <w:rFonts w:ascii="Arial" w:hAnsi="Arial" w:eastAsia="" w:cs="Arial" w:eastAsiaTheme="majorEastAsia"/>
      <w:b/>
      <w:bCs/>
      <w:sz w:val="20"/>
      <w:szCs w:val="20"/>
    </w:rPr>
  </w:style>
  <w:style w:type="paragraph" w:styleId="Nivel2" w:customStyle="1">
    <w:name w:val="Nivel 2"/>
    <w:basedOn w:val="Normal"/>
    <w:link w:val="Nivel2Char"/>
    <w:autoRedefine/>
    <w:qFormat/>
    <w:rsid w:val="00196a7f"/>
    <w:pPr>
      <w:spacing w:lineRule="auto" w:line="288" w:before="120" w:after="120"/>
      <w:jc w:val="both"/>
    </w:pPr>
    <w:rPr>
      <w:rFonts w:ascii="Arial" w:hAnsi="Arial" w:eastAsia="Arial" w:cs="Arial"/>
      <w:sz w:val="20"/>
      <w:szCs w:val="20"/>
    </w:rPr>
  </w:style>
  <w:style w:type="paragraph" w:styleId="Nvel2-Red" w:customStyle="1">
    <w:name w:val="Nível 2 -Red"/>
    <w:basedOn w:val="Nivel2"/>
    <w:qFormat/>
    <w:rsid w:val="00196a7f"/>
    <w:pPr>
      <w:ind w:start="2558"/>
    </w:pPr>
    <w:rPr>
      <w:i/>
      <w:iCs/>
      <w:color w:val="FF0000"/>
    </w:rPr>
  </w:style>
  <w:style w:type="paragraph" w:styleId="Nvel1-SemNumPreto" w:customStyle="1">
    <w:name w:val="Nível 1-Sem Num Preto"/>
    <w:basedOn w:val="Nvel1-SemNum"/>
    <w:qFormat/>
    <w:rsid w:val="00196a7f"/>
    <w:pPr>
      <w:keepNext w:val="true"/>
      <w:keepLines/>
      <w:tabs>
        <w:tab w:val="clear" w:pos="709"/>
        <w:tab w:val="left" w:pos="567" w:leader="none"/>
      </w:tabs>
      <w:spacing w:before="240" w:after="120"/>
      <w:ind w:start="720"/>
      <w:contextualSpacing/>
    </w:pPr>
    <w:rPr>
      <w:rFonts w:eastAsia="" w:eastAsiaTheme="majorEastAsia"/>
      <w:bCs/>
      <w:i w:val="false"/>
      <w:iCs/>
      <w:spacing w:val="5"/>
      <w:kern w:val="2"/>
      <w:sz w:val="52"/>
      <w:szCs w:val="52"/>
      <w:lang w:eastAsia="zh-CN" w:bidi="hi-IN"/>
    </w:rPr>
  </w:style>
  <w:style w:type="paragraph" w:styleId="Nvel4-Red" w:customStyle="1">
    <w:name w:val="Nível 4-Red"/>
    <w:basedOn w:val="Nivel4"/>
    <w:autoRedefine/>
    <w:qFormat/>
    <w:rsid w:val="00196a7f"/>
    <w:pPr/>
    <w:rPr>
      <w:rFonts w:eastAsia="MS Mincho"/>
      <w:bCs w:val="false"/>
      <w:iCs/>
      <w:color w:val="FF0000"/>
      <w:lang w:eastAsia="en-US"/>
    </w:rPr>
  </w:style>
  <w:style w:type="paragraph" w:styleId="Estilo7" w:customStyle="1">
    <w:name w:val="Estilo7"/>
    <w:basedOn w:val="Nivel2"/>
    <w:link w:val="Estilo7Char"/>
    <w:qFormat/>
    <w:rsid w:val="00196a7f"/>
    <w:pPr/>
    <w:rPr>
      <w:i/>
      <w:color w:val="FF0000"/>
    </w:rPr>
  </w:style>
  <w:style w:type="paragraph" w:styleId="Estilo8" w:customStyle="1">
    <w:name w:val="Estilo8"/>
    <w:basedOn w:val="Nivel3"/>
    <w:link w:val="Estilo8Char"/>
    <w:qFormat/>
    <w:rsid w:val="00196a7f"/>
    <w:pPr>
      <w:ind w:start="1276"/>
    </w:pPr>
    <w:rPr>
      <w:rFonts w:cs="Arial"/>
      <w:i/>
      <w:color w:val="FF0000"/>
    </w:rPr>
  </w:style>
  <w:style w:type="paragraph" w:styleId="Estilo9" w:customStyle="1">
    <w:name w:val="Estilo9"/>
    <w:basedOn w:val="Nivel5"/>
    <w:link w:val="Estilo9Char"/>
    <w:qFormat/>
    <w:rsid w:val="00196a7f"/>
    <w:pPr>
      <w:ind w:hanging="360" w:start="1276"/>
    </w:pPr>
    <w:rPr>
      <w:i w:val="false"/>
      <w:szCs w:val="24"/>
    </w:rPr>
  </w:style>
  <w:style w:type="paragraph" w:styleId="EstiloNvel2-Redesquerda176cmPrimeiralinha0cm" w:customStyle="1">
    <w:name w:val="Estilo Nível 2 -Red + À esquerda:  176 cm Primeira linha:  0 cm"/>
    <w:basedOn w:val="Nvel2-Red"/>
    <w:qFormat/>
    <w:rsid w:val="00196a7f"/>
    <w:pPr>
      <w:ind w:start="999"/>
    </w:pPr>
    <w:rPr>
      <w:rFonts w:eastAsia="Times New Roman" w:cs="Times New Roman"/>
    </w:rPr>
  </w:style>
  <w:style w:type="paragraph" w:styleId="Textodecomentrio1" w:customStyle="1">
    <w:name w:val="Texto de comentário1"/>
    <w:basedOn w:val="Normal"/>
    <w:uiPriority w:val="99"/>
    <w:unhideWhenUsed/>
    <w:qFormat/>
    <w:rsid w:val="00196a7f"/>
    <w:pPr/>
    <w:rPr>
      <w:rFonts w:eastAsia="Calibri"/>
      <w:kern w:val="2"/>
      <w:sz w:val="22"/>
      <w:szCs w:val="22"/>
    </w:rPr>
  </w:style>
  <w:style w:type="paragraph" w:styleId="Ttulodetabelauser" w:customStyle="1">
    <w:name w:val="Título de tabela (user)"/>
    <w:basedOn w:val="Contedodatabelauser"/>
    <w:qFormat/>
    <w:pPr>
      <w:jc w:val="center"/>
    </w:pPr>
    <w:rPr>
      <w:b/>
      <w:bCs/>
    </w:rPr>
  </w:style>
  <w:style w:type="paragraph" w:styleId="Contedodatabela">
    <w:name w:val="Conteúdo da tabela"/>
    <w:basedOn w:val="Normal"/>
    <w:qFormat/>
    <w:pPr>
      <w:suppressAutoHyphens w:val="true"/>
    </w:pPr>
    <w:rPr/>
  </w:style>
  <w:style w:type="numbering" w:styleId="Semlista" w:default="1">
    <w:name w:val="Sem lista"/>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comments" Target="comment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TotalTime>
  <Application>LibreOffice/25.8.1.1$Windows_X86_64 LibreOffice_project/54047653041915e595ad4e45cccea684809c77b5</Application>
  <AppVersion>15.0000</AppVersion>
  <Pages>12</Pages>
  <Words>4670</Words>
  <Characters>26538</Characters>
  <CharactersWithSpaces>30871</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2026-03-11T20:31:00Z</dcterms:created>
  <dc:creator>Marcio Afonso da Silva</dc:creator>
  <dc:description/>
  <dc:language>pt-BR</dc:language>
  <cp:lastModifiedBy/>
  <dcterms:modified xsi:type="dcterms:W3CDTF">2026-03-11T19:53:49Z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