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media/image1.wmf" ContentType="image/x-wmf"/>
  <Override PartName="/word/media/image2.png" ContentType="image/png"/>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12" w:before="360" w:after="288"/>
        <w:jc w:val="center"/>
        <w:rPr>
          <w:rFonts w:ascii="Calibri" w:hAnsi="Calibri" w:cs="Arial"/>
          <w:b/>
          <w:b/>
          <w:bCs/>
          <w:i w:val="false"/>
          <w:i w:val="false"/>
          <w:iCs w:val="false"/>
          <w:color w:val="000000"/>
          <w:sz w:val="24"/>
          <w:szCs w:val="24"/>
        </w:rPr>
      </w:pPr>
      <w:r>
        <w:drawing>
          <wp:anchor behindDoc="0" distT="0" distB="0" distL="114300" distR="119380" simplePos="0" locked="0" layoutInCell="0" allowOverlap="1" relativeHeight="2">
            <wp:simplePos x="0" y="0"/>
            <wp:positionH relativeFrom="column">
              <wp:posOffset>2818130</wp:posOffset>
            </wp:positionH>
            <wp:positionV relativeFrom="paragraph">
              <wp:posOffset>8255</wp:posOffset>
            </wp:positionV>
            <wp:extent cx="737870" cy="805815"/>
            <wp:effectExtent l="0" t="0" r="0" b="0"/>
            <wp:wrapTopAndBottom/>
            <wp:docPr id="1" name="Imagem 18669637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866963775" descr=""/>
                    <pic:cNvPicPr>
                      <a:picLocks noChangeAspect="1" noChangeArrowheads="1"/>
                    </pic:cNvPicPr>
                  </pic:nvPicPr>
                  <pic:blipFill>
                    <a:blip r:embed="rId2"/>
                    <a:stretch>
                      <a:fillRect/>
                    </a:stretch>
                  </pic:blipFill>
                  <pic:spPr bwMode="auto">
                    <a:xfrm>
                      <a:off x="0" y="0"/>
                      <a:ext cx="737870" cy="805815"/>
                    </a:xfrm>
                    <a:prstGeom prst="rect">
                      <a:avLst/>
                    </a:prstGeom>
                  </pic:spPr>
                </pic:pic>
              </a:graphicData>
            </a:graphic>
          </wp:anchor>
        </w:drawing>
      </w:r>
      <w:r>
        <w:rPr>
          <w:rFonts w:cs="Arial" w:ascii="Calibri" w:hAnsi="Calibri"/>
          <w:b/>
          <w:bCs/>
          <w:i w:val="false"/>
          <w:iCs w:val="false"/>
          <w:color w:val="000000"/>
          <w:sz w:val="24"/>
          <w:szCs w:val="24"/>
        </w:rPr>
        <w:t>MINISTÉRIO DA DEFESA</w:t>
      </w:r>
    </w:p>
    <w:p>
      <w:pPr>
        <w:pStyle w:val="Default"/>
        <w:bidi w:val="0"/>
        <w:jc w:val="center"/>
        <w:rPr>
          <w:rFonts w:ascii="Calibri" w:hAnsi="Calibri"/>
          <w:b/>
          <w:b/>
          <w:bCs/>
          <w:i w:val="false"/>
          <w:i w:val="false"/>
          <w:iCs w:val="false"/>
          <w:sz w:val="24"/>
          <w:szCs w:val="24"/>
        </w:rPr>
      </w:pPr>
      <w:r>
        <w:rPr>
          <w:rFonts w:ascii="Calibri" w:hAnsi="Calibri"/>
          <w:b/>
          <w:bCs/>
          <w:i w:val="false"/>
          <w:iCs w:val="false"/>
          <w:sz w:val="24"/>
          <w:szCs w:val="24"/>
        </w:rPr>
        <w:t>MARINHA DO BRASIL</w:t>
      </w:r>
    </w:p>
    <w:p>
      <w:pPr>
        <w:pStyle w:val="Default"/>
        <w:widowControl/>
        <w:suppressAutoHyphens w:val="true"/>
        <w:overflowPunct w:val="true"/>
        <w:bidi w:val="0"/>
        <w:spacing w:lineRule="auto" w:line="312" w:before="0" w:after="60"/>
        <w:ind w:left="0" w:right="0" w:hanging="0"/>
        <w:jc w:val="center"/>
        <w:rPr>
          <w:rFonts w:ascii="Calibri" w:hAnsi="Calibri" w:eastAsia="Times New Roman" w:cs="Arial"/>
          <w:b/>
          <w:b/>
          <w:bCs/>
          <w:i w:val="false"/>
          <w:i w:val="false"/>
          <w:iCs w:val="false"/>
          <w:color w:val="000000"/>
          <w:sz w:val="24"/>
          <w:szCs w:val="24"/>
        </w:rPr>
      </w:pPr>
      <w:r>
        <w:rPr>
          <w:rFonts w:eastAsia="Times New Roman" w:cs="Arial" w:ascii="Calibri" w:hAnsi="Calibri"/>
          <w:b/>
          <w:bCs/>
          <w:i w:val="false"/>
          <w:iCs w:val="false"/>
          <w:color w:val="000000"/>
          <w:sz w:val="24"/>
          <w:szCs w:val="24"/>
        </w:rPr>
        <w:t>ESTAÇÃO RÁDIO DA MARINHA NO RIO DE JANEIRO</w:t>
      </w:r>
    </w:p>
    <w:p>
      <w:pPr>
        <w:pStyle w:val="Normal"/>
        <w:spacing w:lineRule="auto" w:line="312" w:before="75" w:after="3"/>
        <w:jc w:val="center"/>
        <w:rPr/>
      </w:pPr>
      <w:r>
        <w:rPr>
          <w:rFonts w:eastAsia="ＭＳ 明朝" w:cs="Arial" w:ascii="Arial" w:hAnsi="Arial"/>
          <w:b/>
          <w:bCs/>
          <w:i w:val="false"/>
          <w:iCs w:val="false"/>
          <w:color w:val="000000"/>
          <w:kern w:val="0"/>
          <w:sz w:val="20"/>
          <w:szCs w:val="20"/>
          <w:lang w:val="pt-BR" w:eastAsia="pt-BR" w:bidi="ar-SA"/>
        </w:rPr>
        <w:t>Processo Administrativo n</w:t>
      </w:r>
      <w:r>
        <w:rPr>
          <w:rFonts w:cs="Arial" w:ascii="Arial" w:hAnsi="Arial"/>
          <w:b/>
          <w:bCs/>
          <w:i w:val="false"/>
          <w:iCs w:val="false"/>
          <w:color w:val="000000"/>
          <w:sz w:val="20"/>
          <w:szCs w:val="20"/>
        </w:rPr>
        <w:t xml:space="preserve">° </w:t>
      </w:r>
      <w:r>
        <w:rPr>
          <w:rStyle w:val="Nfaseforte"/>
          <w:rFonts w:eastAsia="Times New Roman" w:cs="Arial" w:ascii="Carlito" w:hAnsi="Carlito"/>
          <w:b w:val="false"/>
          <w:bCs w:val="false"/>
          <w:i w:val="false"/>
          <w:iCs/>
          <w:color w:val="000000"/>
          <w:kern w:val="2"/>
          <w:sz w:val="24"/>
          <w:szCs w:val="24"/>
          <w:shd w:fill="FFFFFF" w:val="clear"/>
          <w:lang w:val="pt-BR" w:eastAsia="zh-CN" w:bidi="ar-SA"/>
        </w:rPr>
        <w:t>63078.000604/2026-10</w:t>
      </w:r>
    </w:p>
    <w:p>
      <w:pPr>
        <w:pStyle w:val="Normal"/>
        <w:spacing w:lineRule="auto" w:line="312" w:before="75" w:after="3"/>
        <w:jc w:val="center"/>
        <w:rPr/>
      </w:pPr>
      <w:r>
        <w:rPr>
          <w:rStyle w:val="Fontepargpadro"/>
          <w:rFonts w:eastAsia="Times New Roman" w:cs="Arial" w:ascii="Calibri" w:hAnsi="Calibri"/>
          <w:b w:val="false"/>
          <w:bCs w:val="false"/>
          <w:i w:val="false"/>
          <w:iCs/>
          <w:color w:val="000000"/>
          <w:kern w:val="2"/>
          <w:sz w:val="24"/>
          <w:szCs w:val="24"/>
          <w:shd w:fill="FFFFFF" w:val="clear"/>
          <w:lang w:val="pt-BR" w:eastAsia="zh-CN" w:bidi="ar-SA"/>
        </w:rPr>
        <w:t>Dispensa Eletrônica nº 58</w:t>
      </w:r>
      <w:r>
        <w:rPr>
          <w:rStyle w:val="Nfaseforte"/>
          <w:rFonts w:eastAsia="Times New Roman" w:cs="Arial" w:ascii="Carlito" w:hAnsi="Carlito"/>
          <w:b w:val="false"/>
          <w:bCs w:val="false"/>
          <w:i w:val="false"/>
          <w:iCs/>
          <w:color w:val="000000"/>
          <w:kern w:val="2"/>
          <w:sz w:val="24"/>
          <w:szCs w:val="24"/>
          <w:shd w:fill="FFFFFF" w:val="clear"/>
          <w:lang w:val="pt-BR" w:eastAsia="zh-CN" w:bidi="ar-SA"/>
        </w:rPr>
        <w:t>/2026</w:t>
      </w:r>
    </w:p>
    <w:p>
      <w:pPr>
        <w:pStyle w:val="Normal"/>
        <w:spacing w:lineRule="auto" w:line="312" w:before="171" w:after="459"/>
        <w:jc w:val="center"/>
        <w:rPr>
          <w:rFonts w:ascii="Arial" w:hAnsi="Arial" w:cs="Arial"/>
          <w:b/>
          <w:b/>
          <w:bCs/>
          <w:color w:val="000000"/>
          <w:sz w:val="20"/>
          <w:szCs w:val="20"/>
        </w:rPr>
      </w:pPr>
      <w:r>
        <w:rPr>
          <w:rFonts w:cs="Arial" w:ascii="Arial" w:hAnsi="Arial"/>
          <w:b/>
          <w:bCs/>
          <w:color w:val="000000"/>
          <w:sz w:val="20"/>
          <w:szCs w:val="20"/>
        </w:rPr>
        <w:t>TERMO DE REFERÊNCIA</w:t>
      </w:r>
    </w:p>
    <w:p>
      <w:pPr>
        <w:pStyle w:val="Nivel01"/>
        <w:numPr>
          <w:ilvl w:val="0"/>
          <w:numId w:val="2"/>
        </w:numPr>
        <w:shd w:val="clear" w:fill="FFFFFF"/>
        <w:ind w:left="357" w:right="0" w:hanging="357"/>
        <w:rPr/>
      </w:pPr>
      <w:r>
        <w:rPr/>
        <w:t>CONDIÇÕES GERAIS DA CONTRATAÇÃO</w:t>
      </w:r>
    </w:p>
    <w:p>
      <w:pPr>
        <w:pStyle w:val="Nivel01"/>
        <w:numPr>
          <w:ilvl w:val="1"/>
          <w:numId w:val="2"/>
        </w:numPr>
        <w:shd w:val="clear" w:fill="FFFFFF"/>
        <w:ind w:left="357" w:right="0" w:hanging="357"/>
        <w:rPr>
          <w:rFonts w:ascii="Calibri" w:hAnsi="Calibri" w:eastAsia="Times New Roman" w:cs="Arial"/>
          <w:b w:val="false"/>
          <w:b w:val="false"/>
          <w:bCs w:val="false"/>
          <w:i w:val="false"/>
          <w:i w:val="false"/>
          <w:iCs/>
          <w:color w:val="000000"/>
          <w:kern w:val="2"/>
          <w:sz w:val="24"/>
          <w:szCs w:val="24"/>
          <w:highlight w:val="white"/>
          <w:lang w:val="pt-BR" w:eastAsia="zh-CN" w:bidi="ar-SA"/>
        </w:rPr>
      </w:pPr>
      <w:r>
        <w:rPr>
          <w:rFonts w:eastAsia="Times New Roman" w:cs="Arial" w:ascii="Calibri" w:hAnsi="Calibri"/>
          <w:b w:val="false"/>
          <w:bCs w:val="false"/>
          <w:i w:val="false"/>
          <w:iCs/>
          <w:color w:val="000000"/>
          <w:kern w:val="2"/>
          <w:sz w:val="24"/>
          <w:szCs w:val="24"/>
          <w:highlight w:val="white"/>
          <w:shd w:fill="FFFFFF" w:val="clear"/>
          <w:lang w:val="pt-BR" w:eastAsia="zh-CN" w:bidi="ar-SA"/>
        </w:rPr>
        <w:t>Contratação de empresa especializada para prestação de serviço de confecção de mesa sob medida,</w:t>
      </w:r>
      <w:r>
        <w:rPr>
          <w:rFonts w:eastAsia="Times New Roman" w:cs="Arial" w:ascii="Calibri" w:hAnsi="Calibri"/>
          <w:b w:val="false"/>
          <w:bCs w:val="false"/>
          <w:i w:val="false"/>
          <w:iCs/>
          <w:color w:val="000000"/>
          <w:kern w:val="2"/>
          <w:sz w:val="24"/>
          <w:szCs w:val="24"/>
          <w:highlight w:val="white"/>
          <w:lang w:val="pt-BR" w:eastAsia="zh-CN" w:bidi="ar-SA"/>
        </w:rPr>
        <w:t xml:space="preserve"> nos termos da tabela abaixo, conforme condições e exigências estabelecidas neste instrumento</w:t>
      </w:r>
      <w:bookmarkStart w:id="0" w:name="_Ref172095982"/>
      <w:bookmarkEnd w:id="0"/>
      <w:r>
        <w:rPr>
          <w:rFonts w:eastAsia="Times New Roman" w:cs="Arial" w:ascii="Calibri" w:hAnsi="Calibri"/>
          <w:b w:val="false"/>
          <w:bCs w:val="false"/>
          <w:i w:val="false"/>
          <w:iCs/>
          <w:color w:val="000000"/>
          <w:kern w:val="2"/>
          <w:sz w:val="24"/>
          <w:szCs w:val="24"/>
          <w:highlight w:val="white"/>
          <w:lang w:val="pt-BR" w:eastAsia="zh-CN" w:bidi="ar-SA"/>
        </w:rPr>
        <w:t>.</w:t>
      </w:r>
    </w:p>
    <w:tbl>
      <w:tblPr>
        <w:tblW w:w="9585" w:type="dxa"/>
        <w:jc w:val="left"/>
        <w:tblInd w:w="164" w:type="dxa"/>
        <w:tblLayout w:type="fixed"/>
        <w:tblCellMar>
          <w:top w:w="0" w:type="dxa"/>
          <w:left w:w="98" w:type="dxa"/>
          <w:bottom w:w="0" w:type="dxa"/>
          <w:right w:w="108" w:type="dxa"/>
        </w:tblCellMar>
      </w:tblPr>
      <w:tblGrid>
        <w:gridCol w:w="623"/>
        <w:gridCol w:w="794"/>
        <w:gridCol w:w="3855"/>
        <w:gridCol w:w="1087"/>
        <w:gridCol w:w="554"/>
        <w:gridCol w:w="1026"/>
        <w:gridCol w:w="566"/>
        <w:gridCol w:w="1078"/>
      </w:tblGrid>
      <w:tr>
        <w:trPr>
          <w:trHeight w:val="851" w:hRule="exact"/>
        </w:trPr>
        <w:tc>
          <w:tcPr>
            <w:tcW w:w="623" w:type="dxa"/>
            <w:tcBorders>
              <w:top w:val="single" w:sz="4" w:space="0" w:color="000000"/>
              <w:left w:val="single" w:sz="4" w:space="0" w:color="000000"/>
              <w:bottom w:val="single" w:sz="4" w:space="0" w:color="000000"/>
              <w:right w:val="single" w:sz="4" w:space="0" w:color="000000"/>
            </w:tcBorders>
            <w:shd w:fill="auto" w:val="clear"/>
            <w:vAlign w:val="center"/>
          </w:tcPr>
          <w:p>
            <w:pPr>
              <w:pStyle w:val="PargrafodaLista"/>
              <w:widowControl w:val="false"/>
              <w:spacing w:lineRule="auto" w:line="240" w:before="0" w:after="200"/>
              <w:ind w:left="0" w:right="0" w:hanging="0"/>
              <w:contextualSpacing/>
              <w:jc w:val="center"/>
              <w:rPr>
                <w:spacing w:val="-12"/>
              </w:rPr>
            </w:pPr>
            <w:r>
              <w:rPr>
                <w:rFonts w:cs="Calibri" w:ascii="CaLIBRI" w:hAnsi="CaLIBRI"/>
                <w:b/>
                <w:color w:val="000000"/>
                <w:spacing w:val="-12"/>
                <w:sz w:val="18"/>
                <w:szCs w:val="18"/>
                <w:shd w:fill="auto" w:val="clear"/>
              </w:rPr>
              <w:t>ITEM</w:t>
            </w:r>
          </w:p>
        </w:tc>
        <w:tc>
          <w:tcPr>
            <w:tcW w:w="794" w:type="dxa"/>
            <w:tcBorders>
              <w:top w:val="single" w:sz="4" w:space="0" w:color="000000"/>
              <w:left w:val="single" w:sz="4" w:space="0" w:color="000000"/>
              <w:bottom w:val="single" w:sz="4" w:space="0" w:color="000000"/>
              <w:right w:val="single" w:sz="4" w:space="0" w:color="000000"/>
            </w:tcBorders>
            <w:shd w:fill="auto" w:val="clear"/>
            <w:vAlign w:val="center"/>
          </w:tcPr>
          <w:p>
            <w:pPr>
              <w:pStyle w:val="PargrafodaLista"/>
              <w:widowControl w:val="false"/>
              <w:spacing w:lineRule="auto" w:line="240" w:before="0" w:after="200"/>
              <w:ind w:left="0" w:right="0" w:hanging="0"/>
              <w:contextualSpacing/>
              <w:jc w:val="center"/>
              <w:rPr>
                <w:spacing w:val="-12"/>
              </w:rPr>
            </w:pPr>
            <w:r>
              <w:rPr>
                <w:rFonts w:cs="Calibri" w:ascii="CaLIBRI" w:hAnsi="CaLIBRI"/>
                <w:b/>
                <w:color w:val="000000"/>
                <w:spacing w:val="-12"/>
                <w:sz w:val="18"/>
                <w:szCs w:val="18"/>
                <w:shd w:fill="auto" w:val="clear"/>
              </w:rPr>
              <w:t>CATSER</w:t>
            </w:r>
          </w:p>
        </w:tc>
        <w:tc>
          <w:tcPr>
            <w:tcW w:w="3855" w:type="dxa"/>
            <w:tcBorders>
              <w:top w:val="single" w:sz="4" w:space="0" w:color="000000"/>
              <w:left w:val="single" w:sz="4" w:space="0" w:color="000000"/>
              <w:bottom w:val="single" w:sz="4" w:space="0" w:color="000000"/>
            </w:tcBorders>
            <w:shd w:fill="auto" w:val="clear"/>
            <w:vAlign w:val="center"/>
          </w:tcPr>
          <w:p>
            <w:pPr>
              <w:pStyle w:val="PargrafodaLista"/>
              <w:widowControl w:val="false"/>
              <w:spacing w:lineRule="auto" w:line="240" w:before="0" w:after="200"/>
              <w:ind w:left="0" w:right="0" w:hanging="0"/>
              <w:contextualSpacing/>
              <w:jc w:val="center"/>
              <w:rPr>
                <w:spacing w:val="-12"/>
              </w:rPr>
            </w:pPr>
            <w:r>
              <w:rPr>
                <w:rFonts w:cs="Calibri" w:ascii="CaLIBRI" w:hAnsi="CaLIBRI"/>
                <w:b/>
                <w:color w:val="000000"/>
                <w:spacing w:val="-12"/>
                <w:sz w:val="18"/>
                <w:szCs w:val="18"/>
                <w:shd w:fill="auto" w:val="clear"/>
              </w:rPr>
              <w:t>DESCRIÇÃO</w:t>
            </w:r>
          </w:p>
        </w:tc>
        <w:tc>
          <w:tcPr>
            <w:tcW w:w="1087" w:type="dxa"/>
            <w:tcBorders>
              <w:top w:val="single" w:sz="4" w:space="0" w:color="000000"/>
              <w:left w:val="single" w:sz="4" w:space="0" w:color="000000"/>
              <w:bottom w:val="single" w:sz="4" w:space="0" w:color="000000"/>
              <w:right w:val="single" w:sz="4" w:space="0" w:color="000000"/>
            </w:tcBorders>
            <w:shd w:fill="auto" w:val="clear"/>
            <w:vAlign w:val="center"/>
          </w:tcPr>
          <w:p>
            <w:pPr>
              <w:pStyle w:val="PargrafodaLista"/>
              <w:widowControl w:val="false"/>
              <w:spacing w:lineRule="auto" w:line="240" w:before="0" w:after="200"/>
              <w:ind w:left="0" w:right="0" w:hanging="0"/>
              <w:contextualSpacing/>
              <w:jc w:val="center"/>
              <w:rPr>
                <w:spacing w:val="-12"/>
              </w:rPr>
            </w:pPr>
            <w:r>
              <w:rPr>
                <w:rFonts w:eastAsia="Times New Roman" w:cs="Calibri" w:ascii="CaLIBRI" w:hAnsi="CaLIBRI"/>
                <w:b/>
                <w:color w:val="000000"/>
                <w:spacing w:val="-12"/>
                <w:sz w:val="18"/>
                <w:szCs w:val="18"/>
                <w:shd w:fill="auto" w:val="clear"/>
                <w:lang w:val="pt-BR" w:eastAsia="zh-CN" w:bidi="ar-SA"/>
              </w:rPr>
              <w:t>IMAGEM</w:t>
            </w:r>
          </w:p>
        </w:tc>
        <w:tc>
          <w:tcPr>
            <w:tcW w:w="554" w:type="dxa"/>
            <w:tcBorders>
              <w:top w:val="single" w:sz="4" w:space="0" w:color="000000"/>
              <w:left w:val="single" w:sz="4" w:space="0" w:color="000000"/>
              <w:bottom w:val="single" w:sz="4" w:space="0" w:color="000000"/>
              <w:right w:val="single" w:sz="4" w:space="0" w:color="000000"/>
            </w:tcBorders>
            <w:shd w:fill="auto" w:val="clear"/>
            <w:vAlign w:val="center"/>
          </w:tcPr>
          <w:p>
            <w:pPr>
              <w:pStyle w:val="PargrafodaLista"/>
              <w:widowControl w:val="false"/>
              <w:spacing w:lineRule="auto" w:line="240" w:before="0" w:after="200"/>
              <w:ind w:left="0" w:right="0" w:hanging="0"/>
              <w:contextualSpacing/>
              <w:jc w:val="center"/>
              <w:rPr>
                <w:spacing w:val="-12"/>
              </w:rPr>
            </w:pPr>
            <w:r>
              <w:rPr>
                <w:rFonts w:eastAsia="Times New Roman" w:cs="Calibri" w:ascii="CaLIBRI" w:hAnsi="CaLIBRI"/>
                <w:b/>
                <w:color w:val="000000"/>
                <w:spacing w:val="-12"/>
                <w:sz w:val="18"/>
                <w:szCs w:val="18"/>
                <w:shd w:fill="auto" w:val="clear"/>
                <w:lang w:val="pt-BR" w:eastAsia="zh-CN" w:bidi="ar-SA"/>
              </w:rPr>
              <w:t>UF</w:t>
            </w:r>
          </w:p>
        </w:tc>
        <w:tc>
          <w:tcPr>
            <w:tcW w:w="1026" w:type="dxa"/>
            <w:tcBorders>
              <w:top w:val="single" w:sz="4" w:space="0" w:color="000000"/>
              <w:left w:val="single" w:sz="4" w:space="0" w:color="000000"/>
              <w:bottom w:val="single" w:sz="4" w:space="0" w:color="000000"/>
              <w:right w:val="single" w:sz="4" w:space="0" w:color="000000"/>
            </w:tcBorders>
            <w:shd w:fill="auto" w:val="clear"/>
            <w:vAlign w:val="center"/>
          </w:tcPr>
          <w:p>
            <w:pPr>
              <w:pStyle w:val="PargrafodaLista"/>
              <w:widowControl w:val="false"/>
              <w:spacing w:lineRule="auto" w:line="240" w:before="0" w:after="200"/>
              <w:ind w:left="0" w:right="0" w:hanging="0"/>
              <w:contextualSpacing/>
              <w:jc w:val="center"/>
              <w:rPr>
                <w:spacing w:val="-12"/>
              </w:rPr>
            </w:pPr>
            <w:r>
              <w:rPr>
                <w:rFonts w:eastAsia="Times New Roman" w:cs="Calibri" w:ascii="CaLIBRI" w:hAnsi="CaLIBRI"/>
                <w:b/>
                <w:color w:val="000000"/>
                <w:spacing w:val="-12"/>
                <w:sz w:val="18"/>
                <w:szCs w:val="18"/>
                <w:shd w:fill="auto" w:val="clear"/>
                <w:lang w:val="pt-BR" w:eastAsia="zh-CN" w:bidi="ar-SA"/>
              </w:rPr>
              <w:t>VALOR</w:t>
            </w:r>
          </w:p>
        </w:tc>
        <w:tc>
          <w:tcPr>
            <w:tcW w:w="566" w:type="dxa"/>
            <w:tcBorders>
              <w:top w:val="single" w:sz="4" w:space="0" w:color="000000"/>
              <w:left w:val="single" w:sz="4" w:space="0" w:color="000000"/>
              <w:bottom w:val="single" w:sz="4" w:space="0" w:color="000000"/>
              <w:right w:val="single" w:sz="4" w:space="0" w:color="000000"/>
            </w:tcBorders>
            <w:shd w:fill="auto" w:val="clear"/>
            <w:vAlign w:val="center"/>
          </w:tcPr>
          <w:p>
            <w:pPr>
              <w:pStyle w:val="PargrafodaLista"/>
              <w:widowControl w:val="false"/>
              <w:spacing w:lineRule="auto" w:line="240" w:before="0" w:after="200"/>
              <w:ind w:left="0" w:right="0" w:hanging="0"/>
              <w:contextualSpacing/>
              <w:jc w:val="center"/>
              <w:rPr>
                <w:spacing w:val="-12"/>
              </w:rPr>
            </w:pPr>
            <w:r>
              <w:rPr>
                <w:rFonts w:eastAsia="Times New Roman" w:cs="Calibri" w:ascii="CaLIBRI" w:hAnsi="CaLIBRI"/>
                <w:b/>
                <w:color w:val="000000"/>
                <w:spacing w:val="-12"/>
                <w:sz w:val="18"/>
                <w:szCs w:val="18"/>
                <w:shd w:fill="auto" w:val="clear"/>
                <w:lang w:val="pt-BR" w:eastAsia="zh-CN" w:bidi="ar-SA"/>
              </w:rPr>
              <w:t>QTD</w:t>
            </w:r>
          </w:p>
        </w:tc>
        <w:tc>
          <w:tcPr>
            <w:tcW w:w="1078" w:type="dxa"/>
            <w:tcBorders>
              <w:top w:val="single" w:sz="4" w:space="0" w:color="000000"/>
              <w:left w:val="single" w:sz="4" w:space="0" w:color="000000"/>
              <w:bottom w:val="single" w:sz="4" w:space="0" w:color="000000"/>
              <w:right w:val="single" w:sz="4" w:space="0" w:color="000000"/>
            </w:tcBorders>
            <w:shd w:fill="auto" w:val="clear"/>
            <w:vAlign w:val="center"/>
          </w:tcPr>
          <w:p>
            <w:pPr>
              <w:pStyle w:val="PargrafodaLista"/>
              <w:widowControl w:val="false"/>
              <w:spacing w:lineRule="auto" w:line="240" w:before="0" w:after="200"/>
              <w:ind w:left="0" w:right="0" w:hanging="0"/>
              <w:contextualSpacing/>
              <w:jc w:val="center"/>
              <w:rPr>
                <w:spacing w:val="-12"/>
              </w:rPr>
            </w:pPr>
            <w:r>
              <w:rPr>
                <w:rFonts w:eastAsia="Times New Roman" w:cs="Calibri" w:ascii="CaLIBRI" w:hAnsi="CaLIBRI"/>
                <w:b/>
                <w:color w:val="000000"/>
                <w:spacing w:val="-12"/>
                <w:sz w:val="18"/>
                <w:szCs w:val="18"/>
                <w:shd w:fill="auto" w:val="clear"/>
                <w:lang w:val="pt-BR" w:eastAsia="zh-CN" w:bidi="ar-SA"/>
              </w:rPr>
              <w:t>SUBTOTAL</w:t>
            </w:r>
          </w:p>
        </w:tc>
      </w:tr>
      <w:tr>
        <w:trPr>
          <w:trHeight w:val="1024" w:hRule="atLeast"/>
        </w:trPr>
        <w:tc>
          <w:tcPr>
            <w:tcW w:w="623" w:type="dxa"/>
            <w:tcBorders>
              <w:top w:val="single" w:sz="4" w:space="0" w:color="000000"/>
              <w:left w:val="single" w:sz="4" w:space="0" w:color="000000"/>
              <w:bottom w:val="single" w:sz="4" w:space="0" w:color="000000"/>
              <w:right w:val="single" w:sz="4" w:space="0" w:color="000000"/>
            </w:tcBorders>
            <w:shd w:fill="auto" w:val="clear"/>
            <w:vAlign w:val="center"/>
          </w:tcPr>
          <w:p>
            <w:pPr>
              <w:pStyle w:val="TableParagraph"/>
              <w:widowControl w:val="false"/>
              <w:jc w:val="center"/>
              <w:rPr>
                <w:rFonts w:ascii="CaLIBRI" w:hAnsi="CaLIBRI" w:eastAsia="SimSun;宋体" w:cs="Mangal"/>
                <w:b/>
                <w:b/>
                <w:bCs/>
                <w:color w:val="auto"/>
                <w:spacing w:val="-4"/>
                <w:kern w:val="2"/>
                <w:sz w:val="18"/>
                <w:szCs w:val="18"/>
                <w:shd w:fill="auto" w:val="clear"/>
                <w:lang w:val="pt-PT" w:eastAsia="en-US" w:bidi="hi-IN"/>
              </w:rPr>
            </w:pPr>
            <w:r>
              <w:rPr>
                <w:rFonts w:eastAsia="SimSun;宋体" w:cs="Mangal" w:ascii="CaLIBRI" w:hAnsi="CaLIBRI"/>
                <w:b/>
                <w:bCs/>
                <w:color w:val="000000"/>
                <w:spacing w:val="-4"/>
                <w:kern w:val="2"/>
                <w:sz w:val="18"/>
                <w:szCs w:val="18"/>
                <w:shd w:fill="auto" w:val="clear"/>
                <w:lang w:val="pt-PT" w:eastAsia="en-US" w:bidi="hi-IN"/>
              </w:rPr>
              <w:t>1</w:t>
            </w:r>
          </w:p>
        </w:tc>
        <w:tc>
          <w:tcPr>
            <w:tcW w:w="794" w:type="dxa"/>
            <w:tcBorders>
              <w:top w:val="single" w:sz="4" w:space="0" w:color="000000"/>
              <w:left w:val="single" w:sz="4" w:space="0" w:color="000000"/>
              <w:bottom w:val="single" w:sz="4" w:space="0" w:color="000000"/>
              <w:right w:val="single" w:sz="4" w:space="0" w:color="000000"/>
            </w:tcBorders>
            <w:shd w:fill="auto" w:val="clear"/>
            <w:vAlign w:val="center"/>
          </w:tcPr>
          <w:p>
            <w:pPr>
              <w:pStyle w:val="Contedodatabela"/>
              <w:widowControl w:val="false"/>
              <w:numPr>
                <w:ilvl w:val="0"/>
                <w:numId w:val="0"/>
              </w:numPr>
              <w:tabs>
                <w:tab w:val="clear" w:pos="709"/>
              </w:tabs>
              <w:spacing w:lineRule="auto" w:line="240" w:before="6" w:after="0"/>
              <w:ind w:left="0" w:right="105" w:hanging="0"/>
              <w:jc w:val="center"/>
              <w:rPr>
                <w:rFonts w:ascii="CaLIBRI" w:hAnsi="CaLIBRI" w:eastAsia="SimSun;宋体" w:cs="Mangal"/>
                <w:color w:val="auto"/>
                <w:spacing w:val="-4"/>
                <w:kern w:val="2"/>
                <w:sz w:val="18"/>
                <w:szCs w:val="18"/>
                <w:shd w:fill="auto" w:val="clear"/>
                <w:lang w:val="pt-PT" w:eastAsia="en-US" w:bidi="hi-IN"/>
              </w:rPr>
            </w:pPr>
            <w:r>
              <w:rPr>
                <w:rFonts w:eastAsia="SimSun;宋体" w:cs="Mangal" w:ascii="CaLIBRI" w:hAnsi="CaLIBRI"/>
                <w:color w:val="000000"/>
                <w:spacing w:val="-4"/>
                <w:kern w:val="2"/>
                <w:sz w:val="18"/>
                <w:szCs w:val="18"/>
                <w:shd w:fill="auto" w:val="clear"/>
                <w:lang w:val="pt-PT" w:eastAsia="en-US" w:bidi="hi-IN"/>
              </w:rPr>
              <w:t>21008</w:t>
            </w:r>
          </w:p>
        </w:tc>
        <w:tc>
          <w:tcPr>
            <w:tcW w:w="3855" w:type="dxa"/>
            <w:tcBorders>
              <w:top w:val="single" w:sz="4" w:space="0" w:color="000000"/>
              <w:left w:val="single" w:sz="4" w:space="0" w:color="000000"/>
              <w:bottom w:val="single" w:sz="4" w:space="0" w:color="000000"/>
            </w:tcBorders>
            <w:shd w:fill="auto" w:val="clear"/>
            <w:vAlign w:val="center"/>
          </w:tcPr>
          <w:p>
            <w:pPr>
              <w:pStyle w:val="Contedodatabela"/>
              <w:widowControl w:val="false"/>
              <w:numPr>
                <w:ilvl w:val="0"/>
                <w:numId w:val="0"/>
              </w:numPr>
              <w:spacing w:lineRule="auto" w:line="240"/>
              <w:ind w:left="0" w:right="53" w:hanging="0"/>
              <w:jc w:val="both"/>
              <w:rPr>
                <w:rFonts w:ascii="CaLIBRI" w:hAnsi="CaLIBRI" w:eastAsia="SimSun;宋体" w:cs="Mangal"/>
                <w:color w:val="auto"/>
                <w:spacing w:val="-4"/>
                <w:kern w:val="2"/>
                <w:sz w:val="18"/>
                <w:szCs w:val="18"/>
                <w:shd w:fill="auto" w:val="clear"/>
                <w:lang w:val="pt-PT" w:eastAsia="en-US" w:bidi="hi-IN"/>
              </w:rPr>
            </w:pPr>
            <w:r>
              <w:rPr>
                <w:rFonts w:eastAsia="SimSun;宋体" w:cs="Mangal" w:ascii="CaLIBRI" w:hAnsi="CaLIBRI"/>
                <w:color w:val="000000"/>
                <w:spacing w:val="-4"/>
                <w:kern w:val="2"/>
                <w:sz w:val="18"/>
                <w:szCs w:val="18"/>
                <w:shd w:fill="auto" w:val="clear"/>
                <w:lang w:val="pt-PT" w:eastAsia="en-US" w:bidi="hi-IN"/>
              </w:rPr>
              <w:t xml:space="preserve">Serviço especializado de carpintaria/marcenaria para fabricação de mesa sob medida/customizada, a fim de </w:t>
            </w:r>
            <w:r>
              <w:rPr>
                <w:rFonts w:eastAsia="SimSun;宋体" w:cs="Mangal" w:ascii="CaLIBRI" w:hAnsi="CaLIBRI"/>
                <w:b/>
                <w:bCs/>
                <w:color w:val="000000"/>
                <w:spacing w:val="-4"/>
                <w:kern w:val="2"/>
                <w:sz w:val="18"/>
                <w:szCs w:val="18"/>
                <w:shd w:fill="auto" w:val="clear"/>
                <w:lang w:val="pt-PT" w:eastAsia="en-US" w:bidi="hi-IN"/>
              </w:rPr>
              <w:t>complementar conjunto mobiliário existente</w:t>
            </w:r>
            <w:r>
              <w:rPr>
                <w:rFonts w:eastAsia="SimSun;宋体" w:cs="Mangal" w:ascii="CaLIBRI" w:hAnsi="CaLIBRI"/>
                <w:color w:val="000000"/>
                <w:spacing w:val="-4"/>
                <w:kern w:val="2"/>
                <w:sz w:val="18"/>
                <w:szCs w:val="18"/>
                <w:shd w:fill="auto" w:val="clear"/>
                <w:lang w:val="pt-PT" w:eastAsia="en-US" w:bidi="hi-IN"/>
              </w:rPr>
              <w:t>.</w:t>
            </w:r>
          </w:p>
          <w:p>
            <w:pPr>
              <w:pStyle w:val="Contedodatabela"/>
              <w:widowControl w:val="false"/>
              <w:numPr>
                <w:ilvl w:val="0"/>
                <w:numId w:val="0"/>
              </w:numPr>
              <w:spacing w:lineRule="auto" w:line="240"/>
              <w:ind w:left="0" w:right="53" w:hanging="0"/>
              <w:jc w:val="both"/>
              <w:rPr>
                <w:rFonts w:ascii="CaLIBRI" w:hAnsi="CaLIBRI" w:eastAsia="SimSun;宋体" w:cs="Mangal"/>
                <w:color w:val="auto"/>
                <w:spacing w:val="-4"/>
                <w:kern w:val="2"/>
                <w:sz w:val="18"/>
                <w:szCs w:val="18"/>
                <w:shd w:fill="auto" w:val="clear"/>
                <w:lang w:val="pt-PT" w:eastAsia="en-US" w:bidi="hi-IN"/>
              </w:rPr>
            </w:pPr>
            <w:r>
              <w:rPr>
                <w:rFonts w:eastAsia="SimSun;宋体" w:cs="Mangal" w:ascii="CaLIBRI" w:hAnsi="CaLIBRI"/>
                <w:color w:val="000000"/>
                <w:spacing w:val="-4"/>
                <w:kern w:val="2"/>
                <w:sz w:val="18"/>
                <w:szCs w:val="18"/>
                <w:shd w:fill="auto" w:val="clear"/>
                <w:lang w:val="pt-PT" w:eastAsia="en-US" w:bidi="hi-IN"/>
              </w:rPr>
              <w:t>Tampo: Confeccionado em pranchas homogêneas de madeira maciça de lei de alta densidade e resistência (espécies sugeridas: Sucupira, Jatobá, Cumaru, Angelim ou equivalente técnico superior), seca em estufa, imune a cupins, brocas e fungos. O tampo deve possuir espessura real e maciça de 6,5 cm, sendo vedado o uso de técnicas de saia ou engrossamento fake (laterais falsas). As bordas devem apresentar acabamento trabalhado com fresagem decorativa de alto padrão (estilo clássico/provençal), com superfícies perfeitamente aplainadas e alinhadas.</w:t>
            </w:r>
          </w:p>
          <w:p>
            <w:pPr>
              <w:pStyle w:val="Contedodatabela"/>
              <w:widowControl w:val="false"/>
              <w:numPr>
                <w:ilvl w:val="0"/>
                <w:numId w:val="0"/>
              </w:numPr>
              <w:spacing w:lineRule="auto" w:line="240"/>
              <w:ind w:left="0" w:right="53" w:hanging="0"/>
              <w:jc w:val="both"/>
              <w:rPr>
                <w:rFonts w:ascii="CaLIBRI" w:hAnsi="CaLIBRI" w:eastAsia="SimSun;宋体" w:cs="Mangal"/>
                <w:color w:val="auto"/>
                <w:spacing w:val="-4"/>
                <w:kern w:val="2"/>
                <w:sz w:val="18"/>
                <w:szCs w:val="18"/>
                <w:shd w:fill="auto" w:val="clear"/>
                <w:lang w:val="pt-PT" w:eastAsia="en-US" w:bidi="hi-IN"/>
              </w:rPr>
            </w:pPr>
            <w:r>
              <w:rPr>
                <w:rFonts w:eastAsia="SimSun;宋体" w:cs="Mangal" w:ascii="CaLIBRI" w:hAnsi="CaLIBRI"/>
                <w:color w:val="000000"/>
                <w:spacing w:val="-4"/>
                <w:kern w:val="2"/>
                <w:sz w:val="18"/>
                <w:szCs w:val="18"/>
                <w:shd w:fill="auto" w:val="clear"/>
                <w:lang w:val="pt-PT" w:eastAsia="en-US" w:bidi="hi-IN"/>
              </w:rPr>
              <w:t>Base (Pés): Sistema de suporte composto por pés robustos integrados, com design  trabalhado/entalhado em curvas (estilo provençal/clássico) e estruturados por uma travessa central de travamento de ponta a ponta no mesmo padrão de madeira do tampo. A estrutura deve garantir estabilidade total ao móvel, com fixação rígida e ausência completa de balanços, oscilações ou vibrações durante o uso. Dimensões Finais: 190 cm de comprimento x 100 cm de largura x 78 cm de altura total (admitida tolerância máxima de +/- 1,5 cm nas dimensões finais).</w:t>
            </w:r>
          </w:p>
          <w:p>
            <w:pPr>
              <w:pStyle w:val="Contedodatabela"/>
              <w:widowControl w:val="false"/>
              <w:numPr>
                <w:ilvl w:val="0"/>
                <w:numId w:val="0"/>
              </w:numPr>
              <w:spacing w:lineRule="auto" w:line="240"/>
              <w:ind w:left="0" w:right="53" w:hanging="0"/>
              <w:jc w:val="both"/>
              <w:rPr>
                <w:rFonts w:ascii="CaLIBRI" w:hAnsi="CaLIBRI" w:eastAsia="SimSun;宋体" w:cs="Mangal"/>
                <w:color w:val="auto"/>
                <w:spacing w:val="-4"/>
                <w:kern w:val="2"/>
                <w:sz w:val="18"/>
                <w:szCs w:val="18"/>
                <w:shd w:fill="auto" w:val="clear"/>
                <w:lang w:val="pt-PT" w:eastAsia="en-US" w:bidi="hi-IN"/>
              </w:rPr>
            </w:pPr>
            <w:r>
              <w:rPr>
                <w:rFonts w:eastAsia="SimSun;宋体" w:cs="Mangal" w:ascii="CaLIBRI" w:hAnsi="CaLIBRI"/>
                <w:color w:val="000000"/>
                <w:spacing w:val="-4"/>
                <w:kern w:val="2"/>
                <w:sz w:val="18"/>
                <w:szCs w:val="18"/>
                <w:shd w:fill="auto" w:val="clear"/>
                <w:lang w:val="pt-PT" w:eastAsia="en-US" w:bidi="hi-IN"/>
              </w:rPr>
              <w:t>Acabamento e Cor: Tratamento de superfície realizado por meio de lixamento sequencial ultrafino (grãos progressivos até 400) e aplicação de seladora isolante. O acabamento final deve ser executado com, no mínimo, 03 (três) camadas de Verniz Poliuretano (PU) de alta resistência (ou verniz náutico de alto sólido), com brilho acetinado/semi-brilho. Coloração uniforme no padrão Tabaco/ Marrom Escuro, cobrindo imperfeições naturais da madeira sem ocultar totalmente seus veios e texturas nobres, garantindo impermeabilidade contra líquidos e alta resistência a riscos. Será exigido do fornecedor visita para aferição do serviço a ser executado.</w:t>
            </w:r>
          </w:p>
        </w:tc>
        <w:tc>
          <w:tcPr>
            <w:tcW w:w="1087" w:type="dxa"/>
            <w:tcBorders>
              <w:top w:val="single" w:sz="4" w:space="0" w:color="000000"/>
              <w:left w:val="single" w:sz="4" w:space="0" w:color="000000"/>
              <w:bottom w:val="single" w:sz="4" w:space="0" w:color="000000"/>
              <w:right w:val="single" w:sz="4" w:space="0" w:color="000000"/>
            </w:tcBorders>
            <w:shd w:fill="auto" w:val="clear"/>
            <w:vAlign w:val="center"/>
          </w:tcPr>
          <w:p>
            <w:pPr>
              <w:pStyle w:val="TableParagraph"/>
              <w:widowControl w:val="false"/>
              <w:ind w:left="0" w:right="0" w:hanging="0"/>
              <w:jc w:val="center"/>
              <w:rPr>
                <w:rFonts w:ascii="CaLIBRI" w:hAnsi="CaLIBRI" w:eastAsia="SimSun;宋体" w:cs="Mangal"/>
                <w:color w:val="auto"/>
                <w:spacing w:val="-5"/>
                <w:kern w:val="2"/>
                <w:sz w:val="18"/>
                <w:szCs w:val="18"/>
                <w:shd w:fill="auto" w:val="clear"/>
                <w:lang w:val="pt-PT" w:eastAsia="en-US" w:bidi="hi-IN"/>
              </w:rPr>
            </w:pPr>
            <w:r>
              <w:rPr>
                <w:rFonts w:eastAsia="SimSun;宋体" w:cs="Mangal" w:ascii="CaLIBRI" w:hAnsi="CaLIBRI"/>
                <w:color w:val="000000"/>
                <w:spacing w:val="-5"/>
                <w:kern w:val="2"/>
                <w:sz w:val="18"/>
                <w:szCs w:val="18"/>
                <w:shd w:fill="auto" w:val="clear"/>
                <w:lang w:val="pt-PT" w:eastAsia="en-US" w:bidi="hi-IN"/>
              </w:rPr>
              <w:drawing>
                <wp:anchor behindDoc="0" distT="0" distB="0" distL="0" distR="0" simplePos="0" locked="0" layoutInCell="0" allowOverlap="1" relativeHeight="3">
                  <wp:simplePos x="0" y="0"/>
                  <wp:positionH relativeFrom="column">
                    <wp:posOffset>-26670</wp:posOffset>
                  </wp:positionH>
                  <wp:positionV relativeFrom="paragraph">
                    <wp:posOffset>1877695</wp:posOffset>
                  </wp:positionV>
                  <wp:extent cx="622300" cy="534035"/>
                  <wp:effectExtent l="0" t="0" r="0" b="0"/>
                  <wp:wrapSquare wrapText="largest"/>
                  <wp:docPr id="2"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descr=""/>
                          <pic:cNvPicPr>
                            <a:picLocks noChangeAspect="1" noChangeArrowheads="1"/>
                          </pic:cNvPicPr>
                        </pic:nvPicPr>
                        <pic:blipFill>
                          <a:blip r:embed="rId3"/>
                          <a:srcRect l="0" t="0" r="5776" b="0"/>
                          <a:stretch>
                            <a:fillRect/>
                          </a:stretch>
                        </pic:blipFill>
                        <pic:spPr bwMode="auto">
                          <a:xfrm>
                            <a:off x="0" y="0"/>
                            <a:ext cx="622300" cy="534035"/>
                          </a:xfrm>
                          <a:prstGeom prst="rect">
                            <a:avLst/>
                          </a:prstGeom>
                        </pic:spPr>
                      </pic:pic>
                    </a:graphicData>
                  </a:graphic>
                </wp:anchor>
              </w:drawing>
            </w:r>
          </w:p>
        </w:tc>
        <w:tc>
          <w:tcPr>
            <w:tcW w:w="554" w:type="dxa"/>
            <w:tcBorders>
              <w:top w:val="single" w:sz="4" w:space="0" w:color="000000"/>
              <w:left w:val="single" w:sz="4" w:space="0" w:color="000000"/>
              <w:bottom w:val="single" w:sz="4" w:space="0" w:color="000000"/>
              <w:right w:val="single" w:sz="4" w:space="0" w:color="000000"/>
            </w:tcBorders>
            <w:shd w:fill="auto" w:val="clear"/>
            <w:vAlign w:val="center"/>
          </w:tcPr>
          <w:p>
            <w:pPr>
              <w:pStyle w:val="TableParagraph"/>
              <w:widowControl w:val="false"/>
              <w:ind w:left="0" w:right="0" w:hanging="0"/>
              <w:jc w:val="center"/>
              <w:rPr>
                <w:spacing w:val="-10"/>
              </w:rPr>
            </w:pPr>
            <w:r>
              <w:rPr>
                <w:rFonts w:eastAsia="SimSun;宋体" w:cs="Mangal" w:ascii="CaLIBRI" w:hAnsi="CaLIBRI"/>
                <w:color w:val="000000"/>
                <w:spacing w:val="-10"/>
                <w:kern w:val="2"/>
                <w:sz w:val="18"/>
                <w:szCs w:val="18"/>
                <w:shd w:fill="auto" w:val="clear"/>
                <w:lang w:val="pt-PT" w:eastAsia="en-US" w:bidi="hi-IN"/>
              </w:rPr>
              <w:t>SVC</w:t>
            </w:r>
          </w:p>
        </w:tc>
        <w:tc>
          <w:tcPr>
            <w:tcW w:w="102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jc w:val="center"/>
              <w:rPr>
                <w:spacing w:val="-10"/>
              </w:rPr>
            </w:pPr>
            <w:r>
              <w:rPr>
                <w:rFonts w:eastAsia="SimSun;宋体" w:cs="Mangal" w:ascii="CaLIBRI" w:hAnsi="CaLIBRI"/>
                <w:b w:val="false"/>
                <w:bCs w:val="false"/>
                <w:color w:val="000000"/>
                <w:spacing w:val="-10"/>
                <w:kern w:val="2"/>
                <w:sz w:val="18"/>
                <w:szCs w:val="18"/>
                <w:shd w:fill="auto" w:val="clear"/>
                <w:lang w:bidi="hi-IN"/>
              </w:rPr>
              <w:t>R$ 5.000,00</w:t>
            </w:r>
          </w:p>
        </w:tc>
        <w:tc>
          <w:tcPr>
            <w:tcW w:w="566" w:type="dxa"/>
            <w:tcBorders>
              <w:top w:val="single" w:sz="4" w:space="0" w:color="000000"/>
              <w:left w:val="single" w:sz="4" w:space="0" w:color="000000"/>
              <w:bottom w:val="single" w:sz="4" w:space="0" w:color="000000"/>
              <w:right w:val="single" w:sz="4" w:space="0" w:color="000000"/>
            </w:tcBorders>
            <w:shd w:fill="auto" w:val="clear"/>
            <w:vAlign w:val="center"/>
          </w:tcPr>
          <w:p>
            <w:pPr>
              <w:pStyle w:val="Contedodatabela"/>
              <w:widowControl w:val="false"/>
              <w:jc w:val="center"/>
              <w:rPr>
                <w:spacing w:val="-10"/>
              </w:rPr>
            </w:pPr>
            <w:r>
              <w:rPr>
                <w:rFonts w:eastAsia="SimSun;宋体" w:cs="Mangal" w:ascii="CaLIBRI" w:hAnsi="CaLIBRI"/>
                <w:color w:val="000000"/>
                <w:spacing w:val="-10"/>
                <w:kern w:val="2"/>
                <w:sz w:val="18"/>
                <w:szCs w:val="18"/>
                <w:shd w:fill="auto" w:val="clear"/>
                <w:lang w:bidi="hi-IN"/>
              </w:rPr>
              <w:t>2</w:t>
            </w:r>
          </w:p>
        </w:tc>
        <w:tc>
          <w:tcPr>
            <w:tcW w:w="1078" w:type="dxa"/>
            <w:tcBorders>
              <w:top w:val="single" w:sz="4" w:space="0" w:color="000000"/>
              <w:left w:val="single" w:sz="4" w:space="0" w:color="000000"/>
              <w:bottom w:val="single" w:sz="4" w:space="0" w:color="000000"/>
              <w:right w:val="single" w:sz="4" w:space="0" w:color="000000"/>
            </w:tcBorders>
            <w:shd w:fill="auto" w:val="clear"/>
            <w:vAlign w:val="center"/>
          </w:tcPr>
          <w:p>
            <w:pPr>
              <w:pStyle w:val="Contedodatabela"/>
              <w:widowControl w:val="false"/>
              <w:jc w:val="center"/>
              <w:rPr>
                <w:spacing w:val="-10"/>
              </w:rPr>
            </w:pPr>
            <w:r>
              <w:rPr>
                <w:rFonts w:eastAsia="SimSun;宋体" w:cs="Mangal" w:ascii="CaLIBRI" w:hAnsi="CaLIBRI"/>
                <w:color w:val="000000"/>
                <w:spacing w:val="-10"/>
                <w:kern w:val="2"/>
                <w:sz w:val="18"/>
                <w:szCs w:val="18"/>
                <w:shd w:fill="auto" w:val="clear"/>
                <w:lang w:bidi="hi-IN"/>
              </w:rPr>
              <w:t>R$ 10.000,00</w:t>
            </w:r>
          </w:p>
        </w:tc>
      </w:tr>
      <w:tr>
        <w:trPr>
          <w:trHeight w:val="1024" w:hRule="atLeast"/>
        </w:trPr>
        <w:tc>
          <w:tcPr>
            <w:tcW w:w="9583" w:type="dxa"/>
            <w:gridSpan w:val="8"/>
            <w:tcBorders>
              <w:left w:val="single" w:sz="4" w:space="0" w:color="000000"/>
              <w:bottom w:val="single" w:sz="4" w:space="0" w:color="000000"/>
              <w:right w:val="single" w:sz="4" w:space="0" w:color="000000"/>
            </w:tcBorders>
            <w:shd w:fill="auto" w:val="clear"/>
            <w:vAlign w:val="center"/>
          </w:tcPr>
          <w:p>
            <w:pPr>
              <w:pStyle w:val="Normal"/>
              <w:widowControl w:val="false"/>
              <w:jc w:val="left"/>
              <w:rPr/>
            </w:pPr>
            <w:r>
              <w:rPr>
                <w:rStyle w:val="Nfaseforte"/>
                <w:rFonts w:eastAsia="SimSun;宋体" w:cs="Mangal" w:ascii="Google Sans;sans-serif" w:hAnsi="Google Sans;sans-serif"/>
                <w:b/>
                <w:strike w:val="false"/>
                <w:dstrike w:val="false"/>
                <w:color w:val="000000"/>
                <w:spacing w:val="-10"/>
                <w:kern w:val="2"/>
                <w:sz w:val="24"/>
                <w:szCs w:val="18"/>
                <w:u w:val="none"/>
                <w:effect w:val="none"/>
                <w:shd w:fill="auto" w:val="clear"/>
                <w:lang w:val="pt-PT" w:eastAsia="en-US" w:bidi="hi-IN"/>
              </w:rPr>
              <w:t>DA VISITA TÉCNICA OBRIGATÓRIA APÓS A ADJUDICAÇÃO / HOMOLOGAÇÃO</w:t>
            </w:r>
          </w:p>
          <w:p>
            <w:pPr>
              <w:pStyle w:val="Normal"/>
              <w:widowControl w:val="false"/>
              <w:jc w:val="left"/>
              <w:rPr>
                <w:rStyle w:val="Nfaseforte"/>
                <w:rFonts w:ascii="Google Sans;sans-serif" w:hAnsi="Google Sans;sans-serif" w:eastAsia="SimSun;宋体" w:cs="Mangal"/>
                <w:b/>
                <w:b/>
                <w:strike w:val="false"/>
                <w:dstrike w:val="false"/>
                <w:color w:val="000000"/>
                <w:spacing w:val="-10"/>
                <w:kern w:val="2"/>
                <w:sz w:val="24"/>
                <w:szCs w:val="18"/>
                <w:u w:val="none"/>
                <w:effect w:val="none"/>
                <w:shd w:fill="auto" w:val="clear"/>
                <w:lang w:val="pt-PT" w:eastAsia="en-US" w:bidi="hi-IN"/>
              </w:rPr>
            </w:pPr>
            <w:r>
              <w:rPr>
                <w:rFonts w:eastAsia="SimSun;宋体" w:cs="Mangal" w:ascii="Google Sans;sans-serif" w:hAnsi="Google Sans;sans-serif"/>
                <w:b/>
                <w:strike w:val="false"/>
                <w:dstrike w:val="false"/>
                <w:color w:val="000000"/>
                <w:spacing w:val="-10"/>
                <w:kern w:val="2"/>
                <w:sz w:val="24"/>
                <w:szCs w:val="18"/>
                <w:u w:val="none"/>
                <w:effect w:val="none"/>
                <w:shd w:fill="auto" w:val="clear"/>
                <w:lang w:val="pt-PT" w:eastAsia="en-US" w:bidi="hi-IN"/>
              </w:rPr>
            </w:r>
          </w:p>
          <w:p>
            <w:pPr>
              <w:pStyle w:val="Normal"/>
              <w:widowControl w:val="false"/>
              <w:spacing w:before="0" w:after="0"/>
              <w:ind w:left="0" w:right="0" w:hanging="0"/>
              <w:rPr/>
            </w:pPr>
            <w:r>
              <w:rPr>
                <w:rStyle w:val="Nfaseforte"/>
                <w:rFonts w:ascii="Google Sans;sans-serif" w:hAnsi="Google Sans;sans-serif"/>
                <w:b/>
                <w:strike w:val="false"/>
                <w:dstrike w:val="false"/>
                <w:sz w:val="24"/>
                <w:u w:val="none"/>
                <w:effect w:val="none"/>
              </w:rPr>
              <w:t>A.</w:t>
            </w:r>
            <w:r>
              <w:rPr>
                <w:rFonts w:ascii="Google Sans;sans-serif" w:hAnsi="Google Sans;sans-serif"/>
                <w:b w:val="false"/>
                <w:strike w:val="false"/>
                <w:dstrike w:val="false"/>
                <w:sz w:val="24"/>
                <w:u w:val="none"/>
                <w:effect w:val="none"/>
              </w:rPr>
              <w:t xml:space="preserve"> O licitante declarado </w:t>
            </w:r>
            <w:r>
              <w:rPr>
                <w:rStyle w:val="Nfaseforte"/>
                <w:rFonts w:ascii="Google Sans;sans-serif" w:hAnsi="Google Sans;sans-serif"/>
                <w:b/>
                <w:strike w:val="false"/>
                <w:dstrike w:val="false"/>
                <w:sz w:val="24"/>
                <w:u w:val="none"/>
                <w:effect w:val="none"/>
              </w:rPr>
              <w:t>vencedor</w:t>
            </w:r>
            <w:r>
              <w:rPr>
                <w:rFonts w:ascii="Google Sans;sans-serif" w:hAnsi="Google Sans;sans-serif"/>
                <w:b w:val="false"/>
                <w:strike w:val="false"/>
                <w:dstrike w:val="false"/>
                <w:sz w:val="24"/>
                <w:u w:val="none"/>
                <w:effect w:val="none"/>
              </w:rPr>
              <w:t xml:space="preserve"> (adjudicatário) terá a obrigação de realizar </w:t>
            </w:r>
            <w:r>
              <w:rPr>
                <w:rStyle w:val="Nfaseforte"/>
                <w:rFonts w:ascii="Google Sans;sans-serif" w:hAnsi="Google Sans;sans-serif"/>
                <w:b/>
                <w:strike w:val="false"/>
                <w:dstrike w:val="false"/>
                <w:sz w:val="24"/>
                <w:u w:val="none"/>
                <w:effect w:val="none"/>
              </w:rPr>
              <w:t>01 (uma) visita técnica prévia ao local de instalação</w:t>
            </w:r>
            <w:r>
              <w:rPr>
                <w:rFonts w:ascii="Google Sans;sans-serif" w:hAnsi="Google Sans;sans-serif"/>
                <w:b w:val="false"/>
                <w:strike w:val="false"/>
                <w:dstrike w:val="false"/>
                <w:sz w:val="24"/>
                <w:u w:val="none"/>
                <w:effect w:val="none"/>
              </w:rPr>
              <w:t xml:space="preserve">, acompanhado de profissional habilitado (marceneiro/projetista), no prazo máximo de </w:t>
            </w:r>
            <w:r>
              <w:rPr>
                <w:rStyle w:val="Nfaseforte"/>
                <w:rFonts w:ascii="Google Sans;sans-serif" w:hAnsi="Google Sans;sans-serif"/>
                <w:b/>
                <w:strike w:val="false"/>
                <w:dstrike w:val="false"/>
                <w:sz w:val="24"/>
                <w:u w:val="none"/>
                <w:effect w:val="none"/>
              </w:rPr>
              <w:t>05 (cinco) dias úteis</w:t>
            </w:r>
            <w:r>
              <w:rPr>
                <w:rFonts w:ascii="Google Sans;sans-serif" w:hAnsi="Google Sans;sans-serif"/>
                <w:b w:val="false"/>
                <w:strike w:val="false"/>
                <w:dstrike w:val="false"/>
                <w:sz w:val="24"/>
                <w:u w:val="none"/>
                <w:effect w:val="none"/>
              </w:rPr>
              <w:t xml:space="preserve"> contados da convocação pela Administração, e sempre em momento anterior ao início da fabricação do mobiliário.</w:t>
            </w:r>
          </w:p>
          <w:p>
            <w:pPr>
              <w:pStyle w:val="Normal"/>
              <w:widowControl w:val="false"/>
              <w:spacing w:before="0" w:after="0"/>
              <w:ind w:left="0" w:right="0" w:hanging="0"/>
              <w:rPr>
                <w:rFonts w:ascii="Google Sans;sans-serif" w:hAnsi="Google Sans;sans-serif"/>
                <w:b w:val="false"/>
                <w:b w:val="false"/>
                <w:strike w:val="false"/>
                <w:dstrike w:val="false"/>
                <w:sz w:val="24"/>
                <w:u w:val="none"/>
                <w:effect w:val="none"/>
              </w:rPr>
            </w:pPr>
            <w:r>
              <w:rPr>
                <w:rFonts w:ascii="Google Sans;sans-serif" w:hAnsi="Google Sans;sans-serif"/>
                <w:b w:val="false"/>
                <w:strike w:val="false"/>
                <w:dstrike w:val="false"/>
                <w:sz w:val="24"/>
                <w:u w:val="none"/>
                <w:effect w:val="none"/>
              </w:rPr>
            </w:r>
          </w:p>
          <w:p>
            <w:pPr>
              <w:pStyle w:val="Normal"/>
              <w:widowControl w:val="false"/>
              <w:spacing w:before="0" w:after="283"/>
              <w:ind w:left="0" w:right="0" w:hanging="0"/>
              <w:rPr/>
            </w:pPr>
            <w:r>
              <w:rPr>
                <w:rStyle w:val="Nfaseforte"/>
                <w:rFonts w:ascii="Google Sans;sans-serif" w:hAnsi="Google Sans;sans-serif"/>
                <w:b/>
                <w:strike w:val="false"/>
                <w:dstrike w:val="false"/>
                <w:sz w:val="24"/>
                <w:u w:val="none"/>
                <w:effect w:val="none"/>
              </w:rPr>
              <w:t>B.</w:t>
            </w:r>
            <w:r>
              <w:rPr>
                <w:rFonts w:ascii="Google Sans;sans-serif" w:hAnsi="Google Sans;sans-serif"/>
                <w:b w:val="false"/>
                <w:strike w:val="false"/>
                <w:dstrike w:val="false"/>
                <w:sz w:val="24"/>
                <w:u w:val="none"/>
                <w:effect w:val="none"/>
              </w:rPr>
              <w:t xml:space="preserve"> A visita técnica terá como finalidades estritas:</w:t>
            </w:r>
          </w:p>
          <w:p>
            <w:pPr>
              <w:pStyle w:val="Corpodotexto"/>
              <w:widowControl w:val="false"/>
              <w:numPr>
                <w:ilvl w:val="0"/>
                <w:numId w:val="3"/>
              </w:numPr>
              <w:tabs>
                <w:tab w:val="clear" w:pos="709"/>
                <w:tab w:val="left" w:pos="0" w:leader="none"/>
              </w:tabs>
              <w:spacing w:before="0" w:after="0"/>
              <w:ind w:left="0" w:right="0" w:hanging="283"/>
              <w:rPr/>
            </w:pPr>
            <w:r>
              <w:rPr>
                <w:rStyle w:val="Nfaseforte"/>
                <w:rFonts w:ascii="Google Sans;sans-serif" w:hAnsi="Google Sans;sans-serif"/>
                <w:b/>
                <w:strike w:val="false"/>
                <w:dstrike w:val="false"/>
                <w:sz w:val="24"/>
                <w:u w:val="none"/>
                <w:effect w:val="none"/>
              </w:rPr>
              <w:t>1)</w:t>
            </w:r>
            <w:r>
              <w:rPr>
                <w:rFonts w:ascii="Google Sans;sans-serif" w:hAnsi="Google Sans;sans-serif"/>
                <w:b w:val="false"/>
                <w:strike w:val="false"/>
                <w:dstrike w:val="false"/>
                <w:sz w:val="24"/>
                <w:u w:val="none"/>
                <w:effect w:val="none"/>
              </w:rPr>
              <w:t xml:space="preserve"> Aferição milimétrica das dimensões do local onde a mesa será instalada;</w:t>
            </w:r>
          </w:p>
          <w:p>
            <w:pPr>
              <w:pStyle w:val="Corpodotexto"/>
              <w:widowControl w:val="false"/>
              <w:numPr>
                <w:ilvl w:val="0"/>
                <w:numId w:val="3"/>
              </w:numPr>
              <w:tabs>
                <w:tab w:val="clear" w:pos="709"/>
                <w:tab w:val="left" w:pos="0" w:leader="none"/>
              </w:tabs>
              <w:spacing w:before="0" w:after="0"/>
              <w:ind w:left="0" w:right="0" w:hanging="283"/>
              <w:rPr>
                <w:rFonts w:ascii="Google Sans;sans-serif" w:hAnsi="Google Sans;sans-serif"/>
                <w:b w:val="false"/>
                <w:b w:val="false"/>
                <w:strike w:val="false"/>
                <w:dstrike w:val="false"/>
                <w:sz w:val="24"/>
                <w:u w:val="none"/>
                <w:effect w:val="none"/>
              </w:rPr>
            </w:pPr>
            <w:r>
              <w:rPr>
                <w:rFonts w:ascii="Google Sans;sans-serif" w:hAnsi="Google Sans;sans-serif"/>
                <w:b w:val="false"/>
                <w:strike w:val="false"/>
                <w:dstrike w:val="false"/>
                <w:sz w:val="24"/>
                <w:u w:val="none"/>
                <w:effect w:val="none"/>
              </w:rPr>
            </w:r>
          </w:p>
          <w:p>
            <w:pPr>
              <w:pStyle w:val="Corpodotexto"/>
              <w:widowControl w:val="false"/>
              <w:numPr>
                <w:ilvl w:val="0"/>
                <w:numId w:val="3"/>
              </w:numPr>
              <w:tabs>
                <w:tab w:val="clear" w:pos="709"/>
                <w:tab w:val="left" w:pos="0" w:leader="none"/>
              </w:tabs>
              <w:spacing w:before="0" w:after="0"/>
              <w:ind w:left="0" w:right="0" w:hanging="283"/>
              <w:rPr/>
            </w:pPr>
            <w:r>
              <w:rPr>
                <w:rStyle w:val="Nfaseforte"/>
                <w:rFonts w:ascii="Google Sans;sans-serif" w:hAnsi="Google Sans;sans-serif"/>
                <w:b/>
                <w:strike w:val="false"/>
                <w:dstrike w:val="false"/>
                <w:sz w:val="24"/>
                <w:u w:val="none"/>
                <w:effect w:val="none"/>
              </w:rPr>
              <w:t>2)</w:t>
            </w:r>
            <w:r>
              <w:rPr>
                <w:rFonts w:ascii="Google Sans;sans-serif" w:hAnsi="Google Sans;sans-serif"/>
                <w:b w:val="false"/>
                <w:strike w:val="false"/>
                <w:dstrike w:val="false"/>
                <w:sz w:val="24"/>
                <w:u w:val="none"/>
                <w:effect w:val="none"/>
              </w:rPr>
              <w:t xml:space="preserve"> Avaliação das rotas de logística interna (vãos de portas, corredores, dimensões de elevadores e viabilidade de içamento) devido ao elevado peso e dimensões do móvel maciço;</w:t>
            </w:r>
          </w:p>
          <w:p>
            <w:pPr>
              <w:pStyle w:val="Corpodotexto"/>
              <w:widowControl w:val="false"/>
              <w:numPr>
                <w:ilvl w:val="0"/>
                <w:numId w:val="3"/>
              </w:numPr>
              <w:tabs>
                <w:tab w:val="clear" w:pos="709"/>
                <w:tab w:val="left" w:pos="0" w:leader="none"/>
              </w:tabs>
              <w:spacing w:before="0" w:after="0"/>
              <w:ind w:left="0" w:right="0" w:hanging="283"/>
              <w:rPr>
                <w:rFonts w:ascii="Google Sans;sans-serif" w:hAnsi="Google Sans;sans-serif"/>
                <w:b w:val="false"/>
                <w:b w:val="false"/>
                <w:strike w:val="false"/>
                <w:dstrike w:val="false"/>
                <w:sz w:val="24"/>
                <w:u w:val="none"/>
                <w:effect w:val="none"/>
              </w:rPr>
            </w:pPr>
            <w:r>
              <w:rPr>
                <w:rFonts w:ascii="Google Sans;sans-serif" w:hAnsi="Google Sans;sans-serif"/>
                <w:b w:val="false"/>
                <w:strike w:val="false"/>
                <w:dstrike w:val="false"/>
                <w:sz w:val="24"/>
                <w:u w:val="none"/>
                <w:effect w:val="none"/>
              </w:rPr>
            </w:r>
          </w:p>
          <w:p>
            <w:pPr>
              <w:pStyle w:val="Corpodotexto"/>
              <w:widowControl w:val="false"/>
              <w:numPr>
                <w:ilvl w:val="0"/>
                <w:numId w:val="3"/>
              </w:numPr>
              <w:tabs>
                <w:tab w:val="clear" w:pos="709"/>
                <w:tab w:val="left" w:pos="0" w:leader="none"/>
              </w:tabs>
              <w:spacing w:before="0" w:after="0"/>
              <w:ind w:left="0" w:right="0" w:hanging="283"/>
              <w:rPr/>
            </w:pPr>
            <w:r>
              <w:rPr>
                <w:rStyle w:val="Nfaseforte"/>
                <w:rFonts w:ascii="Google Sans;sans-serif" w:hAnsi="Google Sans;sans-serif"/>
                <w:b/>
                <w:strike w:val="false"/>
                <w:dstrike w:val="false"/>
                <w:sz w:val="24"/>
                <w:u w:val="none"/>
                <w:effect w:val="none"/>
              </w:rPr>
              <w:t>3)</w:t>
            </w:r>
            <w:r>
              <w:rPr>
                <w:rFonts w:ascii="Google Sans;sans-serif" w:hAnsi="Google Sans;sans-serif"/>
                <w:b w:val="false"/>
                <w:strike w:val="false"/>
                <w:dstrike w:val="false"/>
                <w:sz w:val="24"/>
                <w:u w:val="none"/>
                <w:effect w:val="none"/>
              </w:rPr>
              <w:t xml:space="preserve"> Coleta de amostra cromática (padrão de cor e brilho) para a perfeita equalização ao conjunto mobiliário existente no ambiente.</w:t>
            </w:r>
          </w:p>
          <w:p>
            <w:pPr>
              <w:pStyle w:val="Corpodotexto"/>
              <w:widowControl w:val="false"/>
              <w:numPr>
                <w:ilvl w:val="0"/>
                <w:numId w:val="0"/>
              </w:numPr>
              <w:spacing w:before="0" w:after="0"/>
              <w:ind w:left="0" w:right="0" w:hanging="0"/>
              <w:rPr>
                <w:rFonts w:ascii="Google Sans;sans-serif" w:hAnsi="Google Sans;sans-serif"/>
                <w:b w:val="false"/>
                <w:b w:val="false"/>
                <w:strike w:val="false"/>
                <w:dstrike w:val="false"/>
                <w:sz w:val="24"/>
                <w:u w:val="none"/>
                <w:effect w:val="none"/>
              </w:rPr>
            </w:pPr>
            <w:r>
              <w:rPr>
                <w:rFonts w:ascii="Google Sans;sans-serif" w:hAnsi="Google Sans;sans-serif"/>
                <w:b w:val="false"/>
                <w:strike w:val="false"/>
                <w:dstrike w:val="false"/>
                <w:sz w:val="24"/>
                <w:u w:val="none"/>
                <w:effect w:val="none"/>
              </w:rPr>
            </w:r>
          </w:p>
          <w:p>
            <w:pPr>
              <w:pStyle w:val="Corpodotexto"/>
              <w:widowControl w:val="false"/>
              <w:spacing w:before="0" w:after="0"/>
              <w:ind w:left="0" w:right="0" w:hanging="0"/>
              <w:rPr/>
            </w:pPr>
            <w:r>
              <w:rPr>
                <w:rStyle w:val="Nfaseforte"/>
                <w:rFonts w:ascii="Google Sans;sans-serif" w:hAnsi="Google Sans;sans-serif"/>
                <w:b/>
                <w:strike w:val="false"/>
                <w:dstrike w:val="false"/>
                <w:sz w:val="24"/>
                <w:u w:val="none"/>
                <w:effect w:val="none"/>
              </w:rPr>
              <w:t>C.</w:t>
            </w:r>
            <w:r>
              <w:rPr>
                <w:rFonts w:ascii="Google Sans;sans-serif" w:hAnsi="Google Sans;sans-serif"/>
                <w:b w:val="false"/>
                <w:strike w:val="false"/>
                <w:dstrike w:val="false"/>
                <w:sz w:val="24"/>
                <w:u w:val="none"/>
                <w:effect w:val="none"/>
              </w:rPr>
              <w:t xml:space="preserve"> A realização da visita técnica técnica </w:t>
            </w:r>
            <w:r>
              <w:rPr>
                <w:rStyle w:val="Nfaseforte"/>
                <w:rFonts w:ascii="Google Sans;sans-serif" w:hAnsi="Google Sans;sans-serif"/>
                <w:b/>
                <w:strike w:val="false"/>
                <w:dstrike w:val="false"/>
                <w:sz w:val="24"/>
                <w:u w:val="none"/>
                <w:effect w:val="none"/>
              </w:rPr>
              <w:t>não ensejará, sob hipótese alguma, direito à alteração dos preços ofertados</w:t>
            </w:r>
            <w:r>
              <w:rPr>
                <w:rFonts w:ascii="Google Sans;sans-serif" w:hAnsi="Google Sans;sans-serif"/>
                <w:b w:val="false"/>
                <w:strike w:val="false"/>
                <w:dstrike w:val="false"/>
                <w:sz w:val="24"/>
                <w:u w:val="none"/>
                <w:effect w:val="none"/>
              </w:rPr>
              <w:t xml:space="preserve"> na proposta, alteração das especificações técnicas mínimas da madeira ou pedido de reequilíbrio econômico-financeiro.</w:t>
            </w:r>
          </w:p>
          <w:p>
            <w:pPr>
              <w:pStyle w:val="Corpodotexto"/>
              <w:widowControl w:val="false"/>
              <w:spacing w:before="0" w:after="0"/>
              <w:ind w:left="0" w:right="0" w:hanging="0"/>
              <w:rPr>
                <w:rFonts w:ascii="Google Sans;sans-serif" w:hAnsi="Google Sans;sans-serif"/>
                <w:b w:val="false"/>
                <w:b w:val="false"/>
                <w:strike w:val="false"/>
                <w:dstrike w:val="false"/>
                <w:sz w:val="24"/>
                <w:u w:val="none"/>
                <w:effect w:val="none"/>
              </w:rPr>
            </w:pPr>
            <w:r>
              <w:rPr>
                <w:rFonts w:ascii="Google Sans;sans-serif" w:hAnsi="Google Sans;sans-serif"/>
                <w:b w:val="false"/>
                <w:strike w:val="false"/>
                <w:dstrike w:val="false"/>
                <w:sz w:val="24"/>
                <w:u w:val="none"/>
                <w:effect w:val="none"/>
              </w:rPr>
            </w:r>
          </w:p>
          <w:p>
            <w:pPr>
              <w:pStyle w:val="Corpodotexto"/>
              <w:widowControl w:val="false"/>
              <w:spacing w:before="0" w:after="0"/>
              <w:ind w:left="0" w:right="0" w:hanging="0"/>
              <w:rPr/>
            </w:pPr>
            <w:r>
              <w:rPr>
                <w:rStyle w:val="Nfaseforte"/>
                <w:rFonts w:ascii="Google Sans;sans-serif" w:hAnsi="Google Sans;sans-serif"/>
                <w:b/>
                <w:strike w:val="false"/>
                <w:dstrike w:val="false"/>
                <w:sz w:val="24"/>
                <w:u w:val="none"/>
                <w:effect w:val="none"/>
              </w:rPr>
              <w:t>D.</w:t>
            </w:r>
            <w:r>
              <w:rPr>
                <w:rFonts w:ascii="Google Sans;sans-serif" w:hAnsi="Google Sans;sans-serif"/>
                <w:b w:val="false"/>
                <w:strike w:val="false"/>
                <w:dstrike w:val="false"/>
                <w:sz w:val="24"/>
                <w:u w:val="none"/>
                <w:effect w:val="none"/>
              </w:rPr>
              <w:t xml:space="preserve"> Todas as despesas com deslocamento, transporte, hospedagem ou honorários de profissionais para a realização desta visita técnica correrão </w:t>
            </w:r>
            <w:r>
              <w:rPr>
                <w:rStyle w:val="Nfaseforte"/>
                <w:rFonts w:ascii="Google Sans;sans-serif" w:hAnsi="Google Sans;sans-serif"/>
                <w:b/>
                <w:strike w:val="false"/>
                <w:dstrike w:val="false"/>
                <w:sz w:val="24"/>
                <w:u w:val="none"/>
                <w:effect w:val="none"/>
              </w:rPr>
              <w:t>exclusivamente por conta da empresa adjudicatária</w:t>
            </w:r>
            <w:r>
              <w:rPr>
                <w:rFonts w:ascii="Google Sans;sans-serif" w:hAnsi="Google Sans;sans-serif"/>
                <w:b w:val="false"/>
                <w:strike w:val="false"/>
                <w:dstrike w:val="false"/>
                <w:sz w:val="24"/>
                <w:u w:val="none"/>
                <w:effect w:val="none"/>
              </w:rPr>
              <w:t>.</w:t>
            </w:r>
          </w:p>
          <w:p>
            <w:pPr>
              <w:pStyle w:val="Corpodotexto"/>
              <w:widowControl w:val="false"/>
              <w:spacing w:before="0" w:after="0"/>
              <w:ind w:left="0" w:right="0" w:hanging="0"/>
              <w:rPr>
                <w:rFonts w:ascii="Google Sans;sans-serif" w:hAnsi="Google Sans;sans-serif"/>
                <w:b w:val="false"/>
                <w:b w:val="false"/>
                <w:strike w:val="false"/>
                <w:dstrike w:val="false"/>
                <w:sz w:val="24"/>
                <w:u w:val="none"/>
                <w:effect w:val="none"/>
              </w:rPr>
            </w:pPr>
            <w:r>
              <w:rPr>
                <w:rFonts w:ascii="Google Sans;sans-serif" w:hAnsi="Google Sans;sans-serif"/>
                <w:b w:val="false"/>
                <w:strike w:val="false"/>
                <w:dstrike w:val="false"/>
                <w:sz w:val="24"/>
                <w:u w:val="none"/>
                <w:effect w:val="none"/>
              </w:rPr>
            </w:r>
          </w:p>
          <w:p>
            <w:pPr>
              <w:pStyle w:val="Corpodotexto"/>
              <w:widowControl w:val="false"/>
              <w:spacing w:before="0" w:after="0"/>
              <w:ind w:left="0" w:right="0" w:hanging="0"/>
              <w:rPr/>
            </w:pPr>
            <w:r>
              <w:rPr>
                <w:rStyle w:val="Nfaseforte"/>
                <w:rFonts w:ascii="Google Sans;sans-serif" w:hAnsi="Google Sans;sans-serif"/>
                <w:b/>
                <w:strike w:val="false"/>
                <w:dstrike w:val="false"/>
                <w:sz w:val="24"/>
                <w:u w:val="none"/>
                <w:effect w:val="none"/>
              </w:rPr>
              <w:t>E.</w:t>
            </w:r>
            <w:r>
              <w:rPr>
                <w:rFonts w:ascii="Google Sans;sans-serif" w:hAnsi="Google Sans;sans-serif"/>
                <w:b w:val="false"/>
                <w:strike w:val="false"/>
                <w:dstrike w:val="false"/>
                <w:sz w:val="24"/>
                <w:u w:val="none"/>
                <w:effect w:val="none"/>
              </w:rPr>
              <w:t xml:space="preserve"> Caso o fornecedor vencedor se recuse a realizar a visita técnica no prazo estipulado, ou após realizá-la tente modificar as condições da proposta alegando dificuldades locais aparentes, configurará </w:t>
            </w:r>
            <w:r>
              <w:rPr>
                <w:rStyle w:val="Nfaseforte"/>
                <w:rFonts w:ascii="Google Sans;sans-serif" w:hAnsi="Google Sans;sans-serif"/>
                <w:b/>
                <w:strike w:val="false"/>
                <w:dstrike w:val="false"/>
                <w:sz w:val="24"/>
                <w:u w:val="none"/>
                <w:effect w:val="none"/>
              </w:rPr>
              <w:t>recusa injustificada em assinar o contrato/ata</w:t>
            </w:r>
            <w:r>
              <w:rPr>
                <w:rFonts w:ascii="Google Sans;sans-serif" w:hAnsi="Google Sans;sans-serif"/>
                <w:b w:val="false"/>
                <w:strike w:val="false"/>
                <w:dstrike w:val="false"/>
                <w:sz w:val="24"/>
                <w:u w:val="none"/>
                <w:effect w:val="none"/>
              </w:rPr>
              <w:t>, sujeitando o licitante à perda do direito à contratação e à aplicação das sanções administrativas previstas no Art. 156 da Lei nº 14.133/2021, sem prejuízo da convocação do próximo classificado.</w:t>
            </w:r>
          </w:p>
          <w:p>
            <w:pPr>
              <w:pStyle w:val="TableParagraph"/>
              <w:widowControl w:val="false"/>
              <w:jc w:val="left"/>
              <w:rPr>
                <w:rFonts w:ascii="CaLIBRI" w:hAnsi="CaLIBRI" w:eastAsia="SimSun;宋体" w:cs="Mangal"/>
                <w:b/>
                <w:b/>
                <w:bCs/>
                <w:color w:val="auto"/>
                <w:spacing w:val="-4"/>
                <w:kern w:val="2"/>
                <w:sz w:val="18"/>
                <w:szCs w:val="18"/>
                <w:shd w:fill="auto" w:val="clear"/>
                <w:lang w:val="pt-PT" w:eastAsia="en-US" w:bidi="hi-IN"/>
              </w:rPr>
            </w:pPr>
            <w:r>
              <w:rPr>
                <w:rFonts w:eastAsia="SimSun;宋体" w:cs="Mangal" w:ascii="CaLIBRI" w:hAnsi="CaLIBRI"/>
                <w:b/>
                <w:bCs/>
                <w:color w:val="000000"/>
                <w:spacing w:val="-4"/>
                <w:kern w:val="2"/>
                <w:sz w:val="18"/>
                <w:szCs w:val="18"/>
                <w:shd w:fill="auto" w:val="clear"/>
                <w:lang w:val="pt-PT" w:eastAsia="en-US" w:bidi="hi-IN"/>
              </w:rPr>
            </w:r>
          </w:p>
        </w:tc>
      </w:tr>
    </w:tbl>
    <w:p>
      <w:pPr>
        <w:pStyle w:val="Nvel2Opcional1"/>
        <w:widowControl/>
        <w:numPr>
          <w:ilvl w:val="1"/>
          <w:numId w:val="2"/>
        </w:numPr>
        <w:shd w:val="clear" w:fill="FFFFFF"/>
        <w:tabs>
          <w:tab w:val="left" w:pos="510" w:leader="none"/>
          <w:tab w:val="left" w:pos="735" w:leader="none"/>
        </w:tabs>
        <w:suppressAutoHyphens w:val="true"/>
        <w:bidi w:val="0"/>
        <w:spacing w:lineRule="auto" w:line="276" w:before="0" w:after="0"/>
        <w:ind w:left="454" w:right="0" w:firstLine="113"/>
        <w:jc w:val="both"/>
        <w:rPr>
          <w:rFonts w:ascii="Carlito" w:hAnsi="Carlito"/>
          <w:sz w:val="24"/>
          <w:szCs w:val="24"/>
        </w:rPr>
      </w:pPr>
      <w:r>
        <w:rPr>
          <w:rFonts w:ascii="Carlito" w:hAnsi="Carlito"/>
          <w:color w:val="000000"/>
          <w:sz w:val="24"/>
          <w:szCs w:val="24"/>
        </w:rPr>
        <w:t xml:space="preserve">O(s) serviço(s) objeto desta contratação são caracterizados como </w:t>
      </w:r>
      <w:r>
        <w:rPr>
          <w:rFonts w:ascii="Carlito" w:hAnsi="Carlito"/>
          <w:b/>
          <w:bCs/>
          <w:color w:val="000000"/>
          <w:sz w:val="24"/>
          <w:szCs w:val="24"/>
        </w:rPr>
        <w:t>comuns.</w:t>
      </w:r>
    </w:p>
    <w:p>
      <w:pPr>
        <w:pStyle w:val="Nvel2Opcional1"/>
        <w:widowControl/>
        <w:numPr>
          <w:ilvl w:val="1"/>
          <w:numId w:val="2"/>
        </w:numPr>
        <w:shd w:val="clear" w:fill="FFFFFF"/>
        <w:tabs>
          <w:tab w:val="left" w:pos="510" w:leader="none"/>
          <w:tab w:val="left" w:pos="735" w:leader="none"/>
        </w:tabs>
        <w:suppressAutoHyphens w:val="true"/>
        <w:bidi w:val="0"/>
        <w:spacing w:lineRule="auto" w:line="276" w:before="0" w:after="0"/>
        <w:ind w:left="0" w:right="0" w:firstLine="567"/>
        <w:jc w:val="both"/>
        <w:rPr>
          <w:rFonts w:ascii="Carlito" w:hAnsi="Carlito"/>
          <w:sz w:val="24"/>
          <w:szCs w:val="24"/>
        </w:rPr>
      </w:pPr>
      <w:r>
        <w:rPr>
          <w:rFonts w:ascii="Carlito" w:hAnsi="Carlito"/>
          <w:color w:val="000000"/>
          <w:sz w:val="24"/>
          <w:szCs w:val="24"/>
        </w:rPr>
        <w:t xml:space="preserve">O prazo de vigência da contratação é de </w:t>
      </w:r>
      <w:r>
        <w:rPr>
          <w:rFonts w:ascii="Carlito" w:hAnsi="Carlito"/>
          <w:b/>
          <w:bCs/>
          <w:color w:val="000000"/>
          <w:sz w:val="24"/>
          <w:szCs w:val="24"/>
        </w:rPr>
        <w:t>30 dias</w:t>
      </w:r>
      <w:r>
        <w:rPr>
          <w:rFonts w:ascii="Carlito" w:hAnsi="Carlito"/>
          <w:color w:val="000000"/>
          <w:sz w:val="24"/>
          <w:szCs w:val="24"/>
        </w:rPr>
        <w:t xml:space="preserve"> contados do(a) </w:t>
      </w:r>
      <w:r>
        <w:rPr>
          <w:rFonts w:ascii="Carlito" w:hAnsi="Carlito"/>
          <w:b/>
          <w:bCs/>
          <w:color w:val="000000"/>
          <w:sz w:val="24"/>
          <w:szCs w:val="24"/>
        </w:rPr>
        <w:t>assinatura do contrato</w:t>
      </w:r>
      <w:r>
        <w:rPr>
          <w:rFonts w:ascii="Carlito" w:hAnsi="Carlito"/>
          <w:color w:val="000000"/>
          <w:sz w:val="24"/>
          <w:szCs w:val="24"/>
        </w:rPr>
        <w:t xml:space="preserve">, na forma do artigo </w:t>
      </w:r>
      <w:bookmarkStart w:id="1" w:name="__DdeLink__5149_3526926466"/>
      <w:r>
        <w:rPr>
          <w:rFonts w:ascii="Carlito" w:hAnsi="Carlito"/>
          <w:color w:val="000000"/>
          <w:sz w:val="24"/>
          <w:szCs w:val="24"/>
        </w:rPr>
        <w:t>105 da Lei n° 14.133, de 2021</w:t>
      </w:r>
      <w:bookmarkEnd w:id="1"/>
      <w:r>
        <w:rPr>
          <w:rFonts w:ascii="Carlito" w:hAnsi="Carlito"/>
          <w:color w:val="000000"/>
          <w:sz w:val="24"/>
          <w:szCs w:val="24"/>
        </w:rPr>
        <w:t>.</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sz w:val="24"/>
          <w:szCs w:val="24"/>
        </w:rPr>
      </w:pPr>
      <w:r>
        <w:rPr>
          <w:rFonts w:ascii="Carlito" w:hAnsi="Carlito"/>
          <w:sz w:val="24"/>
          <w:szCs w:val="24"/>
        </w:rPr>
        <w:t>O contrato ou outro instrumento hábil que o substitua oferece maior detalhamento das regras que serão aplicadas em relação à vigência da contratação.</w:t>
      </w:r>
    </w:p>
    <w:p>
      <w:pPr>
        <w:pStyle w:val="Nvel02"/>
        <w:widowControl/>
        <w:numPr>
          <w:ilvl w:val="0"/>
          <w:numId w:val="0"/>
        </w:numPr>
        <w:shd w:val="clear" w:fill="FFFFFF"/>
        <w:suppressAutoHyphens w:val="true"/>
        <w:bidi w:val="0"/>
        <w:spacing w:lineRule="auto" w:line="276" w:before="0" w:after="0"/>
        <w:ind w:left="1080" w:right="0" w:hanging="0"/>
        <w:jc w:val="both"/>
        <w:rPr>
          <w:rFonts w:ascii="Carlito" w:hAnsi="Carlito"/>
          <w:sz w:val="24"/>
          <w:szCs w:val="24"/>
        </w:rPr>
      </w:pPr>
      <w:r>
        <w:rPr>
          <w:rFonts w:ascii="Carlito" w:hAnsi="Carlito"/>
          <w:sz w:val="24"/>
          <w:szCs w:val="24"/>
        </w:rPr>
      </w:r>
    </w:p>
    <w:p>
      <w:pPr>
        <w:pStyle w:val="Nivel01"/>
        <w:widowControl/>
        <w:numPr>
          <w:ilvl w:val="0"/>
          <w:numId w:val="2"/>
        </w:numPr>
        <w:shd w:val="clear" w:fill="FFFFFF"/>
        <w:tabs>
          <w:tab w:val="left" w:pos="120" w:leader="none"/>
          <w:tab w:val="left" w:pos="345" w:leader="none"/>
          <w:tab w:val="left" w:pos="570" w:leader="none"/>
          <w:tab w:val="left" w:pos="735" w:leader="none"/>
        </w:tabs>
        <w:suppressAutoHyphens w:val="true"/>
        <w:bidi w:val="0"/>
        <w:spacing w:lineRule="auto" w:line="276" w:before="0" w:after="0"/>
        <w:ind w:left="357" w:right="0" w:hanging="35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FUNDAMENTAÇÃO E DESCRIÇÃO DA NECESSIDADE DA CONTRATAÇÃO</w:t>
      </w:r>
    </w:p>
    <w:p>
      <w:pPr>
        <w:pStyle w:val="Nvel2Opcional1"/>
        <w:widowControl/>
        <w:numPr>
          <w:ilvl w:val="1"/>
          <w:numId w:val="2"/>
        </w:numPr>
        <w:shd w:val="clear" w:fill="FFFFFF"/>
        <w:tabs>
          <w:tab w:val="left" w:pos="735" w:leader="none"/>
          <w:tab w:val="left" w:pos="1695" w:leader="none"/>
        </w:tabs>
        <w:suppressAutoHyphens w:val="true"/>
        <w:bidi w:val="0"/>
        <w:spacing w:lineRule="auto" w:line="276" w:before="0" w:after="0"/>
        <w:ind w:left="0" w:right="0" w:firstLine="567"/>
        <w:jc w:val="both"/>
        <w:rPr>
          <w:rFonts w:ascii="Carlito" w:hAnsi="Carlito"/>
          <w:color w:val="000000"/>
          <w:sz w:val="24"/>
          <w:szCs w:val="24"/>
        </w:rPr>
      </w:pPr>
      <w:r>
        <w:rPr>
          <w:rFonts w:ascii="Carlito" w:hAnsi="Carlito"/>
          <w:color w:val="000000"/>
          <w:sz w:val="24"/>
          <w:szCs w:val="24"/>
        </w:rPr>
        <w:t>A Fundamentação da Contratação e de seus quantitativos encontra-se pormenorizada neste Termo de Referência.</w:t>
      </w:r>
    </w:p>
    <w:p>
      <w:pPr>
        <w:pStyle w:val="Nvel2Opcional1"/>
        <w:widowControl/>
        <w:numPr>
          <w:ilvl w:val="1"/>
          <w:numId w:val="2"/>
        </w:numPr>
        <w:shd w:val="clear" w:fill="FFFFFF"/>
        <w:tabs>
          <w:tab w:val="left" w:pos="735" w:leader="none"/>
          <w:tab w:val="left" w:pos="1695" w:leader="none"/>
        </w:tabs>
        <w:suppressAutoHyphens w:val="true"/>
        <w:bidi w:val="0"/>
        <w:spacing w:lineRule="auto" w:line="276" w:before="0" w:after="0"/>
        <w:ind w:left="0" w:right="0" w:firstLine="567"/>
        <w:jc w:val="both"/>
        <w:rPr>
          <w:rFonts w:ascii="Carlito" w:hAnsi="Carlito"/>
          <w:color w:val="000000"/>
          <w:sz w:val="24"/>
          <w:szCs w:val="24"/>
        </w:rPr>
      </w:pPr>
      <w:r>
        <w:rPr>
          <w:rFonts w:ascii="Carlito" w:hAnsi="Carlito"/>
          <w:color w:val="000000"/>
          <w:sz w:val="24"/>
          <w:szCs w:val="24"/>
        </w:rPr>
        <w:t>O objeto da contratação está previsto no Plano de Contratações Anual, conforme consta das informações básicas neste Termo de Referência.</w:t>
      </w:r>
    </w:p>
    <w:p>
      <w:pPr>
        <w:pStyle w:val="Nvel2Opcional1"/>
        <w:numPr>
          <w:ilvl w:val="0"/>
          <w:numId w:val="0"/>
        </w:numPr>
        <w:shd w:val="clear" w:fill="FFFFFF"/>
        <w:spacing w:before="0" w:after="0"/>
        <w:ind w:left="2273" w:right="0" w:hanging="0"/>
        <w:jc w:val="both"/>
        <w:rPr>
          <w:rFonts w:ascii="Carlito" w:hAnsi="Carlito"/>
          <w:color w:val="000000"/>
          <w:sz w:val="24"/>
          <w:szCs w:val="24"/>
        </w:rPr>
      </w:pPr>
      <w:r>
        <w:rPr>
          <w:rFonts w:ascii="Carlito" w:hAnsi="Carlito"/>
          <w:color w:val="000000"/>
          <w:sz w:val="24"/>
          <w:szCs w:val="24"/>
        </w:rPr>
      </w:r>
    </w:p>
    <w:p>
      <w:pPr>
        <w:pStyle w:val="Nivel01"/>
        <w:widowControl/>
        <w:numPr>
          <w:ilvl w:val="0"/>
          <w:numId w:val="2"/>
        </w:numPr>
        <w:shd w:val="clear" w:fill="FFFFFF"/>
        <w:suppressAutoHyphens w:val="true"/>
        <w:overflowPunct w:val="true"/>
        <w:bidi w:val="0"/>
        <w:spacing w:lineRule="auto" w:line="276"/>
        <w:ind w:left="357" w:right="0" w:hanging="357"/>
        <w:jc w:val="both"/>
        <w:rPr>
          <w:rFonts w:ascii="Carlito" w:hAnsi="Carlito"/>
          <w:sz w:val="24"/>
          <w:szCs w:val="24"/>
        </w:rPr>
      </w:pPr>
      <w:r>
        <w:rPr>
          <w:rFonts w:ascii="Carlito" w:hAnsi="Carlito"/>
          <w:sz w:val="24"/>
          <w:szCs w:val="24"/>
        </w:rPr>
        <w:t>DESCRIÇÃO DA SOLUÇÃO COMO UM TODO CONSIDERADO O CICLO DE VIDA DO OBJETO</w:t>
      </w:r>
    </w:p>
    <w:p>
      <w:pPr>
        <w:pStyle w:val="Nvel2Opcional1"/>
        <w:widowControl/>
        <w:numPr>
          <w:ilvl w:val="1"/>
          <w:numId w:val="2"/>
        </w:numPr>
        <w:shd w:val="clear" w:fill="FFFFFF"/>
        <w:tabs>
          <w:tab w:val="left" w:pos="735" w:leader="none"/>
          <w:tab w:val="left" w:pos="1695" w:leader="none"/>
        </w:tabs>
        <w:suppressAutoHyphens w:val="true"/>
        <w:bidi w:val="0"/>
        <w:spacing w:lineRule="auto" w:line="276" w:before="0" w:after="0"/>
        <w:ind w:left="0" w:right="0" w:firstLine="567"/>
        <w:jc w:val="both"/>
        <w:rPr>
          <w:rFonts w:ascii="Carlito" w:hAnsi="Carlito"/>
          <w:color w:val="000000"/>
          <w:sz w:val="24"/>
          <w:szCs w:val="24"/>
        </w:rPr>
      </w:pPr>
      <w:bookmarkStart w:id="2" w:name="_Ref121236534"/>
      <w:r>
        <w:rPr>
          <w:rFonts w:ascii="Carlito" w:hAnsi="Carlito"/>
          <w:color w:val="000000"/>
          <w:sz w:val="24"/>
          <w:szCs w:val="24"/>
        </w:rPr>
        <w:t>A descrição da solução como um todo encontra-se pormenorizada neste Termo de Referência.</w:t>
      </w:r>
      <w:bookmarkEnd w:id="2"/>
    </w:p>
    <w:p>
      <w:pPr>
        <w:pStyle w:val="Nvel2Opcional1"/>
        <w:widowControl/>
        <w:numPr>
          <w:ilvl w:val="0"/>
          <w:numId w:val="0"/>
        </w:numPr>
        <w:shd w:val="clear" w:fill="FFFFFF"/>
        <w:tabs>
          <w:tab w:val="left" w:pos="735" w:leader="none"/>
          <w:tab w:val="left" w:pos="1695" w:leader="none"/>
        </w:tabs>
        <w:suppressAutoHyphens w:val="true"/>
        <w:bidi w:val="0"/>
        <w:spacing w:lineRule="auto" w:line="276" w:before="0" w:after="0"/>
        <w:ind w:left="1080" w:right="0" w:hanging="0"/>
        <w:jc w:val="both"/>
        <w:rPr>
          <w:rFonts w:ascii="Carlito" w:hAnsi="Carlito"/>
          <w:color w:val="000000"/>
          <w:sz w:val="24"/>
          <w:szCs w:val="24"/>
        </w:rPr>
      </w:pPr>
      <w:r>
        <w:rPr>
          <w:rFonts w:ascii="Carlito" w:hAnsi="Carlito"/>
          <w:color w:val="000000"/>
          <w:sz w:val="24"/>
          <w:szCs w:val="24"/>
        </w:rPr>
      </w:r>
    </w:p>
    <w:p>
      <w:pPr>
        <w:pStyle w:val="Nivel01"/>
        <w:numPr>
          <w:ilvl w:val="0"/>
          <w:numId w:val="2"/>
        </w:numPr>
        <w:shd w:val="clear" w:fill="FFFFFF"/>
        <w:ind w:left="357" w:right="0" w:hanging="357"/>
        <w:jc w:val="both"/>
        <w:rPr>
          <w:rFonts w:ascii="Carlito" w:hAnsi="Carlito"/>
          <w:sz w:val="24"/>
          <w:szCs w:val="24"/>
        </w:rPr>
      </w:pPr>
      <w:r>
        <w:rPr>
          <w:rFonts w:ascii="Carlito" w:hAnsi="Carlito"/>
          <w:sz w:val="24"/>
          <w:szCs w:val="24"/>
        </w:rPr>
        <w:t>REQUISITOS DA CONTRATAÇÃO</w:t>
      </w:r>
    </w:p>
    <w:p>
      <w:pPr>
        <w:pStyle w:val="Nvel2Red"/>
        <w:widowControl/>
        <w:numPr>
          <w:ilvl w:val="1"/>
          <w:numId w:val="2"/>
        </w:numPr>
        <w:suppressAutoHyphens w:val="true"/>
        <w:bidi w:val="0"/>
        <w:spacing w:lineRule="auto" w:line="276" w:before="0" w:after="0"/>
        <w:ind w:left="0" w:right="0" w:firstLine="567"/>
        <w:jc w:val="both"/>
        <w:rPr>
          <w:rFonts w:ascii="Carlito" w:hAnsi="Carlito" w:eastAsia="Arial" w:cs="Arial"/>
          <w:b w:val="false"/>
          <w:b w:val="false"/>
          <w:bCs w:val="false"/>
          <w:i w:val="false"/>
          <w:i w:val="false"/>
          <w:iCs w:val="false"/>
          <w:color w:val="000000"/>
          <w:sz w:val="24"/>
          <w:szCs w:val="24"/>
          <w:lang w:eastAsia="pt-BR"/>
        </w:rPr>
      </w:pPr>
      <w:r>
        <w:rPr>
          <w:rFonts w:eastAsia="Arial" w:cs="Arial" w:ascii="Carlito" w:hAnsi="Carlito"/>
          <w:b w:val="false"/>
          <w:bCs w:val="false"/>
          <w:i w:val="false"/>
          <w:iCs w:val="false"/>
          <w:color w:val="000000"/>
          <w:sz w:val="24"/>
          <w:szCs w:val="24"/>
          <w:lang w:eastAsia="pt-BR"/>
        </w:rPr>
        <w:t>O prazo de vigência da contratação é de 30 dias contados do(a) entrega da nota de empenho, na forma do artigo 105 da Lei n° 14.133, de 2021.</w:t>
      </w:r>
    </w:p>
    <w:p>
      <w:pPr>
        <w:pStyle w:val="Nvel2Red"/>
        <w:widowControl/>
        <w:numPr>
          <w:ilvl w:val="0"/>
          <w:numId w:val="0"/>
        </w:numPr>
        <w:suppressAutoHyphens w:val="true"/>
        <w:bidi w:val="0"/>
        <w:spacing w:lineRule="auto" w:line="276" w:before="0" w:after="0"/>
        <w:ind w:left="1080" w:right="0" w:hanging="0"/>
        <w:jc w:val="both"/>
        <w:rPr>
          <w:rFonts w:ascii="Carlito" w:hAnsi="Carlito" w:eastAsia="Arial" w:cs="Arial"/>
          <w:b w:val="false"/>
          <w:b w:val="false"/>
          <w:bCs w:val="false"/>
          <w:i w:val="false"/>
          <w:i w:val="false"/>
          <w:iCs w:val="false"/>
          <w:color w:val="000000"/>
          <w:sz w:val="24"/>
          <w:szCs w:val="24"/>
          <w:lang w:eastAsia="pt-BR"/>
        </w:rPr>
      </w:pPr>
      <w:r>
        <w:rPr>
          <w:rFonts w:eastAsia="Arial" w:cs="Arial" w:ascii="Carlito" w:hAnsi="Carlito"/>
          <w:b w:val="false"/>
          <w:bCs w:val="false"/>
          <w:i w:val="false"/>
          <w:iCs w:val="false"/>
          <w:color w:val="000000"/>
          <w:sz w:val="24"/>
          <w:szCs w:val="24"/>
          <w:lang w:eastAsia="pt-BR"/>
        </w:rPr>
      </w:r>
    </w:p>
    <w:p>
      <w:pPr>
        <w:pStyle w:val="Nivel01"/>
        <w:widowControl/>
        <w:numPr>
          <w:ilvl w:val="0"/>
          <w:numId w:val="0"/>
        </w:numPr>
        <w:shd w:val="clear" w:fill="FFFFFF"/>
        <w:suppressAutoHyphens w:val="true"/>
        <w:bidi w:val="0"/>
        <w:spacing w:lineRule="auto" w:line="276" w:before="0" w:after="0"/>
        <w:ind w:left="380" w:right="0" w:hanging="0"/>
        <w:jc w:val="both"/>
        <w:rPr/>
      </w:pPr>
      <w:r>
        <w:rPr>
          <w:rFonts w:ascii="Carlito" w:hAnsi="Carlito"/>
          <w:sz w:val="24"/>
          <w:szCs w:val="24"/>
        </w:rPr>
        <w:t>Subcontratação</w:t>
      </w:r>
    </w:p>
    <w:p>
      <w:pPr>
        <w:pStyle w:val="Nvel2Opcional1"/>
        <w:numPr>
          <w:ilvl w:val="1"/>
          <w:numId w:val="2"/>
        </w:numPr>
        <w:shd w:val="clear" w:fill="FFFFFF"/>
        <w:ind w:left="473" w:right="0" w:hanging="0"/>
        <w:jc w:val="both"/>
        <w:rPr>
          <w:rFonts w:ascii="Carlito" w:hAnsi="Carlito"/>
          <w:color w:val="000000"/>
          <w:sz w:val="24"/>
          <w:szCs w:val="24"/>
        </w:rPr>
      </w:pPr>
      <w:r>
        <w:rPr>
          <w:rFonts w:ascii="Carlito" w:hAnsi="Carlito"/>
          <w:color w:val="000000"/>
          <w:sz w:val="24"/>
          <w:szCs w:val="24"/>
        </w:rPr>
        <w:t>Não será admitida a subcontratação do objeto contratual.</w:t>
      </w:r>
    </w:p>
    <w:p>
      <w:pPr>
        <w:pStyle w:val="Ou"/>
        <w:widowControl/>
        <w:bidi w:val="0"/>
        <w:spacing w:lineRule="auto" w:line="259"/>
        <w:ind w:left="720" w:right="0" w:hanging="0"/>
        <w:jc w:val="both"/>
        <w:rPr>
          <w:rFonts w:ascii="Carlito" w:hAnsi="Carlito" w:eastAsia="Cambria" w:cs="Arial"/>
          <w:b/>
          <w:b/>
          <w:bCs/>
          <w:i/>
          <w:i/>
          <w:iCs/>
          <w:color w:val="FF0000"/>
          <w:kern w:val="0"/>
          <w:sz w:val="24"/>
          <w:szCs w:val="24"/>
          <w:highlight w:val="lightGray"/>
          <w:lang w:val="pt-BR" w:eastAsia="zh-CN" w:bidi="hi-IN"/>
        </w:rPr>
      </w:pPr>
      <w:r>
        <w:rPr>
          <w:rFonts w:eastAsia="Cambria" w:cs="Arial" w:ascii="Carlito" w:hAnsi="Carlito"/>
          <w:b/>
          <w:bCs/>
          <w:i/>
          <w:iCs/>
          <w:color w:val="FF0000"/>
          <w:kern w:val="0"/>
          <w:sz w:val="24"/>
          <w:szCs w:val="24"/>
          <w:highlight w:val="lightGray"/>
          <w:lang w:val="pt-BR" w:eastAsia="zh-CN" w:bidi="hi-IN"/>
        </w:rPr>
      </w:r>
    </w:p>
    <w:p>
      <w:pPr>
        <w:pStyle w:val="Nvel1SemNumerao"/>
        <w:widowControl/>
        <w:numPr>
          <w:ilvl w:val="0"/>
          <w:numId w:val="0"/>
        </w:numPr>
        <w:shd w:val="clear" w:fill="FFFFFF"/>
        <w:tabs>
          <w:tab w:val="left" w:pos="120" w:leader="none"/>
          <w:tab w:val="left" w:pos="345" w:leader="none"/>
          <w:tab w:val="left" w:pos="390" w:leader="none"/>
          <w:tab w:val="left" w:pos="570" w:leader="none"/>
          <w:tab w:val="left" w:pos="900" w:leader="none"/>
          <w:tab w:val="left" w:pos="1020" w:leader="none"/>
          <w:tab w:val="left" w:pos="1140" w:leader="none"/>
          <w:tab w:val="left" w:pos="2160" w:leader="none"/>
        </w:tabs>
        <w:suppressAutoHyphens w:val="true"/>
        <w:bidi w:val="0"/>
        <w:spacing w:lineRule="auto" w:line="276" w:before="0" w:after="0"/>
        <w:ind w:left="720" w:right="0" w:hanging="0"/>
        <w:jc w:val="both"/>
        <w:rPr>
          <w:rFonts w:ascii="Carlito" w:hAnsi="Carlito" w:eastAsia="Arial" w:cs="Arial"/>
          <w:i w:val="false"/>
          <w:i w:val="false"/>
          <w:iCs w:val="false"/>
          <w:color w:val="auto"/>
          <w:kern w:val="0"/>
          <w:sz w:val="24"/>
          <w:szCs w:val="24"/>
          <w:lang w:val="pt-BR" w:eastAsia="en-US" w:bidi="ar-SA"/>
        </w:rPr>
      </w:pPr>
      <w:r>
        <w:rPr>
          <w:rFonts w:eastAsia="Arial" w:cs="Arial" w:ascii="Carlito" w:hAnsi="Carlito"/>
          <w:i w:val="false"/>
          <w:iCs w:val="false"/>
          <w:color w:val="auto"/>
          <w:kern w:val="0"/>
          <w:sz w:val="24"/>
          <w:szCs w:val="24"/>
          <w:lang w:val="pt-BR" w:eastAsia="en-US" w:bidi="ar-SA"/>
        </w:rPr>
        <w:t>Garantia da contratação</w:t>
      </w:r>
    </w:p>
    <w:p>
      <w:pPr>
        <w:pStyle w:val="Nvel2Opcional1"/>
        <w:widowControl/>
        <w:numPr>
          <w:ilvl w:val="1"/>
          <w:numId w:val="2"/>
        </w:numPr>
        <w:shd w:val="clear" w:fill="FFFFFF"/>
        <w:tabs>
          <w:tab w:val="left" w:pos="735" w:leader="none"/>
          <w:tab w:val="left" w:pos="1695" w:leader="none"/>
        </w:tabs>
        <w:suppressAutoHyphens w:val="true"/>
        <w:bidi w:val="0"/>
        <w:spacing w:lineRule="auto" w:line="276" w:before="0" w:after="0"/>
        <w:ind w:left="0" w:right="0" w:firstLine="567"/>
        <w:jc w:val="both"/>
        <w:rPr>
          <w:rFonts w:ascii="Carlito" w:hAnsi="Carlito"/>
          <w:color w:val="000000"/>
          <w:sz w:val="24"/>
          <w:szCs w:val="24"/>
        </w:rPr>
      </w:pPr>
      <w:r>
        <w:rPr>
          <w:rFonts w:ascii="Carlito" w:hAnsi="Carlito"/>
          <w:color w:val="000000"/>
          <w:sz w:val="24"/>
          <w:szCs w:val="24"/>
        </w:rPr>
        <w:t>Não haverá exigência da garantia da contratação dos art. 96 e seguintes da Lei nº 14.133, de 2021.</w:t>
      </w:r>
    </w:p>
    <w:p>
      <w:pPr>
        <w:pStyle w:val="Ou"/>
        <w:ind w:left="720" w:right="0" w:hanging="0"/>
        <w:jc w:val="both"/>
        <w:rPr>
          <w:rFonts w:ascii="Carlito" w:hAnsi="Carlito"/>
          <w:sz w:val="24"/>
          <w:szCs w:val="24"/>
        </w:rPr>
      </w:pPr>
      <w:r>
        <w:rPr>
          <w:rFonts w:ascii="Carlito" w:hAnsi="Carlito"/>
          <w:sz w:val="24"/>
          <w:szCs w:val="24"/>
        </w:rPr>
      </w:r>
    </w:p>
    <w:p>
      <w:pPr>
        <w:pStyle w:val="Nvel1SemNumerao"/>
        <w:numPr>
          <w:ilvl w:val="0"/>
          <w:numId w:val="0"/>
        </w:numPr>
        <w:shd w:val="clear" w:fill="FFFFFF"/>
        <w:ind w:left="720" w:right="0" w:hanging="0"/>
        <w:rPr>
          <w:rFonts w:ascii="Carlito" w:hAnsi="Carlito"/>
          <w:sz w:val="24"/>
          <w:szCs w:val="24"/>
        </w:rPr>
      </w:pPr>
      <w:r>
        <w:rPr>
          <w:rFonts w:ascii="Carlito" w:hAnsi="Carlito"/>
          <w:sz w:val="24"/>
          <w:szCs w:val="24"/>
        </w:rPr>
        <w:t>Vistoria</w:t>
      </w:r>
    </w:p>
    <w:p>
      <w:pPr>
        <w:pStyle w:val="Nvel2Opcional1"/>
        <w:widowControl/>
        <w:numPr>
          <w:ilvl w:val="1"/>
          <w:numId w:val="2"/>
        </w:numPr>
        <w:shd w:val="clear" w:fill="FFFFFF"/>
        <w:tabs>
          <w:tab w:val="left" w:pos="735" w:leader="none"/>
          <w:tab w:val="left" w:pos="1695" w:leader="none"/>
        </w:tabs>
        <w:suppressAutoHyphens w:val="true"/>
        <w:bidi w:val="0"/>
        <w:spacing w:lineRule="auto" w:line="276" w:before="0" w:after="0"/>
        <w:ind w:left="0" w:right="0" w:firstLine="567"/>
        <w:jc w:val="both"/>
        <w:rPr>
          <w:rFonts w:ascii="Carlito" w:hAnsi="Carlito"/>
          <w:color w:val="000000"/>
          <w:sz w:val="24"/>
          <w:szCs w:val="24"/>
          <w:lang w:eastAsia="en-US"/>
        </w:rPr>
      </w:pPr>
      <w:r>
        <w:rPr>
          <w:rFonts w:ascii="Carlito" w:hAnsi="Carlito"/>
          <w:color w:val="000000"/>
          <w:sz w:val="24"/>
          <w:szCs w:val="24"/>
          <w:lang w:eastAsia="en-US"/>
        </w:rPr>
        <w:t xml:space="preserve"> </w:t>
      </w:r>
      <w:r>
        <w:rPr>
          <w:rFonts w:ascii="Carlito" w:hAnsi="Carlito"/>
          <w:color w:val="000000"/>
          <w:sz w:val="24"/>
          <w:szCs w:val="24"/>
          <w:lang w:eastAsia="en-US"/>
        </w:rPr>
        <w:t>A avaliação prévia do objeto e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09:00 horas às 15:00 horas.</w:t>
      </w:r>
    </w:p>
    <w:p>
      <w:pPr>
        <w:pStyle w:val="Nvel2Opcional1"/>
        <w:widowControl/>
        <w:numPr>
          <w:ilvl w:val="1"/>
          <w:numId w:val="2"/>
        </w:numPr>
        <w:shd w:val="clear" w:fill="FFFFFF"/>
        <w:tabs>
          <w:tab w:val="left" w:pos="735" w:leader="none"/>
          <w:tab w:val="left" w:pos="1695" w:leader="none"/>
        </w:tabs>
        <w:suppressAutoHyphens w:val="true"/>
        <w:bidi w:val="0"/>
        <w:spacing w:lineRule="auto" w:line="276" w:before="0" w:after="0"/>
        <w:ind w:left="0" w:right="0" w:firstLine="567"/>
        <w:jc w:val="both"/>
        <w:rPr>
          <w:rFonts w:ascii="Carlito" w:hAnsi="Carlito"/>
          <w:color w:val="000000"/>
          <w:sz w:val="24"/>
          <w:szCs w:val="24"/>
          <w:lang w:eastAsia="en-US"/>
        </w:rPr>
      </w:pPr>
      <w:r>
        <w:rPr>
          <w:rFonts w:ascii="Carlito" w:hAnsi="Carlito"/>
          <w:color w:val="000000"/>
          <w:sz w:val="24"/>
          <w:szCs w:val="24"/>
          <w:lang w:eastAsia="en-US"/>
        </w:rPr>
        <w:t xml:space="preserve"> </w:t>
      </w:r>
      <w:r>
        <w:rPr>
          <w:rFonts w:ascii="Carlito" w:hAnsi="Carlito"/>
          <w:color w:val="000000"/>
          <w:sz w:val="24"/>
          <w:szCs w:val="24"/>
          <w:lang w:eastAsia="en-US"/>
        </w:rPr>
        <w:t>Serão disponibilizados data e horário diferentes aos interessados em realizar a vistoria prévia.</w:t>
      </w:r>
    </w:p>
    <w:p>
      <w:pPr>
        <w:pStyle w:val="Nvel2Opcional1"/>
        <w:widowControl/>
        <w:numPr>
          <w:ilvl w:val="1"/>
          <w:numId w:val="2"/>
        </w:numPr>
        <w:shd w:val="clear" w:fill="FFFFFF"/>
        <w:tabs>
          <w:tab w:val="left" w:pos="735" w:leader="none"/>
          <w:tab w:val="left" w:pos="1695" w:leader="none"/>
        </w:tabs>
        <w:suppressAutoHyphens w:val="true"/>
        <w:bidi w:val="0"/>
        <w:spacing w:lineRule="auto" w:line="276" w:before="0" w:after="0"/>
        <w:ind w:left="0" w:right="0" w:firstLine="567"/>
        <w:jc w:val="both"/>
        <w:rPr>
          <w:rFonts w:ascii="Carlito" w:hAnsi="Carlito"/>
          <w:color w:val="000000"/>
          <w:sz w:val="24"/>
          <w:szCs w:val="24"/>
          <w:lang w:eastAsia="en-US"/>
        </w:rPr>
      </w:pPr>
      <w:r>
        <w:rPr>
          <w:rFonts w:ascii="Carlito" w:hAnsi="Carlito"/>
          <w:color w:val="000000"/>
          <w:sz w:val="24"/>
          <w:szCs w:val="24"/>
          <w:lang w:eastAsia="en-US"/>
        </w:rPr>
        <w:t xml:space="preserve"> </w:t>
      </w:r>
      <w:r>
        <w:rPr>
          <w:rFonts w:ascii="Carlito" w:hAnsi="Carlito"/>
          <w:color w:val="000000"/>
          <w:sz w:val="24"/>
          <w:szCs w:val="24"/>
          <w:lang w:eastAsia="en-US"/>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pPr>
        <w:pStyle w:val="Nvel2Opcional1"/>
        <w:widowControl/>
        <w:numPr>
          <w:ilvl w:val="1"/>
          <w:numId w:val="2"/>
        </w:numPr>
        <w:shd w:val="clear" w:fill="FFFFFF"/>
        <w:tabs>
          <w:tab w:val="left" w:pos="735" w:leader="none"/>
          <w:tab w:val="left" w:pos="1695" w:leader="none"/>
        </w:tabs>
        <w:suppressAutoHyphens w:val="true"/>
        <w:bidi w:val="0"/>
        <w:spacing w:lineRule="auto" w:line="276"/>
        <w:ind w:left="0" w:right="0" w:firstLine="567"/>
        <w:jc w:val="both"/>
        <w:rPr>
          <w:rFonts w:ascii="Carlito" w:hAnsi="Carlito"/>
          <w:color w:val="000000"/>
          <w:sz w:val="24"/>
          <w:szCs w:val="24"/>
          <w:lang w:eastAsia="en-US"/>
        </w:rPr>
      </w:pPr>
      <w:r>
        <w:rPr>
          <w:rFonts w:ascii="Carlito" w:hAnsi="Carlito"/>
          <w:color w:val="000000"/>
          <w:sz w:val="24"/>
          <w:szCs w:val="24"/>
          <w:lang w:eastAsia="en-US"/>
        </w:rPr>
        <w:t xml:space="preserve"> </w:t>
      </w:r>
      <w:r>
        <w:rPr>
          <w:rFonts w:ascii="Carlito" w:hAnsi="Carlito"/>
          <w:color w:val="000000"/>
          <w:sz w:val="24"/>
          <w:szCs w:val="24"/>
          <w:lang w:eastAsia="en-US"/>
        </w:rPr>
        <w:t xml:space="preserve">Caso o interessado opte por não realizar a vistoria, deverá prestar declaração formal assinada por seu responsável técnico acerca do conhecimento pleno das condições e peculiaridades da contratação. </w:t>
      </w:r>
    </w:p>
    <w:p>
      <w:pPr>
        <w:pStyle w:val="Nvel2Opcional1"/>
        <w:widowControl/>
        <w:numPr>
          <w:ilvl w:val="1"/>
          <w:numId w:val="2"/>
        </w:numPr>
        <w:shd w:val="clear" w:fill="FFFFFF"/>
        <w:tabs>
          <w:tab w:val="left" w:pos="735" w:leader="none"/>
          <w:tab w:val="left" w:pos="1695" w:leader="none"/>
        </w:tabs>
        <w:suppressAutoHyphens w:val="true"/>
        <w:bidi w:val="0"/>
        <w:spacing w:lineRule="auto" w:line="276" w:before="6" w:after="6"/>
        <w:ind w:left="0" w:right="0" w:firstLine="567"/>
        <w:jc w:val="both"/>
        <w:rPr>
          <w:rFonts w:ascii="Carlito" w:hAnsi="Carlito"/>
          <w:color w:val="000000"/>
          <w:sz w:val="24"/>
          <w:szCs w:val="24"/>
          <w:lang w:eastAsia="en-US"/>
        </w:rPr>
      </w:pPr>
      <w:r>
        <w:rPr>
          <w:rFonts w:ascii="Carlito" w:hAnsi="Carlito"/>
          <w:color w:val="000000"/>
          <w:sz w:val="24"/>
          <w:szCs w:val="24"/>
          <w:lang w:eastAsia="en-US"/>
        </w:rPr>
        <w:t xml:space="preserve"> </w:t>
      </w:r>
      <w:r>
        <w:rPr>
          <w:rFonts w:ascii="Carlito" w:hAnsi="Carlito"/>
          <w:color w:val="000000"/>
          <w:sz w:val="24"/>
          <w:szCs w:val="24"/>
          <w:lang w:eastAsia="en-US"/>
        </w:rPr>
        <w:t>A não realização da vistoria não poderá embasar posteriores alegações de desconhecimento das instalações, dúvidas ou esquecimentos de quaisquer detalhes das instalações da prestação dos serviços, devendo o contratado assumir os ônus dos serviços decorrentes</w:t>
      </w:r>
    </w:p>
    <w:p>
      <w:pPr>
        <w:pStyle w:val="Nvel2Opcional1"/>
        <w:widowControl/>
        <w:numPr>
          <w:ilvl w:val="0"/>
          <w:numId w:val="0"/>
        </w:numPr>
        <w:shd w:val="clear" w:fill="FFFFFF"/>
        <w:tabs>
          <w:tab w:val="left" w:pos="735" w:leader="none"/>
          <w:tab w:val="left" w:pos="1695" w:leader="none"/>
        </w:tabs>
        <w:suppressAutoHyphens w:val="true"/>
        <w:bidi w:val="0"/>
        <w:spacing w:lineRule="auto" w:line="276" w:before="6" w:after="6"/>
        <w:ind w:left="1080" w:right="0" w:hanging="0"/>
        <w:jc w:val="both"/>
        <w:rPr>
          <w:rFonts w:ascii="Carlito" w:hAnsi="Carlito"/>
          <w:color w:val="000000"/>
          <w:sz w:val="24"/>
          <w:szCs w:val="24"/>
          <w:lang w:eastAsia="en-US"/>
        </w:rPr>
      </w:pPr>
      <w:r>
        <w:rPr>
          <w:rFonts w:ascii="Carlito" w:hAnsi="Carlito"/>
          <w:color w:val="000000"/>
          <w:sz w:val="24"/>
          <w:szCs w:val="24"/>
          <w:lang w:eastAsia="en-US"/>
        </w:rPr>
      </w:r>
    </w:p>
    <w:p>
      <w:pPr>
        <w:pStyle w:val="Nivel01"/>
        <w:numPr>
          <w:ilvl w:val="0"/>
          <w:numId w:val="2"/>
        </w:numPr>
        <w:shd w:val="clear" w:fill="FFFFFF"/>
        <w:ind w:left="357" w:right="0" w:hanging="357"/>
        <w:jc w:val="both"/>
        <w:rPr>
          <w:rFonts w:ascii="Carlito" w:hAnsi="Carlito"/>
          <w:sz w:val="24"/>
          <w:szCs w:val="24"/>
        </w:rPr>
      </w:pPr>
      <w:r>
        <w:rPr>
          <w:rFonts w:ascii="Carlito" w:hAnsi="Carlito"/>
          <w:sz w:val="24"/>
          <w:szCs w:val="24"/>
        </w:rPr>
        <w:t>MODELO DE EXECUÇÃO DO OBJETO</w:t>
      </w:r>
    </w:p>
    <w:p>
      <w:pPr>
        <w:pStyle w:val="Nvel1SemNumerao"/>
        <w:numPr>
          <w:ilvl w:val="1"/>
          <w:numId w:val="2"/>
        </w:numPr>
        <w:shd w:val="clear" w:fill="FFFFFF"/>
        <w:ind w:left="1080" w:right="0" w:hanging="360"/>
        <w:rPr/>
      </w:pPr>
      <w:r>
        <w:rPr>
          <w:rFonts w:eastAsia="Arial" w:cs="Arial" w:ascii="Carlito" w:hAnsi="Carlito"/>
          <w:b w:val="false"/>
          <w:bCs w:val="false"/>
          <w:i w:val="false"/>
          <w:iCs w:val="false"/>
          <w:color w:val="auto"/>
          <w:kern w:val="0"/>
          <w:sz w:val="24"/>
          <w:szCs w:val="24"/>
          <w:lang w:val="pt-BR" w:eastAsia="en-US" w:bidi="ar-SA"/>
        </w:rPr>
        <w:t>Condições de execução</w:t>
      </w:r>
    </w:p>
    <w:p>
      <w:pPr>
        <w:pStyle w:val="Nvel1SemNumerao"/>
        <w:numPr>
          <w:ilvl w:val="1"/>
          <w:numId w:val="2"/>
        </w:numPr>
        <w:shd w:val="clear" w:fill="FFFFFF"/>
        <w:ind w:left="1080" w:right="0" w:hanging="360"/>
        <w:rPr/>
      </w:pPr>
      <w:r>
        <w:rPr>
          <w:rFonts w:eastAsia="Arial" w:cs="Arial" w:ascii="Carlito" w:hAnsi="Carlito"/>
          <w:b w:val="false"/>
          <w:bCs w:val="false"/>
          <w:i w:val="false"/>
          <w:iCs w:val="false"/>
          <w:color w:val="auto"/>
          <w:kern w:val="0"/>
          <w:sz w:val="24"/>
          <w:szCs w:val="24"/>
          <w:lang w:val="pt-BR" w:eastAsia="en-US" w:bidi="ar-SA"/>
        </w:rPr>
        <w:t>A execução do serviço seguirá a seguinte dinâmica:</w:t>
      </w:r>
    </w:p>
    <w:p>
      <w:pPr>
        <w:pStyle w:val="Nvel1SemNumerao"/>
        <w:numPr>
          <w:ilvl w:val="1"/>
          <w:numId w:val="2"/>
        </w:numPr>
        <w:shd w:val="clear" w:fill="FFFFFF"/>
        <w:ind w:left="1080" w:right="0" w:hanging="360"/>
        <w:rPr/>
      </w:pPr>
      <w:r>
        <w:rPr>
          <w:rFonts w:eastAsia="Arial" w:cs="Arial" w:ascii="Carlito" w:hAnsi="Carlito"/>
          <w:b w:val="false"/>
          <w:bCs w:val="false"/>
          <w:i w:val="false"/>
          <w:iCs w:val="false"/>
          <w:color w:val="auto"/>
          <w:kern w:val="0"/>
          <w:sz w:val="24"/>
          <w:szCs w:val="24"/>
          <w:lang w:val="pt-BR" w:eastAsia="en-US" w:bidi="ar-SA"/>
        </w:rPr>
        <w:t xml:space="preserve"> </w:t>
      </w:r>
      <w:r>
        <w:rPr>
          <w:rFonts w:eastAsia="Arial" w:cs="Arial" w:ascii="Carlito" w:hAnsi="Carlito"/>
          <w:b w:val="false"/>
          <w:bCs w:val="false"/>
          <w:i w:val="false"/>
          <w:iCs w:val="false"/>
          <w:color w:val="auto"/>
          <w:kern w:val="0"/>
          <w:sz w:val="24"/>
          <w:szCs w:val="24"/>
          <w:lang w:val="pt-BR" w:eastAsia="en-US" w:bidi="ar-SA"/>
        </w:rPr>
        <w:t>Início da execução do serviço: iniciará no momento da assinatura do contrato.</w:t>
      </w:r>
    </w:p>
    <w:p>
      <w:pPr>
        <w:pStyle w:val="Nvel1SemNumerao"/>
        <w:numPr>
          <w:ilvl w:val="0"/>
          <w:numId w:val="0"/>
        </w:numPr>
        <w:shd w:val="clear" w:fill="FFFFFF"/>
        <w:ind w:left="1080" w:right="0" w:hanging="0"/>
        <w:rPr>
          <w:rFonts w:ascii="Carlito" w:hAnsi="Carlito" w:eastAsia="Arial" w:cs="Arial"/>
          <w:b w:val="false"/>
          <w:b w:val="false"/>
          <w:bCs w:val="false"/>
          <w:i w:val="false"/>
          <w:i w:val="false"/>
          <w:iCs w:val="false"/>
          <w:color w:val="auto"/>
          <w:kern w:val="0"/>
          <w:sz w:val="24"/>
          <w:szCs w:val="24"/>
          <w:lang w:val="pt-BR" w:eastAsia="en-US" w:bidi="ar-SA"/>
        </w:rPr>
      </w:pPr>
      <w:r>
        <w:rPr>
          <w:rFonts w:eastAsia="Arial" w:cs="Arial" w:ascii="Carlito" w:hAnsi="Carlito"/>
          <w:b w:val="false"/>
          <w:bCs w:val="false"/>
          <w:i w:val="false"/>
          <w:iCs w:val="false"/>
          <w:color w:val="auto"/>
          <w:kern w:val="0"/>
          <w:sz w:val="24"/>
          <w:szCs w:val="24"/>
          <w:lang w:val="pt-BR" w:eastAsia="en-US" w:bidi="ar-SA"/>
        </w:rPr>
      </w:r>
    </w:p>
    <w:p>
      <w:pPr>
        <w:pStyle w:val="Nvel1SemNumerao"/>
        <w:widowControl/>
        <w:numPr>
          <w:ilvl w:val="0"/>
          <w:numId w:val="0"/>
        </w:numPr>
        <w:shd w:val="clear" w:fill="FFFFFF"/>
        <w:suppressAutoHyphens w:val="true"/>
        <w:bidi w:val="0"/>
        <w:spacing w:lineRule="auto" w:line="276" w:before="0" w:after="0"/>
        <w:ind w:left="380" w:right="0" w:hanging="0"/>
        <w:jc w:val="both"/>
        <w:rPr/>
      </w:pPr>
      <w:r>
        <w:rPr>
          <w:rFonts w:eastAsia="Arial" w:cs="Arial" w:ascii="Carlito" w:hAnsi="Carlito"/>
          <w:b/>
          <w:bCs/>
          <w:i w:val="false"/>
          <w:iCs w:val="false"/>
          <w:color w:val="auto"/>
          <w:kern w:val="0"/>
          <w:sz w:val="24"/>
          <w:szCs w:val="24"/>
          <w:lang w:val="pt-BR" w:eastAsia="en-US" w:bidi="ar-SA"/>
        </w:rPr>
        <w:t>Local e horário para vistoria</w:t>
      </w:r>
    </w:p>
    <w:p>
      <w:pPr>
        <w:pStyle w:val="Nvel1SemNumerao"/>
        <w:numPr>
          <w:ilvl w:val="0"/>
          <w:numId w:val="0"/>
        </w:numPr>
        <w:shd w:val="clear" w:fill="FFFFFF"/>
        <w:ind w:left="360" w:right="0" w:hanging="0"/>
        <w:rPr/>
      </w:pPr>
      <w:r>
        <w:rPr/>
      </w:r>
    </w:p>
    <w:p>
      <w:pPr>
        <w:pStyle w:val="Nvel1SemNumerao"/>
        <w:widowControl/>
        <w:numPr>
          <w:ilvl w:val="1"/>
          <w:numId w:val="2"/>
        </w:numPr>
        <w:shd w:val="clear" w:fill="FFFFFF"/>
        <w:suppressAutoHyphens w:val="true"/>
        <w:bidi w:val="0"/>
        <w:spacing w:lineRule="auto" w:line="276" w:before="0" w:after="0"/>
        <w:ind w:left="360" w:right="0" w:hanging="0"/>
        <w:jc w:val="both"/>
        <w:rPr/>
      </w:pPr>
      <w:r>
        <w:rPr>
          <w:rFonts w:eastAsia="Arial" w:cs="Arial" w:ascii="Carlito" w:hAnsi="Carlito"/>
          <w:b/>
          <w:bCs/>
          <w:i w:val="false"/>
          <w:iCs w:val="false"/>
          <w:color w:val="auto"/>
          <w:kern w:val="0"/>
          <w:sz w:val="24"/>
          <w:szCs w:val="24"/>
          <w:lang w:val="pt-BR" w:eastAsia="en-US" w:bidi="ar-SA"/>
        </w:rPr>
        <w:t xml:space="preserve">Os material </w:t>
      </w:r>
      <w:r>
        <w:rPr>
          <w:rFonts w:eastAsia="Arial" w:cs="Arial" w:ascii="Carlito" w:hAnsi="Carlito"/>
          <w:b w:val="false"/>
          <w:bCs w:val="false"/>
          <w:i w:val="false"/>
          <w:iCs w:val="false"/>
          <w:color w:val="auto"/>
          <w:kern w:val="0"/>
          <w:sz w:val="24"/>
          <w:szCs w:val="24"/>
          <w:lang w:val="pt-BR" w:eastAsia="en-US" w:bidi="ar-SA"/>
        </w:rPr>
        <w:t>será entregue no seguinte endereço e horário: Estrada do Rio Jequiá, s/n°, Ribeira, Ilha do Governador, Rio de Janeiro/RJ, CEP: 21930-007, no seguinte horário: em dias úteis, das 08:00h às 15:00h, de segunda a sexta-feira.</w:t>
      </w:r>
    </w:p>
    <w:p>
      <w:pPr>
        <w:pStyle w:val="Nvel1SemNumerao"/>
        <w:widowControl/>
        <w:numPr>
          <w:ilvl w:val="0"/>
          <w:numId w:val="0"/>
        </w:numPr>
        <w:shd w:val="clear" w:fill="FFFFFF"/>
        <w:suppressAutoHyphens w:val="true"/>
        <w:bidi w:val="0"/>
        <w:spacing w:lineRule="auto" w:line="276" w:before="0" w:after="0"/>
        <w:ind w:left="360" w:right="0" w:hanging="0"/>
        <w:jc w:val="both"/>
        <w:rPr>
          <w:rFonts w:ascii="Carlito" w:hAnsi="Carlito" w:eastAsia="Arial" w:cs="Arial"/>
          <w:b/>
          <w:b/>
          <w:bCs/>
          <w:i w:val="false"/>
          <w:i w:val="false"/>
          <w:iCs w:val="false"/>
          <w:color w:val="auto"/>
          <w:kern w:val="0"/>
          <w:sz w:val="24"/>
          <w:szCs w:val="24"/>
          <w:lang w:val="pt-BR" w:eastAsia="en-US" w:bidi="ar-SA"/>
        </w:rPr>
      </w:pPr>
      <w:r>
        <w:rPr>
          <w:rFonts w:eastAsia="Arial" w:cs="Arial" w:ascii="Carlito" w:hAnsi="Carlito"/>
          <w:b/>
          <w:bCs/>
          <w:i w:val="false"/>
          <w:iCs w:val="false"/>
          <w:color w:val="auto"/>
          <w:kern w:val="0"/>
          <w:sz w:val="24"/>
          <w:szCs w:val="24"/>
          <w:lang w:val="pt-BR" w:eastAsia="en-US" w:bidi="ar-SA"/>
        </w:rPr>
      </w:r>
    </w:p>
    <w:p>
      <w:pPr>
        <w:pStyle w:val="Nvel1SemNumerao"/>
        <w:widowControl/>
        <w:numPr>
          <w:ilvl w:val="1"/>
          <w:numId w:val="2"/>
        </w:numPr>
        <w:shd w:val="clear" w:fill="FFFFFF"/>
        <w:suppressAutoHyphens w:val="true"/>
        <w:overflowPunct w:val="true"/>
        <w:bidi w:val="0"/>
        <w:spacing w:lineRule="auto" w:line="276" w:before="0" w:after="0"/>
        <w:ind w:left="0" w:right="0" w:firstLine="567"/>
        <w:jc w:val="both"/>
        <w:rPr>
          <w:rFonts w:ascii="Carlito" w:hAnsi="Carlito" w:eastAsia="Arial" w:cs="Arial"/>
          <w:b w:val="false"/>
          <w:b w:val="false"/>
          <w:bCs w:val="false"/>
          <w:i w:val="false"/>
          <w:i w:val="false"/>
          <w:iCs w:val="false"/>
          <w:kern w:val="0"/>
          <w:sz w:val="24"/>
          <w:szCs w:val="24"/>
          <w:lang w:val="pt-BR" w:eastAsia="en-US" w:bidi="ar-SA"/>
        </w:rPr>
      </w:pPr>
      <w:r>
        <w:rPr>
          <w:rFonts w:eastAsia="Arial" w:cs="Arial" w:ascii="Carlito" w:hAnsi="Carlito"/>
          <w:b w:val="false"/>
          <w:bCs w:val="false"/>
          <w:i w:val="false"/>
          <w:iCs w:val="false"/>
          <w:kern w:val="0"/>
          <w:sz w:val="24"/>
          <w:szCs w:val="24"/>
          <w:lang w:val="pt-BR" w:eastAsia="en-US" w:bidi="ar-SA"/>
        </w:rPr>
        <w:t>O local dos itens descritos na tabela encontra-se disponíveis para vistoria no horário das 09h às 15h, em dias úteis, de segunda a sexta-feira."</w:t>
      </w:r>
    </w:p>
    <w:p>
      <w:pPr>
        <w:pStyle w:val="Nvel1SemNumerao"/>
        <w:widowControl/>
        <w:shd w:val="clear" w:fill="FFFFFF"/>
        <w:suppressAutoHyphens w:val="true"/>
        <w:overflowPunct w:val="true"/>
        <w:bidi w:val="0"/>
        <w:spacing w:lineRule="auto" w:line="276" w:before="0" w:after="0"/>
        <w:ind w:left="0" w:right="0" w:firstLine="567"/>
        <w:jc w:val="both"/>
        <w:rPr>
          <w:rFonts w:ascii="Carlito" w:hAnsi="Carlito" w:eastAsia="Arial" w:cs="Arial"/>
          <w:b w:val="false"/>
          <w:b w:val="false"/>
          <w:bCs w:val="false"/>
          <w:i w:val="false"/>
          <w:i w:val="false"/>
          <w:iCs w:val="false"/>
          <w:kern w:val="0"/>
          <w:sz w:val="24"/>
          <w:szCs w:val="24"/>
          <w:lang w:val="pt-BR" w:eastAsia="en-US" w:bidi="ar-SA"/>
        </w:rPr>
      </w:pPr>
      <w:r>
        <w:rPr>
          <w:rFonts w:eastAsia="Arial" w:cs="Arial" w:ascii="Carlito" w:hAnsi="Carlito"/>
          <w:b w:val="false"/>
          <w:bCs w:val="false"/>
          <w:i w:val="false"/>
          <w:iCs w:val="false"/>
          <w:kern w:val="0"/>
          <w:sz w:val="24"/>
          <w:szCs w:val="24"/>
          <w:lang w:val="pt-BR" w:eastAsia="en-US" w:bidi="ar-SA"/>
        </w:rPr>
      </w:r>
    </w:p>
    <w:p>
      <w:pPr>
        <w:pStyle w:val="Default"/>
        <w:widowControl/>
        <w:numPr>
          <w:ilvl w:val="1"/>
          <w:numId w:val="2"/>
        </w:numPr>
        <w:shd w:val="clear" w:fill="FFFFFF"/>
        <w:tabs>
          <w:tab w:val="clear" w:pos="709"/>
          <w:tab w:val="left" w:pos="563" w:leader="none"/>
        </w:tabs>
        <w:suppressAutoHyphens w:val="true"/>
        <w:bidi w:val="0"/>
        <w:spacing w:lineRule="auto" w:line="360" w:before="0" w:after="0"/>
        <w:jc w:val="left"/>
        <w:rPr>
          <w:rFonts w:ascii="Calibri" w:hAnsi="Calibri" w:cs="Arial"/>
          <w:color w:val="000000"/>
          <w:sz w:val="24"/>
          <w:szCs w:val="24"/>
        </w:rPr>
      </w:pPr>
      <w:r>
        <w:rPr>
          <w:rFonts w:eastAsia="Arial" w:cs="Arial" w:ascii="Carlito" w:hAnsi="Carlito"/>
          <w:b w:val="false"/>
          <w:bCs w:val="false"/>
          <w:i w:val="false"/>
          <w:iCs w:val="false"/>
          <w:color w:val="auto"/>
          <w:kern w:val="0"/>
          <w:sz w:val="24"/>
          <w:szCs w:val="24"/>
          <w:lang w:val="pt-BR" w:eastAsia="en-US" w:bidi="ar-SA"/>
        </w:rPr>
        <w:t xml:space="preserve">Contatos: (21)2126-5913 , </w:t>
      </w:r>
      <w:hyperlink r:id="rId4">
        <w:r>
          <w:rPr>
            <w:rStyle w:val="LinkdaInternet"/>
            <w:rFonts w:eastAsia="Arial" w:cs="Arial" w:ascii="Carlito" w:hAnsi="Carlito"/>
            <w:b w:val="false"/>
            <w:bCs w:val="false"/>
            <w:i w:val="false"/>
            <w:iCs w:val="false"/>
            <w:color w:val="auto"/>
            <w:kern w:val="0"/>
            <w:sz w:val="24"/>
            <w:szCs w:val="24"/>
            <w:lang w:val="pt-BR" w:eastAsia="en-US" w:bidi="ar-SA"/>
          </w:rPr>
          <w:t>sergio.sousa@marinha.mil.br</w:t>
        </w:r>
      </w:hyperlink>
      <w:r>
        <w:rPr>
          <w:rFonts w:eastAsia="Arial" w:cs="Arial" w:ascii="Carlito" w:hAnsi="Carlito"/>
          <w:b w:val="false"/>
          <w:bCs w:val="false"/>
          <w:i w:val="false"/>
          <w:iCs w:val="false"/>
          <w:color w:val="auto"/>
          <w:kern w:val="0"/>
          <w:sz w:val="24"/>
          <w:szCs w:val="24"/>
          <w:lang w:val="pt-BR" w:eastAsia="en-US" w:bidi="ar-SA"/>
        </w:rPr>
        <w:t xml:space="preserve"> / </w:t>
      </w:r>
      <w:hyperlink r:id="rId5">
        <w:r>
          <w:rPr>
            <w:rStyle w:val="LinkdaInternet"/>
            <w:rFonts w:eastAsia="Arial" w:cs="Arial" w:ascii="Carlito" w:hAnsi="Carlito"/>
            <w:b w:val="false"/>
            <w:bCs w:val="false"/>
            <w:i w:val="false"/>
            <w:iCs w:val="false"/>
            <w:color w:val="auto"/>
            <w:kern w:val="0"/>
            <w:sz w:val="24"/>
            <w:szCs w:val="24"/>
            <w:lang w:val="pt-BR" w:eastAsia="en-US" w:bidi="ar-SA"/>
          </w:rPr>
          <w:t>verly.jairo@marinha.mil.br</w:t>
        </w:r>
      </w:hyperlink>
      <w:r>
        <w:rPr>
          <w:rFonts w:eastAsia="Arial" w:cs="Arial" w:ascii="Carlito" w:hAnsi="Carlito"/>
          <w:b w:val="false"/>
          <w:bCs w:val="false"/>
          <w:i w:val="false"/>
          <w:iCs w:val="false"/>
          <w:color w:val="auto"/>
          <w:kern w:val="0"/>
          <w:sz w:val="24"/>
          <w:szCs w:val="24"/>
          <w:lang w:val="pt-BR" w:eastAsia="en-US" w:bidi="ar-SA"/>
        </w:rPr>
        <w:t xml:space="preserve"> / </w:t>
      </w:r>
      <w:hyperlink r:id="rId6">
        <w:r>
          <w:rPr>
            <w:rStyle w:val="LinkdaInternet"/>
            <w:rFonts w:eastAsia="Arial" w:cs="Arial" w:ascii="Carlito" w:hAnsi="Carlito"/>
            <w:b w:val="false"/>
            <w:bCs w:val="false"/>
            <w:i w:val="false"/>
            <w:iCs w:val="false"/>
            <w:color w:val="auto"/>
            <w:kern w:val="0"/>
            <w:sz w:val="24"/>
            <w:szCs w:val="24"/>
            <w:lang w:val="pt-BR" w:eastAsia="en-US" w:bidi="ar-SA"/>
          </w:rPr>
          <w:t>marcos.ferreira.gomes@marinha.mil.br</w:t>
        </w:r>
      </w:hyperlink>
      <w:r>
        <w:rPr>
          <w:rFonts w:eastAsia="Arial" w:cs="Arial" w:ascii="Carlito" w:hAnsi="Carlito"/>
          <w:b w:val="false"/>
          <w:bCs w:val="false"/>
          <w:i w:val="false"/>
          <w:iCs w:val="false"/>
          <w:color w:val="auto"/>
          <w:kern w:val="0"/>
          <w:sz w:val="24"/>
          <w:szCs w:val="24"/>
          <w:lang w:val="pt-BR" w:eastAsia="en-US" w:bidi="ar-SA"/>
        </w:rPr>
        <w:t xml:space="preserve"> </w:t>
      </w:r>
    </w:p>
    <w:p>
      <w:pPr>
        <w:pStyle w:val="Nvel1SemNumerao"/>
        <w:widowControl/>
        <w:numPr>
          <w:ilvl w:val="0"/>
          <w:numId w:val="0"/>
        </w:numPr>
        <w:shd w:val="clear" w:fill="FFFFFF"/>
        <w:suppressAutoHyphens w:val="true"/>
        <w:bidi w:val="0"/>
        <w:spacing w:lineRule="auto" w:line="276" w:before="0" w:after="0"/>
        <w:ind w:left="1080" w:right="0" w:hanging="0"/>
        <w:jc w:val="both"/>
        <w:rPr>
          <w:rFonts w:ascii="Carlito" w:hAnsi="Carlito" w:eastAsia="Arial" w:cs="Arial"/>
          <w:b w:val="false"/>
          <w:b w:val="false"/>
          <w:bCs w:val="false"/>
          <w:i w:val="false"/>
          <w:i w:val="false"/>
          <w:iCs w:val="false"/>
          <w:color w:val="auto"/>
          <w:kern w:val="0"/>
          <w:sz w:val="24"/>
          <w:szCs w:val="24"/>
          <w:lang w:val="pt-BR" w:eastAsia="en-US" w:bidi="ar-SA"/>
        </w:rPr>
      </w:pPr>
      <w:r>
        <w:rPr>
          <w:rFonts w:eastAsia="Arial" w:cs="Arial" w:ascii="Carlito" w:hAnsi="Carlito"/>
          <w:b w:val="false"/>
          <w:bCs w:val="false"/>
          <w:i w:val="false"/>
          <w:iCs w:val="false"/>
          <w:color w:val="auto"/>
          <w:kern w:val="0"/>
          <w:sz w:val="24"/>
          <w:szCs w:val="24"/>
          <w:lang w:val="pt-BR" w:eastAsia="en-US" w:bidi="ar-SA"/>
        </w:rPr>
      </w:r>
    </w:p>
    <w:p>
      <w:pPr>
        <w:pStyle w:val="Nvel1SemNumerao"/>
        <w:shd w:val="clear" w:fill="FFFFFF"/>
        <w:ind w:left="1191" w:right="0" w:hanging="567"/>
        <w:rPr/>
      </w:pPr>
      <w:r>
        <w:rPr>
          <w:rFonts w:eastAsia="Arial" w:cs="Arial" w:ascii="Carlito" w:hAnsi="Carlito"/>
          <w:i w:val="false"/>
          <w:iCs w:val="false"/>
          <w:color w:val="auto"/>
          <w:kern w:val="0"/>
          <w:sz w:val="24"/>
          <w:szCs w:val="24"/>
          <w:lang w:val="pt-BR" w:eastAsia="en-US" w:bidi="ar-SA"/>
        </w:rPr>
        <w:t>Materiais a serem disponibilizados</w:t>
      </w:r>
    </w:p>
    <w:p>
      <w:pPr>
        <w:pStyle w:val="Nvel1SemNumerao"/>
        <w:widowControl/>
        <w:numPr>
          <w:ilvl w:val="1"/>
          <w:numId w:val="2"/>
        </w:numPr>
        <w:shd w:val="clear" w:fill="FFFFFF"/>
        <w:suppressAutoHyphens w:val="true"/>
        <w:bidi w:val="0"/>
        <w:spacing w:lineRule="auto" w:line="276" w:before="0" w:after="0"/>
        <w:ind w:left="0" w:right="0" w:firstLine="567"/>
        <w:jc w:val="both"/>
        <w:rPr/>
      </w:pPr>
      <w:r>
        <w:rPr>
          <w:rFonts w:eastAsia="Arial" w:cs="Arial" w:ascii="Carlito" w:hAnsi="Carlito"/>
          <w:b w:val="false"/>
          <w:bCs w:val="false"/>
          <w:i w:val="false"/>
          <w:iCs w:val="false"/>
          <w:color w:val="auto"/>
          <w:kern w:val="0"/>
          <w:sz w:val="24"/>
          <w:szCs w:val="24"/>
          <w:lang w:val="pt-BR" w:eastAsia="en-US" w:bidi="ar-SA"/>
        </w:rPr>
        <w:t>Para a perfeita execução dos serviços, a Contratada deverá disponibilizar os materiais, equipamentos, ferramentas e utensílios necessários, nas quantidades estimadas e qualidades a seguir estabelecidas, promovendo sua substituição quando necessário:</w:t>
      </w:r>
    </w:p>
    <w:p>
      <w:pPr>
        <w:pStyle w:val="Nvel1SemNumerao"/>
        <w:numPr>
          <w:ilvl w:val="0"/>
          <w:numId w:val="0"/>
        </w:numPr>
        <w:shd w:val="clear" w:fill="FFFFFF"/>
        <w:ind w:left="2160" w:right="0" w:hanging="0"/>
        <w:jc w:val="both"/>
        <w:rPr>
          <w:rFonts w:ascii="Carlito" w:hAnsi="Carlito"/>
          <w:color w:val="000000"/>
          <w:sz w:val="24"/>
          <w:szCs w:val="24"/>
          <w:highlight w:val="none"/>
          <w:shd w:fill="FFFFFF" w:val="clear"/>
        </w:rPr>
      </w:pPr>
      <w:r>
        <w:rPr>
          <w:rFonts w:ascii="Carlito" w:hAnsi="Carlito"/>
          <w:color w:val="000000"/>
          <w:sz w:val="24"/>
          <w:szCs w:val="24"/>
          <w:shd w:fill="FFFFFF" w:val="clear"/>
        </w:rPr>
      </w:r>
    </w:p>
    <w:p>
      <w:pPr>
        <w:pStyle w:val="Nvel1SemNumerao"/>
        <w:numPr>
          <w:ilvl w:val="0"/>
          <w:numId w:val="0"/>
        </w:numPr>
        <w:shd w:val="clear" w:fill="FFFFFF"/>
        <w:ind w:left="720" w:right="0" w:hanging="0"/>
        <w:rPr>
          <w:color w:val="000000"/>
          <w:highlight w:val="none"/>
          <w:shd w:fill="FFFFFF" w:val="clear"/>
        </w:rPr>
      </w:pPr>
      <w:r>
        <w:rPr>
          <w:rFonts w:ascii="Carlito" w:hAnsi="Carlito"/>
          <w:color w:val="000000"/>
          <w:sz w:val="24"/>
          <w:szCs w:val="24"/>
          <w:shd w:fill="FFFFFF" w:val="clear"/>
        </w:rPr>
        <w:t>Especificação da garantia do serviço</w:t>
      </w:r>
    </w:p>
    <w:p>
      <w:pPr>
        <w:pStyle w:val="Nvel2Opcional1"/>
        <w:widowControl/>
        <w:numPr>
          <w:ilvl w:val="1"/>
          <w:numId w:val="2"/>
        </w:numPr>
        <w:shd w:val="clear" w:fill="FFFFFF"/>
        <w:suppressAutoHyphens w:val="true"/>
        <w:bidi w:val="0"/>
        <w:spacing w:lineRule="auto" w:line="276" w:before="0" w:after="0"/>
        <w:ind w:left="0" w:right="0" w:firstLine="567"/>
        <w:jc w:val="both"/>
        <w:rPr>
          <w:rFonts w:ascii="Carlito" w:hAnsi="Carlito"/>
          <w:color w:val="000000"/>
          <w:sz w:val="24"/>
          <w:szCs w:val="24"/>
        </w:rPr>
      </w:pPr>
      <w:r>
        <w:rPr>
          <w:rFonts w:ascii="Carlito" w:hAnsi="Carlito"/>
          <w:color w:val="000000"/>
          <w:sz w:val="24"/>
          <w:szCs w:val="24"/>
        </w:rPr>
        <w:t>O prazo de garantia contratual dos serviços é aquele estabelecido na Lei nº 8.078, de 11 de setembro de 1990 (Código de Defesa do Consumidor).</w:t>
      </w:r>
    </w:p>
    <w:p>
      <w:pPr>
        <w:pStyle w:val="Ou"/>
        <w:ind w:left="720" w:right="0" w:hanging="0"/>
        <w:jc w:val="both"/>
        <w:rPr>
          <w:rFonts w:ascii="Carlito" w:hAnsi="Carlito"/>
          <w:sz w:val="24"/>
          <w:szCs w:val="24"/>
          <w:highlight w:val="lightGray"/>
        </w:rPr>
      </w:pPr>
      <w:r>
        <w:rPr>
          <w:rFonts w:ascii="Carlito" w:hAnsi="Carlito"/>
          <w:sz w:val="24"/>
          <w:szCs w:val="24"/>
          <w:highlight w:val="lightGray"/>
        </w:rPr>
      </w:r>
    </w:p>
    <w:p>
      <w:pPr>
        <w:pStyle w:val="Nvel1SemNum"/>
        <w:shd w:val="clear" w:fill="FFFFFF"/>
        <w:ind w:left="0" w:right="0" w:hanging="0"/>
        <w:rPr>
          <w:rFonts w:ascii="Carlito" w:hAnsi="Carlito"/>
          <w:color w:val="000000"/>
          <w:sz w:val="24"/>
          <w:szCs w:val="24"/>
        </w:rPr>
      </w:pPr>
      <w:r>
        <w:rPr>
          <w:rFonts w:ascii="Carlito" w:hAnsi="Carlito"/>
          <w:color w:val="000000"/>
          <w:sz w:val="24"/>
          <w:szCs w:val="24"/>
        </w:rPr>
        <w:t>Procedimentos de transição e finalização do contrato</w:t>
      </w:r>
    </w:p>
    <w:p>
      <w:pPr>
        <w:pStyle w:val="Nvel2Opcional1"/>
        <w:widowControl/>
        <w:numPr>
          <w:ilvl w:val="1"/>
          <w:numId w:val="2"/>
        </w:numPr>
        <w:shd w:val="clear" w:fill="FFFFFF"/>
        <w:suppressAutoHyphens w:val="true"/>
        <w:bidi w:val="0"/>
        <w:spacing w:lineRule="auto" w:line="276" w:before="0" w:after="0"/>
        <w:ind w:left="0" w:right="0" w:firstLine="567"/>
        <w:jc w:val="both"/>
        <w:rPr>
          <w:rFonts w:ascii="Carlito" w:hAnsi="Carlito"/>
          <w:color w:val="000000"/>
          <w:sz w:val="24"/>
          <w:szCs w:val="24"/>
        </w:rPr>
      </w:pPr>
      <w:r>
        <w:rPr>
          <w:rFonts w:ascii="Carlito" w:hAnsi="Carlito"/>
          <w:color w:val="000000"/>
          <w:sz w:val="24"/>
          <w:szCs w:val="24"/>
        </w:rPr>
        <w:t>Não serão necessários procedimentos de transição e finalização do contrato devido às características do objeto.</w:t>
      </w:r>
    </w:p>
    <w:p>
      <w:pPr>
        <w:pStyle w:val="Nvel2Opcional1"/>
        <w:widowControl/>
        <w:numPr>
          <w:ilvl w:val="0"/>
          <w:numId w:val="0"/>
        </w:numPr>
        <w:shd w:val="clear" w:fill="FFFFFF"/>
        <w:suppressAutoHyphens w:val="true"/>
        <w:bidi w:val="0"/>
        <w:spacing w:lineRule="auto" w:line="276" w:before="0" w:after="0"/>
        <w:ind w:left="1080" w:right="0" w:hanging="0"/>
        <w:jc w:val="both"/>
        <w:rPr>
          <w:rFonts w:ascii="Carlito" w:hAnsi="Carlito"/>
          <w:color w:val="000000"/>
          <w:sz w:val="24"/>
          <w:szCs w:val="24"/>
        </w:rPr>
      </w:pPr>
      <w:r>
        <w:rPr>
          <w:rFonts w:ascii="Carlito" w:hAnsi="Carlito"/>
          <w:color w:val="000000"/>
          <w:sz w:val="24"/>
          <w:szCs w:val="24"/>
        </w:rPr>
      </w:r>
    </w:p>
    <w:p>
      <w:pPr>
        <w:pStyle w:val="Nivel01"/>
        <w:numPr>
          <w:ilvl w:val="0"/>
          <w:numId w:val="2"/>
        </w:numPr>
        <w:shd w:val="clear" w:fill="FFFFFF"/>
        <w:ind w:left="357" w:right="0" w:hanging="357"/>
        <w:jc w:val="both"/>
        <w:rPr>
          <w:rFonts w:ascii="Carlito" w:hAnsi="Carlito"/>
          <w:sz w:val="24"/>
          <w:szCs w:val="24"/>
        </w:rPr>
      </w:pPr>
      <w:r>
        <w:rPr>
          <w:rFonts w:ascii="Carlito" w:hAnsi="Carlito"/>
          <w:sz w:val="24"/>
          <w:szCs w:val="24"/>
        </w:rPr>
        <w:t>MODELO DE GESTÃO DO CONTRATO</w:t>
      </w:r>
    </w:p>
    <w:p>
      <w:pPr>
        <w:pStyle w:val="Estilo7"/>
        <w:widowControl/>
        <w:numPr>
          <w:ilvl w:val="1"/>
          <w:numId w:val="2"/>
        </w:numPr>
        <w:shd w:val="clear" w:fill="FFFFFF"/>
        <w:suppressAutoHyphens w:val="true"/>
        <w:bidi w:val="0"/>
        <w:spacing w:lineRule="auto" w:line="276" w:before="0" w:after="0"/>
        <w:ind w:left="0" w:right="0" w:firstLine="567"/>
        <w:jc w:val="both"/>
        <w:rPr>
          <w:rFonts w:ascii="Carlito" w:hAnsi="Carlito"/>
          <w:sz w:val="24"/>
          <w:szCs w:val="24"/>
        </w:rPr>
      </w:pPr>
      <w:r>
        <w:rPr>
          <w:rFonts w:ascii="Carlito" w:hAnsi="Carlito"/>
          <w:sz w:val="24"/>
          <w:szCs w:val="24"/>
        </w:rPr>
        <w:t>O contrato deverá ser executado fielmente pelas partes, de acordo com as cláusulas avençadas e as normas da Lei nº 14.133, de 2021, e cada parte responderá pelas consequências de sua inexecução total ou parcial.</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Cs/>
          <w:color w:val="000000"/>
          <w:kern w:val="0"/>
          <w:sz w:val="24"/>
          <w:szCs w:val="24"/>
          <w:lang w:val="pt-BR" w:eastAsia="pt-BR" w:bidi="ar-SA"/>
        </w:rPr>
      </w:pPr>
      <w:r>
        <w:rPr>
          <w:rFonts w:eastAsia="Arial" w:cs="Arial" w:ascii="Carlito" w:hAnsi="Carlito"/>
          <w:iCs/>
          <w:color w:val="000000"/>
          <w:kern w:val="0"/>
          <w:sz w:val="24"/>
          <w:szCs w:val="24"/>
          <w:lang w:val="pt-BR" w:eastAsia="pt-BR" w:bidi="ar-SA"/>
        </w:rPr>
        <w:t>Em caso de impedimento, ordem de paralisação ou suspensão do contrato, o cronograma de execução será prorrogado automaticamente pelo tempo correspondente, anotadas tais circunstâncias mediante simples apostila.</w:t>
      </w:r>
    </w:p>
    <w:p>
      <w:pPr>
        <w:pStyle w:val="Nvel02"/>
        <w:numPr>
          <w:ilvl w:val="0"/>
          <w:numId w:val="0"/>
        </w:numPr>
        <w:shd w:val="clear" w:fill="FFFFFF"/>
        <w:ind w:left="1080" w:right="0" w:hanging="0"/>
        <w:rPr>
          <w:rFonts w:ascii="Carlito" w:hAnsi="Carlito" w:eastAsia="Arial" w:cs="Arial"/>
          <w:iCs/>
          <w:color w:val="000000"/>
          <w:kern w:val="0"/>
          <w:sz w:val="24"/>
          <w:szCs w:val="24"/>
          <w:lang w:val="pt-BR" w:eastAsia="pt-BR" w:bidi="ar-SA"/>
        </w:rPr>
      </w:pPr>
      <w:r>
        <w:rPr>
          <w:rFonts w:eastAsia="Arial" w:cs="Arial" w:ascii="Carlito" w:hAnsi="Carlito"/>
          <w:iCs/>
          <w:color w:val="000000"/>
          <w:kern w:val="0"/>
          <w:sz w:val="24"/>
          <w:szCs w:val="24"/>
          <w:lang w:val="pt-BR" w:eastAsia="pt-BR" w:bidi="ar-SA"/>
        </w:rPr>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Cs/>
          <w:color w:val="000000"/>
          <w:kern w:val="0"/>
          <w:sz w:val="24"/>
          <w:szCs w:val="24"/>
          <w:lang w:val="pt-BR" w:eastAsia="pt-BR" w:bidi="ar-SA"/>
        </w:rPr>
      </w:pPr>
      <w:r>
        <w:rPr>
          <w:rFonts w:eastAsia="Arial" w:cs="Arial" w:ascii="Carlito" w:hAnsi="Carlito"/>
          <w:iCs/>
          <w:color w:val="000000"/>
          <w:kern w:val="0"/>
          <w:sz w:val="24"/>
          <w:szCs w:val="24"/>
          <w:lang w:val="pt-BR" w:eastAsia="pt-BR" w:bidi="ar-SA"/>
        </w:rPr>
        <w:t>As comunicações entre o órgão ou entidade e o Contratado devem ser realizadas por escrito sempre que o ato exigir tal formalidade, admitindo-se o uso de mensagem eletrônica para esse fim.</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Cs/>
          <w:color w:val="000000"/>
          <w:kern w:val="0"/>
          <w:sz w:val="24"/>
          <w:szCs w:val="24"/>
          <w:lang w:val="pt-BR" w:eastAsia="pt-BR" w:bidi="ar-SA"/>
        </w:rPr>
      </w:pPr>
      <w:r>
        <w:rPr>
          <w:rFonts w:eastAsia="Arial" w:cs="Arial" w:ascii="Carlito" w:hAnsi="Carlito"/>
          <w:iCs/>
          <w:color w:val="000000"/>
          <w:kern w:val="0"/>
          <w:sz w:val="24"/>
          <w:szCs w:val="24"/>
          <w:lang w:val="pt-BR" w:eastAsia="pt-BR" w:bidi="ar-SA"/>
        </w:rPr>
        <w:t>O órgão ou entidade poderá convocar o preposto da empresa para adoção de providências que devam ser cumpridas de imediato.</w:t>
      </w:r>
    </w:p>
    <w:p>
      <w:pPr>
        <w:pStyle w:val="Nvel2Opcional1"/>
        <w:widowControl/>
        <w:numPr>
          <w:ilvl w:val="1"/>
          <w:numId w:val="2"/>
        </w:numPr>
        <w:shd w:val="clear" w:fill="FFFFFF"/>
        <w:tabs>
          <w:tab w:val="clear" w:pos="735"/>
        </w:tabs>
        <w:suppressAutoHyphens w:val="true"/>
        <w:bidi w:val="0"/>
        <w:spacing w:lineRule="auto" w:line="276" w:before="0" w:after="0"/>
        <w:ind w:left="0" w:right="0" w:firstLine="510"/>
        <w:jc w:val="both"/>
        <w:rPr>
          <w:rFonts w:ascii="Carlito" w:hAnsi="Carlito" w:eastAsia="Arial" w:cs="Arial"/>
          <w:iCs/>
          <w:color w:val="000000"/>
          <w:kern w:val="0"/>
          <w:sz w:val="24"/>
          <w:szCs w:val="24"/>
          <w:lang w:val="pt-BR" w:eastAsia="pt-BR" w:bidi="ar-SA"/>
        </w:rPr>
      </w:pPr>
      <w:r>
        <w:rPr>
          <w:rFonts w:eastAsia="Arial" w:cs="Arial" w:ascii="Carlito" w:hAnsi="Carlito"/>
          <w:iCs/>
          <w:color w:val="000000"/>
          <w:kern w:val="0"/>
          <w:sz w:val="24"/>
          <w:szCs w:val="24"/>
          <w:lang w:val="pt-BR" w:eastAsia="pt-BR" w:bidi="ar-SA"/>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pPr>
        <w:pStyle w:val="Nvel2Opcional1"/>
        <w:widowControl/>
        <w:numPr>
          <w:ilvl w:val="0"/>
          <w:numId w:val="0"/>
        </w:numPr>
        <w:shd w:val="clear" w:fill="FFFFFF"/>
        <w:tabs>
          <w:tab w:val="clear" w:pos="735"/>
        </w:tabs>
        <w:suppressAutoHyphens w:val="true"/>
        <w:bidi w:val="0"/>
        <w:spacing w:lineRule="auto" w:line="276" w:before="0" w:after="0"/>
        <w:ind w:left="1080" w:right="0" w:hanging="0"/>
        <w:jc w:val="both"/>
        <w:rPr>
          <w:rFonts w:ascii="Carlito" w:hAnsi="Carlito" w:eastAsia="Arial" w:cs="Arial"/>
          <w:iCs/>
          <w:color w:val="000000"/>
          <w:kern w:val="0"/>
          <w:sz w:val="24"/>
          <w:szCs w:val="24"/>
          <w:lang w:val="pt-BR" w:eastAsia="pt-BR" w:bidi="ar-SA"/>
        </w:rPr>
      </w:pPr>
      <w:r>
        <w:rPr>
          <w:rFonts w:eastAsia="Arial" w:cs="Arial" w:ascii="Carlito" w:hAnsi="Carlito"/>
          <w:iCs/>
          <w:color w:val="000000"/>
          <w:kern w:val="0"/>
          <w:sz w:val="24"/>
          <w:szCs w:val="24"/>
          <w:lang w:val="pt-BR" w:eastAsia="pt-BR" w:bidi="ar-SA"/>
        </w:rPr>
      </w:r>
    </w:p>
    <w:p>
      <w:pPr>
        <w:pStyle w:val="Nvel1SemNumerao"/>
        <w:numPr>
          <w:ilvl w:val="0"/>
          <w:numId w:val="0"/>
        </w:numPr>
        <w:shd w:val="clear" w:fill="FFFFFF"/>
        <w:ind w:left="720" w:right="0" w:hanging="0"/>
        <w:rPr>
          <w:rFonts w:ascii="Carlito" w:hAnsi="Carlito"/>
          <w:sz w:val="24"/>
          <w:szCs w:val="24"/>
        </w:rPr>
      </w:pPr>
      <w:r>
        <w:rPr>
          <w:rFonts w:ascii="Carlito" w:hAnsi="Carlito"/>
          <w:sz w:val="24"/>
          <w:szCs w:val="24"/>
        </w:rPr>
        <w:t>Preposto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Contratado designará formalmente o preposto da empresa, antes do início da prestação dos serviços, indicando no instrumento os poderes e deveres em relação à execução do objeto Contratado.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Contratado não necessitará manter preposto da empresa no local da execução do objeto durante o período.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Contratante poderá recusar, desde que justificadamente, a indicação ou a manutenção do preposto da empresa, hipótese em que o Contratado designará outro para o exercício da atividade.</w:t>
      </w:r>
    </w:p>
    <w:p>
      <w:pPr>
        <w:pStyle w:val="Nvel02"/>
        <w:widowControl/>
        <w:numPr>
          <w:ilvl w:val="0"/>
          <w:numId w:val="0"/>
        </w:numPr>
        <w:shd w:val="clear" w:fill="FFFFFF"/>
        <w:suppressAutoHyphens w:val="true"/>
        <w:bidi w:val="0"/>
        <w:spacing w:lineRule="auto" w:line="276" w:before="0" w:after="0"/>
        <w:ind w:left="1080" w:right="0" w:hanging="0"/>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r>
    </w:p>
    <w:p>
      <w:pPr>
        <w:pStyle w:val="Nvel1SemNumerao"/>
        <w:numPr>
          <w:ilvl w:val="0"/>
          <w:numId w:val="0"/>
        </w:numPr>
        <w:shd w:val="clear" w:fill="FFFFFF"/>
        <w:ind w:left="720" w:right="0" w:hanging="0"/>
        <w:rPr/>
      </w:pPr>
      <w:r>
        <w:rPr>
          <w:rFonts w:ascii="Carlito" w:hAnsi="Carlito"/>
          <w:sz w:val="24"/>
          <w:szCs w:val="24"/>
        </w:rPr>
        <w:t xml:space="preserve">Rotinas de </w:t>
      </w:r>
      <w:r>
        <w:rPr>
          <w:rFonts w:eastAsia="Arial" w:cs="Arial" w:ascii="Carlito" w:hAnsi="Carlito"/>
          <w:b w:val="false"/>
          <w:bCs w:val="false"/>
          <w:i w:val="false"/>
          <w:iCs w:val="false"/>
          <w:color w:val="auto"/>
          <w:kern w:val="0"/>
          <w:sz w:val="24"/>
          <w:szCs w:val="24"/>
          <w:lang w:val="pt-BR" w:eastAsia="en-US" w:bidi="ar-SA"/>
        </w:rPr>
        <w:t>Fiscalização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sz w:val="24"/>
          <w:szCs w:val="24"/>
        </w:rPr>
      </w:pPr>
      <w:r>
        <w:rPr>
          <w:rFonts w:ascii="Carlito" w:hAnsi="Carlito"/>
          <w:sz w:val="24"/>
          <w:szCs w:val="24"/>
        </w:rPr>
        <w:t>A execução do contrato deverá ser acompanhada e fiscalizada pelo(s) fiscal(is) do contrato, ou pelos respectivos substitutos.</w:t>
      </w:r>
    </w:p>
    <w:p>
      <w:pPr>
        <w:pStyle w:val="Nvel02"/>
        <w:widowControl/>
        <w:numPr>
          <w:ilvl w:val="0"/>
          <w:numId w:val="0"/>
        </w:numPr>
        <w:shd w:val="clear" w:fill="FFFFFF"/>
        <w:suppressAutoHyphens w:val="true"/>
        <w:bidi w:val="0"/>
        <w:spacing w:lineRule="auto" w:line="276" w:before="0" w:after="0"/>
        <w:ind w:left="1080" w:right="0" w:hanging="0"/>
        <w:jc w:val="both"/>
        <w:rPr>
          <w:rFonts w:ascii="Carlito" w:hAnsi="Carlito"/>
          <w:sz w:val="24"/>
          <w:szCs w:val="24"/>
        </w:rPr>
      </w:pPr>
      <w:r>
        <w:rPr>
          <w:rFonts w:ascii="Carlito" w:hAnsi="Carlito"/>
          <w:sz w:val="24"/>
          <w:szCs w:val="24"/>
        </w:rPr>
      </w:r>
    </w:p>
    <w:p>
      <w:pPr>
        <w:pStyle w:val="Nvel1SemNumerao"/>
        <w:numPr>
          <w:ilvl w:val="0"/>
          <w:numId w:val="0"/>
        </w:numPr>
        <w:shd w:val="clear" w:fill="FFFFFF"/>
        <w:ind w:left="720" w:right="0" w:hanging="0"/>
        <w:rPr>
          <w:rFonts w:ascii="Carlito" w:hAnsi="Carlito"/>
          <w:sz w:val="24"/>
          <w:szCs w:val="24"/>
        </w:rPr>
      </w:pPr>
      <w:r>
        <w:rPr>
          <w:rFonts w:ascii="Carlito" w:hAnsi="Carlito"/>
          <w:sz w:val="24"/>
          <w:szCs w:val="24"/>
        </w:rPr>
        <w:t>Fiscalização Técnica</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fiscal técnico do contrato acompanhará a execução do contrato, para que sejam cumpridas todas as condições estabelecidas no contrato, de modo a assegurar os melhores resultados para a Administração.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fiscal técnico do contrato anotará no histórico de gerenciamento do contrato todas as ocorrências relacionadas à execução do contrato, com a descrição do que for necessário para a regularização das faltas ou dos defeitos observados.</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Identificada qualquer inexatidão ou irregularidade, o fiscal técnico do contrato emitirá notificações para a correção da execução do contrato, determinando prazo para a correção.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fiscal técnico do contrato informará ao gestor do contato, em tempo hábil, a situação que demandar decisão ou adoção de medidas que ultrapassem sua competência, para que adote as medidas necessárias e saneadoras, se for o caso.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No caso de ocorrências que possam inviabilizar a execução do contrato nas datas aprazadas, o fiscal técnico do contrato comunicará o fato imediatamente ao gestor do contrato.</w:t>
      </w:r>
    </w:p>
    <w:p>
      <w:pPr>
        <w:pStyle w:val="Nvel02"/>
        <w:widowControl/>
        <w:numPr>
          <w:ilvl w:val="1"/>
          <w:numId w:val="2"/>
        </w:numPr>
        <w:shd w:val="clear" w:fill="FFFFFF"/>
        <w:suppressAutoHyphens w:val="true"/>
        <w:bidi w:val="0"/>
        <w:spacing w:lineRule="auto" w:line="276" w:before="0" w:after="0"/>
        <w:ind w:left="0" w:right="0" w:firstLine="510"/>
        <w:jc w:val="both"/>
        <w:rPr/>
      </w:pPr>
      <w:r>
        <w:rPr>
          <w:rFonts w:ascii="Carlito" w:hAnsi="Carlito"/>
          <w:sz w:val="24"/>
          <w:szCs w:val="24"/>
        </w:rPr>
        <w:t xml:space="preserve">O fiscal técnico do contrato comunicará ao gestor do contrato, em tempo hábil, o término do contrato sob sua responsabilidade, com vistas à tempestiva </w:t>
      </w:r>
      <w:r>
        <w:rPr>
          <w:rFonts w:eastAsia="Times New Roman" w:ascii="Carlito" w:hAnsi="Carlito"/>
          <w:sz w:val="24"/>
          <w:szCs w:val="24"/>
        </w:rPr>
        <w:t xml:space="preserve">renovação </w:t>
      </w:r>
      <w:r>
        <w:rPr>
          <w:rFonts w:ascii="Carlito" w:hAnsi="Carlito"/>
          <w:sz w:val="24"/>
          <w:szCs w:val="24"/>
        </w:rPr>
        <w:t>ou à prorrogação contratual.</w:t>
      </w:r>
    </w:p>
    <w:p>
      <w:pPr>
        <w:pStyle w:val="Nvel02"/>
        <w:widowControl/>
        <w:numPr>
          <w:ilvl w:val="1"/>
          <w:numId w:val="2"/>
        </w:numPr>
        <w:shd w:val="clear" w:fill="FFFFFF"/>
        <w:suppressAutoHyphens w:val="true"/>
        <w:bidi w:val="0"/>
        <w:spacing w:lineRule="auto" w:line="276" w:before="0" w:after="0"/>
        <w:ind w:left="0" w:right="0" w:firstLine="567"/>
        <w:jc w:val="both"/>
        <w:rPr/>
      </w:pPr>
      <w:r>
        <w:rPr>
          <w:rFonts w:ascii="Carlito" w:hAnsi="Carlito"/>
          <w:sz w:val="24"/>
          <w:szCs w:val="24"/>
        </w:rPr>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do Contratante ou de seus agentes, gestores e fiscais, de conformidade. </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sz w:val="24"/>
          <w:szCs w:val="24"/>
        </w:rPr>
      </w:pPr>
      <w:r>
        <w:rPr>
          <w:rFonts w:ascii="Carlito" w:hAnsi="Carlito"/>
          <w:sz w:val="24"/>
          <w:szCs w:val="24"/>
        </w:rPr>
        <w:t>As disposições previstas neste Termo de Referência não excluem o disposto no Anexo VIII da Instrução Normativa SEGES/MP nº 05, de 2017, aplicável no que for pertinente à contratação, por força da Instrução Normativa Seges/ME nº 98, de 26 de dezembro de 2022.</w:t>
      </w:r>
    </w:p>
    <w:p>
      <w:pPr>
        <w:pStyle w:val="Nvel2Opcional1"/>
        <w:numPr>
          <w:ilvl w:val="0"/>
          <w:numId w:val="0"/>
        </w:numPr>
        <w:shd w:val="clear" w:fill="FFFFFF"/>
        <w:ind w:left="1913" w:right="0" w:hanging="0"/>
        <w:jc w:val="both"/>
        <w:rPr>
          <w:rFonts w:ascii="Carlito" w:hAnsi="Carlito"/>
          <w:sz w:val="24"/>
          <w:szCs w:val="24"/>
          <w:highlight w:val="lightGray"/>
        </w:rPr>
      </w:pPr>
      <w:r>
        <w:rPr>
          <w:rFonts w:ascii="Carlito" w:hAnsi="Carlito"/>
          <w:sz w:val="24"/>
          <w:szCs w:val="24"/>
          <w:highlight w:val="lightGray"/>
        </w:rPr>
      </w:r>
    </w:p>
    <w:p>
      <w:pPr>
        <w:pStyle w:val="Nvel1SemNumerao"/>
        <w:numPr>
          <w:ilvl w:val="0"/>
          <w:numId w:val="0"/>
        </w:numPr>
        <w:shd w:val="clear" w:fill="FFFFFF"/>
        <w:ind w:left="720" w:right="0" w:hanging="0"/>
        <w:rPr>
          <w:rFonts w:ascii="Carlito" w:hAnsi="Carlito"/>
          <w:sz w:val="24"/>
          <w:szCs w:val="24"/>
        </w:rPr>
      </w:pPr>
      <w:r>
        <w:rPr>
          <w:rFonts w:ascii="Carlito" w:hAnsi="Carlito"/>
          <w:sz w:val="24"/>
          <w:szCs w:val="24"/>
        </w:rPr>
        <w:t>Fiscalização Administrativa</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Caso ocorra descumprimento das obrigações contratuais, o fiscal administrativo do contrato atuará tempestivamente na solução do problema, reportando ao gestor do contrato para que tome as providências cabíveis, quando ultrapassar a sua competência.</w:t>
      </w:r>
    </w:p>
    <w:p>
      <w:pPr>
        <w:pStyle w:val="Nvel02"/>
        <w:widowControl/>
        <w:numPr>
          <w:ilvl w:val="0"/>
          <w:numId w:val="0"/>
        </w:numPr>
        <w:shd w:val="clear" w:fill="FFFFFF"/>
        <w:suppressAutoHyphens w:val="true"/>
        <w:bidi w:val="0"/>
        <w:spacing w:lineRule="auto" w:line="276" w:before="0" w:after="0"/>
        <w:ind w:left="1080" w:right="0" w:hanging="0"/>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r>
    </w:p>
    <w:p>
      <w:pPr>
        <w:pStyle w:val="Nvel02"/>
        <w:widowControl/>
        <w:numPr>
          <w:ilvl w:val="0"/>
          <w:numId w:val="0"/>
        </w:numPr>
        <w:shd w:val="clear" w:fill="FFFFFF"/>
        <w:suppressAutoHyphens w:val="true"/>
        <w:bidi w:val="0"/>
        <w:spacing w:lineRule="auto" w:line="276" w:before="0" w:after="0"/>
        <w:ind w:left="720" w:right="0" w:hanging="0"/>
        <w:jc w:val="both"/>
        <w:rPr>
          <w:rFonts w:ascii="Carlito" w:hAnsi="Carlito" w:eastAsia="Arial" w:cs="Arial"/>
          <w:b/>
          <w:b/>
          <w:i w:val="false"/>
          <w:i w:val="false"/>
          <w:iCs w:val="false"/>
          <w:color w:val="auto"/>
          <w:kern w:val="0"/>
          <w:sz w:val="24"/>
          <w:szCs w:val="24"/>
          <w:lang w:val="pt-BR" w:eastAsia="en-US" w:bidi="ar-SA"/>
        </w:rPr>
      </w:pPr>
      <w:r>
        <w:rPr>
          <w:rFonts w:eastAsia="Arial" w:cs="Arial" w:ascii="Carlito" w:hAnsi="Carlito"/>
          <w:b/>
          <w:i w:val="false"/>
          <w:iCs w:val="false"/>
          <w:color w:val="auto"/>
          <w:kern w:val="0"/>
          <w:sz w:val="24"/>
          <w:szCs w:val="24"/>
          <w:lang w:val="pt-BR" w:eastAsia="en-US" w:bidi="ar-SA"/>
        </w:rPr>
        <w:t>Cabe ao gestor do contrato:</w:t>
      </w:r>
    </w:p>
    <w:p>
      <w:pPr>
        <w:pStyle w:val="Nivel3"/>
        <w:widowControl/>
        <w:numPr>
          <w:ilvl w:val="1"/>
          <w:numId w:val="2"/>
        </w:numPr>
        <w:suppressAutoHyphens w:val="true"/>
        <w:bidi w:val="0"/>
        <w:spacing w:lineRule="auto" w:line="276" w:before="120" w:after="120"/>
        <w:ind w:left="0" w:right="0" w:firstLine="567"/>
        <w:jc w:val="both"/>
        <w:rPr>
          <w:rFonts w:ascii="Carlito" w:hAnsi="Carlito"/>
          <w:sz w:val="24"/>
          <w:szCs w:val="24"/>
        </w:rPr>
      </w:pPr>
      <w:r>
        <w:rPr>
          <w:rFonts w:ascii="Carlito" w:hAnsi="Carlito"/>
          <w:sz w:val="24"/>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pPr>
        <w:pStyle w:val="Nivel3"/>
        <w:widowControl/>
        <w:numPr>
          <w:ilvl w:val="1"/>
          <w:numId w:val="2"/>
        </w:numPr>
        <w:suppressAutoHyphens w:val="true"/>
        <w:bidi w:val="0"/>
        <w:spacing w:lineRule="auto" w:line="276" w:before="120" w:after="120"/>
        <w:ind w:left="0" w:right="0" w:firstLine="567"/>
        <w:jc w:val="both"/>
        <w:rPr>
          <w:rFonts w:ascii="Carlito" w:hAnsi="Carlito"/>
          <w:sz w:val="24"/>
          <w:szCs w:val="24"/>
        </w:rPr>
      </w:pPr>
      <w:r>
        <w:rPr>
          <w:rFonts w:ascii="Carlito" w:hAnsi="Carli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pPr>
        <w:pStyle w:val="Nivel3"/>
        <w:widowControl/>
        <w:numPr>
          <w:ilvl w:val="1"/>
          <w:numId w:val="2"/>
        </w:numPr>
        <w:suppressAutoHyphens w:val="true"/>
        <w:bidi w:val="0"/>
        <w:spacing w:lineRule="auto" w:line="276" w:before="120" w:after="120"/>
        <w:ind w:left="0" w:right="0" w:firstLine="567"/>
        <w:jc w:val="both"/>
        <w:rPr>
          <w:rFonts w:ascii="Carlito" w:hAnsi="Carlito"/>
          <w:sz w:val="24"/>
          <w:szCs w:val="24"/>
        </w:rPr>
      </w:pPr>
      <w:r>
        <w:rPr>
          <w:rFonts w:ascii="Carlito" w:hAnsi="Carlito"/>
          <w:sz w:val="24"/>
          <w:szCs w:val="24"/>
        </w:rPr>
        <w:t>acompanhar a manutenção das condições de habilitação da contratada, para fins de empenho de despesa e pagamento, e anotará os problemas que obstem o fluxo normal da liquidação e do pagamento da despesa no relatório de riscos eventuais.</w:t>
      </w:r>
    </w:p>
    <w:p>
      <w:pPr>
        <w:pStyle w:val="Nivel3"/>
        <w:widowControl/>
        <w:numPr>
          <w:ilvl w:val="1"/>
          <w:numId w:val="2"/>
        </w:numPr>
        <w:suppressAutoHyphens w:val="true"/>
        <w:bidi w:val="0"/>
        <w:spacing w:lineRule="auto" w:line="276" w:before="120" w:after="120"/>
        <w:ind w:left="0" w:right="0" w:firstLine="567"/>
        <w:jc w:val="both"/>
        <w:rPr>
          <w:rFonts w:ascii="Carlito" w:hAnsi="Carlito"/>
          <w:sz w:val="24"/>
          <w:szCs w:val="24"/>
        </w:rPr>
      </w:pPr>
      <w:r>
        <w:rPr>
          <w:rFonts w:ascii="Carlito" w:hAnsi="Carlito"/>
          <w:sz w:val="24"/>
          <w:szCs w:val="24"/>
        </w:rPr>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pPr>
        <w:pStyle w:val="Nivel3"/>
        <w:widowControl/>
        <w:numPr>
          <w:ilvl w:val="1"/>
          <w:numId w:val="2"/>
        </w:numPr>
        <w:suppressAutoHyphens w:val="true"/>
        <w:bidi w:val="0"/>
        <w:spacing w:lineRule="auto" w:line="276" w:before="120" w:after="120"/>
        <w:ind w:left="0" w:right="0" w:firstLine="567"/>
        <w:jc w:val="both"/>
        <w:rPr>
          <w:rFonts w:ascii="Carlito" w:hAnsi="Carlito"/>
          <w:sz w:val="24"/>
          <w:szCs w:val="24"/>
        </w:rPr>
      </w:pPr>
      <w:r>
        <w:rPr>
          <w:rFonts w:ascii="Carlito" w:hAnsi="Carlito"/>
          <w:sz w:val="24"/>
          <w:szCs w:val="24"/>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pPr>
        <w:pStyle w:val="Nivel3"/>
        <w:widowControl/>
        <w:numPr>
          <w:ilvl w:val="1"/>
          <w:numId w:val="2"/>
        </w:numPr>
        <w:suppressAutoHyphens w:val="true"/>
        <w:bidi w:val="0"/>
        <w:spacing w:lineRule="auto" w:line="276" w:before="120" w:after="120"/>
        <w:ind w:left="0" w:right="0" w:firstLine="567"/>
        <w:jc w:val="both"/>
        <w:rPr>
          <w:rFonts w:ascii="Carlito" w:hAnsi="Carlito"/>
          <w:sz w:val="24"/>
          <w:szCs w:val="24"/>
        </w:rPr>
      </w:pPr>
      <w:r>
        <w:rPr>
          <w:rFonts w:ascii="Carlito" w:hAnsi="Carlito"/>
          <w:sz w:val="24"/>
          <w:szCs w:val="24"/>
        </w:rPr>
        <w:t>elaborar relatório final com informações sobre a consecução dos objetivos que tenham justificado a contratação e eventuais condutas a serem adotadas para o aprimoramento das atividades da Administração.</w:t>
      </w:r>
    </w:p>
    <w:p>
      <w:pPr>
        <w:pStyle w:val="Nivel3"/>
        <w:widowControl/>
        <w:numPr>
          <w:ilvl w:val="1"/>
          <w:numId w:val="2"/>
        </w:numPr>
        <w:suppressAutoHyphens w:val="true"/>
        <w:bidi w:val="0"/>
        <w:spacing w:lineRule="auto" w:line="276" w:before="120" w:after="120"/>
        <w:ind w:left="0" w:right="0" w:firstLine="510"/>
        <w:jc w:val="both"/>
        <w:rPr>
          <w:rFonts w:ascii="Carlito" w:hAnsi="Carlito"/>
          <w:sz w:val="24"/>
          <w:szCs w:val="24"/>
        </w:rPr>
      </w:pPr>
      <w:r>
        <w:rPr>
          <w:rFonts w:ascii="Carlito" w:hAnsi="Carlito"/>
          <w:sz w:val="24"/>
          <w:szCs w:val="24"/>
        </w:rPr>
        <w:t>enviar a documentação pertinente ao setor de contratos para a formalização dos procedimentos de liquidação e pagamento, no valor dimensionado pela fiscalização e gestão nos termos do contrato.</w:t>
      </w:r>
    </w:p>
    <w:p>
      <w:pPr>
        <w:pStyle w:val="Nivel3"/>
        <w:widowControl/>
        <w:numPr>
          <w:ilvl w:val="1"/>
          <w:numId w:val="2"/>
        </w:numPr>
        <w:suppressAutoHyphens w:val="true"/>
        <w:bidi w:val="0"/>
        <w:spacing w:lineRule="auto" w:line="276" w:before="120" w:after="120"/>
        <w:ind w:left="0" w:right="0" w:firstLine="510"/>
        <w:jc w:val="both"/>
        <w:rPr>
          <w:rFonts w:ascii="Carlito" w:hAnsi="Carlito"/>
          <w:color w:val="000000"/>
          <w:sz w:val="24"/>
          <w:szCs w:val="24"/>
        </w:rPr>
      </w:pPr>
      <w:r>
        <w:rPr>
          <w:rFonts w:ascii="Carlito" w:hAnsi="Carlito"/>
          <w:color w:val="000000"/>
          <w:sz w:val="24"/>
          <w:szCs w:val="24"/>
        </w:rPr>
        <w:t>receber e dar encaminhamento imediato:</w:t>
      </w:r>
    </w:p>
    <w:p>
      <w:pPr>
        <w:pStyle w:val="Nivel4"/>
        <w:widowControl/>
        <w:numPr>
          <w:ilvl w:val="2"/>
          <w:numId w:val="2"/>
        </w:numPr>
        <w:suppressAutoHyphens w:val="true"/>
        <w:bidi w:val="0"/>
        <w:spacing w:lineRule="auto" w:line="276" w:before="0" w:after="0"/>
        <w:ind w:left="0" w:right="0" w:firstLine="1134"/>
        <w:jc w:val="both"/>
        <w:rPr>
          <w:rFonts w:ascii="Carlito" w:hAnsi="Carlito" w:eastAsia="ＭＳ 明朝" w:cs="Arial"/>
          <w:bCs/>
          <w:i w:val="false"/>
          <w:i w:val="false"/>
          <w:color w:val="000000"/>
          <w:kern w:val="0"/>
          <w:sz w:val="24"/>
          <w:szCs w:val="24"/>
          <w:lang w:val="pt-BR" w:eastAsia="pt-BR" w:bidi="ar-SA"/>
        </w:rPr>
      </w:pPr>
      <w:r>
        <w:rPr>
          <w:rFonts w:eastAsia="ＭＳ 明朝" w:cs="Arial" w:ascii="Carlito" w:hAnsi="Carlito"/>
          <w:bCs/>
          <w:i w:val="false"/>
          <w:color w:val="000000"/>
          <w:kern w:val="0"/>
          <w:sz w:val="24"/>
          <w:szCs w:val="24"/>
          <w:lang w:val="pt-BR" w:eastAsia="pt-BR" w:bidi="ar-SA"/>
        </w:rPr>
        <w:t xml:space="preserve">às denúncias de discriminação, violência e assédio no ambiente de trabalho, conforme o art. 2º, inciso III, do Decreto n.º 12.174/2024; </w:t>
      </w:r>
    </w:p>
    <w:p>
      <w:pPr>
        <w:pStyle w:val="Nivel4"/>
        <w:widowControl/>
        <w:numPr>
          <w:ilvl w:val="2"/>
          <w:numId w:val="2"/>
        </w:numPr>
        <w:suppressAutoHyphens w:val="true"/>
        <w:bidi w:val="0"/>
        <w:spacing w:lineRule="auto" w:line="276" w:before="0" w:after="0"/>
        <w:ind w:left="0" w:right="0" w:firstLine="1134"/>
        <w:jc w:val="both"/>
        <w:rPr>
          <w:rFonts w:ascii="Carlito" w:hAnsi="Carlito" w:eastAsia="ＭＳ 明朝" w:cs="Arial"/>
          <w:bCs/>
          <w:i w:val="false"/>
          <w:i w:val="false"/>
          <w:color w:val="000000"/>
          <w:kern w:val="0"/>
          <w:sz w:val="24"/>
          <w:szCs w:val="24"/>
          <w:lang w:val="pt-BR" w:eastAsia="pt-BR" w:bidi="ar-SA"/>
        </w:rPr>
      </w:pPr>
      <w:r>
        <w:rPr>
          <w:rFonts w:eastAsia="ＭＳ 明朝" w:cs="Arial" w:ascii="Carlito" w:hAnsi="Carlito"/>
          <w:bCs/>
          <w:i w:val="false"/>
          <w:color w:val="000000"/>
          <w:kern w:val="0"/>
          <w:sz w:val="24"/>
          <w:szCs w:val="24"/>
          <w:lang w:val="pt-BR" w:eastAsia="pt-BR" w:bidi="ar-SA"/>
        </w:rPr>
        <w:t>à notificação formal de que a empresa contratada está descumprindo suas obrigações trabalhistas, enviada pelo trabalhador, sindicato, Ministério do Trabalho, Ministério Público, Defensoria Pública ou por qualquer outro meio idôneo.</w:t>
      </w:r>
    </w:p>
    <w:p>
      <w:pPr>
        <w:pStyle w:val="Nvel2Opcional1"/>
        <w:numPr>
          <w:ilvl w:val="0"/>
          <w:numId w:val="0"/>
        </w:numPr>
        <w:shd w:val="clear" w:fill="FFFFFF"/>
        <w:ind w:left="1913" w:right="0" w:hanging="0"/>
        <w:jc w:val="both"/>
        <w:rPr>
          <w:rFonts w:ascii="Carlito" w:hAnsi="Carlito"/>
          <w:sz w:val="24"/>
          <w:szCs w:val="24"/>
          <w:highlight w:val="lightGray"/>
        </w:rPr>
      </w:pPr>
      <w:r>
        <w:rPr>
          <w:rFonts w:ascii="Carlito" w:hAnsi="Carlito"/>
          <w:sz w:val="24"/>
          <w:szCs w:val="24"/>
          <w:highlight w:val="lightGray"/>
        </w:rPr>
      </w:r>
    </w:p>
    <w:p>
      <w:pPr>
        <w:pStyle w:val="Nivel01"/>
        <w:numPr>
          <w:ilvl w:val="0"/>
          <w:numId w:val="2"/>
        </w:numPr>
        <w:shd w:val="clear" w:fill="FFFFFF"/>
        <w:ind w:left="357" w:right="0" w:hanging="357"/>
        <w:jc w:val="both"/>
        <w:rPr>
          <w:rFonts w:ascii="Carlito" w:hAnsi="Carlito"/>
          <w:sz w:val="24"/>
          <w:szCs w:val="24"/>
        </w:rPr>
      </w:pPr>
      <w:r>
        <w:rPr>
          <w:rFonts w:ascii="Carlito" w:hAnsi="Carlito"/>
          <w:sz w:val="24"/>
          <w:szCs w:val="24"/>
        </w:rPr>
        <w:t>CRITÉRIOS DE MEDIÇÃO E PAGAMENTO</w:t>
      </w:r>
    </w:p>
    <w:p>
      <w:pPr>
        <w:pStyle w:val="Nvel2Opcional1"/>
        <w:widowControl/>
        <w:numPr>
          <w:ilvl w:val="1"/>
          <w:numId w:val="2"/>
        </w:numPr>
        <w:shd w:val="clear" w:fill="FFFFFF"/>
        <w:tabs>
          <w:tab w:val="clear" w:pos="735"/>
        </w:tabs>
        <w:suppressAutoHyphens w:val="true"/>
        <w:bidi w:val="0"/>
        <w:spacing w:lineRule="auto" w:line="276" w:before="0" w:after="0"/>
        <w:ind w:left="0" w:right="0" w:firstLine="567"/>
        <w:jc w:val="both"/>
        <w:rPr>
          <w:rFonts w:ascii="Carlito" w:hAnsi="Carlito"/>
          <w:color w:val="000000"/>
          <w:sz w:val="24"/>
          <w:szCs w:val="24"/>
        </w:rPr>
      </w:pPr>
      <w:r>
        <w:rPr>
          <w:rFonts w:ascii="Carlito" w:hAnsi="Carlito"/>
          <w:color w:val="000000"/>
          <w:sz w:val="24"/>
          <w:szCs w:val="24"/>
        </w:rPr>
        <w:t>A avaliação da execução do serviço utilizará o disposto neste item.</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sz w:val="24"/>
          <w:szCs w:val="24"/>
        </w:rPr>
      </w:pPr>
      <w:r>
        <w:rPr>
          <w:rFonts w:ascii="Carlito" w:hAnsi="Carlito"/>
          <w:sz w:val="24"/>
          <w:szCs w:val="24"/>
        </w:rPr>
        <w:t>Será indicada a retenção ou glosa no pagamento, proporcional à irregularidade verificada, sem prejuízo das sanções cabíveis, caso se constate que o Contratado:</w:t>
      </w:r>
    </w:p>
    <w:p>
      <w:pPr>
        <w:pStyle w:val="Nivel3"/>
        <w:widowControl/>
        <w:numPr>
          <w:ilvl w:val="1"/>
          <w:numId w:val="2"/>
        </w:numPr>
        <w:bidi w:val="0"/>
        <w:spacing w:lineRule="auto" w:line="276" w:before="120" w:after="120"/>
        <w:ind w:left="510" w:right="0" w:hanging="0"/>
        <w:jc w:val="both"/>
        <w:rPr>
          <w:rFonts w:ascii="Carlito" w:hAnsi="Carlito"/>
          <w:sz w:val="24"/>
          <w:szCs w:val="24"/>
        </w:rPr>
      </w:pPr>
      <w:r>
        <w:rPr>
          <w:rFonts w:ascii="Carlito" w:hAnsi="Carlito"/>
          <w:sz w:val="24"/>
          <w:szCs w:val="24"/>
        </w:rPr>
        <w:t>não produziu os resultados acordados,</w:t>
      </w:r>
    </w:p>
    <w:p>
      <w:pPr>
        <w:pStyle w:val="Nivel3"/>
        <w:widowControl/>
        <w:numPr>
          <w:ilvl w:val="2"/>
          <w:numId w:val="2"/>
        </w:numPr>
        <w:suppressAutoHyphens w:val="true"/>
        <w:bidi w:val="0"/>
        <w:spacing w:lineRule="auto" w:line="276" w:before="120" w:after="120"/>
        <w:ind w:left="0" w:right="0" w:firstLine="1134"/>
        <w:jc w:val="both"/>
        <w:rPr>
          <w:rFonts w:ascii="Carlito" w:hAnsi="Carlito"/>
          <w:sz w:val="24"/>
          <w:szCs w:val="24"/>
        </w:rPr>
      </w:pPr>
      <w:r>
        <w:rPr>
          <w:rFonts w:ascii="Carlito" w:hAnsi="Carlito"/>
          <w:sz w:val="24"/>
          <w:szCs w:val="24"/>
        </w:rPr>
        <w:t>deixou de executar, ou não executou com a qualidade mínima exigida as atividades contratadas; ou</w:t>
      </w:r>
    </w:p>
    <w:p>
      <w:pPr>
        <w:pStyle w:val="Nivel3"/>
        <w:widowControl/>
        <w:numPr>
          <w:ilvl w:val="2"/>
          <w:numId w:val="2"/>
        </w:numPr>
        <w:suppressAutoHyphens w:val="true"/>
        <w:bidi w:val="0"/>
        <w:spacing w:lineRule="auto" w:line="276" w:before="120" w:after="120"/>
        <w:ind w:left="0" w:right="0" w:firstLine="1134"/>
        <w:jc w:val="both"/>
        <w:rPr>
          <w:rFonts w:ascii="Carlito" w:hAnsi="Carlito"/>
          <w:sz w:val="24"/>
          <w:szCs w:val="24"/>
        </w:rPr>
      </w:pPr>
      <w:r>
        <w:rPr>
          <w:rFonts w:ascii="Carlito" w:hAnsi="Carlito"/>
          <w:sz w:val="24"/>
          <w:szCs w:val="24"/>
        </w:rPr>
        <w:t>deixou de utilizar materiais e recursos humanos exigidos para a execução do serviço, ou os utilizou com qualidade ou quantidade inferior à demandada.</w:t>
      </w:r>
    </w:p>
    <w:p>
      <w:pPr>
        <w:pStyle w:val="Nvel2Opcional1"/>
        <w:widowControl/>
        <w:numPr>
          <w:ilvl w:val="1"/>
          <w:numId w:val="2"/>
        </w:numPr>
        <w:shd w:val="clear" w:fill="FFFFFF"/>
        <w:tabs>
          <w:tab w:val="left" w:pos="675" w:leader="none"/>
          <w:tab w:val="left" w:pos="735" w:leader="none"/>
        </w:tabs>
        <w:suppressAutoHyphens w:val="true"/>
        <w:bidi w:val="0"/>
        <w:spacing w:lineRule="auto" w:line="276" w:before="0" w:after="0"/>
        <w:ind w:left="-57" w:right="0" w:firstLine="624"/>
        <w:jc w:val="both"/>
        <w:rPr>
          <w:rFonts w:ascii="Carlito" w:hAnsi="Carlito"/>
          <w:color w:val="000000"/>
          <w:sz w:val="24"/>
          <w:szCs w:val="24"/>
        </w:rPr>
      </w:pPr>
      <w:r>
        <w:rPr>
          <w:rFonts w:ascii="Carlito" w:hAnsi="Carlito"/>
          <w:color w:val="000000"/>
          <w:sz w:val="24"/>
          <w:szCs w:val="24"/>
        </w:rPr>
        <w:t>A utilização do IMR não impede a aplicação concomitante de outros mecanismos para a avaliação da prestação dos serviços.</w:t>
      </w:r>
    </w:p>
    <w:p>
      <w:pPr>
        <w:pStyle w:val="Nvel2Opcional1"/>
        <w:numPr>
          <w:ilvl w:val="0"/>
          <w:numId w:val="0"/>
        </w:numPr>
        <w:shd w:val="clear" w:fill="FFFFFF"/>
        <w:ind w:left="1913" w:right="0" w:hanging="0"/>
        <w:jc w:val="both"/>
        <w:rPr>
          <w:rFonts w:ascii="Carlito" w:hAnsi="Carlito"/>
          <w:sz w:val="24"/>
          <w:szCs w:val="24"/>
        </w:rPr>
      </w:pPr>
      <w:r>
        <w:rPr>
          <w:rFonts w:ascii="Carlito" w:hAnsi="Carlito"/>
          <w:sz w:val="24"/>
          <w:szCs w:val="24"/>
        </w:rPr>
      </w:r>
    </w:p>
    <w:p>
      <w:pPr>
        <w:pStyle w:val="Nvel1SemNumerao"/>
        <w:numPr>
          <w:ilvl w:val="0"/>
          <w:numId w:val="0"/>
        </w:numPr>
        <w:shd w:val="clear" w:fill="FFFFFF"/>
        <w:ind w:left="720" w:right="0" w:hanging="0"/>
        <w:rPr/>
      </w:pPr>
      <w:r>
        <w:rPr>
          <w:rFonts w:ascii="Carlito" w:hAnsi="Carlito"/>
          <w:sz w:val="24"/>
          <w:szCs w:val="24"/>
        </w:rPr>
        <w:t xml:space="preserve">Do </w:t>
      </w:r>
      <w:r>
        <w:rPr>
          <w:rFonts w:eastAsia="Arial" w:cs="Arial" w:ascii="Carlito" w:hAnsi="Carlito"/>
          <w:b w:val="false"/>
          <w:bCs w:val="false"/>
          <w:i w:val="false"/>
          <w:iCs w:val="false"/>
          <w:color w:val="auto"/>
          <w:kern w:val="0"/>
          <w:sz w:val="24"/>
          <w:szCs w:val="24"/>
          <w:lang w:val="pt-BR" w:eastAsia="en-US" w:bidi="ar-SA"/>
        </w:rPr>
        <w:t>recebimento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Os serviços serão recebidos provisoriamente, no prazo de 10 (dez) dias, pelos fiscais técnico e administrativo, mediante termos detalhados, quando verificado o cumprimento das exigências de caráter técnico e administrativo.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prazo para recebimento provisório será contado do recebimento de comunicação de cobrança oriunda do Contratado com a comprovação da prestação dos serviços a que se referem a parcela a ser paga.</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fiscal técnico do contrato realizará o recebimento provisório do objeto do contrato mediante termo detalhado que comprove o cumprimento das exigências de caráter técnico.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fiscal administrativo do contrato realizará o recebimento provisório do objeto do contrato mediante termo detalhado que comprove o cumprimento das exigências de caráter administrativo.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fiscal setorial do contrato, quando houver, realizará o recebimento provisório sob o ponto de vista técnico e administrativo.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Para efeito de recebimento provisório, será considerado para fins de faturamento o período a ser apurado: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Ao final de cada período/evento de faturamento:</w:t>
      </w:r>
    </w:p>
    <w:p>
      <w:pPr>
        <w:pStyle w:val="Nivel3"/>
        <w:widowControl/>
        <w:numPr>
          <w:ilvl w:val="2"/>
          <w:numId w:val="2"/>
        </w:numPr>
        <w:suppressAutoHyphens w:val="true"/>
        <w:bidi w:val="0"/>
        <w:spacing w:lineRule="auto" w:line="276" w:before="120" w:after="120"/>
        <w:ind w:left="0" w:right="0" w:firstLine="1134"/>
        <w:jc w:val="both"/>
        <w:rPr>
          <w:rFonts w:ascii="Carlito" w:hAnsi="Carlito"/>
          <w:sz w:val="24"/>
          <w:szCs w:val="24"/>
        </w:rPr>
      </w:pPr>
      <w:r>
        <w:rPr>
          <w:rFonts w:ascii="Carlito" w:hAnsi="Carlito"/>
          <w:sz w:val="24"/>
          <w:szCs w:val="24"/>
        </w:rPr>
        <w:t>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pPr>
        <w:pStyle w:val="Nvel02"/>
        <w:widowControl/>
        <w:numPr>
          <w:ilvl w:val="2"/>
          <w:numId w:val="2"/>
        </w:numPr>
        <w:shd w:val="clear" w:fill="FFFFFF"/>
        <w:suppressAutoHyphens w:val="true"/>
        <w:bidi w:val="0"/>
        <w:spacing w:lineRule="auto" w:line="276" w:before="0" w:after="0"/>
        <w:ind w:left="0" w:right="0" w:firstLine="1134"/>
        <w:jc w:val="both"/>
        <w:rPr>
          <w:rFonts w:ascii="Carlito" w:hAnsi="Carlito"/>
          <w:sz w:val="24"/>
          <w:szCs w:val="24"/>
        </w:rPr>
      </w:pPr>
      <w:r>
        <w:rPr>
          <w:rFonts w:eastAsia="Arial" w:cs="Arial" w:ascii="Carlito" w:hAnsi="Carlito"/>
          <w:i w:val="false"/>
          <w:iCs/>
          <w:color w:val="000000"/>
          <w:kern w:val="0"/>
          <w:sz w:val="24"/>
          <w:szCs w:val="24"/>
          <w:lang w:val="pt-BR" w:eastAsia="pt-BR" w:bidi="ar-SA"/>
        </w:rPr>
        <w:t>Será considerado como ocorrido o recebimento provisório com a entrega do termo detalhado ou, em havendo mais de um a ser feito, com a entrega do último.</w:t>
      </w:r>
    </w:p>
    <w:p>
      <w:pPr>
        <w:pStyle w:val="Nvel02"/>
        <w:widowControl/>
        <w:numPr>
          <w:ilvl w:val="2"/>
          <w:numId w:val="2"/>
        </w:numPr>
        <w:shd w:val="clear" w:fill="FFFFFF"/>
        <w:suppressAutoHyphens w:val="true"/>
        <w:bidi w:val="0"/>
        <w:spacing w:lineRule="auto" w:line="276" w:before="0" w:after="0"/>
        <w:ind w:left="0" w:right="0" w:firstLine="1134"/>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pPr>
        <w:pStyle w:val="Nvel02"/>
        <w:widowControl/>
        <w:numPr>
          <w:ilvl w:val="2"/>
          <w:numId w:val="2"/>
        </w:numPr>
        <w:shd w:val="clear" w:fill="FFFFFF"/>
        <w:suppressAutoHyphens w:val="true"/>
        <w:bidi w:val="0"/>
        <w:spacing w:lineRule="auto" w:line="276" w:before="0" w:after="0"/>
        <w:ind w:left="0" w:right="0" w:firstLine="1134"/>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A fiscalização não efetuará o ateste da última e/ou única medição de serviços até que sejam sanadas todas as eventuais pendências que possam vir a ser apontadas no recebimento provisório.</w:t>
      </w:r>
    </w:p>
    <w:p>
      <w:pPr>
        <w:pStyle w:val="Nvel02"/>
        <w:widowControl/>
        <w:numPr>
          <w:ilvl w:val="2"/>
          <w:numId w:val="2"/>
        </w:numPr>
        <w:shd w:val="clear" w:fill="FFFFFF"/>
        <w:suppressAutoHyphens w:val="true"/>
        <w:bidi w:val="0"/>
        <w:spacing w:lineRule="auto" w:line="276" w:before="0" w:after="0"/>
        <w:ind w:left="0" w:right="0" w:firstLine="1134"/>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recebimento provisório também ficará sujeito, quando cabível, à conclusão de todos os testes de campo e à entrega dos Manuais e Instruções exigíveis.</w:t>
      </w:r>
    </w:p>
    <w:p>
      <w:pPr>
        <w:pStyle w:val="Nvel02"/>
        <w:widowControl/>
        <w:numPr>
          <w:ilvl w:val="2"/>
          <w:numId w:val="2"/>
        </w:numPr>
        <w:shd w:val="clear" w:fill="FFFFFF"/>
        <w:suppressAutoHyphens w:val="true"/>
        <w:bidi w:val="0"/>
        <w:spacing w:lineRule="auto" w:line="276" w:before="0" w:after="0"/>
        <w:ind w:left="0" w:right="0" w:firstLine="1134"/>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Os serviços poderão ser rejeitados, no todo ou em parte, quando em desacordo com as especificações constantes neste Termo de Referência e na proposta, sem prejuízo da aplicação das penalidades.</w:t>
      </w:r>
    </w:p>
    <w:p>
      <w:pPr>
        <w:pStyle w:val="Nvel02"/>
        <w:widowControl/>
        <w:numPr>
          <w:ilvl w:val="2"/>
          <w:numId w:val="2"/>
        </w:numPr>
        <w:shd w:val="clear" w:fill="FFFFFF"/>
        <w:suppressAutoHyphens w:val="true"/>
        <w:bidi w:val="0"/>
        <w:spacing w:lineRule="auto" w:line="276" w:before="0" w:after="0"/>
        <w:ind w:left="0" w:right="0" w:firstLine="1134"/>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pPr>
        <w:pStyle w:val="Nvel02"/>
        <w:widowControl/>
        <w:numPr>
          <w:ilvl w:val="2"/>
          <w:numId w:val="2"/>
        </w:numPr>
        <w:shd w:val="clear" w:fill="FFFFFF"/>
        <w:suppressAutoHyphens w:val="true"/>
        <w:bidi w:val="0"/>
        <w:spacing w:lineRule="auto" w:line="276" w:before="0" w:after="0"/>
        <w:ind w:left="0" w:right="0" w:firstLine="1134"/>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Os serviços serão recebidos definitivamente no prazo de 10 (dez) dias, contados do recebimento provisório, por servidor ou comissão designada pela autoridade competente, após a verificação da qualidade e quantidade do serviço e consequente aceitação mediante termo detalhado, obedecendo os seguintes procedimentos:</w:t>
      </w:r>
    </w:p>
    <w:p>
      <w:pPr>
        <w:pStyle w:val="Nivel3"/>
        <w:widowControl/>
        <w:numPr>
          <w:ilvl w:val="1"/>
          <w:numId w:val="2"/>
        </w:numPr>
        <w:tabs>
          <w:tab w:val="clear" w:pos="709"/>
          <w:tab w:val="left" w:pos="1245" w:leader="none"/>
          <w:tab w:val="left" w:pos="1650" w:leader="none"/>
        </w:tabs>
        <w:suppressAutoHyphens w:val="true"/>
        <w:bidi w:val="0"/>
        <w:spacing w:lineRule="auto" w:line="276" w:before="120" w:after="120"/>
        <w:ind w:left="0" w:right="0" w:firstLine="567"/>
        <w:jc w:val="both"/>
        <w:rPr>
          <w:rFonts w:ascii="Carlito" w:hAnsi="Carlito"/>
          <w:sz w:val="24"/>
          <w:szCs w:val="24"/>
        </w:rPr>
      </w:pPr>
      <w:r>
        <w:rPr>
          <w:rFonts w:ascii="Carlito" w:hAnsi="Carlito"/>
          <w:sz w:val="24"/>
          <w:szCs w:val="24"/>
        </w:rPr>
        <w:t xml:space="preserve"> </w:t>
      </w:r>
      <w:r>
        <w:rPr>
          <w:rFonts w:ascii="Carlito" w:hAnsi="Carlito"/>
          <w:sz w:val="24"/>
          <w:szCs w:val="24"/>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pPr>
        <w:pStyle w:val="Nivel3"/>
        <w:widowControl/>
        <w:numPr>
          <w:ilvl w:val="1"/>
          <w:numId w:val="2"/>
        </w:numPr>
        <w:suppressAutoHyphens w:val="true"/>
        <w:bidi w:val="0"/>
        <w:spacing w:lineRule="auto" w:line="276" w:before="120" w:after="120"/>
        <w:ind w:left="0" w:right="0" w:firstLine="567"/>
        <w:jc w:val="both"/>
        <w:rPr>
          <w:rFonts w:ascii="Carlito" w:hAnsi="Carlito"/>
          <w:sz w:val="24"/>
          <w:szCs w:val="24"/>
        </w:rPr>
      </w:pPr>
      <w:r>
        <w:rPr>
          <w:rFonts w:ascii="Carlito" w:hAnsi="Carlito"/>
          <w:sz w:val="24"/>
          <w:szCs w:val="24"/>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pPr>
        <w:pStyle w:val="Nivel3"/>
        <w:widowControl/>
        <w:numPr>
          <w:ilvl w:val="1"/>
          <w:numId w:val="2"/>
        </w:numPr>
        <w:suppressAutoHyphens w:val="true"/>
        <w:bidi w:val="0"/>
        <w:spacing w:lineRule="auto" w:line="276" w:before="120" w:after="120"/>
        <w:ind w:left="0" w:right="0" w:firstLine="510"/>
        <w:jc w:val="both"/>
        <w:rPr>
          <w:rFonts w:ascii="Carlito" w:hAnsi="Carlito"/>
          <w:sz w:val="24"/>
          <w:szCs w:val="24"/>
        </w:rPr>
      </w:pPr>
      <w:r>
        <w:rPr>
          <w:rFonts w:ascii="Carlito" w:hAnsi="Carlito"/>
          <w:sz w:val="24"/>
          <w:szCs w:val="24"/>
        </w:rPr>
        <w:t>Emitir Termo Detalhado para efeito de recebimento definitivo dos serviços prestados, com base nos relatórios e documentações apresentadas; e</w:t>
      </w:r>
    </w:p>
    <w:p>
      <w:pPr>
        <w:pStyle w:val="Nivel3"/>
        <w:widowControl/>
        <w:numPr>
          <w:ilvl w:val="1"/>
          <w:numId w:val="2"/>
        </w:numPr>
        <w:suppressAutoHyphens w:val="true"/>
        <w:bidi w:val="0"/>
        <w:spacing w:lineRule="auto" w:line="276" w:before="120" w:after="120"/>
        <w:ind w:left="0" w:right="0" w:firstLine="510"/>
        <w:jc w:val="both"/>
        <w:rPr>
          <w:rFonts w:ascii="Carlito" w:hAnsi="Carlito"/>
          <w:sz w:val="24"/>
          <w:szCs w:val="24"/>
        </w:rPr>
      </w:pPr>
      <w:r>
        <w:rPr>
          <w:rFonts w:ascii="Carlito" w:hAnsi="Carlito"/>
          <w:sz w:val="24"/>
          <w:szCs w:val="24"/>
        </w:rPr>
        <w:t>Comunicar a empresa para que emita a Nota Fiscal ou Fatura, com o valor exato dimensionado pela fiscalização.</w:t>
      </w:r>
    </w:p>
    <w:p>
      <w:pPr>
        <w:pStyle w:val="Nivel3"/>
        <w:widowControl/>
        <w:numPr>
          <w:ilvl w:val="1"/>
          <w:numId w:val="2"/>
        </w:numPr>
        <w:suppressAutoHyphens w:val="true"/>
        <w:bidi w:val="0"/>
        <w:spacing w:lineRule="auto" w:line="276" w:before="120" w:after="120"/>
        <w:ind w:left="0" w:right="0" w:firstLine="510"/>
        <w:jc w:val="both"/>
        <w:rPr>
          <w:rFonts w:ascii="Carlito" w:hAnsi="Carlito"/>
          <w:sz w:val="24"/>
          <w:szCs w:val="24"/>
        </w:rPr>
      </w:pPr>
      <w:r>
        <w:rPr>
          <w:rFonts w:ascii="Carlito" w:hAnsi="Carlito"/>
          <w:sz w:val="24"/>
          <w:szCs w:val="24"/>
        </w:rPr>
        <w:t>Enviar a documentação pertinente ao setor de contratos para a formalização dos procedimentos de liquidação e pagamento, no valor dimensionado pela fiscalização e gestão.</w:t>
      </w:r>
    </w:p>
    <w:p>
      <w:pPr>
        <w:pStyle w:val="Nvel02"/>
        <w:widowControl/>
        <w:numPr>
          <w:ilvl w:val="1"/>
          <w:numId w:val="2"/>
        </w:numPr>
        <w:shd w:val="clear" w:fill="FFFFFF"/>
        <w:suppressAutoHyphens w:val="true"/>
        <w:bidi w:val="0"/>
        <w:spacing w:lineRule="auto" w:line="276" w:before="0" w:after="0"/>
        <w:ind w:left="0" w:right="0" w:firstLine="567"/>
        <w:jc w:val="both"/>
        <w:rPr/>
      </w:pPr>
      <w:r>
        <w:rPr>
          <w:rFonts w:eastAsia="Arial" w:cs="Arial" w:ascii="Carlito" w:hAnsi="Carlito"/>
          <w:i w:val="false"/>
          <w:iCs/>
          <w:color w:val="000000"/>
          <w:kern w:val="0"/>
          <w:sz w:val="24"/>
          <w:szCs w:val="24"/>
          <w:lang w:val="pt-BR" w:eastAsia="en-US" w:bidi="ar-SA"/>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pPr>
        <w:pStyle w:val="Nvel02"/>
        <w:widowControl/>
        <w:numPr>
          <w:ilvl w:val="1"/>
          <w:numId w:val="2"/>
        </w:numPr>
        <w:shd w:val="clear" w:fill="FFFFFF"/>
        <w:suppressAutoHyphens w:val="true"/>
        <w:bidi w:val="0"/>
        <w:spacing w:lineRule="auto" w:line="276" w:before="0" w:after="0"/>
        <w:ind w:left="0" w:right="0" w:firstLine="567"/>
        <w:jc w:val="both"/>
        <w:rPr/>
      </w:pPr>
      <w:r>
        <w:rPr>
          <w:rFonts w:eastAsia="Arial" w:cs="Arial" w:ascii="Carlito" w:hAnsi="Carlito"/>
          <w:i w:val="false"/>
          <w:iCs/>
          <w:color w:val="000000"/>
          <w:kern w:val="0"/>
          <w:sz w:val="24"/>
          <w:szCs w:val="24"/>
          <w:lang w:val="pt-BR" w:eastAsia="en-US" w:bidi="ar-SA"/>
        </w:rPr>
        <w:t>Nenhum prazo de recebimento ocorrerá enquanto pendente a solução, pelo Contratado, de inconsistências verificadas na execução do objeto ou no instrumento de cobrança.</w:t>
      </w:r>
    </w:p>
    <w:p>
      <w:pPr>
        <w:pStyle w:val="Nvel02"/>
        <w:widowControl/>
        <w:numPr>
          <w:ilvl w:val="1"/>
          <w:numId w:val="2"/>
        </w:numPr>
        <w:shd w:val="clear" w:fill="FFFFFF"/>
        <w:suppressAutoHyphens w:val="true"/>
        <w:bidi w:val="0"/>
        <w:spacing w:lineRule="auto" w:line="276" w:before="0" w:after="0"/>
        <w:ind w:left="0" w:right="0" w:firstLine="567"/>
        <w:jc w:val="both"/>
        <w:rPr/>
      </w:pPr>
      <w:r>
        <w:rPr>
          <w:rFonts w:eastAsia="Arial" w:cs="Arial" w:ascii="Carlito" w:hAnsi="Carlito"/>
          <w:i w:val="false"/>
          <w:iCs/>
          <w:color w:val="000000"/>
          <w:kern w:val="0"/>
          <w:sz w:val="24"/>
          <w:szCs w:val="24"/>
          <w:lang w:val="pt-BR" w:eastAsia="en-US" w:bidi="ar-SA"/>
        </w:rPr>
        <w:t>O recebimento provisório ou definitivo não excluirá a responsabilidade civil pela solidez e pela segurança do serviço nem a responsabilidade ético-profissional pela perfeita execução do contrato.</w:t>
      </w:r>
    </w:p>
    <w:p>
      <w:pPr>
        <w:pStyle w:val="Nvel02"/>
        <w:widowControl/>
        <w:numPr>
          <w:ilvl w:val="0"/>
          <w:numId w:val="0"/>
        </w:numPr>
        <w:shd w:val="clear" w:fill="FFFFFF"/>
        <w:suppressAutoHyphens w:val="true"/>
        <w:bidi w:val="0"/>
        <w:spacing w:lineRule="auto" w:line="276" w:before="0" w:after="0"/>
        <w:ind w:left="1080" w:right="0" w:hanging="0"/>
        <w:jc w:val="both"/>
        <w:rPr>
          <w:rFonts w:ascii="Carlito" w:hAnsi="Carlito" w:eastAsia="Arial" w:cs="Arial"/>
          <w:i w:val="false"/>
          <w:i w:val="false"/>
          <w:iCs/>
          <w:color w:val="000000"/>
          <w:kern w:val="0"/>
          <w:sz w:val="24"/>
          <w:szCs w:val="24"/>
          <w:lang w:val="pt-BR" w:eastAsia="en-US" w:bidi="ar-SA"/>
        </w:rPr>
      </w:pPr>
      <w:r>
        <w:rPr>
          <w:rFonts w:eastAsia="Arial" w:cs="Arial" w:ascii="Carlito" w:hAnsi="Carlito"/>
          <w:i w:val="false"/>
          <w:iCs/>
          <w:color w:val="000000"/>
          <w:kern w:val="0"/>
          <w:sz w:val="24"/>
          <w:szCs w:val="24"/>
          <w:lang w:val="pt-BR" w:eastAsia="en-US" w:bidi="ar-SA"/>
        </w:rPr>
      </w:r>
    </w:p>
    <w:p>
      <w:pPr>
        <w:pStyle w:val="Nvel1SemNumerao"/>
        <w:widowControl/>
        <w:numPr>
          <w:ilvl w:val="0"/>
          <w:numId w:val="0"/>
        </w:numPr>
        <w:shd w:val="clear" w:fill="FFFFFF"/>
        <w:tabs>
          <w:tab w:val="left" w:pos="120" w:leader="none"/>
          <w:tab w:val="left" w:pos="345" w:leader="none"/>
          <w:tab w:val="left" w:pos="390" w:leader="none"/>
          <w:tab w:val="left" w:pos="570" w:leader="none"/>
          <w:tab w:val="left" w:pos="735" w:leader="none"/>
          <w:tab w:val="left" w:pos="900" w:leader="none"/>
          <w:tab w:val="left" w:pos="1020" w:leader="none"/>
          <w:tab w:val="left" w:pos="1140" w:leader="none"/>
        </w:tabs>
        <w:suppressAutoHyphens w:val="true"/>
        <w:bidi w:val="0"/>
        <w:spacing w:lineRule="auto" w:line="276" w:before="0" w:after="0"/>
        <w:ind w:left="0" w:right="0" w:hanging="0"/>
        <w:jc w:val="both"/>
        <w:rPr>
          <w:rFonts w:ascii="Carlito" w:hAnsi="Carlito" w:eastAsia="Arial" w:cs="Arial"/>
          <w:i w:val="false"/>
          <w:i w:val="false"/>
          <w:iCs w:val="false"/>
          <w:color w:val="auto"/>
          <w:kern w:val="0"/>
          <w:sz w:val="24"/>
          <w:szCs w:val="24"/>
          <w:lang w:val="pt-BR" w:eastAsia="en-US" w:bidi="ar-SA"/>
        </w:rPr>
      </w:pPr>
      <w:r>
        <w:rPr>
          <w:rFonts w:eastAsia="Arial" w:cs="Arial" w:ascii="Carlito" w:hAnsi="Carlito"/>
          <w:i w:val="false"/>
          <w:iCs w:val="false"/>
          <w:color w:val="auto"/>
          <w:kern w:val="0"/>
          <w:sz w:val="24"/>
          <w:szCs w:val="24"/>
          <w:lang w:val="pt-BR" w:eastAsia="en-US" w:bidi="ar-SA"/>
        </w:rPr>
        <w:t>Liquidação</w:t>
      </w:r>
    </w:p>
    <w:p>
      <w:pPr>
        <w:pStyle w:val="Nvel02"/>
        <w:widowControl/>
        <w:numPr>
          <w:ilvl w:val="1"/>
          <w:numId w:val="2"/>
        </w:numPr>
        <w:shd w:val="clear" w:fill="FFFFFF"/>
        <w:suppressAutoHyphens w:val="true"/>
        <w:bidi w:val="0"/>
        <w:spacing w:lineRule="auto" w:line="276" w:before="0" w:after="0"/>
        <w:ind w:left="0" w:right="0" w:firstLine="510"/>
        <w:jc w:val="both"/>
        <w:rPr/>
      </w:pPr>
      <w:r>
        <w:rPr>
          <w:rFonts w:eastAsia="Arial" w:cs="Arial" w:ascii="Carlito" w:hAnsi="Carlito"/>
          <w:i w:val="false"/>
          <w:iCs/>
          <w:color w:val="000000"/>
          <w:kern w:val="0"/>
          <w:sz w:val="24"/>
          <w:szCs w:val="24"/>
          <w:lang w:val="pt-BR" w:eastAsia="pt-BR" w:bidi="ar-SA"/>
        </w:rPr>
        <w:t>Recebida a Nota Fiscal ou documento de cobrança equivalente, correrá o prazo de dez dias úteis para fins de liquidação, na forma desta seção, prorrogáveis por igual período, nos termos do art. 7º, §3º da Instrução Normativa SEGES/ME nº 77/2022.</w:t>
      </w:r>
    </w:p>
    <w:p>
      <w:pPr>
        <w:pStyle w:val="Nvel02"/>
        <w:widowControl/>
        <w:numPr>
          <w:ilvl w:val="1"/>
          <w:numId w:val="2"/>
        </w:numPr>
        <w:shd w:val="clear" w:fill="FFFFFF"/>
        <w:suppressAutoHyphens w:val="true"/>
        <w:bidi w:val="0"/>
        <w:spacing w:lineRule="auto" w:line="276" w:before="0" w:after="0"/>
        <w:ind w:left="0" w:right="0" w:firstLine="510"/>
        <w:jc w:val="both"/>
        <w:rPr/>
      </w:pPr>
      <w:r>
        <w:rPr>
          <w:rFonts w:eastAsia="Arial" w:cs="Arial" w:ascii="Carlito" w:hAnsi="Carlito"/>
          <w:i w:val="false"/>
          <w:iCs/>
          <w:color w:val="000000"/>
          <w:kern w:val="0"/>
          <w:sz w:val="24"/>
          <w:szCs w:val="24"/>
          <w:lang w:val="pt-BR" w:eastAsia="pt-BR" w:bidi="ar-SA"/>
        </w:rPr>
        <w:t>O prazo de que trata o item anterior será reduzido à metade, mantendo-se a possibilidade de prorrogação, nos casos de contratações decorrentes de despesas cujos valores não ultrapassem o limite de que trata o inciso II do art. 75 da Lei nº 14.133, de 2021</w:t>
      </w:r>
    </w:p>
    <w:p>
      <w:pPr>
        <w:pStyle w:val="Nvel02"/>
        <w:widowControl/>
        <w:numPr>
          <w:ilvl w:val="1"/>
          <w:numId w:val="2"/>
        </w:numPr>
        <w:shd w:val="clear" w:fill="FFFFFF"/>
        <w:suppressAutoHyphens w:val="true"/>
        <w:bidi w:val="0"/>
        <w:spacing w:lineRule="auto" w:line="276" w:before="0" w:after="0"/>
        <w:ind w:left="0" w:right="0" w:firstLine="510"/>
        <w:jc w:val="both"/>
        <w:rPr/>
      </w:pPr>
      <w:r>
        <w:rPr>
          <w:rFonts w:eastAsia="Arial" w:cs="Arial" w:ascii="Carlito" w:hAnsi="Carlito"/>
          <w:i w:val="false"/>
          <w:iCs/>
          <w:color w:val="000000"/>
          <w:kern w:val="0"/>
          <w:sz w:val="24"/>
          <w:szCs w:val="24"/>
          <w:lang w:val="pt-BR" w:eastAsia="pt-BR" w:bidi="ar-SA"/>
        </w:rPr>
        <w:t>Para fins de liquidação, o setor competente deve verificar se a Nota Fiscal ou Fatura apresentada expressa os elementos necessários e essenciais do documento, tais como:</w:t>
      </w:r>
    </w:p>
    <w:p>
      <w:pPr>
        <w:pStyle w:val="ListParagraph"/>
        <w:widowControl/>
        <w:numPr>
          <w:ilvl w:val="2"/>
          <w:numId w:val="2"/>
        </w:numPr>
        <w:suppressAutoHyphens w:val="true"/>
        <w:bidi w:val="0"/>
        <w:spacing w:before="120" w:after="120"/>
        <w:ind w:left="0" w:right="0" w:firstLine="1134"/>
        <w:contextualSpacing/>
        <w:jc w:val="both"/>
        <w:rPr>
          <w:rFonts w:ascii="Carlito" w:hAnsi="Carlito" w:cs="Arial"/>
          <w:sz w:val="24"/>
          <w:szCs w:val="24"/>
        </w:rPr>
      </w:pPr>
      <w:r>
        <w:rPr>
          <w:rFonts w:cs="Arial" w:ascii="Carlito" w:hAnsi="Carlito"/>
          <w:sz w:val="24"/>
          <w:szCs w:val="24"/>
        </w:rPr>
        <w:t>o prazo de validade;</w:t>
      </w:r>
    </w:p>
    <w:p>
      <w:pPr>
        <w:pStyle w:val="ListParagraph"/>
        <w:widowControl/>
        <w:numPr>
          <w:ilvl w:val="2"/>
          <w:numId w:val="2"/>
        </w:numPr>
        <w:suppressAutoHyphens w:val="true"/>
        <w:bidi w:val="0"/>
        <w:spacing w:before="120" w:after="120"/>
        <w:ind w:left="0" w:right="0" w:firstLine="1134"/>
        <w:contextualSpacing/>
        <w:jc w:val="both"/>
        <w:rPr>
          <w:rFonts w:ascii="Carlito" w:hAnsi="Carlito" w:cs="Arial"/>
          <w:sz w:val="24"/>
          <w:szCs w:val="24"/>
        </w:rPr>
      </w:pPr>
      <w:r>
        <w:rPr>
          <w:rFonts w:cs="Arial" w:ascii="Carlito" w:hAnsi="Carlito"/>
          <w:sz w:val="24"/>
          <w:szCs w:val="24"/>
        </w:rPr>
        <w:t>a data da emissão;</w:t>
      </w:r>
    </w:p>
    <w:p>
      <w:pPr>
        <w:pStyle w:val="ListParagraph"/>
        <w:widowControl/>
        <w:numPr>
          <w:ilvl w:val="2"/>
          <w:numId w:val="2"/>
        </w:numPr>
        <w:suppressAutoHyphens w:val="true"/>
        <w:bidi w:val="0"/>
        <w:spacing w:before="120" w:after="120"/>
        <w:ind w:left="0" w:right="0" w:firstLine="1134"/>
        <w:contextualSpacing/>
        <w:jc w:val="both"/>
        <w:rPr>
          <w:rFonts w:ascii="Carlito" w:hAnsi="Carlito" w:cs="Arial"/>
          <w:sz w:val="24"/>
          <w:szCs w:val="24"/>
        </w:rPr>
      </w:pPr>
      <w:r>
        <w:rPr>
          <w:rFonts w:cs="Arial" w:ascii="Carlito" w:hAnsi="Carlito"/>
          <w:sz w:val="24"/>
          <w:szCs w:val="24"/>
        </w:rPr>
        <w:t>os dados do contrato e do órgão contratante;</w:t>
      </w:r>
    </w:p>
    <w:p>
      <w:pPr>
        <w:pStyle w:val="ListParagraph"/>
        <w:widowControl/>
        <w:numPr>
          <w:ilvl w:val="2"/>
          <w:numId w:val="2"/>
        </w:numPr>
        <w:suppressAutoHyphens w:val="true"/>
        <w:bidi w:val="0"/>
        <w:spacing w:before="120" w:after="120"/>
        <w:ind w:left="0" w:right="0" w:firstLine="1134"/>
        <w:contextualSpacing/>
        <w:jc w:val="both"/>
        <w:rPr>
          <w:rFonts w:ascii="Carlito" w:hAnsi="Carlito" w:cs="Arial"/>
          <w:sz w:val="24"/>
          <w:szCs w:val="24"/>
        </w:rPr>
      </w:pPr>
      <w:r>
        <w:rPr>
          <w:rFonts w:cs="Arial" w:ascii="Carlito" w:hAnsi="Carlito"/>
          <w:sz w:val="24"/>
          <w:szCs w:val="24"/>
        </w:rPr>
        <w:t>o período respectivo de execução do contrato;</w:t>
      </w:r>
    </w:p>
    <w:p>
      <w:pPr>
        <w:pStyle w:val="ListParagraph"/>
        <w:widowControl/>
        <w:numPr>
          <w:ilvl w:val="2"/>
          <w:numId w:val="2"/>
        </w:numPr>
        <w:suppressAutoHyphens w:val="true"/>
        <w:bidi w:val="0"/>
        <w:spacing w:before="120" w:after="120"/>
        <w:ind w:left="0" w:right="0" w:firstLine="1134"/>
        <w:contextualSpacing/>
        <w:jc w:val="both"/>
        <w:rPr>
          <w:rFonts w:ascii="Carlito" w:hAnsi="Carlito" w:cs="Arial"/>
          <w:sz w:val="24"/>
          <w:szCs w:val="24"/>
        </w:rPr>
      </w:pPr>
      <w:r>
        <w:rPr>
          <w:rFonts w:cs="Arial" w:ascii="Carlito" w:hAnsi="Carlito"/>
          <w:sz w:val="24"/>
          <w:szCs w:val="24"/>
        </w:rPr>
        <w:t>o valor a pagar; e</w:t>
      </w:r>
    </w:p>
    <w:p>
      <w:pPr>
        <w:pStyle w:val="ListParagraph"/>
        <w:widowControl/>
        <w:numPr>
          <w:ilvl w:val="2"/>
          <w:numId w:val="2"/>
        </w:numPr>
        <w:suppressAutoHyphens w:val="true"/>
        <w:bidi w:val="0"/>
        <w:spacing w:before="120" w:after="120"/>
        <w:ind w:left="0" w:right="0" w:firstLine="1134"/>
        <w:contextualSpacing/>
        <w:jc w:val="both"/>
        <w:rPr>
          <w:rFonts w:ascii="Carlito" w:hAnsi="Carlito" w:cs="Arial"/>
          <w:sz w:val="24"/>
          <w:szCs w:val="24"/>
        </w:rPr>
      </w:pPr>
      <w:r>
        <w:rPr>
          <w:rFonts w:cs="Arial" w:ascii="Carlito" w:hAnsi="Carlito"/>
          <w:sz w:val="24"/>
          <w:szCs w:val="24"/>
        </w:rPr>
        <w:t>eventual destaque do valor de retenções tributárias cabíveis.</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A Administração deverá realizar consulta ao SICAF para:</w:t>
      </w:r>
    </w:p>
    <w:p>
      <w:pPr>
        <w:pStyle w:val="Nivel3"/>
        <w:widowControl/>
        <w:numPr>
          <w:ilvl w:val="1"/>
          <w:numId w:val="2"/>
        </w:numPr>
        <w:suppressAutoHyphens w:val="true"/>
        <w:bidi w:val="0"/>
        <w:spacing w:lineRule="auto" w:line="276" w:before="120" w:after="120"/>
        <w:ind w:left="0" w:right="0" w:firstLine="567"/>
        <w:jc w:val="both"/>
        <w:rPr>
          <w:rFonts w:ascii="Carlito" w:hAnsi="Carlito"/>
          <w:sz w:val="24"/>
          <w:szCs w:val="24"/>
        </w:rPr>
      </w:pPr>
      <w:r>
        <w:rPr>
          <w:rFonts w:ascii="Carlito" w:hAnsi="Carlito"/>
          <w:sz w:val="24"/>
          <w:szCs w:val="24"/>
        </w:rPr>
        <w:t>verificar a manutenção das condições de habilitação exigidas;</w:t>
      </w:r>
    </w:p>
    <w:p>
      <w:pPr>
        <w:pStyle w:val="Nivel3"/>
        <w:widowControl/>
        <w:numPr>
          <w:ilvl w:val="1"/>
          <w:numId w:val="2"/>
        </w:numPr>
        <w:suppressAutoHyphens w:val="true"/>
        <w:bidi w:val="0"/>
        <w:spacing w:lineRule="auto" w:line="276" w:before="120" w:after="120"/>
        <w:ind w:left="0" w:right="0" w:firstLine="567"/>
        <w:jc w:val="both"/>
        <w:rPr>
          <w:rFonts w:ascii="Carlito" w:hAnsi="Carlito"/>
          <w:sz w:val="24"/>
          <w:szCs w:val="24"/>
        </w:rPr>
      </w:pPr>
      <w:r>
        <w:rPr>
          <w:rFonts w:ascii="Carlito" w:hAnsi="Carlito"/>
          <w:sz w:val="24"/>
          <w:szCs w:val="24"/>
        </w:rPr>
        <w:t>identificar possível razão que impeça a participação em licitação/contratação no âmbito do órgão ou entidade, tais como a proibição de contratar com a Administração ou com o Poder Público, bem como ocorrências impeditivas indiretas</w:t>
      </w:r>
      <w:bookmarkStart w:id="3" w:name="_Int_T4XqlsQA"/>
      <w:r>
        <w:rPr>
          <w:rFonts w:ascii="Carlito" w:hAnsi="Carlito"/>
          <w:sz w:val="24"/>
          <w:szCs w:val="24"/>
        </w:rPr>
        <w:t>.</w:t>
      </w:r>
      <w:bookmarkEnd w:id="3"/>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Persistindo a irregularidade, o Contratante deverá adotar as medidas necessárias à rescisão contratual nos autos do processo administrativo correspondente, assegurada ao Contratado a ampla defesa.</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Havendo a efetiva execução do objeto, os pagamentos serão realizados normalmente, até que se decida pela rescisão do contrato, caso o Contratado não regularize sua situação junto ao SICAF</w:t>
      </w:r>
    </w:p>
    <w:p>
      <w:pPr>
        <w:pStyle w:val="Nvel02"/>
        <w:widowControl/>
        <w:numPr>
          <w:ilvl w:val="0"/>
          <w:numId w:val="0"/>
        </w:numPr>
        <w:shd w:val="clear" w:fill="FFFFFF"/>
        <w:suppressAutoHyphens w:val="true"/>
        <w:bidi w:val="0"/>
        <w:spacing w:lineRule="auto" w:line="276" w:before="0" w:after="0"/>
        <w:ind w:left="1080" w:right="0" w:hanging="0"/>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r>
    </w:p>
    <w:p>
      <w:pPr>
        <w:pStyle w:val="Nvel1SemNumerao"/>
        <w:numPr>
          <w:ilvl w:val="0"/>
          <w:numId w:val="0"/>
        </w:numPr>
        <w:shd w:val="clear" w:fill="FFFFFF"/>
        <w:ind w:left="720" w:right="0" w:hanging="0"/>
        <w:rPr/>
      </w:pPr>
      <w:r>
        <w:rPr>
          <w:rFonts w:ascii="Carlito" w:hAnsi="Carlito"/>
          <w:sz w:val="24"/>
          <w:szCs w:val="24"/>
        </w:rPr>
        <w:t xml:space="preserve">Prazo de </w:t>
      </w:r>
      <w:r>
        <w:rPr>
          <w:rFonts w:eastAsia="Arial" w:cs="Arial" w:ascii="Carlito" w:hAnsi="Carlito"/>
          <w:b w:val="false"/>
          <w:bCs w:val="false"/>
          <w:i w:val="false"/>
          <w:iCs w:val="false"/>
          <w:color w:val="auto"/>
          <w:kern w:val="0"/>
          <w:sz w:val="24"/>
          <w:szCs w:val="24"/>
          <w:lang w:val="pt-BR" w:eastAsia="en-US" w:bidi="ar-SA"/>
        </w:rPr>
        <w:t>pagamento</w:t>
      </w:r>
    </w:p>
    <w:p>
      <w:pPr>
        <w:pStyle w:val="Nvel02"/>
        <w:widowControl/>
        <w:numPr>
          <w:ilvl w:val="1"/>
          <w:numId w:val="2"/>
        </w:numPr>
        <w:shd w:val="clear" w:fill="FFFFFF"/>
        <w:suppressAutoHyphens w:val="true"/>
        <w:bidi w:val="0"/>
        <w:spacing w:lineRule="auto" w:line="276" w:before="0" w:after="0"/>
        <w:ind w:left="0" w:right="0" w:firstLine="510"/>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pagamento será efetuado no prazo máximo de até dez dias úteis, contados da finalização da liquidação da despesa, conforme seção anterior, nos termos da Instrução Normativa SEGES/ME nº 77, de 2022.</w:t>
      </w:r>
    </w:p>
    <w:p>
      <w:pPr>
        <w:pStyle w:val="Nvel02"/>
        <w:widowControl/>
        <w:numPr>
          <w:ilvl w:val="1"/>
          <w:numId w:val="2"/>
        </w:numPr>
        <w:shd w:val="clear" w:fill="FFFFFF"/>
        <w:suppressAutoHyphens w:val="true"/>
        <w:bidi w:val="0"/>
        <w:spacing w:lineRule="auto" w:line="276" w:before="0" w:after="0"/>
        <w:ind w:left="0" w:right="0" w:firstLine="510"/>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No caso de atraso pelo Contratante, os valores devidos ao Contratado serão atualizados monetariamente entre o termo final do prazo de pagamento até a data de sua efetiva realização, mediante aplicação do índice 10% de correção monetária.</w:t>
      </w:r>
    </w:p>
    <w:p>
      <w:pPr>
        <w:pStyle w:val="Nvel02"/>
        <w:widowControl/>
        <w:numPr>
          <w:ilvl w:val="0"/>
          <w:numId w:val="0"/>
        </w:numPr>
        <w:shd w:val="clear" w:fill="FFFFFF"/>
        <w:suppressAutoHyphens w:val="true"/>
        <w:bidi w:val="0"/>
        <w:spacing w:lineRule="auto" w:line="276" w:before="0" w:after="0"/>
        <w:ind w:left="1080" w:right="0" w:hanging="0"/>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r>
    </w:p>
    <w:p>
      <w:pPr>
        <w:pStyle w:val="Nvel1SemNumerao"/>
        <w:numPr>
          <w:ilvl w:val="0"/>
          <w:numId w:val="0"/>
        </w:numPr>
        <w:shd w:val="clear" w:fill="FFFFFF"/>
        <w:ind w:left="720" w:right="0" w:hanging="0"/>
        <w:rPr/>
      </w:pPr>
      <w:r>
        <w:rPr>
          <w:rFonts w:ascii="Carlito" w:hAnsi="Carlito"/>
          <w:sz w:val="24"/>
          <w:szCs w:val="24"/>
        </w:rPr>
        <w:t xml:space="preserve">Forma de </w:t>
      </w:r>
      <w:r>
        <w:rPr>
          <w:rFonts w:eastAsia="Arial" w:cs="Arial" w:ascii="Carlito" w:hAnsi="Carlito"/>
          <w:b w:val="false"/>
          <w:bCs w:val="false"/>
          <w:i w:val="false"/>
          <w:iCs w:val="false"/>
          <w:color w:val="auto"/>
          <w:kern w:val="0"/>
          <w:sz w:val="24"/>
          <w:szCs w:val="24"/>
          <w:lang w:val="pt-BR" w:eastAsia="en-US" w:bidi="ar-SA"/>
        </w:rPr>
        <w:t>pagamento</w:t>
      </w:r>
    </w:p>
    <w:p>
      <w:pPr>
        <w:pStyle w:val="Nvel02"/>
        <w:widowControl/>
        <w:numPr>
          <w:ilvl w:val="1"/>
          <w:numId w:val="2"/>
        </w:numPr>
        <w:shd w:val="clear" w:fill="FFFFFF"/>
        <w:suppressAutoHyphens w:val="true"/>
        <w:bidi w:val="0"/>
        <w:spacing w:lineRule="auto" w:line="276" w:before="0" w:after="0"/>
        <w:ind w:left="0" w:right="0" w:firstLine="567"/>
        <w:jc w:val="both"/>
        <w:rPr/>
      </w:pPr>
      <w:r>
        <w:rPr>
          <w:rFonts w:ascii="Carlito" w:hAnsi="Carlito"/>
          <w:sz w:val="24"/>
          <w:szCs w:val="24"/>
        </w:rPr>
        <w:t>O pagamento será realizado por meio de ordem bancária, para crédito em banco, agência e conta corrente indicados pelo Contratado.</w:t>
      </w:r>
    </w:p>
    <w:p>
      <w:pPr>
        <w:pStyle w:val="Nvel02"/>
        <w:widowControl/>
        <w:numPr>
          <w:ilvl w:val="1"/>
          <w:numId w:val="2"/>
        </w:numPr>
        <w:shd w:val="clear" w:fill="FFFFFF"/>
        <w:suppressAutoHyphens w:val="true"/>
        <w:bidi w:val="0"/>
        <w:spacing w:lineRule="auto" w:line="276" w:before="0" w:after="0"/>
        <w:ind w:left="-57" w:right="0" w:firstLine="624"/>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Será considerada data do pagamento o dia em que constar como emitida a ordem bancária para pagamento.</w:t>
      </w:r>
    </w:p>
    <w:p>
      <w:pPr>
        <w:pStyle w:val="Nvel02"/>
        <w:widowControl/>
        <w:numPr>
          <w:ilvl w:val="1"/>
          <w:numId w:val="2"/>
        </w:numPr>
        <w:shd w:val="clear" w:fill="FFFFFF"/>
        <w:suppressAutoHyphens w:val="true"/>
        <w:bidi w:val="0"/>
        <w:spacing w:lineRule="auto" w:line="276" w:before="0" w:after="0"/>
        <w:ind w:left="-57" w:right="0" w:firstLine="624"/>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Quando do pagamento, será efetuada a retenção tributária prevista na legislação aplicável.</w:t>
      </w:r>
    </w:p>
    <w:p>
      <w:pPr>
        <w:pStyle w:val="Nivel3"/>
        <w:widowControl/>
        <w:numPr>
          <w:ilvl w:val="1"/>
          <w:numId w:val="2"/>
        </w:numPr>
        <w:suppressAutoHyphens w:val="true"/>
        <w:bidi w:val="0"/>
        <w:spacing w:lineRule="auto" w:line="276" w:before="120" w:after="120"/>
        <w:ind w:left="0" w:right="0" w:firstLine="567"/>
        <w:jc w:val="both"/>
        <w:rPr>
          <w:rFonts w:ascii="Carlito" w:hAnsi="Carlito"/>
          <w:sz w:val="24"/>
          <w:szCs w:val="24"/>
        </w:rPr>
      </w:pPr>
      <w:r>
        <w:rPr>
          <w:rFonts w:ascii="Carlito" w:hAnsi="Carlito"/>
          <w:sz w:val="24"/>
          <w:szCs w:val="24"/>
        </w:rPr>
        <w:t>Independentemente</w:t>
      </w:r>
      <w:r>
        <w:rPr>
          <w:rFonts w:ascii="Carlito" w:hAnsi="Carlito"/>
          <w:sz w:val="24"/>
          <w:szCs w:val="24"/>
          <w:lang w:eastAsia="en-US"/>
        </w:rPr>
        <w:t xml:space="preserve"> do percentual de tributo inserido na planilha, quando houver, serão retidos na fonte, quando da realização do pagamento, os percentuais estabelecidos na legislação vigente.</w:t>
      </w:r>
    </w:p>
    <w:p>
      <w:pPr>
        <w:pStyle w:val="Nvel02"/>
        <w:widowControl/>
        <w:numPr>
          <w:ilvl w:val="1"/>
          <w:numId w:val="2"/>
        </w:numPr>
        <w:shd w:val="clear" w:fill="FFFFFF"/>
        <w:suppressAutoHyphens w:val="true"/>
        <w:bidi w:val="0"/>
        <w:spacing w:lineRule="auto" w:line="276" w:before="0" w:after="0"/>
        <w:ind w:left="0" w:right="0" w:firstLine="567"/>
        <w:jc w:val="both"/>
        <w:rPr/>
      </w:pPr>
      <w:r>
        <w:rPr>
          <w:rFonts w:ascii="Carlito" w:hAnsi="Carlito"/>
          <w:sz w:val="24"/>
          <w:szCs w:val="24"/>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vel1SemNum"/>
        <w:shd w:val="clear" w:fill="FFFFFF"/>
        <w:ind w:left="1080" w:right="0" w:hanging="0"/>
        <w:jc w:val="both"/>
        <w:rPr>
          <w:rFonts w:ascii="Carlito" w:hAnsi="Carlito"/>
          <w:sz w:val="24"/>
          <w:szCs w:val="24"/>
          <w:highlight w:val="yellow"/>
        </w:rPr>
      </w:pPr>
      <w:r>
        <w:rPr>
          <w:rFonts w:ascii="Carlito" w:hAnsi="Carlito"/>
          <w:sz w:val="24"/>
          <w:szCs w:val="24"/>
          <w:highlight w:val="yellow"/>
        </w:rPr>
      </w:r>
    </w:p>
    <w:p>
      <w:pPr>
        <w:pStyle w:val="Nvel1SemNumerao"/>
        <w:numPr>
          <w:ilvl w:val="0"/>
          <w:numId w:val="0"/>
        </w:numPr>
        <w:shd w:val="clear" w:fill="FFFFFF"/>
        <w:ind w:left="720" w:right="0" w:hanging="0"/>
        <w:rPr/>
      </w:pPr>
      <w:r>
        <w:rPr>
          <w:rFonts w:ascii="Carlito" w:hAnsi="Carlito"/>
          <w:sz w:val="24"/>
          <w:szCs w:val="24"/>
        </w:rPr>
        <w:t xml:space="preserve">Cessão de </w:t>
      </w:r>
      <w:r>
        <w:rPr>
          <w:rFonts w:eastAsia="Arial" w:cs="Arial" w:ascii="Carlito" w:hAnsi="Carlito"/>
          <w:b w:val="false"/>
          <w:bCs w:val="false"/>
          <w:i w:val="false"/>
          <w:iCs w:val="false"/>
          <w:color w:val="auto"/>
          <w:kern w:val="0"/>
          <w:sz w:val="24"/>
          <w:szCs w:val="24"/>
          <w:lang w:val="pt-BR" w:eastAsia="en-US" w:bidi="ar-SA"/>
        </w:rPr>
        <w:t>Crédito</w:t>
      </w:r>
    </w:p>
    <w:p>
      <w:pPr>
        <w:pStyle w:val="Nvel02"/>
        <w:widowControl/>
        <w:numPr>
          <w:ilvl w:val="1"/>
          <w:numId w:val="2"/>
        </w:numPr>
        <w:shd w:val="clear" w:fill="FFFFFF"/>
        <w:suppressAutoHyphens w:val="true"/>
        <w:bidi w:val="0"/>
        <w:spacing w:lineRule="auto" w:line="276" w:before="0" w:after="0"/>
        <w:ind w:left="1077" w:right="0" w:hanging="510"/>
        <w:jc w:val="both"/>
        <w:rPr/>
      </w:pPr>
      <w:r>
        <w:rPr>
          <w:rFonts w:ascii="Carlito" w:hAnsi="Carlito"/>
          <w:sz w:val="24"/>
          <w:szCs w:val="24"/>
          <w:lang w:eastAsia="en-US"/>
        </w:rPr>
        <w:t>As cessões de crédito dependerão de prévia aprovação do Contratante.</w:t>
      </w:r>
    </w:p>
    <w:p>
      <w:pPr>
        <w:pStyle w:val="Nivel3"/>
        <w:widowControl/>
        <w:numPr>
          <w:ilvl w:val="1"/>
          <w:numId w:val="2"/>
        </w:numPr>
        <w:suppressAutoHyphens w:val="true"/>
        <w:bidi w:val="0"/>
        <w:spacing w:lineRule="auto" w:line="276" w:before="120" w:after="120"/>
        <w:ind w:left="0" w:right="0" w:firstLine="567"/>
        <w:jc w:val="both"/>
        <w:rPr>
          <w:rFonts w:ascii="Carlito" w:hAnsi="Carlito"/>
          <w:sz w:val="24"/>
          <w:szCs w:val="24"/>
          <w:lang w:eastAsia="en-US"/>
        </w:rPr>
      </w:pPr>
      <w:r>
        <w:rPr>
          <w:rFonts w:ascii="Carlito" w:hAnsi="Carlito"/>
          <w:sz w:val="24"/>
          <w:szCs w:val="24"/>
          <w:lang w:eastAsia="en-US"/>
        </w:rPr>
        <w:t>A eficácia da cessão de crédito, em relação à Administração, está condicionada à celebração de termo aditivo ao contrato administrativo.</w:t>
      </w:r>
    </w:p>
    <w:p>
      <w:pPr>
        <w:pStyle w:val="Nivel3"/>
        <w:widowControl/>
        <w:numPr>
          <w:ilvl w:val="1"/>
          <w:numId w:val="2"/>
        </w:numPr>
        <w:suppressAutoHyphens w:val="true"/>
        <w:bidi w:val="0"/>
        <w:spacing w:lineRule="auto" w:line="276" w:before="120" w:after="120"/>
        <w:ind w:left="0" w:right="0" w:firstLine="567"/>
        <w:jc w:val="both"/>
        <w:rPr>
          <w:rFonts w:ascii="Carlito" w:hAnsi="Carlito"/>
          <w:sz w:val="24"/>
          <w:szCs w:val="24"/>
          <w:lang w:eastAsia="en-US"/>
        </w:rPr>
      </w:pPr>
      <w:r>
        <w:rPr>
          <w:rFonts w:ascii="Carlito" w:hAnsi="Carlito"/>
          <w:sz w:val="24"/>
          <w:szCs w:val="24"/>
          <w:lang w:eastAsia="en-US"/>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pPr>
        <w:pStyle w:val="Nivel3"/>
        <w:widowControl/>
        <w:numPr>
          <w:ilvl w:val="1"/>
          <w:numId w:val="2"/>
        </w:numPr>
        <w:suppressAutoHyphens w:val="true"/>
        <w:bidi w:val="0"/>
        <w:spacing w:lineRule="auto" w:line="276" w:before="120" w:after="120"/>
        <w:ind w:left="0" w:right="0" w:firstLine="567"/>
        <w:jc w:val="both"/>
        <w:rPr>
          <w:rFonts w:ascii="Carlito" w:hAnsi="Carlito"/>
          <w:sz w:val="24"/>
          <w:szCs w:val="24"/>
          <w:lang w:eastAsia="en-US"/>
        </w:rPr>
      </w:pPr>
      <w:r>
        <w:rPr>
          <w:rFonts w:ascii="Carlito" w:hAnsi="Carlito"/>
          <w:sz w:val="24"/>
          <w:szCs w:val="24"/>
          <w:lang w:eastAsia="en-US"/>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pPr>
        <w:pStyle w:val="Nivel3"/>
        <w:widowControl/>
        <w:numPr>
          <w:ilvl w:val="1"/>
          <w:numId w:val="2"/>
        </w:numPr>
        <w:suppressAutoHyphens w:val="true"/>
        <w:bidi w:val="0"/>
        <w:spacing w:lineRule="auto" w:line="276" w:before="120" w:after="120"/>
        <w:ind w:left="0" w:right="0" w:firstLine="567"/>
        <w:jc w:val="both"/>
        <w:rPr>
          <w:rFonts w:ascii="Carlito" w:hAnsi="Carlito"/>
          <w:sz w:val="24"/>
          <w:szCs w:val="24"/>
          <w:lang w:eastAsia="en-US"/>
        </w:rPr>
      </w:pPr>
      <w:r>
        <w:rPr>
          <w:rFonts w:ascii="Carlito" w:hAnsi="Carlito"/>
          <w:sz w:val="24"/>
          <w:szCs w:val="24"/>
          <w:lang w:eastAsia="en-US"/>
        </w:rPr>
        <w:t>A cessão de crédito não afetará a execução do objeto contratado, que continuará sob a integral responsabilidade do Contratado.</w:t>
      </w:r>
    </w:p>
    <w:p>
      <w:pPr>
        <w:pStyle w:val="Nvel02"/>
        <w:widowControl/>
        <w:numPr>
          <w:ilvl w:val="1"/>
          <w:numId w:val="2"/>
        </w:numPr>
        <w:shd w:val="clear" w:fill="FFFFFF"/>
        <w:suppressAutoHyphens w:val="true"/>
        <w:bidi w:val="0"/>
        <w:spacing w:lineRule="auto" w:line="276" w:before="0" w:after="0"/>
        <w:ind w:left="0" w:right="0" w:firstLine="510"/>
        <w:jc w:val="both"/>
        <w:rPr/>
      </w:pPr>
      <w:r>
        <w:rPr>
          <w:rFonts w:ascii="Carlito" w:hAnsi="Carlito"/>
          <w:sz w:val="24"/>
          <w:szCs w:val="24"/>
          <w:lang w:eastAsia="en-US"/>
        </w:rPr>
        <w:t>O disposto nesta seção não afeta as operações de crédito de que trata a Instrução Normativa SEGES/MGI nº 82, de 21 de fevereiro de 2025, as quais ficam por esta regidas.</w:t>
      </w:r>
    </w:p>
    <w:p>
      <w:pPr>
        <w:pStyle w:val="Nvel1SemNumerao"/>
        <w:numPr>
          <w:ilvl w:val="0"/>
          <w:numId w:val="0"/>
        </w:numPr>
        <w:shd w:val="clear" w:fill="FFFFFF"/>
        <w:ind w:left="1800" w:right="0" w:hanging="0"/>
        <w:jc w:val="both"/>
        <w:rPr>
          <w:rFonts w:ascii="Carlito" w:hAnsi="Carlito"/>
          <w:sz w:val="24"/>
          <w:szCs w:val="24"/>
          <w:highlight w:val="lightGray"/>
        </w:rPr>
      </w:pPr>
      <w:r>
        <w:rPr>
          <w:rFonts w:ascii="Carlito" w:hAnsi="Carlito"/>
          <w:sz w:val="24"/>
          <w:szCs w:val="24"/>
          <w:highlight w:val="lightGray"/>
        </w:rPr>
      </w:r>
    </w:p>
    <w:p>
      <w:pPr>
        <w:pStyle w:val="Nivel01"/>
        <w:widowControl/>
        <w:numPr>
          <w:ilvl w:val="0"/>
          <w:numId w:val="2"/>
        </w:numPr>
        <w:shd w:val="clear" w:fill="FFFFFF"/>
        <w:suppressAutoHyphens w:val="true"/>
        <w:bidi w:val="0"/>
        <w:spacing w:lineRule="auto" w:line="276" w:before="0" w:after="0"/>
        <w:ind w:left="0" w:right="0" w:hanging="0"/>
        <w:jc w:val="both"/>
        <w:rPr/>
      </w:pPr>
      <w:r>
        <w:rPr>
          <w:rFonts w:eastAsia="Arial" w:cs="Arial" w:ascii="Carlito" w:hAnsi="Carlito"/>
          <w:b/>
          <w:bCs/>
          <w:i w:val="false"/>
          <w:iCs/>
          <w:color w:val="000000"/>
          <w:kern w:val="0"/>
          <w:sz w:val="24"/>
          <w:szCs w:val="24"/>
          <w:lang w:val="pt-BR" w:eastAsia="pt-BR" w:bidi="ar-SA"/>
        </w:rPr>
        <w:t xml:space="preserve"> </w:t>
      </w:r>
      <w:r>
        <w:rPr>
          <w:rFonts w:eastAsia="Arial" w:cs="Arial" w:ascii="Carlito" w:hAnsi="Carlito"/>
          <w:b/>
          <w:bCs/>
          <w:i w:val="false"/>
          <w:iCs/>
          <w:color w:val="000000"/>
          <w:kern w:val="0"/>
          <w:sz w:val="24"/>
          <w:szCs w:val="24"/>
          <w:lang w:val="pt-BR" w:eastAsia="pt-BR" w:bidi="ar-SA"/>
        </w:rPr>
        <w:t>INFRAÇÕES</w:t>
      </w:r>
      <w:r>
        <w:rPr>
          <w:rFonts w:ascii="Carlito" w:hAnsi="Carlito"/>
          <w:sz w:val="24"/>
          <w:szCs w:val="24"/>
        </w:rPr>
        <w:t xml:space="preserve"> E SANÇÕES ADMINISTRATIVAS</w:t>
      </w:r>
    </w:p>
    <w:p>
      <w:pPr>
        <w:pStyle w:val="Nvel02"/>
        <w:widowControl/>
        <w:numPr>
          <w:ilvl w:val="1"/>
          <w:numId w:val="2"/>
        </w:numPr>
        <w:shd w:val="clear" w:fill="FFFFFF"/>
        <w:suppressAutoHyphens w:val="true"/>
        <w:bidi w:val="0"/>
        <w:spacing w:lineRule="auto" w:line="276" w:before="0" w:after="0"/>
        <w:ind w:left="57" w:right="0" w:firstLine="510"/>
        <w:jc w:val="both"/>
        <w:rPr/>
      </w:pPr>
      <w:r>
        <w:rPr>
          <w:rStyle w:val="Normaltextrun"/>
          <w:rFonts w:ascii="Carlito" w:hAnsi="Carlito"/>
          <w:color w:val="000000"/>
          <w:sz w:val="24"/>
          <w:szCs w:val="24"/>
        </w:rPr>
        <w:t xml:space="preserve">Comete </w:t>
      </w:r>
      <w:r>
        <w:rPr>
          <w:rFonts w:ascii="Carlito" w:hAnsi="Carlito"/>
          <w:sz w:val="24"/>
          <w:szCs w:val="24"/>
        </w:rPr>
        <w:t>infração</w:t>
      </w:r>
      <w:r>
        <w:rPr>
          <w:rStyle w:val="Normaltextrun"/>
          <w:rFonts w:ascii="Carlito" w:hAnsi="Carlito"/>
          <w:color w:val="000000"/>
          <w:sz w:val="24"/>
          <w:szCs w:val="24"/>
        </w:rPr>
        <w:t xml:space="preserve"> administrativa, nos termos da </w:t>
      </w:r>
      <w:r>
        <w:rPr>
          <w:rStyle w:val="Normaltextrun"/>
          <w:rFonts w:ascii="Carlito" w:hAnsi="Carlito"/>
          <w:sz w:val="24"/>
          <w:szCs w:val="24"/>
        </w:rPr>
        <w:t>Lei nº 14.133, de 2021</w:t>
      </w:r>
      <w:r>
        <w:rPr>
          <w:rStyle w:val="Normaltextrun"/>
          <w:rFonts w:ascii="Carlito" w:hAnsi="Carlito"/>
          <w:color w:val="000000"/>
          <w:sz w:val="24"/>
          <w:szCs w:val="24"/>
        </w:rPr>
        <w:t>, o Contratado que:</w:t>
      </w:r>
    </w:p>
    <w:p>
      <w:pPr>
        <w:pStyle w:val="Paragraph"/>
        <w:widowControl/>
        <w:numPr>
          <w:ilvl w:val="2"/>
          <w:numId w:val="2"/>
        </w:numPr>
        <w:suppressAutoHyphens w:val="true"/>
        <w:bidi w:val="0"/>
        <w:spacing w:lineRule="auto" w:line="276" w:before="120" w:after="0"/>
        <w:ind w:left="0" w:right="0" w:firstLine="1134"/>
        <w:jc w:val="both"/>
        <w:textAlignment w:val="baseline"/>
        <w:rPr/>
      </w:pPr>
      <w:r>
        <w:rPr>
          <w:rStyle w:val="Normaltextrun"/>
          <w:rFonts w:cs="Arial" w:ascii="Carlito" w:hAnsi="Carlito"/>
          <w:sz w:val="24"/>
          <w:szCs w:val="24"/>
        </w:rPr>
        <w:t xml:space="preserve">   </w:t>
      </w:r>
      <w:r>
        <w:rPr>
          <w:rStyle w:val="Normaltextrun"/>
          <w:rFonts w:cs="Arial" w:ascii="Carlito" w:hAnsi="Carlito"/>
          <w:sz w:val="24"/>
          <w:szCs w:val="24"/>
        </w:rPr>
        <w:t>der causa à inexecução parcial do contrato;</w:t>
      </w:r>
    </w:p>
    <w:p>
      <w:pPr>
        <w:pStyle w:val="Paragraph"/>
        <w:widowControl/>
        <w:numPr>
          <w:ilvl w:val="2"/>
          <w:numId w:val="2"/>
        </w:numPr>
        <w:suppressAutoHyphens w:val="true"/>
        <w:bidi w:val="0"/>
        <w:spacing w:lineRule="auto" w:line="276" w:before="120" w:after="0"/>
        <w:ind w:left="0" w:right="0" w:firstLine="1134"/>
        <w:jc w:val="both"/>
        <w:textAlignment w:val="baseline"/>
        <w:rPr/>
      </w:pPr>
      <w:r>
        <w:rPr>
          <w:rStyle w:val="Normaltextrun"/>
          <w:rFonts w:cs="Arial" w:ascii="Carlito" w:hAnsi="Carlito"/>
          <w:sz w:val="24"/>
          <w:szCs w:val="24"/>
        </w:rPr>
        <w:t xml:space="preserve">   </w:t>
      </w:r>
      <w:r>
        <w:rPr>
          <w:rStyle w:val="Normaltextrun"/>
          <w:rFonts w:cs="Arial" w:ascii="Carlito" w:hAnsi="Carlito"/>
          <w:sz w:val="24"/>
          <w:szCs w:val="24"/>
        </w:rPr>
        <w:t>der causa à inexecução parcial do contrato que cause grave dano à Administração ou ao funcionamento dos serviços públicos ou ao interesse coletivo;</w:t>
      </w:r>
    </w:p>
    <w:p>
      <w:pPr>
        <w:pStyle w:val="Paragraph"/>
        <w:widowControl/>
        <w:numPr>
          <w:ilvl w:val="2"/>
          <w:numId w:val="2"/>
        </w:numPr>
        <w:suppressAutoHyphens w:val="true"/>
        <w:bidi w:val="0"/>
        <w:spacing w:lineRule="auto" w:line="276" w:before="120" w:after="0"/>
        <w:ind w:left="0" w:right="0" w:firstLine="1134"/>
        <w:jc w:val="both"/>
        <w:textAlignment w:val="baseline"/>
        <w:rPr/>
      </w:pPr>
      <w:r>
        <w:rPr>
          <w:rStyle w:val="Normaltextrun"/>
          <w:rFonts w:cs="Arial" w:ascii="Carlito" w:hAnsi="Carlito"/>
          <w:sz w:val="24"/>
          <w:szCs w:val="24"/>
        </w:rPr>
        <w:t xml:space="preserve">   </w:t>
      </w:r>
      <w:r>
        <w:rPr>
          <w:rStyle w:val="Normaltextrun"/>
          <w:rFonts w:cs="Arial" w:ascii="Carlito" w:hAnsi="Carlito"/>
          <w:sz w:val="24"/>
          <w:szCs w:val="24"/>
        </w:rPr>
        <w:t>der causa à inexecução total do contrato;</w:t>
      </w:r>
    </w:p>
    <w:p>
      <w:pPr>
        <w:pStyle w:val="Paragraph"/>
        <w:widowControl/>
        <w:numPr>
          <w:ilvl w:val="2"/>
          <w:numId w:val="2"/>
        </w:numPr>
        <w:suppressAutoHyphens w:val="true"/>
        <w:bidi w:val="0"/>
        <w:spacing w:lineRule="auto" w:line="276" w:before="120" w:after="0"/>
        <w:ind w:left="0" w:right="0" w:firstLine="1134"/>
        <w:jc w:val="both"/>
        <w:textAlignment w:val="baseline"/>
        <w:rPr/>
      </w:pPr>
      <w:r>
        <w:rPr>
          <w:rStyle w:val="Normaltextrun"/>
          <w:rFonts w:cs="Arial" w:ascii="Carlito" w:hAnsi="Carlito"/>
          <w:sz w:val="24"/>
          <w:szCs w:val="24"/>
        </w:rPr>
        <w:t xml:space="preserve">   </w:t>
      </w:r>
      <w:r>
        <w:rPr>
          <w:rStyle w:val="Normaltextrun"/>
          <w:rFonts w:cs="Arial" w:ascii="Carlito" w:hAnsi="Carlito"/>
          <w:sz w:val="24"/>
          <w:szCs w:val="24"/>
        </w:rPr>
        <w:t>ensejar o retardamento da execução ou da entrega do objeto da contratação sem motivo justificado;</w:t>
      </w:r>
    </w:p>
    <w:p>
      <w:pPr>
        <w:pStyle w:val="Paragraph"/>
        <w:widowControl/>
        <w:numPr>
          <w:ilvl w:val="2"/>
          <w:numId w:val="2"/>
        </w:numPr>
        <w:suppressAutoHyphens w:val="true"/>
        <w:bidi w:val="0"/>
        <w:spacing w:lineRule="auto" w:line="276" w:before="120" w:after="0"/>
        <w:ind w:left="0" w:right="0" w:firstLine="1134"/>
        <w:jc w:val="both"/>
        <w:textAlignment w:val="baseline"/>
        <w:rPr/>
      </w:pPr>
      <w:r>
        <w:rPr>
          <w:rStyle w:val="Normaltextrun"/>
          <w:rFonts w:cs="Arial" w:ascii="Carlito" w:hAnsi="Carlito"/>
          <w:sz w:val="24"/>
          <w:szCs w:val="24"/>
        </w:rPr>
        <w:t xml:space="preserve">   </w:t>
      </w:r>
      <w:r>
        <w:rPr>
          <w:rStyle w:val="Normaltextrun"/>
          <w:rFonts w:cs="Arial" w:ascii="Carlito" w:hAnsi="Carlito"/>
          <w:sz w:val="24"/>
          <w:szCs w:val="24"/>
        </w:rPr>
        <w:t>apresentar documentação falsa ou prestar declaração falsa durante a execução do contrato;</w:t>
      </w:r>
    </w:p>
    <w:p>
      <w:pPr>
        <w:pStyle w:val="Paragraph"/>
        <w:widowControl/>
        <w:numPr>
          <w:ilvl w:val="2"/>
          <w:numId w:val="2"/>
        </w:numPr>
        <w:suppressAutoHyphens w:val="true"/>
        <w:bidi w:val="0"/>
        <w:spacing w:lineRule="auto" w:line="276" w:before="120" w:after="0"/>
        <w:ind w:left="0" w:right="0" w:firstLine="1134"/>
        <w:jc w:val="both"/>
        <w:textAlignment w:val="baseline"/>
        <w:rPr/>
      </w:pPr>
      <w:r>
        <w:rPr>
          <w:rStyle w:val="Normaltextrun"/>
          <w:rFonts w:cs="Arial" w:ascii="Carlito" w:hAnsi="Carlito"/>
          <w:sz w:val="24"/>
          <w:szCs w:val="24"/>
        </w:rPr>
        <w:t xml:space="preserve">   </w:t>
      </w:r>
      <w:r>
        <w:rPr>
          <w:rStyle w:val="Normaltextrun"/>
          <w:rFonts w:cs="Arial" w:ascii="Carlito" w:hAnsi="Carlito"/>
          <w:sz w:val="24"/>
          <w:szCs w:val="24"/>
        </w:rPr>
        <w:t>praticar ato fraudulento na execução do contrato;</w:t>
      </w:r>
    </w:p>
    <w:p>
      <w:pPr>
        <w:pStyle w:val="Paragraph"/>
        <w:widowControl/>
        <w:numPr>
          <w:ilvl w:val="2"/>
          <w:numId w:val="2"/>
        </w:numPr>
        <w:suppressAutoHyphens w:val="true"/>
        <w:bidi w:val="0"/>
        <w:spacing w:lineRule="auto" w:line="276" w:before="120" w:after="0"/>
        <w:ind w:left="0" w:right="0" w:firstLine="1134"/>
        <w:jc w:val="both"/>
        <w:textAlignment w:val="baseline"/>
        <w:rPr/>
      </w:pPr>
      <w:r>
        <w:rPr>
          <w:rStyle w:val="Normaltextrun"/>
          <w:rFonts w:cs="Arial" w:ascii="Carlito" w:hAnsi="Carlito"/>
          <w:sz w:val="24"/>
          <w:szCs w:val="24"/>
        </w:rPr>
        <w:t xml:space="preserve">   </w:t>
      </w:r>
      <w:r>
        <w:rPr>
          <w:rStyle w:val="Normaltextrun"/>
          <w:rFonts w:cs="Arial" w:ascii="Carlito" w:hAnsi="Carlito"/>
          <w:sz w:val="24"/>
          <w:szCs w:val="24"/>
        </w:rPr>
        <w:t>comportar-se de modo inidôneo ou cometer fraude de qualquer natureza;</w:t>
      </w:r>
    </w:p>
    <w:p>
      <w:pPr>
        <w:pStyle w:val="Paragraph"/>
        <w:widowControl/>
        <w:numPr>
          <w:ilvl w:val="2"/>
          <w:numId w:val="2"/>
        </w:numPr>
        <w:suppressAutoHyphens w:val="true"/>
        <w:bidi w:val="0"/>
        <w:spacing w:lineRule="auto" w:line="276" w:before="120" w:after="0"/>
        <w:ind w:left="0" w:right="0" w:firstLine="1134"/>
        <w:jc w:val="both"/>
        <w:textAlignment w:val="baseline"/>
        <w:rPr/>
      </w:pPr>
      <w:r>
        <w:rPr>
          <w:rStyle w:val="Normaltextrun"/>
          <w:rFonts w:cs="Arial" w:ascii="Carlito" w:hAnsi="Carlito"/>
          <w:sz w:val="24"/>
          <w:szCs w:val="24"/>
        </w:rPr>
        <w:t xml:space="preserve">   </w:t>
      </w:r>
      <w:r>
        <w:rPr>
          <w:rStyle w:val="Normaltextrun"/>
          <w:rFonts w:cs="Arial" w:ascii="Carlito" w:hAnsi="Carlito"/>
          <w:sz w:val="24"/>
          <w:szCs w:val="24"/>
        </w:rPr>
        <w:t>praticar ato lesivo previsto no art. 5º da Lei nº 12.846, de 1º de agosto de 2013.</w:t>
      </w:r>
    </w:p>
    <w:p>
      <w:pPr>
        <w:pStyle w:val="Paragraph"/>
        <w:widowControl/>
        <w:numPr>
          <w:ilvl w:val="0"/>
          <w:numId w:val="0"/>
        </w:numPr>
        <w:suppressAutoHyphens w:val="true"/>
        <w:bidi w:val="0"/>
        <w:spacing w:lineRule="auto" w:line="276" w:before="120" w:after="0"/>
        <w:ind w:left="1440" w:right="0" w:hanging="0"/>
        <w:jc w:val="both"/>
        <w:textAlignment w:val="baseline"/>
        <w:rPr>
          <w:rStyle w:val="Normaltextrun"/>
          <w:rFonts w:ascii="Carlito" w:hAnsi="Carlito" w:cs="Arial"/>
          <w:sz w:val="24"/>
          <w:szCs w:val="24"/>
        </w:rPr>
      </w:pPr>
      <w:r>
        <w:rPr>
          <w:rFonts w:cs="Arial" w:ascii="Carlito" w:hAnsi="Carlito"/>
          <w:sz w:val="24"/>
          <w:szCs w:val="24"/>
        </w:rPr>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Serão aplicadas ao Contratado que incorrer nas infrações acima descritas as seguintes sanções:</w:t>
      </w:r>
    </w:p>
    <w:p>
      <w:pPr>
        <w:pStyle w:val="Nivel3"/>
        <w:widowControl/>
        <w:numPr>
          <w:ilvl w:val="2"/>
          <w:numId w:val="2"/>
        </w:numPr>
        <w:suppressAutoHyphens w:val="true"/>
        <w:bidi w:val="0"/>
        <w:spacing w:lineRule="auto" w:line="276" w:before="120" w:after="120"/>
        <w:ind w:left="0" w:right="0" w:firstLine="1134"/>
        <w:jc w:val="both"/>
        <w:rPr/>
      </w:pPr>
      <w:r>
        <w:rPr>
          <w:rStyle w:val="Normaltextrun"/>
          <w:rFonts w:cs="Arial" w:ascii="Carlito" w:hAnsi="Carlito"/>
          <w:color w:val="000000"/>
          <w:sz w:val="24"/>
          <w:szCs w:val="24"/>
        </w:rPr>
        <w:t xml:space="preserve">   </w:t>
      </w:r>
      <w:r>
        <w:rPr>
          <w:rStyle w:val="Normaltextrun"/>
          <w:rFonts w:cs="Arial" w:ascii="Carlito" w:hAnsi="Carlito"/>
          <w:color w:val="000000"/>
          <w:sz w:val="24"/>
          <w:szCs w:val="24"/>
        </w:rPr>
        <w:t>Advertência, quando o Contratado der causa à inexecução parcial do contrato, sempre que não se justificar a imposição de penalidade mais grave;</w:t>
      </w:r>
    </w:p>
    <w:p>
      <w:pPr>
        <w:pStyle w:val="Nivel3"/>
        <w:widowControl/>
        <w:numPr>
          <w:ilvl w:val="2"/>
          <w:numId w:val="2"/>
        </w:numPr>
        <w:suppressAutoHyphens w:val="true"/>
        <w:bidi w:val="0"/>
        <w:spacing w:lineRule="auto" w:line="276" w:before="120" w:after="120"/>
        <w:ind w:left="0" w:right="0" w:firstLine="1134"/>
        <w:jc w:val="both"/>
        <w:rPr/>
      </w:pPr>
      <w:r>
        <w:rPr>
          <w:rStyle w:val="Normaltextrun"/>
          <w:rFonts w:cs="Arial" w:ascii="Carlito" w:hAnsi="Carlito"/>
          <w:color w:val="000000"/>
          <w:sz w:val="24"/>
          <w:szCs w:val="24"/>
        </w:rPr>
        <w:t xml:space="preserve">   </w:t>
      </w:r>
      <w:r>
        <w:rPr>
          <w:rStyle w:val="Normaltextrun"/>
          <w:rFonts w:cs="Arial" w:ascii="Carlito" w:hAnsi="Carlito"/>
          <w:color w:val="000000"/>
          <w:sz w:val="24"/>
          <w:szCs w:val="24"/>
        </w:rPr>
        <w:t>Impedimento de licitar e contratar, quando praticadas as condutas descritas nas alíneas “b”, “c” e “d” do subitem acima, sempre que não se justificar a imposição de penalidade mais grave;</w:t>
      </w:r>
    </w:p>
    <w:p>
      <w:pPr>
        <w:pStyle w:val="Nivel3"/>
        <w:widowControl/>
        <w:numPr>
          <w:ilvl w:val="2"/>
          <w:numId w:val="2"/>
        </w:numPr>
        <w:suppressAutoHyphens w:val="true"/>
        <w:bidi w:val="0"/>
        <w:spacing w:lineRule="auto" w:line="276" w:before="120" w:after="120"/>
        <w:ind w:left="0" w:right="0" w:firstLine="1134"/>
        <w:jc w:val="both"/>
        <w:rPr/>
      </w:pPr>
      <w:r>
        <w:rPr>
          <w:rStyle w:val="Normaltextrun"/>
          <w:rFonts w:cs="Arial" w:ascii="Carlito" w:hAnsi="Carlito"/>
          <w:color w:val="000000"/>
          <w:sz w:val="24"/>
          <w:szCs w:val="24"/>
        </w:rPr>
        <w:t xml:space="preserve">   </w:t>
      </w:r>
      <w:r>
        <w:rPr>
          <w:rStyle w:val="Normaltextrun"/>
          <w:rFonts w:cs="Arial" w:ascii="Carlito" w:hAnsi="Carlito"/>
          <w:color w:val="000000"/>
          <w:sz w:val="24"/>
          <w:szCs w:val="24"/>
        </w:rPr>
        <w:t>Declaração de inidoneidade para licitar e contratar, quando praticadas as condutas descritas nas alíneas “e”, “f”, “g” e “h” do subitem acima, bem como nas alíneas “b”, “c” e “d”, que justifiquem a imposição de penalidade mais grave.</w:t>
      </w:r>
    </w:p>
    <w:p>
      <w:pPr>
        <w:pStyle w:val="Nivel3"/>
        <w:widowControl/>
        <w:suppressAutoHyphens w:val="true"/>
        <w:bidi w:val="0"/>
        <w:spacing w:lineRule="auto" w:line="276" w:before="120" w:after="120"/>
        <w:ind w:left="0" w:right="0" w:hanging="0"/>
        <w:jc w:val="both"/>
        <w:rPr/>
      </w:pPr>
      <w:r>
        <w:rPr>
          <w:rStyle w:val="Normaltextrun"/>
          <w:rFonts w:eastAsia="Arial" w:cs="Arial" w:ascii="Carlito" w:hAnsi="Carlito"/>
          <w:b/>
          <w:i w:val="false"/>
          <w:iCs/>
          <w:color w:val="000000"/>
          <w:kern w:val="0"/>
          <w:sz w:val="24"/>
          <w:szCs w:val="24"/>
          <w:lang w:val="pt-BR" w:eastAsia="pt-BR" w:bidi="ar-SA"/>
        </w:rPr>
        <w:t>Multa:</w:t>
      </w:r>
    </w:p>
    <w:p>
      <w:pPr>
        <w:pStyle w:val="Nivel3"/>
        <w:widowControl/>
        <w:suppressAutoHyphens w:val="true"/>
        <w:bidi w:val="0"/>
        <w:spacing w:lineRule="auto" w:line="276" w:before="0" w:after="0"/>
        <w:ind w:left="0" w:right="0" w:hanging="0"/>
        <w:jc w:val="both"/>
        <w:rPr/>
      </w:pPr>
      <w:r>
        <w:rPr>
          <w:rFonts w:eastAsia="Arial" w:cs="Arial" w:ascii="Carlito" w:hAnsi="Carlito"/>
          <w:i w:val="false"/>
          <w:iCs/>
          <w:color w:val="000000"/>
          <w:kern w:val="0"/>
          <w:sz w:val="24"/>
          <w:szCs w:val="24"/>
          <w:lang w:val="pt-BR" w:eastAsia="pt-BR" w:bidi="ar-SA"/>
        </w:rPr>
        <w:t>A aplicação das sanções previstas neste Termo de Referência não exclui, em hipótese alguma, a obrigação de reparação integral do dano causado ao Contratante.</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Todas as sanções previstas neste Termo de Referência poderão ser aplicadas cumulativamente com a multa.</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Antes da aplicação da multa será facultada a defesa do interessado no prazo de 15 (quinze) dias úteis, contado da data de sua intimação.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Se a multa aplicada e as indenizações cabíveis forem superiores ao valor do pagamento eventualmente devido pelo Contratante ao Contratado, além da perda desse valor, a diferença será descontada da garantia prestada ou será cobrada judicialmente.</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A multa poderá ser recolhida administrativamente no prazo máximo de 60 (sessenta) dias, a contar da data do recebimento da comunicação enviada pela autoridade competente.</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pPr>
        <w:pStyle w:val="Nivel3"/>
        <w:widowControl/>
        <w:numPr>
          <w:ilvl w:val="1"/>
          <w:numId w:val="2"/>
        </w:numPr>
        <w:suppressAutoHyphens w:val="true"/>
        <w:bidi w:val="0"/>
        <w:spacing w:lineRule="auto" w:line="276" w:before="120" w:after="120"/>
        <w:ind w:left="0" w:right="0" w:firstLine="567"/>
        <w:jc w:val="both"/>
        <w:rPr/>
      </w:pPr>
      <w:r>
        <w:rPr>
          <w:rStyle w:val="Normaltextrun"/>
          <w:rFonts w:ascii="Carlito" w:hAnsi="Carlito"/>
          <w:sz w:val="24"/>
          <w:szCs w:val="24"/>
        </w:rPr>
        <w:t>Para a garantia da ampla defesa e contraditório, as notificações serão enviadas eletronicamente para os endereços de e-mail informados na proposta comercial, bem como os cadastrados pela empresa no SICAF.</w:t>
      </w:r>
    </w:p>
    <w:p>
      <w:pPr>
        <w:pStyle w:val="Nivel3"/>
        <w:widowControl/>
        <w:numPr>
          <w:ilvl w:val="1"/>
          <w:numId w:val="2"/>
        </w:numPr>
        <w:suppressAutoHyphens w:val="true"/>
        <w:bidi w:val="0"/>
        <w:spacing w:lineRule="auto" w:line="276" w:before="120" w:after="120"/>
        <w:ind w:left="0" w:right="0" w:firstLine="567"/>
        <w:jc w:val="both"/>
        <w:rPr/>
      </w:pPr>
      <w:r>
        <w:rPr>
          <w:rStyle w:val="Normaltextrun"/>
          <w:rFonts w:ascii="Carlito" w:hAnsi="Carlito"/>
          <w:sz w:val="24"/>
          <w:szCs w:val="24"/>
        </w:rPr>
        <w:t>Os endereços de e-mail informados na proposta comercial e/ou cadastrados no SICAF serão considerados de uso contínuo da empresa, não cabendo alegação de desconhecimento das comunicações a eles comprovadamente enviadas.</w:t>
      </w:r>
    </w:p>
    <w:p>
      <w:pPr>
        <w:pStyle w:val="Nvel02"/>
        <w:numPr>
          <w:ilvl w:val="1"/>
          <w:numId w:val="2"/>
        </w:numPr>
        <w:shd w:val="clear" w:fill="FFFFFF"/>
        <w:ind w:left="1080" w:right="0" w:hanging="360"/>
        <w:rPr/>
      </w:pPr>
      <w:r>
        <w:rPr>
          <w:rStyle w:val="Normaltextrun"/>
          <w:rFonts w:ascii="Carlito" w:hAnsi="Carlito"/>
          <w:color w:val="000000"/>
          <w:sz w:val="24"/>
          <w:szCs w:val="24"/>
        </w:rPr>
        <w:t xml:space="preserve">Na aplicação </w:t>
      </w:r>
      <w:r>
        <w:rPr>
          <w:rFonts w:ascii="Carlito" w:hAnsi="Carlito"/>
          <w:sz w:val="24"/>
          <w:szCs w:val="24"/>
        </w:rPr>
        <w:t>das</w:t>
      </w:r>
      <w:r>
        <w:rPr>
          <w:rStyle w:val="Normaltextrun"/>
          <w:rFonts w:ascii="Carlito" w:hAnsi="Carlito"/>
          <w:color w:val="000000"/>
          <w:sz w:val="24"/>
          <w:szCs w:val="24"/>
        </w:rPr>
        <w:t xml:space="preserve"> sanções serão considerados:</w:t>
      </w:r>
    </w:p>
    <w:p>
      <w:pPr>
        <w:pStyle w:val="Nivel3"/>
        <w:widowControl/>
        <w:numPr>
          <w:ilvl w:val="2"/>
          <w:numId w:val="2"/>
        </w:numPr>
        <w:suppressAutoHyphens w:val="true"/>
        <w:bidi w:val="0"/>
        <w:spacing w:lineRule="auto" w:line="276" w:before="120" w:after="120"/>
        <w:ind w:left="0" w:right="0" w:firstLine="1134"/>
        <w:jc w:val="both"/>
        <w:rPr/>
      </w:pPr>
      <w:r>
        <w:rPr>
          <w:rStyle w:val="Normaltextrun"/>
          <w:rFonts w:cs="Arial" w:ascii="Carlito" w:hAnsi="Carlito"/>
          <w:sz w:val="24"/>
          <w:szCs w:val="24"/>
        </w:rPr>
        <w:t>a natureza e a gravidade da infração cometida;</w:t>
      </w:r>
    </w:p>
    <w:p>
      <w:pPr>
        <w:pStyle w:val="Nivel3"/>
        <w:widowControl/>
        <w:numPr>
          <w:ilvl w:val="2"/>
          <w:numId w:val="2"/>
        </w:numPr>
        <w:suppressAutoHyphens w:val="true"/>
        <w:bidi w:val="0"/>
        <w:spacing w:lineRule="auto" w:line="276" w:before="120" w:after="120"/>
        <w:ind w:left="0" w:right="0" w:firstLine="1134"/>
        <w:jc w:val="both"/>
        <w:rPr/>
      </w:pPr>
      <w:r>
        <w:rPr>
          <w:rStyle w:val="Normaltextrun"/>
          <w:rFonts w:cs="Arial" w:ascii="Carlito" w:hAnsi="Carlito"/>
          <w:sz w:val="24"/>
          <w:szCs w:val="24"/>
        </w:rPr>
        <w:t>as peculiaridades do caso concreto;</w:t>
      </w:r>
    </w:p>
    <w:p>
      <w:pPr>
        <w:pStyle w:val="Nivel3"/>
        <w:widowControl/>
        <w:numPr>
          <w:ilvl w:val="2"/>
          <w:numId w:val="2"/>
        </w:numPr>
        <w:suppressAutoHyphens w:val="true"/>
        <w:bidi w:val="0"/>
        <w:spacing w:lineRule="auto" w:line="276" w:before="120" w:after="120"/>
        <w:ind w:left="0" w:right="0" w:firstLine="1134"/>
        <w:jc w:val="both"/>
        <w:rPr/>
      </w:pPr>
      <w:r>
        <w:rPr>
          <w:rStyle w:val="Normaltextrun"/>
          <w:rFonts w:cs="Arial" w:ascii="Carlito" w:hAnsi="Carlito"/>
          <w:sz w:val="24"/>
          <w:szCs w:val="24"/>
        </w:rPr>
        <w:t>as circunstâncias agravantes ou atenuantes;</w:t>
      </w:r>
    </w:p>
    <w:p>
      <w:pPr>
        <w:pStyle w:val="Nivel3"/>
        <w:widowControl/>
        <w:numPr>
          <w:ilvl w:val="2"/>
          <w:numId w:val="2"/>
        </w:numPr>
        <w:suppressAutoHyphens w:val="true"/>
        <w:bidi w:val="0"/>
        <w:spacing w:lineRule="auto" w:line="276" w:before="120" w:after="120"/>
        <w:ind w:left="0" w:right="0" w:firstLine="1134"/>
        <w:jc w:val="both"/>
        <w:rPr/>
      </w:pPr>
      <w:r>
        <w:rPr>
          <w:rStyle w:val="Normaltextrun"/>
          <w:rFonts w:cs="Arial" w:ascii="Carlito" w:hAnsi="Carlito"/>
          <w:sz w:val="24"/>
          <w:szCs w:val="24"/>
        </w:rPr>
        <w:t>os danos que dela provierem para o Contratante; e</w:t>
      </w:r>
    </w:p>
    <w:p>
      <w:pPr>
        <w:pStyle w:val="Nivel3"/>
        <w:widowControl/>
        <w:numPr>
          <w:ilvl w:val="2"/>
          <w:numId w:val="2"/>
        </w:numPr>
        <w:suppressAutoHyphens w:val="true"/>
        <w:bidi w:val="0"/>
        <w:spacing w:lineRule="auto" w:line="276" w:before="120" w:after="120"/>
        <w:ind w:left="0" w:right="0" w:firstLine="1134"/>
        <w:jc w:val="both"/>
        <w:rPr/>
      </w:pPr>
      <w:r>
        <w:rPr>
          <w:rStyle w:val="Normaltextrun"/>
          <w:rFonts w:cs="Arial" w:ascii="Carlito" w:hAnsi="Carlito"/>
          <w:sz w:val="24"/>
          <w:szCs w:val="24"/>
        </w:rPr>
        <w:t>a implantação ou o aperfeiçoamento de programa de integridade, conforme normas e orientações dos órgãos de controle.</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Nvel02"/>
        <w:widowControl/>
        <w:numPr>
          <w:ilvl w:val="1"/>
          <w:numId w:val="2"/>
        </w:numPr>
        <w:shd w:val="clear" w:fill="FFFFFF"/>
        <w:suppressAutoHyphens w:val="true"/>
        <w:bidi w:val="0"/>
        <w:spacing w:lineRule="auto" w:line="276" w:before="0" w:after="0"/>
        <w:ind w:left="0" w:right="0" w:firstLine="567"/>
        <w:jc w:val="both"/>
        <w:rPr/>
      </w:pPr>
      <w:r>
        <w:rPr>
          <w:rFonts w:eastAsia="Arial" w:cs="Arial" w:ascii="Carlito" w:hAnsi="Carlito"/>
          <w:i w:val="false"/>
          <w:iCs/>
          <w:color w:val="000000"/>
          <w:kern w:val="0"/>
          <w:sz w:val="24"/>
          <w:szCs w:val="24"/>
          <w:lang w:val="pt-BR" w:eastAsia="pt-BR" w:bidi="ar-SA"/>
        </w:rPr>
        <w:t>O Contratante deverá, no prazo máximo de 15 (quinze) dias úteis, contado da data de aplicação da sanção, informar e manter atualizados os dados relativos às sanções por ela aplicadas, para fins de publicidade no Cadastro Nacional de Empresas Inidôneas e Suspensas</w:t>
      </w:r>
      <w:r>
        <w:rPr>
          <w:rStyle w:val="Normaltextrun"/>
          <w:rFonts w:ascii="Carlito" w:hAnsi="Carlito"/>
          <w:color w:val="000000"/>
          <w:sz w:val="24"/>
          <w:szCs w:val="24"/>
        </w:rPr>
        <w:t xml:space="preserve"> (CEIS) e no Cadastro Nacional de Empresas Punidas (CNEP), instituídos no âmbito do Poder Executivo Federal.</w:t>
      </w:r>
    </w:p>
    <w:p>
      <w:pPr>
        <w:pStyle w:val="Nivel3"/>
        <w:widowControl/>
        <w:numPr>
          <w:ilvl w:val="1"/>
          <w:numId w:val="2"/>
        </w:numPr>
        <w:suppressAutoHyphens w:val="true"/>
        <w:bidi w:val="0"/>
        <w:spacing w:lineRule="auto" w:line="276" w:before="120" w:after="120"/>
        <w:ind w:left="0" w:right="0" w:firstLine="510"/>
        <w:jc w:val="both"/>
        <w:rPr>
          <w:rFonts w:ascii="Carlito" w:hAnsi="Carlito" w:eastAsia="ＭＳ 明朝"/>
          <w:sz w:val="24"/>
          <w:szCs w:val="24"/>
        </w:rPr>
      </w:pPr>
      <w:r>
        <w:rPr>
          <w:rFonts w:eastAsia="ＭＳ 明朝" w:ascii="Carlito" w:hAnsi="Carlito"/>
          <w:sz w:val="24"/>
          <w:szCs w:val="24"/>
        </w:rPr>
        <w:t>As penalidades serão obrigatoriamente registradas no SICAF.</w:t>
      </w:r>
    </w:p>
    <w:p>
      <w:pPr>
        <w:pStyle w:val="Nvel02"/>
        <w:widowControl/>
        <w:numPr>
          <w:ilvl w:val="2"/>
          <w:numId w:val="2"/>
        </w:numPr>
        <w:shd w:val="clear" w:fill="FFFFFF"/>
        <w:suppressAutoHyphens w:val="true"/>
        <w:bidi w:val="0"/>
        <w:spacing w:lineRule="auto" w:line="276" w:before="0" w:after="0"/>
        <w:ind w:left="0" w:right="0" w:firstLine="1134"/>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As sanções de impedimento de licitar e contratar e declaração de inidoneidade para licitar ou contratar são passíveis de reabilitação na forma do art. 163 da Lei nº 14.133, de 2021.</w:t>
      </w:r>
    </w:p>
    <w:p>
      <w:pPr>
        <w:pStyle w:val="Nvel02"/>
        <w:widowControl/>
        <w:numPr>
          <w:ilvl w:val="2"/>
          <w:numId w:val="2"/>
        </w:numPr>
        <w:shd w:val="clear" w:fill="FFFFFF"/>
        <w:suppressAutoHyphens w:val="true"/>
        <w:bidi w:val="0"/>
        <w:spacing w:lineRule="auto" w:line="276" w:before="0" w:after="0"/>
        <w:ind w:left="0" w:right="0" w:firstLine="1134"/>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pPr>
        <w:pStyle w:val="Nvel02"/>
        <w:numPr>
          <w:ilvl w:val="0"/>
          <w:numId w:val="0"/>
        </w:numPr>
        <w:shd w:val="clear" w:fill="FFFFFF"/>
        <w:ind w:left="2633" w:right="0" w:hanging="0"/>
        <w:jc w:val="both"/>
        <w:rPr>
          <w:rFonts w:ascii="Carlito" w:hAnsi="Carlito"/>
          <w:sz w:val="24"/>
          <w:szCs w:val="24"/>
        </w:rPr>
      </w:pPr>
      <w:r>
        <w:rPr>
          <w:rFonts w:ascii="Carlito" w:hAnsi="Carlito"/>
          <w:sz w:val="24"/>
          <w:szCs w:val="24"/>
        </w:rPr>
      </w:r>
    </w:p>
    <w:p>
      <w:pPr>
        <w:pStyle w:val="Nivel01"/>
        <w:numPr>
          <w:ilvl w:val="0"/>
          <w:numId w:val="2"/>
        </w:numPr>
        <w:shd w:val="clear" w:fill="FFFFFF"/>
        <w:ind w:left="357" w:right="0" w:hanging="357"/>
        <w:jc w:val="both"/>
        <w:rPr>
          <w:rFonts w:ascii="Carlito" w:hAnsi="Carlito"/>
          <w:sz w:val="24"/>
          <w:szCs w:val="24"/>
        </w:rPr>
      </w:pPr>
      <w:r>
        <w:rPr>
          <w:rFonts w:ascii="Carlito" w:hAnsi="Carlito"/>
          <w:sz w:val="24"/>
          <w:szCs w:val="24"/>
        </w:rPr>
        <w:t>FORMA E CRITÉRIOS DE SELEÇÃO DO FORNECEDOR E REGIME DE EXECUÇÃO</w:t>
      </w:r>
    </w:p>
    <w:p>
      <w:pPr>
        <w:pStyle w:val="Nvel1SemNumerao"/>
        <w:numPr>
          <w:ilvl w:val="0"/>
          <w:numId w:val="0"/>
        </w:numPr>
        <w:shd w:val="clear" w:fill="FFFFFF"/>
        <w:ind w:left="720" w:right="0" w:hanging="0"/>
        <w:rPr/>
      </w:pPr>
      <w:r>
        <w:rPr>
          <w:rFonts w:ascii="Carlito" w:hAnsi="Carlito"/>
          <w:sz w:val="24"/>
          <w:szCs w:val="24"/>
        </w:rPr>
        <w:t xml:space="preserve">Forma de seleção e critério </w:t>
      </w:r>
      <w:r>
        <w:rPr>
          <w:rFonts w:eastAsia="Arial" w:cs="Arial" w:ascii="Carlito" w:hAnsi="Carlito"/>
          <w:b w:val="false"/>
          <w:bCs w:val="false"/>
          <w:i w:val="false"/>
          <w:iCs w:val="false"/>
          <w:color w:val="auto"/>
          <w:kern w:val="0"/>
          <w:sz w:val="24"/>
          <w:szCs w:val="24"/>
          <w:lang w:val="pt-BR" w:eastAsia="en-US" w:bidi="ar-SA"/>
        </w:rPr>
        <w:t>de</w:t>
      </w:r>
      <w:r>
        <w:rPr>
          <w:rFonts w:ascii="Carlito" w:hAnsi="Carlito"/>
          <w:sz w:val="24"/>
          <w:szCs w:val="24"/>
        </w:rPr>
        <w:t xml:space="preserve"> julgamento da proposta</w:t>
      </w:r>
    </w:p>
    <w:p>
      <w:pPr>
        <w:pStyle w:val="Nvel2Opcional1"/>
        <w:widowControl/>
        <w:numPr>
          <w:ilvl w:val="1"/>
          <w:numId w:val="2"/>
        </w:numPr>
        <w:shd w:val="clear" w:fill="FFFFFF"/>
        <w:tabs>
          <w:tab w:val="left" w:pos="735" w:leader="none"/>
          <w:tab w:val="left" w:pos="1140" w:leader="none"/>
        </w:tabs>
        <w:suppressAutoHyphens w:val="true"/>
        <w:bidi w:val="0"/>
        <w:spacing w:lineRule="auto" w:line="276" w:before="0" w:after="0"/>
        <w:ind w:left="0" w:right="0" w:firstLine="567"/>
        <w:jc w:val="both"/>
        <w:rPr>
          <w:rFonts w:ascii="Carlito" w:hAnsi="Carlito"/>
          <w:color w:val="000000"/>
          <w:sz w:val="24"/>
          <w:szCs w:val="24"/>
        </w:rPr>
      </w:pPr>
      <w:bookmarkStart w:id="4" w:name="_Hlk171371350"/>
      <w:bookmarkStart w:id="5" w:name="_Hlk171371336"/>
      <w:bookmarkEnd w:id="4"/>
      <w:bookmarkEnd w:id="5"/>
      <w:r>
        <w:rPr>
          <w:rFonts w:ascii="Carlito" w:hAnsi="Carlito"/>
          <w:color w:val="000000"/>
          <w:sz w:val="24"/>
          <w:szCs w:val="24"/>
        </w:rPr>
        <w:t>O fornecedor será selecionado por meio de contratação direta, na modalidade DISPENSA ELETRÔNICA, com adoção do critério de julgamento pelo MENOR PREÇO</w:t>
      </w:r>
    </w:p>
    <w:p>
      <w:pPr>
        <w:pStyle w:val="Nvel2Opcional1"/>
        <w:numPr>
          <w:ilvl w:val="0"/>
          <w:numId w:val="0"/>
        </w:numPr>
        <w:shd w:val="clear" w:fill="FFFFFF"/>
        <w:ind w:left="1913" w:right="0" w:hanging="0"/>
        <w:jc w:val="both"/>
        <w:rPr>
          <w:rFonts w:ascii="Carlito" w:hAnsi="Carlito"/>
          <w:sz w:val="24"/>
          <w:szCs w:val="24"/>
          <w:highlight w:val="cyan"/>
        </w:rPr>
      </w:pPr>
      <w:r>
        <w:rPr>
          <w:rFonts w:ascii="Carlito" w:hAnsi="Carlito"/>
          <w:sz w:val="24"/>
          <w:szCs w:val="24"/>
          <w:highlight w:val="cyan"/>
        </w:rPr>
      </w:r>
      <w:bookmarkStart w:id="6" w:name="_Hlk190336520"/>
      <w:bookmarkStart w:id="7" w:name="_Hlk170893696"/>
      <w:bookmarkStart w:id="8" w:name="_Hlk190336520"/>
      <w:bookmarkStart w:id="9" w:name="_Hlk170893696"/>
      <w:bookmarkEnd w:id="8"/>
      <w:bookmarkEnd w:id="9"/>
    </w:p>
    <w:p>
      <w:pPr>
        <w:pStyle w:val="Nvel1SemNumerao"/>
        <w:numPr>
          <w:ilvl w:val="0"/>
          <w:numId w:val="0"/>
        </w:numPr>
        <w:shd w:val="clear" w:fill="FFFFFF"/>
        <w:ind w:left="720" w:right="0" w:hanging="0"/>
        <w:rPr>
          <w:color w:val="000000"/>
        </w:rPr>
      </w:pPr>
      <w:r>
        <w:rPr>
          <w:rFonts w:ascii="Carlito" w:hAnsi="Carlito"/>
          <w:color w:val="000000"/>
          <w:sz w:val="24"/>
          <w:szCs w:val="24"/>
        </w:rPr>
        <w:t xml:space="preserve">Exigências de </w:t>
      </w:r>
      <w:r>
        <w:rPr>
          <w:rFonts w:eastAsia="Arial" w:cs="Arial" w:ascii="Carlito" w:hAnsi="Carlito"/>
          <w:b w:val="false"/>
          <w:bCs w:val="false"/>
          <w:i w:val="false"/>
          <w:iCs w:val="false"/>
          <w:color w:val="000000"/>
          <w:kern w:val="0"/>
          <w:sz w:val="24"/>
          <w:szCs w:val="24"/>
          <w:lang w:val="pt-BR" w:eastAsia="en-US" w:bidi="ar-SA"/>
        </w:rPr>
        <w:t>habilitação</w:t>
      </w:r>
    </w:p>
    <w:p>
      <w:pPr>
        <w:pStyle w:val="Nvel02"/>
        <w:widowControl/>
        <w:numPr>
          <w:ilvl w:val="1"/>
          <w:numId w:val="2"/>
        </w:numPr>
        <w:shd w:val="clear" w:fill="FFFFFF"/>
        <w:suppressAutoHyphens w:val="true"/>
        <w:overflowPunct w:val="true"/>
        <w:bidi w:val="0"/>
        <w:spacing w:lineRule="auto" w:line="276"/>
        <w:ind w:left="1080" w:right="0" w:hanging="360"/>
        <w:jc w:val="both"/>
        <w:rPr>
          <w:color w:val="000000"/>
        </w:rPr>
      </w:pPr>
      <w:r>
        <w:rPr>
          <w:rFonts w:ascii="Carlito" w:hAnsi="Carlito"/>
          <w:color w:val="000000"/>
          <w:sz w:val="24"/>
          <w:szCs w:val="24"/>
        </w:rPr>
        <w:t xml:space="preserve">Para fins de habilitação, deverá o interessado comprovar os </w:t>
      </w:r>
      <w:r>
        <w:rPr>
          <w:rFonts w:eastAsia="Arial" w:cs="Arial" w:ascii="Carlito" w:hAnsi="Carlito"/>
          <w:i w:val="false"/>
          <w:iCs/>
          <w:color w:val="000000"/>
          <w:kern w:val="0"/>
          <w:sz w:val="24"/>
          <w:szCs w:val="24"/>
          <w:lang w:val="pt-BR" w:eastAsia="pt-BR" w:bidi="ar-SA"/>
        </w:rPr>
        <w:t>seguintes</w:t>
      </w:r>
      <w:r>
        <w:rPr>
          <w:rFonts w:ascii="Carlito" w:hAnsi="Carlito"/>
          <w:color w:val="000000"/>
          <w:sz w:val="24"/>
          <w:szCs w:val="24"/>
        </w:rPr>
        <w:t xml:space="preserve"> requisitos:</w:t>
      </w:r>
    </w:p>
    <w:p>
      <w:pPr>
        <w:pStyle w:val="Nvel02"/>
        <w:widowControl/>
        <w:numPr>
          <w:ilvl w:val="0"/>
          <w:numId w:val="0"/>
        </w:numPr>
        <w:shd w:val="clear" w:fill="FFFFFF"/>
        <w:suppressAutoHyphens w:val="true"/>
        <w:bidi w:val="0"/>
        <w:spacing w:lineRule="auto" w:line="276" w:before="0" w:after="0"/>
        <w:ind w:left="1080" w:right="0" w:hanging="0"/>
        <w:jc w:val="both"/>
        <w:rPr>
          <w:rFonts w:ascii="Carlito" w:hAnsi="Carlito"/>
          <w:color w:val="000000"/>
          <w:sz w:val="24"/>
          <w:szCs w:val="24"/>
        </w:rPr>
      </w:pPr>
      <w:r>
        <w:rPr>
          <w:rFonts w:ascii="Carlito" w:hAnsi="Carlito"/>
          <w:color w:val="000000"/>
          <w:sz w:val="24"/>
          <w:szCs w:val="24"/>
        </w:rPr>
      </w:r>
    </w:p>
    <w:p>
      <w:pPr>
        <w:pStyle w:val="Nvel1SemNumerao"/>
        <w:numPr>
          <w:ilvl w:val="0"/>
          <w:numId w:val="0"/>
        </w:numPr>
        <w:shd w:val="clear" w:fill="FFFFFF"/>
        <w:ind w:left="720" w:right="0" w:hanging="0"/>
        <w:rPr/>
      </w:pPr>
      <w:r>
        <w:rPr>
          <w:rFonts w:ascii="Carlito" w:hAnsi="Carlito"/>
          <w:color w:val="000000"/>
          <w:sz w:val="24"/>
          <w:szCs w:val="24"/>
        </w:rPr>
        <w:t xml:space="preserve">Habilitação </w:t>
      </w:r>
      <w:r>
        <w:rPr>
          <w:rFonts w:eastAsia="Arial" w:cs="Arial" w:ascii="Carlito" w:hAnsi="Carlito"/>
          <w:b w:val="false"/>
          <w:bCs w:val="false"/>
          <w:i w:val="false"/>
          <w:iCs w:val="false"/>
          <w:color w:val="000000"/>
          <w:kern w:val="0"/>
          <w:sz w:val="24"/>
          <w:szCs w:val="24"/>
          <w:lang w:val="pt-BR" w:eastAsia="en-US" w:bidi="ar-SA"/>
        </w:rPr>
        <w:t>jurí</w:t>
      </w:r>
      <w:r>
        <w:rPr>
          <w:rFonts w:eastAsia="Arial" w:cs="Arial" w:ascii="Carlito" w:hAnsi="Carlito"/>
          <w:b w:val="false"/>
          <w:bCs w:val="false"/>
          <w:i w:val="false"/>
          <w:iCs w:val="false"/>
          <w:color w:val="auto"/>
          <w:kern w:val="0"/>
          <w:sz w:val="24"/>
          <w:szCs w:val="24"/>
          <w:lang w:val="pt-BR" w:eastAsia="en-US" w:bidi="ar-SA"/>
        </w:rPr>
        <w:t>dica</w:t>
      </w:r>
    </w:p>
    <w:p>
      <w:pPr>
        <w:pStyle w:val="Nvel02"/>
        <w:widowControl/>
        <w:numPr>
          <w:ilvl w:val="1"/>
          <w:numId w:val="2"/>
        </w:numPr>
        <w:shd w:val="clear" w:fill="FFFFFF"/>
        <w:suppressAutoHyphens w:val="true"/>
        <w:bidi w:val="0"/>
        <w:spacing w:lineRule="auto" w:line="276" w:before="0" w:after="0"/>
        <w:ind w:left="0" w:right="0" w:firstLine="567"/>
        <w:jc w:val="both"/>
        <w:rPr/>
      </w:pPr>
      <w:r>
        <w:rPr>
          <w:rFonts w:eastAsia="Arial" w:cs="Arial" w:ascii="Carlito" w:hAnsi="Carlito"/>
          <w:i w:val="false"/>
          <w:iCs/>
          <w:color w:val="000000"/>
          <w:kern w:val="0"/>
          <w:sz w:val="24"/>
          <w:szCs w:val="24"/>
          <w:lang w:val="pt-BR" w:eastAsia="pt-BR" w:bidi="ar-SA"/>
        </w:rPr>
        <w:t>P</w:t>
      </w:r>
      <w:bookmarkStart w:id="10" w:name="_Ref115800561"/>
      <w:r>
        <w:rPr>
          <w:rFonts w:eastAsia="Arial" w:cs="Arial" w:ascii="Carlito" w:hAnsi="Carlito"/>
          <w:i w:val="false"/>
          <w:iCs/>
          <w:color w:val="000000"/>
          <w:kern w:val="0"/>
          <w:sz w:val="24"/>
          <w:szCs w:val="24"/>
          <w:lang w:val="pt-BR" w:eastAsia="pt-BR" w:bidi="ar-SA"/>
        </w:rPr>
        <w:t>essoa física: cédula de identidade (RG) ou documento equivalente que, por força de lei, tenha validade para fins de identificação em todo o território nacional;</w:t>
      </w:r>
      <w:bookmarkEnd w:id="10"/>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Empresário individual: inscrição no Registro Público de Empresas Mercantis, a cargo da Junta Comercial da respectiva sede;</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Microempreendedor Individual - MEI: Certificado da Condição de Microempreendedor Individual - CCMEI, cuja aceitação ficará condicionada à verificação da autenticidade no sítio https://www.gov.br/empresas-e-negocios/pt-br/empreendedor;</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pPr>
        <w:pStyle w:val="Nvel02"/>
        <w:widowControl/>
        <w:numPr>
          <w:ilvl w:val="0"/>
          <w:numId w:val="0"/>
        </w:numPr>
        <w:shd w:val="clear" w:fill="FFFFFF"/>
        <w:suppressAutoHyphens w:val="true"/>
        <w:bidi w:val="0"/>
        <w:spacing w:lineRule="auto" w:line="276" w:before="0" w:after="0"/>
        <w:ind w:left="0" w:right="0" w:hanging="0"/>
        <w:jc w:val="both"/>
        <w:rPr>
          <w:rFonts w:ascii="Carlito" w:hAnsi="Carlito" w:eastAsia="Arial" w:cs="Arial"/>
          <w:i w:val="false"/>
          <w:i w:val="false"/>
          <w:iCs/>
          <w:kern w:val="0"/>
          <w:sz w:val="24"/>
          <w:szCs w:val="24"/>
          <w:lang w:val="pt-BR" w:eastAsia="pt-BR" w:bidi="ar-SA"/>
        </w:rPr>
      </w:pPr>
      <w:r>
        <w:rPr>
          <w:rFonts w:eastAsia="Arial" w:cs="Arial" w:ascii="Carlito" w:hAnsi="Carlito"/>
          <w:i w:val="false"/>
          <w:iCs/>
          <w:kern w:val="0"/>
          <w:sz w:val="24"/>
          <w:szCs w:val="24"/>
          <w:lang w:val="pt-BR" w:eastAsia="pt-BR" w:bidi="ar-SA"/>
        </w:rPr>
      </w:r>
    </w:p>
    <w:p>
      <w:pPr>
        <w:pStyle w:val="Nvel1SemNumerao"/>
        <w:widowControl/>
        <w:numPr>
          <w:ilvl w:val="0"/>
          <w:numId w:val="0"/>
        </w:numPr>
        <w:shd w:val="clear" w:fill="FFFFFF"/>
        <w:suppressAutoHyphens w:val="true"/>
        <w:bidi w:val="0"/>
        <w:spacing w:lineRule="auto" w:line="276" w:before="0" w:after="0"/>
        <w:ind w:left="720" w:right="0" w:hanging="0"/>
        <w:jc w:val="both"/>
        <w:rPr>
          <w:color w:val="000000"/>
        </w:rPr>
      </w:pPr>
      <w:r>
        <w:rPr>
          <w:rFonts w:ascii="Carlito" w:hAnsi="Carlito"/>
          <w:color w:val="000000"/>
          <w:sz w:val="24"/>
          <w:szCs w:val="24"/>
        </w:rPr>
        <w:t>Habilitação fiscal, social e trabalhista</w:t>
      </w:r>
    </w:p>
    <w:p>
      <w:pPr>
        <w:pStyle w:val="Nvel02"/>
        <w:widowControl/>
        <w:numPr>
          <w:ilvl w:val="1"/>
          <w:numId w:val="2"/>
        </w:numPr>
        <w:shd w:val="clear" w:fill="FFFFFF"/>
        <w:suppressAutoHyphens w:val="true"/>
        <w:bidi w:val="0"/>
        <w:spacing w:lineRule="auto" w:line="276" w:before="0" w:after="0"/>
        <w:ind w:left="0" w:right="0" w:firstLine="567"/>
        <w:jc w:val="both"/>
        <w:rPr/>
      </w:pPr>
      <w:r>
        <w:rPr>
          <w:rFonts w:eastAsia="Arial" w:cs="Arial" w:ascii="Carlito" w:hAnsi="Carlito"/>
          <w:i w:val="false"/>
          <w:iCs/>
          <w:color w:val="000000"/>
          <w:kern w:val="0"/>
          <w:sz w:val="24"/>
          <w:szCs w:val="24"/>
          <w:lang w:val="pt-BR" w:eastAsia="pt-BR" w:bidi="ar-SA"/>
        </w:rPr>
        <w:t xml:space="preserve"> </w:t>
      </w:r>
      <w:r>
        <w:rPr>
          <w:rFonts w:eastAsia="Arial" w:cs="Arial" w:ascii="Carlito" w:hAnsi="Carlito"/>
          <w:i w:val="false"/>
          <w:iCs/>
          <w:color w:val="000000"/>
          <w:kern w:val="0"/>
          <w:sz w:val="24"/>
          <w:szCs w:val="24"/>
          <w:lang w:val="pt-BR" w:eastAsia="pt-BR" w:bidi="ar-SA"/>
        </w:rPr>
        <w:t>Prova de inscrição no Cadastro Nacional de Pessoas Jurídicas ou no Cadastro de Pessoas Físicas, conforme o caso;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 xml:space="preserve"> </w:t>
      </w:r>
      <w:r>
        <w:rPr>
          <w:rFonts w:eastAsia="Arial" w:cs="Arial" w:ascii="Carlito" w:hAnsi="Carlito"/>
          <w:i w:val="false"/>
          <w:iCs/>
          <w:color w:val="000000"/>
          <w:kern w:val="0"/>
          <w:sz w:val="24"/>
          <w:szCs w:val="24"/>
          <w:lang w:val="pt-BR" w:eastAsia="pt-BR" w:bidi="ar-SA"/>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Prova de regularidade com o Fundo de Garantia do Tempo de Serviço (FGTS);</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Prova de inscrição no cadastro de contribuintes Distrital ou Municipal relativo ao domicílio ou sede do fornecedor, pertinente ao seu ramo de atividade e compatível com o objeto contratual;</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Prova de regularidade com a Fazenda Distrital ou Municipal do domicílio ou sede do fornecedor, relativa à atividade em cujo exercício contrata ou concorre;</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Caso o fornecedor seja considerado isento dos tributos relacionados ao objeto contratual, deverá comprovar tal condição mediante a apresentação de declaração da Fazenda respectiva do seu domicílio ou sede, ou outra equivalente, na forma da lei.</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pPr>
        <w:pStyle w:val="Nvel02"/>
        <w:widowControl/>
        <w:numPr>
          <w:ilvl w:val="0"/>
          <w:numId w:val="0"/>
        </w:numPr>
        <w:shd w:val="clear" w:fill="FFFFFF"/>
        <w:suppressAutoHyphens w:val="true"/>
        <w:bidi w:val="0"/>
        <w:spacing w:lineRule="auto" w:line="276" w:before="0" w:after="0"/>
        <w:ind w:left="1080" w:right="0" w:hanging="0"/>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r>
    </w:p>
    <w:p>
      <w:pPr>
        <w:pStyle w:val="Nvel1SemNumerao"/>
        <w:widowControl/>
        <w:numPr>
          <w:ilvl w:val="0"/>
          <w:numId w:val="0"/>
        </w:numPr>
        <w:shd w:val="clear" w:fill="FFFFFF"/>
        <w:suppressAutoHyphens w:val="true"/>
        <w:bidi w:val="0"/>
        <w:spacing w:lineRule="auto" w:line="276" w:before="0" w:after="0"/>
        <w:ind w:left="720" w:right="0" w:hanging="0"/>
        <w:jc w:val="both"/>
        <w:rPr>
          <w:color w:val="000000"/>
        </w:rPr>
      </w:pPr>
      <w:r>
        <w:rPr>
          <w:rFonts w:ascii="Carlito" w:hAnsi="Carlito"/>
          <w:color w:val="000000"/>
          <w:sz w:val="24"/>
          <w:szCs w:val="24"/>
        </w:rPr>
        <w:t>Qualificação Técnica</w:t>
      </w:r>
    </w:p>
    <w:p>
      <w:pPr>
        <w:pStyle w:val="Nvel2Opcional1"/>
        <w:widowControl/>
        <w:numPr>
          <w:ilvl w:val="1"/>
          <w:numId w:val="2"/>
        </w:numPr>
        <w:shd w:val="clear" w:fill="FFFFFF"/>
        <w:tabs>
          <w:tab w:val="left" w:pos="735" w:leader="none"/>
          <w:tab w:val="left" w:pos="1140" w:leader="none"/>
        </w:tabs>
        <w:suppressAutoHyphens w:val="true"/>
        <w:bidi w:val="0"/>
        <w:spacing w:lineRule="auto" w:line="276" w:before="0" w:after="0"/>
        <w:ind w:left="0" w:right="0" w:firstLine="567"/>
        <w:jc w:val="both"/>
        <w:rPr/>
      </w:pPr>
      <w:bookmarkStart w:id="11" w:name="_Ref123202723"/>
      <w:r>
        <w:rPr>
          <w:rFonts w:ascii="Carlito" w:hAnsi="Carlito"/>
          <w:color w:val="000000"/>
          <w:sz w:val="24"/>
          <w:szCs w:val="24"/>
        </w:rPr>
        <w:t xml:space="preserve">Declaração de que o fornecedor tomou conhecimento de todas as informações e das condições locais para o cumprimento das obrigações objeto da </w:t>
      </w:r>
      <w:bookmarkEnd w:id="11"/>
      <w:r>
        <w:rPr>
          <w:rFonts w:ascii="Carlito" w:hAnsi="Carlito"/>
          <w:color w:val="000000"/>
          <w:sz w:val="24"/>
          <w:szCs w:val="24"/>
        </w:rPr>
        <w:t>contratação.</w:t>
      </w:r>
    </w:p>
    <w:p>
      <w:pPr>
        <w:pStyle w:val="Nvel3Opcional1"/>
        <w:widowControl/>
        <w:numPr>
          <w:ilvl w:val="1"/>
          <w:numId w:val="2"/>
        </w:numPr>
        <w:suppressAutoHyphens w:val="true"/>
        <w:bidi w:val="0"/>
        <w:spacing w:lineRule="auto" w:line="276" w:before="0" w:after="0"/>
        <w:ind w:left="0" w:right="0" w:firstLine="510"/>
        <w:jc w:val="both"/>
        <w:rPr>
          <w:rFonts w:ascii="Carlito" w:hAnsi="Carlito"/>
          <w:color w:val="000000"/>
          <w:sz w:val="24"/>
          <w:szCs w:val="24"/>
        </w:rPr>
      </w:pPr>
      <w:r>
        <w:rPr>
          <w:rFonts w:ascii="Carlito" w:hAnsi="Carlito"/>
          <w:color w:val="000000"/>
          <w:sz w:val="24"/>
          <w:szCs w:val="24"/>
        </w:rPr>
        <w:t>Essa declaração poderá ser substituída por declaração formal assinada pelo responsável técnico do interessado acerca do conhecimento pleno das condições e peculiaridades da contratação.</w:t>
      </w:r>
    </w:p>
    <w:p>
      <w:pPr>
        <w:pStyle w:val="Nvel3Opcional1"/>
        <w:widowControl/>
        <w:numPr>
          <w:ilvl w:val="1"/>
          <w:numId w:val="2"/>
        </w:numPr>
        <w:suppressAutoHyphens w:val="true"/>
        <w:bidi w:val="0"/>
        <w:spacing w:lineRule="auto" w:line="276" w:before="120" w:after="120"/>
        <w:ind w:left="0" w:right="0" w:firstLine="510"/>
        <w:jc w:val="both"/>
        <w:rPr>
          <w:rFonts w:ascii="Carlito" w:hAnsi="Carlito"/>
          <w:color w:val="000000"/>
          <w:sz w:val="24"/>
          <w:szCs w:val="24"/>
        </w:rPr>
      </w:pPr>
      <w:r>
        <w:rPr>
          <w:rStyle w:val="Nfase"/>
          <w:rFonts w:ascii="Google Sans;Arial;sans-serif" w:hAnsi="Google Sans;Arial;sans-serif"/>
          <w:b w:val="false"/>
          <w:strike w:val="false"/>
          <w:dstrike w:val="false"/>
          <w:color w:val="000000"/>
          <w:sz w:val="24"/>
          <w:szCs w:val="24"/>
          <w:u w:val="none"/>
          <w:effect w:val="none"/>
        </w:rPr>
        <w:t>Fica dispensada a apresentação de Balanço Patrimonial e demais documentos de Qualificação Econômico-Financeira, por tratar-se de contratação direta de pronto pagamento e baixo valor, nos termos da Instrução Normativa SEGES/MGI nº 65/2021.</w:t>
      </w:r>
    </w:p>
    <w:p>
      <w:pPr>
        <w:pStyle w:val="Nvel3Opcional1"/>
        <w:widowControl/>
        <w:suppressAutoHyphens w:val="true"/>
        <w:bidi w:val="0"/>
        <w:spacing w:lineRule="auto" w:line="276" w:before="120" w:after="120"/>
        <w:ind w:left="0" w:right="0" w:firstLine="510"/>
        <w:jc w:val="both"/>
        <w:rPr>
          <w:rFonts w:ascii="Carlito" w:hAnsi="Carlito"/>
          <w:color w:val="000000"/>
          <w:sz w:val="24"/>
          <w:szCs w:val="24"/>
        </w:rPr>
      </w:pPr>
      <w:r>
        <w:rPr/>
      </w:r>
    </w:p>
    <w:p>
      <w:pPr>
        <w:pStyle w:val="Ttulo3"/>
        <w:widowControl/>
        <w:numPr>
          <w:ilvl w:val="0"/>
          <w:numId w:val="0"/>
        </w:numPr>
        <w:shd w:val="clear" w:fill="FFFFFF"/>
        <w:suppressAutoHyphens w:val="true"/>
        <w:bidi w:val="0"/>
        <w:spacing w:lineRule="auto" w:line="276" w:before="0" w:after="0"/>
        <w:ind w:left="720" w:right="0" w:hanging="0"/>
        <w:jc w:val="both"/>
        <w:rPr>
          <w:rStyle w:val="Nfaseforte"/>
          <w:rFonts w:ascii="Carlito" w:hAnsi="Carlito"/>
          <w:color w:val="000000"/>
          <w:sz w:val="24"/>
          <w:szCs w:val="24"/>
        </w:rPr>
      </w:pPr>
      <w:r>
        <w:rPr>
          <w:rFonts w:ascii="Carlito" w:hAnsi="Carlito"/>
          <w:color w:val="000000"/>
          <w:sz w:val="24"/>
          <w:szCs w:val="24"/>
        </w:rPr>
      </w:r>
    </w:p>
    <w:p>
      <w:pPr>
        <w:pStyle w:val="Nvel1SemNumerao"/>
        <w:widowControl/>
        <w:numPr>
          <w:ilvl w:val="0"/>
          <w:numId w:val="0"/>
        </w:numPr>
        <w:shd w:val="clear" w:fill="FFFFFF"/>
        <w:suppressAutoHyphens w:val="true"/>
        <w:bidi w:val="0"/>
        <w:spacing w:lineRule="auto" w:line="276" w:before="0" w:after="0"/>
        <w:ind w:left="720" w:right="0" w:hanging="0"/>
        <w:jc w:val="both"/>
        <w:rPr/>
      </w:pPr>
      <w:bookmarkStart w:id="12" w:name="_Hlk171013756"/>
      <w:bookmarkEnd w:id="12"/>
      <w:r>
        <w:rPr>
          <w:rFonts w:ascii="Carlito" w:hAnsi="Carlito"/>
          <w:sz w:val="24"/>
          <w:szCs w:val="24"/>
        </w:rPr>
        <w:t>Qualificação Técnico-Operacional</w:t>
      </w:r>
    </w:p>
    <w:p>
      <w:pPr>
        <w:pStyle w:val="Nvel02"/>
        <w:widowControl/>
        <w:numPr>
          <w:ilvl w:val="1"/>
          <w:numId w:val="2"/>
        </w:numPr>
        <w:shd w:val="clear" w:fill="FFFFFF"/>
        <w:suppressAutoHyphens w:val="true"/>
        <w:bidi w:val="0"/>
        <w:spacing w:lineRule="auto" w:line="276" w:before="0" w:after="0"/>
        <w:ind w:left="0" w:right="0" w:firstLine="510"/>
        <w:jc w:val="both"/>
        <w:rPr/>
      </w:pPr>
      <w:r>
        <w:rPr>
          <w:rFonts w:ascii="Carlito" w:hAnsi="Carlito"/>
          <w:sz w:val="24"/>
          <w:szCs w:val="24"/>
        </w:rPr>
        <w:t>Comprovação de aptidão para execução de serviço similar, de complexidade tecnológica e operacional equivalente ou superior à do objeto desta contratação, ou do item pertinente, por meio da apresentação de certidões ou atestados emitidos por pessoas jurídicas de direito público ou privado, ou pelo conselho profissional competente, quando for o caso.</w:t>
      </w:r>
    </w:p>
    <w:p>
      <w:pPr>
        <w:pStyle w:val="Nivel3"/>
        <w:widowControl/>
        <w:numPr>
          <w:ilvl w:val="2"/>
          <w:numId w:val="2"/>
        </w:numPr>
        <w:suppressAutoHyphens w:val="true"/>
        <w:bidi w:val="0"/>
        <w:spacing w:lineRule="auto" w:line="276"/>
        <w:ind w:left="0" w:right="0" w:firstLine="1134"/>
        <w:jc w:val="both"/>
        <w:rPr>
          <w:rFonts w:ascii="Carlito" w:hAnsi="Carlito"/>
          <w:sz w:val="24"/>
          <w:szCs w:val="24"/>
        </w:rPr>
      </w:pPr>
      <w:r>
        <w:rPr>
          <w:rFonts w:ascii="Carlito" w:hAnsi="Carlito"/>
          <w:sz w:val="24"/>
          <w:szCs w:val="24"/>
        </w:rPr>
        <w:t>Para fins da comprovação de que trata este subitem, os atestados deverão dizer respeito a contrato(s) executado(s).</w:t>
      </w:r>
    </w:p>
    <w:p>
      <w:pPr>
        <w:pStyle w:val="Nivel3"/>
        <w:widowControl/>
        <w:numPr>
          <w:ilvl w:val="2"/>
          <w:numId w:val="2"/>
        </w:numPr>
        <w:suppressAutoHyphens w:val="true"/>
        <w:bidi w:val="0"/>
        <w:spacing w:lineRule="auto" w:line="276" w:before="6" w:after="6"/>
        <w:ind w:left="0" w:right="0" w:firstLine="1134"/>
        <w:jc w:val="both"/>
        <w:rPr>
          <w:rFonts w:ascii="Carlito" w:hAnsi="Carlito"/>
          <w:sz w:val="24"/>
          <w:szCs w:val="24"/>
        </w:rPr>
      </w:pPr>
      <w:r>
        <w:rPr>
          <w:rFonts w:ascii="Carlito" w:hAnsi="Carlito"/>
          <w:sz w:val="24"/>
          <w:szCs w:val="24"/>
        </w:rPr>
        <w:t>Os atestados de capacidade técnica poderão ser apresentados em nome da matriz ou da filial do fornecedor.</w:t>
      </w:r>
    </w:p>
    <w:p>
      <w:pPr>
        <w:pStyle w:val="Nivel3"/>
        <w:widowControl/>
        <w:numPr>
          <w:ilvl w:val="2"/>
          <w:numId w:val="2"/>
        </w:numPr>
        <w:suppressAutoHyphens w:val="true"/>
        <w:bidi w:val="0"/>
        <w:spacing w:lineRule="auto" w:line="276" w:before="120" w:after="120"/>
        <w:ind w:left="0" w:right="0" w:firstLine="1134"/>
        <w:jc w:val="both"/>
        <w:rPr>
          <w:rFonts w:ascii="Carlito" w:hAnsi="Carlito"/>
          <w:sz w:val="24"/>
          <w:szCs w:val="24"/>
        </w:rPr>
      </w:pPr>
      <w:r>
        <w:rPr>
          <w:rFonts w:ascii="Carlito" w:hAnsi="Carlito"/>
          <w:sz w:val="24"/>
          <w:szCs w:val="24"/>
        </w:rPr>
        <w:t>O fornecedor disponibilizará todas as informações necessárias à comprovação da legitimidade dos atestados, apresentando, quando solicitado pela Administração, cópia do contrato que deu suporte à contratação, endereço atual do Contratante e local em que foram prestados os serviços, entre outros documentos.</w:t>
      </w:r>
    </w:p>
    <w:p>
      <w:pPr>
        <w:pStyle w:val="Nivel3"/>
        <w:widowControl/>
        <w:numPr>
          <w:ilvl w:val="2"/>
          <w:numId w:val="2"/>
        </w:numPr>
        <w:suppressAutoHyphens w:val="true"/>
        <w:bidi w:val="0"/>
        <w:spacing w:lineRule="auto" w:line="276" w:before="120" w:after="120"/>
        <w:ind w:left="0" w:right="0" w:firstLine="1134"/>
        <w:jc w:val="both"/>
        <w:rPr>
          <w:rFonts w:ascii="Carlito" w:hAnsi="Carlito"/>
          <w:sz w:val="24"/>
          <w:szCs w:val="24"/>
        </w:rPr>
      </w:pPr>
      <w:r>
        <w:rPr>
          <w:rFonts w:ascii="Carlito" w:hAnsi="Carlito"/>
          <w:sz w:val="24"/>
          <w:szCs w:val="24"/>
        </w:rPr>
        <w:t>Os atestados deverão referir-se a serviços prestados no âmbito de sua atividade econômica principal ou secundária especificadas no contrato social vigente.</w:t>
      </w:r>
    </w:p>
    <w:p>
      <w:pPr>
        <w:pStyle w:val="Nvel02"/>
        <w:widowControl/>
        <w:numPr>
          <w:ilvl w:val="2"/>
          <w:numId w:val="2"/>
        </w:numPr>
        <w:shd w:val="clear" w:fill="FFFFFF"/>
        <w:suppressAutoHyphens w:val="true"/>
        <w:bidi w:val="0"/>
        <w:spacing w:lineRule="auto" w:line="276" w:before="0" w:after="0"/>
        <w:ind w:left="0" w:right="0" w:firstLine="1134"/>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Serão aceitos atestados ou outros documentos hábeis emitidos por entidades estrangeiras quando acompanhados de tradução para o português, salvo se comprovada a inidoneidade da entidade emissora.</w:t>
      </w:r>
    </w:p>
    <w:p>
      <w:pPr>
        <w:pStyle w:val="Nvel02"/>
        <w:widowControl/>
        <w:numPr>
          <w:ilvl w:val="2"/>
          <w:numId w:val="2"/>
        </w:numPr>
        <w:shd w:val="clear" w:fill="FFFFFF"/>
        <w:suppressAutoHyphens w:val="true"/>
        <w:overflowPunct w:val="true"/>
        <w:bidi w:val="0"/>
        <w:spacing w:lineRule="auto" w:line="276"/>
        <w:ind w:left="0" w:right="0" w:firstLine="1134"/>
        <w:jc w:val="both"/>
        <w:rPr>
          <w:rFonts w:ascii="Carlito" w:hAnsi="Carlito" w:eastAsia="Arial" w:cs="Arial"/>
          <w:i w:val="false"/>
          <w:i w:val="false"/>
          <w:iCs/>
          <w:color w:val="000000"/>
          <w:kern w:val="0"/>
          <w:sz w:val="24"/>
          <w:szCs w:val="24"/>
          <w:lang w:val="pt-BR" w:eastAsia="pt-BR" w:bidi="ar-SA"/>
        </w:rPr>
      </w:pPr>
      <w:r>
        <w:rPr>
          <w:rStyle w:val="Nfase"/>
          <w:rFonts w:eastAsia="Arial" w:cs="Arial" w:ascii="Carlito" w:hAnsi="Carlito"/>
          <w:b w:val="false"/>
          <w:i w:val="false"/>
          <w:iCs/>
          <w:strike w:val="false"/>
          <w:dstrike w:val="false"/>
          <w:color w:val="000000"/>
          <w:kern w:val="0"/>
          <w:sz w:val="24"/>
          <w:szCs w:val="24"/>
          <w:u w:val="none"/>
          <w:effect w:val="none"/>
          <w:lang w:val="pt-BR" w:eastAsia="pt-BR" w:bidi="ar-SA"/>
        </w:rPr>
        <w:t xml:space="preserve">A apresentação, pelo fornecedor, de </w:t>
      </w:r>
      <w:r>
        <w:rPr>
          <w:rFonts w:eastAsia="Arial" w:cs="Arial" w:ascii="Carlito" w:hAnsi="Carlito"/>
          <w:b w:val="false"/>
          <w:i w:val="false"/>
          <w:iCs/>
          <w:strike w:val="false"/>
          <w:dstrike w:val="false"/>
          <w:color w:val="000000"/>
          <w:kern w:val="0"/>
          <w:sz w:val="24"/>
          <w:szCs w:val="24"/>
          <w:u w:val="none"/>
          <w:effect w:val="none"/>
          <w:lang w:val="pt-BR" w:eastAsia="pt-BR" w:bidi="ar-SA"/>
        </w:rPr>
        <w:t>certidões</w:t>
      </w:r>
      <w:r>
        <w:rPr>
          <w:rStyle w:val="Nfase"/>
          <w:rFonts w:eastAsia="Arial" w:cs="Arial" w:ascii="Carlito" w:hAnsi="Carlito"/>
          <w:b w:val="false"/>
          <w:i w:val="false"/>
          <w:iCs/>
          <w:strike w:val="false"/>
          <w:dstrike w:val="false"/>
          <w:color w:val="000000"/>
          <w:kern w:val="0"/>
          <w:sz w:val="24"/>
          <w:szCs w:val="24"/>
          <w:u w:val="none"/>
          <w:effect w:val="none"/>
          <w:lang w:val="pt-BR" w:eastAsia="pt-BR" w:bidi="ar-SA"/>
        </w:rPr>
        <w:t xml:space="preserve"> ou atestados de desempenho anterior emitido em favor de consórcio do qual tenha feito parte será admitida, desde que atendidos os requisitos do art. 67, §§ 10 e 11, da Lei nº 14.133/2021 e regulamentos sobre o tema.</w:t>
      </w:r>
    </w:p>
    <w:p>
      <w:pPr>
        <w:pStyle w:val="Nivel4"/>
        <w:widowControl/>
        <w:numPr>
          <w:ilvl w:val="0"/>
          <w:numId w:val="0"/>
        </w:numPr>
        <w:suppressAutoHyphens w:val="true"/>
        <w:overflowPunct w:val="true"/>
        <w:bidi w:val="0"/>
        <w:spacing w:lineRule="auto" w:line="276"/>
        <w:ind w:left="2727" w:right="0" w:hanging="0"/>
        <w:jc w:val="both"/>
        <w:rPr>
          <w:rFonts w:ascii="Carlito" w:hAnsi="Carlito" w:eastAsia="ＭＳ 明朝" w:cs="Arial"/>
          <w:bCs/>
          <w:i w:val="false"/>
          <w:i w:val="false"/>
          <w:color w:val="auto"/>
          <w:kern w:val="0"/>
          <w:sz w:val="24"/>
          <w:szCs w:val="24"/>
          <w:lang w:val="pt-BR" w:eastAsia="pt-BR" w:bidi="ar-SA"/>
        </w:rPr>
      </w:pPr>
      <w:r>
        <w:rPr>
          <w:rFonts w:eastAsia="ＭＳ 明朝" w:cs="Arial" w:ascii="Carlito" w:hAnsi="Carlito"/>
          <w:bCs/>
          <w:i w:val="false"/>
          <w:color w:val="auto"/>
          <w:kern w:val="0"/>
          <w:sz w:val="24"/>
          <w:szCs w:val="24"/>
          <w:lang w:val="pt-BR" w:eastAsia="pt-BR" w:bidi="ar-SA"/>
        </w:rPr>
      </w:r>
    </w:p>
    <w:p>
      <w:pPr>
        <w:pStyle w:val="Nivel01"/>
        <w:widowControl/>
        <w:numPr>
          <w:ilvl w:val="0"/>
          <w:numId w:val="2"/>
        </w:numPr>
        <w:shd w:val="clear" w:fill="FFFFFF"/>
        <w:suppressAutoHyphens w:val="true"/>
        <w:bidi w:val="0"/>
        <w:spacing w:lineRule="auto" w:line="276" w:before="0" w:after="0"/>
        <w:ind w:left="357" w:right="0" w:hanging="35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ESTIMATIVAS DO VALOR DA CONTRATAÇÃO</w:t>
      </w:r>
    </w:p>
    <w:p>
      <w:pPr>
        <w:pStyle w:val="Nvel2Opcional1"/>
        <w:widowControl/>
        <w:numPr>
          <w:ilvl w:val="1"/>
          <w:numId w:val="2"/>
        </w:numPr>
        <w:shd w:val="clear" w:fill="FFFFFF"/>
        <w:suppressAutoHyphens w:val="true"/>
        <w:bidi w:val="0"/>
        <w:spacing w:lineRule="auto" w:line="276" w:before="0" w:after="0"/>
        <w:ind w:left="0" w:right="0" w:firstLine="567"/>
        <w:jc w:val="both"/>
        <w:rPr>
          <w:rFonts w:ascii="Carlito" w:hAnsi="Carlito"/>
          <w:sz w:val="24"/>
          <w:szCs w:val="24"/>
        </w:rPr>
      </w:pPr>
      <w:r>
        <w:rPr>
          <w:rFonts w:ascii="Carlito" w:hAnsi="Carlito"/>
          <w:i/>
          <w:color w:val="000000"/>
          <w:sz w:val="24"/>
          <w:szCs w:val="24"/>
        </w:rPr>
        <w:t>O custo estimado total da contratação é de</w:t>
      </w:r>
      <w:r>
        <w:rPr>
          <w:rFonts w:ascii="Carlito" w:hAnsi="Carlito"/>
          <w:i/>
          <w:color w:val="ED1C24"/>
          <w:sz w:val="24"/>
          <w:szCs w:val="24"/>
        </w:rPr>
        <w:t xml:space="preserve"> </w:t>
      </w:r>
      <w:r>
        <w:rPr>
          <w:rFonts w:eastAsia="SimSun;宋体" w:cs="Mangal;Courier" w:ascii="Carlito" w:hAnsi="Carlito"/>
          <w:b w:val="false"/>
          <w:bCs w:val="false"/>
          <w:i w:val="false"/>
          <w:iCs w:val="false"/>
          <w:color w:val="000000"/>
          <w:kern w:val="2"/>
          <w:sz w:val="24"/>
          <w:szCs w:val="24"/>
          <w:shd w:fill="auto" w:val="clear"/>
          <w:lang w:val="pt-BR" w:eastAsia="zh-CN" w:bidi="hi-IN"/>
        </w:rPr>
        <w:t xml:space="preserve">R$ </w:t>
      </w:r>
      <w:r>
        <w:rPr>
          <w:rFonts w:eastAsia="SimSun;宋体" w:cs="Mangal;Courier" w:ascii="Carlito" w:hAnsi="Carlito"/>
          <w:b w:val="false"/>
          <w:bCs w:val="false"/>
          <w:i w:val="false"/>
          <w:iCs w:val="false"/>
          <w:color w:val="000000"/>
          <w:kern w:val="2"/>
          <w:sz w:val="24"/>
          <w:szCs w:val="24"/>
          <w:shd w:fill="auto" w:val="clear"/>
          <w:lang w:val="pt-BR" w:eastAsia="zh-CN" w:bidi="hi-IN"/>
        </w:rPr>
        <w:t>10</w:t>
      </w:r>
      <w:r>
        <w:rPr>
          <w:rFonts w:eastAsia="SimSun;宋体" w:cs="Mangal;Courier" w:ascii="Carlito" w:hAnsi="Carlito"/>
          <w:b w:val="false"/>
          <w:bCs w:val="false"/>
          <w:i w:val="false"/>
          <w:iCs w:val="false"/>
          <w:color w:val="000000"/>
          <w:kern w:val="2"/>
          <w:sz w:val="24"/>
          <w:szCs w:val="24"/>
          <w:shd w:fill="auto" w:val="clear"/>
          <w:lang w:val="pt-BR" w:eastAsia="zh-CN" w:bidi="hi-IN"/>
        </w:rPr>
        <w:t>.000,00 (</w:t>
      </w:r>
      <w:r>
        <w:rPr>
          <w:rFonts w:eastAsia="SimSun;宋体" w:cs="Mangal;Courier" w:ascii="Carlito" w:hAnsi="Carlito"/>
          <w:b w:val="false"/>
          <w:bCs w:val="false"/>
          <w:i w:val="false"/>
          <w:iCs w:val="false"/>
          <w:color w:val="000000"/>
          <w:kern w:val="2"/>
          <w:sz w:val="24"/>
          <w:szCs w:val="24"/>
          <w:shd w:fill="auto" w:val="clear"/>
          <w:lang w:val="pt-BR" w:eastAsia="zh-CN" w:bidi="hi-IN"/>
        </w:rPr>
        <w:t>dez</w:t>
      </w:r>
      <w:r>
        <w:rPr>
          <w:rFonts w:eastAsia="SimSun;宋体" w:cs="Mangal;Courier" w:ascii="Carlito" w:hAnsi="Carlito"/>
          <w:b w:val="false"/>
          <w:bCs w:val="false"/>
          <w:i w:val="false"/>
          <w:iCs w:val="false"/>
          <w:color w:val="000000"/>
          <w:kern w:val="2"/>
          <w:sz w:val="24"/>
          <w:szCs w:val="24"/>
          <w:shd w:fill="auto" w:val="clear"/>
          <w:lang w:val="pt-BR" w:eastAsia="zh-CN" w:bidi="hi-IN"/>
        </w:rPr>
        <w:t xml:space="preserve"> mil reais)</w:t>
      </w:r>
      <w:r>
        <w:rPr>
          <w:rFonts w:ascii="Carlito" w:hAnsi="Carlito"/>
          <w:i/>
          <w:iCs/>
          <w:color w:val="000000"/>
          <w:sz w:val="24"/>
          <w:szCs w:val="24"/>
        </w:rPr>
        <w:t xml:space="preserve"> conforme custos unitários apostos na tabela acima</w:t>
      </w:r>
    </w:p>
    <w:p>
      <w:pPr>
        <w:pStyle w:val="Nvel2Opcional1"/>
        <w:numPr>
          <w:ilvl w:val="0"/>
          <w:numId w:val="0"/>
        </w:numPr>
        <w:shd w:val="clear" w:fill="FFFFFF"/>
        <w:spacing w:before="0" w:after="0"/>
        <w:ind w:left="1193" w:right="0" w:hanging="0"/>
        <w:jc w:val="both"/>
        <w:rPr>
          <w:rFonts w:ascii="Carlito" w:hAnsi="Carlito"/>
          <w:i/>
          <w:i/>
          <w:color w:val="000000"/>
          <w:sz w:val="24"/>
          <w:szCs w:val="24"/>
        </w:rPr>
      </w:pPr>
      <w:r>
        <w:rPr>
          <w:rFonts w:ascii="Carlito" w:hAnsi="Carlito"/>
          <w:i/>
          <w:color w:val="000000"/>
          <w:sz w:val="24"/>
          <w:szCs w:val="24"/>
        </w:rPr>
      </w:r>
    </w:p>
    <w:p>
      <w:pPr>
        <w:pStyle w:val="Nvel2Opcional1"/>
        <w:numPr>
          <w:ilvl w:val="0"/>
          <w:numId w:val="0"/>
        </w:numPr>
        <w:shd w:val="clear" w:fill="FFFFFF"/>
        <w:spacing w:before="0" w:after="0"/>
        <w:ind w:left="1193" w:right="0" w:hanging="0"/>
        <w:jc w:val="both"/>
        <w:rPr>
          <w:rFonts w:ascii="Carlito" w:hAnsi="Carlito"/>
          <w:i/>
          <w:i/>
          <w:color w:val="000000"/>
          <w:sz w:val="24"/>
          <w:szCs w:val="24"/>
        </w:rPr>
      </w:pPr>
      <w:r>
        <w:rPr>
          <w:rFonts w:ascii="Carlito" w:hAnsi="Carlito"/>
          <w:i/>
          <w:color w:val="000000"/>
          <w:sz w:val="24"/>
          <w:szCs w:val="24"/>
        </w:rPr>
      </w:r>
    </w:p>
    <w:p>
      <w:pPr>
        <w:pStyle w:val="Nivel01"/>
        <w:widowControl/>
        <w:numPr>
          <w:ilvl w:val="0"/>
          <w:numId w:val="2"/>
        </w:numPr>
        <w:shd w:val="clear" w:fill="FFFFFF"/>
        <w:suppressAutoHyphens w:val="true"/>
        <w:overflowPunct w:val="true"/>
        <w:bidi w:val="0"/>
        <w:spacing w:lineRule="auto" w:line="276"/>
        <w:ind w:left="0" w:right="0" w:hanging="0"/>
        <w:jc w:val="both"/>
        <w:rPr/>
      </w:pPr>
      <w:r>
        <w:rPr>
          <w:rFonts w:eastAsia="Arial" w:cs="Arial" w:ascii="Carlito" w:hAnsi="Carlito"/>
          <w:b/>
          <w:bCs/>
          <w:i w:val="false"/>
          <w:iCs w:val="false"/>
          <w:color w:val="000000"/>
          <w:kern w:val="0"/>
          <w:sz w:val="24"/>
          <w:szCs w:val="24"/>
          <w:lang w:val="pt-BR" w:eastAsia="pt-BR" w:bidi="ar-SA"/>
        </w:rPr>
        <w:t>ADEQUAÇÃO ORÇAMENTÁRIA</w:t>
      </w:r>
    </w:p>
    <w:p>
      <w:pPr>
        <w:pStyle w:val="Normal"/>
        <w:widowControl/>
        <w:numPr>
          <w:ilvl w:val="0"/>
          <w:numId w:val="0"/>
        </w:numPr>
        <w:suppressAutoHyphens w:val="true"/>
        <w:bidi w:val="0"/>
        <w:spacing w:lineRule="auto" w:line="276" w:before="0" w:after="0"/>
        <w:ind w:left="0" w:right="0" w:firstLine="567"/>
        <w:jc w:val="both"/>
        <w:outlineLvl w:val="0"/>
        <w:rPr/>
      </w:pPr>
      <w:r>
        <w:rPr>
          <w:rFonts w:eastAsia="Arial" w:cs="Arial" w:ascii="Carlito" w:hAnsi="Carlito"/>
          <w:b/>
          <w:bCs/>
          <w:i w:val="false"/>
          <w:iCs w:val="false"/>
          <w:color w:val="000000"/>
          <w:kern w:val="0"/>
          <w:sz w:val="24"/>
          <w:szCs w:val="24"/>
          <w:lang w:val="pt-BR" w:eastAsia="pt-BR" w:bidi="ar-SA"/>
        </w:rPr>
        <w:t xml:space="preserve">11.1 </w:t>
      </w:r>
      <w:r>
        <w:rPr>
          <w:rFonts w:eastAsia="Arial" w:cs="Arial" w:ascii="Carlito" w:hAnsi="Carlito"/>
          <w:i w:val="false"/>
          <w:iCs w:val="false"/>
          <w:color w:val="000000"/>
          <w:kern w:val="0"/>
          <w:sz w:val="24"/>
          <w:szCs w:val="24"/>
          <w:lang w:val="pt-BR" w:eastAsia="pt-BR" w:bidi="ar-SA"/>
        </w:rPr>
        <w:t>As despesas decorrentes da presente contratação correrão à conta de recursos específicos consignados no Orçamento Geral da União.</w:t>
      </w:r>
    </w:p>
    <w:p>
      <w:pPr>
        <w:pStyle w:val="Nivel01"/>
        <w:widowControl/>
        <w:shd w:val="clear" w:fill="FFFFFF"/>
        <w:suppressAutoHyphens w:val="true"/>
        <w:overflowPunct w:val="true"/>
        <w:bidi w:val="0"/>
        <w:spacing w:lineRule="auto" w:line="276"/>
        <w:ind w:left="1077" w:right="0" w:hanging="454"/>
        <w:jc w:val="both"/>
        <w:rPr>
          <w:color w:val="000000"/>
        </w:rPr>
      </w:pPr>
      <w:r>
        <w:rPr>
          <w:color w:val="000000"/>
        </w:rPr>
      </w:r>
    </w:p>
    <w:p>
      <w:pPr>
        <w:pStyle w:val="Nvel2Opcional1"/>
        <w:widowControl/>
        <w:numPr>
          <w:ilvl w:val="0"/>
          <w:numId w:val="0"/>
        </w:numPr>
        <w:shd w:val="clear" w:fill="FFFFFF"/>
        <w:tabs>
          <w:tab w:val="left" w:pos="630" w:leader="none"/>
          <w:tab w:val="left" w:pos="735" w:leader="none"/>
        </w:tabs>
        <w:suppressAutoHyphens w:val="true"/>
        <w:overflowPunct w:val="true"/>
        <w:bidi w:val="0"/>
        <w:spacing w:lineRule="auto" w:line="276" w:before="63" w:after="63"/>
        <w:ind w:left="0" w:right="0" w:hanging="0"/>
        <w:jc w:val="both"/>
        <w:rPr>
          <w:rFonts w:ascii="Carlito" w:hAnsi="Carlito"/>
          <w:color w:val="000000"/>
          <w:sz w:val="24"/>
          <w:szCs w:val="24"/>
        </w:rPr>
      </w:pPr>
      <w:r>
        <w:rPr>
          <w:rFonts w:ascii="Carlito" w:hAnsi="Carlito"/>
          <w:color w:val="000000"/>
          <w:sz w:val="24"/>
          <w:szCs w:val="24"/>
        </w:rPr>
        <w:t xml:space="preserve"> </w:t>
      </w:r>
      <w:r>
        <w:rPr>
          <w:rFonts w:ascii="Carlito" w:hAnsi="Carlito"/>
          <w:color w:val="000000"/>
          <w:sz w:val="24"/>
          <w:szCs w:val="24"/>
        </w:rPr>
        <w:tab/>
      </w:r>
      <w:r>
        <w:rPr>
          <w:rFonts w:ascii="Carlito" w:hAnsi="Carlito"/>
          <w:b/>
          <w:bCs/>
          <w:color w:val="000000"/>
          <w:sz w:val="24"/>
          <w:szCs w:val="24"/>
        </w:rPr>
        <w:t>11.3.</w:t>
      </w:r>
      <w:r>
        <w:rPr>
          <w:rFonts w:ascii="Carlito" w:hAnsi="Carlito"/>
          <w:color w:val="000000"/>
          <w:sz w:val="24"/>
          <w:szCs w:val="24"/>
        </w:rPr>
        <w:t xml:space="preserve">  A dotação relativa aos exercícios financeiros subsequentes será indicada após aprovação da Lei Orçamentária respectiva e liberação dos créditos correspondentes, mediante apostilamento.</w:t>
      </w:r>
    </w:p>
    <w:p>
      <w:pPr>
        <w:pStyle w:val="Nvel2Opcional1"/>
        <w:numPr>
          <w:ilvl w:val="0"/>
          <w:numId w:val="0"/>
        </w:numPr>
        <w:shd w:val="clear" w:fill="FFFFFF"/>
        <w:ind w:left="1913" w:right="0" w:hanging="0"/>
        <w:jc w:val="both"/>
        <w:rPr>
          <w:rFonts w:ascii="Carlito" w:hAnsi="Carlito"/>
          <w:sz w:val="24"/>
          <w:szCs w:val="24"/>
          <w:highlight w:val="cyan"/>
        </w:rPr>
      </w:pPr>
      <w:r>
        <w:rPr>
          <w:rFonts w:ascii="Carlito" w:hAnsi="Carlito"/>
          <w:sz w:val="24"/>
          <w:szCs w:val="24"/>
          <w:highlight w:val="cyan"/>
        </w:rPr>
      </w:r>
    </w:p>
    <w:p>
      <w:pPr>
        <w:pStyle w:val="Nivel01"/>
        <w:widowControl/>
        <w:numPr>
          <w:ilvl w:val="0"/>
          <w:numId w:val="2"/>
        </w:numPr>
        <w:shd w:val="clear" w:fill="FFFFFF"/>
        <w:bidi w:val="0"/>
        <w:spacing w:lineRule="auto" w:line="276"/>
        <w:ind w:left="360" w:right="0" w:hanging="0"/>
        <w:jc w:val="both"/>
        <w:rPr>
          <w:rFonts w:ascii="Carlito" w:hAnsi="Carlito"/>
          <w:sz w:val="24"/>
          <w:szCs w:val="24"/>
        </w:rPr>
      </w:pPr>
      <w:r>
        <w:rPr>
          <w:rFonts w:ascii="Carlito" w:hAnsi="Carlito"/>
          <w:sz w:val="24"/>
          <w:szCs w:val="24"/>
        </w:rPr>
        <w:t>DISPOSIÇÕES FINAIS</w:t>
      </w:r>
    </w:p>
    <w:p>
      <w:pPr>
        <w:pStyle w:val="Nvel02"/>
        <w:widowControl/>
        <w:numPr>
          <w:ilvl w:val="1"/>
          <w:numId w:val="2"/>
        </w:numPr>
        <w:shd w:val="clear" w:fill="FFFFFF"/>
        <w:suppressAutoHyphens w:val="true"/>
        <w:bidi w:val="0"/>
        <w:spacing w:lineRule="auto" w:line="276" w:before="0" w:after="0"/>
        <w:ind w:left="0" w:right="0" w:firstLine="567"/>
        <w:jc w:val="both"/>
        <w:rPr/>
      </w:pPr>
      <w:r>
        <w:rPr>
          <w:rFonts w:ascii="Carlito" w:hAnsi="Carlito"/>
          <w:sz w:val="24"/>
          <w:szCs w:val="24"/>
        </w:rPr>
        <w:t>As informações contidas neste Termo de Referência não são classificadas como sigilosas .</w:t>
      </w:r>
    </w:p>
    <w:p>
      <w:pPr>
        <w:pStyle w:val="Nvel02"/>
        <w:numPr>
          <w:ilvl w:val="0"/>
          <w:numId w:val="0"/>
        </w:numPr>
        <w:shd w:val="clear" w:fill="FFFFFF"/>
        <w:ind w:left="1913" w:right="0" w:hanging="0"/>
        <w:jc w:val="both"/>
        <w:rPr>
          <w:rFonts w:ascii="Carlito" w:hAnsi="Carlito"/>
          <w:sz w:val="24"/>
          <w:szCs w:val="24"/>
        </w:rPr>
      </w:pPr>
      <w:r>
        <w:rPr>
          <w:rFonts w:ascii="Carlito" w:hAnsi="Carlito"/>
          <w:sz w:val="24"/>
          <w:szCs w:val="24"/>
        </w:rPr>
      </w:r>
    </w:p>
    <w:p>
      <w:pPr>
        <w:pStyle w:val="Normal"/>
        <w:ind w:left="709" w:right="0" w:hanging="0"/>
        <w:jc w:val="both"/>
        <w:rPr/>
      </w:pPr>
      <w:r>
        <w:rPr>
          <w:rFonts w:ascii="Carlito" w:hAnsi="Carlito"/>
          <w:b w:val="false"/>
          <w:bCs w:val="false"/>
          <w:i w:val="false"/>
          <w:iCs w:val="false"/>
          <w:sz w:val="24"/>
          <w:szCs w:val="24"/>
        </w:rPr>
        <w:t xml:space="preserve">Rio de Janeiro, RJ,       de </w:t>
      </w:r>
      <w:r>
        <w:rPr>
          <w:rStyle w:val="Fontepargpadro"/>
          <w:rFonts w:ascii="Carlito" w:hAnsi="Carlito"/>
          <w:b w:val="false"/>
          <w:bCs w:val="false"/>
          <w:i w:val="false"/>
          <w:iCs w:val="false"/>
          <w:sz w:val="24"/>
          <w:szCs w:val="24"/>
        </w:rPr>
        <w:t xml:space="preserve">outubro </w:t>
      </w:r>
      <w:r>
        <w:rPr>
          <w:rFonts w:ascii="Carlito" w:hAnsi="Carlito"/>
          <w:b w:val="false"/>
          <w:bCs w:val="false"/>
          <w:i w:val="false"/>
          <w:iCs w:val="false"/>
          <w:sz w:val="24"/>
          <w:szCs w:val="24"/>
        </w:rPr>
        <w:t>de 2026.</w:t>
      </w:r>
    </w:p>
    <w:p>
      <w:pPr>
        <w:pStyle w:val="Normal"/>
        <w:ind w:left="357" w:right="0" w:hanging="0"/>
        <w:jc w:val="center"/>
        <w:rPr>
          <w:rFonts w:ascii="Carlito" w:hAnsi="Carlito" w:eastAsia="Arial" w:cs="Arial"/>
          <w:i w:val="false"/>
          <w:i w:val="false"/>
          <w:iCs w:val="false"/>
          <w:sz w:val="24"/>
          <w:szCs w:val="24"/>
        </w:rPr>
      </w:pPr>
      <w:r>
        <w:rPr>
          <w:rFonts w:eastAsia="Arial" w:cs="Arial" w:ascii="Carlito" w:hAnsi="Carlito"/>
          <w:i w:val="false"/>
          <w:iCs w:val="false"/>
          <w:sz w:val="24"/>
          <w:szCs w:val="24"/>
        </w:rPr>
      </w:r>
    </w:p>
    <w:p>
      <w:pPr>
        <w:pStyle w:val="Normal"/>
        <w:ind w:left="357" w:right="0" w:hanging="0"/>
        <w:jc w:val="center"/>
        <w:rPr>
          <w:rFonts w:ascii="Carlito" w:hAnsi="Carlito" w:eastAsia="Arial" w:cs="Arial"/>
          <w:i w:val="false"/>
          <w:i w:val="false"/>
          <w:iCs w:val="false"/>
          <w:sz w:val="24"/>
          <w:szCs w:val="24"/>
        </w:rPr>
      </w:pPr>
      <w:r>
        <w:rPr>
          <w:rFonts w:eastAsia="Arial" w:cs="Arial" w:ascii="Carlito" w:hAnsi="Carlito"/>
          <w:i w:val="false"/>
          <w:iCs w:val="false"/>
          <w:sz w:val="24"/>
          <w:szCs w:val="24"/>
        </w:rPr>
      </w:r>
    </w:p>
    <w:p>
      <w:pPr>
        <w:pStyle w:val="Normal"/>
        <w:ind w:left="357" w:right="0" w:hanging="0"/>
        <w:jc w:val="center"/>
        <w:rPr>
          <w:rFonts w:ascii="Carlito" w:hAnsi="Carlito" w:eastAsia="Arial" w:cs="Arial"/>
          <w:i w:val="false"/>
          <w:i w:val="false"/>
          <w:iCs w:val="false"/>
          <w:sz w:val="24"/>
          <w:szCs w:val="24"/>
        </w:rPr>
      </w:pPr>
      <w:r>
        <w:rPr>
          <w:rFonts w:eastAsia="Arial" w:cs="Arial" w:ascii="Carlito" w:hAnsi="Carlito"/>
          <w:i w:val="false"/>
          <w:iCs w:val="false"/>
          <w:sz w:val="24"/>
          <w:szCs w:val="24"/>
        </w:rPr>
        <w:t xml:space="preserve">  </w:t>
      </w:r>
    </w:p>
    <w:p>
      <w:pPr>
        <w:pStyle w:val="Normal"/>
        <w:ind w:left="357" w:right="0" w:hanging="0"/>
        <w:jc w:val="center"/>
        <w:rPr>
          <w:rFonts w:ascii="Carlito" w:hAnsi="Carlito" w:eastAsia="Arial" w:cs="Arial"/>
          <w:i w:val="false"/>
          <w:i w:val="false"/>
          <w:iCs w:val="false"/>
          <w:sz w:val="24"/>
          <w:szCs w:val="24"/>
        </w:rPr>
      </w:pPr>
      <w:r>
        <w:rPr>
          <w:rFonts w:eastAsia="Arial" w:cs="Arial" w:ascii="Carlito" w:hAnsi="Carlito"/>
          <w:i w:val="false"/>
          <w:iCs w:val="false"/>
          <w:sz w:val="24"/>
          <w:szCs w:val="24"/>
        </w:rPr>
      </w:r>
    </w:p>
    <w:p>
      <w:pPr>
        <w:pStyle w:val="Normal"/>
        <w:ind w:left="357" w:right="0" w:hanging="0"/>
        <w:jc w:val="center"/>
        <w:rPr>
          <w:rFonts w:ascii="Carlito" w:hAnsi="Carlito" w:eastAsia="Arial" w:cs="Arial"/>
          <w:i w:val="false"/>
          <w:i w:val="false"/>
          <w:iCs w:val="false"/>
          <w:sz w:val="24"/>
          <w:szCs w:val="24"/>
        </w:rPr>
      </w:pPr>
      <w:r>
        <w:rPr>
          <w:rFonts w:eastAsia="Arial" w:cs="Arial" w:ascii="Carlito" w:hAnsi="Carlito"/>
          <w:i w:val="false"/>
          <w:iCs w:val="false"/>
          <w:sz w:val="24"/>
          <w:szCs w:val="24"/>
        </w:rPr>
      </w:r>
    </w:p>
    <w:p>
      <w:pPr>
        <w:pStyle w:val="Normal"/>
        <w:spacing w:before="0" w:after="0"/>
        <w:ind w:left="357" w:right="0" w:hanging="0"/>
        <w:jc w:val="center"/>
        <w:rPr>
          <w:rFonts w:ascii="Carlito" w:hAnsi="Carlito" w:eastAsia="Arial" w:cs="Arial"/>
          <w:i w:val="false"/>
          <w:i w:val="false"/>
          <w:iCs w:val="false"/>
          <w:sz w:val="24"/>
          <w:szCs w:val="24"/>
        </w:rPr>
      </w:pPr>
      <w:r>
        <w:rPr>
          <w:rFonts w:eastAsia="Arial" w:cs="Arial" w:ascii="Carlito" w:hAnsi="Carlito"/>
          <w:i w:val="false"/>
          <w:iCs w:val="false"/>
          <w:sz w:val="24"/>
          <w:szCs w:val="24"/>
        </w:rPr>
        <w:t>______________________________________________</w:t>
      </w:r>
    </w:p>
    <w:p>
      <w:pPr>
        <w:pStyle w:val="Normal"/>
        <w:spacing w:before="0" w:after="0"/>
        <w:ind w:left="357" w:right="0" w:hanging="0"/>
        <w:jc w:val="center"/>
        <w:rPr>
          <w:rFonts w:ascii="Carlito" w:hAnsi="Carlito"/>
          <w:sz w:val="24"/>
          <w:szCs w:val="24"/>
        </w:rPr>
      </w:pPr>
      <w:r>
        <w:rPr>
          <w:rFonts w:eastAsia="Arial" w:cs="Arial" w:ascii="Carlito" w:hAnsi="Carlito"/>
          <w:i w:val="false"/>
          <w:iCs w:val="false"/>
          <w:sz w:val="24"/>
          <w:szCs w:val="24"/>
        </w:rPr>
        <w:br/>
      </w:r>
      <w:r>
        <w:rPr>
          <w:rFonts w:eastAsia="Times New Roman" w:cs="Times New Roman" w:ascii="Calibri" w:hAnsi="Calibri"/>
          <w:b w:val="false"/>
          <w:bCs w:val="false"/>
          <w:i w:val="false"/>
          <w:iCs/>
          <w:color w:val="000000"/>
          <w:kern w:val="2"/>
          <w:sz w:val="24"/>
          <w:szCs w:val="24"/>
          <w:shd w:fill="FFFFFF" w:val="clear"/>
          <w:lang w:val="pt-BR" w:eastAsia="zh-CN" w:bidi="ar-SA"/>
        </w:rPr>
        <w:t>SABRINA RODRIGUES PACHECO</w:t>
      </w:r>
    </w:p>
    <w:p>
      <w:pPr>
        <w:pStyle w:val="Normal"/>
        <w:widowControl/>
        <w:suppressAutoHyphens w:val="true"/>
        <w:overflowPunct w:val="false"/>
        <w:bidi w:val="0"/>
        <w:ind w:left="0" w:right="0" w:hanging="0"/>
        <w:jc w:val="center"/>
        <w:rPr>
          <w:rFonts w:ascii="Calibri" w:hAnsi="Calibri" w:eastAsia="Times New Roman" w:cs="Times New Roman"/>
          <w:b w:val="false"/>
          <w:b w:val="false"/>
          <w:bCs w:val="false"/>
          <w:iCs/>
          <w:color w:val="auto"/>
          <w:kern w:val="2"/>
          <w:sz w:val="24"/>
          <w:szCs w:val="24"/>
          <w:shd w:fill="FFFFFF" w:val="clear"/>
          <w:lang w:val="pt-BR" w:eastAsia="zh-CN" w:bidi="ar-SA"/>
        </w:rPr>
      </w:pPr>
      <w:r>
        <w:rPr>
          <w:rFonts w:eastAsia="Times New Roman" w:cs="Times New Roman" w:ascii="Calibri" w:hAnsi="Calibri"/>
          <w:b w:val="false"/>
          <w:bCs w:val="false"/>
          <w:iCs/>
          <w:color w:val="000000"/>
          <w:kern w:val="2"/>
          <w:sz w:val="24"/>
          <w:szCs w:val="24"/>
          <w:shd w:fill="FFFFFF" w:val="clear"/>
          <w:lang w:val="pt-BR" w:eastAsia="zh-CN" w:bidi="ar-SA"/>
        </w:rPr>
        <w:t>Guarda-Marinha (RM2-T)</w:t>
      </w:r>
    </w:p>
    <w:p>
      <w:pPr>
        <w:pStyle w:val="Normal"/>
        <w:spacing w:before="0" w:after="0"/>
        <w:ind w:left="357" w:right="0" w:hanging="0"/>
        <w:jc w:val="center"/>
        <w:rPr>
          <w:rFonts w:ascii="Carlito" w:hAnsi="Carlito"/>
          <w:sz w:val="24"/>
          <w:szCs w:val="24"/>
        </w:rPr>
      </w:pPr>
      <w:r>
        <w:rPr>
          <w:rStyle w:val="Fontepargpadro"/>
          <w:rFonts w:eastAsia="Times New Roman" w:cs="Times New Roman" w:ascii="Calibri" w:hAnsi="Calibri"/>
          <w:b w:val="false"/>
          <w:bCs w:val="false"/>
          <w:i w:val="false"/>
          <w:iCs/>
          <w:color w:val="000000"/>
          <w:kern w:val="2"/>
          <w:sz w:val="24"/>
          <w:szCs w:val="24"/>
          <w:highlight w:val="white"/>
          <w:u w:val="none"/>
          <w:shd w:fill="FFFFFF" w:val="clear"/>
          <w:lang w:val="pt-BR" w:eastAsia="zh-CN" w:bidi="ar-SA"/>
        </w:rPr>
        <w:t>Encarregada da Seção de Municiamento</w:t>
      </w:r>
    </w:p>
    <w:p>
      <w:pPr>
        <w:pStyle w:val="Normal"/>
        <w:shd w:val="clear" w:fill="FFFFFF"/>
        <w:spacing w:before="0" w:after="0"/>
        <w:ind w:left="0" w:right="0" w:hanging="0"/>
        <w:jc w:val="center"/>
        <w:rPr>
          <w:rStyle w:val="Fontepargpadro"/>
          <w:rFonts w:ascii="Carlito" w:hAnsi="Carlito"/>
          <w:sz w:val="24"/>
          <w:szCs w:val="24"/>
        </w:rPr>
      </w:pPr>
      <w:r>
        <w:rPr>
          <w:rFonts w:ascii="Carlito" w:hAnsi="Carlito"/>
          <w:sz w:val="24"/>
          <w:szCs w:val="24"/>
        </w:rPr>
      </w:r>
    </w:p>
    <w:p>
      <w:pPr>
        <w:pStyle w:val="Normal"/>
        <w:shd w:val="clear" w:fill="FFFFFF"/>
        <w:spacing w:before="0" w:after="0"/>
        <w:ind w:left="0" w:right="0" w:hanging="0"/>
        <w:jc w:val="center"/>
        <w:rPr>
          <w:rStyle w:val="Fontepargpadro"/>
          <w:rFonts w:ascii="Carlito" w:hAnsi="Carlito"/>
          <w:sz w:val="24"/>
          <w:szCs w:val="24"/>
        </w:rPr>
      </w:pPr>
      <w:r>
        <w:rPr>
          <w:rFonts w:ascii="Carlito" w:hAnsi="Carlito"/>
          <w:sz w:val="24"/>
          <w:szCs w:val="24"/>
        </w:rPr>
      </w:r>
    </w:p>
    <w:p>
      <w:pPr>
        <w:pStyle w:val="Normal"/>
        <w:shd w:val="clear" w:fill="FFFFFF"/>
        <w:spacing w:before="0" w:after="0"/>
        <w:ind w:left="709" w:right="0" w:hanging="0"/>
        <w:jc w:val="both"/>
        <w:rPr>
          <w:rStyle w:val="Fontepargpadro"/>
          <w:rFonts w:ascii="Carlito" w:hAnsi="Carlito"/>
          <w:sz w:val="24"/>
          <w:szCs w:val="24"/>
        </w:rPr>
      </w:pPr>
      <w:r>
        <w:rPr>
          <w:rStyle w:val="Fontepargpadro"/>
          <w:rFonts w:ascii="Carlito" w:hAnsi="Carlito"/>
          <w:b w:val="false"/>
          <w:bCs w:val="false"/>
          <w:i w:val="false"/>
          <w:iCs w:val="false"/>
          <w:sz w:val="24"/>
          <w:szCs w:val="24"/>
        </w:rPr>
        <w:t>Rio de Janeiro, RJ,        de outubro de 2026.</w:t>
      </w:r>
    </w:p>
    <w:p>
      <w:pPr>
        <w:pStyle w:val="Normal"/>
        <w:shd w:val="clear" w:fill="FFFFFF"/>
        <w:spacing w:before="0" w:after="0"/>
        <w:ind w:left="0" w:right="0" w:hanging="0"/>
        <w:jc w:val="center"/>
        <w:rPr>
          <w:rStyle w:val="Fontepargpadro"/>
          <w:rFonts w:ascii="Carlito" w:hAnsi="Carlito"/>
          <w:sz w:val="24"/>
          <w:szCs w:val="24"/>
        </w:rPr>
      </w:pPr>
      <w:r>
        <w:rPr>
          <w:rFonts w:ascii="Carlito" w:hAnsi="Carlito"/>
          <w:sz w:val="24"/>
          <w:szCs w:val="24"/>
        </w:rPr>
      </w:r>
    </w:p>
    <w:p>
      <w:pPr>
        <w:pStyle w:val="Normal"/>
        <w:shd w:val="clear" w:fill="FFFFFF"/>
        <w:spacing w:before="0" w:after="0"/>
        <w:ind w:left="0" w:right="0" w:hanging="0"/>
        <w:jc w:val="center"/>
        <w:rPr>
          <w:rStyle w:val="Fontepargpadro"/>
          <w:rFonts w:ascii="Carlito" w:hAnsi="Carlito"/>
          <w:sz w:val="24"/>
          <w:szCs w:val="24"/>
        </w:rPr>
      </w:pPr>
      <w:r>
        <w:rPr>
          <w:rFonts w:ascii="Carlito" w:hAnsi="Carlito"/>
          <w:sz w:val="24"/>
          <w:szCs w:val="24"/>
        </w:rPr>
      </w:r>
    </w:p>
    <w:p>
      <w:pPr>
        <w:pStyle w:val="Normal"/>
        <w:shd w:val="clear" w:fill="FFFFFF"/>
        <w:spacing w:before="0" w:after="0"/>
        <w:ind w:left="0" w:right="0" w:hanging="0"/>
        <w:jc w:val="center"/>
        <w:rPr>
          <w:rStyle w:val="Fontepargpadro"/>
          <w:rFonts w:ascii="Carlito" w:hAnsi="Carlito"/>
          <w:sz w:val="24"/>
          <w:szCs w:val="24"/>
        </w:rPr>
      </w:pPr>
      <w:r>
        <w:rPr>
          <w:rFonts w:ascii="Carlito" w:hAnsi="Carlito"/>
          <w:sz w:val="24"/>
          <w:szCs w:val="24"/>
        </w:rPr>
      </w:r>
    </w:p>
    <w:p>
      <w:pPr>
        <w:pStyle w:val="Normal"/>
        <w:shd w:val="clear" w:fill="FFFFFF"/>
        <w:spacing w:before="0" w:after="0"/>
        <w:ind w:left="0" w:right="0" w:hanging="0"/>
        <w:jc w:val="center"/>
        <w:rPr>
          <w:rStyle w:val="Fontepargpadro"/>
          <w:rFonts w:ascii="Carlito" w:hAnsi="Carlito"/>
          <w:sz w:val="24"/>
          <w:szCs w:val="24"/>
        </w:rPr>
      </w:pPr>
      <w:r>
        <w:rPr>
          <w:rFonts w:ascii="Carlito" w:hAnsi="Carlito"/>
          <w:sz w:val="24"/>
          <w:szCs w:val="24"/>
        </w:rPr>
      </w:r>
    </w:p>
    <w:p>
      <w:pPr>
        <w:pStyle w:val="Normal"/>
        <w:spacing w:before="0" w:after="0"/>
        <w:ind w:left="357" w:right="0" w:hanging="0"/>
        <w:jc w:val="center"/>
        <w:rPr>
          <w:rFonts w:ascii="Carlito" w:hAnsi="Carlito" w:eastAsia="Arial" w:cs="Arial"/>
          <w:i w:val="false"/>
          <w:i w:val="false"/>
          <w:iCs w:val="false"/>
          <w:sz w:val="24"/>
          <w:szCs w:val="24"/>
        </w:rPr>
      </w:pPr>
      <w:r>
        <w:rPr>
          <w:rFonts w:eastAsia="Arial" w:cs="Arial" w:ascii="Carlito" w:hAnsi="Carlito"/>
          <w:i w:val="false"/>
          <w:iCs w:val="false"/>
          <w:sz w:val="24"/>
          <w:szCs w:val="24"/>
        </w:rPr>
        <w:t>______________________________________________</w:t>
      </w:r>
    </w:p>
    <w:p>
      <w:pPr>
        <w:pStyle w:val="Normal"/>
        <w:spacing w:before="0" w:after="0"/>
        <w:ind w:left="357" w:right="0" w:hanging="0"/>
        <w:jc w:val="center"/>
        <w:rPr/>
      </w:pPr>
      <w:r>
        <w:rPr>
          <w:rFonts w:eastAsia="Arial" w:cs="Arial" w:ascii="Carlito" w:hAnsi="Carlito"/>
          <w:i w:val="false"/>
          <w:iCs w:val="false"/>
          <w:sz w:val="24"/>
          <w:szCs w:val="24"/>
        </w:rPr>
        <w:br/>
      </w:r>
      <w:r>
        <w:rPr>
          <w:rFonts w:eastAsia="Times New Roman" w:cs="Times New Roman" w:ascii="Calibri" w:hAnsi="Calibri"/>
          <w:b w:val="false"/>
          <w:i w:val="false"/>
          <w:iCs w:val="false"/>
          <w:color w:val="auto"/>
          <w:kern w:val="2"/>
          <w:sz w:val="24"/>
          <w:szCs w:val="24"/>
          <w:lang w:val="pt-BR" w:eastAsia="zh-CN" w:bidi="ar-SA"/>
        </w:rPr>
        <w:t>HÉLIO CANCIAN NETO</w:t>
      </w:r>
    </w:p>
    <w:p>
      <w:pPr>
        <w:pStyle w:val="Normal"/>
        <w:widowControl/>
        <w:suppressAutoHyphens w:val="true"/>
        <w:overflowPunct w:val="false"/>
        <w:bidi w:val="0"/>
        <w:ind w:left="0" w:right="0" w:hanging="0"/>
        <w:jc w:val="center"/>
        <w:rPr>
          <w:rFonts w:ascii="Calibri" w:hAnsi="Calibri" w:eastAsia="Times New Roman" w:cs="Times New Roman"/>
          <w:b w:val="false"/>
          <w:b w:val="false"/>
          <w:color w:val="auto"/>
          <w:kern w:val="2"/>
          <w:sz w:val="24"/>
          <w:szCs w:val="24"/>
          <w:lang w:val="pt-BR" w:eastAsia="zh-CN" w:bidi="ar-SA"/>
        </w:rPr>
      </w:pPr>
      <w:r>
        <w:rPr>
          <w:rFonts w:eastAsia="Times New Roman" w:cs="Times New Roman" w:ascii="Calibri" w:hAnsi="Calibri"/>
          <w:b w:val="false"/>
          <w:color w:val="auto"/>
          <w:kern w:val="2"/>
          <w:sz w:val="24"/>
          <w:szCs w:val="24"/>
          <w:lang w:val="pt-BR" w:eastAsia="zh-CN" w:bidi="ar-SA"/>
        </w:rPr>
        <w:t xml:space="preserve">     </w:t>
      </w:r>
      <w:r>
        <w:rPr>
          <w:rFonts w:eastAsia="Times New Roman" w:cs="Times New Roman" w:ascii="Calibri" w:hAnsi="Calibri"/>
          <w:b w:val="false"/>
          <w:color w:val="auto"/>
          <w:kern w:val="2"/>
          <w:sz w:val="24"/>
          <w:szCs w:val="24"/>
          <w:lang w:val="pt-BR" w:eastAsia="zh-CN" w:bidi="ar-SA"/>
        </w:rPr>
        <w:t xml:space="preserve">Capitão de Fragata </w:t>
      </w:r>
    </w:p>
    <w:p>
      <w:pPr>
        <w:pStyle w:val="Normal"/>
        <w:spacing w:before="0" w:after="0"/>
        <w:ind w:left="357" w:right="0" w:hanging="0"/>
        <w:jc w:val="center"/>
        <w:rPr/>
      </w:pPr>
      <w:r>
        <w:rPr>
          <w:rStyle w:val="Fontepargpadro"/>
          <w:rFonts w:eastAsia="Times New Roman" w:cs="Times New Roman" w:ascii="Calibri" w:hAnsi="Calibri"/>
          <w:b w:val="false"/>
          <w:bCs w:val="false"/>
          <w:i w:val="false"/>
          <w:iCs w:val="false"/>
          <w:color w:val="auto"/>
          <w:kern w:val="2"/>
          <w:sz w:val="24"/>
          <w:szCs w:val="24"/>
          <w:lang w:val="pt-BR" w:eastAsia="zh-CN" w:bidi="ar-SA"/>
        </w:rPr>
        <w:t>Ordenador de Despesas</w:t>
      </w:r>
    </w:p>
    <w:sectPr>
      <w:headerReference w:type="default" r:id="rId7"/>
      <w:footerReference w:type="default" r:id="rId8"/>
      <w:type w:val="nextPage"/>
      <w:pgSz w:w="11906" w:h="16838"/>
      <w:pgMar w:left="1134" w:right="1127" w:gutter="0" w:header="709" w:top="1418" w:footer="709"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Ecofont_Spranq_eco_Sans">
    <w:charset w:val="01"/>
    <w:family w:val="roman"/>
    <w:pitch w:val="variable"/>
  </w:font>
  <w:font w:name="Arial">
    <w:charset w:val="01"/>
    <w:family w:val="roman"/>
    <w:pitch w:val="variable"/>
  </w:font>
  <w:font w:name="Calibri">
    <w:charset w:val="01"/>
    <w:family w:val="roman"/>
    <w:pitch w:val="variable"/>
  </w:font>
  <w:font w:name="Tahoma">
    <w:charset w:val="01"/>
    <w:family w:val="roman"/>
    <w:pitch w:val="variable"/>
  </w:font>
  <w:font w:name="Courier New">
    <w:charset w:val="01"/>
    <w:family w:val="roman"/>
    <w:pitch w:val="variable"/>
  </w:font>
  <w:font w:name="OpenSymbol">
    <w:altName w:val="Arial Unicode MS"/>
    <w:charset w:val="01"/>
    <w:family w:val="roman"/>
    <w:pitch w:val="variable"/>
  </w:font>
  <w:font w:name="Liberation Sans">
    <w:altName w:val="Arial"/>
    <w:charset w:val="01"/>
    <w:family w:val="roman"/>
    <w:pitch w:val="variable"/>
  </w:font>
  <w:font w:name="Carlito">
    <w:altName w:val="Calibri"/>
    <w:charset w:val="01"/>
    <w:family w:val="roman"/>
    <w:pitch w:val="variable"/>
  </w:font>
  <w:font w:name="CaLIBRI">
    <w:charset w:val="01"/>
    <w:family w:val="roman"/>
    <w:pitch w:val="variable"/>
  </w:font>
  <w:font w:name="Google Sans">
    <w:altName w:val="sans-serif"/>
    <w:charset w:val="01"/>
    <w:family w:val="roman"/>
    <w:pitch w:val="variable"/>
  </w:font>
  <w:font w:name="Google Sans">
    <w:altName w:val="Arial"/>
    <w:charset w:val="01"/>
    <w:family w:val="roman"/>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color w:val="548DD4"/>
        <w:spacing w:val="60"/>
        <w:sz w:val="22"/>
        <w:szCs w:val="22"/>
      </w:rPr>
    </w:pPr>
    <w:r>
      <w:rPr>
        <w:color w:val="548DD4"/>
        <w:spacing w:val="60"/>
        <w:sz w:val="22"/>
        <w:szCs w:val="22"/>
      </w:rPr>
      <w:tab/>
      <w:tab/>
    </w:r>
  </w:p>
  <w:p>
    <w:pPr>
      <w:pStyle w:val="Rodap"/>
      <w:rPr/>
    </w:pPr>
    <w:r>
      <w:rPr>
        <w:color w:val="7F7F7F"/>
        <w:spacing w:val="60"/>
        <w:sz w:val="22"/>
        <w:szCs w:val="22"/>
      </w:rPr>
      <w:tab/>
      <w:tab/>
    </w:r>
    <w:r>
      <w:rPr>
        <w:rFonts w:cs="Arial" w:ascii="Arial" w:hAnsi="Arial"/>
        <w:color w:val="595959"/>
        <w:spacing w:val="60"/>
        <w:sz w:val="18"/>
        <w:szCs w:val="18"/>
      </w:rPr>
      <w:t>Página</w:t>
    </w:r>
    <w:r>
      <w:rPr>
        <w:rFonts w:cs="Arial" w:ascii="Arial" w:hAnsi="Arial"/>
        <w:color w:val="595959"/>
        <w:sz w:val="18"/>
        <w:szCs w:val="18"/>
      </w:rPr>
      <w:t xml:space="preserve"> </w:t>
    </w:r>
    <w:r>
      <w:rPr>
        <w:rFonts w:cs="Arial" w:ascii="Arial" w:hAnsi="Arial"/>
        <w:sz w:val="18"/>
        <w:szCs w:val="18"/>
      </w:rPr>
      <w:fldChar w:fldCharType="begin"/>
    </w:r>
    <w:r>
      <w:rPr>
        <w:sz w:val="18"/>
        <w:szCs w:val="18"/>
        <w:rFonts w:cs="Arial" w:ascii="Arial" w:hAnsi="Arial"/>
      </w:rPr>
      <w:instrText xml:space="preserve"> PAGE </w:instrText>
    </w:r>
    <w:r>
      <w:rPr>
        <w:sz w:val="18"/>
        <w:szCs w:val="18"/>
        <w:rFonts w:cs="Arial" w:ascii="Arial" w:hAnsi="Arial"/>
      </w:rPr>
      <w:fldChar w:fldCharType="separate"/>
    </w:r>
    <w:r>
      <w:rPr>
        <w:sz w:val="18"/>
        <w:szCs w:val="18"/>
        <w:rFonts w:cs="Arial" w:ascii="Arial" w:hAnsi="Arial"/>
      </w:rPr>
      <w:t>17</w:t>
    </w:r>
    <w:r>
      <w:rPr>
        <w:sz w:val="18"/>
        <w:szCs w:val="18"/>
        <w:rFonts w:cs="Arial" w:ascii="Arial" w:hAnsi="Arial"/>
      </w:rPr>
      <w:fldChar w:fldCharType="end"/>
    </w:r>
    <w:r>
      <w:rPr>
        <w:rFonts w:cs="Arial" w:ascii="Arial" w:hAnsi="Arial"/>
        <w:color w:val="595959"/>
        <w:sz w:val="18"/>
        <w:szCs w:val="18"/>
      </w:rPr>
      <w:t xml:space="preserve"> | </w:t>
    </w:r>
    <w:r>
      <w:rPr>
        <w:rFonts w:cs="Arial" w:ascii="Arial" w:hAnsi="Arial"/>
        <w:sz w:val="18"/>
        <w:szCs w:val="18"/>
      </w:rPr>
      <w:fldChar w:fldCharType="begin"/>
    </w:r>
    <w:r>
      <w:rPr>
        <w:sz w:val="18"/>
        <w:szCs w:val="18"/>
        <w:rFonts w:cs="Arial" w:ascii="Arial" w:hAnsi="Arial"/>
      </w:rPr>
      <w:instrText xml:space="preserve"> NUMPAGES </w:instrText>
    </w:r>
    <w:r>
      <w:rPr>
        <w:sz w:val="18"/>
        <w:szCs w:val="18"/>
        <w:rFonts w:cs="Arial" w:ascii="Arial" w:hAnsi="Arial"/>
      </w:rPr>
      <w:fldChar w:fldCharType="separate"/>
    </w:r>
    <w:r>
      <w:rPr>
        <w:sz w:val="18"/>
        <w:szCs w:val="18"/>
        <w:rFonts w:cs="Arial" w:ascii="Arial" w:hAnsi="Arial"/>
      </w:rPr>
      <w:t>17</w:t>
    </w:r>
    <w:r>
      <w:rPr>
        <w:sz w:val="18"/>
        <w:szCs w:val="18"/>
        <w:rFonts w:cs="Arial" w:ascii="Arial" w:hAnsi="Arial"/>
      </w:rPr>
      <w:fldChar w:fldCharType="end"/>
    </w:r>
  </w:p>
  <w:p>
    <w:pPr>
      <w:pStyle w:val="Rodap"/>
      <w:rPr>
        <w:rFonts w:ascii="Arial" w:hAnsi="Arial" w:cs="Arial"/>
        <w:sz w:val="14"/>
        <w:szCs w:val="14"/>
      </w:rPr>
    </w:pPr>
    <w:r>
      <w:rPr>
        <w:rFonts w:cs="Arial" w:ascii="Arial" w:hAnsi="Arial"/>
        <w:sz w:val="14"/>
        <w:szCs w:val="14"/>
      </w:rPr>
      <w:t>Câmara Nacional de Modelos de Licitações e Contratos da Consultoria-Geral da União</w:t>
    </w:r>
  </w:p>
  <w:p>
    <w:pPr>
      <w:pStyle w:val="Rodap"/>
      <w:rPr>
        <w:rFonts w:ascii="Arial" w:hAnsi="Arial" w:cs="Arial"/>
        <w:sz w:val="14"/>
        <w:szCs w:val="14"/>
      </w:rPr>
    </w:pPr>
    <w:r>
      <w:rPr>
        <w:rFonts w:cs="Arial" w:ascii="Arial" w:hAnsi="Arial"/>
        <w:sz w:val="14"/>
        <w:szCs w:val="14"/>
      </w:rPr>
      <w:t>Modelo de Termo de Referência para Obras e Serviços, exceto TIC – Licitação e Contratação Direta - Lei nº 14.133, de 2021</w:t>
    </w:r>
  </w:p>
  <w:p>
    <w:pPr>
      <w:pStyle w:val="Rodap"/>
      <w:rPr>
        <w:rFonts w:ascii="Arial" w:hAnsi="Arial" w:cs="Arial"/>
        <w:sz w:val="14"/>
        <w:szCs w:val="14"/>
      </w:rPr>
    </w:pPr>
    <w:r>
      <w:rPr>
        <w:rFonts w:cs="Arial" w:ascii="Arial" w:hAnsi="Arial"/>
        <w:sz w:val="14"/>
        <w:szCs w:val="14"/>
      </w:rPr>
      <w:t>Aprovado pela Secretaria de Gestão e Inovação</w:t>
    </w:r>
  </w:p>
  <w:p>
    <w:pPr>
      <w:pStyle w:val="Rodap"/>
      <w:rPr>
        <w:rFonts w:ascii="Arial" w:hAnsi="Arial" w:cs="Arial"/>
        <w:sz w:val="14"/>
        <w:szCs w:val="14"/>
      </w:rPr>
    </w:pPr>
    <w:r>
      <w:rPr>
        <w:rFonts w:cs="Arial" w:ascii="Arial" w:hAnsi="Arial"/>
        <w:sz w:val="14"/>
        <w:szCs w:val="14"/>
      </w:rPr>
      <w:t>Identidade visual pela Secretaria de Gestão e Inovação</w:t>
    </w:r>
  </w:p>
  <w:p>
    <w:pPr>
      <w:pStyle w:val="Rodap"/>
      <w:rPr>
        <w:rFonts w:ascii="Arial" w:hAnsi="Arial" w:cs="Arial"/>
        <w:sz w:val="14"/>
        <w:szCs w:val="14"/>
      </w:rPr>
    </w:pPr>
    <w:r>
      <w:rPr>
        <w:rFonts w:cs="Arial" w:ascii="Arial" w:hAnsi="Arial"/>
        <w:sz w:val="14"/>
        <w:szCs w:val="14"/>
      </w:rPr>
      <w:t>Atualização: ABR/2025</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decimal"/>
      <w:lvlText w:val="%1"/>
      <w:lvlJc w:val="left"/>
      <w:pPr>
        <w:tabs>
          <w:tab w:val="num" w:pos="0"/>
        </w:tabs>
        <w:ind w:left="360" w:hanging="360"/>
      </w:pPr>
      <w:rPr>
        <w:b/>
      </w:rPr>
    </w:lvl>
    <w:lvl w:ilvl="1">
      <w:start w:val="1"/>
      <w:pStyle w:val="Ttulo2"/>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decimal"/>
      <w:lvlText w:val="%1"/>
      <w:lvlJc w:val="left"/>
      <w:pPr>
        <w:tabs>
          <w:tab w:val="num" w:pos="720"/>
        </w:tabs>
        <w:ind w:left="720" w:hanging="360"/>
      </w:pPr>
      <w:rPr/>
    </w:lvl>
    <w:lvl w:ilvl="1">
      <w:start w:val="1"/>
      <w:numFmt w:val="decimal"/>
      <w:lvlText w:val="%1.%2."/>
      <w:lvlJc w:val="left"/>
      <w:pPr>
        <w:tabs>
          <w:tab w:val="num" w:pos="1080"/>
        </w:tabs>
        <w:ind w:left="1080" w:hanging="360"/>
      </w:pPr>
      <w:rPr>
        <w:sz w:val="24"/>
        <w:b w:val="false"/>
        <w:szCs w:val="24"/>
        <w:rFonts w:ascii="Carlito" w:hAnsi="Carlito"/>
      </w:rPr>
    </w:lvl>
    <w:lvl w:ilvl="2">
      <w:start w:val="1"/>
      <w:numFmt w:val="lowerLetter"/>
      <w:lvlText w:val="%2.%3"/>
      <w:lvlJc w:val="left"/>
      <w:pPr>
        <w:tabs>
          <w:tab w:val="num" w:pos="1440"/>
        </w:tabs>
        <w:ind w:left="1440" w:hanging="360"/>
      </w:pPr>
      <w:rPr/>
    </w:lvl>
    <w:lvl w:ilvl="3">
      <w:start w:val="1"/>
      <w:numFmt w:val="bullet"/>
      <w:lvlText w:val=""/>
      <w:lvlJc w:val="left"/>
      <w:pPr>
        <w:tabs>
          <w:tab w:val="num" w:pos="1800"/>
        </w:tabs>
        <w:ind w:left="1800" w:hanging="360"/>
      </w:pPr>
      <w:rPr>
        <w:rFonts w:ascii="Symbol" w:hAnsi="Symbol" w:cs="Symbol" w:hint="default"/>
        <w:sz w:val="24"/>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3">
    <w:lvl w:ilvl="0">
      <w:start w:val="1"/>
      <w:numFmt w:val="bullet"/>
      <w:lvlText w:val=""/>
      <w:lvlJc w:val="left"/>
      <w:pPr>
        <w:tabs>
          <w:tab w:val="num" w:pos="0"/>
        </w:tabs>
        <w:ind w:left="0"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0"/>
  <w:mirrorMargins/>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ＭＳ 明朝" w:cs="Times New Roman"/>
        <w:lang w:val="pt-BR" w:eastAsia="en-US" w:bidi="ar-SA"/>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Ecofont_Spranq_eco_Sans" w:hAnsi="Ecofont_Spranq_eco_Sans" w:eastAsia="ＭＳ 明朝" w:cs="Tahoma"/>
      <w:color w:val="auto"/>
      <w:kern w:val="0"/>
      <w:sz w:val="24"/>
      <w:szCs w:val="24"/>
      <w:lang w:val="pt-BR" w:eastAsia="pt-BR" w:bidi="ar-SA"/>
    </w:rPr>
  </w:style>
  <w:style w:type="paragraph" w:styleId="Ttulo1">
    <w:name w:val="Heading 1"/>
    <w:basedOn w:val="Normal"/>
    <w:next w:val="Normal"/>
    <w:qFormat/>
    <w:pPr>
      <w:keepNext w:val="true"/>
      <w:keepLines/>
      <w:numPr>
        <w:ilvl w:val="0"/>
        <w:numId w:val="1"/>
      </w:numPr>
      <w:spacing w:before="480" w:after="0"/>
      <w:outlineLvl w:val="0"/>
    </w:pPr>
    <w:rPr>
      <w:rFonts w:ascii="Arial" w:hAnsi="Arial" w:eastAsia="ＭＳ ゴシック" w:cs="Times New Roman"/>
      <w:b/>
      <w:bCs/>
      <w:sz w:val="20"/>
      <w:szCs w:val="28"/>
    </w:rPr>
  </w:style>
  <w:style w:type="paragraph" w:styleId="Ttulo2">
    <w:name w:val="Heading 2"/>
    <w:basedOn w:val="Normal"/>
    <w:next w:val="Normal"/>
    <w:qFormat/>
    <w:pPr>
      <w:keepNext w:val="true"/>
      <w:numPr>
        <w:ilvl w:val="1"/>
        <w:numId w:val="1"/>
      </w:numPr>
      <w:spacing w:lineRule="auto" w:line="276" w:before="120" w:after="120"/>
      <w:ind w:left="0" w:right="0" w:hanging="0"/>
      <w:jc w:val="both"/>
      <w:outlineLvl w:val="1"/>
    </w:pPr>
    <w:rPr>
      <w:rFonts w:ascii="Arial" w:hAnsi="Arial" w:cs="Times New Roman"/>
      <w:sz w:val="20"/>
      <w:szCs w:val="20"/>
    </w:rPr>
  </w:style>
  <w:style w:type="paragraph" w:styleId="Ttulo3">
    <w:name w:val="Heading 3"/>
    <w:basedOn w:val="Normal"/>
    <w:next w:val="Normal"/>
    <w:qFormat/>
    <w:pPr>
      <w:keepNext w:val="true"/>
      <w:keepLines/>
      <w:spacing w:lineRule="auto" w:line="259" w:before="40" w:after="0"/>
      <w:outlineLvl w:val="2"/>
    </w:pPr>
    <w:rPr>
      <w:rFonts w:ascii="Calibri" w:hAnsi="Calibri" w:eastAsia="ＭＳ ゴシック" w:cs="Times New Roman"/>
      <w:color w:val="243F60"/>
      <w:lang w:eastAsia="en-US"/>
    </w:rPr>
  </w:style>
  <w:style w:type="paragraph" w:styleId="Ttulo4">
    <w:name w:val="Heading 4"/>
    <w:basedOn w:val="Normal"/>
    <w:next w:val="Normal"/>
    <w:qFormat/>
    <w:pPr>
      <w:keepNext w:val="true"/>
      <w:keepLines/>
      <w:spacing w:before="40" w:after="0"/>
      <w:outlineLvl w:val="3"/>
    </w:pPr>
    <w:rPr>
      <w:rFonts w:ascii="Calibri" w:hAnsi="Calibri" w:eastAsia="ＭＳ ゴシック" w:cs="Times New Roman"/>
      <w:i/>
      <w:iCs/>
      <w:color w:val="365F91"/>
    </w:rPr>
  </w:style>
  <w:style w:type="paragraph" w:styleId="Ttulo6">
    <w:name w:val="Heading 6"/>
    <w:basedOn w:val="Normal"/>
    <w:next w:val="Normal"/>
    <w:qFormat/>
    <w:pPr>
      <w:keepNext w:val="true"/>
      <w:keepLines/>
      <w:spacing w:lineRule="auto" w:line="259" w:before="40" w:after="0"/>
      <w:outlineLvl w:val="5"/>
    </w:pPr>
    <w:rPr>
      <w:rFonts w:ascii="Calibri" w:hAnsi="Calibri" w:eastAsia="ＭＳ ゴシック" w:cs="Times New Roman"/>
      <w:color w:val="243F60"/>
      <w:sz w:val="22"/>
      <w:szCs w:val="22"/>
      <w:lang w:eastAsia="en-US"/>
    </w:rPr>
  </w:style>
  <w:style w:type="character" w:styleId="DefaultParagraphFont">
    <w:name w:val="Default Paragraph Font"/>
    <w:qFormat/>
    <w:rPr/>
  </w:style>
  <w:style w:type="character" w:styleId="TextodebaloChar">
    <w:name w:val="Texto de balão Char"/>
    <w:qFormat/>
    <w:rPr>
      <w:rFonts w:ascii="Tahoma" w:hAnsi="Tahoma" w:cs="Tahoma"/>
      <w:sz w:val="16"/>
      <w:szCs w:val="16"/>
    </w:rPr>
  </w:style>
  <w:style w:type="character" w:styleId="Ttulo2Char">
    <w:name w:val="Título 2 Char"/>
    <w:qFormat/>
    <w:rPr>
      <w:rFonts w:ascii="Arial" w:hAnsi="Arial"/>
      <w:lang w:eastAsia="pt-BR"/>
    </w:rPr>
  </w:style>
  <w:style w:type="character" w:styleId="Normalchar1">
    <w:name w:val="normal__char1"/>
    <w:qFormat/>
    <w:rPr>
      <w:rFonts w:ascii="Arial" w:hAnsi="Arial" w:cs="Arial"/>
      <w:strike w:val="false"/>
      <w:dstrike w:val="false"/>
      <w:sz w:val="24"/>
      <w:szCs w:val="24"/>
      <w:u w:val="none"/>
      <w:effect w:val="none"/>
    </w:rPr>
  </w:style>
  <w:style w:type="character" w:styleId="Applestylespan">
    <w:name w:val="apple-style-span"/>
    <w:basedOn w:val="DefaultParagraphFont"/>
    <w:qFormat/>
    <w:rPr/>
  </w:style>
  <w:style w:type="character" w:styleId="LinkdaInternet">
    <w:name w:val="Link da Internet"/>
    <w:basedOn w:val="DefaultParagraphFont"/>
    <w:rPr>
      <w:color w:val="0000FF"/>
      <w:u w:val="single"/>
    </w:rPr>
  </w:style>
  <w:style w:type="character" w:styleId="CitaoChar">
    <w:name w:val="Citação Char"/>
    <w:qFormat/>
    <w:rPr>
      <w:rFonts w:ascii="Arial" w:hAnsi="Arial" w:eastAsia="Calibri" w:cs="Tahoma"/>
      <w:i/>
      <w:iCs/>
      <w:color w:val="000000"/>
      <w:szCs w:val="24"/>
    </w:rPr>
  </w:style>
  <w:style w:type="character" w:styleId="NotaexplicativaChar">
    <w:name w:val="Nota explicativa Char"/>
    <w:basedOn w:val="CitaoChar"/>
    <w:qFormat/>
    <w:rPr>
      <w:rFonts w:ascii="Arial" w:hAnsi="Arial" w:eastAsia="Calibri" w:cs="Tahoma"/>
      <w:i/>
      <w:iCs/>
      <w:color w:val="000000"/>
      <w:szCs w:val="24"/>
    </w:rPr>
  </w:style>
  <w:style w:type="character" w:styleId="CabealhoChar">
    <w:name w:val="Cabeçalho Char"/>
    <w:qFormat/>
    <w:rPr>
      <w:rFonts w:ascii="Ecofont_Spranq_eco_Sans" w:hAnsi="Ecofont_Spranq_eco_Sans" w:cs="Tahoma"/>
      <w:sz w:val="24"/>
      <w:szCs w:val="24"/>
    </w:rPr>
  </w:style>
  <w:style w:type="character" w:styleId="RodapChar">
    <w:name w:val="Rodapé Char"/>
    <w:qFormat/>
    <w:rPr>
      <w:rFonts w:ascii="Ecofont_Spranq_eco_Sans" w:hAnsi="Ecofont_Spranq_eco_Sans" w:cs="Tahoma"/>
      <w:sz w:val="24"/>
      <w:szCs w:val="24"/>
    </w:rPr>
  </w:style>
  <w:style w:type="character" w:styleId="Annotationreference">
    <w:name w:val="annotation reference"/>
    <w:basedOn w:val="DefaultParagraphFont"/>
    <w:qFormat/>
    <w:rPr>
      <w:sz w:val="16"/>
      <w:szCs w:val="16"/>
    </w:rPr>
  </w:style>
  <w:style w:type="character" w:styleId="TextodecomentrioChar">
    <w:name w:val="Texto de comentário Char"/>
    <w:basedOn w:val="DefaultParagraphFont"/>
    <w:qFormat/>
    <w:rPr>
      <w:rFonts w:ascii="Ecofont_Spranq_eco_Sans" w:hAnsi="Ecofont_Spranq_eco_Sans" w:cs="Tahoma"/>
      <w:lang w:eastAsia="pt-BR"/>
    </w:rPr>
  </w:style>
  <w:style w:type="character" w:styleId="AssuntodocomentrioChar">
    <w:name w:val="Assunto do comentário Char"/>
    <w:basedOn w:val="TextodecomentrioChar"/>
    <w:qFormat/>
    <w:rPr>
      <w:rFonts w:ascii="Ecofont_Spranq_eco_Sans" w:hAnsi="Ecofont_Spranq_eco_Sans" w:cs="Tahoma"/>
      <w:b/>
      <w:bCs/>
      <w:lang w:eastAsia="pt-BR"/>
    </w:rPr>
  </w:style>
  <w:style w:type="character" w:styleId="Ttulo4Char">
    <w:name w:val="Título 4 Char"/>
    <w:basedOn w:val="DefaultParagraphFont"/>
    <w:qFormat/>
    <w:rPr>
      <w:rFonts w:ascii="Calibri" w:hAnsi="Calibri" w:eastAsia="ＭＳ ゴシック" w:cs="Times New Roman"/>
      <w:i/>
      <w:iCs/>
      <w:color w:val="365F91"/>
      <w:sz w:val="24"/>
      <w:szCs w:val="24"/>
      <w:lang w:eastAsia="pt-BR"/>
    </w:rPr>
  </w:style>
  <w:style w:type="character" w:styleId="TtuloChar">
    <w:name w:val="Título Char"/>
    <w:basedOn w:val="DefaultParagraphFont"/>
    <w:qFormat/>
    <w:rPr>
      <w:rFonts w:ascii="Calibri" w:hAnsi="Calibri" w:eastAsia="ＭＳ ゴシック" w:cs="Times New Roman"/>
      <w:color w:val="17365D"/>
      <w:spacing w:val="5"/>
      <w:kern w:val="2"/>
      <w:sz w:val="52"/>
      <w:szCs w:val="52"/>
      <w:lang w:eastAsia="pt-BR"/>
    </w:rPr>
  </w:style>
  <w:style w:type="character" w:styleId="Nivel01Char">
    <w:name w:val="Nivel 01 Char"/>
    <w:basedOn w:val="TtuloChar"/>
    <w:qFormat/>
    <w:rPr>
      <w:rFonts w:ascii="Arial" w:hAnsi="Arial" w:eastAsia="Arial" w:cs="Arial"/>
      <w:b/>
      <w:iCs/>
      <w:color w:val="17365D"/>
      <w:spacing w:val="5"/>
      <w:kern w:val="2"/>
      <w:sz w:val="52"/>
      <w:szCs w:val="52"/>
      <w:lang w:eastAsia="pt-BR"/>
    </w:rPr>
  </w:style>
  <w:style w:type="character" w:styleId="Ttulo1Char">
    <w:name w:val="Título 1 Char"/>
    <w:basedOn w:val="DefaultParagraphFont"/>
    <w:qFormat/>
    <w:rPr>
      <w:rFonts w:ascii="Arial" w:hAnsi="Arial" w:eastAsia="ＭＳ ゴシック" w:cs="Times New Roman"/>
      <w:b/>
      <w:bCs/>
      <w:szCs w:val="28"/>
      <w:lang w:eastAsia="pt-BR"/>
    </w:rPr>
  </w:style>
  <w:style w:type="character" w:styleId="Nivel01TituloChar">
    <w:name w:val="Nivel_01_Titulo Char"/>
    <w:basedOn w:val="Nivel01Char"/>
    <w:qFormat/>
    <w:rPr>
      <w:rFonts w:ascii="Arial" w:hAnsi="Arial" w:eastAsia="ＭＳ ゴシック" w:cs="Times New Roman"/>
      <w:b/>
      <w:bCs w:val="false"/>
      <w:iCs/>
      <w:vanish w:val="false"/>
      <w:color w:val="000000"/>
      <w:spacing w:val="5"/>
      <w:kern w:val="2"/>
      <w:sz w:val="52"/>
      <w:szCs w:val="52"/>
      <w:lang w:eastAsia="pt-BR"/>
    </w:rPr>
  </w:style>
  <w:style w:type="character" w:styleId="QuoteChar">
    <w:name w:val="Quote Char"/>
    <w:basedOn w:val="DefaultParagraphFont"/>
    <w:qFormat/>
    <w:rPr>
      <w:rFonts w:ascii="Ecofont_Spranq_eco_Sans" w:hAnsi="Ecofont_Spranq_eco_Sans" w:eastAsia="Calibri" w:cs="Tahoma"/>
      <w:i/>
      <w:iCs/>
      <w:color w:val="000000"/>
    </w:rPr>
  </w:style>
  <w:style w:type="character" w:styleId="Normaltextrun">
    <w:name w:val="normaltextrun"/>
    <w:basedOn w:val="DefaultParagraphFont"/>
    <w:qFormat/>
    <w:rPr/>
  </w:style>
  <w:style w:type="character" w:styleId="Eop">
    <w:name w:val="eop"/>
    <w:basedOn w:val="DefaultParagraphFont"/>
    <w:qFormat/>
    <w:rPr/>
  </w:style>
  <w:style w:type="character" w:styleId="Spellingerror">
    <w:name w:val="spellingerror"/>
    <w:basedOn w:val="DefaultParagraphFont"/>
    <w:qFormat/>
    <w:rPr/>
  </w:style>
  <w:style w:type="character" w:styleId="CorpodetextoChar">
    <w:name w:val="Corpo de texto Char"/>
    <w:basedOn w:val="DefaultParagraphFont"/>
    <w:qFormat/>
    <w:rPr>
      <w:rFonts w:eastAsia="Times New Roman"/>
      <w:sz w:val="24"/>
      <w:szCs w:val="24"/>
      <w:lang w:eastAsia="pt-BR"/>
    </w:rPr>
  </w:style>
  <w:style w:type="character" w:styleId="Nivel1Char">
    <w:name w:val="Nivel1 Char"/>
    <w:basedOn w:val="Ttulo1Char"/>
    <w:qFormat/>
    <w:rPr>
      <w:rFonts w:ascii="Arial" w:hAnsi="Arial" w:eastAsia="ＭＳ ゴシック" w:cs="Arial"/>
      <w:b/>
      <w:bCs w:val="false"/>
      <w:color w:val="000000"/>
      <w:szCs w:val="28"/>
      <w:lang w:eastAsia="pt-BR"/>
    </w:rPr>
  </w:style>
  <w:style w:type="character" w:styleId="Nivel4Char">
    <w:name w:val="Nivel 4 Char"/>
    <w:basedOn w:val="DefaultParagraphFont"/>
    <w:qFormat/>
    <w:rPr>
      <w:rFonts w:ascii="Arial" w:hAnsi="Arial" w:cs="Arial"/>
      <w:bCs/>
      <w:lang w:eastAsia="pt-BR"/>
    </w:rPr>
  </w:style>
  <w:style w:type="character" w:styleId="Cp0020corpodespachochar1">
    <w:name w:val="cp_0020corpodespacho__char1"/>
    <w:qFormat/>
    <w:rPr>
      <w:rFonts w:ascii="Times New Roman" w:hAnsi="Times New Roman" w:cs="Times New Roman"/>
      <w:strike w:val="false"/>
      <w:dstrike w:val="false"/>
      <w:sz w:val="26"/>
      <w:szCs w:val="26"/>
      <w:u w:val="none"/>
      <w:effect w:val="none"/>
    </w:rPr>
  </w:style>
  <w:style w:type="character" w:styleId="Em0020ementachar1">
    <w:name w:val="em_0020ementa__char1"/>
    <w:qFormat/>
    <w:rPr>
      <w:rFonts w:ascii="Times New Roman" w:hAnsi="Times New Roman" w:cs="Times New Roman"/>
      <w:strike w:val="false"/>
      <w:dstrike w:val="false"/>
      <w:sz w:val="28"/>
      <w:szCs w:val="28"/>
      <w:u w:val="none"/>
      <w:effect w:val="none"/>
    </w:rPr>
  </w:style>
  <w:style w:type="character" w:styleId="Strong">
    <w:name w:val="Strong"/>
    <w:basedOn w:val="DefaultParagraphFont"/>
    <w:qFormat/>
    <w:rPr>
      <w:b/>
      <w:bCs/>
    </w:rPr>
  </w:style>
  <w:style w:type="character" w:styleId="Nfase">
    <w:name w:val="Ênfase"/>
    <w:basedOn w:val="DefaultParagraphFont"/>
    <w:qFormat/>
    <w:rPr>
      <w:i/>
      <w:iCs/>
    </w:rPr>
  </w:style>
  <w:style w:type="character" w:styleId="Manoel">
    <w:name w:val="Manoel"/>
    <w:qFormat/>
    <w:rPr>
      <w:rFonts w:ascii="Arial" w:hAnsi="Arial" w:cs="Arial"/>
      <w:color w:val="7030A0"/>
      <w:sz w:val="20"/>
    </w:rPr>
  </w:style>
  <w:style w:type="character" w:styleId="GradeColoridanfase1Char">
    <w:name w:val="Grade Colorida - Ênfase 1 Char"/>
    <w:qFormat/>
    <w:rPr>
      <w:rFonts w:ascii="Arial" w:hAnsi="Arial" w:eastAsia="Calibri"/>
      <w:i/>
      <w:iCs/>
      <w:color w:val="000000"/>
      <w:szCs w:val="24"/>
    </w:rPr>
  </w:style>
  <w:style w:type="character" w:styleId="Highlight">
    <w:name w:val="highlight"/>
    <w:basedOn w:val="DefaultParagraphFont"/>
    <w:qFormat/>
    <w:rPr/>
  </w:style>
  <w:style w:type="character" w:styleId="Linkdainternetvisitado">
    <w:name w:val="Link da internet visitado"/>
    <w:basedOn w:val="DefaultParagraphFont"/>
    <w:rPr>
      <w:color w:val="800080"/>
      <w:u w:val="single"/>
    </w:rPr>
  </w:style>
  <w:style w:type="character" w:styleId="MenoPendente1">
    <w:name w:val="Menção Pendente1"/>
    <w:basedOn w:val="DefaultParagraphFont"/>
    <w:qFormat/>
    <w:rPr>
      <w:color w:val="605E5C"/>
    </w:rPr>
  </w:style>
  <w:style w:type="character" w:styleId="MenoPendente2">
    <w:name w:val="Menção Pendente2"/>
    <w:basedOn w:val="DefaultParagraphFont"/>
    <w:qFormat/>
    <w:rPr>
      <w:color w:val="605E5C"/>
    </w:rPr>
  </w:style>
  <w:style w:type="character" w:styleId="Nivel2OpcionalChar">
    <w:name w:val="Nivel 2-Opcional Char"/>
    <w:basedOn w:val="DefaultParagraphFont"/>
    <w:qFormat/>
    <w:rPr>
      <w:rFonts w:ascii="Arial" w:hAnsi="Arial" w:eastAsia="Arial" w:cs="Arial"/>
      <w:i/>
      <w:color w:val="FF0000"/>
      <w:lang w:eastAsia="pt-BR"/>
    </w:rPr>
  </w:style>
  <w:style w:type="character" w:styleId="Nvel2OpcionalChar">
    <w:name w:val="Nível 2 Opcional Char"/>
    <w:basedOn w:val="DefaultParagraphFont"/>
    <w:qFormat/>
    <w:rPr>
      <w:rFonts w:ascii="Arial" w:hAnsi="Arial" w:eastAsia="Times New Roman" w:cs="Arial"/>
      <w:i/>
      <w:color w:val="FF0000"/>
      <w:lang w:eastAsia="pt-BR"/>
    </w:rPr>
  </w:style>
  <w:style w:type="character" w:styleId="Nvel3OpcionalChar">
    <w:name w:val="Nível 3 Opcional Char"/>
    <w:basedOn w:val="DefaultParagraphFont"/>
    <w:qFormat/>
    <w:rPr>
      <w:rFonts w:ascii="Arial" w:hAnsi="Arial" w:eastAsia="Times New Roman" w:cs="Arial"/>
      <w:i/>
      <w:iCs/>
      <w:color w:val="FF0000"/>
      <w:lang w:eastAsia="pt-BR"/>
    </w:rPr>
  </w:style>
  <w:style w:type="character" w:styleId="PlaceholderText">
    <w:name w:val="Placeholder Text"/>
    <w:basedOn w:val="DefaultParagraphFont"/>
    <w:qFormat/>
    <w:rPr>
      <w:color w:val="808080"/>
    </w:rPr>
  </w:style>
  <w:style w:type="character" w:styleId="PargrafodaListaChar">
    <w:name w:val="Parágrafo da Lista Char"/>
    <w:basedOn w:val="DefaultParagraphFont"/>
    <w:qFormat/>
    <w:rPr>
      <w:rFonts w:ascii="Ecofont_Spranq_eco_Sans" w:hAnsi="Ecofont_Spranq_eco_Sans" w:cs="Tahoma"/>
      <w:sz w:val="24"/>
      <w:szCs w:val="24"/>
      <w:lang w:eastAsia="pt-BR"/>
    </w:rPr>
  </w:style>
  <w:style w:type="character" w:styleId="Ttulo3Char">
    <w:name w:val="Título 3 Char"/>
    <w:basedOn w:val="DefaultParagraphFont"/>
    <w:qFormat/>
    <w:rPr>
      <w:rFonts w:ascii="Calibri" w:hAnsi="Calibri" w:eastAsia="ＭＳ ゴシック" w:cs="Times New Roman"/>
      <w:color w:val="243F60"/>
      <w:sz w:val="24"/>
      <w:szCs w:val="24"/>
    </w:rPr>
  </w:style>
  <w:style w:type="character" w:styleId="Ttulo6Char">
    <w:name w:val="Título 6 Char"/>
    <w:basedOn w:val="DefaultParagraphFont"/>
    <w:qFormat/>
    <w:rPr>
      <w:rFonts w:ascii="Calibri" w:hAnsi="Calibri" w:eastAsia="ＭＳ ゴシック" w:cs="Times New Roman"/>
      <w:color w:val="243F60"/>
      <w:sz w:val="22"/>
      <w:szCs w:val="22"/>
    </w:rPr>
  </w:style>
  <w:style w:type="character" w:styleId="Markedcontent">
    <w:name w:val="markedcontent"/>
    <w:basedOn w:val="DefaultParagraphFont"/>
    <w:qFormat/>
    <w:rPr/>
  </w:style>
  <w:style w:type="character" w:styleId="MenoPendente3">
    <w:name w:val="Menção Pendente3"/>
    <w:basedOn w:val="DefaultParagraphFont"/>
    <w:qFormat/>
    <w:rPr>
      <w:color w:val="605E5C"/>
    </w:rPr>
  </w:style>
  <w:style w:type="character" w:styleId="MenoPendente4">
    <w:name w:val="Menção Pendente4"/>
    <w:basedOn w:val="DefaultParagraphFont"/>
    <w:qFormat/>
    <w:rPr>
      <w:color w:val="605E5C"/>
    </w:rPr>
  </w:style>
  <w:style w:type="character" w:styleId="OuChar">
    <w:name w:val="ou Char"/>
    <w:basedOn w:val="PargrafodaListaChar"/>
    <w:qFormat/>
    <w:rPr>
      <w:rFonts w:ascii="Arial" w:hAnsi="Arial" w:eastAsia="Cambria" w:cs="Arial"/>
      <w:b/>
      <w:bCs/>
      <w:i/>
      <w:iCs/>
      <w:color w:val="FF0000"/>
      <w:sz w:val="24"/>
      <w:szCs w:val="24"/>
      <w:lang w:eastAsia="pt-BR"/>
    </w:rPr>
  </w:style>
  <w:style w:type="character" w:styleId="Nvel02Char">
    <w:name w:val="Nível 02 Char"/>
    <w:basedOn w:val="Nivel2OpcionalChar"/>
    <w:qFormat/>
    <w:rPr>
      <w:rFonts w:ascii="Arial" w:hAnsi="Arial" w:eastAsia="Arial" w:cs="Arial"/>
      <w:i w:val="false"/>
      <w:iCs/>
      <w:color w:val="FF0000"/>
      <w:lang w:eastAsia="pt-BR"/>
    </w:rPr>
  </w:style>
  <w:style w:type="character" w:styleId="Nivel3erroChar">
    <w:name w:val="Nivel 3-erro Char"/>
    <w:basedOn w:val="DefaultParagraphFont"/>
    <w:qFormat/>
    <w:rPr>
      <w:rFonts w:ascii="Arial" w:hAnsi="Arial" w:cs="Tahoma"/>
      <w:szCs w:val="24"/>
      <w:lang w:eastAsia="pt-BR"/>
    </w:rPr>
  </w:style>
  <w:style w:type="character" w:styleId="Nvel3RChar">
    <w:name w:val="Nível 3-R Char"/>
    <w:basedOn w:val="Nivel3erroChar"/>
    <w:qFormat/>
    <w:rPr>
      <w:rFonts w:ascii="Arial" w:hAnsi="Arial" w:cs="Arial"/>
      <w:i/>
      <w:iCs/>
      <w:color w:val="FF0000"/>
      <w:szCs w:val="24"/>
      <w:lang w:eastAsia="pt-BR"/>
    </w:rPr>
  </w:style>
  <w:style w:type="character" w:styleId="Nvel4RChar">
    <w:name w:val="Nível 4-R Char"/>
    <w:basedOn w:val="Nivel4Char"/>
    <w:qFormat/>
    <w:rPr>
      <w:rFonts w:ascii="Arial" w:hAnsi="Arial" w:cs="Arial"/>
      <w:bCs/>
      <w:i/>
      <w:color w:val="FF0000"/>
      <w:lang w:eastAsia="pt-BR"/>
    </w:rPr>
  </w:style>
  <w:style w:type="character" w:styleId="Nvel1SemNumChar">
    <w:name w:val="Nível 1-Sem Num Char"/>
    <w:basedOn w:val="Nivel01Char"/>
    <w:qFormat/>
    <w:rPr>
      <w:rFonts w:ascii="Arial" w:hAnsi="Arial" w:eastAsia="Arial" w:cs="Arial"/>
      <w:b/>
      <w:i/>
      <w:iCs w:val="false"/>
      <w:color w:val="FF0000"/>
      <w:spacing w:val="5"/>
      <w:kern w:val="2"/>
      <w:sz w:val="52"/>
      <w:szCs w:val="52"/>
      <w:lang w:eastAsia="pt-BR"/>
    </w:rPr>
  </w:style>
  <w:style w:type="character" w:styleId="PrembuloChar">
    <w:name w:val="Preâmbulo Char"/>
    <w:basedOn w:val="DefaultParagraphFont"/>
    <w:qFormat/>
    <w:rPr>
      <w:rFonts w:ascii="Arial" w:hAnsi="Arial" w:eastAsia="Arial" w:cs="Arial"/>
      <w:bCs/>
      <w:lang w:eastAsia="pt-BR"/>
    </w:rPr>
  </w:style>
  <w:style w:type="character" w:styleId="MenoPendente5">
    <w:name w:val="Menção Pendente5"/>
    <w:basedOn w:val="DefaultParagraphFont"/>
    <w:qFormat/>
    <w:rPr>
      <w:color w:val="605E5C"/>
    </w:rPr>
  </w:style>
  <w:style w:type="character" w:styleId="Citao2Char">
    <w:name w:val="citação 2 Char"/>
    <w:basedOn w:val="CitaoChar"/>
    <w:qFormat/>
    <w:rPr>
      <w:rFonts w:ascii="Arial" w:hAnsi="Arial" w:eastAsia="Calibri" w:cs="Tahoma"/>
      <w:i/>
      <w:iCs/>
      <w:color w:val="000000"/>
      <w:szCs w:val="24"/>
    </w:rPr>
  </w:style>
  <w:style w:type="character" w:styleId="Nvel1SemNumeraoChar">
    <w:name w:val="Nível 1-Sem Numeração Char"/>
    <w:basedOn w:val="Nvel1SemNumChar"/>
    <w:qFormat/>
    <w:rPr>
      <w:rFonts w:ascii="Arial" w:hAnsi="Arial" w:eastAsia="Arial" w:cs="Arial"/>
      <w:b/>
      <w:i w:val="false"/>
      <w:iCs w:val="false"/>
      <w:color w:val="FF0000"/>
      <w:spacing w:val="5"/>
      <w:kern w:val="2"/>
      <w:sz w:val="52"/>
      <w:szCs w:val="52"/>
      <w:lang w:eastAsia="pt-BR"/>
    </w:rPr>
  </w:style>
  <w:style w:type="character" w:styleId="MenoPendente6">
    <w:name w:val="Menção Pendente6"/>
    <w:basedOn w:val="DefaultParagraphFont"/>
    <w:qFormat/>
    <w:rPr>
      <w:color w:val="605E5C"/>
    </w:rPr>
  </w:style>
  <w:style w:type="character" w:styleId="AlteraesChar">
    <w:name w:val="Alterações Char"/>
    <w:basedOn w:val="Nvel02Char"/>
    <w:qFormat/>
    <w:rPr>
      <w:rFonts w:ascii="Arial" w:hAnsi="Arial" w:eastAsia="Arial" w:cs="Arial"/>
      <w:i w:val="false"/>
      <w:iCs/>
      <w:color w:val="0000FF"/>
      <w:lang w:eastAsia="pt-BR"/>
    </w:rPr>
  </w:style>
  <w:style w:type="character" w:styleId="Nivel3Char">
    <w:name w:val="Nivel 3 Char"/>
    <w:basedOn w:val="DefaultParagraphFont"/>
    <w:qFormat/>
    <w:rPr>
      <w:rFonts w:ascii="Arial" w:hAnsi="Arial" w:cs="Tahoma"/>
      <w:szCs w:val="24"/>
      <w:lang w:eastAsia="pt-BR"/>
    </w:rPr>
  </w:style>
  <w:style w:type="character" w:styleId="UnresolvedMention">
    <w:name w:val="Unresolved Mention"/>
    <w:basedOn w:val="DefaultParagraphFont"/>
    <w:qFormat/>
    <w:rPr>
      <w:color w:val="605E5C"/>
    </w:rPr>
  </w:style>
  <w:style w:type="character" w:styleId="Nvel2OpcionalChar1">
    <w:name w:val="Nível 2-Opcional Char"/>
    <w:basedOn w:val="Nvel02Char"/>
    <w:qFormat/>
    <w:rPr>
      <w:rFonts w:ascii="Arial" w:hAnsi="Arial" w:eastAsia="Arial" w:cs="Arial"/>
      <w:i/>
      <w:iCs/>
      <w:color w:val="FF0000"/>
      <w:lang w:eastAsia="pt-BR"/>
    </w:rPr>
  </w:style>
  <w:style w:type="character" w:styleId="Nvel3OpcionalChar1">
    <w:name w:val="Nível 3-Opcional Char"/>
    <w:basedOn w:val="Nivel3Char"/>
    <w:qFormat/>
    <w:rPr>
      <w:rFonts w:ascii="Arial" w:hAnsi="Arial" w:cs="Tahoma"/>
      <w:i/>
      <w:color w:val="FF0000"/>
      <w:szCs w:val="24"/>
      <w:lang w:eastAsia="pt-BR"/>
    </w:rPr>
  </w:style>
  <w:style w:type="character" w:styleId="Nvel1SemBlackChar">
    <w:name w:val="Nível 1-Sem Black Char"/>
    <w:basedOn w:val="DefaultParagraphFont"/>
    <w:qFormat/>
    <w:rPr>
      <w:rFonts w:ascii="Arial" w:hAnsi="Arial" w:eastAsia="ＭＳ ゴシック" w:cs="Arial"/>
      <w:b/>
      <w:bCs/>
      <w:lang w:eastAsia="pt-BR"/>
    </w:rPr>
  </w:style>
  <w:style w:type="character" w:styleId="Nivel2Char">
    <w:name w:val="Nivel 2 Char"/>
    <w:basedOn w:val="DefaultParagraphFont"/>
    <w:qFormat/>
    <w:rPr>
      <w:rFonts w:ascii="Arial" w:hAnsi="Arial" w:eastAsia="Arial" w:cs="Arial"/>
      <w:color w:val="000000"/>
      <w:lang w:eastAsia="pt-BR"/>
    </w:rPr>
  </w:style>
  <w:style w:type="character" w:styleId="Nfaseforte">
    <w:name w:val="Ênfase forte"/>
    <w:qFormat/>
    <w:rPr>
      <w:b/>
      <w:bCs/>
    </w:rPr>
  </w:style>
  <w:style w:type="character" w:styleId="Smbolosdenumerao">
    <w:name w:val="Símbolos de numeração"/>
    <w:qFormat/>
    <w:rPr>
      <w:sz w:val="24"/>
      <w:szCs w:val="24"/>
    </w:rPr>
  </w:style>
  <w:style w:type="character" w:styleId="Fontepargpadro">
    <w:name w:val="Fonte parág. padrão"/>
    <w:qFormat/>
    <w:rPr/>
  </w:style>
  <w:style w:type="character" w:styleId="Character20style">
    <w:name w:val="Character_20_style"/>
    <w:qFormat/>
    <w:rPr/>
  </w:style>
  <w:style w:type="character" w:styleId="Fontepargpadro1">
    <w:name w:val="Fonte parág. padrão1"/>
    <w:qFormat/>
    <w:rPr/>
  </w:style>
  <w:style w:type="character" w:styleId="WW8Num1z1">
    <w:name w:val="WW8Num1z1"/>
    <w:qFormat/>
    <w:rPr>
      <w:rFonts w:ascii="Courier New" w:hAnsi="Courier New" w:eastAsia="Courier New"/>
    </w:rPr>
  </w:style>
  <w:style w:type="character" w:styleId="Marcadores">
    <w:name w:val="Marcadores"/>
    <w:qFormat/>
    <w:rPr>
      <w:rFonts w:ascii="OpenSymbol" w:hAnsi="OpenSymbol" w:eastAsia="OpenSymbol" w:cs="OpenSymbol"/>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pPr>
      <w:spacing w:before="280" w:after="280"/>
    </w:pPr>
    <w:rPr>
      <w:rFonts w:ascii="Times New Roman" w:hAnsi="Times New Roman" w:eastAsia="Times New Roman" w:cs="Times New Roman"/>
    </w:rPr>
  </w:style>
  <w:style w:type="paragraph" w:styleId="Lista">
    <w:name w:val="List"/>
    <w:basedOn w:val="Corpodo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ListParagraph">
    <w:name w:val="List Paragraph"/>
    <w:basedOn w:val="Normal"/>
    <w:qFormat/>
    <w:pPr>
      <w:spacing w:before="0" w:after="0"/>
      <w:ind w:left="720" w:right="0" w:hanging="0"/>
      <w:contextualSpacing/>
    </w:pPr>
    <w:rPr/>
  </w:style>
  <w:style w:type="paragraph" w:styleId="NormalWeb">
    <w:name w:val="Normal (Web)"/>
    <w:basedOn w:val="Normal"/>
    <w:qFormat/>
    <w:pPr>
      <w:spacing w:before="280" w:after="280"/>
    </w:pPr>
    <w:rPr>
      <w:rFonts w:ascii="Times New Roman" w:hAnsi="Times New Roman" w:cs="Times New Roman"/>
    </w:rPr>
  </w:style>
  <w:style w:type="paragraph" w:styleId="BalloonText">
    <w:name w:val="Balloon Text"/>
    <w:basedOn w:val="Normal"/>
    <w:qFormat/>
    <w:pPr/>
    <w:rPr>
      <w:rFonts w:ascii="Tahoma" w:hAnsi="Tahoma"/>
      <w:sz w:val="16"/>
      <w:szCs w:val="16"/>
    </w:rPr>
  </w:style>
  <w:style w:type="paragraph" w:styleId="Nvel2">
    <w:name w:val="Nível 2"/>
    <w:basedOn w:val="Normal"/>
    <w:next w:val="Normal"/>
    <w:qFormat/>
    <w:pPr>
      <w:spacing w:before="0" w:after="120"/>
      <w:jc w:val="both"/>
    </w:pPr>
    <w:rPr>
      <w:rFonts w:ascii="Arial" w:hAnsi="Arial" w:cs="Times New Roman"/>
      <w:b/>
      <w:szCs w:val="20"/>
    </w:rPr>
  </w:style>
  <w:style w:type="paragraph" w:styleId="Quote">
    <w:name w:val="Quote"/>
    <w:basedOn w:val="Normal"/>
    <w:next w:val="Normal"/>
    <w:qFormat/>
    <w:pPr>
      <w:pBdr>
        <w:top w:val="single" w:sz="4" w:space="1" w:color="1F497D"/>
        <w:left w:val="single" w:sz="4" w:space="4" w:color="1F497D"/>
        <w:bottom w:val="single" w:sz="4" w:space="1" w:color="1F497D"/>
        <w:right w:val="single" w:sz="4" w:space="4" w:color="1F497D"/>
      </w:pBdr>
      <w:shd w:val="clear" w:fill="FFFFCC"/>
      <w:spacing w:before="120" w:after="0"/>
      <w:jc w:val="both"/>
    </w:pPr>
    <w:rPr>
      <w:rFonts w:ascii="Arial" w:hAnsi="Arial" w:eastAsia="Calibri"/>
      <w:i/>
      <w:iCs/>
      <w:color w:val="000000"/>
      <w:sz w:val="20"/>
      <w:lang w:eastAsia="en-US"/>
    </w:rPr>
  </w:style>
  <w:style w:type="paragraph" w:styleId="ListBullet5">
    <w:name w:val="List Bullet 5"/>
    <w:basedOn w:val="Normal"/>
    <w:qFormat/>
    <w:pPr>
      <w:spacing w:before="0" w:after="0"/>
      <w:contextualSpacing/>
    </w:pPr>
    <w:rPr/>
  </w:style>
  <w:style w:type="paragraph" w:styleId="Notaexplicativa">
    <w:name w:val="Nota explicativa"/>
    <w:basedOn w:val="Quote"/>
    <w:qFormat/>
    <w:pPr>
      <w:shd w:val="clear" w:fill="FFFFCC"/>
    </w:pPr>
    <w:rPr>
      <w:szCs w:val="20"/>
    </w:rPr>
  </w:style>
  <w:style w:type="paragraph" w:styleId="CabealhoeRodap">
    <w:name w:val="Cabeçalho e Rodapé"/>
    <w:basedOn w:val="Normal"/>
    <w:qFormat/>
    <w:pPr/>
    <w:rPr/>
  </w:style>
  <w:style w:type="paragraph" w:styleId="Cabealho">
    <w:name w:val="Header"/>
    <w:basedOn w:val="Normal"/>
    <w:pPr>
      <w:tabs>
        <w:tab w:val="clear" w:pos="709"/>
        <w:tab w:val="center" w:pos="4252" w:leader="none"/>
        <w:tab w:val="right" w:pos="8504" w:leader="none"/>
      </w:tabs>
    </w:pPr>
    <w:rPr/>
  </w:style>
  <w:style w:type="paragraph" w:styleId="Rodap">
    <w:name w:val="Footer"/>
    <w:basedOn w:val="Normal"/>
    <w:pPr>
      <w:tabs>
        <w:tab w:val="clear" w:pos="709"/>
        <w:tab w:val="center" w:pos="4252" w:leader="none"/>
        <w:tab w:val="right" w:pos="8504" w:leader="none"/>
      </w:tabs>
    </w:pPr>
    <w:rPr/>
  </w:style>
  <w:style w:type="paragraph" w:styleId="Annotationtext">
    <w:name w:val="annotation text"/>
    <w:basedOn w:val="Normal"/>
    <w:qFormat/>
    <w:pPr/>
    <w:rPr>
      <w:sz w:val="20"/>
      <w:szCs w:val="20"/>
    </w:rPr>
  </w:style>
  <w:style w:type="paragraph" w:styleId="Annotationsubject">
    <w:name w:val="annotation subject"/>
    <w:basedOn w:val="Annotationtext"/>
    <w:qFormat/>
    <w:pPr/>
    <w:rPr>
      <w:b/>
      <w:bCs/>
    </w:rPr>
  </w:style>
  <w:style w:type="paragraph" w:styleId="Nivel01">
    <w:name w:val="Nivel 01"/>
    <w:basedOn w:val="Nvel02"/>
    <w:next w:val="Normal"/>
    <w:autoRedefine/>
    <w:qFormat/>
    <w:pPr>
      <w:widowControl/>
      <w:shd w:val="clear" w:fill="FFFFFF"/>
      <w:tabs>
        <w:tab w:val="clear" w:pos="735"/>
        <w:tab w:val="left" w:pos="120" w:leader="none"/>
        <w:tab w:val="left" w:pos="345" w:leader="none"/>
        <w:tab w:val="left" w:pos="570" w:leader="none"/>
      </w:tabs>
      <w:suppressAutoHyphens w:val="true"/>
      <w:overflowPunct w:val="true"/>
      <w:bidi w:val="0"/>
      <w:spacing w:lineRule="auto" w:line="276" w:before="0" w:after="0"/>
      <w:ind w:left="1077" w:right="0" w:hanging="454"/>
      <w:jc w:val="both"/>
      <w:outlineLvl w:val="0"/>
    </w:pPr>
    <w:rPr>
      <w:b/>
      <w:bCs/>
    </w:rPr>
  </w:style>
  <w:style w:type="paragraph" w:styleId="Nivel01Titulo">
    <w:name w:val="Nivel_01_Titulo"/>
    <w:basedOn w:val="Nivel01"/>
    <w:qFormat/>
    <w:pPr>
      <w:shd w:val="clear" w:fill="FFFFFF"/>
      <w:jc w:val="left"/>
    </w:pPr>
    <w:rPr>
      <w:rFonts w:cs="Times New Roman"/>
      <w:spacing w:val="5"/>
      <w:kern w:val="2"/>
      <w:sz w:val="52"/>
      <w:szCs w:val="52"/>
    </w:rPr>
  </w:style>
  <w:style w:type="paragraph" w:styleId="Ttulododocumento">
    <w:name w:val="Title"/>
    <w:basedOn w:val="Normal"/>
    <w:next w:val="Normal"/>
    <w:qFormat/>
    <w:pPr>
      <w:pBdr>
        <w:bottom w:val="single" w:sz="8" w:space="4" w:color="4F81BD"/>
      </w:pBdr>
      <w:spacing w:before="0" w:after="300"/>
      <w:contextualSpacing/>
    </w:pPr>
    <w:rPr>
      <w:rFonts w:ascii="Calibri" w:hAnsi="Calibri" w:eastAsia="ＭＳ ゴシック" w:cs="Times New Roman"/>
      <w:color w:val="17365D"/>
      <w:spacing w:val="5"/>
      <w:kern w:val="2"/>
      <w:sz w:val="52"/>
      <w:szCs w:val="52"/>
    </w:rPr>
  </w:style>
  <w:style w:type="paragraph" w:styleId="PADRO">
    <w:name w:val="PADRÃO"/>
    <w:qFormat/>
    <w:pPr>
      <w:keepNext w:val="true"/>
      <w:widowControl w:val="false"/>
      <w:shd w:val="clear" w:fill="FFFFFF"/>
      <w:suppressAutoHyphens w:val="true"/>
      <w:overflowPunct w:val="true"/>
      <w:bidi w:val="0"/>
      <w:spacing w:lineRule="auto" w:line="276" w:before="119" w:after="119"/>
      <w:ind w:left="0" w:right="0" w:firstLine="567"/>
      <w:jc w:val="both"/>
      <w:textAlignment w:val="baseline"/>
    </w:pPr>
    <w:rPr>
      <w:rFonts w:ascii="Ecofont_Spranq_eco_Sans" w:hAnsi="Ecofont_Spranq_eco_Sans" w:eastAsia="WenQuanYi Micro Hei" w:cs="Lohit Hindi"/>
      <w:color w:val="auto"/>
      <w:kern w:val="0"/>
      <w:sz w:val="24"/>
      <w:szCs w:val="24"/>
      <w:lang w:val="pt-BR" w:eastAsia="zh-CN" w:bidi="hi-IN"/>
    </w:rPr>
  </w:style>
  <w:style w:type="paragraph" w:styleId="Citao1">
    <w:name w:val="Citação1"/>
    <w:basedOn w:val="Normal"/>
    <w:next w:val="Normal"/>
    <w:qFormat/>
    <w:pPr>
      <w:pBdr>
        <w:top w:val="single" w:sz="4" w:space="1" w:color="1F497D"/>
        <w:left w:val="single" w:sz="4" w:space="4" w:color="1F497D"/>
        <w:bottom w:val="single" w:sz="4" w:space="1" w:color="1F497D"/>
        <w:right w:val="single" w:sz="4" w:space="4" w:color="1F497D"/>
      </w:pBdr>
      <w:shd w:val="clear" w:fill="FFFFCC"/>
      <w:spacing w:before="120" w:after="0"/>
      <w:jc w:val="both"/>
    </w:pPr>
    <w:rPr>
      <w:rFonts w:eastAsia="Calibri"/>
      <w:i/>
      <w:iCs/>
      <w:color w:val="000000"/>
      <w:sz w:val="20"/>
      <w:szCs w:val="20"/>
      <w:lang w:eastAsia="en-US"/>
    </w:rPr>
  </w:style>
  <w:style w:type="paragraph" w:styleId="Paragraph">
    <w:name w:val="paragraph"/>
    <w:basedOn w:val="Normal"/>
    <w:qFormat/>
    <w:pPr>
      <w:spacing w:before="280" w:after="280"/>
    </w:pPr>
    <w:rPr>
      <w:rFonts w:ascii="Times New Roman" w:hAnsi="Times New Roman" w:eastAsia="Times New Roman" w:cs="Times New Roman"/>
    </w:rPr>
  </w:style>
  <w:style w:type="paragraph" w:styleId="Nivel1">
    <w:name w:val="Nivel1"/>
    <w:basedOn w:val="Ttulo1"/>
    <w:qFormat/>
    <w:pPr>
      <w:numPr>
        <w:ilvl w:val="0"/>
        <w:numId w:val="0"/>
      </w:numPr>
      <w:spacing w:lineRule="auto" w:line="276"/>
      <w:ind w:left="357" w:right="0" w:hanging="357"/>
      <w:jc w:val="both"/>
    </w:pPr>
    <w:rPr>
      <w:rFonts w:cs="Arial"/>
      <w:bCs w:val="false"/>
      <w:color w:val="000000"/>
    </w:rPr>
  </w:style>
  <w:style w:type="paragraph" w:styleId="PargrafodaLista1">
    <w:name w:val="Parágrafo da Lista1"/>
    <w:basedOn w:val="Normal"/>
    <w:qFormat/>
    <w:pPr>
      <w:ind w:left="720" w:right="0" w:hanging="0"/>
    </w:pPr>
    <w:rPr>
      <w:rFonts w:eastAsia="Times New Roman" w:cs="Ecofont_Spranq_eco_Sans"/>
    </w:rPr>
  </w:style>
  <w:style w:type="paragraph" w:styleId="Nivel2Opcional">
    <w:name w:val="Nivel 2-Opcional"/>
    <w:basedOn w:val="Normal"/>
    <w:autoRedefine/>
    <w:qFormat/>
    <w:pPr>
      <w:shd w:val="clear" w:fill="76923C"/>
      <w:spacing w:lineRule="auto" w:line="276" w:before="120" w:after="120"/>
      <w:ind w:left="0" w:right="0" w:hanging="0"/>
      <w:jc w:val="both"/>
    </w:pPr>
    <w:rPr>
      <w:rFonts w:ascii="Arial" w:hAnsi="Arial" w:eastAsia="Arial" w:cs="Arial"/>
      <w:i/>
      <w:color w:val="FF0000"/>
      <w:sz w:val="20"/>
      <w:szCs w:val="20"/>
    </w:rPr>
  </w:style>
  <w:style w:type="paragraph" w:styleId="Nivel11">
    <w:name w:val="Nivel 1"/>
    <w:basedOn w:val="Nivel2Opcional"/>
    <w:qFormat/>
    <w:pPr>
      <w:shd w:val="clear" w:fill="76923C"/>
      <w:ind w:left="360" w:right="0" w:hanging="360"/>
    </w:pPr>
    <w:rPr>
      <w:b/>
    </w:rPr>
  </w:style>
  <w:style w:type="paragraph" w:styleId="Nivel3erro">
    <w:name w:val="Nivel 3-erro"/>
    <w:basedOn w:val="Nivel3"/>
    <w:autoRedefine/>
    <w:qFormat/>
    <w:pPr>
      <w:ind w:left="993" w:right="0" w:hanging="0"/>
    </w:pPr>
    <w:rPr/>
  </w:style>
  <w:style w:type="paragraph" w:styleId="Nivel4">
    <w:name w:val="Nivel 4"/>
    <w:basedOn w:val="Nvel4R"/>
    <w:autoRedefine/>
    <w:qFormat/>
    <w:pPr>
      <w:widowControl/>
      <w:tabs>
        <w:tab w:val="clear" w:pos="709"/>
        <w:tab w:val="left" w:pos="1140" w:leader="none"/>
      </w:tabs>
      <w:suppressAutoHyphens w:val="true"/>
      <w:bidi w:val="0"/>
      <w:spacing w:lineRule="auto" w:line="276" w:before="0" w:after="0"/>
      <w:ind w:left="0" w:right="0" w:firstLine="1134"/>
      <w:jc w:val="both"/>
    </w:pPr>
    <w:rPr>
      <w:i w:val="false"/>
      <w:color w:val="auto"/>
    </w:rPr>
  </w:style>
  <w:style w:type="paragraph" w:styleId="Nivel5">
    <w:name w:val="Nivel 5"/>
    <w:basedOn w:val="Nvel4R"/>
    <w:autoRedefine/>
    <w:qFormat/>
    <w:pPr>
      <w:ind w:left="851" w:right="0" w:hanging="0"/>
    </w:pPr>
    <w:rPr/>
  </w:style>
  <w:style w:type="paragraph" w:styleId="Textbody">
    <w:name w:val="textbody"/>
    <w:basedOn w:val="Normal"/>
    <w:qFormat/>
    <w:pPr>
      <w:spacing w:before="280" w:after="280"/>
    </w:pPr>
    <w:rPr>
      <w:rFonts w:ascii="Times New Roman" w:hAnsi="Times New Roman" w:eastAsia="Times New Roman" w:cs="Times New Roman"/>
    </w:rPr>
  </w:style>
  <w:style w:type="paragraph" w:styleId="Em0020ementa">
    <w:name w:val="em_0020ementa"/>
    <w:basedOn w:val="Normal"/>
    <w:qFormat/>
    <w:pPr>
      <w:ind w:left="4160" w:right="0" w:hanging="0"/>
      <w:jc w:val="both"/>
    </w:pPr>
    <w:rPr>
      <w:rFonts w:ascii="Times New Roman" w:hAnsi="Times New Roman" w:eastAsia="Times New Roman" w:cs="Times New Roman"/>
      <w:sz w:val="28"/>
      <w:szCs w:val="28"/>
    </w:rPr>
  </w:style>
  <w:style w:type="paragraph" w:styleId="Revision">
    <w:name w:val="Revision"/>
    <w:qFormat/>
    <w:pPr>
      <w:widowControl/>
      <w:suppressAutoHyphens w:val="true"/>
      <w:overflowPunct w:val="true"/>
      <w:bidi w:val="0"/>
      <w:spacing w:before="0" w:after="0"/>
      <w:jc w:val="left"/>
    </w:pPr>
    <w:rPr>
      <w:rFonts w:ascii="Ecofont_Spranq_eco_Sans" w:hAnsi="Ecofont_Spranq_eco_Sans" w:eastAsia="Times New Roman" w:cs="Tahoma"/>
      <w:color w:val="auto"/>
      <w:kern w:val="0"/>
      <w:sz w:val="24"/>
      <w:szCs w:val="24"/>
      <w:lang w:val="pt-BR" w:eastAsia="pt-BR" w:bidi="ar-SA"/>
    </w:rPr>
  </w:style>
  <w:style w:type="paragraph" w:styleId="Texto1">
    <w:name w:val="texto1"/>
    <w:basedOn w:val="Normal"/>
    <w:qFormat/>
    <w:pPr>
      <w:spacing w:before="280" w:after="280"/>
    </w:pPr>
    <w:rPr>
      <w:rFonts w:ascii="Times New Roman" w:hAnsi="Times New Roman" w:eastAsia="Times New Roman" w:cs="Times New Roman"/>
    </w:rPr>
  </w:style>
  <w:style w:type="paragraph" w:styleId="GradeColoridanfase11">
    <w:name w:val="Grade Colorida - Ênfase 11"/>
    <w:basedOn w:val="Normal"/>
    <w:next w:val="Normal"/>
    <w:qFormat/>
    <w:pPr>
      <w:pBdr>
        <w:top w:val="single" w:sz="4" w:space="1" w:color="1F497D"/>
        <w:left w:val="single" w:sz="4" w:space="4" w:color="1F497D"/>
        <w:bottom w:val="single" w:sz="4" w:space="1" w:color="1F497D"/>
        <w:right w:val="single" w:sz="4" w:space="4" w:color="1F497D"/>
      </w:pBdr>
      <w:shd w:val="clear" w:fill="FFFFCC"/>
      <w:spacing w:before="120" w:after="0"/>
      <w:jc w:val="both"/>
    </w:pPr>
    <w:rPr>
      <w:rFonts w:ascii="Arial" w:hAnsi="Arial" w:eastAsia="Calibri" w:cs="Times New Roman"/>
      <w:i/>
      <w:iCs/>
      <w:color w:val="000000"/>
      <w:sz w:val="20"/>
      <w:lang w:eastAsia="en-US"/>
    </w:rPr>
  </w:style>
  <w:style w:type="paragraph" w:styleId="Xwestern">
    <w:name w:val="x_western"/>
    <w:basedOn w:val="Normal"/>
    <w:qFormat/>
    <w:pPr>
      <w:spacing w:before="280" w:after="280"/>
    </w:pPr>
    <w:rPr>
      <w:rFonts w:ascii="Times New Roman" w:hAnsi="Times New Roman" w:eastAsia="Times New Roman" w:cs="Times New Roman"/>
    </w:rPr>
  </w:style>
  <w:style w:type="paragraph" w:styleId="TCUAcitem90">
    <w:name w:val="TCU - Ac - item 9 - §§_0"/>
    <w:basedOn w:val="Normal"/>
    <w:qFormat/>
    <w:pPr>
      <w:ind w:left="0" w:right="0" w:firstLine="1134"/>
      <w:jc w:val="both"/>
    </w:pPr>
    <w:rPr>
      <w:rFonts w:ascii="Times New Roman" w:hAnsi="Times New Roman" w:eastAsia="Times New Roman" w:cs="Times New Roman"/>
      <w:szCs w:val="22"/>
      <w:lang w:eastAsia="en-US"/>
    </w:rPr>
  </w:style>
  <w:style w:type="paragraph" w:styleId="Normal1">
    <w:name w:val="Normal_1"/>
    <w:qFormat/>
    <w:pPr>
      <w:widowControl/>
      <w:suppressAutoHyphens w:val="true"/>
      <w:overflowPunct w:val="true"/>
      <w:bidi w:val="0"/>
      <w:spacing w:before="0" w:after="0"/>
      <w:jc w:val="left"/>
    </w:pPr>
    <w:rPr>
      <w:rFonts w:ascii="Times New Roman" w:hAnsi="Times New Roman" w:eastAsia="Times New Roman" w:cs="Times New Roman"/>
      <w:color w:val="auto"/>
      <w:kern w:val="0"/>
      <w:sz w:val="24"/>
      <w:szCs w:val="22"/>
      <w:lang w:val="pt-BR" w:eastAsia="en-US" w:bidi="ar-SA"/>
    </w:rPr>
  </w:style>
  <w:style w:type="paragraph" w:styleId="Tcuacitem91linha">
    <w:name w:val="tcu_-__ac_-_item_9_-_1ª_linha"/>
    <w:basedOn w:val="Normal"/>
    <w:qFormat/>
    <w:pPr>
      <w:spacing w:before="280" w:after="280"/>
    </w:pPr>
    <w:rPr>
      <w:rFonts w:ascii="Times New Roman" w:hAnsi="Times New Roman" w:eastAsia="Times New Roman" w:cs="Times New Roman"/>
    </w:rPr>
  </w:style>
  <w:style w:type="paragraph" w:styleId="Textojustificadorecuoprimeiralinha">
    <w:name w:val="texto_justificado_recuo_primeira_linha"/>
    <w:basedOn w:val="Normal"/>
    <w:qFormat/>
    <w:pPr>
      <w:spacing w:before="280" w:after="280"/>
    </w:pPr>
    <w:rPr>
      <w:rFonts w:ascii="Times New Roman" w:hAnsi="Times New Roman" w:eastAsia="Times New Roman" w:cs="Times New Roman"/>
    </w:rPr>
  </w:style>
  <w:style w:type="paragraph" w:styleId="Textojustificado">
    <w:name w:val="texto_justificado"/>
    <w:basedOn w:val="Normal"/>
    <w:qFormat/>
    <w:pPr>
      <w:spacing w:before="280" w:after="280"/>
    </w:pPr>
    <w:rPr>
      <w:rFonts w:ascii="Times New Roman" w:hAnsi="Times New Roman" w:eastAsia="Times New Roman" w:cs="Times New Roman"/>
    </w:rPr>
  </w:style>
  <w:style w:type="paragraph" w:styleId="Nvel2Opcional">
    <w:name w:val="Nível 2 Opcional"/>
    <w:basedOn w:val="Nivel2Opcional"/>
    <w:qFormat/>
    <w:pPr>
      <w:shd w:val="clear" w:fill="76923C"/>
      <w:ind w:left="432" w:right="0" w:hanging="432"/>
    </w:pPr>
    <w:rPr>
      <w:rFonts w:eastAsia="Times New Roman"/>
      <w:i w:val="false"/>
    </w:rPr>
  </w:style>
  <w:style w:type="paragraph" w:styleId="Nvel3Opcional">
    <w:name w:val="Nível 3 Opcional"/>
    <w:basedOn w:val="Nivel3erro"/>
    <w:qFormat/>
    <w:pPr>
      <w:ind w:left="1072" w:right="0" w:hanging="504"/>
    </w:pPr>
    <w:rPr>
      <w:rFonts w:eastAsia="Times New Roman"/>
      <w:i/>
      <w:iCs/>
      <w:color w:val="FF0000"/>
    </w:rPr>
  </w:style>
  <w:style w:type="paragraph"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fill="FFFFCC"/>
      <w:suppressAutoHyphens w:val="true"/>
      <w:spacing w:before="120" w:after="0"/>
      <w:jc w:val="both"/>
    </w:pPr>
    <w:rPr>
      <w:rFonts w:eastAsia="Calibri"/>
      <w:i/>
      <w:iCs/>
      <w:color w:val="000000"/>
      <w:sz w:val="20"/>
      <w:lang w:eastAsia="zh-CN"/>
    </w:rPr>
  </w:style>
  <w:style w:type="paragraph" w:styleId="Corpo">
    <w:name w:val="corpo"/>
    <w:basedOn w:val="Normal"/>
    <w:qFormat/>
    <w:pPr>
      <w:spacing w:before="280" w:after="280"/>
    </w:pPr>
    <w:rPr>
      <w:rFonts w:ascii="Times New Roman" w:hAnsi="Times New Roman" w:eastAsia="Times New Roman" w:cs="Times New Roman"/>
    </w:rPr>
  </w:style>
  <w:style w:type="paragraph" w:styleId="Itemnivel2">
    <w:name w:val="item_nivel2"/>
    <w:basedOn w:val="Normal"/>
    <w:qFormat/>
    <w:pPr>
      <w:spacing w:before="280" w:after="280"/>
    </w:pPr>
    <w:rPr>
      <w:rFonts w:ascii="Times New Roman" w:hAnsi="Times New Roman" w:eastAsia="Times New Roman" w:cs="Times New Roman"/>
    </w:rPr>
  </w:style>
  <w:style w:type="paragraph" w:styleId="Itemnivel1">
    <w:name w:val="item_nivel1"/>
    <w:basedOn w:val="Normal"/>
    <w:qFormat/>
    <w:pPr>
      <w:spacing w:before="280" w:after="280"/>
    </w:pPr>
    <w:rPr>
      <w:rFonts w:ascii="Times New Roman" w:hAnsi="Times New Roman" w:eastAsia="Times New Roman" w:cs="Times New Roman"/>
    </w:rPr>
  </w:style>
  <w:style w:type="paragraph" w:styleId="Itemalinealetra">
    <w:name w:val="item_alinea_letra"/>
    <w:basedOn w:val="Normal"/>
    <w:qFormat/>
    <w:pPr>
      <w:spacing w:before="280" w:after="280"/>
    </w:pPr>
    <w:rPr>
      <w:rFonts w:ascii="Times New Roman" w:hAnsi="Times New Roman" w:eastAsia="Times New Roman" w:cs="Times New Roman"/>
    </w:rPr>
  </w:style>
  <w:style w:type="paragraph" w:styleId="Standard">
    <w:name w:val="Standard"/>
    <w:qFormat/>
    <w:pPr>
      <w:widowControl/>
      <w:suppressAutoHyphens w:val="true"/>
      <w:overflowPunct w:val="true"/>
      <w:bidi w:val="0"/>
      <w:spacing w:before="0" w:after="0"/>
      <w:jc w:val="left"/>
    </w:pPr>
    <w:rPr>
      <w:rFonts w:ascii="Liberation Serif" w:hAnsi="Liberation Serif" w:eastAsia="NSimSun" w:cs="Lucida Sans"/>
      <w:color w:val="auto"/>
      <w:kern w:val="2"/>
      <w:sz w:val="24"/>
      <w:szCs w:val="24"/>
      <w:lang w:val="pt-BR" w:eastAsia="zh-CN" w:bidi="hi-IN"/>
    </w:rPr>
  </w:style>
  <w:style w:type="paragraph" w:styleId="Textbody1">
    <w:name w:val="Text body"/>
    <w:basedOn w:val="Standard"/>
    <w:qFormat/>
    <w:pPr>
      <w:spacing w:lineRule="auto" w:line="276" w:before="0" w:after="140"/>
    </w:pPr>
    <w:rPr/>
  </w:style>
  <w:style w:type="paragraph" w:styleId="Ou">
    <w:name w:val="ou"/>
    <w:basedOn w:val="ListParagraph"/>
    <w:autoRedefine/>
    <w:qFormat/>
    <w:pPr>
      <w:spacing w:lineRule="auto" w:line="259" w:before="0" w:after="0"/>
      <w:ind w:left="0" w:right="0" w:hanging="0"/>
      <w:contextualSpacing/>
      <w:jc w:val="center"/>
    </w:pPr>
    <w:rPr>
      <w:rFonts w:ascii="Arial" w:hAnsi="Arial" w:eastAsia="Cambria" w:cs="Arial"/>
      <w:b/>
      <w:bCs/>
      <w:i/>
      <w:iCs/>
      <w:color w:val="FF0000"/>
      <w:sz w:val="20"/>
    </w:rPr>
  </w:style>
  <w:style w:type="paragraph" w:styleId="Douparagraph">
    <w:name w:val="dou-paragraph"/>
    <w:basedOn w:val="Normal"/>
    <w:qFormat/>
    <w:pPr>
      <w:spacing w:before="280" w:after="280"/>
    </w:pPr>
    <w:rPr>
      <w:rFonts w:ascii="Times New Roman" w:hAnsi="Times New Roman" w:eastAsia="Times New Roman" w:cs="Times New Roman"/>
    </w:rPr>
  </w:style>
  <w:style w:type="paragraph" w:styleId="Nvel02">
    <w:name w:val="Nível 02"/>
    <w:basedOn w:val="Nivel2Opcional"/>
    <w:autoRedefine/>
    <w:qFormat/>
    <w:pPr>
      <w:widowControl/>
      <w:shd w:val="clear" w:fill="FFFFFF"/>
      <w:tabs>
        <w:tab w:val="clear" w:pos="709"/>
        <w:tab w:val="left" w:pos="735" w:leader="none"/>
      </w:tabs>
      <w:suppressAutoHyphens w:val="true"/>
      <w:bidi w:val="0"/>
      <w:spacing w:lineRule="auto" w:line="276" w:before="114" w:after="114"/>
      <w:ind w:left="0" w:right="0" w:firstLine="567"/>
      <w:jc w:val="both"/>
    </w:pPr>
    <w:rPr>
      <w:i w:val="false"/>
      <w:iCs/>
      <w:color w:val="000000"/>
    </w:rPr>
  </w:style>
  <w:style w:type="paragraph" w:styleId="Nvel3R">
    <w:name w:val="Nível 3-R"/>
    <w:basedOn w:val="Nivel3erro"/>
    <w:autoRedefine/>
    <w:qFormat/>
    <w:pPr>
      <w:ind w:left="1638" w:right="0" w:hanging="504"/>
    </w:pPr>
    <w:rPr>
      <w:rFonts w:cs="Arial"/>
      <w:i/>
      <w:iCs/>
      <w:color w:val="FF0000"/>
    </w:rPr>
  </w:style>
  <w:style w:type="paragraph" w:styleId="Nvel4R">
    <w:name w:val="Nível 4-R"/>
    <w:basedOn w:val="Nvel3Opcional1"/>
    <w:autoRedefine/>
    <w:qFormat/>
    <w:pPr>
      <w:ind w:left="567" w:right="0" w:hanging="0"/>
    </w:pPr>
    <w:rPr>
      <w:rFonts w:cs="Arial"/>
      <w:bCs/>
      <w:color w:val="000000"/>
      <w:szCs w:val="20"/>
    </w:rPr>
  </w:style>
  <w:style w:type="paragraph" w:styleId="Nvel1SemNum">
    <w:name w:val="Nível 1-Sem Num"/>
    <w:basedOn w:val="Nivel01"/>
    <w:autoRedefine/>
    <w:qFormat/>
    <w:pPr>
      <w:widowControl/>
      <w:shd w:val="clear" w:fill="FFFFFF"/>
      <w:suppressAutoHyphens w:val="true"/>
      <w:bidi w:val="0"/>
      <w:spacing w:lineRule="auto" w:line="276" w:before="0" w:after="0"/>
      <w:ind w:left="0" w:right="0" w:hanging="0"/>
      <w:jc w:val="both"/>
      <w:outlineLvl w:val="1"/>
    </w:pPr>
    <w:rPr>
      <w:i/>
      <w:iCs w:val="false"/>
      <w:color w:val="FF0000"/>
    </w:rPr>
  </w:style>
  <w:style w:type="paragraph" w:styleId="Citao2">
    <w:name w:val="citação 2"/>
    <w:basedOn w:val="Quote"/>
    <w:qFormat/>
    <w:pPr>
      <w:shd w:val="clear" w:fill="FFFFCC"/>
      <w:overflowPunct w:val="true"/>
    </w:pPr>
    <w:rPr>
      <w:szCs w:val="20"/>
    </w:rPr>
  </w:style>
  <w:style w:type="paragraph" w:styleId="Prembulo">
    <w:name w:val="Preâmbulo"/>
    <w:basedOn w:val="Normal"/>
    <w:qFormat/>
    <w:pPr>
      <w:spacing w:lineRule="auto" w:line="360" w:before="480" w:after="120"/>
      <w:ind w:left="4253" w:right="-17" w:hanging="0"/>
      <w:jc w:val="both"/>
    </w:pPr>
    <w:rPr>
      <w:rFonts w:ascii="Arial" w:hAnsi="Arial" w:eastAsia="Arial" w:cs="Arial"/>
      <w:bCs/>
      <w:sz w:val="20"/>
      <w:szCs w:val="20"/>
    </w:rPr>
  </w:style>
  <w:style w:type="paragraph" w:styleId="Nvel1SemNumerao">
    <w:name w:val="Nível 1-Sem Numeração"/>
    <w:basedOn w:val="Nvel1SemNum"/>
    <w:autoRedefine/>
    <w:qFormat/>
    <w:pPr>
      <w:widowControl/>
      <w:numPr>
        <w:ilvl w:val="0"/>
        <w:numId w:val="0"/>
      </w:numPr>
      <w:shd w:val="clear" w:fill="FFFFFF"/>
      <w:tabs>
        <w:tab w:val="left" w:pos="120" w:leader="none"/>
        <w:tab w:val="left" w:pos="345" w:leader="none"/>
        <w:tab w:val="left" w:pos="390" w:leader="none"/>
        <w:tab w:val="left" w:pos="570" w:leader="none"/>
        <w:tab w:val="left" w:pos="900" w:leader="none"/>
        <w:tab w:val="left" w:pos="1020" w:leader="none"/>
        <w:tab w:val="left" w:pos="1140" w:leader="none"/>
      </w:tabs>
      <w:suppressAutoHyphens w:val="true"/>
      <w:overflowPunct w:val="true"/>
      <w:bidi w:val="0"/>
      <w:spacing w:lineRule="auto" w:line="276" w:before="0" w:after="0"/>
      <w:ind w:left="1191" w:right="0" w:hanging="567"/>
      <w:jc w:val="both"/>
    </w:pPr>
    <w:rPr>
      <w:b/>
      <w:bCs/>
      <w:i w:val="false"/>
      <w:color w:val="000000"/>
      <w:lang w:eastAsia="en-US"/>
    </w:rPr>
  </w:style>
  <w:style w:type="paragraph" w:styleId="Nivel3">
    <w:name w:val="Nivel 3"/>
    <w:basedOn w:val="Normal"/>
    <w:qFormat/>
    <w:pPr>
      <w:spacing w:lineRule="auto" w:line="276" w:before="120" w:after="120"/>
      <w:ind w:left="284" w:right="0" w:hanging="0"/>
      <w:jc w:val="both"/>
    </w:pPr>
    <w:rPr>
      <w:rFonts w:ascii="Arial" w:hAnsi="Arial"/>
      <w:sz w:val="20"/>
    </w:rPr>
  </w:style>
  <w:style w:type="paragraph" w:styleId="Alteraes">
    <w:name w:val="Alterações"/>
    <w:basedOn w:val="Nvel02"/>
    <w:qFormat/>
    <w:pPr>
      <w:shd w:val="clear" w:fill="FFFFFF"/>
    </w:pPr>
    <w:rPr>
      <w:color w:val="0000FF"/>
    </w:rPr>
  </w:style>
  <w:style w:type="paragraph" w:styleId="Contedodatabela">
    <w:name w:val="Conteúdo da tabela"/>
    <w:basedOn w:val="Normal"/>
    <w:qFormat/>
    <w:pPr>
      <w:widowControl w:val="false"/>
      <w:suppressLineNumbers/>
      <w:suppressAutoHyphens w:val="true"/>
      <w:textAlignment w:val="baseline"/>
    </w:pPr>
    <w:rPr>
      <w:rFonts w:ascii="Times New Roman" w:hAnsi="Times New Roman" w:eastAsia="SimSun"/>
      <w:kern w:val="2"/>
      <w:lang w:eastAsia="zh-CN" w:bidi="hi-IN"/>
    </w:rPr>
  </w:style>
  <w:style w:type="paragraph" w:styleId="Nivel21">
    <w:name w:val="Nivel 21"/>
    <w:basedOn w:val="Normal"/>
    <w:autoRedefine/>
    <w:qFormat/>
    <w:pPr>
      <w:shd w:val="clear" w:fill="948A54"/>
      <w:spacing w:lineRule="auto" w:line="276" w:before="120" w:after="120"/>
      <w:ind w:left="999" w:right="0" w:hanging="432"/>
      <w:jc w:val="both"/>
    </w:pPr>
    <w:rPr>
      <w:rFonts w:ascii="Arial" w:hAnsi="Arial" w:eastAsia="Arial" w:cs="Arial"/>
      <w:color w:val="000000"/>
      <w:sz w:val="20"/>
      <w:szCs w:val="20"/>
    </w:rPr>
  </w:style>
  <w:style w:type="paragraph" w:styleId="Nvel2Opcional1">
    <w:name w:val="Nível 2-Opcional"/>
    <w:basedOn w:val="Nvel02"/>
    <w:qFormat/>
    <w:pPr>
      <w:shd w:val="clear" w:fill="FFFFFF"/>
    </w:pPr>
    <w:rPr>
      <w:i/>
      <w:color w:val="FF0000"/>
    </w:rPr>
  </w:style>
  <w:style w:type="paragraph" w:styleId="Nvel3Opcional1">
    <w:name w:val="Nível 3-Opcional"/>
    <w:basedOn w:val="Nivel3"/>
    <w:qFormat/>
    <w:pPr/>
    <w:rPr>
      <w:i/>
      <w:color w:val="FF0000"/>
    </w:rPr>
  </w:style>
  <w:style w:type="paragraph" w:styleId="Nvel1SemBlack">
    <w:name w:val="Nível 1-Sem Black"/>
    <w:basedOn w:val="Normal"/>
    <w:qFormat/>
    <w:pPr>
      <w:keepNext w:val="true"/>
      <w:keepLines/>
      <w:tabs>
        <w:tab w:val="clear" w:pos="709"/>
        <w:tab w:val="left" w:pos="567" w:leader="none"/>
      </w:tabs>
      <w:spacing w:lineRule="auto" w:line="276" w:before="240" w:after="120"/>
      <w:jc w:val="both"/>
      <w:outlineLvl w:val="1"/>
    </w:pPr>
    <w:rPr>
      <w:rFonts w:ascii="Arial" w:hAnsi="Arial" w:eastAsia="ＭＳ ゴシック" w:cs="Arial"/>
      <w:b/>
      <w:bCs/>
      <w:sz w:val="20"/>
      <w:szCs w:val="20"/>
    </w:rPr>
  </w:style>
  <w:style w:type="paragraph" w:styleId="Nivel2">
    <w:name w:val="Nivel 2"/>
    <w:basedOn w:val="Normal"/>
    <w:autoRedefine/>
    <w:qFormat/>
    <w:pPr>
      <w:spacing w:lineRule="auto" w:line="276" w:before="120" w:after="120"/>
      <w:ind w:left="999" w:right="0" w:hanging="432"/>
      <w:jc w:val="both"/>
    </w:pPr>
    <w:rPr>
      <w:rFonts w:ascii="Arial" w:hAnsi="Arial" w:eastAsia="Arial" w:cs="Arial"/>
      <w:color w:val="000000"/>
      <w:sz w:val="20"/>
      <w:szCs w:val="20"/>
    </w:rPr>
  </w:style>
  <w:style w:type="paragraph" w:styleId="Estilo7">
    <w:name w:val="Estilo7"/>
    <w:basedOn w:val="Nvel02"/>
    <w:qFormat/>
    <w:pPr>
      <w:shd w:val="clear" w:fill="FFFFFF"/>
    </w:pPr>
    <w:rPr/>
  </w:style>
  <w:style w:type="paragraph" w:styleId="Default">
    <w:name w:val="Default"/>
    <w:qFormat/>
    <w:pPr>
      <w:widowControl/>
      <w:suppressAutoHyphens w:val="true"/>
      <w:overflowPunct w:val="true"/>
      <w:bidi w:val="0"/>
      <w:spacing w:before="0" w:after="0"/>
      <w:jc w:val="left"/>
    </w:pPr>
    <w:rPr>
      <w:rFonts w:ascii="Arial" w:hAnsi="Arial" w:eastAsia="Times New Roman" w:cs="Arial"/>
      <w:color w:val="000000"/>
      <w:kern w:val="0"/>
      <w:sz w:val="24"/>
      <w:szCs w:val="24"/>
      <w:lang w:val="pt-BR" w:eastAsia="zh-CN" w:bidi="ar-SA"/>
    </w:rPr>
  </w:style>
  <w:style w:type="paragraph" w:styleId="Ttulodetabela">
    <w:name w:val="Título de tabela"/>
    <w:basedOn w:val="Contedodatabela"/>
    <w:qFormat/>
    <w:pPr>
      <w:suppressLineNumbers/>
      <w:jc w:val="center"/>
    </w:pPr>
    <w:rPr>
      <w:b/>
      <w:bCs/>
    </w:rPr>
  </w:style>
  <w:style w:type="paragraph" w:styleId="Nvel2Red">
    <w:name w:val="Nível 2 -Red"/>
    <w:basedOn w:val="Nivel2"/>
    <w:qFormat/>
    <w:pPr>
      <w:widowControl/>
      <w:bidi w:val="0"/>
      <w:spacing w:lineRule="auto" w:line="276" w:before="0" w:after="0"/>
      <w:ind w:left="1247" w:right="0" w:hanging="454"/>
      <w:jc w:val="both"/>
    </w:pPr>
    <w:rPr>
      <w:b w:val="false"/>
      <w:bCs w:val="false"/>
      <w:i w:val="false"/>
      <w:iCs w:val="false"/>
      <w:color w:val="000000"/>
    </w:rPr>
  </w:style>
  <w:style w:type="paragraph" w:styleId="Western">
    <w:name w:val="western"/>
    <w:basedOn w:val="Normal"/>
    <w:qFormat/>
    <w:pPr>
      <w:widowControl/>
      <w:suppressAutoHyphens w:val="false"/>
      <w:spacing w:lineRule="auto" w:line="276" w:before="280" w:after="142"/>
    </w:pPr>
    <w:rPr>
      <w:rFonts w:ascii="Arial" w:hAnsi="Arial" w:eastAsia="Arial"/>
      <w:kern w:val="0"/>
      <w:lang w:eastAsia="ar-SA"/>
    </w:rPr>
  </w:style>
  <w:style w:type="paragraph" w:styleId="Ttulo11">
    <w:name w:val="Título1"/>
    <w:basedOn w:val="Normal"/>
    <w:qFormat/>
    <w:pPr>
      <w:keepNext w:val="true"/>
      <w:spacing w:before="240" w:after="120"/>
    </w:pPr>
    <w:rPr>
      <w:rFonts w:ascii="Liberation Sans" w:hAnsi="Liberation Sans" w:eastAsia="Mangal"/>
      <w:sz w:val="28"/>
      <w:szCs w:val="28"/>
      <w:lang w:eastAsia="hi-IN"/>
    </w:rPr>
  </w:style>
  <w:style w:type="paragraph" w:styleId="Ttulo21">
    <w:name w:val="Título2"/>
    <w:basedOn w:val="Normal"/>
    <w:qFormat/>
    <w:pPr>
      <w:keepNext w:val="true"/>
      <w:spacing w:before="240" w:after="120"/>
    </w:pPr>
    <w:rPr>
      <w:rFonts w:ascii="Liberation Sans" w:hAnsi="Liberation Sans" w:eastAsia="Lucida Sans"/>
      <w:sz w:val="28"/>
      <w:szCs w:val="28"/>
      <w:lang w:eastAsia="hi-IN"/>
    </w:rPr>
  </w:style>
  <w:style w:type="paragraph" w:styleId="TableParagraph">
    <w:name w:val="Table Paragraph"/>
    <w:basedOn w:val="Normal"/>
    <w:qFormat/>
    <w:pPr>
      <w:spacing w:lineRule="exact" w:line="247"/>
      <w:jc w:val="center"/>
    </w:pPr>
    <w:rPr>
      <w:rFonts w:ascii="Times New Roman" w:hAnsi="Times New Roman" w:eastAsia="Times New Roman" w:cs="Times New Roman"/>
      <w:lang w:val="pt-PT" w:eastAsia="en-US" w:bidi="ar-SA"/>
    </w:rPr>
  </w:style>
  <w:style w:type="paragraph" w:styleId="PargrafodaLista">
    <w:name w:val="Parágrafo da Lista"/>
    <w:basedOn w:val="Normal"/>
    <w:qFormat/>
    <w:pPr>
      <w:ind w:left="708" w:right="0" w:hanging="0"/>
    </w:pPr>
    <w:rPr/>
  </w:style>
  <w:style w:type="numbering" w:styleId="NoList">
    <w:name w:val="No List"/>
    <w:qFormat/>
  </w:style>
  <w:style w:type="numbering" w:styleId="Estilo1">
    <w:name w:val="Estilo1"/>
    <w:qFormat/>
  </w:style>
  <w:style w:type="numbering" w:styleId="Estilo2">
    <w:name w:val="Estilo2"/>
    <w:qFormat/>
  </w:style>
  <w:style w:type="numbering" w:styleId="Estilo3">
    <w:name w:val="Estilo3"/>
    <w:qFormat/>
  </w:style>
  <w:style w:type="numbering" w:styleId="Estilo4">
    <w:name w:val="Estilo4"/>
    <w:qFormat/>
  </w:style>
  <w:style w:type="numbering" w:styleId="Estilo5">
    <w:name w:val="Estilo5"/>
    <w:qFormat/>
  </w:style>
  <w:style w:type="numbering" w:styleId="Estilo6">
    <w:name w:val="Estilo6"/>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image" Target="media/image2.png"/><Relationship Id="rId4" Type="http://schemas.openxmlformats.org/officeDocument/2006/relationships/hyperlink" Target="mailto:sergio.sousa@marinha.mil.br" TargetMode="External"/><Relationship Id="rId5" Type="http://schemas.openxmlformats.org/officeDocument/2006/relationships/hyperlink" Target="mailto:verly.jairo@marinha.mil.br" TargetMode="External"/><Relationship Id="rId6" Type="http://schemas.openxmlformats.org/officeDocument/2006/relationships/hyperlink" Target="mailto:marcos.ferreira.gomes@marinha.mil.br"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624</TotalTime>
  <Application>LibreOffice/7.3.7.2$Linux_X86_64 LibreOffice_project/30$Build-2</Application>
  <AppVersion>15.0000</AppVersion>
  <Pages>17</Pages>
  <Words>5805</Words>
  <Characters>33357</Characters>
  <CharactersWithSpaces>38797</CharactersWithSpaces>
  <Paragraphs>263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cp:lastPrinted>2026-07-22T13:31:07Z</cp:lastPrinted>
  <dcterms:modified xsi:type="dcterms:W3CDTF">2026-10-21T13:51:18Z</dcterms:modified>
  <cp:revision>96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