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16</w:t>
      </w:r>
      <w:r>
        <w:rPr>
          <w:rFonts w:cs="Arial"/>
          <w:bCs/>
          <w:i/>
          <w:iCs/>
          <w:color w:val="5B5B5F"/>
          <w:sz w:val="28"/>
          <w:szCs w:val="28"/>
        </w:rPr>
        <w:t>6</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2"/>
          <w:szCs w:val="22"/>
        </w:rPr>
      </w:pPr>
      <w:r>
        <w:rPr>
          <w:rFonts w:eastAsia="" w:cs="Arial"/>
          <w:b/>
          <w:bCs/>
          <w:color w:val="808080"/>
          <w:sz w:val="22"/>
          <w:szCs w:val="22"/>
          <w:shd w:fill="auto" w:val="clear"/>
        </w:rPr>
        <w:t xml:space="preserve">AQUISIÇÃO DE </w:t>
      </w:r>
      <w:r>
        <w:rPr>
          <w:rFonts w:eastAsia="" w:cs="Arial"/>
          <w:b/>
          <w:bCs/>
          <w:color w:val="808080"/>
          <w:sz w:val="22"/>
          <w:szCs w:val="22"/>
          <w:shd w:fill="auto" w:val="clear"/>
        </w:rPr>
        <w:t>APARELHO DE OTORRINO</w:t>
      </w:r>
      <w:r>
        <w:rPr>
          <w:rFonts w:eastAsia="" w:cs="Arial"/>
          <w:b/>
          <w:bCs/>
          <w:color w:val="808080"/>
          <w:sz w:val="22"/>
          <w:szCs w:val="22"/>
          <w:shd w:fill="auto" w:val="clear"/>
        </w:rPr>
        <w:t>LARINGOLOGIA</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highlight w:val="none"/>
          <w:shd w:fill="auto" w:val="clear"/>
        </w:rPr>
      </w:pPr>
      <w:r>
        <w:rPr>
          <w:rFonts w:cs="Arial"/>
          <w:bCs/>
          <w:color w:val="5B5B5F"/>
          <w:sz w:val="28"/>
          <w:szCs w:val="28"/>
          <w:shd w:fill="auto" w:val="clear"/>
        </w:rPr>
        <w:t>R$ 45.159,96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01/</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16</w:t>
      </w:r>
      <w:r>
        <w:rPr>
          <w:rFonts w:cs="Arial"/>
          <w:b/>
          <w:color w:val="1C1C1C"/>
          <w:szCs w:val="20"/>
        </w:rPr>
        <w:t>6</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63065.002040/2026-07</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de equipamento médico de saúde, para a clinica de Otorrinolaringologia, video-laringoestroboscópio, incluindo instalação, montagem e treinamento e aparelho de notebook,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Caladea" w:hAnsi="Caladea"/>
                <w:sz w:val="20"/>
                <w:szCs w:val="20"/>
              </w:rPr>
            </w:pPr>
            <w:r>
              <w:rPr>
                <w:rFonts w:ascii="Caladea" w:hAnsi="Caladea"/>
                <w:b/>
                <w:bCs/>
                <w:i w:val="false"/>
                <w:iCs w:val="false"/>
                <w:strike w:val="false"/>
                <w:dstrike w:val="false"/>
                <w:outline w:val="false"/>
                <w:shadow w:val="false"/>
                <w:color w:val="000000"/>
                <w:sz w:val="20"/>
                <w:szCs w:val="20"/>
                <w:u w:val="none"/>
              </w:rPr>
              <w:t>1</w:t>
            </w:r>
          </w:p>
        </w:tc>
        <w:tc>
          <w:tcPr>
            <w:tcW w:w="1812" w:type="dxa"/>
            <w:tcBorders>
              <w:bottom w:val="single" w:sz="6" w:space="0" w:color="666666"/>
              <w:right w:val="single" w:sz="6" w:space="0" w:color="666666"/>
            </w:tcBorders>
          </w:tcPr>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PRODUTO VIDEO-</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LARINGOESTROBOSCÓ</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PIO : Equipamento de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laringoscopia 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estroboscopia com alta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qualidade de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imagem,proporcionando</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diagnóstico preciso,</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visualização detalhada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das pregas vocais 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máxima segurança na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avaliação clínica,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contendo os seguintes</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itens: 01 (uma) ótica rígida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de 9 milímetros, com cabo</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conector usb, com</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microcâmera, fonte de luz</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de (leds), sensor de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frequência e microfone de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som;2 (duas) opções de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luz – Luz estrobo e luz</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constante; 01 (um) cabo</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conector USB; 01 (um)</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manual do usuário</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UNTOUCH; 01 (uma)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caixa sob medida para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transporte 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armazenamento do</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equipamento. Com</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registro na</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ANVISA.MARCA DE</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REFERÊNCIA: LC960</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TOUCH/SN – OR UNT</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USB/ SIMILAR OU</w:t>
            </w:r>
          </w:p>
          <w:p>
            <w:pPr>
              <w:pStyle w:val="Contedodatabela"/>
              <w:jc w:val="center"/>
              <w:rPr>
                <w:rFonts w:ascii="Caladea" w:hAnsi="Caladea"/>
                <w:sz w:val="20"/>
                <w:szCs w:val="20"/>
              </w:rPr>
            </w:pPr>
            <w:r>
              <w:rPr>
                <w:rFonts w:ascii="Caladea" w:hAnsi="Caladea"/>
                <w:b w:val="false"/>
                <w:bCs w:val="false"/>
                <w:i w:val="false"/>
                <w:iCs w:val="false"/>
                <w:strike w:val="false"/>
                <w:dstrike w:val="false"/>
                <w:outline w:val="false"/>
                <w:shadow w:val="false"/>
                <w:color w:val="000000"/>
                <w:sz w:val="20"/>
                <w:szCs w:val="20"/>
                <w:u w:val="none"/>
              </w:rPr>
              <w:t>SUPERIOR.</w:t>
            </w:r>
          </w:p>
        </w:tc>
        <w:tc>
          <w:tcPr>
            <w:tcW w:w="1027" w:type="dxa"/>
            <w:tcBorders>
              <w:bottom w:val="single" w:sz="6" w:space="0" w:color="666666"/>
              <w:right w:val="single" w:sz="6" w:space="0" w:color="666666"/>
            </w:tcBorders>
          </w:tcPr>
          <w:p>
            <w:pPr>
              <w:pStyle w:val="Contedodatabela"/>
              <w:spacing w:before="57" w:after="57"/>
              <w:jc w:val="center"/>
              <w:rPr>
                <w:rFonts w:ascii="Caladea" w:hAnsi="Caladea"/>
                <w:sz w:val="20"/>
                <w:szCs w:val="20"/>
              </w:rPr>
            </w:pPr>
            <w:r>
              <w:rPr>
                <w:rFonts w:ascii="Caladea" w:hAnsi="Caladea"/>
                <w:sz w:val="20"/>
                <w:szCs w:val="20"/>
              </w:rPr>
              <w:t xml:space="preserve">633677 </w:t>
            </w:r>
          </w:p>
        </w:tc>
        <w:tc>
          <w:tcPr>
            <w:tcW w:w="1246" w:type="dxa"/>
            <w:tcBorders>
              <w:bottom w:val="single" w:sz="6" w:space="0" w:color="666666"/>
              <w:right w:val="single" w:sz="6" w:space="0" w:color="666666"/>
            </w:tcBorders>
          </w:tcPr>
          <w:p>
            <w:pPr>
              <w:pStyle w:val="Contedodatabela"/>
              <w:jc w:val="center"/>
              <w:rPr>
                <w:rFonts w:ascii="Caladea" w:hAnsi="Caladea"/>
                <w:sz w:val="20"/>
                <w:szCs w:val="20"/>
              </w:rPr>
            </w:pPr>
            <w:r>
              <w:rPr>
                <w:rFonts w:ascii="Caladea" w:hAnsi="Caladea"/>
                <w:sz w:val="20"/>
                <w:szCs w:val="20"/>
              </w:rPr>
              <w:t>UN</w:t>
            </w:r>
          </w:p>
        </w:tc>
        <w:tc>
          <w:tcPr>
            <w:tcW w:w="1697" w:type="dxa"/>
            <w:tcBorders>
              <w:bottom w:val="single" w:sz="6" w:space="0" w:color="666666"/>
              <w:right w:val="single" w:sz="6" w:space="0" w:color="666666"/>
            </w:tcBorders>
          </w:tcPr>
          <w:p>
            <w:pPr>
              <w:pStyle w:val="Contedodatabela"/>
              <w:jc w:val="center"/>
              <w:rPr>
                <w:rFonts w:ascii="Caladea" w:hAnsi="Caladea"/>
                <w:sz w:val="20"/>
                <w:szCs w:val="20"/>
              </w:rPr>
            </w:pPr>
            <w:r>
              <w:rPr>
                <w:rFonts w:ascii="Caladea" w:hAnsi="Caladea"/>
                <w:sz w:val="20"/>
                <w:szCs w:val="20"/>
              </w:rPr>
              <w:t>01</w:t>
            </w:r>
          </w:p>
        </w:tc>
        <w:tc>
          <w:tcPr>
            <w:tcW w:w="1477" w:type="dxa"/>
            <w:tcBorders>
              <w:bottom w:val="single" w:sz="6" w:space="0" w:color="666666"/>
              <w:right w:val="single" w:sz="6" w:space="0" w:color="666666"/>
            </w:tcBorders>
          </w:tcPr>
          <w:p>
            <w:pPr>
              <w:pStyle w:val="Contedodatabela"/>
              <w:jc w:val="center"/>
              <w:rPr>
                <w:rFonts w:ascii="Caladea" w:hAnsi="Caladea"/>
                <w:sz w:val="20"/>
                <w:szCs w:val="20"/>
              </w:rPr>
            </w:pPr>
            <w:r>
              <w:rPr>
                <w:rFonts w:ascii="Caladea" w:hAnsi="Caladea"/>
                <w:sz w:val="20"/>
                <w:szCs w:val="20"/>
              </w:rPr>
              <w:t xml:space="preserve">R$38.000,00 </w:t>
            </w:r>
          </w:p>
        </w:tc>
        <w:tc>
          <w:tcPr>
            <w:tcW w:w="1637" w:type="dxa"/>
            <w:tcBorders>
              <w:left w:val="single" w:sz="6" w:space="0" w:color="666666"/>
              <w:bottom w:val="single" w:sz="6" w:space="0" w:color="666666"/>
              <w:right w:val="single" w:sz="6" w:space="0" w:color="666666"/>
            </w:tcBorders>
          </w:tcPr>
          <w:p>
            <w:pPr>
              <w:pStyle w:val="Contedodatabela"/>
              <w:jc w:val="center"/>
              <w:rPr>
                <w:rFonts w:ascii="Caladea" w:hAnsi="Caladea"/>
                <w:sz w:val="20"/>
                <w:szCs w:val="20"/>
              </w:rPr>
            </w:pPr>
            <w:r>
              <w:rPr>
                <w:rFonts w:ascii="Caladea" w:hAnsi="Caladea"/>
                <w:sz w:val="20"/>
                <w:szCs w:val="20"/>
              </w:rPr>
              <w:t xml:space="preserve">R$38.000,00 </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tcPr>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NOTEBOOK- Notebook:</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Sistema Operacional</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windows 11 Pro,</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Processador Intel Core i7</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cache de 12MB, até</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5.4GHz. Memória: 16GB</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DDR5 (1x16GB)</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5200MT/s.</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Armazenamento: SSD de</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512GB PCIe NVMe M.2.</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16", FHD+ 1920x1200,</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WVA. Entradas VGA e</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HDMI. E Portas Usb</w:t>
            </w:r>
          </w:p>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disponíveis.</w:t>
            </w:r>
          </w:p>
        </w:tc>
        <w:tc>
          <w:tcPr>
            <w:tcW w:w="1027" w:type="dxa"/>
            <w:tcBorders>
              <w:bottom w:val="single" w:sz="6" w:space="0" w:color="666666"/>
              <w:right w:val="single" w:sz="6" w:space="0" w:color="666666"/>
            </w:tcBorders>
          </w:tcPr>
          <w:p>
            <w:pPr>
              <w:pStyle w:val="Contedodatabela"/>
              <w:spacing w:before="57" w:after="57"/>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641052</w:t>
            </w:r>
          </w:p>
        </w:tc>
        <w:tc>
          <w:tcPr>
            <w:tcW w:w="1246" w:type="dxa"/>
            <w:tcBorders>
              <w:bottom w:val="single" w:sz="6" w:space="0" w:color="666666"/>
              <w:right w:val="single" w:sz="6" w:space="0" w:color="666666"/>
            </w:tcBorders>
          </w:tcPr>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UN</w:t>
            </w:r>
          </w:p>
        </w:tc>
        <w:tc>
          <w:tcPr>
            <w:tcW w:w="1697" w:type="dxa"/>
            <w:tcBorders>
              <w:bottom w:val="single" w:sz="6" w:space="0" w:color="666666"/>
              <w:right w:val="single" w:sz="6" w:space="0" w:color="666666"/>
            </w:tcBorders>
          </w:tcPr>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01</w:t>
            </w:r>
          </w:p>
        </w:tc>
        <w:tc>
          <w:tcPr>
            <w:tcW w:w="1477" w:type="dxa"/>
            <w:tcBorders>
              <w:bottom w:val="single" w:sz="6" w:space="0" w:color="666666"/>
              <w:right w:val="single" w:sz="6" w:space="0" w:color="666666"/>
            </w:tcBorders>
          </w:tcPr>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 xml:space="preserve">R$7.159,96 </w:t>
            </w:r>
          </w:p>
        </w:tc>
        <w:tc>
          <w:tcPr>
            <w:tcW w:w="1637" w:type="dxa"/>
            <w:tcBorders>
              <w:left w:val="single" w:sz="6" w:space="0" w:color="666666"/>
              <w:bottom w:val="single" w:sz="6" w:space="0" w:color="666666"/>
              <w:right w:val="single" w:sz="6" w:space="0" w:color="666666"/>
            </w:tcBorders>
          </w:tcPr>
          <w:p>
            <w:pPr>
              <w:pStyle w:val="Contedodatabela"/>
              <w:jc w:val="center"/>
              <w:rPr>
                <w:rFonts w:ascii="Caladea" w:hAnsi="Caladea"/>
                <w:b w:val="false"/>
                <w:bCs w:val="false"/>
                <w:i w:val="false"/>
                <w:i w:val="false"/>
                <w:iCs w:val="false"/>
                <w:strike w:val="false"/>
                <w:dstrike w:val="false"/>
                <w:outline w:val="false"/>
                <w:shadow w:val="false"/>
                <w:color w:val="000000"/>
                <w:sz w:val="20"/>
                <w:szCs w:val="20"/>
                <w:u w:val="none"/>
              </w:rPr>
            </w:pPr>
            <w:r>
              <w:rPr>
                <w:rFonts w:ascii="Caladea" w:hAnsi="Caladea"/>
                <w:b w:val="false"/>
                <w:bCs w:val="false"/>
                <w:i w:val="false"/>
                <w:iCs w:val="false"/>
                <w:strike w:val="false"/>
                <w:dstrike w:val="false"/>
                <w:outline w:val="false"/>
                <w:shadow w:val="false"/>
                <w:color w:val="000000"/>
                <w:sz w:val="20"/>
                <w:szCs w:val="20"/>
                <w:u w:val="none"/>
              </w:rPr>
              <w:t xml:space="preserve">R$7.159,96 </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aladea">
    <w:altName w:val="Cambria"/>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2</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18</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16</w:t>
    </w:r>
    <w:r>
      <w:rPr>
        <w:rFonts w:cs="Arial"/>
        <w:szCs w:val="20"/>
      </w:rPr>
      <w:t>6</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34</TotalTime>
  <Application>LibreOffice/24.2.7.2$Linux_X86_64 LibreOffice_project/420$Build-2</Application>
  <AppVersion>15.0000</AppVersion>
  <Pages>18</Pages>
  <Words>7039</Words>
  <Characters>39541</Characters>
  <CharactersWithSpaces>46028</CharactersWithSpaces>
  <Paragraphs>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2026-09-21T10:00:27Z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