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207</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rFonts w:eastAsia="" w:cs="Arial"/>
          <w:b/>
          <w:bCs/>
          <w:color w:val="405CA1"/>
          <w:sz w:val="32"/>
          <w:szCs w:val="32"/>
          <w:highlight w:val="none"/>
          <w:shd w:fill="auto" w:val="clear"/>
        </w:rPr>
      </w:pPr>
      <w:r>
        <w:rPr>
          <w:rFonts w:eastAsia="" w:cs="Arial"/>
          <w:b/>
          <w:bCs/>
          <w:color w:themeColor="text1" w:themeTint="a6" w:val="595959"/>
          <w:sz w:val="28"/>
          <w:szCs w:val="28"/>
          <w:shd w:fill="auto" w:val="clear"/>
        </w:rPr>
        <w:t xml:space="preserve">AQUISIÇÃO DE </w:t>
      </w:r>
      <w:r>
        <w:rPr>
          <w:rFonts w:eastAsia="" w:cs="Arial"/>
          <w:b/>
          <w:bCs/>
          <w:color w:themeColor="text1" w:themeTint="a6" w:val="595959"/>
          <w:sz w:val="28"/>
          <w:szCs w:val="28"/>
          <w:shd w:fill="auto" w:val="clear"/>
        </w:rPr>
        <w:t xml:space="preserve">FORMULAS INFANTIS </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w:t>
      </w:r>
      <w:r>
        <w:rPr>
          <w:rFonts w:cs="Arial"/>
          <w:bCs/>
          <w:color w:val="5B5B5F"/>
          <w:sz w:val="28"/>
          <w:szCs w:val="28"/>
        </w:rPr>
        <w:t>30.970,88</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De 0</w:t>
      </w:r>
      <w:r>
        <w:rPr>
          <w:rFonts w:cs="Arial"/>
          <w:bCs/>
          <w:color w:val="5B5B5F"/>
          <w:sz w:val="28"/>
          <w:szCs w:val="28"/>
        </w:rPr>
        <w:t>9</w:t>
      </w:r>
      <w:r>
        <w:rPr>
          <w:rFonts w:cs="Arial"/>
          <w:bCs/>
          <w:color w:val="5B5B5F"/>
          <w:sz w:val="28"/>
          <w:szCs w:val="28"/>
        </w:rPr>
        <w:t>/</w:t>
      </w:r>
      <w:r>
        <w:rPr>
          <w:rFonts w:cs="Arial"/>
          <w:bCs/>
          <w:color w:val="5B5B5F"/>
          <w:sz w:val="28"/>
          <w:szCs w:val="28"/>
        </w:rPr>
        <w:t>10</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w:t>
      </w:r>
      <w:r>
        <w:rPr>
          <w:rFonts w:cs="Arial"/>
          <w:bCs/>
          <w:color w:val="5B5B5F"/>
          <w:sz w:val="28"/>
          <w:szCs w:val="28"/>
        </w:rPr>
        <w:t>4</w:t>
      </w:r>
      <w:r>
        <w:rPr>
          <w:rFonts w:cs="Arial"/>
          <w:bCs/>
          <w:color w:val="5B5B5F"/>
          <w:sz w:val="28"/>
          <w:szCs w:val="28"/>
        </w:rPr>
        <w:t>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highlight w:val="none"/>
              <w:shd w:fill="auto" w:val="clear"/>
            </w:rPr>
          </w:pPr>
          <w:r>
            <w:br w:type="page"/>
          </w:r>
          <w:r>
            <w:rPr>
              <w:shd w:fill="auto" w:val="clear"/>
            </w:rPr>
            <w:t>Sumário</w:t>
          </w:r>
        </w:p>
        <w:p>
          <w:pPr>
            <w:pStyle w:val="TOC1"/>
            <w:rPr/>
          </w:pPr>
          <w:r>
            <w:fldChar w:fldCharType="begin"/>
          </w:r>
          <w:r>
            <w:rPr>
              <w:webHidden/>
              <w:rStyle w:val="Vnculodendice"/>
              <w:shd w:fill="auto" w:val="clear"/>
              <w:vanish w:val="false"/>
              <w:rFonts w:eastAsia=""/>
              <w:lang w:bidi="hi-IN"/>
            </w:rPr>
            <w:instrText xml:space="preserve"> TOC \z \o "1-3" \u \h</w:instrText>
          </w:r>
          <w:r>
            <w:rPr>
              <w:webHidden/>
              <w:rStyle w:val="Vnculodendice"/>
              <w:shd w:fill="auto" w:val="clear"/>
              <w:vanish w:val="false"/>
              <w:rFonts w:eastAsia=""/>
              <w:lang w:bidi="hi-IN"/>
            </w:rPr>
            <w:fldChar w:fldCharType="separate"/>
          </w:r>
          <w:hyperlink w:anchor="_Toc226962637">
            <w:r>
              <w:rPr>
                <w:webHidden/>
                <w:rStyle w:val="Vnculodendice"/>
                <w:rFonts w:eastAsia="" w:eastAsiaTheme="minorEastAsia"/>
                <w:vanish w:val="false"/>
                <w:shd w:fill="auto" w:val="clear"/>
                <w:lang w:bidi="hi-IN"/>
              </w:rPr>
              <w:t>1.</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shd w:fill="auto" w:val="clear"/>
              </w:rPr>
              <w:tab/>
              <w:t>3</w:t>
            </w:r>
            <w:r>
              <w:rPr>
                <w:webHidden/>
              </w:rPr>
              <w:fldChar w:fldCharType="end"/>
            </w:r>
          </w:hyperlink>
        </w:p>
        <w:p>
          <w:pPr>
            <w:pStyle w:val="TOC1"/>
            <w:rPr/>
          </w:pPr>
          <w:hyperlink w:anchor="_Toc226962638">
            <w:r>
              <w:rPr>
                <w:webHidden/>
                <w:rStyle w:val="Vnculodendice"/>
                <w:rFonts w:eastAsia="" w:eastAsiaTheme="minorEastAsia"/>
                <w:vanish w:val="false"/>
                <w:shd w:fill="auto" w:val="clear"/>
                <w:lang w:bidi="hi-IN"/>
              </w:rPr>
              <w:t>2.</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shd w:fill="auto" w:val="clear"/>
              </w:rPr>
              <w:tab/>
              <w:t>3</w:t>
            </w:r>
            <w:r>
              <w:rPr>
                <w:webHidden/>
              </w:rPr>
              <w:fldChar w:fldCharType="end"/>
            </w:r>
          </w:hyperlink>
        </w:p>
        <w:p>
          <w:pPr>
            <w:pStyle w:val="TOC1"/>
            <w:rPr/>
          </w:pPr>
          <w:hyperlink w:anchor="_Toc226962639">
            <w:r>
              <w:rPr>
                <w:webHidden/>
                <w:rStyle w:val="Vnculodendice"/>
                <w:rFonts w:eastAsia="" w:eastAsiaTheme="minorEastAsia"/>
                <w:vanish w:val="false"/>
                <w:shd w:fill="auto" w:val="clear"/>
                <w:lang w:bidi="hi-IN"/>
              </w:rPr>
              <w:t>3.</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shd w:fill="auto" w:val="clear"/>
              </w:rPr>
              <w:tab/>
              <w:t>3</w:t>
            </w:r>
            <w:r>
              <w:rPr>
                <w:webHidden/>
              </w:rPr>
              <w:fldChar w:fldCharType="end"/>
            </w:r>
          </w:hyperlink>
        </w:p>
        <w:p>
          <w:pPr>
            <w:pStyle w:val="TOC1"/>
            <w:rPr/>
          </w:pPr>
          <w:hyperlink w:anchor="_Toc226962640">
            <w:r>
              <w:rPr>
                <w:webHidden/>
                <w:rStyle w:val="Vnculodendice"/>
                <w:rFonts w:eastAsia="" w:eastAsiaTheme="minorEastAsia"/>
                <w:vanish w:val="false"/>
                <w:shd w:fill="auto" w:val="clear"/>
                <w:lang w:bidi="hi-IN"/>
              </w:rPr>
              <w:t>4.</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shd w:fill="auto" w:val="clear"/>
              </w:rPr>
              <w:tab/>
              <w:t>5</w:t>
            </w:r>
            <w:r>
              <w:rPr>
                <w:webHidden/>
              </w:rPr>
              <w:fldChar w:fldCharType="end"/>
            </w:r>
          </w:hyperlink>
        </w:p>
        <w:p>
          <w:pPr>
            <w:pStyle w:val="TOC1"/>
            <w:rPr/>
          </w:pPr>
          <w:hyperlink w:anchor="_Toc226962641">
            <w:r>
              <w:rPr>
                <w:webHidden/>
                <w:rStyle w:val="Vnculodendice"/>
                <w:rFonts w:eastAsia="" w:eastAsiaTheme="minorEastAsia"/>
                <w:vanish w:val="false"/>
                <w:shd w:fill="auto" w:val="clear"/>
                <w:lang w:bidi="hi-IN"/>
              </w:rPr>
              <w:t>5.</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shd w:fill="auto" w:val="clear"/>
              </w:rPr>
              <w:tab/>
              <w:t>7</w:t>
            </w:r>
            <w:r>
              <w:rPr>
                <w:webHidden/>
              </w:rPr>
              <w:fldChar w:fldCharType="end"/>
            </w:r>
          </w:hyperlink>
        </w:p>
        <w:p>
          <w:pPr>
            <w:pStyle w:val="TOC1"/>
            <w:rPr/>
          </w:pPr>
          <w:hyperlink w:anchor="_Toc226962642">
            <w:r>
              <w:rPr>
                <w:webHidden/>
                <w:rStyle w:val="Vnculodendice"/>
                <w:rFonts w:eastAsia="" w:eastAsiaTheme="minorEastAsia"/>
                <w:vanish w:val="false"/>
                <w:shd w:fill="auto" w:val="clear"/>
                <w:lang w:bidi="hi-IN"/>
              </w:rPr>
              <w:t>6.</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shd w:fill="auto" w:val="clear"/>
              </w:rPr>
              <w:tab/>
              <w:t>7</w:t>
            </w:r>
            <w:r>
              <w:rPr>
                <w:webHidden/>
              </w:rPr>
              <w:fldChar w:fldCharType="end"/>
            </w:r>
          </w:hyperlink>
        </w:p>
        <w:p>
          <w:pPr>
            <w:pStyle w:val="TOC1"/>
            <w:rPr/>
          </w:pPr>
          <w:hyperlink w:anchor="_Toc226962643">
            <w:r>
              <w:rPr>
                <w:webHidden/>
                <w:rStyle w:val="Vnculodendice"/>
                <w:rFonts w:eastAsia="" w:eastAsiaTheme="minorEastAsia"/>
                <w:vanish w:val="false"/>
                <w:shd w:fill="auto" w:val="clear"/>
                <w:lang w:bidi="hi-IN"/>
              </w:rPr>
              <w:t>7.</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shd w:fill="auto" w:val="clear"/>
              </w:rPr>
              <w:tab/>
              <w:t>10</w:t>
            </w:r>
            <w:r>
              <w:rPr>
                <w:webHidden/>
              </w:rPr>
              <w:fldChar w:fldCharType="end"/>
            </w:r>
          </w:hyperlink>
        </w:p>
        <w:p>
          <w:pPr>
            <w:pStyle w:val="TOC1"/>
            <w:rPr/>
          </w:pPr>
          <w:hyperlink w:anchor="_Toc226962644">
            <w:r>
              <w:rPr>
                <w:webHidden/>
                <w:rStyle w:val="Vnculodendice"/>
                <w:rFonts w:eastAsia="" w:eastAsiaTheme="minorEastAsia"/>
                <w:vanish w:val="false"/>
                <w:shd w:fill="auto" w:val="clear"/>
                <w:lang w:bidi="hi-IN"/>
              </w:rPr>
              <w:t>8.</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shd w:fill="auto" w:val="clear"/>
              </w:rPr>
              <w:tab/>
              <w:t>11</w:t>
            </w:r>
            <w:r>
              <w:rPr>
                <w:webHidden/>
              </w:rPr>
              <w:fldChar w:fldCharType="end"/>
            </w:r>
          </w:hyperlink>
        </w:p>
        <w:p>
          <w:pPr>
            <w:pStyle w:val="TOC1"/>
            <w:rPr/>
          </w:pPr>
          <w:hyperlink w:anchor="_Toc226962645">
            <w:r>
              <w:rPr>
                <w:webHidden/>
                <w:rStyle w:val="Vnculodendice"/>
                <w:rFonts w:eastAsia="" w:eastAsiaTheme="minorEastAsia"/>
                <w:bCs/>
                <w:vanish w:val="false"/>
                <w:shd w:fill="auto" w:val="clear"/>
                <w:lang w:bidi="hi-IN"/>
              </w:rPr>
              <w:t>9.</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shd w:fill="auto" w:val="clear"/>
              </w:rPr>
              <w:tab/>
              <w:t>12</w:t>
            </w:r>
            <w:r>
              <w:rPr>
                <w:webHidden/>
              </w:rPr>
              <w:fldChar w:fldCharType="end"/>
            </w:r>
          </w:hyperlink>
        </w:p>
        <w:p>
          <w:pPr>
            <w:pStyle w:val="TOC1"/>
            <w:rPr/>
          </w:pPr>
          <w:hyperlink w:anchor="_Toc226962646">
            <w:r>
              <w:rPr>
                <w:webHidden/>
                <w:rStyle w:val="Vnculodendice"/>
                <w:rFonts w:eastAsia="" w:eastAsiaTheme="minorEastAsia"/>
                <w:vanish w:val="false"/>
                <w:shd w:fill="auto" w:val="clear"/>
                <w:lang w:bidi="hi-IN"/>
              </w:rPr>
              <w:t>10.</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shd w:fill="auto" w:val="clear"/>
              </w:rPr>
              <w:tab/>
              <w:t>13</w:t>
            </w:r>
            <w:r>
              <w:rPr>
                <w:webHidden/>
              </w:rPr>
              <w:fldChar w:fldCharType="end"/>
            </w:r>
          </w:hyperlink>
        </w:p>
        <w:p>
          <w:pPr>
            <w:pStyle w:val="TOC1"/>
            <w:rPr/>
          </w:pPr>
          <w:hyperlink w:anchor="_Toc226962647">
            <w:r>
              <w:rPr>
                <w:webHidden/>
                <w:rStyle w:val="Vnculodendice"/>
                <w:rFonts w:eastAsia="" w:eastAsiaTheme="minorEastAsia"/>
                <w:vanish w:val="false"/>
                <w:shd w:fill="auto" w:val="clear"/>
                <w:lang w:bidi="hi-IN"/>
              </w:rPr>
              <w:t>11.</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shd w:fill="auto" w:val="clear"/>
              </w:rPr>
              <w:tab/>
              <w:t>13</w:t>
            </w:r>
            <w:r>
              <w:rPr>
                <w:webHidden/>
              </w:rPr>
              <w:fldChar w:fldCharType="end"/>
            </w:r>
          </w:hyperlink>
        </w:p>
        <w:p>
          <w:pPr>
            <w:pStyle w:val="TOC1"/>
            <w:rPr/>
          </w:pPr>
          <w:hyperlink w:anchor="_Toc226962648">
            <w:r>
              <w:rPr>
                <w:webHidden/>
                <w:rStyle w:val="Vnculodendice"/>
                <w:rFonts w:eastAsia="" w:eastAsiaTheme="minorEastAsia"/>
                <w:vanish w:val="false"/>
                <w:shd w:fill="auto" w:val="clear"/>
                <w:lang w:bidi="hi-IN"/>
              </w:rPr>
              <w:t>12.</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shd w:fill="auto" w:val="clear"/>
              </w:rPr>
              <w:tab/>
              <w:t>15</w:t>
            </w:r>
            <w:r>
              <w:rPr>
                <w:webHidden/>
              </w:rPr>
              <w:fldChar w:fldCharType="end"/>
            </w:r>
          </w:hyperlink>
        </w:p>
        <w:p>
          <w:pPr>
            <w:pStyle w:val="Normal"/>
            <w:rPr>
              <w:highlight w:val="none"/>
              <w:shd w:fill="auto" w:val="clear"/>
            </w:rPr>
          </w:pPr>
          <w:r>
            <w:rPr>
              <w:shd w:fill="auto" w:val="clear"/>
            </w:rPr>
          </w:r>
          <w:r>
            <w:rPr>
              <w:shd w:fill="auto" w:val="clear"/>
            </w:rPr>
            <w:fldChar w:fldCharType="end"/>
          </w:r>
        </w:p>
      </w:sdtContent>
    </w:sdt>
    <w:p>
      <w:pPr>
        <w:pStyle w:val="Normal"/>
        <w:suppressAutoHyphens w:val="false"/>
        <w:spacing w:lineRule="auto" w:line="259" w:before="0" w:after="160"/>
        <w:rPr>
          <w:rFonts w:cs="Arial"/>
          <w:b/>
          <w:bCs/>
          <w:i/>
          <w:i/>
          <w:iCs/>
          <w:szCs w:val="20"/>
          <w:highlight w:val="none"/>
          <w:shd w:fill="auto" w:val="clear"/>
        </w:rPr>
      </w:pPr>
      <w:r>
        <w:rPr>
          <w:rFonts w:cs="Arial"/>
          <w:b/>
          <w:bCs/>
          <w:i/>
          <w:iCs/>
          <w:szCs w:val="20"/>
          <w:shd w:fill="auto" w:val="clear"/>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206</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63065.002569/2026-12</w:t>
      </w:r>
      <w:r>
        <w:rPr>
          <w:rFonts w:cs="Arial"/>
          <w:color w:val="000000"/>
          <w:szCs w:val="20"/>
        </w:rPr>
        <w:t>)</w:t>
      </w:r>
    </w:p>
    <w:p>
      <w:pPr>
        <w:pStyle w:val="Normal"/>
        <w:spacing w:lineRule="auto" w:line="276" w:before="120" w:after="120"/>
        <w:ind w:firstLine="1134"/>
        <w:jc w:val="both"/>
        <w:rPr/>
      </w:pPr>
      <w:r>
        <w:rPr>
          <w:shd w:fill="auto" w:val="clear"/>
        </w:rPr>
        <w:t xml:space="preserve">Torna-se público que a </w:t>
      </w:r>
      <w:r>
        <w:rPr>
          <w:rFonts w:cs="Arial"/>
          <w:b/>
          <w:bCs/>
          <w:i/>
          <w:iCs/>
          <w:color w:val="1C1C1C"/>
          <w:szCs w:val="20"/>
          <w:shd w:fill="auto" w:val="clear"/>
        </w:rPr>
        <w:t>POLICLÍNICA NAVAL NOSSA SENHORA DA GLÓRIA</w:t>
      </w:r>
      <w:r>
        <w:rPr>
          <w:shd w:fill="auto" w:val="clear"/>
        </w:rPr>
        <w:t xml:space="preserve">, por meio da </w:t>
      </w:r>
      <w:r>
        <w:rPr>
          <w:color w:val="1C1C1C"/>
          <w:shd w:fill="auto" w:val="clear"/>
        </w:rPr>
        <w:t>SEÇÃO DE OBTENÇÃO</w:t>
      </w:r>
      <w:r>
        <w:rPr>
          <w:shd w:fill="auto" w:val="clear"/>
        </w:rPr>
        <w:t>, sediada</w:t>
      </w:r>
      <w:r>
        <w:rPr>
          <w:color w:val="1C1C1C"/>
          <w:shd w:fill="auto" w:val="clear"/>
        </w:rPr>
        <w:t xml:space="preserve"> </w:t>
      </w:r>
      <w:r>
        <w:rPr>
          <w:iCs/>
          <w:color w:val="1C1C1C"/>
          <w:shd w:fill="auto" w:val="clear"/>
        </w:rPr>
        <w:t>RUA CONDE DE BONFIM, 54, TIJUCA,RJ</w:t>
      </w:r>
      <w:r>
        <w:rPr>
          <w:color w:val="1C1C1C"/>
          <w:shd w:fill="auto" w:val="clear"/>
        </w:rPr>
        <w:t>,</w:t>
      </w:r>
      <w:r>
        <w:rPr>
          <w:shd w:fill="auto" w:val="clear"/>
        </w:rPr>
        <w:t xml:space="preserve"> realizará Dispensa Eletrônica,</w:t>
      </w:r>
      <w:r>
        <w:rPr>
          <w:bCs/>
          <w:shd w:fill="auto" w:val="clear"/>
        </w:rPr>
        <w:t>com critério de julgamento</w:t>
      </w:r>
      <w:r>
        <w:rPr>
          <w:b/>
          <w:bCs/>
          <w:shd w:fill="auto" w:val="clear"/>
        </w:rPr>
        <w:t xml:space="preserve"> </w:t>
      </w:r>
      <w:r>
        <w:rPr>
          <w:b/>
          <w:bCs/>
          <w:i/>
          <w:iCs/>
          <w:color w:val="1C1C1C"/>
          <w:shd w:fill="auto" w:val="clear"/>
        </w:rPr>
        <w:t>menor preço</w:t>
      </w:r>
      <w:r>
        <w:rPr>
          <w:iCs/>
          <w:shd w:fill="auto" w:val="clear"/>
        </w:rPr>
        <w:t>,</w:t>
      </w:r>
      <w:r>
        <w:rPr>
          <w:b/>
          <w:bCs/>
          <w:i/>
          <w:shd w:fill="auto" w:val="clear"/>
        </w:rPr>
        <w:t xml:space="preserve"> </w:t>
      </w:r>
      <w:r>
        <w:rPr>
          <w:shd w:fill="auto" w:val="clear"/>
        </w:rPr>
        <w:t xml:space="preserve">na hipótese do </w:t>
      </w:r>
      <w:r>
        <w:fldChar w:fldCharType="begin"/>
      </w:r>
      <w:r>
        <w:rPr>
          <w:rStyle w:val="Hyperlink"/>
          <w:u w:val="none"/>
          <w:shd w:fill="auto" w:val="clear"/>
          <w:rFonts w:cs="Arial"/>
          <w:color w:val="000000"/>
        </w:rPr>
        <w:instrText xml:space="preserve"> HYPERLINK "http://www.planalto.gov.br/ccivil_03/_ato2019-2022/2021/lei/L14133.htm" \l "art75"</w:instrText>
      </w:r>
      <w:r>
        <w:rPr>
          <w:rStyle w:val="Hyperlink"/>
          <w:u w:val="none"/>
          <w:shd w:fill="auto" w:val="clear"/>
          <w:rFonts w:cs="Arial"/>
          <w:color w:val="000000"/>
        </w:rPr>
        <w:fldChar w:fldCharType="separate"/>
      </w:r>
      <w:r>
        <w:rPr>
          <w:rStyle w:val="Hyperlink"/>
          <w:rFonts w:cs="Arial"/>
          <w:color w:val="000000"/>
          <w:u w:val="none"/>
          <w:shd w:fill="auto" w:val="clear"/>
        </w:rPr>
        <w:t>art. 75</w:t>
      </w:r>
      <w:r>
        <w:rPr>
          <w:rStyle w:val="Hyperlink"/>
          <w:u w:val="none"/>
          <w:shd w:fill="auto" w:val="clear"/>
          <w:rFonts w:cs="Arial"/>
          <w:color w:val="000000"/>
        </w:rPr>
        <w:fldChar w:fldCharType="end"/>
      </w:r>
      <w:r>
        <w:rPr>
          <w:i/>
          <w:iCs/>
          <w:shd w:fill="auto" w:val="clear"/>
        </w:rPr>
        <w:t xml:space="preserve">, </w:t>
      </w:r>
      <w:r>
        <w:rPr>
          <w:color w:val="111111"/>
          <w:shd w:fill="auto" w:val="clear"/>
        </w:rPr>
        <w:t>inciso II</w:t>
      </w:r>
      <w:r>
        <w:rPr>
          <w:i/>
          <w:iCs/>
          <w:color w:val="111111"/>
          <w:shd w:fill="auto" w:val="clear"/>
        </w:rPr>
        <w:t>,</w:t>
      </w:r>
      <w:r>
        <w:rPr>
          <w:color w:val="111111"/>
          <w:shd w:fill="auto" w:val="clear"/>
        </w:rPr>
        <w:t xml:space="preserve"> </w:t>
      </w:r>
      <w:r>
        <w:rPr>
          <w:bCs/>
          <w:color w:val="111111"/>
          <w:shd w:fill="auto" w:val="clear"/>
        </w:rPr>
        <w:t xml:space="preserve">nos termos </w:t>
      </w:r>
      <w:r>
        <w:rPr>
          <w:color w:val="111111"/>
          <w:shd w:fill="auto" w:val="clear"/>
        </w:rPr>
        <w:t xml:space="preserve">da Lei nº 14.133, de 1º de abril de 2021, </w:t>
      </w:r>
      <w:r>
        <w:rPr>
          <w:bCs/>
          <w:color w:val="111111"/>
          <w:shd w:fill="auto" w:val="clear"/>
        </w:rPr>
        <w:t xml:space="preserve">da </w:t>
      </w:r>
      <w:hyperlink r:id="rId3">
        <w:r>
          <w:rPr>
            <w:rStyle w:val="Hyperlink"/>
            <w:rFonts w:cs="Arial"/>
            <w:bCs/>
            <w:color w:val="111111"/>
            <w:u w:val="none"/>
            <w:shd w:fill="auto" w:val="clear"/>
          </w:rPr>
          <w:t>Instrução Normativa SEGES/ME nº 67, de 8 de</w:t>
        </w:r>
        <w:r>
          <w:rPr>
            <w:rStyle w:val="Hyperlink"/>
            <w:rFonts w:cs="Arial"/>
            <w:bCs/>
            <w:color w:val="000000"/>
            <w:u w:val="none"/>
            <w:shd w:fill="auto" w:val="clear"/>
          </w:rPr>
          <w:t xml:space="preserve"> julho de 2021</w:t>
        </w:r>
      </w:hyperlink>
      <w:r>
        <w:rPr>
          <w:bCs/>
          <w:shd w:fill="auto" w:val="clear"/>
        </w:rPr>
        <w:t xml:space="preserve">, </w:t>
      </w:r>
      <w:r>
        <w:rPr>
          <w:shd w:fill="auto" w:val="clear"/>
        </w:rPr>
        <w:t>do Decreto nº 11.462, de 31 de março de 2023, e de</w:t>
      </w:r>
      <w:r>
        <w:rPr/>
        <w:t>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t xml:space="preserve">O objeto do presente procedimento é a escolha da proposta mais vantajosa para a contratação, por dispensa de licitação, de </w:t>
      </w:r>
      <w:r>
        <w:rPr>
          <w:color w:val="1C1C1C"/>
        </w:rPr>
        <w:t xml:space="preserve">Contratação de empresa </w:t>
      </w:r>
      <w:r>
        <w:rPr>
          <w:color w:val="1C1C1C"/>
        </w:rPr>
        <w:t xml:space="preserve">manutenção de equipamentos de cozinha </w:t>
      </w:r>
      <w:r>
        <w:rPr>
          <w:color w:val="1C1C1C"/>
        </w:rPr>
        <w:t xml:space="preserve"> que atendam às necessidades 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auto" w:val="clear"/>
        </w:rPr>
      </w:pPr>
      <w:r>
        <w:rPr>
          <w:shd w:fill="auto" w:val="clear"/>
        </w:rPr>
        <w:t>Não se aplica.</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highlight w:val="none"/>
          <w:shd w:fill="auto" w:val="clear"/>
        </w:rPr>
      </w:pPr>
      <w:r>
        <w:rPr>
          <w:color w:val="111111"/>
          <w:shd w:fill="auto"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highlight w:val="none"/>
          <w:shd w:fill="auto" w:val="clear"/>
        </w:rPr>
      </w:pPr>
      <w:r>
        <w:rPr>
          <w:color w:val="111111"/>
          <w:shd w:fill="auto"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highlight w:val="none"/>
          <w:shd w:fill="auto" w:val="clear"/>
        </w:rPr>
      </w:pPr>
      <w:r>
        <w:rPr>
          <w:color w:val="111111"/>
          <w:shd w:fill="auto"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highlight w:val="none"/>
          <w:shd w:fill="auto" w:val="clear"/>
        </w:rPr>
      </w:pPr>
      <w:r>
        <w:rPr>
          <w:color w:val="111111"/>
          <w:shd w:fill="auto" w:val="clear"/>
        </w:rPr>
        <w:t xml:space="preserve">pessoas jurídicas reunidas em consórcio; </w:t>
      </w:r>
    </w:p>
    <w:p>
      <w:pPr>
        <w:pStyle w:val="Nvel3-R"/>
        <w:numPr>
          <w:ilvl w:val="2"/>
          <w:numId w:val="1"/>
        </w:numPr>
        <w:ind w:hanging="0" w:left="284"/>
        <w:rPr>
          <w:highlight w:val="none"/>
          <w:shd w:fill="auto" w:val="clear"/>
        </w:rPr>
      </w:pPr>
      <w:r>
        <w:rPr>
          <w:color w:val="111111"/>
          <w:shd w:fill="auto" w:val="clear"/>
        </w:rPr>
        <w:t>Organização da Sociedade Civil de Interesse Público - OSCIP, atuando nessa condição.</w:t>
      </w:r>
    </w:p>
    <w:p>
      <w:pPr>
        <w:pStyle w:val="Nvel3-R"/>
        <w:numPr>
          <w:ilvl w:val="2"/>
          <w:numId w:val="1"/>
        </w:numPr>
        <w:ind w:hanging="0" w:left="284"/>
        <w:rPr>
          <w:highlight w:val="none"/>
          <w:shd w:fill="auto" w:val="clear"/>
        </w:rPr>
      </w:pPr>
      <w:r>
        <w:rPr>
          <w:color w:val="111111"/>
          <w:shd w:fill="auto" w:val="clear"/>
        </w:rPr>
        <w:t>sociedades cooperativas</w:t>
      </w:r>
      <w:bookmarkStart w:id="10" w:name="_Hlk519667815"/>
      <w:bookmarkEnd w:id="10"/>
      <w:r>
        <w:rPr>
          <w:color w:val="111111"/>
          <w:shd w:fill="auto" w:val="clear"/>
        </w:rPr>
        <w:t>.</w:t>
      </w:r>
    </w:p>
    <w:p>
      <w:pPr>
        <w:pStyle w:val="Nvel3-R"/>
        <w:numPr>
          <w:ilvl w:val="2"/>
          <w:numId w:val="1"/>
        </w:numPr>
        <w:ind w:hanging="0" w:left="284"/>
        <w:rPr>
          <w:highlight w:val="none"/>
          <w:shd w:fill="auto" w:val="clear"/>
        </w:rPr>
      </w:pPr>
      <w:r>
        <w:rPr>
          <w:color w:val="111111"/>
          <w:shd w:fill="auto"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highlight w:val="none"/>
          <w:shd w:fill="auto" w:val="clear"/>
        </w:rPr>
      </w:pPr>
      <w:r>
        <w:rPr>
          <w:color w:val="111111"/>
          <w:shd w:fill="auto" w:val="clear"/>
        </w:rPr>
        <w:t xml:space="preserve">O fornecedor </w:t>
      </w:r>
      <w:r>
        <w:rPr>
          <w:b/>
          <w:bCs/>
          <w:color w:val="111111"/>
          <w:shd w:fill="auto" w:val="clear"/>
        </w:rPr>
        <w:t xml:space="preserve">NÃO </w:t>
      </w:r>
      <w:r>
        <w:rPr>
          <w:color w:val="111111"/>
          <w:shd w:fill="auto" w:val="clear"/>
        </w:rPr>
        <w:t>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O prazo de validade da proposta não será inferior a</w:t>
      </w:r>
      <w:r>
        <w:rPr>
          <w:shd w:fill="auto" w:val="clear"/>
        </w:rPr>
        <w:t xml:space="preserve"> </w:t>
      </w:r>
      <w:r>
        <w:rPr>
          <w:rFonts w:eastAsia="Arial"/>
          <w:b/>
          <w:color w:val="111111"/>
          <w:shd w:fill="auto" w:val="clear"/>
        </w:rPr>
        <w:t>90</w:t>
      </w:r>
      <w:r>
        <w:rPr>
          <w:rFonts w:eastAsia="Arial"/>
          <w:color w:val="111111"/>
          <w:shd w:fill="auto" w:val="clear"/>
        </w:rPr>
        <w:t xml:space="preserve"> (</w:t>
      </w:r>
      <w:r>
        <w:rPr>
          <w:rFonts w:eastAsia="Arial"/>
          <w:b/>
          <w:color w:val="111111"/>
          <w:shd w:fill="auto" w:val="clear"/>
        </w:rPr>
        <w:t>noventa</w:t>
      </w:r>
      <w:r>
        <w:rPr>
          <w:rFonts w:eastAsia="Arial"/>
          <w:color w:val="111111"/>
          <w:shd w:fill="auto" w:val="clear"/>
        </w:rPr>
        <w:t>)</w:t>
      </w:r>
      <w:r>
        <w:rPr>
          <w:iCs/>
          <w:color w:val="111111"/>
          <w:shd w:fill="auto" w:val="clear"/>
        </w:rPr>
        <w:t xml:space="preserve"> dias</w:t>
      </w:r>
      <w:r>
        <w:rPr>
          <w:b/>
          <w:shd w:fill="auto" w:val="clear"/>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highlight w:val="none"/>
          <w:shd w:fill="auto" w:val="clear"/>
        </w:rPr>
      </w:pPr>
      <w:r>
        <w:rPr>
          <w:color w:val="111111"/>
          <w:shd w:fill="auto" w:val="clear"/>
        </w:rPr>
        <w:t xml:space="preserve">Feita essa opção os lances serão </w:t>
      </w:r>
      <w:r>
        <w:rPr>
          <w:color w:val="000000"/>
          <w:shd w:fill="auto" w:val="clear"/>
        </w:rPr>
        <w:t xml:space="preserve">enviados automaticamente pelo sistema, respeitados os limites cadastrados pelo fornecedor e o intervalo mínimo entre lances previsto neste aviso. </w:t>
      </w:r>
    </w:p>
    <w:p>
      <w:pPr>
        <w:pStyle w:val="Nvel4-R"/>
        <w:numPr>
          <w:ilvl w:val="3"/>
          <w:numId w:val="1"/>
        </w:numPr>
        <w:ind w:hanging="0" w:left="567"/>
        <w:rPr>
          <w:color w:val="000000"/>
          <w:highlight w:val="none"/>
          <w:shd w:fill="auto" w:val="clear"/>
        </w:rPr>
      </w:pPr>
      <w:r>
        <w:rPr>
          <w:color w:val="000000"/>
          <w:shd w:fill="auto" w:val="clear"/>
        </w:rPr>
        <w:t>Sem prejuízo do disposto acima, os lances poderão ser enviados manualmente, na forma da seção respectiva deste Aviso de Contratação Direta.</w:t>
      </w:r>
    </w:p>
    <w:p>
      <w:pPr>
        <w:pStyle w:val="Nvel3-R"/>
        <w:numPr>
          <w:ilvl w:val="2"/>
          <w:numId w:val="1"/>
        </w:numPr>
        <w:ind w:hanging="0" w:left="284"/>
        <w:rPr>
          <w:highlight w:val="none"/>
          <w:shd w:fill="auto" w:val="clear"/>
        </w:rPr>
      </w:pPr>
      <w:r>
        <w:rPr>
          <w:color w:val="000000"/>
          <w:shd w:fill="auto" w:val="clear"/>
        </w:rPr>
        <w:t>O valor final mínimo poderá ser alterado</w:t>
      </w:r>
      <w:r>
        <w:rPr>
          <w:color w:val="111111"/>
          <w:shd w:fill="auto" w:val="clear"/>
        </w:rPr>
        <w:t xml:space="preserve"> pelo fornecedor durante a fase de disputa, desde que não assuma valor superior a lance já registrado por ele no sistema.</w:t>
      </w:r>
    </w:p>
    <w:p>
      <w:pPr>
        <w:pStyle w:val="Nvel3-R"/>
        <w:numPr>
          <w:ilvl w:val="2"/>
          <w:numId w:val="1"/>
        </w:numPr>
        <w:ind w:hanging="0" w:left="284"/>
        <w:rPr>
          <w:highlight w:val="none"/>
          <w:shd w:fill="auto" w:val="clear"/>
        </w:rPr>
      </w:pPr>
      <w:r>
        <w:rPr>
          <w:color w:val="111111"/>
          <w:shd w:fill="auto"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3"/>
        <w:numPr>
          <w:ilvl w:val="0"/>
          <w:numId w:val="0"/>
        </w:numPr>
        <w:ind w:hanging="0" w:left="284"/>
        <w:rPr/>
      </w:pPr>
      <w:r>
        <w:rPr/>
      </w:r>
    </w:p>
    <w:p>
      <w:pPr>
        <w:pStyle w:val="Nivel3"/>
        <w:numPr>
          <w:ilvl w:val="0"/>
          <w:numId w:val="0"/>
        </w:numPr>
        <w:ind w:hanging="0" w:left="284"/>
        <w:rPr/>
      </w:pPr>
      <w:r>
        <w:rPr/>
      </w:r>
    </w:p>
    <w:p>
      <w:pPr>
        <w:pStyle w:val="Nivel3"/>
        <w:numPr>
          <w:ilvl w:val="0"/>
          <w:numId w:val="0"/>
        </w:numPr>
        <w:ind w:hanging="0" w:left="284"/>
        <w:rPr/>
      </w:pPr>
      <w:r>
        <w:rPr/>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highlight w:val="none"/>
          <w:shd w:fill="auto" w:val="clear"/>
        </w:rPr>
      </w:pPr>
      <w:r>
        <w:rPr>
          <w:color w:val="111111"/>
          <w:shd w:fill="auto"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shd w:fill="auto" w:val="clear"/>
        </w:rPr>
        <w:t>Encerrada a etapa de negociação, se houv</w:t>
      </w:r>
      <w:r>
        <w:rPr/>
        <w:t xml:space="preserve">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highlight w:val="none"/>
          <w:shd w:fill="auto" w:val="clear"/>
        </w:rPr>
      </w:pPr>
      <w:r>
        <w:rPr>
          <w:shd w:fill="auto" w:val="clear"/>
        </w:rPr>
        <w:t>Sicaf;</w:t>
      </w:r>
    </w:p>
    <w:p>
      <w:pPr>
        <w:pStyle w:val="Nivel3"/>
        <w:numPr>
          <w:ilvl w:val="2"/>
          <w:numId w:val="1"/>
        </w:numPr>
        <w:ind w:hanging="0" w:left="284"/>
        <w:rPr>
          <w:highlight w:val="none"/>
          <w:shd w:fill="auto" w:val="clear"/>
        </w:rPr>
      </w:pPr>
      <w:r>
        <w:rPr>
          <w:color w:val="111111"/>
          <w:shd w:fill="auto" w:val="clear"/>
        </w:rPr>
        <w:t xml:space="preserve">Cadastro Nacional de Empresas Inidôneas e Suspensas – CEIS, </w:t>
      </w:r>
    </w:p>
    <w:p>
      <w:pPr>
        <w:pStyle w:val="Nivel3"/>
        <w:numPr>
          <w:ilvl w:val="2"/>
          <w:numId w:val="1"/>
        </w:numPr>
        <w:ind w:hanging="0" w:left="284"/>
        <w:rPr>
          <w:highlight w:val="none"/>
          <w:shd w:fill="auto" w:val="clear"/>
        </w:rPr>
      </w:pPr>
      <w:r>
        <w:rPr>
          <w:shd w:fill="auto" w:val="clear"/>
        </w:rPr>
        <w:t>Cadastro Nacional de Empresas Punidas – CNEP e</w:t>
      </w:r>
    </w:p>
    <w:p>
      <w:pPr>
        <w:pStyle w:val="Nivel3"/>
        <w:numPr>
          <w:ilvl w:val="2"/>
          <w:numId w:val="1"/>
        </w:numPr>
        <w:ind w:hanging="0" w:left="284"/>
        <w:rPr>
          <w:highlight w:val="none"/>
          <w:shd w:fill="auto" w:val="clear"/>
        </w:rPr>
      </w:pPr>
      <w:r>
        <w:rPr>
          <w:color w:val="111111"/>
          <w:shd w:fill="auto" w:val="clear"/>
        </w:rPr>
        <w:t>Lista de licitantes inidôneos, mantida pelo Tribunal de Contas da União.</w:t>
      </w:r>
    </w:p>
    <w:p>
      <w:pPr>
        <w:pStyle w:val="Nivel2"/>
        <w:numPr>
          <w:ilvl w:val="1"/>
          <w:numId w:val="1"/>
        </w:numPr>
        <w:ind w:hanging="0" w:left="0"/>
        <w:rPr>
          <w:highlight w:val="none"/>
          <w:shd w:fill="auto" w:val="clear"/>
        </w:rPr>
      </w:pPr>
      <w:r>
        <w:rPr>
          <w:shd w:fill="auto" w:val="clear"/>
        </w:rPr>
        <w:t>A consulta aos cadastros será realizada no nome e no CNPJ da empresa fornecedora.</w:t>
      </w:r>
    </w:p>
    <w:p>
      <w:pPr>
        <w:pStyle w:val="Nivel3"/>
        <w:numPr>
          <w:ilvl w:val="2"/>
          <w:numId w:val="1"/>
        </w:numPr>
        <w:ind w:hanging="0" w:left="284"/>
        <w:rPr>
          <w:highlight w:val="none"/>
          <w:shd w:fill="auto" w:val="clear"/>
        </w:rPr>
      </w:pPr>
      <w:r>
        <w:rPr>
          <w:shd w:fill="auto" w:val="clear"/>
        </w:rPr>
        <w:t xml:space="preserve">A consulta no </w:t>
      </w:r>
      <w:r>
        <w:rPr>
          <w:shd w:fill="auto" w:val="clear"/>
        </w:rPr>
        <w:t xml:space="preserve">CEIS </w:t>
      </w:r>
      <w:r>
        <w:rPr>
          <w:shd w:fill="auto" w:val="clear"/>
        </w:rPr>
        <w:t xml:space="preserve">quanto às sanções previstas na Lei nº 8.429, de 1992, também ocorrerá no nome e no CPF do sócio majoritário da empresa fornecedora, se houver, por força do art. 12 da </w:t>
      </w:r>
      <w:r>
        <w:rPr>
          <w:shd w:fill="auto" w:val="clear"/>
        </w:rPr>
        <w:t>citada lei.</w:t>
      </w:r>
    </w:p>
    <w:p>
      <w:pPr>
        <w:pStyle w:val="Nivel2"/>
        <w:numPr>
          <w:ilvl w:val="1"/>
          <w:numId w:val="1"/>
        </w:numPr>
        <w:ind w:hanging="0" w:left="0"/>
        <w:rPr>
          <w:highlight w:val="none"/>
          <w:shd w:fill="auto" w:val="clear"/>
        </w:rPr>
      </w:pPr>
      <w:r>
        <w:rPr>
          <w:shd w:fill="auto"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shd w:fill="auto" w:val="clear"/>
        </w:rPr>
        <w:t>Caso conste na Consulta de Situação do fornecedor a existência de Ocorrências Impeditivas Indiretas, o órgão diligenciará para verificar se houve fraude por parte da</w:t>
      </w:r>
      <w:r>
        <w:rPr/>
        <w:t>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highlight w:val="none"/>
          <w:shd w:fill="auto" w:val="clear"/>
        </w:rPr>
      </w:pPr>
      <w:r>
        <w:rPr>
          <w:shd w:fill="auto" w:val="clea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highlight w:val="none"/>
          <w:shd w:fill="auto" w:val="clear"/>
        </w:rPr>
      </w:pPr>
      <w:r>
        <w:rPr>
          <w:color w:val="111111"/>
          <w:shd w:fill="auto"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color w:val="000000"/>
          <w:highlight w:val="none"/>
          <w:shd w:fill="auto" w:val="clear"/>
        </w:rPr>
      </w:pPr>
      <w:r>
        <w:rPr>
          <w:color w:val="000000"/>
          <w:shd w:fill="auto" w:val="clear"/>
        </w:rPr>
        <w:t>não tiver sua exequibilidade demonstrada, quando exigido pela Administração</w:t>
      </w:r>
      <w:r>
        <w:rPr>
          <w:iCs/>
          <w:color w:val="000000"/>
          <w:shd w:fill="auto" w:val="clear"/>
        </w:rPr>
        <w:t>;</w:t>
      </w:r>
    </w:p>
    <w:p>
      <w:pPr>
        <w:pStyle w:val="Nivel3"/>
        <w:numPr>
          <w:ilvl w:val="2"/>
          <w:numId w:val="1"/>
        </w:numPr>
        <w:ind w:hanging="0" w:left="284"/>
        <w:rPr>
          <w:color w:val="000000"/>
          <w:highlight w:val="none"/>
          <w:shd w:fill="auto" w:val="clear"/>
        </w:rPr>
      </w:pPr>
      <w:r>
        <w:rPr>
          <w:color w:val="000000"/>
          <w:shd w:fill="auto" w:val="clear"/>
        </w:rPr>
        <w:t>não cumpra os critérios de aceitabilidade de preços definidos no Termo de Referência;</w:t>
      </w:r>
    </w:p>
    <w:p>
      <w:pPr>
        <w:pStyle w:val="Nivel3"/>
        <w:numPr>
          <w:ilvl w:val="2"/>
          <w:numId w:val="1"/>
        </w:numPr>
        <w:ind w:hanging="0" w:left="284"/>
        <w:rPr>
          <w:color w:val="000000"/>
          <w:highlight w:val="none"/>
          <w:shd w:fill="auto" w:val="clear"/>
        </w:rPr>
      </w:pPr>
      <w:r>
        <w:rPr>
          <w:color w:val="000000"/>
          <w:shd w:fill="auto" w:val="clear"/>
        </w:rPr>
        <w:t>apresentar desconformidade com quaisquer outras exigências deste Aviso ou seus anexos, desde que insanável.</w:t>
      </w:r>
    </w:p>
    <w:p>
      <w:pPr>
        <w:pStyle w:val="Nivel2"/>
        <w:numPr>
          <w:ilvl w:val="1"/>
          <w:numId w:val="1"/>
        </w:numPr>
        <w:ind w:hanging="0" w:left="0"/>
        <w:rPr>
          <w:color w:val="000000"/>
          <w:highlight w:val="none"/>
          <w:shd w:fill="auto" w:val="clear"/>
        </w:rPr>
      </w:pPr>
      <w:r>
        <w:rPr>
          <w:color w:val="000000"/>
          <w:shd w:fill="auto" w:val="clear"/>
        </w:rPr>
        <w:t>Quando</w:t>
      </w:r>
      <w:r>
        <w:rPr>
          <w:color w:val="000000"/>
          <w:shd w:fill="auto" w:val="clea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000000"/>
          <w:highlight w:val="none"/>
          <w:shd w:fill="auto" w:val="clear"/>
        </w:rPr>
      </w:pPr>
      <w:r>
        <w:rPr>
          <w:color w:val="000000"/>
          <w:shd w:fill="auto"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000000"/>
          <w:highlight w:val="none"/>
          <w:shd w:fill="auto" w:val="clear"/>
        </w:rPr>
      </w:pPr>
      <w:r>
        <w:rPr>
          <w:color w:val="000000"/>
          <w:shd w:fill="auto"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000000"/>
          <w:highlight w:val="none"/>
          <w:shd w:fill="auto" w:val="clear"/>
        </w:rPr>
      </w:pPr>
      <w:r>
        <w:rPr>
          <w:color w:val="000000"/>
          <w:shd w:fill="auto"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000000"/>
          <w:highlight w:val="none"/>
          <w:shd w:fill="auto" w:val="clear"/>
        </w:rPr>
      </w:pPr>
      <w:r>
        <w:rPr>
          <w:color w:val="000000"/>
          <w:shd w:fill="auto"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000000"/>
          <w:highlight w:val="none"/>
          <w:shd w:fill="auto" w:val="clear"/>
        </w:rPr>
      </w:pPr>
      <w:r>
        <w:rPr>
          <w:color w:val="000000"/>
          <w:shd w:fill="auto"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000000"/>
          <w:highlight w:val="none"/>
          <w:shd w:fill="auto" w:val="clear"/>
        </w:rPr>
      </w:pPr>
      <w:r>
        <w:rPr>
          <w:color w:val="000000"/>
          <w:shd w:fill="auto" w:val="clear"/>
        </w:rPr>
        <w:t>Para o objeto ou parte dele sujeito ao regime de empreitada por preço unitário o critério de aceitabilidade de preços será:</w:t>
      </w:r>
    </w:p>
    <w:p>
      <w:pPr>
        <w:pStyle w:val="Nvel4-R"/>
        <w:numPr>
          <w:ilvl w:val="3"/>
          <w:numId w:val="1"/>
        </w:numPr>
        <w:ind w:hanging="0" w:left="567"/>
        <w:rPr>
          <w:color w:val="000000"/>
          <w:highlight w:val="none"/>
          <w:shd w:fill="auto" w:val="clear"/>
        </w:rPr>
      </w:pPr>
      <w:r>
        <w:rPr>
          <w:color w:val="000000"/>
          <w:shd w:fill="auto" w:val="clear"/>
        </w:rPr>
        <w:t>O valor global estimado para a contratação;</w:t>
      </w:r>
    </w:p>
    <w:p>
      <w:pPr>
        <w:pStyle w:val="Nvel4-R"/>
        <w:numPr>
          <w:ilvl w:val="3"/>
          <w:numId w:val="1"/>
        </w:numPr>
        <w:ind w:hanging="0" w:left="567"/>
        <w:rPr>
          <w:color w:val="000000"/>
          <w:highlight w:val="none"/>
          <w:shd w:fill="auto" w:val="clear"/>
        </w:rPr>
      </w:pPr>
      <w:r>
        <w:rPr>
          <w:color w:val="000000"/>
          <w:shd w:fill="auto" w:val="clear"/>
        </w:rPr>
        <w:t>Preços unitários: conforme Planilha de Custos elaborada pelo Contratante, anexa a este documento.</w:t>
      </w:r>
    </w:p>
    <w:p>
      <w:pPr>
        <w:pStyle w:val="Nvel3-R"/>
        <w:numPr>
          <w:ilvl w:val="2"/>
          <w:numId w:val="1"/>
        </w:numPr>
        <w:ind w:hanging="0" w:left="284"/>
        <w:rPr>
          <w:color w:val="000000"/>
          <w:highlight w:val="none"/>
          <w:shd w:fill="auto" w:val="clear"/>
        </w:rPr>
      </w:pPr>
      <w:r>
        <w:rPr>
          <w:color w:val="000000"/>
          <w:shd w:fill="auto" w:val="clear"/>
        </w:rPr>
        <w:t>Serão consideradas inexequíveis as propostas cujos valores forem inferiores a 75% (setenta e cinco por cento) do valor orçado pela Administração.</w:t>
      </w:r>
    </w:p>
    <w:p>
      <w:pPr>
        <w:pStyle w:val="Nvel3-R"/>
        <w:numPr>
          <w:ilvl w:val="2"/>
          <w:numId w:val="1"/>
        </w:numPr>
        <w:ind w:hanging="0" w:left="284"/>
        <w:rPr>
          <w:color w:val="000000"/>
          <w:highlight w:val="none"/>
          <w:shd w:fill="auto" w:val="clear"/>
        </w:rPr>
      </w:pPr>
      <w:r>
        <w:rPr>
          <w:color w:val="000000"/>
          <w:shd w:fill="auto"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color w:val="000000"/>
        </w:rPr>
        <w:t>Se houver indícios de inexequibilidade da proposta de preço, ou em caso d</w:t>
      </w:r>
      <w:r>
        <w:rPr/>
        <w:t>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color w:val="000000"/>
          <w:highlight w:val="none"/>
          <w:shd w:fill="auto" w:val="clear"/>
        </w:rPr>
      </w:pPr>
      <w:r>
        <w:rPr>
          <w:color w:val="000000"/>
          <w:shd w:fill="auto" w:val="clea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000000"/>
          <w:highlight w:val="none"/>
          <w:shd w:fill="auto" w:val="clear"/>
        </w:rPr>
      </w:pPr>
      <w:r>
        <w:rPr>
          <w:color w:val="000000"/>
          <w:shd w:fill="auto"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color w:val="000000"/>
          <w:highlight w:val="none"/>
          <w:shd w:fill="auto" w:val="clear"/>
        </w:rPr>
      </w:pPr>
      <w:r>
        <w:rPr>
          <w:color w:val="000000"/>
          <w:shd w:fill="auto" w:val="clea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000000"/>
          <w:shd w:fill="auto" w:val="clear"/>
        </w:rPr>
        <w:t>2</w:t>
      </w:r>
      <w:r>
        <w:rPr>
          <w:rFonts w:eastAsia="Arial"/>
          <w:color w:val="000000"/>
          <w:shd w:fill="auto" w:val="clear"/>
        </w:rPr>
        <w:t xml:space="preserve"> ( duas</w:t>
      </w:r>
      <w:r>
        <w:rPr>
          <w:rFonts w:eastAsia="Arial"/>
          <w:color w:val="000000"/>
          <w:shd w:fill="auto" w:val="clear"/>
        </w:rPr>
        <w:t>)</w:t>
      </w:r>
      <w:r>
        <w:rPr>
          <w:iCs/>
          <w:color w:val="000000"/>
          <w:shd w:fill="auto" w:val="clear"/>
        </w:rPr>
        <w:t xml:space="preserve"> horas</w:t>
      </w:r>
      <w:r>
        <w:rPr>
          <w:color w:val="000000"/>
          <w:shd w:fill="auto" w:val="clear"/>
        </w:rPr>
        <w:t>, sob pena de inabilitação.</w:t>
      </w:r>
    </w:p>
    <w:p>
      <w:pPr>
        <w:pStyle w:val="Nivel2"/>
        <w:numPr>
          <w:ilvl w:val="1"/>
          <w:numId w:val="1"/>
        </w:numPr>
        <w:ind w:hanging="0" w:left="0"/>
        <w:rPr>
          <w:b/>
        </w:rPr>
      </w:pPr>
      <w:r>
        <w:rPr>
          <w:color w:val="000000"/>
          <w:shd w:fill="auto" w:val="clear"/>
        </w:rPr>
        <w:t>Somente haverá a necessidade de comprovação do preenchimento de requisitos mediante apresentação dos documentos originais não-digitais quando houver dúvida em relação à integridade do</w:t>
      </w:r>
      <w:r>
        <w:rPr/>
        <w:t xml:space="preserve">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highlight w:val="none"/>
          <w:shd w:fill="auto" w:val="clear"/>
        </w:rPr>
      </w:pPr>
      <w:r>
        <w:rPr>
          <w:shd w:fill="auto" w:val="clea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highlight w:val="none"/>
          <w:shd w:fill="auto" w:val="clear"/>
        </w:rPr>
      </w:pPr>
      <w:r>
        <w:rPr>
          <w:color w:val="111111"/>
          <w:shd w:fill="auto"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highlight w:val="none"/>
          <w:shd w:fill="auto" w:val="clear"/>
        </w:rPr>
      </w:pPr>
      <w:r>
        <w:rPr>
          <w:shd w:fill="auto" w:val="clear"/>
        </w:rPr>
        <w:t xml:space="preserve">Havendo </w:t>
      </w:r>
      <w:r>
        <w:rPr>
          <w:iCs/>
          <w:shd w:fill="auto" w:val="clear"/>
        </w:rPr>
        <w:t>necessidade</w:t>
      </w:r>
      <w:r>
        <w:rPr>
          <w:shd w:fill="auto" w:val="clear"/>
        </w:rPr>
        <w:t xml:space="preserve"> de analisar minuciosamente os documentos exigidos, a sessão será suspensa, sendo informada a nova data e horário para a sua continuidade.</w:t>
      </w:r>
    </w:p>
    <w:p>
      <w:pPr>
        <w:pStyle w:val="Nivel2"/>
        <w:numPr>
          <w:ilvl w:val="1"/>
          <w:numId w:val="1"/>
        </w:numPr>
        <w:ind w:hanging="0" w:left="0"/>
        <w:rPr>
          <w:highlight w:val="none"/>
          <w:shd w:fill="auto" w:val="clear"/>
        </w:rPr>
      </w:pPr>
      <w:r>
        <w:rPr>
          <w:shd w:fill="auto" w:val="clear"/>
        </w:rPr>
        <w:t xml:space="preserve">Será inabilitado o fornecedor que não comprovar sua habilitação, seja por não apresentar </w:t>
      </w:r>
      <w:r>
        <w:rPr>
          <w:iCs/>
          <w:shd w:fill="auto" w:val="clear"/>
        </w:rPr>
        <w:t>quaisquer</w:t>
      </w:r>
      <w:r>
        <w:rPr>
          <w:shd w:fill="auto" w:val="clear"/>
        </w:rPr>
        <w:t xml:space="preserve"> dos documentos exigidos, ou apresentá-los em desacordo com o estabelecido neste Aviso de Contratação Direta.</w:t>
      </w:r>
    </w:p>
    <w:p>
      <w:pPr>
        <w:pStyle w:val="Nivel3"/>
        <w:numPr>
          <w:ilvl w:val="2"/>
          <w:numId w:val="1"/>
        </w:numPr>
        <w:ind w:hanging="0" w:left="284"/>
        <w:rPr/>
      </w:pPr>
      <w:r>
        <w:rPr>
          <w:shd w:fill="auto" w:val="clea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w:t>
      </w:r>
      <w:r>
        <w:rPr/>
        <w:t>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auto" w:val="clear"/>
        </w:rPr>
      </w:pPr>
      <w:bookmarkStart w:id="20" w:name="_Toc226962644"/>
      <w:r>
        <w:rPr>
          <w:shd w:fill="auto" w:val="clear"/>
        </w:rPr>
        <w:t xml:space="preserve">DA </w:t>
      </w:r>
      <w:bookmarkStart w:id="21" w:name="_Toc142925867"/>
      <w:r>
        <w:rPr>
          <w:shd w:fill="auto" w:val="clear"/>
        </w:rPr>
        <w:t>ATA DE REGISTRO DE PREÇOS</w:t>
      </w:r>
      <w:bookmarkEnd w:id="20"/>
      <w:bookmarkEnd w:id="21"/>
    </w:p>
    <w:p>
      <w:pPr>
        <w:pStyle w:val="Nivel2"/>
        <w:numPr>
          <w:ilvl w:val="1"/>
          <w:numId w:val="1"/>
        </w:numPr>
        <w:ind w:hanging="0" w:left="0"/>
        <w:rPr>
          <w:highlight w:val="none"/>
          <w:shd w:fill="auto" w:val="clear"/>
        </w:rPr>
      </w:pPr>
      <w:r>
        <w:rPr>
          <w:shd w:fill="auto" w:val="clear"/>
        </w:rPr>
        <w:t xml:space="preserve">Homologado o resultado do procedimento, o fornecedor mais bem classificado terá o prazo de </w:t>
      </w:r>
      <w:r>
        <w:rPr>
          <w:rFonts w:eastAsia="Arial"/>
          <w:b/>
          <w:color w:val="EE0000"/>
          <w:shd w:fill="auto" w:val="clear"/>
        </w:rPr>
        <w:t>30</w:t>
      </w:r>
      <w:r>
        <w:rPr>
          <w:rFonts w:eastAsia="Arial"/>
          <w:color w:val="EE0000"/>
          <w:shd w:fill="auto" w:val="clear"/>
        </w:rPr>
        <w:t xml:space="preserve"> </w:t>
      </w:r>
      <w:r>
        <w:rPr>
          <w:rFonts w:eastAsia="Arial"/>
          <w:shd w:fill="auto" w:val="clear"/>
        </w:rPr>
        <w:t>(trinta)</w:t>
      </w:r>
      <w:r>
        <w:rPr>
          <w:iCs/>
          <w:shd w:fill="auto" w:val="clear"/>
        </w:rPr>
        <w:t xml:space="preserve"> dias</w:t>
      </w:r>
      <w:r>
        <w:rPr>
          <w:shd w:fill="auto"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auto" w:val="clear"/>
        </w:rPr>
      </w:pPr>
      <w:r>
        <w:rPr>
          <w:shd w:fill="auto"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auto" w:val="clear"/>
        </w:rPr>
      </w:pPr>
      <w:r>
        <w:rPr>
          <w:shd w:fill="auto" w:val="clear"/>
        </w:rPr>
        <w:t>a solicitação seja devidamente justificada e apresentada dentro do prazo; e</w:t>
      </w:r>
    </w:p>
    <w:p>
      <w:pPr>
        <w:pStyle w:val="Nivel3"/>
        <w:numPr>
          <w:ilvl w:val="2"/>
          <w:numId w:val="1"/>
        </w:numPr>
        <w:ind w:hanging="0" w:left="284"/>
        <w:rPr>
          <w:highlight w:val="none"/>
          <w:shd w:fill="auto" w:val="clear"/>
        </w:rPr>
      </w:pPr>
      <w:r>
        <w:rPr>
          <w:shd w:fill="auto" w:val="clear"/>
        </w:rPr>
        <w:t>a justificativa apresentada seja aceita pela Administração.</w:t>
      </w:r>
    </w:p>
    <w:p>
      <w:pPr>
        <w:pStyle w:val="Nivel2"/>
        <w:numPr>
          <w:ilvl w:val="1"/>
          <w:numId w:val="1"/>
        </w:numPr>
        <w:ind w:hanging="0" w:left="0"/>
        <w:rPr>
          <w:highlight w:val="none"/>
          <w:shd w:fill="auto" w:val="clear"/>
        </w:rPr>
      </w:pPr>
      <w:r>
        <w:rPr>
          <w:shd w:fill="auto" w:val="clear"/>
        </w:rPr>
        <w:t>A ata de registro de preços será assinada por meio de assinatura digital e disponibilizada no sistema de registro de preços.</w:t>
      </w:r>
    </w:p>
    <w:p>
      <w:pPr>
        <w:pStyle w:val="Nivel2"/>
        <w:numPr>
          <w:ilvl w:val="1"/>
          <w:numId w:val="1"/>
        </w:numPr>
        <w:ind w:hanging="0" w:left="0"/>
        <w:rPr>
          <w:highlight w:val="none"/>
          <w:shd w:fill="auto" w:val="clear"/>
        </w:rPr>
      </w:pPr>
      <w:r>
        <w:rPr>
          <w:shd w:fill="auto"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auto" w:val="clear"/>
        </w:rPr>
      </w:pPr>
      <w:r>
        <w:rPr>
          <w:shd w:fill="auto"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auto" w:val="clear"/>
        </w:rPr>
      </w:pPr>
      <w:r>
        <w:rPr>
          <w:shd w:fill="auto"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auto" w:val="clear"/>
        </w:rPr>
      </w:pPr>
      <w:r>
        <w:rPr>
          <w:shd w:fill="auto"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auto" w:val="clear"/>
        </w:rPr>
      </w:pPr>
      <w:r>
        <w:rPr>
          <w:shd w:fill="auto" w:val="clear"/>
        </w:rPr>
        <w:t>O prazo de vigência da ata de registro de preços será de 1 (um) ano e poderá ser prorrogado, por igual período, desde que comprovado o preço vantajoso.</w:t>
      </w:r>
    </w:p>
    <w:p>
      <w:pPr>
        <w:pStyle w:val="Nvel3-R"/>
        <w:numPr>
          <w:ilvl w:val="2"/>
          <w:numId w:val="1"/>
        </w:numPr>
        <w:ind w:hanging="0" w:left="284"/>
        <w:rPr>
          <w:highlight w:val="none"/>
          <w:shd w:fill="auto" w:val="clear"/>
        </w:rPr>
      </w:pPr>
      <w:r>
        <w:rPr>
          <w:color w:val="111111"/>
          <w:shd w:fill="auto" w:val="clear"/>
        </w:rPr>
        <w:t xml:space="preserve">Em caso de prorrogação da ata, </w:t>
      </w:r>
      <w:r>
        <w:rPr>
          <w:b/>
          <w:bCs/>
          <w:color w:val="111111"/>
          <w:shd w:fill="auto" w:val="clear"/>
        </w:rPr>
        <w:t xml:space="preserve">poderá </w:t>
      </w:r>
      <w:r>
        <w:rPr>
          <w:color w:val="111111"/>
          <w:shd w:fill="auto" w:val="clear"/>
        </w:rPr>
        <w:t xml:space="preserve"> ser renovado o quantitativo originalmente registrado.</w:t>
      </w:r>
    </w:p>
    <w:p>
      <w:pPr>
        <w:pStyle w:val="Nivel01"/>
        <w:numPr>
          <w:ilvl w:val="0"/>
          <w:numId w:val="1"/>
        </w:numPr>
        <w:spacing w:before="288" w:after="288"/>
        <w:ind w:hanging="357" w:left="357"/>
        <w:rPr>
          <w:highlight w:val="none"/>
          <w:shd w:fill="auto" w:val="clear"/>
        </w:rPr>
      </w:pPr>
      <w:bookmarkStart w:id="22" w:name="_Toc226962645"/>
      <w:r>
        <w:rPr>
          <w:shd w:fill="auto" w:val="clear"/>
        </w:rPr>
        <w:t xml:space="preserve">DA </w:t>
      </w:r>
      <w:bookmarkStart w:id="23" w:name="_Toc142925868"/>
      <w:r>
        <w:rPr>
          <w:shd w:fill="auto" w:val="clear"/>
        </w:rPr>
        <w:t>FORMAÇÃO DO CADASTRO DE RESERVA</w:t>
      </w:r>
      <w:bookmarkEnd w:id="22"/>
      <w:bookmarkEnd w:id="23"/>
    </w:p>
    <w:p>
      <w:pPr>
        <w:pStyle w:val="Nivel2"/>
        <w:numPr>
          <w:ilvl w:val="1"/>
          <w:numId w:val="1"/>
        </w:numPr>
        <w:ind w:hanging="0" w:left="0"/>
        <w:rPr>
          <w:highlight w:val="none"/>
          <w:shd w:fill="auto" w:val="clear"/>
        </w:rPr>
      </w:pPr>
      <w:r>
        <w:rPr>
          <w:shd w:fill="auto" w:val="clear"/>
        </w:rPr>
        <w:t>Após a homologação do procedimento, será incluído na ata, na forma de anexo, o registro:</w:t>
      </w:r>
    </w:p>
    <w:p>
      <w:pPr>
        <w:pStyle w:val="Nivel3"/>
        <w:numPr>
          <w:ilvl w:val="2"/>
          <w:numId w:val="1"/>
        </w:numPr>
        <w:ind w:hanging="0" w:left="284"/>
        <w:rPr>
          <w:highlight w:val="none"/>
          <w:shd w:fill="auto" w:val="clear"/>
        </w:rPr>
      </w:pPr>
      <w:r>
        <w:rPr>
          <w:shd w:fill="auto" w:val="clear"/>
        </w:rPr>
        <w:t xml:space="preserve">dos fornecedores </w:t>
      </w:r>
      <w:bookmarkStart w:id="24" w:name="_Hlk132991372"/>
      <w:r>
        <w:rPr>
          <w:shd w:fill="auto" w:val="clear"/>
        </w:rPr>
        <w:t xml:space="preserve">que </w:t>
      </w:r>
      <w:bookmarkStart w:id="25" w:name="_Hlk132989696"/>
      <w:r>
        <w:rPr>
          <w:shd w:fill="auto" w:val="clear"/>
        </w:rPr>
        <w:t>aceitarem cotar o objeto com preço igual ao do adjudicatári</w:t>
      </w:r>
      <w:bookmarkEnd w:id="24"/>
      <w:r>
        <w:rPr>
          <w:shd w:fill="auto" w:val="clear"/>
        </w:rPr>
        <w:t>o</w:t>
      </w:r>
      <w:bookmarkEnd w:id="25"/>
      <w:r>
        <w:rPr>
          <w:shd w:fill="auto"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auto" w:val="clear"/>
        </w:rPr>
      </w:pPr>
      <w:r>
        <w:rPr>
          <w:shd w:fill="auto" w:val="clear"/>
        </w:rPr>
        <w:t>dos fornecedores que mantiverem sua proposta original.</w:t>
      </w:r>
    </w:p>
    <w:p>
      <w:pPr>
        <w:pStyle w:val="Nivel2"/>
        <w:numPr>
          <w:ilvl w:val="1"/>
          <w:numId w:val="1"/>
        </w:numPr>
        <w:ind w:hanging="0" w:left="0"/>
        <w:rPr>
          <w:highlight w:val="none"/>
          <w:shd w:fill="auto" w:val="clear"/>
        </w:rPr>
      </w:pPr>
      <w:r>
        <w:rPr>
          <w:shd w:fill="auto" w:val="clear"/>
        </w:rPr>
        <w:t>Será respeitada, nas contratações, a ordem de classificação dos fornecedores registrados na ata.</w:t>
      </w:r>
    </w:p>
    <w:p>
      <w:pPr>
        <w:pStyle w:val="Nivel2"/>
        <w:numPr>
          <w:ilvl w:val="1"/>
          <w:numId w:val="1"/>
        </w:numPr>
        <w:ind w:hanging="0" w:left="0"/>
        <w:rPr>
          <w:highlight w:val="none"/>
          <w:shd w:fill="auto" w:val="clear"/>
        </w:rPr>
      </w:pPr>
      <w:r>
        <w:rPr>
          <w:shd w:fill="auto" w:val="clear"/>
        </w:rPr>
        <w:t>A apresentação de novas propostas na forma deste item não prejudicará o resultado do procedimento em relação ao fornecedor mais bem classificado.</w:t>
      </w:r>
    </w:p>
    <w:p>
      <w:pPr>
        <w:pStyle w:val="Nivel2"/>
        <w:numPr>
          <w:ilvl w:val="1"/>
          <w:numId w:val="1"/>
        </w:numPr>
        <w:ind w:hanging="0" w:left="0"/>
        <w:rPr>
          <w:highlight w:val="none"/>
          <w:shd w:fill="auto" w:val="clear"/>
        </w:rPr>
      </w:pPr>
      <w:r>
        <w:rPr>
          <w:shd w:fill="auto" w:val="clea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auto" w:val="clear"/>
        </w:rPr>
      </w:pPr>
      <w:r>
        <w:rPr>
          <w:shd w:fill="auto"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auto" w:val="clear"/>
        </w:rPr>
      </w:pPr>
      <w:r>
        <w:rPr>
          <w:shd w:fill="auto"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auto" w:val="clear"/>
        </w:rPr>
      </w:pPr>
      <w:r>
        <w:rPr>
          <w:shd w:fill="auto"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auto" w:val="clear"/>
        </w:rPr>
      </w:pPr>
      <w:r>
        <w:rPr>
          <w:shd w:fill="auto"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auto" w:val="clear"/>
        </w:rPr>
      </w:pPr>
      <w:r>
        <w:rPr>
          <w:shd w:fill="auto"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auto" w:val="clear"/>
        </w:rPr>
      </w:pPr>
      <w:r>
        <w:rPr>
          <w:shd w:fill="auto"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auto" w:val="clear"/>
        </w:rPr>
      </w:pPr>
      <w:bookmarkStart w:id="26" w:name="_Toc226962646"/>
      <w:r>
        <w:rPr>
          <w:shd w:fill="auto" w:val="clear"/>
        </w:rPr>
        <w:t xml:space="preserve">DA </w:t>
      </w:r>
      <w:bookmarkStart w:id="27" w:name="_Toc142925869"/>
      <w:r>
        <w:rPr>
          <w:shd w:fill="auto"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w:t>
      </w:r>
      <w:r>
        <w:rPr>
          <w:shd w:fill="auto" w:val="clear"/>
        </w:rPr>
        <w:t>s neste Aviso de Contratação Direta.</w:t>
      </w:r>
    </w:p>
    <w:p>
      <w:pPr>
        <w:pStyle w:val="Nivel3"/>
        <w:numPr>
          <w:ilvl w:val="2"/>
          <w:numId w:val="1"/>
        </w:numPr>
        <w:ind w:hanging="0" w:left="284"/>
        <w:rPr>
          <w:highlight w:val="none"/>
          <w:shd w:fill="auto" w:val="clear"/>
        </w:rPr>
      </w:pPr>
      <w:r>
        <w:rPr>
          <w:shd w:fill="auto" w:val="clea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auto" w:val="clear"/>
        </w:rPr>
        <w:t>7</w:t>
      </w:r>
      <w:r>
        <w:rPr>
          <w:rFonts w:eastAsia="Arial"/>
          <w:color w:val="111111"/>
          <w:shd w:fill="auto" w:val="clear"/>
        </w:rPr>
        <w:t xml:space="preserve"> (</w:t>
      </w:r>
      <w:r>
        <w:rPr>
          <w:rFonts w:eastAsia="Arial"/>
          <w:b/>
          <w:bCs/>
          <w:color w:val="111111"/>
          <w:shd w:fill="auto" w:val="clear"/>
        </w:rPr>
        <w:t>sete</w:t>
      </w:r>
      <w:r>
        <w:rPr>
          <w:rFonts w:eastAsia="Arial"/>
          <w:color w:val="111111"/>
          <w:shd w:fill="auto" w:val="clear"/>
        </w:rPr>
        <w:t>)</w:t>
      </w:r>
      <w:r>
        <w:rPr>
          <w:bCs/>
          <w:iCs/>
          <w:shd w:fill="auto" w:val="clear"/>
        </w:rPr>
        <w:t xml:space="preserve"> dias</w:t>
      </w:r>
      <w:r>
        <w:rPr>
          <w:shd w:fill="auto" w:val="clear"/>
        </w:rPr>
        <w:t>, a contar da data de seu recebimento ou da disponibilização do acesso ao sistema de processo eletrônico.</w:t>
      </w:r>
    </w:p>
    <w:p>
      <w:pPr>
        <w:pStyle w:val="Nivel3"/>
        <w:numPr>
          <w:ilvl w:val="2"/>
          <w:numId w:val="1"/>
        </w:numPr>
        <w:ind w:hanging="0" w:left="284"/>
        <w:rPr>
          <w:highlight w:val="none"/>
          <w:shd w:fill="auto" w:val="clear"/>
        </w:rPr>
      </w:pPr>
      <w:r>
        <w:rPr>
          <w:shd w:fill="auto" w:val="clear"/>
        </w:rPr>
        <w:t>O prazo previsto no subitem anterior poderá ser prorrogado, por igual período, por solicitação justificada do adjudicatário e aceita pela Administração.</w:t>
      </w:r>
    </w:p>
    <w:p>
      <w:pPr>
        <w:pStyle w:val="Nivel2"/>
        <w:numPr>
          <w:ilvl w:val="1"/>
          <w:numId w:val="1"/>
        </w:numPr>
        <w:ind w:hanging="0" w:left="0"/>
        <w:rPr>
          <w:highlight w:val="none"/>
          <w:shd w:fill="auto" w:val="clear"/>
        </w:rPr>
      </w:pPr>
      <w:r>
        <w:rPr>
          <w:shd w:fill="auto" w:val="clea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auto" w:val="clear"/>
        </w:rPr>
        <w:t xml:space="preserve">referida Nota está substituindo o contrato, aplicando-se à relação de negócios ali estabelecida as disposições da </w:t>
      </w:r>
      <w:hyperlink r:id="rId8">
        <w:r>
          <w:rPr>
            <w:rStyle w:val="Hyperlink"/>
            <w:rFonts w:eastAsia="Arial"/>
            <w:color w:val="111111"/>
            <w:u w:val="none"/>
            <w:shd w:fill="auto" w:val="clear"/>
          </w:rPr>
          <w:t>Lei nº 14.133, de 2021</w:t>
        </w:r>
      </w:hyperlink>
      <w:r>
        <w:rPr>
          <w:rFonts w:eastAsia="Arial"/>
          <w:color w:val="111111"/>
          <w:shd w:fill="auto" w:val="clear"/>
        </w:rPr>
        <w:t>;</w:t>
      </w:r>
    </w:p>
    <w:p>
      <w:pPr>
        <w:pStyle w:val="Nvel3-R"/>
        <w:numPr>
          <w:ilvl w:val="2"/>
          <w:numId w:val="1"/>
        </w:numPr>
        <w:ind w:hanging="0" w:left="284"/>
        <w:rPr>
          <w:highlight w:val="none"/>
          <w:shd w:fill="auto" w:val="clear"/>
        </w:rPr>
      </w:pPr>
      <w:r>
        <w:rPr>
          <w:rFonts w:eastAsia="Arial"/>
          <w:color w:val="111111"/>
          <w:shd w:fill="auto"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auto" w:val="clear"/>
        </w:rPr>
        <w:t xml:space="preserve">a contratada reconhece que as hipóteses de rescisão são aquelas previstas nos </w:t>
      </w:r>
      <w:r>
        <w:fldChar w:fldCharType="begin"/>
      </w:r>
      <w:r>
        <w:rPr>
          <w:rStyle w:val="Hyperlink"/>
          <w:u w:val="none"/>
          <w:shd w:fill="auto" w:val="clear"/>
          <w:rFonts w:eastAsia="Arial"/>
          <w:color w:themeColor="hyperlink" w:val="111111"/>
        </w:rPr>
        <w:instrText xml:space="preserve"> HYPERLINK "http://www.planalto.gov.br/ccivil_03/_ato2019-2022/2021/lei/L14133.htm" \l "art137"</w:instrText>
      </w:r>
      <w:r>
        <w:rPr>
          <w:rStyle w:val="Hyperlink"/>
          <w:u w:val="none"/>
          <w:shd w:fill="auto" w:val="clear"/>
          <w:rFonts w:eastAsia="Arial"/>
          <w:color w:themeColor="hyperlink" w:val="111111"/>
        </w:rPr>
        <w:fldChar w:fldCharType="separate"/>
      </w:r>
      <w:r>
        <w:rPr>
          <w:rStyle w:val="Hyperlink"/>
          <w:rFonts w:eastAsia="Arial"/>
          <w:color w:themeColor="hyperlink" w:val="111111"/>
          <w:u w:val="none"/>
          <w:shd w:fill="auto" w:val="clear"/>
        </w:rPr>
        <w:t>arts. 137 e 138 da Lei nº 14.133, de 2021</w:t>
      </w:r>
      <w:r>
        <w:rPr>
          <w:rStyle w:val="Hyperlink"/>
          <w:u w:val="none"/>
          <w:shd w:fill="auto" w:val="clear"/>
          <w:rFonts w:eastAsia="Arial"/>
          <w:color w:themeColor="hyperlink" w:val="111111"/>
        </w:rPr>
        <w:fldChar w:fldCharType="end"/>
      </w:r>
      <w:r>
        <w:rPr>
          <w:color w:val="111111"/>
          <w:shd w:fill="auto" w:val="clear"/>
        </w:rPr>
        <w:t>,</w:t>
      </w:r>
      <w:r>
        <w:rPr>
          <w:rFonts w:eastAsia="Arial"/>
          <w:color w:val="111111"/>
          <w:shd w:fill="auto" w:val="clear"/>
        </w:rPr>
        <w:t xml:space="preserve"> e reconhece os direitos da Administração previstos nos </w:t>
      </w:r>
      <w:r>
        <w:fldChar w:fldCharType="begin"/>
      </w:r>
      <w:r>
        <w:rPr>
          <w:rStyle w:val="Hyperlink"/>
          <w:u w:val="none"/>
          <w:shd w:fill="auto" w:val="clear"/>
          <w:rFonts w:eastAsia="Arial"/>
          <w:color w:themeColor="hyperlink" w:val="111111"/>
        </w:rPr>
        <w:instrText xml:space="preserve"> HYPERLINK "http://www.planalto.gov.br/ccivil_03/_ato2019-2022/2021/lei/L14133.htm" \l "art137"</w:instrText>
      </w:r>
      <w:r>
        <w:rPr>
          <w:rStyle w:val="Hyperlink"/>
          <w:u w:val="none"/>
          <w:shd w:fill="auto" w:val="clear"/>
          <w:rFonts w:eastAsia="Arial"/>
          <w:color w:themeColor="hyperlink" w:val="111111"/>
        </w:rPr>
        <w:fldChar w:fldCharType="separate"/>
      </w:r>
      <w:r>
        <w:rPr>
          <w:rStyle w:val="Hyperlink"/>
          <w:rFonts w:eastAsia="Arial"/>
          <w:color w:themeColor="hyperlink" w:val="111111"/>
          <w:u w:val="none"/>
          <w:shd w:fill="auto" w:val="clear"/>
        </w:rPr>
        <w:t>arts. 137 a 139 da mesma Lei</w:t>
      </w:r>
      <w:r>
        <w:rPr>
          <w:rStyle w:val="Hyperlink"/>
          <w:u w:val="none"/>
          <w:shd w:fill="auto" w:val="clear"/>
          <w:rFonts w:eastAsia="Arial"/>
          <w:color w:themeColor="hyperlink" w:val="111111"/>
        </w:rPr>
        <w:fldChar w:fldCharType="end"/>
      </w:r>
      <w:r>
        <w:rPr>
          <w:rFonts w:eastAsia="Arial"/>
          <w:color w:val="111111"/>
          <w:shd w:fill="auto" w:val="clear"/>
        </w:rPr>
        <w:t>.</w:t>
      </w:r>
    </w:p>
    <w:p>
      <w:pPr>
        <w:pStyle w:val="Nivel2"/>
        <w:numPr>
          <w:ilvl w:val="1"/>
          <w:numId w:val="1"/>
        </w:numPr>
        <w:ind w:hanging="0" w:left="0"/>
        <w:rPr>
          <w:highlight w:val="none"/>
          <w:shd w:fill="auto" w:val="clear"/>
        </w:rPr>
      </w:pPr>
      <w:r>
        <w:rPr>
          <w:rFonts w:eastAsia="Arial"/>
          <w:shd w:fill="auto" w:val="clear"/>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w:t>
      </w:r>
      <w:r>
        <w:rPr/>
        <w:t xml:space="preserve">trinta </w:t>
      </w:r>
      <w:r>
        <w:rPr/>
        <w:t xml:space="preserve">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Previame</w:t>
      </w:r>
      <w:r>
        <w:rPr>
          <w:shd w:fill="auto" w:val="clear"/>
        </w:rPr>
        <w:t xml:space="preserve">nte ao encaminhamento à cobrança judicial, a multa poderá ser recolhida administrativamente no prazo máximo de </w:t>
      </w:r>
      <w:r>
        <w:rPr>
          <w:rFonts w:eastAsia="Arial"/>
          <w:b/>
          <w:color w:val="111111"/>
          <w:shd w:fill="auto" w:val="clear"/>
        </w:rPr>
        <w:t>30</w:t>
      </w:r>
      <w:r>
        <w:rPr>
          <w:rFonts w:eastAsia="Arial"/>
          <w:color w:val="111111"/>
          <w:shd w:fill="auto" w:val="clear"/>
        </w:rPr>
        <w:t xml:space="preserve"> (</w:t>
      </w:r>
      <w:r>
        <w:rPr>
          <w:rFonts w:eastAsia="Arial"/>
          <w:b/>
          <w:color w:val="111111"/>
          <w:shd w:fill="auto" w:val="clear"/>
        </w:rPr>
        <w:t>trinta</w:t>
      </w:r>
      <w:r>
        <w:rPr>
          <w:rFonts w:eastAsia="Arial"/>
          <w:shd w:fill="auto" w:val="clear"/>
        </w:rPr>
        <w:t>)</w:t>
      </w:r>
      <w:r>
        <w:rPr>
          <w:iCs/>
          <w:shd w:fill="auto" w:val="clear"/>
        </w:rPr>
        <w:t xml:space="preserve"> dias</w:t>
      </w:r>
      <w:r>
        <w:rPr>
          <w:shd w:fill="auto" w:val="clea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0"/>
          <w:numId w:val="0"/>
        </w:numPr>
        <w:ind w:hanging="0" w:left="567"/>
        <w:rPr>
          <w:color w:val="111111"/>
          <w:highlight w:val="none"/>
          <w:shd w:fill="CCCCCC" w:val="clear"/>
        </w:rPr>
      </w:pPr>
      <w:r>
        <w:rPr/>
      </w:r>
    </w:p>
    <w:p>
      <w:pPr>
        <w:pStyle w:val="Nivel2"/>
        <w:numPr>
          <w:ilvl w:val="0"/>
          <w:numId w:val="0"/>
        </w:numPr>
        <w:ind w:hanging="0" w:left="0"/>
        <w:rPr/>
      </w:pPr>
      <w:r>
        <w:rPr/>
      </w:r>
    </w:p>
    <w:p>
      <w:pPr>
        <w:pStyle w:val="Nivel2"/>
        <w:numPr>
          <w:ilvl w:val="1"/>
          <w:numId w:val="1"/>
        </w:numPr>
        <w:ind w:hanging="0" w:left="0"/>
        <w:rPr/>
      </w:pPr>
      <w:r>
        <w:rPr/>
        <w:t xml:space="preserve">Rio de Janeiro, </w:t>
      </w:r>
      <w:r>
        <w:rPr/>
        <w:t>05</w:t>
      </w:r>
      <w:r>
        <w:rPr/>
        <w:t xml:space="preserve"> de </w:t>
      </w:r>
      <w:r>
        <w:rPr/>
        <w:t>novembro</w:t>
      </w:r>
      <w:r>
        <w:rPr/>
        <w:t xml:space="preserve">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206</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-376555</wp:posOffset>
          </wp:positionV>
          <wp:extent cx="7420610" cy="1061910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420610" cy="1061910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72</TotalTime>
  <Application>LibreOffice/24.2.7.2$Linux_X86_64 LibreOffice_project/420$Build-2</Application>
  <AppVersion>15.0000</AppVersion>
  <Pages>17</Pages>
  <Words>6823</Words>
  <Characters>38280</Characters>
  <CharactersWithSpaces>44622</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2026-11-04T17:16:56Z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