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contextualSpacing/>
        <w:jc w:val="center"/>
        <w:rPr>
          <w:rFonts w:ascii="Arial" w:hAnsi="Arial" w:cs="Arial"/>
          <w:b/>
          <w:b/>
          <w:bCs/>
          <w:color w:val="000000"/>
          <w:sz w:val="20"/>
          <w:szCs w:val="20"/>
        </w:rPr>
      </w:pPr>
      <w:r>
        <w:rPr>
          <w:rFonts w:cs="Arial" w:ascii="Arial" w:hAnsi="Arial"/>
          <w:b/>
          <w:bCs/>
          <w:color w:val="000000"/>
          <w:sz w:val="20"/>
          <w:szCs w:val="20"/>
        </w:rPr>
        <w:drawing>
          <wp:anchor behindDoc="0" distT="0" distB="0" distL="114300" distR="119380" simplePos="0" locked="0" layoutInCell="0" allowOverlap="1" relativeHeight="2">
            <wp:simplePos x="0" y="0"/>
            <wp:positionH relativeFrom="column">
              <wp:posOffset>2818130</wp:posOffset>
            </wp:positionH>
            <wp:positionV relativeFrom="paragraph">
              <wp:posOffset>8255</wp:posOffset>
            </wp:positionV>
            <wp:extent cx="73787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p>
    <w:p>
      <w:pPr>
        <w:pStyle w:val="Normal"/>
        <w:spacing w:lineRule="auto" w:line="312" w:before="360" w:after="288"/>
        <w:jc w:val="center"/>
        <w:rPr>
          <w:rFonts w:ascii="Calibri" w:hAnsi="Calibri" w:cs="Arial"/>
          <w:b/>
          <w:b/>
          <w:bCs/>
          <w:i w:val="false"/>
          <w:i w:val="false"/>
          <w:iCs w:val="false"/>
          <w:color w:val="000000"/>
          <w:sz w:val="24"/>
          <w:szCs w:val="24"/>
        </w:rPr>
      </w:pPr>
      <w:r>
        <w:rPr>
          <w:rFonts w:cs="Arial" w:ascii="Calibri" w:hAnsi="Calibri"/>
          <w:b/>
          <w:bCs/>
          <w:i w:val="false"/>
          <w:iCs w:val="false"/>
          <w:color w:val="000000"/>
          <w:sz w:val="24"/>
          <w:szCs w:val="24"/>
        </w:rPr>
        <w:t>MINISTÉRIO DA DEFESA</w:t>
      </w:r>
    </w:p>
    <w:p>
      <w:pPr>
        <w:pStyle w:val="Default"/>
        <w:bidi w:val="0"/>
        <w:jc w:val="center"/>
        <w:rPr>
          <w:rFonts w:ascii="Calibri" w:hAnsi="Calibri"/>
          <w:b/>
          <w:b/>
          <w:bCs/>
          <w:i w:val="false"/>
          <w:i w:val="false"/>
          <w:iCs w:val="false"/>
          <w:sz w:val="24"/>
          <w:szCs w:val="24"/>
        </w:rPr>
      </w:pPr>
      <w:r>
        <w:rPr>
          <w:rFonts w:ascii="Calibri" w:hAnsi="Calibri"/>
          <w:b/>
          <w:bCs/>
          <w:i w:val="false"/>
          <w:iCs w:val="false"/>
          <w:sz w:val="24"/>
          <w:szCs w:val="24"/>
        </w:rPr>
        <w:t>MARINHA DO BRASIL</w:t>
      </w:r>
    </w:p>
    <w:p>
      <w:pPr>
        <w:pStyle w:val="Default"/>
        <w:widowControl/>
        <w:suppressAutoHyphens w:val="true"/>
        <w:overflowPunct w:val="true"/>
        <w:bidi w:val="0"/>
        <w:spacing w:lineRule="auto" w:line="312" w:before="0" w:after="60"/>
        <w:ind w:left="0" w:right="0" w:hanging="0"/>
        <w:jc w:val="center"/>
        <w:rPr>
          <w:rFonts w:ascii="Calibri" w:hAnsi="Calibri" w:eastAsia="Times New Roman" w:cs="Arial"/>
          <w:b/>
          <w:b/>
          <w:bCs/>
          <w:i w:val="false"/>
          <w:i w:val="false"/>
          <w:iCs w:val="false"/>
          <w:color w:val="000000"/>
          <w:sz w:val="24"/>
          <w:szCs w:val="24"/>
        </w:rPr>
      </w:pPr>
      <w:r>
        <w:rPr>
          <w:rFonts w:eastAsia="Times New Roman" w:cs="Arial" w:ascii="Calibri" w:hAnsi="Calibri"/>
          <w:b/>
          <w:bCs/>
          <w:i w:val="false"/>
          <w:iCs w:val="false"/>
          <w:color w:val="000000"/>
          <w:sz w:val="24"/>
          <w:szCs w:val="24"/>
        </w:rPr>
        <w:t>ESTAÇÃO RÁDIO DA MARINHA NO RIO DE JANEIRO</w:t>
      </w:r>
    </w:p>
    <w:p>
      <w:pPr>
        <w:pStyle w:val="Normal"/>
        <w:spacing w:lineRule="auto" w:line="312" w:before="189" w:after="117"/>
        <w:jc w:val="center"/>
        <w:rPr/>
      </w:pPr>
      <w:r>
        <w:rPr>
          <w:rFonts w:eastAsia="ＭＳ 明朝" w:cs="Arial" w:ascii="Arial" w:hAnsi="Arial"/>
          <w:b/>
          <w:bCs/>
          <w:i w:val="false"/>
          <w:iCs w:val="false"/>
          <w:color w:val="000000"/>
          <w:kern w:val="0"/>
          <w:sz w:val="20"/>
          <w:szCs w:val="20"/>
          <w:lang w:val="pt-BR" w:eastAsia="pt-BR" w:bidi="ar-SA"/>
        </w:rPr>
        <w:t>Processo Administrativo n</w:t>
      </w:r>
      <w:r>
        <w:rPr>
          <w:rFonts w:cs="Arial" w:ascii="Arial" w:hAnsi="Arial"/>
          <w:b/>
          <w:bCs/>
          <w:i w:val="false"/>
          <w:iCs w:val="false"/>
          <w:color w:val="000000"/>
          <w:sz w:val="20"/>
          <w:szCs w:val="20"/>
        </w:rPr>
        <w:t>°</w:t>
      </w:r>
      <w:r>
        <w:rPr>
          <w:rStyle w:val="Nfaseforte"/>
          <w:rFonts w:eastAsia="Times New Roman" w:cs="Arial" w:ascii="Carlito" w:hAnsi="Carlito"/>
          <w:b w:val="false"/>
          <w:bCs w:val="false"/>
          <w:i w:val="false"/>
          <w:iCs/>
          <w:color w:val="000000"/>
          <w:kern w:val="2"/>
          <w:sz w:val="24"/>
          <w:szCs w:val="24"/>
          <w:shd w:fill="FFFFFF" w:val="clear"/>
          <w:lang w:val="pt-BR" w:eastAsia="zh-CN" w:bidi="ar-SA"/>
        </w:rPr>
        <w:t>63078.000170/2026-58</w:t>
      </w:r>
    </w:p>
    <w:p>
      <w:pPr>
        <w:pStyle w:val="Normal"/>
        <w:spacing w:lineRule="auto" w:line="312" w:before="0" w:after="288"/>
        <w:jc w:val="center"/>
        <w:rPr>
          <w:rFonts w:ascii="Arial" w:hAnsi="Arial" w:cs="Arial"/>
          <w:b/>
          <w:b/>
          <w:bCs/>
          <w:color w:val="000000"/>
          <w:sz w:val="20"/>
          <w:szCs w:val="20"/>
        </w:rPr>
      </w:pPr>
      <w:r>
        <w:rPr>
          <w:rFonts w:cs="Arial" w:ascii="Arial" w:hAnsi="Arial"/>
          <w:b/>
          <w:bCs/>
          <w:color w:val="000000"/>
          <w:sz w:val="20"/>
          <w:szCs w:val="20"/>
        </w:rPr>
        <w:t>TERMO DE REFERÊNCIA</w:t>
      </w:r>
    </w:p>
    <w:p>
      <w:pPr>
        <w:pStyle w:val="Nivel01"/>
        <w:numPr>
          <w:ilvl w:val="0"/>
          <w:numId w:val="2"/>
        </w:numPr>
        <w:shd w:val="clear" w:fill="FFFFFF"/>
        <w:ind w:left="357" w:right="0" w:hanging="357"/>
        <w:rPr/>
      </w:pPr>
      <w:r>
        <w:rPr/>
        <w:t>CONDIÇÕES GERAIS DA CONTRATAÇÃO</w:t>
      </w:r>
    </w:p>
    <w:p>
      <w:pPr>
        <w:pStyle w:val="Nivel01"/>
        <w:numPr>
          <w:ilvl w:val="1"/>
          <w:numId w:val="2"/>
        </w:numPr>
        <w:shd w:val="clear" w:fill="FFFFFF"/>
        <w:ind w:left="357" w:right="0" w:hanging="357"/>
        <w:rPr>
          <w:rFonts w:ascii="Calibri" w:hAnsi="Calibri" w:eastAsia="Times New Roman" w:cs="Arial"/>
          <w:b w:val="false"/>
          <w:b w:val="false"/>
          <w:bCs w:val="false"/>
          <w:i w:val="false"/>
          <w:i w:val="false"/>
          <w:iCs/>
          <w:color w:val="000000"/>
          <w:kern w:val="2"/>
          <w:sz w:val="24"/>
          <w:szCs w:val="24"/>
          <w:highlight w:val="white"/>
          <w:lang w:val="pt-BR" w:eastAsia="zh-CN" w:bidi="ar-SA"/>
        </w:rPr>
      </w:pPr>
      <w:r>
        <w:rPr>
          <w:rFonts w:eastAsia="Times New Roman" w:cs="Arial" w:ascii="Calibri" w:hAnsi="Calibri"/>
          <w:b w:val="false"/>
          <w:bCs w:val="false"/>
          <w:i w:val="false"/>
          <w:iCs/>
          <w:color w:val="000000"/>
          <w:kern w:val="2"/>
          <w:sz w:val="24"/>
          <w:szCs w:val="24"/>
          <w:highlight w:val="white"/>
          <w:lang w:val="pt-BR" w:eastAsia="zh-CN" w:bidi="ar-SA"/>
        </w:rPr>
        <w:t xml:space="preserve">Contratação de </w:t>
      </w:r>
      <w:r>
        <w:rPr>
          <w:rFonts w:eastAsia="Times New Roman" w:cs="Arial" w:ascii="Liberation Serif" w:hAnsi="Liberation Serif"/>
          <w:b w:val="false"/>
          <w:bCs w:val="false"/>
          <w:i w:val="false"/>
          <w:iCs/>
          <w:caps w:val="false"/>
          <w:smallCaps w:val="false"/>
          <w:color w:val="000000"/>
          <w:spacing w:val="-8"/>
          <w:kern w:val="2"/>
          <w:sz w:val="24"/>
          <w:szCs w:val="24"/>
          <w:highlight w:val="white"/>
          <w:shd w:fill="auto" w:val="clear"/>
          <w:lang w:val="pt-BR" w:eastAsia="zh-CN" w:bidi="ar-SA"/>
        </w:rPr>
        <w:t>Serviço de limpeza e Remoção de Resíduos Proveniente do sistema de esgoto sanitário</w:t>
      </w:r>
      <w:r>
        <w:rPr>
          <w:rFonts w:eastAsia="Times New Roman" w:cs="Arial" w:ascii="Calibri" w:hAnsi="Calibri"/>
          <w:b w:val="false"/>
          <w:bCs w:val="false"/>
          <w:i w:val="false"/>
          <w:iCs/>
          <w:color w:val="000000"/>
          <w:kern w:val="2"/>
          <w:sz w:val="24"/>
          <w:szCs w:val="24"/>
          <w:highlight w:val="white"/>
          <w:shd w:fill="FFFFFF" w:val="clear"/>
          <w:lang w:val="pt-BR" w:eastAsia="zh-CN" w:bidi="ar-SA"/>
        </w:rPr>
        <w:t>,</w:t>
      </w:r>
      <w:r>
        <w:rPr>
          <w:rFonts w:eastAsia="Times New Roman" w:cs="Arial" w:ascii="Calibri" w:hAnsi="Calibri"/>
          <w:b w:val="false"/>
          <w:bCs w:val="false"/>
          <w:i w:val="false"/>
          <w:iCs/>
          <w:color w:val="000000"/>
          <w:kern w:val="2"/>
          <w:sz w:val="24"/>
          <w:szCs w:val="24"/>
          <w:highlight w:val="white"/>
          <w:lang w:val="pt-BR" w:eastAsia="zh-CN" w:bidi="ar-SA"/>
        </w:rPr>
        <w:t xml:space="preserve"> nos termos da tabela abaixo, conforme condições e exigências estabelecidas neste instrumento</w:t>
      </w:r>
      <w:bookmarkStart w:id="0" w:name="_Ref172095982"/>
      <w:bookmarkEnd w:id="0"/>
      <w:r>
        <w:rPr>
          <w:rFonts w:eastAsia="Times New Roman" w:cs="Arial" w:ascii="Calibri" w:hAnsi="Calibri"/>
          <w:b w:val="false"/>
          <w:bCs w:val="false"/>
          <w:i w:val="false"/>
          <w:iCs/>
          <w:color w:val="000000"/>
          <w:kern w:val="2"/>
          <w:sz w:val="24"/>
          <w:szCs w:val="24"/>
          <w:highlight w:val="white"/>
          <w:lang w:val="pt-BR" w:eastAsia="zh-CN" w:bidi="ar-SA"/>
        </w:rPr>
        <w:t>.</w:t>
      </w:r>
    </w:p>
    <w:tbl>
      <w:tblPr>
        <w:tblW w:w="9870" w:type="dxa"/>
        <w:jc w:val="left"/>
        <w:tblInd w:w="149" w:type="dxa"/>
        <w:tblLayout w:type="fixed"/>
        <w:tblCellMar>
          <w:top w:w="0" w:type="dxa"/>
          <w:left w:w="98" w:type="dxa"/>
          <w:bottom w:w="0" w:type="dxa"/>
          <w:right w:w="108" w:type="dxa"/>
        </w:tblCellMar>
      </w:tblPr>
      <w:tblGrid>
        <w:gridCol w:w="854"/>
        <w:gridCol w:w="4185"/>
        <w:gridCol w:w="1140"/>
        <w:gridCol w:w="570"/>
        <w:gridCol w:w="675"/>
        <w:gridCol w:w="1186"/>
        <w:gridCol w:w="1260"/>
      </w:tblGrid>
      <w:tr>
        <w:trPr>
          <w:trHeight w:val="851" w:hRule="exact"/>
        </w:trPr>
        <w:tc>
          <w:tcPr>
            <w:tcW w:w="85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ITEM</w:t>
            </w:r>
          </w:p>
        </w:tc>
        <w:tc>
          <w:tcPr>
            <w:tcW w:w="418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ESPECIFICAÇÃO</w:t>
            </w:r>
          </w:p>
        </w:tc>
        <w:tc>
          <w:tcPr>
            <w:tcW w:w="114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spacing w:val="-24"/>
              </w:rPr>
            </w:pPr>
            <w:r>
              <w:rPr>
                <w:rFonts w:cs="Arial" w:ascii="Arial" w:hAnsi="Arial"/>
                <w:b/>
                <w:bCs/>
                <w:color w:val="000000"/>
                <w:spacing w:val="-24"/>
                <w:sz w:val="20"/>
                <w:szCs w:val="20"/>
              </w:rPr>
              <w:t>CATSER</w:t>
            </w:r>
          </w:p>
        </w:tc>
        <w:tc>
          <w:tcPr>
            <w:tcW w:w="57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spacing w:val="-20"/>
              </w:rPr>
            </w:pPr>
            <w:r>
              <w:rPr>
                <w:rFonts w:cs="Arial" w:ascii="Arial" w:hAnsi="Arial"/>
                <w:b/>
                <w:bCs/>
                <w:color w:val="000000"/>
                <w:spacing w:val="-20"/>
                <w:sz w:val="20"/>
                <w:szCs w:val="20"/>
              </w:rPr>
              <w:t>UF</w:t>
            </w:r>
          </w:p>
        </w:tc>
        <w:tc>
          <w:tcPr>
            <w:tcW w:w="6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spacing w:val="-20"/>
              </w:rPr>
            </w:pPr>
            <w:r>
              <w:rPr>
                <w:rFonts w:cs="Arial" w:ascii="Arial" w:hAnsi="Arial"/>
                <w:b/>
                <w:bCs/>
                <w:spacing w:val="-20"/>
                <w:sz w:val="20"/>
                <w:szCs w:val="20"/>
              </w:rPr>
              <w:t>QNT</w:t>
            </w:r>
          </w:p>
        </w:tc>
        <w:tc>
          <w:tcPr>
            <w:tcW w:w="118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spacing w:val="-20"/>
              </w:rPr>
            </w:pPr>
            <w:r>
              <w:rPr>
                <w:rFonts w:cs="Arial" w:ascii="Arial" w:hAnsi="Arial"/>
                <w:b/>
                <w:bCs/>
                <w:spacing w:val="-20"/>
                <w:sz w:val="20"/>
                <w:szCs w:val="20"/>
              </w:rPr>
              <w:t>VALOR UNITÁRIO</w:t>
            </w:r>
          </w:p>
        </w:tc>
        <w:tc>
          <w:tcPr>
            <w:tcW w:w="126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bidi w:val="0"/>
              <w:spacing w:lineRule="auto" w:line="312" w:before="120" w:after="288"/>
              <w:ind w:left="0" w:right="0" w:hanging="0"/>
              <w:jc w:val="center"/>
              <w:rPr>
                <w:spacing w:val="-20"/>
              </w:rPr>
            </w:pPr>
            <w:r>
              <w:rPr>
                <w:rFonts w:cs="Arial" w:ascii="Arial" w:hAnsi="Arial"/>
                <w:b/>
                <w:bCs/>
                <w:spacing w:val="-20"/>
                <w:sz w:val="20"/>
                <w:szCs w:val="20"/>
              </w:rPr>
              <w:t>VALOR TOTAL</w:t>
            </w:r>
          </w:p>
        </w:tc>
      </w:tr>
      <w:tr>
        <w:trPr>
          <w:trHeight w:val="1024" w:hRule="atLeast"/>
        </w:trPr>
        <w:tc>
          <w:tcPr>
            <w:tcW w:w="854"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jc w:val="center"/>
              <w:rPr>
                <w:rFonts w:ascii="Calibri" w:hAnsi="Calibri"/>
                <w:sz w:val="22"/>
                <w:szCs w:val="22"/>
              </w:rPr>
            </w:pPr>
            <w:r>
              <w:rPr>
                <w:rFonts w:ascii="Calibri" w:hAnsi="Calibri"/>
                <w:sz w:val="22"/>
                <w:szCs w:val="22"/>
              </w:rPr>
              <w:t>1</w:t>
            </w:r>
          </w:p>
        </w:tc>
        <w:tc>
          <w:tcPr>
            <w:tcW w:w="418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bidi w:val="0"/>
              <w:spacing w:lineRule="auto" w:line="312" w:before="114" w:after="117"/>
              <w:ind w:left="0" w:right="0" w:hanging="0"/>
              <w:jc w:val="left"/>
              <w:rPr>
                <w:rFonts w:ascii="Calibri" w:hAnsi="Calibri" w:eastAsia="Times New Roman" w:cs="Times New Roman"/>
                <w:b w:val="false"/>
                <w:b w:val="false"/>
                <w:bCs w:val="false"/>
                <w:i w:val="false"/>
                <w:i w:val="false"/>
                <w:iCs/>
                <w:color w:val="auto"/>
                <w:spacing w:val="4"/>
                <w:kern w:val="2"/>
                <w:sz w:val="24"/>
                <w:szCs w:val="24"/>
                <w:shd w:fill="FFFFFF" w:val="clear"/>
                <w:lang w:val="pt-BR" w:eastAsia="zh-CN" w:bidi="ar-SA"/>
              </w:rPr>
            </w:pPr>
            <w:r>
              <w:rPr>
                <w:rFonts w:eastAsia="Times New Roman" w:cs="Times New Roman" w:ascii="Calibri" w:hAnsi="Calibri"/>
                <w:b w:val="false"/>
                <w:bCs w:val="false"/>
                <w:i w:val="false"/>
                <w:iCs/>
                <w:color w:val="000000"/>
                <w:spacing w:val="4"/>
                <w:kern w:val="2"/>
                <w:sz w:val="24"/>
                <w:szCs w:val="24"/>
                <w:shd w:fill="FFFFFF" w:val="clear"/>
                <w:lang w:val="pt-BR" w:eastAsia="zh-CN" w:bidi="ar-SA"/>
              </w:rPr>
              <w:t>Limpeza do sistema de esgoto  sanitário com caminhão a vácuo com capacidade de  8.000 Lts</w:t>
            </w:r>
          </w:p>
        </w:tc>
        <w:tc>
          <w:tcPr>
            <w:tcW w:w="114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40" w:before="0" w:after="0"/>
              <w:ind w:left="0" w:right="0" w:hanging="0"/>
              <w:jc w:val="center"/>
              <w:rPr>
                <w:rFonts w:ascii="Calibri" w:hAnsi="Calibri" w:eastAsia="Times New Roman" w:cs="Times New Roman"/>
                <w:b w:val="false"/>
                <w:b w:val="false"/>
                <w:bCs w:val="false"/>
                <w:i w:val="false"/>
                <w:i w:val="false"/>
                <w:iCs/>
                <w:color w:val="auto"/>
                <w:spacing w:val="-26"/>
                <w:kern w:val="2"/>
                <w:sz w:val="24"/>
                <w:szCs w:val="24"/>
                <w:shd w:fill="FFFFFF" w:val="clear"/>
                <w:lang w:val="pt-BR" w:eastAsia="zh-CN" w:bidi="ar-SA"/>
              </w:rPr>
            </w:pPr>
            <w:r>
              <w:rPr>
                <w:rFonts w:eastAsia="Times New Roman" w:cs="Times New Roman" w:ascii="Calibri" w:hAnsi="Calibri"/>
                <w:b w:val="false"/>
                <w:bCs w:val="false"/>
                <w:i w:val="false"/>
                <w:iCs/>
                <w:color w:val="000000"/>
                <w:spacing w:val="-26"/>
                <w:kern w:val="2"/>
                <w:sz w:val="24"/>
                <w:szCs w:val="24"/>
                <w:shd w:fill="FFFFFF" w:val="clear"/>
                <w:lang w:val="pt-BR" w:eastAsia="zh-CN" w:bidi="ar-SA"/>
              </w:rPr>
              <w:t>16527</w:t>
            </w:r>
          </w:p>
        </w:tc>
        <w:tc>
          <w:tcPr>
            <w:tcW w:w="570"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jc w:val="center"/>
              <w:rPr>
                <w:rFonts w:ascii="Calibri" w:hAnsi="Calibri" w:eastAsia="Times New Roman" w:cs="Times New Roman"/>
                <w:b w:val="false"/>
                <w:b w:val="false"/>
                <w:bCs w:val="false"/>
                <w:i w:val="false"/>
                <w:i w:val="false"/>
                <w:iCs/>
                <w:color w:val="auto"/>
                <w:spacing w:val="-26"/>
                <w:kern w:val="2"/>
                <w:sz w:val="24"/>
                <w:szCs w:val="24"/>
                <w:shd w:fill="FFFFFF" w:val="clear"/>
                <w:lang w:val="pt-BR" w:eastAsia="zh-CN" w:bidi="ar-SA"/>
              </w:rPr>
            </w:pPr>
            <w:r>
              <w:rPr>
                <w:rFonts w:eastAsia="Times New Roman" w:cs="Times New Roman" w:ascii="Calibri" w:hAnsi="Calibri"/>
                <w:b w:val="false"/>
                <w:bCs w:val="false"/>
                <w:i w:val="false"/>
                <w:iCs/>
                <w:color w:val="000000"/>
                <w:spacing w:val="-26"/>
                <w:kern w:val="2"/>
                <w:sz w:val="24"/>
                <w:szCs w:val="24"/>
                <w:shd w:fill="FFFFFF" w:val="clear"/>
                <w:lang w:val="pt-BR" w:eastAsia="zh-CN" w:bidi="ar-SA"/>
              </w:rPr>
              <w:t>SVÇ</w:t>
            </w:r>
          </w:p>
        </w:tc>
        <w:tc>
          <w:tcPr>
            <w:tcW w:w="675" w:type="dxa"/>
            <w:tcBorders>
              <w:top w:val="single" w:sz="4" w:space="0" w:color="000000"/>
              <w:left w:val="single" w:sz="4" w:space="0" w:color="000000"/>
              <w:bottom w:val="single" w:sz="4" w:space="0" w:color="000000"/>
              <w:right w:val="single" w:sz="4" w:space="0" w:color="000000"/>
            </w:tcBorders>
            <w:shd w:fill="auto" w:val="clear"/>
            <w:vAlign w:val="center"/>
          </w:tcPr>
          <w:p>
            <w:pPr>
              <w:pStyle w:val="Contedodatabela"/>
              <w:widowControl w:val="false"/>
              <w:jc w:val="center"/>
              <w:rPr>
                <w:rFonts w:ascii="Calibri" w:hAnsi="Calibri" w:eastAsia="Times New Roman" w:cs="Times New Roman"/>
                <w:b w:val="false"/>
                <w:b w:val="false"/>
                <w:bCs w:val="false"/>
                <w:i w:val="false"/>
                <w:i w:val="false"/>
                <w:iCs/>
                <w:color w:val="auto"/>
                <w:spacing w:val="-26"/>
                <w:kern w:val="2"/>
                <w:sz w:val="24"/>
                <w:szCs w:val="24"/>
                <w:shd w:fill="FFFFFF" w:val="clear"/>
                <w:lang w:val="pt-BR" w:eastAsia="zh-CN" w:bidi="ar-SA"/>
              </w:rPr>
            </w:pPr>
            <w:r>
              <w:rPr>
                <w:rFonts w:eastAsia="Times New Roman" w:cs="Times New Roman" w:ascii="Calibri" w:hAnsi="Calibri"/>
                <w:b w:val="false"/>
                <w:bCs w:val="false"/>
                <w:i w:val="false"/>
                <w:iCs/>
                <w:color w:val="000000"/>
                <w:spacing w:val="-26"/>
                <w:kern w:val="2"/>
                <w:sz w:val="24"/>
                <w:szCs w:val="24"/>
                <w:shd w:fill="FFFFFF" w:val="clear"/>
                <w:lang w:val="pt-BR" w:eastAsia="zh-CN" w:bidi="ar-SA"/>
              </w:rPr>
              <w:t>4</w:t>
            </w:r>
          </w:p>
        </w:tc>
        <w:tc>
          <w:tcPr>
            <w:tcW w:w="118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Calibri" w:hAnsi="Calibri" w:eastAsia="Times New Roman" w:cs="Times New Roman"/>
                <w:b w:val="false"/>
                <w:b w:val="false"/>
                <w:bCs w:val="false"/>
                <w:i w:val="false"/>
                <w:i w:val="false"/>
                <w:iCs/>
                <w:color w:val="auto"/>
                <w:spacing w:val="-26"/>
                <w:kern w:val="2"/>
                <w:sz w:val="24"/>
                <w:szCs w:val="24"/>
                <w:shd w:fill="FFFFFF" w:val="clear"/>
                <w:lang w:val="pt-BR" w:eastAsia="zh-CN" w:bidi="ar-SA"/>
              </w:rPr>
            </w:pPr>
            <w:r>
              <w:rPr>
                <w:rFonts w:eastAsia="Times New Roman" w:cs="Times New Roman" w:ascii="Calibri" w:hAnsi="Calibri"/>
                <w:b w:val="false"/>
                <w:bCs w:val="false"/>
                <w:i w:val="false"/>
                <w:iCs/>
                <w:color w:val="000000"/>
                <w:spacing w:val="-26"/>
                <w:kern w:val="2"/>
                <w:sz w:val="24"/>
                <w:szCs w:val="24"/>
                <w:shd w:fill="FFFFFF" w:val="clear"/>
                <w:lang w:val="pt-BR" w:eastAsia="zh-CN" w:bidi="ar-SA"/>
              </w:rPr>
              <w:t>R$ 2.134,00</w:t>
            </w:r>
          </w:p>
        </w:tc>
        <w:tc>
          <w:tcPr>
            <w:tcW w:w="126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Calibri" w:hAnsi="Calibri" w:eastAsia="Times New Roman" w:cs="Times New Roman"/>
                <w:b w:val="false"/>
                <w:b w:val="false"/>
                <w:bCs w:val="false"/>
                <w:i w:val="false"/>
                <w:i w:val="false"/>
                <w:iCs/>
                <w:color w:val="auto"/>
                <w:spacing w:val="-26"/>
                <w:kern w:val="2"/>
                <w:sz w:val="24"/>
                <w:szCs w:val="24"/>
                <w:shd w:fill="FFFFFF" w:val="clear"/>
                <w:lang w:val="pt-BR" w:eastAsia="zh-CN" w:bidi="ar-SA"/>
              </w:rPr>
            </w:pPr>
            <w:r>
              <w:rPr>
                <w:rFonts w:eastAsia="Times New Roman" w:cs="Times New Roman" w:ascii="Calibri" w:hAnsi="Calibri"/>
                <w:b w:val="false"/>
                <w:bCs w:val="false"/>
                <w:i w:val="false"/>
                <w:iCs/>
                <w:color w:val="000000"/>
                <w:spacing w:val="-26"/>
                <w:kern w:val="2"/>
                <w:sz w:val="24"/>
                <w:szCs w:val="24"/>
                <w:shd w:fill="FFFFFF" w:val="clear"/>
                <w:lang w:val="pt-BR" w:eastAsia="zh-CN" w:bidi="ar-SA"/>
              </w:rPr>
              <w:t>R$ 8.536,00</w:t>
            </w:r>
          </w:p>
        </w:tc>
      </w:tr>
      <w:tr>
        <w:trPr>
          <w:trHeight w:val="1024" w:hRule="atLeast"/>
        </w:trPr>
        <w:tc>
          <w:tcPr>
            <w:tcW w:w="9870" w:type="dxa"/>
            <w:gridSpan w:val="7"/>
            <w:tcBorders>
              <w:left w:val="single" w:sz="4" w:space="0" w:color="000000"/>
              <w:bottom w:val="single" w:sz="4" w:space="0" w:color="000000"/>
              <w:right w:val="single" w:sz="4" w:space="0" w:color="000000"/>
            </w:tcBorders>
            <w:shd w:fill="auto" w:val="clear"/>
            <w:vAlign w:val="center"/>
          </w:tcPr>
          <w:p>
            <w:pPr>
              <w:pStyle w:val="Contedodatabela"/>
              <w:widowControl w:val="false"/>
              <w:jc w:val="left"/>
              <w:rPr>
                <w:rFonts w:ascii="Calibri" w:hAnsi="Calibri"/>
                <w:sz w:val="26"/>
                <w:szCs w:val="26"/>
              </w:rPr>
            </w:pPr>
            <w:r>
              <w:rPr>
                <w:rFonts w:ascii="Calibri" w:hAnsi="Calibri"/>
                <w:b/>
                <w:bCs/>
                <w:sz w:val="26"/>
                <w:szCs w:val="26"/>
              </w:rPr>
              <w:t>Descrição Detalhada do Serviço:</w:t>
            </w:r>
          </w:p>
          <w:p>
            <w:pPr>
              <w:pStyle w:val="Contedodatabela"/>
              <w:widowControl w:val="false"/>
              <w:jc w:val="left"/>
              <w:rPr>
                <w:rFonts w:ascii="Calibri" w:hAnsi="Calibri"/>
                <w:sz w:val="22"/>
                <w:szCs w:val="22"/>
              </w:rPr>
            </w:pPr>
            <w:r>
              <w:rPr>
                <w:rFonts w:ascii="Calibri" w:hAnsi="Calibri"/>
                <w:sz w:val="22"/>
                <w:szCs w:val="22"/>
              </w:rPr>
              <w:t>A execução dos serviços compreenderá até 04 (quatro) remoções de resíduos ao longo da vigência contratual, distribuídas da seguinte forma:</w:t>
            </w:r>
          </w:p>
          <w:p>
            <w:pPr>
              <w:pStyle w:val="Contedodatabela"/>
              <w:widowControl w:val="false"/>
              <w:jc w:val="left"/>
              <w:rPr>
                <w:rFonts w:ascii="Calibri" w:hAnsi="Calibri"/>
                <w:sz w:val="22"/>
                <w:szCs w:val="22"/>
              </w:rPr>
            </w:pPr>
            <w:r>
              <w:rPr>
                <w:rFonts w:ascii="Calibri" w:hAnsi="Calibri"/>
                <w:sz w:val="22"/>
                <w:szCs w:val="22"/>
              </w:rPr>
            </w:r>
          </w:p>
          <w:p>
            <w:pPr>
              <w:pStyle w:val="Contedodatabela"/>
              <w:widowControl w:val="false"/>
              <w:jc w:val="left"/>
              <w:rPr>
                <w:rFonts w:ascii="Calibri" w:hAnsi="Calibri"/>
                <w:sz w:val="22"/>
                <w:szCs w:val="22"/>
              </w:rPr>
            </w:pPr>
            <w:r>
              <w:rPr>
                <w:rFonts w:ascii="Calibri" w:hAnsi="Calibri"/>
                <w:sz w:val="22"/>
                <w:szCs w:val="22"/>
              </w:rPr>
              <w:t>03 (três) serviços no Posto de Recepção;</w:t>
            </w:r>
          </w:p>
          <w:p>
            <w:pPr>
              <w:pStyle w:val="Contedodatabela"/>
              <w:widowControl w:val="false"/>
              <w:jc w:val="left"/>
              <w:rPr>
                <w:rFonts w:ascii="Calibri" w:hAnsi="Calibri"/>
                <w:sz w:val="22"/>
                <w:szCs w:val="22"/>
              </w:rPr>
            </w:pPr>
            <w:r>
              <w:rPr>
                <w:rFonts w:ascii="Calibri" w:hAnsi="Calibri"/>
                <w:sz w:val="22"/>
                <w:szCs w:val="22"/>
              </w:rPr>
              <w:t>01 (um) serviço no Posto de Transmissão.</w:t>
            </w:r>
          </w:p>
          <w:p>
            <w:pPr>
              <w:pStyle w:val="Contedodatabela"/>
              <w:widowControl w:val="false"/>
              <w:jc w:val="left"/>
              <w:rPr>
                <w:rFonts w:ascii="Calibri" w:hAnsi="Calibri"/>
                <w:sz w:val="22"/>
                <w:szCs w:val="22"/>
              </w:rPr>
            </w:pPr>
            <w:r>
              <w:rPr>
                <w:rFonts w:ascii="Calibri" w:hAnsi="Calibri"/>
                <w:sz w:val="22"/>
                <w:szCs w:val="22"/>
              </w:rPr>
            </w:r>
          </w:p>
          <w:p>
            <w:pPr>
              <w:pStyle w:val="Contedodatabela"/>
              <w:widowControl w:val="false"/>
              <w:jc w:val="left"/>
              <w:rPr>
                <w:rFonts w:ascii="Calibri" w:hAnsi="Calibri"/>
                <w:sz w:val="22"/>
                <w:szCs w:val="22"/>
              </w:rPr>
            </w:pPr>
            <w:r>
              <w:rPr>
                <w:rFonts w:ascii="Calibri" w:hAnsi="Calibri"/>
                <w:sz w:val="22"/>
                <w:szCs w:val="22"/>
              </w:rPr>
              <w:t xml:space="preserve">Os serviços não possuem datas previamente definidas, sendo executados conforme a necessidade da Administração, mediante solicitação formal. Ressalta-se que 01 (um) dos serviços deverá ser executado de </w:t>
            </w:r>
            <w:r>
              <w:rPr>
                <w:rFonts w:ascii="Calibri" w:hAnsi="Calibri"/>
                <w:b/>
                <w:bCs/>
                <w:sz w:val="22"/>
                <w:szCs w:val="22"/>
              </w:rPr>
              <w:t xml:space="preserve">forma imediata no Posto de Recepção, </w:t>
            </w:r>
            <w:r>
              <w:rPr>
                <w:rFonts w:ascii="Calibri" w:hAnsi="Calibri"/>
                <w:b/>
                <w:bCs/>
                <w:sz w:val="22"/>
                <w:szCs w:val="22"/>
              </w:rPr>
              <w:t>em at</w:t>
            </w:r>
            <w:r>
              <w:rPr>
                <w:rFonts w:eastAsia="SimSun" w:cs="Tahoma" w:ascii="Calibri" w:hAnsi="Calibri"/>
                <w:b/>
                <w:bCs/>
                <w:color w:val="auto"/>
                <w:kern w:val="2"/>
                <w:sz w:val="22"/>
                <w:szCs w:val="22"/>
                <w:lang w:val="pt-BR" w:eastAsia="zh-CN" w:bidi="hi-IN"/>
              </w:rPr>
              <w:t>é</w:t>
            </w:r>
            <w:r>
              <w:rPr>
                <w:rFonts w:ascii="Calibri" w:hAnsi="Calibri"/>
                <w:b/>
                <w:bCs/>
                <w:sz w:val="22"/>
                <w:szCs w:val="22"/>
              </w:rPr>
              <w:t xml:space="preserve"> 48 horas</w:t>
            </w:r>
            <w:r>
              <w:rPr>
                <w:rFonts w:ascii="Calibri" w:hAnsi="Calibri"/>
                <w:sz w:val="22"/>
                <w:szCs w:val="22"/>
              </w:rPr>
              <w:t xml:space="preserve"> em razão da necessidade urgente de restabelecimento das condições adequadas de funcionamento do sistema de esgoto sanitário.</w:t>
            </w:r>
          </w:p>
          <w:p>
            <w:pPr>
              <w:pStyle w:val="Contedodatabela"/>
              <w:widowControl w:val="false"/>
              <w:jc w:val="left"/>
              <w:rPr>
                <w:rFonts w:ascii="Calibri" w:hAnsi="Calibri"/>
                <w:sz w:val="22"/>
                <w:szCs w:val="22"/>
              </w:rPr>
            </w:pPr>
            <w:r>
              <w:rPr>
                <w:rFonts w:ascii="Calibri" w:hAnsi="Calibri"/>
                <w:sz w:val="22"/>
                <w:szCs w:val="22"/>
              </w:rPr>
            </w:r>
          </w:p>
          <w:p>
            <w:pPr>
              <w:pStyle w:val="Contedodatabela"/>
              <w:widowControl w:val="false"/>
              <w:jc w:val="left"/>
              <w:rPr>
                <w:rFonts w:ascii="Calibri" w:hAnsi="Calibri"/>
                <w:sz w:val="22"/>
                <w:szCs w:val="22"/>
              </w:rPr>
            </w:pPr>
            <w:r>
              <w:rPr>
                <w:rFonts w:ascii="Calibri" w:hAnsi="Calibri"/>
                <w:sz w:val="22"/>
                <w:szCs w:val="22"/>
              </w:rPr>
              <w:t xml:space="preserve">O empenho da despesa será realizado na modalidade </w:t>
            </w:r>
            <w:r>
              <w:rPr>
                <w:rStyle w:val="Nfaseforte"/>
                <w:rFonts w:ascii="Calibri" w:hAnsi="Calibri"/>
                <w:sz w:val="22"/>
                <w:szCs w:val="22"/>
              </w:rPr>
              <w:t>global</w:t>
            </w:r>
            <w:r>
              <w:rPr>
                <w:rFonts w:ascii="Calibri" w:hAnsi="Calibri"/>
                <w:sz w:val="22"/>
                <w:szCs w:val="22"/>
              </w:rPr>
              <w:t>, considerando tratar-se de contratação com valor previamente estimado, cuja execução ocorrerá de forma parcelada, conforme demanda da Administração durante a vigência do contrato.</w:t>
            </w:r>
          </w:p>
          <w:p>
            <w:pPr>
              <w:pStyle w:val="Contedodatabela"/>
              <w:widowControl w:val="false"/>
              <w:jc w:val="left"/>
              <w:rPr>
                <w:rFonts w:ascii="Calibri" w:hAnsi="Calibri"/>
                <w:sz w:val="22"/>
                <w:szCs w:val="22"/>
              </w:rPr>
            </w:pPr>
            <w:r>
              <w:rPr/>
            </w:r>
          </w:p>
          <w:p>
            <w:pPr>
              <w:pStyle w:val="Contedodatabela"/>
              <w:widowControl w:val="false"/>
              <w:jc w:val="left"/>
              <w:rPr>
                <w:rFonts w:ascii="Calibri" w:hAnsi="Calibri"/>
                <w:sz w:val="22"/>
                <w:szCs w:val="22"/>
              </w:rPr>
            </w:pPr>
            <w:r>
              <w:rPr/>
            </w:r>
          </w:p>
          <w:p>
            <w:pPr>
              <w:pStyle w:val="Contedodatabela"/>
              <w:widowControl w:val="false"/>
              <w:jc w:val="left"/>
              <w:rPr>
                <w:rFonts w:ascii="Calibri" w:hAnsi="Calibri"/>
                <w:sz w:val="22"/>
                <w:szCs w:val="22"/>
              </w:rPr>
            </w:pPr>
            <w:r>
              <w:rPr/>
            </w:r>
          </w:p>
          <w:p>
            <w:pPr>
              <w:pStyle w:val="Contedodatabela"/>
              <w:widowControl w:val="false"/>
              <w:jc w:val="left"/>
              <w:rPr>
                <w:rFonts w:ascii="Calibri" w:hAnsi="Calibri"/>
                <w:sz w:val="22"/>
                <w:szCs w:val="22"/>
              </w:rPr>
            </w:pPr>
            <w:r>
              <w:rPr/>
            </w:r>
          </w:p>
        </w:tc>
      </w:tr>
    </w:tbl>
    <w:p>
      <w:pPr>
        <w:pStyle w:val="Nvel2Opcional1"/>
        <w:widowControl/>
        <w:numPr>
          <w:ilvl w:val="1"/>
          <w:numId w:val="2"/>
        </w:numPr>
        <w:shd w:val="clear" w:fill="FFFFFF"/>
        <w:tabs>
          <w:tab w:val="left" w:pos="510" w:leader="none"/>
          <w:tab w:val="left" w:pos="735" w:leader="none"/>
        </w:tabs>
        <w:suppressAutoHyphens w:val="true"/>
        <w:bidi w:val="0"/>
        <w:spacing w:lineRule="auto" w:line="276" w:before="0" w:after="0"/>
        <w:ind w:left="454" w:right="0" w:firstLine="113"/>
        <w:jc w:val="both"/>
        <w:rPr>
          <w:rFonts w:ascii="Carlito" w:hAnsi="Carlito"/>
          <w:sz w:val="24"/>
          <w:szCs w:val="24"/>
        </w:rPr>
      </w:pPr>
      <w:r>
        <w:rPr>
          <w:rFonts w:ascii="Carlito" w:hAnsi="Carlito"/>
          <w:color w:val="000000"/>
          <w:sz w:val="24"/>
          <w:szCs w:val="24"/>
        </w:rPr>
        <w:t xml:space="preserve">O(s) serviço(s) objeto desta contratação são caracterizados como </w:t>
      </w:r>
      <w:r>
        <w:rPr>
          <w:rFonts w:ascii="Carlito" w:hAnsi="Carlito"/>
          <w:b/>
          <w:bCs/>
          <w:color w:val="000000"/>
          <w:sz w:val="24"/>
          <w:szCs w:val="24"/>
        </w:rPr>
        <w:t>comuns.</w:t>
      </w:r>
    </w:p>
    <w:p>
      <w:pPr>
        <w:pStyle w:val="Nvel2Opcional1"/>
        <w:widowControl/>
        <w:numPr>
          <w:ilvl w:val="1"/>
          <w:numId w:val="2"/>
        </w:numPr>
        <w:shd w:val="clear" w:fill="FFFFFF"/>
        <w:tabs>
          <w:tab w:val="left" w:pos="510" w:leader="none"/>
          <w:tab w:val="left" w:pos="735" w:leader="none"/>
        </w:tabs>
        <w:suppressAutoHyphens w:val="true"/>
        <w:bidi w:val="0"/>
        <w:spacing w:lineRule="auto" w:line="276" w:before="0" w:after="0"/>
        <w:ind w:left="0" w:right="0" w:firstLine="567"/>
        <w:jc w:val="both"/>
        <w:rPr>
          <w:rFonts w:ascii="Carlito" w:hAnsi="Carlito"/>
          <w:sz w:val="24"/>
          <w:szCs w:val="24"/>
        </w:rPr>
      </w:pPr>
      <w:r>
        <w:rPr>
          <w:rFonts w:eastAsia="Arial" w:cs="Arial" w:ascii="Carlito" w:hAnsi="Carlito"/>
          <w:b/>
          <w:bCs/>
          <w:i/>
          <w:iCs/>
          <w:color w:val="000000"/>
          <w:kern w:val="0"/>
          <w:sz w:val="24"/>
          <w:szCs w:val="24"/>
          <w:lang w:val="pt-BR" w:eastAsia="pt-BR" w:bidi="ar-SA"/>
        </w:rPr>
        <w:t>Vigência de 12 meses a partir da emissão da nota de empenho</w:t>
      </w:r>
      <w:r>
        <w:rPr>
          <w:rFonts w:ascii="Carlito" w:hAnsi="Carlito"/>
          <w:color w:val="000000"/>
          <w:sz w:val="24"/>
          <w:szCs w:val="24"/>
        </w:rPr>
        <w:t xml:space="preserve">, na forma do artigo </w:t>
      </w:r>
      <w:bookmarkStart w:id="1" w:name="__DdeLink__5149_3526926466"/>
      <w:r>
        <w:rPr>
          <w:rFonts w:ascii="Carlito" w:hAnsi="Carlito"/>
          <w:color w:val="000000"/>
          <w:sz w:val="24"/>
          <w:szCs w:val="24"/>
        </w:rPr>
        <w:t>105 da Lei n° 14.133, de 2021</w:t>
      </w:r>
      <w:bookmarkEnd w:id="1"/>
      <w:r>
        <w:rPr>
          <w:rFonts w:ascii="Carlito" w:hAnsi="Carlito"/>
          <w:color w:val="000000"/>
          <w:sz w:val="24"/>
          <w:szCs w:val="24"/>
        </w:rPr>
        <w:t>.</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O contrato ou outro instrumento hábil que o substitua oferece maior detalhamento das regras que serão aplicadas em relação à vigência da contratação.</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ivel01"/>
        <w:widowControl/>
        <w:numPr>
          <w:ilvl w:val="0"/>
          <w:numId w:val="2"/>
        </w:numPr>
        <w:shd w:val="clear" w:fill="FFFFFF"/>
        <w:tabs>
          <w:tab w:val="left" w:pos="120" w:leader="none"/>
          <w:tab w:val="left" w:pos="345" w:leader="none"/>
          <w:tab w:val="left" w:pos="570" w:leader="none"/>
          <w:tab w:val="left" w:pos="735" w:leader="none"/>
        </w:tabs>
        <w:suppressAutoHyphens w:val="true"/>
        <w:bidi w:val="0"/>
        <w:spacing w:lineRule="auto" w:line="276" w:before="0" w:after="0"/>
        <w:ind w:left="357" w:right="0" w:hanging="35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FUNDAMENTAÇÃO E DESCRIÇÃO DA NECESSIDADE DA CONTRATAÇÃO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A Fundamentação da Contratação e de seus quantitativos encontra-se pormenorizada neste Termo de Referência.</w:t>
      </w:r>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0" w:after="0"/>
        <w:ind w:left="0" w:right="0" w:hanging="0"/>
        <w:jc w:val="both"/>
        <w:rPr>
          <w:rFonts w:ascii="Carlito" w:hAnsi="Carlito"/>
          <w:color w:val="000000"/>
          <w:sz w:val="24"/>
          <w:szCs w:val="24"/>
        </w:rPr>
      </w:pPr>
      <w:r>
        <w:rPr>
          <w:rFonts w:ascii="Carlito" w:hAnsi="Carlito"/>
          <w:color w:val="000000"/>
          <w:sz w:val="24"/>
          <w:szCs w:val="24"/>
        </w:rPr>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A aquisição será feita mediante dispensa eletrônica, conforme inciso II, do artigo 75, da Lei n. 14.133/21 e Instrução Normativa SEGES/ME n.º 67/21, pelo menor preço por item.</w:t>
      </w:r>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0" w:after="0"/>
        <w:ind w:left="0" w:right="0" w:hanging="0"/>
        <w:jc w:val="both"/>
        <w:rPr>
          <w:rFonts w:ascii="Carlito" w:hAnsi="Carlito"/>
          <w:color w:val="000000"/>
          <w:sz w:val="24"/>
          <w:szCs w:val="24"/>
        </w:rPr>
      </w:pPr>
      <w:r>
        <w:rPr>
          <w:rFonts w:ascii="Carlito" w:hAnsi="Carlito"/>
          <w:color w:val="000000"/>
          <w:sz w:val="24"/>
          <w:szCs w:val="24"/>
        </w:rPr>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 xml:space="preserve">A quantidade total foi definida com base na Estimativa de Despesas, organizado </w:t>
      </w:r>
      <w:r>
        <w:rPr>
          <w:rFonts w:ascii="Carlito" w:hAnsi="Carlito"/>
          <w:color w:val="000000"/>
          <w:sz w:val="24"/>
          <w:szCs w:val="24"/>
        </w:rPr>
        <w:t xml:space="preserve">em um item </w:t>
      </w:r>
      <w:r>
        <w:rPr>
          <w:rFonts w:ascii="Carlito" w:hAnsi="Carlito"/>
          <w:color w:val="000000"/>
          <w:sz w:val="24"/>
          <w:szCs w:val="24"/>
        </w:rPr>
        <w:t>de modo a atender de forma adequada às necessidades identificadas no planejamento da contratação.</w:t>
      </w:r>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0" w:after="0"/>
        <w:ind w:left="0" w:right="0" w:hanging="0"/>
        <w:jc w:val="both"/>
        <w:rPr/>
      </w:pPr>
      <w:r>
        <w:rPr/>
      </w:r>
    </w:p>
    <w:p>
      <w:pPr>
        <w:pStyle w:val="Nvel2Opcional1"/>
        <w:numPr>
          <w:ilvl w:val="0"/>
          <w:numId w:val="0"/>
        </w:numPr>
        <w:shd w:val="clear" w:fill="FFFFFF"/>
        <w:spacing w:before="0" w:after="0"/>
        <w:ind w:left="2273" w:right="0" w:hanging="0"/>
        <w:jc w:val="both"/>
        <w:rPr>
          <w:rFonts w:ascii="Carlito" w:hAnsi="Carlito"/>
          <w:color w:val="000000"/>
          <w:sz w:val="24"/>
          <w:szCs w:val="24"/>
        </w:rPr>
      </w:pPr>
      <w:r>
        <w:rPr>
          <w:rFonts w:ascii="Carlito" w:hAnsi="Carlito"/>
          <w:color w:val="000000"/>
          <w:sz w:val="24"/>
          <w:szCs w:val="24"/>
        </w:rPr>
      </w:r>
    </w:p>
    <w:p>
      <w:pPr>
        <w:pStyle w:val="Nivel01"/>
        <w:widowControl/>
        <w:numPr>
          <w:ilvl w:val="0"/>
          <w:numId w:val="2"/>
        </w:numPr>
        <w:shd w:val="clear" w:fill="FFFFFF"/>
        <w:suppressAutoHyphens w:val="true"/>
        <w:overflowPunct w:val="true"/>
        <w:bidi w:val="0"/>
        <w:spacing w:lineRule="auto" w:line="276"/>
        <w:ind w:left="357" w:right="0" w:hanging="357"/>
        <w:jc w:val="both"/>
        <w:rPr>
          <w:rFonts w:ascii="Carlito" w:hAnsi="Carlito"/>
          <w:sz w:val="24"/>
          <w:szCs w:val="24"/>
        </w:rPr>
      </w:pPr>
      <w:r>
        <w:rPr>
          <w:rFonts w:ascii="Carlito" w:hAnsi="Carlito"/>
          <w:sz w:val="24"/>
          <w:szCs w:val="24"/>
        </w:rPr>
        <w:t>DESCRIÇÃO DA SOLUÇÃO COMO UM TODO CONSIDERADO O CICLO DE VIDA DO OBJETO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bookmarkStart w:id="2" w:name="_Ref121236534"/>
      <w:r>
        <w:rPr>
          <w:rFonts w:ascii="Carlito" w:hAnsi="Carlito"/>
          <w:color w:val="000000"/>
          <w:sz w:val="24"/>
          <w:szCs w:val="24"/>
        </w:rPr>
        <w:t>A descrição da solução como um todo encontra-se pormenorizada neste Termo de Referência.</w:t>
      </w:r>
      <w:bookmarkEnd w:id="2"/>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0" w:after="0"/>
        <w:ind w:left="1080" w:right="0" w:hanging="0"/>
        <w:jc w:val="both"/>
        <w:rPr>
          <w:rFonts w:ascii="Carlito" w:hAnsi="Carlito"/>
          <w:color w:val="000000"/>
          <w:sz w:val="24"/>
          <w:szCs w:val="24"/>
        </w:rPr>
      </w:pPr>
      <w:r>
        <w:rPr>
          <w:rFonts w:ascii="Carlito" w:hAnsi="Carlito"/>
          <w:color w:val="000000"/>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REQUISITOS DA CONTRATAÇÃO</w:t>
      </w:r>
    </w:p>
    <w:p>
      <w:pPr>
        <w:pStyle w:val="Nvel2Red"/>
        <w:widowControl/>
        <w:numPr>
          <w:ilvl w:val="0"/>
          <w:numId w:val="0"/>
        </w:numPr>
        <w:suppressAutoHyphens w:val="true"/>
        <w:bidi w:val="0"/>
        <w:spacing w:lineRule="auto" w:line="276" w:before="0" w:after="0"/>
        <w:ind w:left="0" w:right="0" w:hanging="0"/>
        <w:jc w:val="both"/>
        <w:rPr>
          <w:rFonts w:ascii="Carlito" w:hAnsi="Carlito" w:eastAsia="Arial" w:cs="Arial"/>
          <w:b w:val="false"/>
          <w:b w:val="false"/>
          <w:bCs w:val="false"/>
          <w:i w:val="false"/>
          <w:i w:val="false"/>
          <w:iCs w:val="false"/>
          <w:color w:val="000000"/>
          <w:sz w:val="24"/>
          <w:szCs w:val="24"/>
          <w:lang w:eastAsia="pt-BR"/>
        </w:rPr>
      </w:pPr>
      <w:r>
        <w:rPr/>
      </w:r>
    </w:p>
    <w:p>
      <w:pPr>
        <w:pStyle w:val="Nvel2Red"/>
        <w:widowControl/>
        <w:numPr>
          <w:ilvl w:val="1"/>
          <w:numId w:val="2"/>
        </w:numPr>
        <w:suppressAutoHyphens w:val="true"/>
        <w:bidi w:val="0"/>
        <w:spacing w:lineRule="auto" w:line="276" w:before="0" w:after="0"/>
        <w:ind w:left="0" w:right="0" w:firstLine="567"/>
        <w:jc w:val="both"/>
        <w:rPr>
          <w:rFonts w:ascii="Carlito" w:hAnsi="Carlito" w:eastAsia="Arial" w:cs="Arial"/>
          <w:b w:val="false"/>
          <w:b w:val="false"/>
          <w:bCs w:val="false"/>
          <w:i w:val="false"/>
          <w:i w:val="false"/>
          <w:iCs w:val="false"/>
          <w:color w:val="000000"/>
          <w:sz w:val="24"/>
          <w:szCs w:val="24"/>
          <w:lang w:eastAsia="pt-BR"/>
        </w:rPr>
      </w:pPr>
      <w:r>
        <w:rPr>
          <w:rFonts w:eastAsia="Arial" w:cs="Arial" w:ascii="Carlito" w:hAnsi="Carlito"/>
          <w:b w:val="false"/>
          <w:bCs w:val="false"/>
          <w:i w:val="false"/>
          <w:iCs w:val="false"/>
          <w:color w:val="000000"/>
          <w:sz w:val="24"/>
          <w:szCs w:val="24"/>
          <w:lang w:eastAsia="pt-BR"/>
        </w:rPr>
        <w:t xml:space="preserve">A Contratada deverá possuir e apresentar, </w:t>
      </w:r>
      <w:r>
        <w:rPr>
          <w:rStyle w:val="Nfaseforte"/>
          <w:rFonts w:eastAsia="Arial" w:cs="Arial" w:ascii="Carlito" w:hAnsi="Carlito"/>
          <w:i w:val="false"/>
          <w:iCs w:val="false"/>
          <w:color w:val="000000"/>
          <w:sz w:val="24"/>
          <w:szCs w:val="24"/>
          <w:lang w:eastAsia="pt-BR"/>
        </w:rPr>
        <w:t>licença ambiental válida</w:t>
      </w:r>
      <w:r>
        <w:rPr>
          <w:rFonts w:eastAsia="Arial" w:cs="Arial" w:ascii="Carlito" w:hAnsi="Carlito"/>
          <w:b w:val="false"/>
          <w:bCs w:val="false"/>
          <w:i w:val="false"/>
          <w:iCs w:val="false"/>
          <w:color w:val="000000"/>
          <w:sz w:val="24"/>
          <w:szCs w:val="24"/>
          <w:lang w:eastAsia="pt-BR"/>
        </w:rPr>
        <w:t xml:space="preserve"> ou documento equivalente emitido pelo órgão ambiental competente, que a autorize a realizar </w:t>
      </w:r>
      <w:r>
        <w:rPr>
          <w:rStyle w:val="Nfaseforte"/>
          <w:rFonts w:eastAsia="Arial" w:cs="Arial" w:ascii="Carlito" w:hAnsi="Carlito"/>
          <w:i w:val="false"/>
          <w:iCs w:val="false"/>
          <w:color w:val="000000"/>
          <w:sz w:val="24"/>
          <w:szCs w:val="24"/>
          <w:lang w:eastAsia="pt-BR"/>
        </w:rPr>
        <w:t>coleta, transporte e destinação final de resíduos provenientes de esgoto sanitário</w:t>
      </w:r>
      <w:r>
        <w:rPr>
          <w:rFonts w:eastAsia="Arial" w:cs="Arial" w:ascii="Carlito" w:hAnsi="Carlito"/>
          <w:b w:val="false"/>
          <w:bCs w:val="false"/>
          <w:i w:val="false"/>
          <w:iCs w:val="false"/>
          <w:color w:val="000000"/>
          <w:sz w:val="24"/>
          <w:szCs w:val="24"/>
          <w:lang w:eastAsia="pt-BR"/>
        </w:rPr>
        <w:t>, em conformidade com a legislação ambiental vigente.</w:t>
      </w:r>
    </w:p>
    <w:p>
      <w:pPr>
        <w:pStyle w:val="Nvel2Red"/>
        <w:widowControl/>
        <w:suppressAutoHyphens w:val="true"/>
        <w:bidi w:val="0"/>
        <w:spacing w:lineRule="auto" w:line="276" w:before="0" w:after="0"/>
        <w:ind w:left="0" w:right="0" w:firstLine="567"/>
        <w:jc w:val="both"/>
        <w:rPr>
          <w:rFonts w:ascii="Carlito" w:hAnsi="Carlito" w:eastAsia="Arial" w:cs="Arial"/>
          <w:b w:val="false"/>
          <w:b w:val="false"/>
          <w:bCs w:val="false"/>
          <w:i w:val="false"/>
          <w:i w:val="false"/>
          <w:iCs w:val="false"/>
          <w:color w:val="000000"/>
          <w:sz w:val="24"/>
          <w:szCs w:val="24"/>
          <w:lang w:eastAsia="pt-BR"/>
        </w:rPr>
      </w:pPr>
      <w:r>
        <w:rPr/>
      </w:r>
    </w:p>
    <w:p>
      <w:pPr>
        <w:pStyle w:val="Nvel2Red"/>
        <w:widowControl/>
        <w:numPr>
          <w:ilvl w:val="1"/>
          <w:numId w:val="2"/>
        </w:numPr>
        <w:suppressAutoHyphens w:val="true"/>
        <w:bidi w:val="0"/>
        <w:spacing w:lineRule="auto" w:line="276" w:before="0" w:after="0"/>
        <w:ind w:left="0" w:right="0" w:firstLine="567"/>
        <w:jc w:val="both"/>
        <w:rPr>
          <w:rFonts w:ascii="Carlito" w:hAnsi="Carlito" w:eastAsia="Arial" w:cs="Arial"/>
          <w:b w:val="false"/>
          <w:b w:val="false"/>
          <w:bCs w:val="false"/>
          <w:i w:val="false"/>
          <w:i w:val="false"/>
          <w:iCs w:val="false"/>
          <w:color w:val="000000"/>
          <w:sz w:val="24"/>
          <w:szCs w:val="24"/>
          <w:lang w:eastAsia="pt-BR"/>
        </w:rPr>
      </w:pPr>
      <w:r>
        <w:rPr>
          <w:rFonts w:eastAsia="Arial" w:cs="Arial" w:ascii="Carlito" w:hAnsi="Carlito"/>
          <w:b w:val="false"/>
          <w:bCs w:val="false"/>
          <w:i w:val="false"/>
          <w:iCs w:val="false"/>
          <w:color w:val="000000"/>
          <w:sz w:val="24"/>
          <w:szCs w:val="24"/>
          <w:lang w:eastAsia="pt-BR"/>
        </w:rPr>
        <w:t>A Contratada deverá comprovar que a destinação final dos resíduos será realizada em local devidamente licenciado, responsabilizando-se integralmente por todo o ciclo do resíduo.</w:t>
      </w:r>
    </w:p>
    <w:p>
      <w:pPr>
        <w:pStyle w:val="Nvel2Red"/>
        <w:widowControl/>
        <w:suppressAutoHyphens w:val="true"/>
        <w:bidi w:val="0"/>
        <w:spacing w:lineRule="auto" w:line="276" w:before="0" w:after="0"/>
        <w:ind w:left="0" w:right="0" w:firstLine="567"/>
        <w:jc w:val="both"/>
        <w:rPr>
          <w:rFonts w:ascii="Carlito" w:hAnsi="Carlito" w:eastAsia="Arial" w:cs="Arial"/>
          <w:b w:val="false"/>
          <w:b w:val="false"/>
          <w:bCs w:val="false"/>
          <w:i w:val="false"/>
          <w:i w:val="false"/>
          <w:iCs w:val="false"/>
          <w:color w:val="000000"/>
          <w:sz w:val="24"/>
          <w:szCs w:val="24"/>
          <w:lang w:eastAsia="pt-BR"/>
        </w:rPr>
      </w:pPr>
      <w:r>
        <w:rPr>
          <w:rFonts w:eastAsia="Arial" w:cs="Arial" w:ascii="Carlito" w:hAnsi="Carlito"/>
          <w:b w:val="false"/>
          <w:bCs w:val="false"/>
          <w:i w:val="false"/>
          <w:iCs w:val="false"/>
          <w:color w:val="000000"/>
          <w:sz w:val="24"/>
          <w:szCs w:val="24"/>
          <w:lang w:eastAsia="pt-BR"/>
        </w:rPr>
      </w:r>
    </w:p>
    <w:p>
      <w:pPr>
        <w:pStyle w:val="Nivel01"/>
        <w:widowControl/>
        <w:numPr>
          <w:ilvl w:val="0"/>
          <w:numId w:val="0"/>
        </w:numPr>
        <w:shd w:val="clear" w:fill="FFFFFF"/>
        <w:suppressAutoHyphens w:val="true"/>
        <w:bidi w:val="0"/>
        <w:spacing w:lineRule="auto" w:line="276" w:before="0" w:after="0"/>
        <w:ind w:left="380" w:right="0" w:hanging="0"/>
        <w:jc w:val="both"/>
        <w:rPr/>
      </w:pPr>
      <w:r>
        <w:rPr>
          <w:rFonts w:ascii="Carlito" w:hAnsi="Carlito"/>
          <w:sz w:val="24"/>
          <w:szCs w:val="24"/>
        </w:rPr>
        <w:t>Subcontratação</w:t>
      </w:r>
    </w:p>
    <w:p>
      <w:pPr>
        <w:pStyle w:val="Nvel2Opcional1"/>
        <w:numPr>
          <w:ilvl w:val="1"/>
          <w:numId w:val="2"/>
        </w:numPr>
        <w:shd w:val="clear" w:fill="FFFFFF"/>
        <w:ind w:left="473" w:right="0" w:hanging="0"/>
        <w:jc w:val="both"/>
        <w:rPr>
          <w:rFonts w:ascii="Carlito" w:hAnsi="Carlito"/>
          <w:color w:val="000000"/>
          <w:sz w:val="24"/>
          <w:szCs w:val="24"/>
        </w:rPr>
      </w:pPr>
      <w:r>
        <w:rPr>
          <w:rFonts w:ascii="Carlito" w:hAnsi="Carlito"/>
          <w:color w:val="000000"/>
          <w:sz w:val="24"/>
          <w:szCs w:val="24"/>
        </w:rPr>
        <w:t>Não será admitida a subcontratação do objeto contratual.</w:t>
      </w:r>
    </w:p>
    <w:p>
      <w:pPr>
        <w:pStyle w:val="Ou"/>
        <w:widowControl/>
        <w:bidi w:val="0"/>
        <w:spacing w:lineRule="auto" w:line="259"/>
        <w:ind w:left="720" w:right="0" w:hanging="0"/>
        <w:jc w:val="both"/>
        <w:rPr>
          <w:rFonts w:ascii="Carlito" w:hAnsi="Carlito" w:eastAsia="Cambria" w:cs="Arial"/>
          <w:b/>
          <w:b/>
          <w:bCs/>
          <w:i/>
          <w:i/>
          <w:iCs/>
          <w:color w:val="FF0000"/>
          <w:kern w:val="0"/>
          <w:sz w:val="24"/>
          <w:szCs w:val="24"/>
          <w:highlight w:val="lightGray"/>
          <w:lang w:val="pt-BR" w:eastAsia="zh-CN" w:bidi="hi-IN"/>
        </w:rPr>
      </w:pPr>
      <w:r>
        <w:rPr>
          <w:rFonts w:eastAsia="Cambria" w:cs="Arial" w:ascii="Carlito" w:hAnsi="Carlito"/>
          <w:b/>
          <w:bCs/>
          <w:i/>
          <w:iCs/>
          <w:color w:val="FF0000"/>
          <w:kern w:val="0"/>
          <w:sz w:val="24"/>
          <w:szCs w:val="24"/>
          <w:highlight w:val="lightGray"/>
          <w:lang w:val="pt-BR" w:eastAsia="zh-CN" w:bidi="hi-IN"/>
        </w:rPr>
      </w:r>
    </w:p>
    <w:p>
      <w:pPr>
        <w:pStyle w:val="Nvel1SemNumerao"/>
        <w:widowControl/>
        <w:numPr>
          <w:ilvl w:val="0"/>
          <w:numId w:val="0"/>
        </w:numPr>
        <w:shd w:val="clear" w:fill="FFFFFF"/>
        <w:tabs>
          <w:tab w:val="left" w:pos="120" w:leader="none"/>
          <w:tab w:val="left" w:pos="345" w:leader="none"/>
          <w:tab w:val="left" w:pos="390" w:leader="none"/>
          <w:tab w:val="left" w:pos="570" w:leader="none"/>
          <w:tab w:val="left" w:pos="900" w:leader="none"/>
          <w:tab w:val="left" w:pos="1020" w:leader="none"/>
          <w:tab w:val="left" w:pos="1140" w:leader="none"/>
          <w:tab w:val="left" w:pos="2160" w:leader="none"/>
        </w:tabs>
        <w:suppressAutoHyphens w:val="true"/>
        <w:bidi w:val="0"/>
        <w:spacing w:lineRule="auto" w:line="276" w:before="0" w:after="0"/>
        <w:ind w:left="720" w:right="0" w:hanging="0"/>
        <w:jc w:val="both"/>
        <w:rPr>
          <w:rFonts w:ascii="Carlito" w:hAnsi="Carlito" w:eastAsia="Arial" w:cs="Arial"/>
          <w:i w:val="false"/>
          <w:i w:val="false"/>
          <w:iCs w:val="false"/>
          <w:color w:val="auto"/>
          <w:kern w:val="0"/>
          <w:sz w:val="24"/>
          <w:szCs w:val="24"/>
          <w:lang w:val="pt-BR" w:eastAsia="en-US" w:bidi="ar-SA"/>
        </w:rPr>
      </w:pPr>
      <w:r>
        <w:rPr>
          <w:rFonts w:eastAsia="Arial" w:cs="Arial" w:ascii="Carlito" w:hAnsi="Carlito"/>
          <w:i w:val="false"/>
          <w:iCs w:val="false"/>
          <w:color w:val="auto"/>
          <w:kern w:val="0"/>
          <w:sz w:val="24"/>
          <w:szCs w:val="24"/>
          <w:lang w:val="pt-BR" w:eastAsia="en-US" w:bidi="ar-SA"/>
        </w:rPr>
        <w:t>Garantia da contratação</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Não haverá exigência da garantia da contratação dos art. 96 e seguintes da Lei nº 14.133, de 2021.</w:t>
      </w:r>
    </w:p>
    <w:p>
      <w:pPr>
        <w:pStyle w:val="Ou"/>
        <w:ind w:left="72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Vistoria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09:00 horas às 15:00 horas.</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Serão disponibilizados data e horário diferentes aos interessados em realizar a vistoria prévia.</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0" w:after="0"/>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 xml:space="preserve">Caso o interessado opte por não realizar a vistoria, deverá prestar declaração formal assinada por seu responsável técnico acerca do conhecimento pleno das condições e peculiaridades da contratação. </w:t>
      </w:r>
    </w:p>
    <w:p>
      <w:pPr>
        <w:pStyle w:val="Nvel2Opcional1"/>
        <w:widowControl/>
        <w:numPr>
          <w:ilvl w:val="1"/>
          <w:numId w:val="2"/>
        </w:numPr>
        <w:shd w:val="clear" w:fill="FFFFFF"/>
        <w:tabs>
          <w:tab w:val="left" w:pos="735" w:leader="none"/>
          <w:tab w:val="left" w:pos="1695" w:leader="none"/>
        </w:tabs>
        <w:suppressAutoHyphens w:val="true"/>
        <w:bidi w:val="0"/>
        <w:spacing w:lineRule="auto" w:line="276" w:before="6" w:after="6"/>
        <w:ind w:left="0" w:right="0" w:firstLine="567"/>
        <w:jc w:val="both"/>
        <w:rPr>
          <w:rFonts w:ascii="Carlito" w:hAnsi="Carlito"/>
          <w:color w:val="000000"/>
          <w:sz w:val="24"/>
          <w:szCs w:val="24"/>
          <w:lang w:eastAsia="en-US"/>
        </w:rPr>
      </w:pPr>
      <w:r>
        <w:rPr>
          <w:rFonts w:ascii="Carlito" w:hAnsi="Carlito"/>
          <w:color w:val="000000"/>
          <w:sz w:val="24"/>
          <w:szCs w:val="24"/>
          <w:lang w:eastAsia="en-US"/>
        </w:rPr>
        <w:t xml:space="preserve"> </w:t>
      </w:r>
      <w:r>
        <w:rPr>
          <w:rFonts w:ascii="Carlito" w:hAnsi="Carlito"/>
          <w:color w:val="000000"/>
          <w:sz w:val="24"/>
          <w:szCs w:val="24"/>
          <w:lang w:eastAsia="en-US"/>
        </w:rPr>
        <w:t>A não realização da vistoria não poderá embasar posteriores alegações de desconhecimento das instalações, dúvidas ou esquecimentos de quaisquer detalhes das instalações da prestação dos serviços, devendo o contratado assumir os ônus dos serviços decorrentes</w:t>
      </w:r>
    </w:p>
    <w:p>
      <w:pPr>
        <w:pStyle w:val="Nvel2Opcional1"/>
        <w:widowControl/>
        <w:numPr>
          <w:ilvl w:val="0"/>
          <w:numId w:val="0"/>
        </w:numPr>
        <w:shd w:val="clear" w:fill="FFFFFF"/>
        <w:tabs>
          <w:tab w:val="left" w:pos="735" w:leader="none"/>
          <w:tab w:val="left" w:pos="1695" w:leader="none"/>
        </w:tabs>
        <w:suppressAutoHyphens w:val="true"/>
        <w:bidi w:val="0"/>
        <w:spacing w:lineRule="auto" w:line="276" w:before="6" w:after="6"/>
        <w:ind w:left="1080" w:right="0" w:hanging="0"/>
        <w:jc w:val="both"/>
        <w:rPr>
          <w:rFonts w:ascii="Carlito" w:hAnsi="Carlito"/>
          <w:color w:val="000000"/>
          <w:sz w:val="24"/>
          <w:szCs w:val="24"/>
          <w:lang w:eastAsia="en-US"/>
        </w:rPr>
      </w:pPr>
      <w:r>
        <w:rPr>
          <w:rFonts w:ascii="Carlito" w:hAnsi="Carlito"/>
          <w:color w:val="000000"/>
          <w:sz w:val="24"/>
          <w:szCs w:val="24"/>
          <w:lang w:eastAsia="en-US"/>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MODELO DE EXECUÇÃO DO OBJETO</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Condições de execução</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A execução do serviço seguirá a seguinte dinâmica:</w:t>
      </w:r>
    </w:p>
    <w:p>
      <w:pPr>
        <w:pStyle w:val="Nvel1SemNumerao"/>
        <w:numPr>
          <w:ilvl w:val="1"/>
          <w:numId w:val="2"/>
        </w:numPr>
        <w:shd w:val="clear" w:fill="FFFFFF"/>
        <w:ind w:left="1080" w:right="0" w:hanging="360"/>
        <w:rPr/>
      </w:pPr>
      <w:r>
        <w:rPr>
          <w:rFonts w:eastAsia="Arial" w:cs="Arial" w:ascii="Carlito" w:hAnsi="Carlito"/>
          <w:b w:val="false"/>
          <w:bCs w:val="false"/>
          <w:i w:val="false"/>
          <w:iCs w:val="false"/>
          <w:color w:val="auto"/>
          <w:kern w:val="0"/>
          <w:sz w:val="24"/>
          <w:szCs w:val="24"/>
          <w:lang w:val="pt-BR" w:eastAsia="en-US" w:bidi="ar-SA"/>
        </w:rPr>
        <w:t xml:space="preserve"> </w:t>
      </w:r>
      <w:r>
        <w:rPr>
          <w:rFonts w:eastAsia="Arial" w:cs="Arial" w:ascii="Carlito" w:hAnsi="Carlito"/>
          <w:b w:val="false"/>
          <w:bCs w:val="false"/>
          <w:i w:val="false"/>
          <w:iCs w:val="false"/>
          <w:color w:val="auto"/>
          <w:kern w:val="0"/>
          <w:sz w:val="24"/>
          <w:szCs w:val="24"/>
          <w:lang w:val="pt-BR" w:eastAsia="en-US" w:bidi="ar-SA"/>
        </w:rPr>
        <w:t>Início da execução do serviço: iniciará no momento da assinatura do contrato.</w:t>
      </w:r>
    </w:p>
    <w:p>
      <w:pPr>
        <w:pStyle w:val="Nvel1SemNumerao"/>
        <w:numPr>
          <w:ilvl w:val="0"/>
          <w:numId w:val="0"/>
        </w:numPr>
        <w:shd w:val="clear" w:fill="FFFFFF"/>
        <w:ind w:left="1080" w:right="0" w:hanging="0"/>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Nvel1SemNumerao"/>
        <w:widowControl/>
        <w:numPr>
          <w:ilvl w:val="0"/>
          <w:numId w:val="0"/>
        </w:numPr>
        <w:shd w:val="clear" w:fill="FFFFFF"/>
        <w:suppressAutoHyphens w:val="true"/>
        <w:bidi w:val="0"/>
        <w:spacing w:lineRule="auto" w:line="276" w:before="0" w:after="0"/>
        <w:ind w:left="380" w:right="0" w:hanging="0"/>
        <w:jc w:val="both"/>
        <w:rPr/>
      </w:pPr>
      <w:r>
        <w:rPr>
          <w:rFonts w:eastAsia="Arial" w:cs="Arial" w:ascii="Carlito" w:hAnsi="Carlito"/>
          <w:b/>
          <w:bCs/>
          <w:i w:val="false"/>
          <w:iCs w:val="false"/>
          <w:color w:val="auto"/>
          <w:kern w:val="0"/>
          <w:sz w:val="24"/>
          <w:szCs w:val="24"/>
          <w:lang w:val="pt-BR" w:eastAsia="en-US" w:bidi="ar-SA"/>
        </w:rPr>
        <w:t>Local e horário para vistoria</w:t>
      </w:r>
    </w:p>
    <w:p>
      <w:pPr>
        <w:pStyle w:val="Nvel1SemNumerao"/>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b/>
          <w:bCs/>
          <w:i w:val="false"/>
          <w:iCs w:val="false"/>
          <w:color w:val="auto"/>
          <w:kern w:val="0"/>
          <w:sz w:val="24"/>
          <w:szCs w:val="24"/>
          <w:lang w:val="pt-BR" w:eastAsia="en-US" w:bidi="ar-SA"/>
        </w:rPr>
        <w:t xml:space="preserve">Os serviços no Posto de Recepção </w:t>
      </w:r>
      <w:r>
        <w:rPr>
          <w:rFonts w:eastAsia="Arial" w:cs="Arial" w:ascii="Carlito" w:hAnsi="Carlito"/>
          <w:b w:val="false"/>
          <w:bCs w:val="false"/>
          <w:i w:val="false"/>
          <w:iCs w:val="false"/>
          <w:color w:val="auto"/>
          <w:kern w:val="0"/>
          <w:sz w:val="24"/>
          <w:szCs w:val="24"/>
          <w:lang w:val="pt-BR" w:eastAsia="en-US" w:bidi="ar-SA"/>
        </w:rPr>
        <w:t xml:space="preserve">será no seguinte endereço e horário: Estrada do Rio Jequiá, s/n°, Ribeira, Ilha do Governador, Rio de Janeiro/RJ, CEP: 21930-007, no seguinte horário: em dias úteis, das 08:00h às 15:00h, de segunda a sexta-feira. </w:t>
      </w:r>
    </w:p>
    <w:p>
      <w:pPr>
        <w:pStyle w:val="Nvel1SemNumerao"/>
        <w:widowControl/>
        <w:numPr>
          <w:ilvl w:val="0"/>
          <w:numId w:val="0"/>
        </w:numPr>
        <w:shd w:val="clear" w:fill="FFFFFF"/>
        <w:suppressAutoHyphens w:val="true"/>
        <w:bidi w:val="0"/>
        <w:spacing w:lineRule="auto" w:line="276" w:before="0" w:after="0"/>
        <w:ind w:left="0" w:right="0" w:hanging="0"/>
        <w:jc w:val="both"/>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Nvel1SemNumerao"/>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b/>
          <w:bCs/>
          <w:i w:val="false"/>
          <w:iCs w:val="false"/>
          <w:color w:val="auto"/>
          <w:kern w:val="0"/>
          <w:sz w:val="24"/>
          <w:szCs w:val="24"/>
          <w:lang w:val="pt-BR" w:eastAsia="en-US" w:bidi="ar-SA"/>
        </w:rPr>
        <w:t>O serviço no Posto de Transmissão</w:t>
      </w:r>
      <w:r>
        <w:rPr>
          <w:rFonts w:eastAsia="Arial" w:cs="Arial" w:ascii="Carlito" w:hAnsi="Carlito"/>
          <w:b w:val="false"/>
          <w:bCs w:val="false"/>
          <w:i w:val="false"/>
          <w:iCs w:val="false"/>
          <w:color w:val="auto"/>
          <w:kern w:val="0"/>
          <w:sz w:val="24"/>
          <w:szCs w:val="24"/>
          <w:lang w:val="pt-BR" w:eastAsia="en-US" w:bidi="ar-SA"/>
        </w:rPr>
        <w:t xml:space="preserve"> será no seguinte endereço e horário: Rodovia Washington Luís KM 7,5, Sarapuí, Duque de Caxias – RJ, CEP: 25085-000 no seguinte horário: em dias úteis, das 08:00 h às 15:00h, de segunda a sexta-feira.</w:t>
      </w:r>
    </w:p>
    <w:p>
      <w:pPr>
        <w:pStyle w:val="Nvel1SemNumerao"/>
        <w:widowControl/>
        <w:numPr>
          <w:ilvl w:val="0"/>
          <w:numId w:val="0"/>
        </w:numPr>
        <w:shd w:val="clear" w:fill="FFFFFF"/>
        <w:suppressAutoHyphens w:val="true"/>
        <w:bidi w:val="0"/>
        <w:spacing w:lineRule="auto" w:line="276" w:before="0" w:after="0"/>
        <w:ind w:left="0" w:right="0" w:hanging="0"/>
        <w:jc w:val="both"/>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Default"/>
        <w:widowControl/>
        <w:numPr>
          <w:ilvl w:val="1"/>
          <w:numId w:val="2"/>
        </w:numPr>
        <w:shd w:val="clear" w:fill="FFFFFF"/>
        <w:tabs>
          <w:tab w:val="clear" w:pos="709"/>
          <w:tab w:val="left" w:pos="563" w:leader="none"/>
        </w:tabs>
        <w:suppressAutoHyphens w:val="true"/>
        <w:bidi w:val="0"/>
        <w:spacing w:lineRule="auto" w:line="360" w:before="0" w:after="0"/>
        <w:jc w:val="left"/>
        <w:rPr>
          <w:rFonts w:ascii="Calibri" w:hAnsi="Calibri" w:cs="Arial"/>
          <w:color w:val="000000"/>
          <w:sz w:val="24"/>
          <w:szCs w:val="24"/>
        </w:rPr>
      </w:pPr>
      <w:r>
        <w:rPr>
          <w:rFonts w:eastAsia="Arial" w:cs="Arial" w:ascii="Carlito" w:hAnsi="Carlito"/>
          <w:b w:val="false"/>
          <w:bCs w:val="false"/>
          <w:i w:val="false"/>
          <w:iCs w:val="false"/>
          <w:color w:val="auto"/>
          <w:kern w:val="0"/>
          <w:sz w:val="24"/>
          <w:szCs w:val="24"/>
          <w:lang w:val="pt-BR" w:eastAsia="en-US" w:bidi="ar-SA"/>
        </w:rPr>
        <w:t xml:space="preserve">Contatos: (21)2126-5913 , </w:t>
      </w:r>
      <w:hyperlink r:id="rId3">
        <w:r>
          <w:rPr>
            <w:rStyle w:val="LinkdaInternet"/>
            <w:rFonts w:eastAsia="Arial" w:cs="Arial" w:ascii="Carlito" w:hAnsi="Carlito"/>
            <w:b w:val="false"/>
            <w:bCs w:val="false"/>
            <w:i w:val="false"/>
            <w:iCs w:val="false"/>
            <w:color w:val="auto"/>
            <w:kern w:val="0"/>
            <w:sz w:val="24"/>
            <w:szCs w:val="24"/>
            <w:lang w:val="pt-BR" w:eastAsia="en-US" w:bidi="ar-SA"/>
          </w:rPr>
          <w:t>sergio.sousa@marinha.mil.br</w:t>
        </w:r>
      </w:hyperlink>
      <w:r>
        <w:rPr>
          <w:rFonts w:eastAsia="Arial" w:cs="Arial" w:ascii="Carlito" w:hAnsi="Carlito"/>
          <w:b w:val="false"/>
          <w:bCs w:val="false"/>
          <w:i w:val="false"/>
          <w:iCs w:val="false"/>
          <w:color w:val="auto"/>
          <w:kern w:val="0"/>
          <w:sz w:val="24"/>
          <w:szCs w:val="24"/>
          <w:lang w:val="pt-BR" w:eastAsia="en-US" w:bidi="ar-SA"/>
        </w:rPr>
        <w:t xml:space="preserve"> / </w:t>
      </w:r>
      <w:hyperlink r:id="rId4">
        <w:r>
          <w:rPr>
            <w:rStyle w:val="LinkdaInternet"/>
            <w:rFonts w:eastAsia="Arial" w:cs="Arial" w:ascii="Carlito" w:hAnsi="Carlito"/>
            <w:b w:val="false"/>
            <w:bCs w:val="false"/>
            <w:i w:val="false"/>
            <w:iCs w:val="false"/>
            <w:color w:val="auto"/>
            <w:kern w:val="0"/>
            <w:sz w:val="24"/>
            <w:szCs w:val="24"/>
            <w:lang w:val="pt-BR" w:eastAsia="en-US" w:bidi="ar-SA"/>
          </w:rPr>
          <w:t>verly.jairo@marinha.mil.br</w:t>
        </w:r>
      </w:hyperlink>
      <w:r>
        <w:rPr>
          <w:rFonts w:eastAsia="Arial" w:cs="Arial" w:ascii="Carlito" w:hAnsi="Carlito"/>
          <w:b w:val="false"/>
          <w:bCs w:val="false"/>
          <w:i w:val="false"/>
          <w:iCs w:val="false"/>
          <w:color w:val="auto"/>
          <w:kern w:val="0"/>
          <w:sz w:val="24"/>
          <w:szCs w:val="24"/>
          <w:lang w:val="pt-BR" w:eastAsia="en-US" w:bidi="ar-SA"/>
        </w:rPr>
        <w:t xml:space="preserve"> / </w:t>
      </w:r>
      <w:hyperlink r:id="rId5">
        <w:r>
          <w:rPr>
            <w:rStyle w:val="LinkdaInternet"/>
            <w:rFonts w:eastAsia="Arial" w:cs="Arial" w:ascii="Carlito" w:hAnsi="Carlito"/>
            <w:b w:val="false"/>
            <w:bCs w:val="false"/>
            <w:i w:val="false"/>
            <w:iCs w:val="false"/>
            <w:color w:val="auto"/>
            <w:kern w:val="0"/>
            <w:sz w:val="24"/>
            <w:szCs w:val="24"/>
            <w:lang w:val="pt-BR" w:eastAsia="en-US" w:bidi="ar-SA"/>
          </w:rPr>
          <w:t>marcos.ferreira.gomes@marinha.mil.br</w:t>
        </w:r>
      </w:hyperlink>
      <w:r>
        <w:rPr>
          <w:rFonts w:eastAsia="Arial" w:cs="Arial" w:ascii="Carlito" w:hAnsi="Carlito"/>
          <w:b w:val="false"/>
          <w:bCs w:val="false"/>
          <w:i w:val="false"/>
          <w:iCs w:val="false"/>
          <w:color w:val="auto"/>
          <w:kern w:val="0"/>
          <w:sz w:val="24"/>
          <w:szCs w:val="24"/>
          <w:lang w:val="pt-BR" w:eastAsia="en-US" w:bidi="ar-SA"/>
        </w:rPr>
        <w:t xml:space="preserve"> </w:t>
      </w:r>
    </w:p>
    <w:p>
      <w:pPr>
        <w:pStyle w:val="Nvel1SemNumerao"/>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b w:val="false"/>
          <w:b w:val="false"/>
          <w:bCs w:val="false"/>
          <w:i w:val="false"/>
          <w:i w:val="false"/>
          <w:iCs w:val="false"/>
          <w:color w:val="auto"/>
          <w:kern w:val="0"/>
          <w:sz w:val="24"/>
          <w:szCs w:val="24"/>
          <w:lang w:val="pt-BR" w:eastAsia="en-US" w:bidi="ar-SA"/>
        </w:rPr>
      </w:pPr>
      <w:r>
        <w:rPr>
          <w:rFonts w:eastAsia="Arial" w:cs="Arial" w:ascii="Carlito" w:hAnsi="Carlito"/>
          <w:b w:val="false"/>
          <w:bCs w:val="false"/>
          <w:i w:val="false"/>
          <w:iCs w:val="false"/>
          <w:color w:val="auto"/>
          <w:kern w:val="0"/>
          <w:sz w:val="24"/>
          <w:szCs w:val="24"/>
          <w:lang w:val="pt-BR" w:eastAsia="en-US" w:bidi="ar-SA"/>
        </w:rPr>
      </w:r>
    </w:p>
    <w:p>
      <w:pPr>
        <w:pStyle w:val="Nvel1SemNumerao"/>
        <w:shd w:val="clear" w:fill="FFFFFF"/>
        <w:ind w:left="1191" w:right="0" w:hanging="567"/>
        <w:rPr/>
      </w:pPr>
      <w:r>
        <w:rPr>
          <w:rFonts w:eastAsia="Arial" w:cs="Arial" w:ascii="Carlito" w:hAnsi="Carlito"/>
          <w:i w:val="false"/>
          <w:iCs w:val="false"/>
          <w:color w:val="auto"/>
          <w:kern w:val="0"/>
          <w:sz w:val="24"/>
          <w:szCs w:val="24"/>
          <w:lang w:val="pt-BR" w:eastAsia="en-US" w:bidi="ar-SA"/>
        </w:rPr>
        <w:t>Materiais a serem disponibilizados</w:t>
      </w:r>
    </w:p>
    <w:p>
      <w:pPr>
        <w:pStyle w:val="Nvel1SemNumerao"/>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b w:val="false"/>
          <w:bCs w:val="false"/>
          <w:i w:val="false"/>
          <w:iCs w:val="false"/>
          <w:color w:val="auto"/>
          <w:kern w:val="0"/>
          <w:sz w:val="24"/>
          <w:szCs w:val="24"/>
          <w:lang w:val="pt-BR" w:eastAsia="en-US" w:bidi="ar-SA"/>
        </w:rPr>
        <w:t>Para a perfeita execução dos serviços, a Contratada deverá disponibilizar os materiais, equipamentos, ferramentas e utensílios necessários, nas quantidades estimadas e qualidades a seguir estabelecidas, promovendo sua substituição quando necessário:</w:t>
      </w:r>
    </w:p>
    <w:p>
      <w:pPr>
        <w:pStyle w:val="Nvel1SemNumerao"/>
        <w:numPr>
          <w:ilvl w:val="0"/>
          <w:numId w:val="0"/>
        </w:numPr>
        <w:shd w:val="clear" w:fill="FFFFFF"/>
        <w:ind w:left="216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Especificação da garantia do serviço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O prazo de garantia contratual dos serviços é aquele estabelecido na Lei nº 8.078, de 11 de setembro de 1990 (Código de Defesa do Consumidor).</w:t>
      </w:r>
    </w:p>
    <w:p>
      <w:pPr>
        <w:pStyle w:val="Ou"/>
        <w:ind w:left="720" w:right="0" w:hanging="0"/>
        <w:jc w:val="both"/>
        <w:rPr>
          <w:rFonts w:ascii="Carlito" w:hAnsi="Carlito"/>
          <w:sz w:val="24"/>
          <w:szCs w:val="24"/>
          <w:highlight w:val="lightGray"/>
        </w:rPr>
      </w:pPr>
      <w:r>
        <w:rPr>
          <w:rFonts w:ascii="Carlito" w:hAnsi="Carlito"/>
          <w:sz w:val="24"/>
          <w:szCs w:val="24"/>
          <w:highlight w:val="lightGray"/>
        </w:rPr>
      </w:r>
    </w:p>
    <w:p>
      <w:pPr>
        <w:pStyle w:val="Nvel1SemNum"/>
        <w:shd w:val="clear" w:fill="FFFFFF"/>
        <w:ind w:left="0" w:right="0" w:hanging="0"/>
        <w:rPr>
          <w:rFonts w:ascii="Carlito" w:hAnsi="Carlito"/>
          <w:color w:val="000000"/>
          <w:sz w:val="24"/>
          <w:szCs w:val="24"/>
        </w:rPr>
      </w:pPr>
      <w:r>
        <w:rPr>
          <w:rFonts w:ascii="Carlito" w:hAnsi="Carlito"/>
          <w:color w:val="000000"/>
          <w:sz w:val="24"/>
          <w:szCs w:val="24"/>
        </w:rPr>
        <w:t>Procedimentos de transição e finalização do contrato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Não serão necessários procedimentos de transição e finalização do contrato devido às características do objeto.</w:t>
      </w:r>
    </w:p>
    <w:p>
      <w:pPr>
        <w:pStyle w:val="Nvel2Opcional1"/>
        <w:widowControl/>
        <w:numPr>
          <w:ilvl w:val="0"/>
          <w:numId w:val="0"/>
        </w:numPr>
        <w:shd w:val="clear" w:fill="FFFFFF"/>
        <w:suppressAutoHyphens w:val="true"/>
        <w:bidi w:val="0"/>
        <w:spacing w:lineRule="auto" w:line="276" w:before="0" w:after="0"/>
        <w:ind w:left="1080" w:right="0" w:hanging="0"/>
        <w:jc w:val="both"/>
        <w:rPr>
          <w:rFonts w:ascii="Carlito" w:hAnsi="Carlito"/>
          <w:color w:val="000000"/>
          <w:sz w:val="24"/>
          <w:szCs w:val="24"/>
        </w:rPr>
      </w:pPr>
      <w:r>
        <w:rPr>
          <w:rFonts w:ascii="Carlito" w:hAnsi="Carlito"/>
          <w:color w:val="000000"/>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MODELO DE GESTÃO DO CONTRATO</w:t>
      </w:r>
    </w:p>
    <w:p>
      <w:pPr>
        <w:pStyle w:val="Estilo7"/>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O contrato deverá ser executado fielmente pelas partes, de acordo com as cláusulas avençadas e as normas da Lei nº 14.133, de 2021, e cada parte responderá pelas consequências de sua inexecução total ou parcial.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Em caso de impedimento, ordem de paralisação ou suspensão do contrato, o cronograma de execução será prorrogado automaticamente pelo tempo correspondente, anotadas tais circunstâncias mediante simples apostila.</w:t>
      </w:r>
    </w:p>
    <w:p>
      <w:pPr>
        <w:pStyle w:val="Nvel02"/>
        <w:numPr>
          <w:ilvl w:val="0"/>
          <w:numId w:val="0"/>
        </w:numPr>
        <w:shd w:val="clear" w:fill="FFFFFF"/>
        <w:ind w:left="1080" w:right="0" w:hanging="0"/>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As comunicações entre o órgão ou entidade e o Contratado devem ser realizadas por escrito sempre que o ato exigir tal formalidade, admitindo-se o uso de mensagem eletrônica para esse fim.</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O órgão ou entidade poderá convocar o preposto da empresa para adoção de providências que devam ser cumpridas de imediato.</w:t>
      </w:r>
    </w:p>
    <w:p>
      <w:pPr>
        <w:pStyle w:val="Nvel2Opcional1"/>
        <w:widowControl/>
        <w:numPr>
          <w:ilvl w:val="1"/>
          <w:numId w:val="2"/>
        </w:numPr>
        <w:shd w:val="clear" w:fill="FFFFFF"/>
        <w:tabs>
          <w:tab w:val="clear" w:pos="735"/>
        </w:tabs>
        <w:suppressAutoHyphens w:val="true"/>
        <w:bidi w:val="0"/>
        <w:spacing w:lineRule="auto" w:line="276" w:before="0" w:after="0"/>
        <w:ind w:left="0" w:right="0" w:firstLine="510"/>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pPr>
        <w:pStyle w:val="Nvel2Opcional1"/>
        <w:widowControl/>
        <w:numPr>
          <w:ilvl w:val="0"/>
          <w:numId w:val="0"/>
        </w:numPr>
        <w:shd w:val="clear" w:fill="FFFFFF"/>
        <w:tabs>
          <w:tab w:val="clear" w:pos="735"/>
        </w:tabs>
        <w:suppressAutoHyphens w:val="true"/>
        <w:bidi w:val="0"/>
        <w:spacing w:lineRule="auto" w:line="276" w:before="0" w:after="0"/>
        <w:ind w:left="1080" w:right="0" w:hanging="0"/>
        <w:jc w:val="both"/>
        <w:rPr>
          <w:rFonts w:ascii="Carlito" w:hAnsi="Carlito" w:eastAsia="Arial" w:cs="Arial"/>
          <w:iCs/>
          <w:color w:val="000000"/>
          <w:kern w:val="0"/>
          <w:sz w:val="24"/>
          <w:szCs w:val="24"/>
          <w:lang w:val="pt-BR" w:eastAsia="pt-BR" w:bidi="ar-SA"/>
        </w:rPr>
      </w:pPr>
      <w:r>
        <w:rPr>
          <w:rFonts w:eastAsia="Arial" w:cs="Arial" w:ascii="Carlito" w:hAnsi="Carlito"/>
          <w:iCs/>
          <w:color w:val="000000"/>
          <w:kern w:val="0"/>
          <w:sz w:val="24"/>
          <w:szCs w:val="24"/>
          <w:lang w:val="pt-BR" w:eastAsia="pt-BR" w:bidi="ar-SA"/>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Preposto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designará formalmente o preposto da empresa, antes do início da prestação dos serviços, indicando no instrumento os poderes e deveres em relação à execução do objeto Contratado.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não necessitará manter preposto da empresa no local da execução do objeto durante o período.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Contratante poderá recusar, desde que justificadamente, a indicação ou a manutenção do preposto da empresa, hipótese em que o Contratado designará outro para o exercício da atividade.</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Rotinas de </w:t>
      </w:r>
      <w:r>
        <w:rPr>
          <w:rFonts w:eastAsia="Arial" w:cs="Arial" w:ascii="Carlito" w:hAnsi="Carlito"/>
          <w:b w:val="false"/>
          <w:bCs w:val="false"/>
          <w:i w:val="false"/>
          <w:iCs w:val="false"/>
          <w:color w:val="auto"/>
          <w:kern w:val="0"/>
          <w:sz w:val="24"/>
          <w:szCs w:val="24"/>
          <w:lang w:val="pt-BR" w:eastAsia="en-US" w:bidi="ar-SA"/>
        </w:rPr>
        <w:t>Fiscalização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A execução do contrato deverá ser acompanhada e fiscalizada pelo(s) fiscal(is) do contrato, ou pelos respectivos substitutos.</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Fiscalização Técnica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acompanhará a execução do contrato, para que sejam cumpridas todas as condições estabelecidas no contrato, de modo a assegurar os melhores resultados para a Administração.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Identificada qualquer inexatidão ou irregularidade, o fiscal técnico do contrato emitirá notificações para a correção da execução do contrato, determinando prazo para a correção.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informará ao gestor do contato, em tempo hábil, a situação que demandar decisão ou adoção de medidas que ultrapassem sua competência, para que adote as medidas necessárias e saneadoras, se for o caso.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No caso de ocorrências que possam inviabilizar a execução do contrato nas datas aprazadas, o fiscal técnico do contrato comunicará o fato imediatamente ao gestor do contrato.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rPr>
        <w:t xml:space="preserve">O fiscal técnico do contrato comunicará ao gestor do contrato, em tempo hábil, o término do contrato sob sua responsabilidade, com vistas à tempestiva </w:t>
      </w:r>
      <w:r>
        <w:rPr>
          <w:rFonts w:eastAsia="Times New Roman" w:ascii="Carlito" w:hAnsi="Carlito"/>
          <w:sz w:val="24"/>
          <w:szCs w:val="24"/>
        </w:rPr>
        <w:t xml:space="preserve">renovação </w:t>
      </w:r>
      <w:r>
        <w:rPr>
          <w:rFonts w:ascii="Carlito" w:hAnsi="Carlito"/>
          <w:sz w:val="24"/>
          <w:szCs w:val="24"/>
        </w:rPr>
        <w:t>ou à prorrogação contratual.</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pPr>
        <w:pStyle w:val="Nvel2Opcional1"/>
        <w:numPr>
          <w:ilvl w:val="0"/>
          <w:numId w:val="0"/>
        </w:numPr>
        <w:shd w:val="clear" w:fill="FFFFFF"/>
        <w:ind w:left="1913" w:right="0" w:hanging="0"/>
        <w:jc w:val="both"/>
        <w:rPr>
          <w:rFonts w:ascii="Carlito" w:hAnsi="Carlito"/>
          <w:sz w:val="24"/>
          <w:szCs w:val="24"/>
          <w:highlight w:val="lightGray"/>
        </w:rPr>
      </w:pPr>
      <w:r>
        <w:rPr>
          <w:rFonts w:ascii="Carlito" w:hAnsi="Carlito"/>
          <w:sz w:val="24"/>
          <w:szCs w:val="24"/>
          <w:highlight w:val="lightGray"/>
        </w:rPr>
      </w:r>
    </w:p>
    <w:p>
      <w:pPr>
        <w:pStyle w:val="Nvel1SemNumerao"/>
        <w:numPr>
          <w:ilvl w:val="0"/>
          <w:numId w:val="0"/>
        </w:numPr>
        <w:shd w:val="clear" w:fill="FFFFFF"/>
        <w:ind w:left="720" w:right="0" w:hanging="0"/>
        <w:rPr>
          <w:rFonts w:ascii="Carlito" w:hAnsi="Carlito"/>
          <w:sz w:val="24"/>
          <w:szCs w:val="24"/>
        </w:rPr>
      </w:pPr>
      <w:r>
        <w:rPr>
          <w:rFonts w:ascii="Carlito" w:hAnsi="Carlito"/>
          <w:sz w:val="24"/>
          <w:szCs w:val="24"/>
        </w:rPr>
        <w:t>Fiscalização Administrativa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02"/>
        <w:widowControl/>
        <w:numPr>
          <w:ilvl w:val="0"/>
          <w:numId w:val="0"/>
        </w:numPr>
        <w:shd w:val="clear" w:fill="FFFFFF"/>
        <w:suppressAutoHyphens w:val="true"/>
        <w:bidi w:val="0"/>
        <w:spacing w:lineRule="auto" w:line="276" w:before="0" w:after="0"/>
        <w:ind w:left="720" w:right="0" w:hanging="0"/>
        <w:jc w:val="both"/>
        <w:rPr>
          <w:rFonts w:ascii="Carlito" w:hAnsi="Carlito" w:eastAsia="Arial" w:cs="Arial"/>
          <w:b/>
          <w:b/>
          <w:i w:val="false"/>
          <w:i w:val="false"/>
          <w:iCs w:val="false"/>
          <w:color w:val="auto"/>
          <w:kern w:val="0"/>
          <w:sz w:val="24"/>
          <w:szCs w:val="24"/>
          <w:lang w:val="pt-BR" w:eastAsia="en-US" w:bidi="ar-SA"/>
        </w:rPr>
      </w:pPr>
      <w:r>
        <w:rPr>
          <w:rFonts w:eastAsia="Arial" w:cs="Arial" w:ascii="Carlito" w:hAnsi="Carlito"/>
          <w:b/>
          <w:i w:val="false"/>
          <w:iCs w:val="false"/>
          <w:color w:val="auto"/>
          <w:kern w:val="0"/>
          <w:sz w:val="24"/>
          <w:szCs w:val="24"/>
          <w:lang w:val="pt-BR" w:eastAsia="en-US" w:bidi="ar-SA"/>
        </w:rPr>
        <w:t>Cabe ao gestor do contrato: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elaborar relatório final com informações sobre a consecução dos objetivos que tenham justificado a contratação e eventuais condutas a serem adotadas para o aprimoramento das atividades da Administração.</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enviar a documentação pertinente ao setor de contratos para a formalização dos procedimentos de liquidação e pagamento, no valor dimensionado pela fiscalização e gestão nos termos do contrato.</w:t>
      </w:r>
    </w:p>
    <w:p>
      <w:pPr>
        <w:pStyle w:val="Nivel3"/>
        <w:widowControl/>
        <w:numPr>
          <w:ilvl w:val="1"/>
          <w:numId w:val="2"/>
        </w:numPr>
        <w:suppressAutoHyphens w:val="true"/>
        <w:bidi w:val="0"/>
        <w:spacing w:lineRule="auto" w:line="276" w:before="120" w:after="120"/>
        <w:ind w:left="0" w:right="0" w:firstLine="510"/>
        <w:jc w:val="both"/>
        <w:rPr>
          <w:rFonts w:ascii="Carlito" w:hAnsi="Carlito"/>
          <w:color w:val="000000"/>
          <w:sz w:val="24"/>
          <w:szCs w:val="24"/>
        </w:rPr>
      </w:pPr>
      <w:r>
        <w:rPr>
          <w:rFonts w:ascii="Carlito" w:hAnsi="Carlito"/>
          <w:color w:val="000000"/>
          <w:sz w:val="24"/>
          <w:szCs w:val="24"/>
        </w:rPr>
        <w:t>receber e dar encaminhamento imediato:</w:t>
      </w:r>
    </w:p>
    <w:p>
      <w:pPr>
        <w:pStyle w:val="Nivel4"/>
        <w:widowControl/>
        <w:numPr>
          <w:ilvl w:val="2"/>
          <w:numId w:val="2"/>
        </w:numPr>
        <w:suppressAutoHyphens w:val="true"/>
        <w:bidi w:val="0"/>
        <w:spacing w:lineRule="auto" w:line="276" w:before="0" w:after="0"/>
        <w:ind w:left="0" w:right="0" w:firstLine="1134"/>
        <w:jc w:val="both"/>
        <w:rPr>
          <w:rFonts w:ascii="Carlito" w:hAnsi="Carlito" w:eastAsia="ＭＳ 明朝" w:cs="Arial"/>
          <w:bCs/>
          <w:i w:val="false"/>
          <w:i w:val="false"/>
          <w:color w:val="000000"/>
          <w:kern w:val="0"/>
          <w:sz w:val="24"/>
          <w:szCs w:val="24"/>
          <w:lang w:val="pt-BR" w:eastAsia="pt-BR" w:bidi="ar-SA"/>
        </w:rPr>
      </w:pPr>
      <w:r>
        <w:rPr>
          <w:rFonts w:eastAsia="ＭＳ 明朝" w:cs="Arial" w:ascii="Carlito" w:hAnsi="Carlito"/>
          <w:bCs/>
          <w:i w:val="false"/>
          <w:color w:val="000000"/>
          <w:kern w:val="0"/>
          <w:sz w:val="24"/>
          <w:szCs w:val="24"/>
          <w:lang w:val="pt-BR" w:eastAsia="pt-BR" w:bidi="ar-SA"/>
        </w:rPr>
        <w:t xml:space="preserve">às denúncias de discriminação, violência e assédio no ambiente de trabalho, conforme o art. 2º, inciso III, do Decreto n.º 12.174/2024; </w:t>
      </w:r>
    </w:p>
    <w:p>
      <w:pPr>
        <w:pStyle w:val="Nivel4"/>
        <w:widowControl/>
        <w:numPr>
          <w:ilvl w:val="2"/>
          <w:numId w:val="2"/>
        </w:numPr>
        <w:suppressAutoHyphens w:val="true"/>
        <w:bidi w:val="0"/>
        <w:spacing w:lineRule="auto" w:line="276" w:before="0" w:after="0"/>
        <w:ind w:left="0" w:right="0" w:firstLine="1134"/>
        <w:jc w:val="both"/>
        <w:rPr>
          <w:rFonts w:ascii="Carlito" w:hAnsi="Carlito" w:eastAsia="ＭＳ 明朝" w:cs="Arial"/>
          <w:bCs/>
          <w:i w:val="false"/>
          <w:i w:val="false"/>
          <w:color w:val="000000"/>
          <w:kern w:val="0"/>
          <w:sz w:val="24"/>
          <w:szCs w:val="24"/>
          <w:lang w:val="pt-BR" w:eastAsia="pt-BR" w:bidi="ar-SA"/>
        </w:rPr>
      </w:pPr>
      <w:r>
        <w:rPr>
          <w:rFonts w:eastAsia="ＭＳ 明朝" w:cs="Arial" w:ascii="Carlito" w:hAnsi="Carlito"/>
          <w:bCs/>
          <w:i w:val="false"/>
          <w:color w:val="000000"/>
          <w:kern w:val="0"/>
          <w:sz w:val="24"/>
          <w:szCs w:val="24"/>
          <w:lang w:val="pt-BR" w:eastAsia="pt-BR" w:bidi="ar-SA"/>
        </w:rPr>
        <w:t>à notificação formal de que a empresa contratada está descumprindo suas obrigações trabalhistas, enviada pelo trabalhador, sindicato, Ministério do Trabalho, Ministério Público, Defensoria Pública ou por qualquer outro meio idôneo.</w:t>
      </w:r>
    </w:p>
    <w:p>
      <w:pPr>
        <w:pStyle w:val="Nvel2Opcional1"/>
        <w:numPr>
          <w:ilvl w:val="0"/>
          <w:numId w:val="0"/>
        </w:numPr>
        <w:shd w:val="clear" w:fill="FFFFFF"/>
        <w:ind w:left="1913" w:right="0" w:hanging="0"/>
        <w:jc w:val="both"/>
        <w:rPr>
          <w:rFonts w:ascii="Carlito" w:hAnsi="Carlito"/>
          <w:sz w:val="24"/>
          <w:szCs w:val="24"/>
          <w:highlight w:val="lightGray"/>
        </w:rPr>
      </w:pPr>
      <w:r>
        <w:rPr>
          <w:rFonts w:ascii="Carlito" w:hAnsi="Carlito"/>
          <w:sz w:val="24"/>
          <w:szCs w:val="24"/>
          <w:highlight w:val="lightGray"/>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CRITÉRIOS DE MEDIÇÃO E PAGAMENTO</w:t>
      </w:r>
    </w:p>
    <w:p>
      <w:pPr>
        <w:pStyle w:val="Nvel2Opcional1"/>
        <w:widowControl/>
        <w:numPr>
          <w:ilvl w:val="1"/>
          <w:numId w:val="2"/>
        </w:numPr>
        <w:shd w:val="clear" w:fill="FFFFFF"/>
        <w:tabs>
          <w:tab w:val="clear" w:pos="735"/>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A avaliação da execução do serviço utilizará o disposto neste item.</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sz w:val="24"/>
          <w:szCs w:val="24"/>
        </w:rPr>
        <w:t>Será indicada a retenção ou glosa no pagamento, proporcional à irregularidade verificada, sem prejuízo das sanções cabíveis, caso se constate que o Contratado:</w:t>
      </w:r>
    </w:p>
    <w:p>
      <w:pPr>
        <w:pStyle w:val="Nivel3"/>
        <w:widowControl/>
        <w:numPr>
          <w:ilvl w:val="1"/>
          <w:numId w:val="2"/>
        </w:numPr>
        <w:bidi w:val="0"/>
        <w:spacing w:lineRule="auto" w:line="276" w:before="120" w:after="120"/>
        <w:ind w:left="510" w:right="0" w:hanging="0"/>
        <w:jc w:val="both"/>
        <w:rPr>
          <w:rFonts w:ascii="Carlito" w:hAnsi="Carlito"/>
          <w:sz w:val="24"/>
          <w:szCs w:val="24"/>
        </w:rPr>
      </w:pPr>
      <w:r>
        <w:rPr>
          <w:rFonts w:ascii="Carlito" w:hAnsi="Carlito"/>
          <w:sz w:val="24"/>
          <w:szCs w:val="24"/>
        </w:rPr>
        <w:t>não produziu os resultados acordados,</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deixou de executar, ou não executou com a qualidade mínima exigida as atividades contratadas; ou</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deixou de utilizar materiais e recursos humanos exigidos para a execução do serviço, ou os utilizou com qualidade ou quantidade inferior à demandada.</w:t>
      </w:r>
    </w:p>
    <w:p>
      <w:pPr>
        <w:pStyle w:val="Nvel2Opcional1"/>
        <w:widowControl/>
        <w:numPr>
          <w:ilvl w:val="1"/>
          <w:numId w:val="2"/>
        </w:numPr>
        <w:shd w:val="clear" w:fill="FFFFFF"/>
        <w:tabs>
          <w:tab w:val="left" w:pos="675" w:leader="none"/>
          <w:tab w:val="left" w:pos="735" w:leader="none"/>
        </w:tabs>
        <w:suppressAutoHyphens w:val="true"/>
        <w:bidi w:val="0"/>
        <w:spacing w:lineRule="auto" w:line="276" w:before="0" w:after="0"/>
        <w:ind w:left="-57" w:right="0" w:firstLine="624"/>
        <w:jc w:val="both"/>
        <w:rPr>
          <w:rFonts w:ascii="Carlito" w:hAnsi="Carlito"/>
          <w:color w:val="000000"/>
          <w:sz w:val="24"/>
          <w:szCs w:val="24"/>
        </w:rPr>
      </w:pPr>
      <w:r>
        <w:rPr>
          <w:rFonts w:ascii="Carlito" w:hAnsi="Carlito"/>
          <w:color w:val="000000"/>
          <w:sz w:val="24"/>
          <w:szCs w:val="24"/>
        </w:rPr>
        <w:t>A utilização do IMR não impede a aplicação concomitante de outros mecanismos para a avaliação da prestação dos serviços.</w:t>
      </w:r>
    </w:p>
    <w:p>
      <w:pPr>
        <w:pStyle w:val="Nvel2Opcional1"/>
        <w:numPr>
          <w:ilvl w:val="0"/>
          <w:numId w:val="0"/>
        </w:numPr>
        <w:shd w:val="clear" w:fill="FFFFFF"/>
        <w:ind w:left="1913"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pPr>
      <w:r>
        <w:rPr>
          <w:rFonts w:ascii="Carlito" w:hAnsi="Carlito"/>
          <w:sz w:val="24"/>
          <w:szCs w:val="24"/>
        </w:rPr>
        <w:t xml:space="preserve">Do </w:t>
      </w:r>
      <w:r>
        <w:rPr>
          <w:rFonts w:eastAsia="Arial" w:cs="Arial" w:ascii="Carlito" w:hAnsi="Carlito"/>
          <w:b w:val="false"/>
          <w:bCs w:val="false"/>
          <w:i w:val="false"/>
          <w:iCs w:val="false"/>
          <w:color w:val="auto"/>
          <w:kern w:val="0"/>
          <w:sz w:val="24"/>
          <w:szCs w:val="24"/>
          <w:lang w:val="pt-BR" w:eastAsia="en-US" w:bidi="ar-SA"/>
        </w:rPr>
        <w:t>recebimento</w:t>
      </w:r>
    </w:p>
    <w:p>
      <w:pPr>
        <w:pStyle w:val="Nvel1SemNumerao"/>
        <w:numPr>
          <w:ilvl w:val="0"/>
          <w:numId w:val="0"/>
        </w:numPr>
        <w:shd w:val="clear" w:fill="FFFFFF"/>
        <w:ind w:left="720" w:right="0" w:hanging="0"/>
        <w:rPr/>
      </w:pPr>
      <w:r>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pagamento será efetuado de forma parcelada, após a execução de cada serviço, mediante apresentação de nota fiscal/fatura devidamente atestada pela fiscalização do contrato, conforme a efetiva prestação dos serviços.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serão recebidos provisoriamente, no prazo de 10 (dez) dias, pelos fiscais técnico e administrativo, mediante termos detalhados, quando verificado o cumprimento das exigências de caráter técnico e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prazo para recebimento provisório será contado do recebimento de comunicação de cobrança oriunda do Contratado com a comprovação da prestação dos serviços a que se referem a parcela a ser paga.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técnico do contrato realizará o recebimento provisório do objeto do contrato mediante termo detalhado que comprove o cumprimento das exigências de caráter técnico.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administrativo do contrato realizará o recebimento provisório do objeto do contrato mediante termo detalhado que comprove o cumprimento das exigências de caráter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fiscal setorial do contrato, quando houver, realizará o recebimento provisório sob o ponto de vista técnico e administrativo.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Para efeito de recebimento provisório, será considerado para fins de faturamento o período a ser apurado: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Ao final de cada período/evento de faturamento:</w:t>
      </w:r>
    </w:p>
    <w:p>
      <w:pPr>
        <w:pStyle w:val="Nivel3"/>
        <w:widowControl/>
        <w:numPr>
          <w:ilvl w:val="2"/>
          <w:numId w:val="2"/>
        </w:numPr>
        <w:suppressAutoHyphens w:val="true"/>
        <w:bidi w:val="0"/>
        <w:spacing w:lineRule="auto" w:line="276" w:before="348" w:after="348"/>
        <w:ind w:left="0" w:right="0" w:firstLine="1134"/>
        <w:jc w:val="both"/>
        <w:rPr>
          <w:rFonts w:ascii="Carlito" w:hAnsi="Carlito"/>
          <w:sz w:val="24"/>
          <w:szCs w:val="24"/>
        </w:rPr>
      </w:pPr>
      <w:r>
        <w:rPr>
          <w:rFonts w:ascii="Carlito" w:hAnsi="Carlito"/>
          <w:sz w:val="24"/>
          <w:szCs w:val="24"/>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pPr>
        <w:pStyle w:val="Nvel02"/>
        <w:widowControl/>
        <w:numPr>
          <w:ilvl w:val="2"/>
          <w:numId w:val="2"/>
        </w:numPr>
        <w:shd w:val="clear" w:fill="FFFFFF"/>
        <w:suppressAutoHyphens w:val="true"/>
        <w:overflowPunct w:val="true"/>
        <w:bidi w:val="0"/>
        <w:spacing w:lineRule="auto" w:line="276"/>
        <w:ind w:left="0" w:right="0" w:firstLine="1134"/>
        <w:jc w:val="both"/>
        <w:rPr>
          <w:rFonts w:ascii="Carlito" w:hAnsi="Carlito"/>
          <w:sz w:val="24"/>
          <w:szCs w:val="24"/>
        </w:rPr>
      </w:pPr>
      <w:r>
        <w:rPr>
          <w:rFonts w:eastAsia="Arial" w:cs="Arial" w:ascii="Carlito" w:hAnsi="Carlito"/>
          <w:i w:val="false"/>
          <w:iCs/>
          <w:color w:val="000000"/>
          <w:kern w:val="0"/>
          <w:sz w:val="24"/>
          <w:szCs w:val="24"/>
          <w:lang w:val="pt-BR" w:eastAsia="pt-BR" w:bidi="ar-SA"/>
        </w:rPr>
        <w:t>Será considerado como ocorrido o recebimento provisório com a entrega do termo detalhado ou, em havendo mais de um a ser feito, com a entrega do último.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fiscalização não efetuará o ateste da última e/ou única medição de serviços até que sejam sanadas todas as eventuais pendências que possam vir a ser apontadas no recebimento provisório.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recebimento provisório também ficará sujeito, quando cabível, à conclusão de todos os testes de campo e à entrega dos Manuais e Instruções exigíveis.</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poderão ser rejeitados, no todo ou em parte, quando em desacordo com as especificações constantes neste Termo de Referência e na proposta, sem prejuízo da aplicação das penalidades.</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pPr>
        <w:pStyle w:val="Nivel3"/>
        <w:widowControl/>
        <w:numPr>
          <w:ilvl w:val="1"/>
          <w:numId w:val="2"/>
        </w:numPr>
        <w:tabs>
          <w:tab w:val="clear" w:pos="709"/>
          <w:tab w:val="left" w:pos="1245" w:leader="none"/>
          <w:tab w:val="left" w:pos="1650" w:leader="none"/>
        </w:tabs>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 xml:space="preserve"> </w:t>
      </w:r>
      <w:r>
        <w:rPr>
          <w:rFonts w:ascii="Carlito" w:hAnsi="Carlito"/>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Emitir Termo Detalhado para efeito de recebimento definitivo dos serviços prestados, com base nos relatórios e documentações apresentadas; e</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Comunicar a empresa para que emita a Nota Fiscal ou Fatura, com o valor exato dimensionado pela fiscalização.</w:t>
      </w:r>
    </w:p>
    <w:p>
      <w:pPr>
        <w:pStyle w:val="Nivel3"/>
        <w:widowControl/>
        <w:numPr>
          <w:ilvl w:val="1"/>
          <w:numId w:val="2"/>
        </w:numPr>
        <w:suppressAutoHyphens w:val="true"/>
        <w:bidi w:val="0"/>
        <w:spacing w:lineRule="auto" w:line="276" w:before="120" w:after="120"/>
        <w:ind w:left="0" w:right="0" w:firstLine="510"/>
        <w:jc w:val="both"/>
        <w:rPr>
          <w:rFonts w:ascii="Carlito" w:hAnsi="Carlito"/>
          <w:sz w:val="24"/>
          <w:szCs w:val="24"/>
        </w:rPr>
      </w:pPr>
      <w:r>
        <w:rPr>
          <w:rFonts w:ascii="Carlito" w:hAnsi="Carlito"/>
          <w:sz w:val="24"/>
          <w:szCs w:val="24"/>
        </w:rPr>
        <w:t>Enviar a documentação pertinente ao setor de contratos para a formalização dos procedimentos de liquidação e pagamento, no valor dimensionado pela fiscalização e gestão.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Nenhum prazo de recebimento ocorrerá enquanto pendente a solução, pelo Contratado, de inconsistências verificadas na execução do objeto ou no instrumento de cobrança.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en-US" w:bidi="ar-SA"/>
        </w:rPr>
        <w:t>O recebimento provisório ou definitivo não excluirá a responsabilidade civil pela solidez e pela segurança do serviço nem a responsabilidade ético-profissional pela perfeita execução do contrato.</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en-US" w:bidi="ar-SA"/>
        </w:rPr>
      </w:pPr>
      <w:r>
        <w:rPr>
          <w:rFonts w:eastAsia="Arial" w:cs="Arial" w:ascii="Carlito" w:hAnsi="Carlito"/>
          <w:i w:val="false"/>
          <w:iCs/>
          <w:color w:val="000000"/>
          <w:kern w:val="0"/>
          <w:sz w:val="24"/>
          <w:szCs w:val="24"/>
          <w:lang w:val="pt-BR" w:eastAsia="en-US" w:bidi="ar-SA"/>
        </w:rPr>
      </w:r>
    </w:p>
    <w:p>
      <w:pPr>
        <w:pStyle w:val="Nvel1SemNumerao"/>
        <w:widowControl/>
        <w:numPr>
          <w:ilvl w:val="0"/>
          <w:numId w:val="0"/>
        </w:numPr>
        <w:shd w:val="clear" w:fill="FFFFFF"/>
        <w:tabs>
          <w:tab w:val="left" w:pos="120" w:leader="none"/>
          <w:tab w:val="left" w:pos="345" w:leader="none"/>
          <w:tab w:val="left" w:pos="390" w:leader="none"/>
          <w:tab w:val="left" w:pos="570" w:leader="none"/>
          <w:tab w:val="left" w:pos="735" w:leader="none"/>
          <w:tab w:val="left" w:pos="900" w:leader="none"/>
          <w:tab w:val="left" w:pos="1020" w:leader="none"/>
          <w:tab w:val="left" w:pos="1140" w:leader="none"/>
        </w:tabs>
        <w:suppressAutoHyphens w:val="true"/>
        <w:bidi w:val="0"/>
        <w:spacing w:lineRule="auto" w:line="276" w:before="0" w:after="0"/>
        <w:ind w:left="0" w:right="0" w:hanging="0"/>
        <w:jc w:val="both"/>
        <w:rPr>
          <w:rFonts w:ascii="Carlito" w:hAnsi="Carlito" w:eastAsia="Arial" w:cs="Arial"/>
          <w:i w:val="false"/>
          <w:i w:val="false"/>
          <w:iCs w:val="false"/>
          <w:color w:val="auto"/>
          <w:kern w:val="0"/>
          <w:sz w:val="24"/>
          <w:szCs w:val="24"/>
          <w:lang w:val="pt-BR" w:eastAsia="en-US" w:bidi="ar-SA"/>
        </w:rPr>
      </w:pPr>
      <w:r>
        <w:rPr>
          <w:rFonts w:eastAsia="Arial" w:cs="Arial" w:ascii="Carlito" w:hAnsi="Carlito"/>
          <w:i w:val="false"/>
          <w:iCs w:val="false"/>
          <w:color w:val="auto"/>
          <w:kern w:val="0"/>
          <w:sz w:val="24"/>
          <w:szCs w:val="24"/>
          <w:lang w:val="pt-BR" w:eastAsia="en-US" w:bidi="ar-SA"/>
        </w:rPr>
        <w:t>Liquidação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Recebida a Nota Fiscal ou documento de cobrança equivalente, correrá o prazo de dez dias úteis para fins de liquidação, na forma desta seção, prorrogáveis por igual período, nos termos do art. 7º, §3º da Instrução Normativa SEGES/ME nº 77/2022.</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O prazo de que trata o item anterior será reduzido à metade, mantendo-se a possibilidade de prorrogação, nos casos de contratações decorrentes de despesas cujos valores não ultrapassem o limite de que trata o inciso II do art. 75 da Lei nº 14.133, de 2021</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eastAsia="Arial" w:cs="Arial" w:ascii="Carlito" w:hAnsi="Carlito"/>
          <w:i w:val="false"/>
          <w:iCs/>
          <w:color w:val="000000"/>
          <w:kern w:val="0"/>
          <w:sz w:val="24"/>
          <w:szCs w:val="24"/>
          <w:lang w:val="pt-BR" w:eastAsia="pt-BR" w:bidi="ar-SA"/>
        </w:rPr>
        <w:t>Para fins de liquidação, o setor competente deve verificar se a Nota Fiscal ou Fatura apresentada expressa os elementos necessários e essenciais do documento, tais como: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prazo de validade;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a data da emissão;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os dados do contrato e do órgão contratante;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período respectivo de execução do contrato;</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o valor a pagar; e</w:t>
      </w:r>
    </w:p>
    <w:p>
      <w:pPr>
        <w:pStyle w:val="ListParagraph"/>
        <w:widowControl/>
        <w:numPr>
          <w:ilvl w:val="2"/>
          <w:numId w:val="2"/>
        </w:numPr>
        <w:suppressAutoHyphens w:val="true"/>
        <w:bidi w:val="0"/>
        <w:spacing w:before="120" w:after="120"/>
        <w:ind w:left="0" w:right="0" w:firstLine="1134"/>
        <w:contextualSpacing/>
        <w:jc w:val="both"/>
        <w:rPr>
          <w:rFonts w:ascii="Carlito" w:hAnsi="Carlito" w:cs="Arial"/>
          <w:sz w:val="24"/>
          <w:szCs w:val="24"/>
        </w:rPr>
      </w:pPr>
      <w:r>
        <w:rPr>
          <w:rFonts w:cs="Arial" w:ascii="Carlito" w:hAnsi="Carlito"/>
          <w:sz w:val="24"/>
          <w:szCs w:val="24"/>
        </w:rPr>
        <w:t>eventual destaque do valor de retenções tributárias cabíveis.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Administração deverá realizar consulta ao SICAF para:</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verificar a manutenção das condições de habilitação exigidas;</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bookmarkStart w:id="3" w:name="_Int_T4XqlsQA"/>
      <w:r>
        <w:rPr>
          <w:rFonts w:ascii="Carlito" w:hAnsi="Carlito"/>
          <w:sz w:val="24"/>
          <w:szCs w:val="24"/>
        </w:rPr>
        <w:t>.</w:t>
      </w:r>
      <w:bookmarkEnd w:id="3"/>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Persistindo a irregularidade, o Contratante deverá adotar as medidas necessárias à rescisão contratual nos autos do processo administrativo correspondente, assegurada ao Contratado a ampla defesa.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Havendo a efetiva execução do objeto, os pagamentos serão realizados normalmente, até que se decida pela rescisão do contrato, caso o Contratado não regularize sua situação junto ao SICAF</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Prazo de </w:t>
      </w:r>
      <w:r>
        <w:rPr>
          <w:rFonts w:eastAsia="Arial" w:cs="Arial" w:ascii="Carlito" w:hAnsi="Carlito"/>
          <w:b w:val="false"/>
          <w:bCs w:val="false"/>
          <w:i w:val="false"/>
          <w:iCs w:val="false"/>
          <w:color w:val="auto"/>
          <w:kern w:val="0"/>
          <w:sz w:val="24"/>
          <w:szCs w:val="24"/>
          <w:lang w:val="pt-BR" w:eastAsia="en-US" w:bidi="ar-SA"/>
        </w:rPr>
        <w:t>pagamento</w:t>
      </w:r>
    </w:p>
    <w:p>
      <w:pPr>
        <w:pStyle w:val="Nvel02"/>
        <w:widowControl/>
        <w:numPr>
          <w:ilvl w:val="1"/>
          <w:numId w:val="2"/>
        </w:numPr>
        <w:shd w:val="clear" w:fill="FFFFFF"/>
        <w:suppressAutoHyphens w:val="true"/>
        <w:bidi w:val="0"/>
        <w:spacing w:lineRule="auto" w:line="276" w:before="0" w:after="0"/>
        <w:ind w:left="0" w:right="0" w:firstLine="51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pagamento será efetuado no prazo máximo de até dez dias úteis, contados da finalização da liquidação da despesa, conforme seção anterior, nos termos da Instrução Normativa SEGES/ME nº 77, de 2022.</w:t>
      </w:r>
    </w:p>
    <w:p>
      <w:pPr>
        <w:pStyle w:val="Nvel02"/>
        <w:widowControl/>
        <w:numPr>
          <w:ilvl w:val="1"/>
          <w:numId w:val="2"/>
        </w:numPr>
        <w:shd w:val="clear" w:fill="FFFFFF"/>
        <w:suppressAutoHyphens w:val="true"/>
        <w:bidi w:val="0"/>
        <w:spacing w:lineRule="auto" w:line="276" w:before="0" w:after="0"/>
        <w:ind w:left="0" w:right="0" w:firstLine="51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No caso de atraso pelo Contratante, os valores devidos ao Contratado serão atualizados monetariamente entre o termo final do prazo de pagamento até a data de sua efetiva realização, mediante aplicação do índice 10% de correção monetária.</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rPr/>
      </w:pPr>
      <w:r>
        <w:rPr>
          <w:rFonts w:ascii="Carlito" w:hAnsi="Carlito"/>
          <w:sz w:val="24"/>
          <w:szCs w:val="24"/>
        </w:rPr>
        <w:t xml:space="preserve">Forma de </w:t>
      </w:r>
      <w:r>
        <w:rPr>
          <w:rFonts w:eastAsia="Arial" w:cs="Arial" w:ascii="Carlito" w:hAnsi="Carlito"/>
          <w:b w:val="false"/>
          <w:bCs w:val="false"/>
          <w:i w:val="false"/>
          <w:iCs w:val="false"/>
          <w:color w:val="auto"/>
          <w:kern w:val="0"/>
          <w:sz w:val="24"/>
          <w:szCs w:val="24"/>
          <w:lang w:val="pt-BR" w:eastAsia="en-US" w:bidi="ar-SA"/>
        </w:rPr>
        <w:t>pagamento</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O pagamento será realizado por meio de ordem bancária, para crédito em banco, agência e conta corrente indicados pelo Contratado.</w:t>
      </w:r>
    </w:p>
    <w:p>
      <w:pPr>
        <w:pStyle w:val="Nvel02"/>
        <w:widowControl/>
        <w:numPr>
          <w:ilvl w:val="1"/>
          <w:numId w:val="2"/>
        </w:numPr>
        <w:shd w:val="clear" w:fill="FFFFFF"/>
        <w:suppressAutoHyphens w:val="true"/>
        <w:bidi w:val="0"/>
        <w:spacing w:lineRule="auto" w:line="276" w:before="0" w:after="0"/>
        <w:ind w:left="-57" w:right="0" w:firstLine="62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Será considerada data do pagamento o dia em que constar como emitida a ordem bancária para pagamento.</w:t>
      </w:r>
    </w:p>
    <w:p>
      <w:pPr>
        <w:pStyle w:val="Nvel02"/>
        <w:widowControl/>
        <w:numPr>
          <w:ilvl w:val="1"/>
          <w:numId w:val="2"/>
        </w:numPr>
        <w:shd w:val="clear" w:fill="FFFFFF"/>
        <w:suppressAutoHyphens w:val="true"/>
        <w:bidi w:val="0"/>
        <w:spacing w:lineRule="auto" w:line="276" w:before="0" w:after="0"/>
        <w:ind w:left="-57" w:right="0" w:firstLine="62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do pagamento, será efetuada a retenção tributária prevista na legislação aplicável.</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rPr>
      </w:pPr>
      <w:r>
        <w:rPr>
          <w:rFonts w:ascii="Carlito" w:hAnsi="Carlito"/>
          <w:sz w:val="24"/>
          <w:szCs w:val="24"/>
        </w:rPr>
        <w:t>Independentemente</w:t>
      </w:r>
      <w:r>
        <w:rPr>
          <w:rFonts w:ascii="Carlito" w:hAnsi="Carlito"/>
          <w:sz w:val="24"/>
          <w:szCs w:val="24"/>
          <w:lang w:eastAsia="en-US"/>
        </w:rPr>
        <w:t xml:space="preserve"> do percentual de tributo inserido na planilha, quando houver, serão retidos na fonte, quando da realização do pagamento, os percentuais estabelecidos na legislação vigente.</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shd w:val="clear" w:fill="FFFFFF"/>
        <w:ind w:left="1080" w:right="0" w:hanging="0"/>
        <w:jc w:val="both"/>
        <w:rPr>
          <w:rFonts w:ascii="Carlito" w:hAnsi="Carlito"/>
          <w:sz w:val="24"/>
          <w:szCs w:val="24"/>
          <w:highlight w:val="yellow"/>
        </w:rPr>
      </w:pPr>
      <w:r>
        <w:rPr>
          <w:rFonts w:ascii="Carlito" w:hAnsi="Carlito"/>
          <w:sz w:val="24"/>
          <w:szCs w:val="24"/>
          <w:highlight w:val="yellow"/>
        </w:rPr>
      </w:r>
    </w:p>
    <w:p>
      <w:pPr>
        <w:pStyle w:val="Nvel1SemNumerao"/>
        <w:numPr>
          <w:ilvl w:val="0"/>
          <w:numId w:val="0"/>
        </w:numPr>
        <w:shd w:val="clear" w:fill="FFFFFF"/>
        <w:ind w:left="720" w:right="0" w:hanging="0"/>
        <w:rPr/>
      </w:pPr>
      <w:r>
        <w:rPr>
          <w:rFonts w:ascii="Carlito" w:hAnsi="Carlito"/>
          <w:sz w:val="24"/>
          <w:szCs w:val="24"/>
        </w:rPr>
        <w:t xml:space="preserve">Cessão de </w:t>
      </w:r>
      <w:r>
        <w:rPr>
          <w:rFonts w:eastAsia="Arial" w:cs="Arial" w:ascii="Carlito" w:hAnsi="Carlito"/>
          <w:b w:val="false"/>
          <w:bCs w:val="false"/>
          <w:i w:val="false"/>
          <w:iCs w:val="false"/>
          <w:color w:val="auto"/>
          <w:kern w:val="0"/>
          <w:sz w:val="24"/>
          <w:szCs w:val="24"/>
          <w:lang w:val="pt-BR" w:eastAsia="en-US" w:bidi="ar-SA"/>
        </w:rPr>
        <w:t>Crédito</w:t>
      </w:r>
    </w:p>
    <w:p>
      <w:pPr>
        <w:pStyle w:val="Nvel02"/>
        <w:widowControl/>
        <w:numPr>
          <w:ilvl w:val="1"/>
          <w:numId w:val="2"/>
        </w:numPr>
        <w:shd w:val="clear" w:fill="FFFFFF"/>
        <w:suppressAutoHyphens w:val="true"/>
        <w:bidi w:val="0"/>
        <w:spacing w:lineRule="auto" w:line="276" w:before="0" w:after="0"/>
        <w:ind w:left="1077" w:right="0" w:hanging="510"/>
        <w:jc w:val="both"/>
        <w:rPr/>
      </w:pPr>
      <w:r>
        <w:rPr>
          <w:rFonts w:ascii="Carlito" w:hAnsi="Carlito"/>
          <w:sz w:val="24"/>
          <w:szCs w:val="24"/>
          <w:lang w:eastAsia="en-US"/>
        </w:rPr>
        <w:t>As cessões de crédito dependerão de prévia aprovação do Contratante.</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A eficácia da cessão de crédito, em relação à Administração, está condicionada à celebração de termo aditivo ao contrato administrativo.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pPr>
        <w:pStyle w:val="Nivel3"/>
        <w:widowControl/>
        <w:numPr>
          <w:ilvl w:val="1"/>
          <w:numId w:val="2"/>
        </w:numPr>
        <w:suppressAutoHyphens w:val="true"/>
        <w:bidi w:val="0"/>
        <w:spacing w:lineRule="auto" w:line="276" w:before="120" w:after="120"/>
        <w:ind w:left="0" w:right="0" w:firstLine="567"/>
        <w:jc w:val="both"/>
        <w:rPr>
          <w:rFonts w:ascii="Carlito" w:hAnsi="Carlito"/>
          <w:sz w:val="24"/>
          <w:szCs w:val="24"/>
          <w:lang w:eastAsia="en-US"/>
        </w:rPr>
      </w:pPr>
      <w:r>
        <w:rPr>
          <w:rFonts w:ascii="Carlito" w:hAnsi="Carlito"/>
          <w:sz w:val="24"/>
          <w:szCs w:val="24"/>
          <w:lang w:eastAsia="en-US"/>
        </w:rPr>
        <w:t>A cessão de crédito não afetará a execução do objeto contratado, que continuará sob a integral responsabilidade do Contratado.</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lang w:eastAsia="en-US"/>
        </w:rPr>
        <w:t>O disposto nesta seção não afeta as operações de crédito de que trata a Instrução Normativa SEGES/MGI nº 82, de 21 de fevereiro de 2025, as quais ficam por esta regidas.</w:t>
      </w:r>
    </w:p>
    <w:p>
      <w:pPr>
        <w:pStyle w:val="Nvel1SemNumerao"/>
        <w:numPr>
          <w:ilvl w:val="0"/>
          <w:numId w:val="0"/>
        </w:numPr>
        <w:shd w:val="clear" w:fill="FFFFFF"/>
        <w:ind w:left="1800" w:right="0" w:hanging="0"/>
        <w:jc w:val="both"/>
        <w:rPr>
          <w:rFonts w:ascii="Carlito" w:hAnsi="Carlito"/>
          <w:sz w:val="24"/>
          <w:szCs w:val="24"/>
          <w:highlight w:val="lightGray"/>
        </w:rPr>
      </w:pPr>
      <w:r>
        <w:rPr>
          <w:rFonts w:ascii="Carlito" w:hAnsi="Carlito"/>
          <w:sz w:val="24"/>
          <w:szCs w:val="24"/>
          <w:highlight w:val="lightGray"/>
        </w:rPr>
      </w:r>
    </w:p>
    <w:p>
      <w:pPr>
        <w:pStyle w:val="Nivel01"/>
        <w:widowControl/>
        <w:numPr>
          <w:ilvl w:val="0"/>
          <w:numId w:val="2"/>
        </w:numPr>
        <w:shd w:val="clear" w:fill="FFFFFF"/>
        <w:suppressAutoHyphens w:val="true"/>
        <w:bidi w:val="0"/>
        <w:spacing w:lineRule="auto" w:line="276" w:before="0" w:after="0"/>
        <w:ind w:left="0" w:right="0" w:hanging="0"/>
        <w:jc w:val="both"/>
        <w:rPr/>
      </w:pPr>
      <w:r>
        <w:rPr>
          <w:rFonts w:eastAsia="Arial" w:cs="Arial" w:ascii="Carlito" w:hAnsi="Carlito"/>
          <w:b/>
          <w:bCs/>
          <w:i w:val="false"/>
          <w:iCs/>
          <w:color w:val="000000"/>
          <w:kern w:val="0"/>
          <w:sz w:val="24"/>
          <w:szCs w:val="24"/>
          <w:lang w:val="pt-BR" w:eastAsia="pt-BR" w:bidi="ar-SA"/>
        </w:rPr>
        <w:t xml:space="preserve"> </w:t>
      </w:r>
      <w:r>
        <w:rPr>
          <w:rFonts w:eastAsia="Arial" w:cs="Arial" w:ascii="Carlito" w:hAnsi="Carlito"/>
          <w:b/>
          <w:bCs/>
          <w:i w:val="false"/>
          <w:iCs/>
          <w:color w:val="000000"/>
          <w:kern w:val="0"/>
          <w:sz w:val="24"/>
          <w:szCs w:val="24"/>
          <w:lang w:val="pt-BR" w:eastAsia="pt-BR" w:bidi="ar-SA"/>
        </w:rPr>
        <w:t>INFRAÇÕES</w:t>
      </w:r>
      <w:r>
        <w:rPr>
          <w:rFonts w:ascii="Carlito" w:hAnsi="Carlito"/>
          <w:sz w:val="24"/>
          <w:szCs w:val="24"/>
        </w:rPr>
        <w:t xml:space="preserve"> E SANÇÕES ADMINISTRATIVAS</w:t>
      </w:r>
    </w:p>
    <w:p>
      <w:pPr>
        <w:pStyle w:val="Nvel02"/>
        <w:widowControl/>
        <w:numPr>
          <w:ilvl w:val="1"/>
          <w:numId w:val="2"/>
        </w:numPr>
        <w:shd w:val="clear" w:fill="FFFFFF"/>
        <w:suppressAutoHyphens w:val="true"/>
        <w:bidi w:val="0"/>
        <w:spacing w:lineRule="auto" w:line="276" w:before="0" w:after="0"/>
        <w:ind w:left="57" w:right="0" w:firstLine="510"/>
        <w:jc w:val="both"/>
        <w:rPr/>
      </w:pPr>
      <w:r>
        <w:rPr>
          <w:rStyle w:val="Normaltextrun"/>
          <w:rFonts w:ascii="Carlito" w:hAnsi="Carlito"/>
          <w:color w:val="000000"/>
          <w:sz w:val="24"/>
          <w:szCs w:val="24"/>
        </w:rPr>
        <w:t xml:space="preserve">Comete </w:t>
      </w:r>
      <w:r>
        <w:rPr>
          <w:rFonts w:ascii="Carlito" w:hAnsi="Carlito"/>
          <w:sz w:val="24"/>
          <w:szCs w:val="24"/>
        </w:rPr>
        <w:t>infração</w:t>
      </w:r>
      <w:r>
        <w:rPr>
          <w:rStyle w:val="Normaltextrun"/>
          <w:rFonts w:ascii="Carlito" w:hAnsi="Carlito"/>
          <w:color w:val="000000"/>
          <w:sz w:val="24"/>
          <w:szCs w:val="24"/>
        </w:rPr>
        <w:t xml:space="preserve"> administrativa, nos termos da </w:t>
      </w:r>
      <w:r>
        <w:rPr>
          <w:rStyle w:val="Normaltextrun"/>
          <w:rFonts w:ascii="Carlito" w:hAnsi="Carlito"/>
          <w:sz w:val="24"/>
          <w:szCs w:val="24"/>
        </w:rPr>
        <w:t>Lei nº 14.133, de 2021</w:t>
      </w:r>
      <w:r>
        <w:rPr>
          <w:rStyle w:val="Normaltextrun"/>
          <w:rFonts w:ascii="Carlito" w:hAnsi="Carlito"/>
          <w:color w:val="000000"/>
          <w:sz w:val="24"/>
          <w:szCs w:val="24"/>
        </w:rPr>
        <w:t>, o Contratado que:</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parcial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parcial do contrato que cause grave dano à Administração ou ao funcionamento dos serviços públicos ou ao interesse coletivo;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der causa à inexecução total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ensejar o retardamento da execução ou da entrega do objeto da contratação sem motivo justificado;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apresentar documentação falsa ou prestar declaração falsa durante a execução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praticar ato fraudulento na execução do contrato;</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comportar-se de modo inidôneo ou cometer fraude de qualquer natureza;</w:t>
      </w:r>
    </w:p>
    <w:p>
      <w:pPr>
        <w:pStyle w:val="Paragraph"/>
        <w:widowControl/>
        <w:numPr>
          <w:ilvl w:val="2"/>
          <w:numId w:val="2"/>
        </w:numPr>
        <w:suppressAutoHyphens w:val="true"/>
        <w:bidi w:val="0"/>
        <w:spacing w:lineRule="auto" w:line="276" w:before="120" w:after="0"/>
        <w:ind w:left="0" w:right="0" w:firstLine="1134"/>
        <w:jc w:val="both"/>
        <w:textAlignment w:val="baseline"/>
        <w:rPr/>
      </w:pPr>
      <w:r>
        <w:rPr>
          <w:rStyle w:val="Normaltextrun"/>
          <w:rFonts w:cs="Arial" w:ascii="Carlito" w:hAnsi="Carlito"/>
          <w:sz w:val="24"/>
          <w:szCs w:val="24"/>
        </w:rPr>
        <w:t xml:space="preserve">   </w:t>
      </w:r>
      <w:r>
        <w:rPr>
          <w:rStyle w:val="Normaltextrun"/>
          <w:rFonts w:cs="Arial" w:ascii="Carlito" w:hAnsi="Carlito"/>
          <w:sz w:val="24"/>
          <w:szCs w:val="24"/>
        </w:rPr>
        <w:t>praticar ato lesivo previsto no art. 5º da Lei nº 12.846, de 1º de agosto de 2013.</w:t>
      </w:r>
    </w:p>
    <w:p>
      <w:pPr>
        <w:pStyle w:val="Paragraph"/>
        <w:widowControl/>
        <w:numPr>
          <w:ilvl w:val="0"/>
          <w:numId w:val="0"/>
        </w:numPr>
        <w:suppressAutoHyphens w:val="true"/>
        <w:bidi w:val="0"/>
        <w:spacing w:lineRule="auto" w:line="276" w:before="120" w:after="0"/>
        <w:ind w:left="1440" w:right="0" w:hanging="0"/>
        <w:jc w:val="both"/>
        <w:textAlignment w:val="baseline"/>
        <w:rPr>
          <w:rStyle w:val="Normaltextrun"/>
          <w:rFonts w:ascii="Carlito" w:hAnsi="Carlito" w:cs="Arial"/>
          <w:sz w:val="24"/>
          <w:szCs w:val="24"/>
        </w:rPr>
      </w:pPr>
      <w:r>
        <w:rPr>
          <w:rFonts w:cs="Arial" w:ascii="Carlito" w:hAnsi="Carlito"/>
          <w:sz w:val="24"/>
          <w:szCs w:val="24"/>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Serão aplicadas ao Contratado que incorrer nas infrações acima descritas as seguintes sanções: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Advertência, quando o Contratado der causa à inexecução parcial do contrato, sempre que não se justificar a imposição de penalidade mais grave;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Impedimento de licitar e contratar, quando praticadas as condutas descritas nas alíneas “b”, “c” e “d” do subitem acima, sempre que não se justificar a imposição de penalidade mais grave;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color w:val="000000"/>
          <w:sz w:val="24"/>
          <w:szCs w:val="24"/>
        </w:rPr>
        <w:t xml:space="preserve">   </w:t>
      </w:r>
      <w:r>
        <w:rPr>
          <w:rStyle w:val="Normaltextrun"/>
          <w:rFonts w:cs="Arial" w:ascii="Carlito" w:hAnsi="Carlito"/>
          <w:color w:val="000000"/>
          <w:sz w:val="24"/>
          <w:szCs w:val="24"/>
        </w:rPr>
        <w:t>Declaração de inidoneidade para licitar e contratar, quando praticadas as condutas descritas nas alíneas “e”, “f”, “g” e “h” do subitem acima, bem como nas alíneas “b”, “c” e “d”, que justifiquem a imposição de penalidade mais grave.</w:t>
      </w:r>
    </w:p>
    <w:p>
      <w:pPr>
        <w:pStyle w:val="Nivel3"/>
        <w:widowControl/>
        <w:suppressAutoHyphens w:val="true"/>
        <w:bidi w:val="0"/>
        <w:spacing w:lineRule="auto" w:line="276" w:before="120" w:after="120"/>
        <w:ind w:left="0" w:right="0" w:hanging="0"/>
        <w:jc w:val="both"/>
        <w:rPr/>
      </w:pPr>
      <w:r>
        <w:rPr>
          <w:rStyle w:val="Normaltextrun"/>
          <w:rFonts w:eastAsia="Arial" w:cs="Arial" w:ascii="Carlito" w:hAnsi="Carlito"/>
          <w:b/>
          <w:i w:val="false"/>
          <w:iCs/>
          <w:color w:val="000000"/>
          <w:kern w:val="0"/>
          <w:sz w:val="24"/>
          <w:szCs w:val="24"/>
          <w:lang w:val="pt-BR" w:eastAsia="pt-BR" w:bidi="ar-SA"/>
        </w:rPr>
        <w:t>Multa:</w:t>
      </w:r>
    </w:p>
    <w:p>
      <w:pPr>
        <w:pStyle w:val="Nivel3"/>
        <w:widowControl/>
        <w:suppressAutoHyphens w:val="true"/>
        <w:bidi w:val="0"/>
        <w:spacing w:lineRule="auto" w:line="276" w:before="0" w:after="0"/>
        <w:ind w:left="0" w:right="0" w:hanging="0"/>
        <w:jc w:val="both"/>
        <w:rPr/>
      </w:pPr>
      <w:r>
        <w:rPr>
          <w:rFonts w:eastAsia="Arial" w:cs="Arial" w:ascii="Carlito" w:hAnsi="Carlito"/>
          <w:i w:val="false"/>
          <w:iCs/>
          <w:color w:val="000000"/>
          <w:kern w:val="0"/>
          <w:sz w:val="24"/>
          <w:szCs w:val="24"/>
          <w:lang w:val="pt-BR" w:eastAsia="pt-BR" w:bidi="ar-SA"/>
        </w:rPr>
        <w:t>A aplicação das sanções previstas neste Termo de Referência não exclui, em hipótese alguma, a obrigação de reparação integral do dano causado ao Contratante.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Todas as sanções previstas neste Termo de Referência poderão ser aplicadas cumulativamente com a multa.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Antes da aplicação da multa será facultada a defesa do interessado no prazo de 15 (quinze) dias úteis, contado da data de sua intimação.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multa poderá ser recolhida administrativamente no prazo máximo de 60 (sessenta) dias, a contar da data do recebimento da comunicação enviada pela autoridade competente.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ivel3"/>
        <w:widowControl/>
        <w:numPr>
          <w:ilvl w:val="1"/>
          <w:numId w:val="2"/>
        </w:numPr>
        <w:suppressAutoHyphens w:val="true"/>
        <w:bidi w:val="0"/>
        <w:spacing w:lineRule="auto" w:line="276" w:before="120" w:after="120"/>
        <w:ind w:left="0" w:right="0" w:firstLine="567"/>
        <w:jc w:val="both"/>
        <w:rPr/>
      </w:pPr>
      <w:r>
        <w:rPr>
          <w:rStyle w:val="Normaltextrun"/>
          <w:rFonts w:ascii="Carlito" w:hAnsi="Carlito"/>
          <w:sz w:val="24"/>
          <w:szCs w:val="24"/>
        </w:rPr>
        <w:t>Para a garantia da ampla defesa e contraditório, as notificações serão enviadas eletronicamente para os endereços de e-mail informados na proposta comercial, bem como os cadastrados pela empresa no SICAF.</w:t>
      </w:r>
    </w:p>
    <w:p>
      <w:pPr>
        <w:pStyle w:val="Nivel3"/>
        <w:widowControl/>
        <w:numPr>
          <w:ilvl w:val="1"/>
          <w:numId w:val="2"/>
        </w:numPr>
        <w:suppressAutoHyphens w:val="true"/>
        <w:bidi w:val="0"/>
        <w:spacing w:lineRule="auto" w:line="276" w:before="120" w:after="120"/>
        <w:ind w:left="0" w:right="0" w:firstLine="567"/>
        <w:jc w:val="both"/>
        <w:rPr/>
      </w:pPr>
      <w:r>
        <w:rPr>
          <w:rStyle w:val="Normaltextrun"/>
          <w:rFonts w:ascii="Carlito" w:hAnsi="Carlito"/>
          <w:sz w:val="24"/>
          <w:szCs w:val="24"/>
        </w:rPr>
        <w:t>Os endereços de e-mail informados na proposta comercial e/ou cadastrados no SICAF serão considerados de uso contínuo da empresa, não cabendo alegação de desconhecimento das comunicações a eles comprovadamente enviadas.</w:t>
      </w:r>
    </w:p>
    <w:p>
      <w:pPr>
        <w:pStyle w:val="Nvel02"/>
        <w:numPr>
          <w:ilvl w:val="1"/>
          <w:numId w:val="2"/>
        </w:numPr>
        <w:shd w:val="clear" w:fill="FFFFFF"/>
        <w:ind w:left="1080" w:right="0" w:hanging="360"/>
        <w:rPr/>
      </w:pPr>
      <w:r>
        <w:rPr>
          <w:rStyle w:val="Normaltextrun"/>
          <w:rFonts w:ascii="Carlito" w:hAnsi="Carlito"/>
          <w:color w:val="000000"/>
          <w:sz w:val="24"/>
          <w:szCs w:val="24"/>
        </w:rPr>
        <w:t xml:space="preserve">Na aplicação </w:t>
      </w:r>
      <w:r>
        <w:rPr>
          <w:rFonts w:ascii="Carlito" w:hAnsi="Carlito"/>
          <w:sz w:val="24"/>
          <w:szCs w:val="24"/>
        </w:rPr>
        <w:t>das</w:t>
      </w:r>
      <w:r>
        <w:rPr>
          <w:rStyle w:val="Normaltextrun"/>
          <w:rFonts w:ascii="Carlito" w:hAnsi="Carlito"/>
          <w:color w:val="000000"/>
          <w:sz w:val="24"/>
          <w:szCs w:val="24"/>
        </w:rPr>
        <w:t xml:space="preserve"> sanções serão considerados: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 natureza e a gravidade da infração cometida;</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as peculiaridades do caso concreto;</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as circunstâncias agravantes ou atenuantes;</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os danos que dela provierem para o Contratante; e</w:t>
      </w:r>
    </w:p>
    <w:p>
      <w:pPr>
        <w:pStyle w:val="Nivel3"/>
        <w:widowControl/>
        <w:numPr>
          <w:ilvl w:val="2"/>
          <w:numId w:val="2"/>
        </w:numPr>
        <w:suppressAutoHyphens w:val="true"/>
        <w:bidi w:val="0"/>
        <w:spacing w:lineRule="auto" w:line="276" w:before="120" w:after="120"/>
        <w:ind w:left="0" w:right="0" w:firstLine="1134"/>
        <w:jc w:val="both"/>
        <w:rPr/>
      </w:pPr>
      <w:r>
        <w:rPr>
          <w:rStyle w:val="Normaltextrun"/>
          <w:rFonts w:cs="Arial" w:ascii="Carlito" w:hAnsi="Carlito"/>
          <w:sz w:val="24"/>
          <w:szCs w:val="24"/>
        </w:rPr>
        <w:t>a implantação ou o aperfeiçoamento de programa de integridade, conforme normas e orientações dos órgãos de controle.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O Contratante deverá, no prazo máximo de 15 (quinze) dias úteis, contado da data de aplicação da sanção, informar e manter atualizados os dados relativos às sanções por ela aplicadas, para fins de publicidade no Cadastro Nacional de Empresas Inidôneas e Suspensas</w:t>
      </w:r>
      <w:r>
        <w:rPr>
          <w:rStyle w:val="Normaltextrun"/>
          <w:rFonts w:ascii="Carlito" w:hAnsi="Carlito"/>
          <w:color w:val="000000"/>
          <w:sz w:val="24"/>
          <w:szCs w:val="24"/>
        </w:rPr>
        <w:t xml:space="preserve"> (CEIS) e no Cadastro Nacional de Empresas Punidas (CNEP), instituídos no âmbito do Poder Executivo Federal.</w:t>
      </w:r>
    </w:p>
    <w:p>
      <w:pPr>
        <w:pStyle w:val="Nivel3"/>
        <w:widowControl/>
        <w:numPr>
          <w:ilvl w:val="1"/>
          <w:numId w:val="2"/>
        </w:numPr>
        <w:suppressAutoHyphens w:val="true"/>
        <w:bidi w:val="0"/>
        <w:spacing w:lineRule="auto" w:line="276" w:before="120" w:after="120"/>
        <w:ind w:left="0" w:right="0" w:firstLine="510"/>
        <w:jc w:val="both"/>
        <w:rPr>
          <w:rFonts w:ascii="Carlito" w:hAnsi="Carlito" w:eastAsia="ＭＳ 明朝"/>
          <w:sz w:val="24"/>
          <w:szCs w:val="24"/>
        </w:rPr>
      </w:pPr>
      <w:r>
        <w:rPr>
          <w:rFonts w:eastAsia="ＭＳ 明朝" w:ascii="Carlito" w:hAnsi="Carlito"/>
          <w:sz w:val="24"/>
          <w:szCs w:val="24"/>
        </w:rPr>
        <w:t>As penalidades serão obrigatoriamente registradas no SICAF.</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As sanções de impedimento de licitar e contratar e declaração de inidoneidade para licitar ou contratar são passíveis de reabilitação na forma do art. 163 da Lei nº 14.133, de 2021.</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pPr>
        <w:pStyle w:val="Nvel02"/>
        <w:numPr>
          <w:ilvl w:val="0"/>
          <w:numId w:val="0"/>
        </w:numPr>
        <w:shd w:val="clear" w:fill="FFFFFF"/>
        <w:ind w:left="2633" w:right="0" w:hanging="0"/>
        <w:jc w:val="both"/>
        <w:rPr>
          <w:rFonts w:ascii="Carlito" w:hAnsi="Carlito"/>
          <w:sz w:val="24"/>
          <w:szCs w:val="24"/>
        </w:rPr>
      </w:pPr>
      <w:r>
        <w:rPr>
          <w:rFonts w:ascii="Carlito" w:hAnsi="Carlito"/>
          <w:sz w:val="24"/>
          <w:szCs w:val="24"/>
        </w:rPr>
      </w:r>
    </w:p>
    <w:p>
      <w:pPr>
        <w:pStyle w:val="Nivel01"/>
        <w:numPr>
          <w:ilvl w:val="0"/>
          <w:numId w:val="2"/>
        </w:numPr>
        <w:shd w:val="clear" w:fill="FFFFFF"/>
        <w:ind w:left="357" w:right="0" w:hanging="357"/>
        <w:jc w:val="both"/>
        <w:rPr>
          <w:rFonts w:ascii="Carlito" w:hAnsi="Carlito"/>
          <w:sz w:val="24"/>
          <w:szCs w:val="24"/>
        </w:rPr>
      </w:pPr>
      <w:r>
        <w:rPr>
          <w:rFonts w:ascii="Carlito" w:hAnsi="Carlito"/>
          <w:sz w:val="24"/>
          <w:szCs w:val="24"/>
        </w:rPr>
        <w:t>FORMA E CRITÉRIOS DE SELEÇÃO DO FORNECEDOR E REGIME DE EXECUÇÃO</w:t>
      </w:r>
    </w:p>
    <w:p>
      <w:pPr>
        <w:pStyle w:val="Nvel1SemNumerao"/>
        <w:numPr>
          <w:ilvl w:val="0"/>
          <w:numId w:val="0"/>
        </w:numPr>
        <w:shd w:val="clear" w:fill="FFFFFF"/>
        <w:ind w:left="720" w:right="0" w:hanging="0"/>
        <w:rPr/>
      </w:pPr>
      <w:r>
        <w:rPr>
          <w:rFonts w:ascii="Carlito" w:hAnsi="Carlito"/>
          <w:sz w:val="24"/>
          <w:szCs w:val="24"/>
        </w:rPr>
        <w:t xml:space="preserve">Forma de seleção e critério </w:t>
      </w:r>
      <w:r>
        <w:rPr>
          <w:rFonts w:eastAsia="Arial" w:cs="Arial" w:ascii="Carlito" w:hAnsi="Carlito"/>
          <w:b w:val="false"/>
          <w:bCs w:val="false"/>
          <w:i w:val="false"/>
          <w:iCs w:val="false"/>
          <w:color w:val="auto"/>
          <w:kern w:val="0"/>
          <w:sz w:val="24"/>
          <w:szCs w:val="24"/>
          <w:lang w:val="pt-BR" w:eastAsia="en-US" w:bidi="ar-SA"/>
        </w:rPr>
        <w:t>de</w:t>
      </w:r>
      <w:r>
        <w:rPr>
          <w:rFonts w:ascii="Carlito" w:hAnsi="Carlito"/>
          <w:sz w:val="24"/>
          <w:szCs w:val="24"/>
        </w:rPr>
        <w:t xml:space="preserve"> julgamento da proposta</w:t>
      </w:r>
    </w:p>
    <w:p>
      <w:pPr>
        <w:pStyle w:val="Nvel2Opcional1"/>
        <w:widowControl/>
        <w:numPr>
          <w:ilvl w:val="1"/>
          <w:numId w:val="2"/>
        </w:numPr>
        <w:shd w:val="clear" w:fill="FFFFFF"/>
        <w:tabs>
          <w:tab w:val="left" w:pos="735" w:leader="none"/>
          <w:tab w:val="left" w:pos="1140" w:leader="none"/>
        </w:tabs>
        <w:suppressAutoHyphens w:val="true"/>
        <w:bidi w:val="0"/>
        <w:spacing w:lineRule="auto" w:line="276" w:before="0" w:after="0"/>
        <w:ind w:left="0" w:right="0" w:firstLine="567"/>
        <w:jc w:val="both"/>
        <w:rPr>
          <w:rFonts w:ascii="Carlito" w:hAnsi="Carlito"/>
          <w:color w:val="000000"/>
          <w:sz w:val="24"/>
          <w:szCs w:val="24"/>
        </w:rPr>
      </w:pPr>
      <w:r>
        <w:rPr>
          <w:rFonts w:ascii="Carlito" w:hAnsi="Carlito"/>
          <w:color w:val="000000"/>
          <w:sz w:val="24"/>
          <w:szCs w:val="24"/>
        </w:rPr>
        <w:t>O fornecedor será selecionado por meio de DISPENSA DE LICITAÇÃO, na forma eletrônica, com disputa, nos termos do art. 75, inciso II, da Lei nº 14.133/2021,</w:t>
      </w:r>
      <w:r>
        <w:rPr>
          <w:rFonts w:ascii="Carlito" w:hAnsi="Carlito"/>
          <w:color w:val="000000"/>
          <w:sz w:val="24"/>
          <w:szCs w:val="24"/>
        </w:rPr>
        <w:t xml:space="preserve"> com adoção do critério de julgamento pelo MENOR PREÇO.</w:t>
      </w:r>
      <w:bookmarkStart w:id="4" w:name="_Hlk171371350"/>
      <w:bookmarkStart w:id="5" w:name="_Hlk171371336"/>
      <w:bookmarkEnd w:id="4"/>
      <w:bookmarkEnd w:id="5"/>
    </w:p>
    <w:p>
      <w:pPr>
        <w:pStyle w:val="Nvel2Opcional1"/>
        <w:numPr>
          <w:ilvl w:val="0"/>
          <w:numId w:val="0"/>
        </w:numPr>
        <w:shd w:val="clear" w:fill="FFFFFF"/>
        <w:ind w:left="1913" w:right="0" w:hanging="0"/>
        <w:jc w:val="both"/>
        <w:rPr>
          <w:rFonts w:ascii="Carlito" w:hAnsi="Carlito"/>
          <w:sz w:val="24"/>
          <w:szCs w:val="24"/>
          <w:highlight w:val="cyan"/>
        </w:rPr>
      </w:pPr>
      <w:r>
        <w:rPr>
          <w:rFonts w:ascii="Carlito" w:hAnsi="Carlito"/>
          <w:sz w:val="24"/>
          <w:szCs w:val="24"/>
          <w:highlight w:val="cyan"/>
        </w:rPr>
      </w:r>
      <w:bookmarkStart w:id="6" w:name="_Hlk190336520"/>
      <w:bookmarkStart w:id="7" w:name="_Hlk170893696"/>
      <w:bookmarkStart w:id="8" w:name="_Hlk190336520"/>
      <w:bookmarkStart w:id="9" w:name="_Hlk170893696"/>
      <w:bookmarkEnd w:id="8"/>
      <w:bookmarkEnd w:id="9"/>
    </w:p>
    <w:p>
      <w:pPr>
        <w:pStyle w:val="Nvel1SemNumerao"/>
        <w:numPr>
          <w:ilvl w:val="0"/>
          <w:numId w:val="0"/>
        </w:numPr>
        <w:shd w:val="clear" w:fill="FFFFFF"/>
        <w:ind w:left="720" w:right="0" w:hanging="0"/>
        <w:rPr/>
      </w:pPr>
      <w:r>
        <w:rPr>
          <w:rFonts w:ascii="Carlito" w:hAnsi="Carlito"/>
          <w:sz w:val="24"/>
          <w:szCs w:val="24"/>
        </w:rPr>
        <w:t xml:space="preserve">Exigências de </w:t>
      </w:r>
      <w:r>
        <w:rPr>
          <w:rFonts w:eastAsia="Arial" w:cs="Arial" w:ascii="Carlito" w:hAnsi="Carlito"/>
          <w:b w:val="false"/>
          <w:bCs w:val="false"/>
          <w:i w:val="false"/>
          <w:iCs w:val="false"/>
          <w:color w:val="auto"/>
          <w:kern w:val="0"/>
          <w:sz w:val="24"/>
          <w:szCs w:val="24"/>
          <w:lang w:val="pt-BR" w:eastAsia="en-US" w:bidi="ar-SA"/>
        </w:rPr>
        <w:t>habilitação</w:t>
      </w:r>
    </w:p>
    <w:p>
      <w:pPr>
        <w:pStyle w:val="Nvel02"/>
        <w:numPr>
          <w:ilvl w:val="1"/>
          <w:numId w:val="2"/>
        </w:numPr>
        <w:shd w:val="clear" w:fill="FFFFFF"/>
        <w:ind w:left="1080" w:right="0" w:hanging="360"/>
        <w:rPr/>
      </w:pPr>
      <w:r>
        <w:rPr>
          <w:rFonts w:ascii="Carlito" w:hAnsi="Carlito"/>
          <w:sz w:val="24"/>
          <w:szCs w:val="24"/>
        </w:rPr>
        <w:t>Para fins de habilitação, deverá o interessado comprovar os seguintes requisitos:</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sz w:val="24"/>
          <w:szCs w:val="24"/>
        </w:rPr>
      </w:pPr>
      <w:r>
        <w:rPr>
          <w:rFonts w:ascii="Carlito" w:hAnsi="Carlito"/>
          <w:sz w:val="24"/>
          <w:szCs w:val="24"/>
        </w:rPr>
      </w:r>
    </w:p>
    <w:p>
      <w:pPr>
        <w:pStyle w:val="Nvel1SemNumerao"/>
        <w:numPr>
          <w:ilvl w:val="0"/>
          <w:numId w:val="0"/>
        </w:numPr>
        <w:shd w:val="clear" w:fill="FFFFFF"/>
        <w:ind w:left="720" w:right="0" w:hanging="0"/>
        <w:rPr/>
      </w:pPr>
      <w:r>
        <w:rPr>
          <w:rFonts w:ascii="Carlito" w:hAnsi="Carlito"/>
          <w:sz w:val="24"/>
          <w:szCs w:val="24"/>
        </w:rPr>
        <w:t xml:space="preserve">Habilitação </w:t>
      </w:r>
      <w:r>
        <w:rPr>
          <w:rFonts w:eastAsia="Arial" w:cs="Arial" w:ascii="Carlito" w:hAnsi="Carlito"/>
          <w:b w:val="false"/>
          <w:bCs w:val="false"/>
          <w:i w:val="false"/>
          <w:iCs w:val="false"/>
          <w:color w:val="auto"/>
          <w:kern w:val="0"/>
          <w:sz w:val="24"/>
          <w:szCs w:val="24"/>
          <w:lang w:val="pt-BR" w:eastAsia="en-US" w:bidi="ar-SA"/>
        </w:rPr>
        <w:t>jurídica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P</w:t>
      </w:r>
      <w:bookmarkStart w:id="10" w:name="_Ref115800561"/>
      <w:r>
        <w:rPr>
          <w:rFonts w:eastAsia="Arial" w:cs="Arial" w:ascii="Carlito" w:hAnsi="Carlito"/>
          <w:i w:val="false"/>
          <w:iCs/>
          <w:color w:val="000000"/>
          <w:kern w:val="0"/>
          <w:sz w:val="24"/>
          <w:szCs w:val="24"/>
          <w:lang w:val="pt-BR" w:eastAsia="pt-BR" w:bidi="ar-SA"/>
        </w:rPr>
        <w:t>essoa física: cédula de identidade (RG) ou documento equivalente que, por força de lei, tenha validade para fins de identificação em todo o território nacional;</w:t>
      </w:r>
      <w:bookmarkEnd w:id="10"/>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Empresário individual: inscrição no Registro Público de Empresas Mercantis, a cargo da Junta Comercial da respectiva sede;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Microempreendedor Individual - MEI: Certificado da Condição de Microempreendedor Individual - CCMEI, cuja aceitação ficará condicionada à verificação da autenticidade no sítio https://www.gov.br/empresas-e-negocios/pt-br/empreendedor;</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Sociedade simples: inscrição do ato constitutivo no Registro Civil de Pessoas Jurídicas do local de sua sede, acompanhada de documento comprobatório de seus administradores;</w:t>
      </w:r>
    </w:p>
    <w:p>
      <w:pPr>
        <w:pStyle w:val="Nvel02"/>
        <w:widowControl/>
        <w:numPr>
          <w:ilvl w:val="2"/>
          <w:numId w:val="2"/>
        </w:numPr>
        <w:shd w:val="clear" w:fill="FFFFFF"/>
        <w:suppressAutoHyphens w:val="true"/>
        <w:bidi w:val="0"/>
        <w:spacing w:lineRule="auto" w:line="276" w:before="0" w:after="0"/>
        <w:ind w:left="0" w:right="0" w:firstLine="1134"/>
        <w:jc w:val="both"/>
        <w:rPr/>
      </w:pPr>
      <w:r>
        <w:rPr>
          <w:rFonts w:ascii="Carlito" w:hAnsi="Carlito"/>
          <w:sz w:val="24"/>
          <w:szCs w:val="24"/>
        </w:rPr>
        <w:t xml:space="preserve"> </w:t>
      </w:r>
      <w:r>
        <w:rPr>
          <w:rFonts w:ascii="Carlito" w:hAnsi="Carli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 w:name="_Int_ySfCXwr4"/>
      <w:r>
        <w:rPr>
          <w:rFonts w:ascii="Carlito" w:hAnsi="Carlito"/>
          <w:sz w:val="24"/>
          <w:szCs w:val="24"/>
        </w:rPr>
        <w:t>Mercantis onde</w:t>
      </w:r>
      <w:bookmarkEnd w:id="11"/>
      <w:r>
        <w:rPr>
          <w:rFonts w:ascii="Carlito" w:hAnsi="Carlito"/>
          <w:sz w:val="24"/>
          <w:szCs w:val="24"/>
        </w:rPr>
        <w:t xml:space="preserve"> opera, com averbação no Registro onde tem sede a matriz;</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documentos apresentados deverão estar acompanhados de todas as alterações ou da consolidação respectiva.</w:t>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Habilitação fiscal, social e trabalhista</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Prova de inscrição no Cadastro Nacional de Pessoas Jurídicas ou no Cadastro de Pessoas Físicas, conforme o caso;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 </w:t>
      </w:r>
      <w:r>
        <w:rPr>
          <w:rFonts w:eastAsia="Arial" w:cs="Arial" w:ascii="Carlito" w:hAnsi="Carlito"/>
          <w:i w:val="false"/>
          <w:iCs/>
          <w:color w:val="000000"/>
          <w:kern w:val="0"/>
          <w:sz w:val="24"/>
          <w:szCs w:val="24"/>
          <w:lang w:val="pt-BR" w:eastAsia="pt-BR" w:bidi="ar-S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regularidade com o Fundo de Garantia do Tempo de Serviço (FGTS);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inscrição no cadastro de contribuintes Distrital ou Municipal relativo ao domicílio ou sede do fornecedor, pertinente ao seu ramo de atividade e compatível com o objeto contratual;</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Prova de regularidade com a Fazenda Distrital ou Municipal do domicílio ou sede do fornecedor, relativa à atividade em cujo exercício contrata ou concorre;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02"/>
        <w:widowControl/>
        <w:numPr>
          <w:ilvl w:val="0"/>
          <w:numId w:val="0"/>
        </w:numPr>
        <w:shd w:val="clear" w:fill="FFFFFF"/>
        <w:suppressAutoHyphens w:val="true"/>
        <w:bidi w:val="0"/>
        <w:spacing w:lineRule="auto" w:line="276" w:before="0" w:after="0"/>
        <w:ind w:left="108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Qualificação Econômico-Financeira</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certidão negativa de insolvência civil expedida pelo distribuidor do domicílio ou sede do interessado, caso se trate de pessoa física, desde que admitida a sua participação na licitação/contratação, ou de sociedade simples;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certidão negativa de falência expedida pelo distribuidor da sede do fornecedor;</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bookmarkStart w:id="12" w:name="_Hlk170895502"/>
      <w:bookmarkEnd w:id="12"/>
      <w:r>
        <w:rPr>
          <w:rFonts w:eastAsia="Arial" w:cs="Arial" w:ascii="Carlito" w:hAnsi="Carlito"/>
          <w:i w:val="false"/>
          <w:iCs/>
          <w:color w:val="000000"/>
          <w:kern w:val="0"/>
          <w:sz w:val="24"/>
          <w:szCs w:val="24"/>
          <w:lang w:val="pt-BR" w:eastAsia="pt-BR" w:bidi="ar-SA"/>
        </w:rPr>
        <w:t xml:space="preserve">balanço patrimonial, demonstração de resultado de exercício e demais demonstrações contábeis dos dois últimos exercícios sociais, já exigíveis e apresentados na forma da lei, comprovando, índices de Liquidez Geral (LG), Liquidez Corrente (LC), e Solvência Geral (SG) superiores a 1 (um), obtidos por meio da aplicação das seguintes fórmulas: </w:t>
      </w:r>
    </w:p>
    <w:p>
      <w:pPr>
        <w:pStyle w:val="Nvel02"/>
        <w:widowControl/>
        <w:numPr>
          <w:ilvl w:val="0"/>
          <w:numId w:val="0"/>
        </w:numPr>
        <w:shd w:val="clear" w:fill="FFFFFF"/>
        <w:suppressAutoHyphens w:val="true"/>
        <w:bidi w:val="0"/>
        <w:spacing w:lineRule="auto" w:line="276" w:before="0" w:after="0"/>
        <w:ind w:left="0" w:right="0" w:firstLine="567"/>
        <w:jc w:val="both"/>
        <w:rPr>
          <w:rFonts w:eastAsia="Arial" w:cs="Arial"/>
          <w:i w:val="false"/>
          <w:i w:val="false"/>
          <w:iCs/>
          <w:color w:val="000000"/>
          <w:kern w:val="0"/>
          <w:lang w:val="pt-BR" w:eastAsia="pt-BR" w:bidi="ar-SA"/>
        </w:rPr>
      </w:pPr>
      <w:r>
        <w:rPr>
          <w:rFonts w:eastAsia="Arial" w:cs="Arial"/>
          <w:i w:val="false"/>
          <w:iCs/>
          <w:color w:val="000000"/>
          <w:kern w:val="0"/>
          <w:lang w:val="pt-BR" w:eastAsia="pt-BR" w:bidi="ar-SA"/>
        </w:rPr>
      </w:r>
    </w:p>
    <w:tbl>
      <w:tblPr>
        <w:tblStyle w:val="Tabelacomgrade"/>
        <w:tblW w:w="6487" w:type="dxa"/>
        <w:jc w:val="left"/>
        <w:tblInd w:w="1277" w:type="dxa"/>
        <w:tblLayout w:type="fixed"/>
        <w:tblCellMar>
          <w:top w:w="0" w:type="dxa"/>
          <w:left w:w="143" w:type="dxa"/>
          <w:bottom w:w="0" w:type="dxa"/>
          <w:right w:w="108" w:type="dxa"/>
        </w:tblCellMar>
        <w:tblLook w:val="04a0" w:noHBand="0" w:noVBand="1" w:firstColumn="1" w:lastRow="0" w:lastColumn="0" w:firstRow="1"/>
      </w:tblPr>
      <w:tblGrid>
        <w:gridCol w:w="2234"/>
        <w:gridCol w:w="4252"/>
      </w:tblGrid>
      <w:tr>
        <w:trPr/>
        <w:tc>
          <w:tcPr>
            <w:tcW w:w="2234" w:type="dxa"/>
            <w:vMerge w:val="restart"/>
            <w:tcBorders/>
            <w:shd w:fill="auto" w:val="clear"/>
            <w:vAlign w:val="center"/>
          </w:tcPr>
          <w:p>
            <w:pPr>
              <w:pStyle w:val="Nvel02"/>
              <w:widowControl w:val="false"/>
              <w:numPr>
                <w:ilvl w:val="0"/>
                <w:numId w:val="0"/>
              </w:numPr>
              <w:shd w:val="clear" w:fill="FFFFFF"/>
              <w:spacing w:before="120" w:after="120"/>
              <w:ind w:left="833" w:right="0" w:hanging="0"/>
              <w:rPr>
                <w:color w:val="000000"/>
              </w:rPr>
            </w:pPr>
            <w:r>
              <w:rPr>
                <w:color w:val="000000"/>
              </w:rPr>
              <w:t>LG =</w:t>
            </w:r>
          </w:p>
        </w:tc>
        <w:tc>
          <w:tcPr>
            <w:tcW w:w="4252" w:type="dxa"/>
            <w:tcBorders/>
            <w:shd w:fill="auto" w:val="clear"/>
            <w:vAlign w:val="bottom"/>
          </w:tcPr>
          <w:p>
            <w:pPr>
              <w:pStyle w:val="Nvel02"/>
              <w:widowControl w:val="false"/>
              <w:numPr>
                <w:ilvl w:val="0"/>
                <w:numId w:val="0"/>
              </w:numPr>
              <w:shd w:val="clear" w:fill="FFFFFF"/>
              <w:spacing w:before="120" w:after="120"/>
              <w:ind w:left="833" w:right="0" w:hanging="0"/>
              <w:rPr>
                <w:color w:val="000000"/>
              </w:rPr>
            </w:pPr>
            <w:r>
              <w:rPr>
                <w:color w:val="000000"/>
              </w:rPr>
              <w:t>Ativo Circulante + Realizável a Longo Prazo</w:t>
            </w:r>
          </w:p>
        </w:tc>
      </w:tr>
      <w:tr>
        <w:trPr/>
        <w:tc>
          <w:tcPr>
            <w:tcW w:w="2234" w:type="dxa"/>
            <w:vMerge w:val="continue"/>
            <w:tcBorders/>
            <w:shd w:fill="auto" w:val="clear"/>
          </w:tcPr>
          <w:p>
            <w:pPr>
              <w:pStyle w:val="Normal"/>
              <w:widowControl w:val="false"/>
              <w:rPr/>
            </w:pPr>
            <w:r>
              <w:rPr/>
            </w:r>
          </w:p>
        </w:tc>
        <w:tc>
          <w:tcPr>
            <w:tcW w:w="4252" w:type="dxa"/>
            <w:tcBorders/>
            <w:shd w:fill="auto" w:val="clear"/>
          </w:tcPr>
          <w:p>
            <w:pPr>
              <w:pStyle w:val="Nvel02"/>
              <w:widowControl w:val="false"/>
              <w:numPr>
                <w:ilvl w:val="0"/>
                <w:numId w:val="0"/>
              </w:numPr>
              <w:shd w:val="clear" w:fill="FFFFFF"/>
              <w:spacing w:before="120" w:after="120"/>
              <w:ind w:left="833" w:right="0" w:hanging="0"/>
              <w:rPr>
                <w:color w:val="000000"/>
              </w:rPr>
            </w:pPr>
            <w:r>
              <w:rPr>
                <w:color w:val="000000"/>
              </w:rPr>
              <w:t>Passivo Circulante + Passivo Não Circulante</w:t>
            </w:r>
          </w:p>
        </w:tc>
      </w:tr>
    </w:tbl>
    <w:p>
      <w:pPr>
        <w:pStyle w:val="Normal"/>
        <w:widowControl/>
        <w:numPr>
          <w:ilvl w:val="0"/>
          <w:numId w:val="0"/>
        </w:numPr>
        <w:suppressAutoHyphens w:val="true"/>
        <w:bidi w:val="0"/>
        <w:spacing w:lineRule="auto" w:line="276" w:before="0" w:after="0"/>
        <w:ind w:left="0" w:right="0" w:firstLine="567"/>
        <w:jc w:val="both"/>
        <w:rPr>
          <w:rFonts w:eastAsia="Arial" w:cs="Arial"/>
          <w:i w:val="false"/>
          <w:i w:val="false"/>
          <w:iCs/>
          <w:color w:val="000000"/>
          <w:kern w:val="0"/>
          <w:lang w:val="pt-BR" w:eastAsia="pt-BR" w:bidi="ar-SA"/>
        </w:rPr>
      </w:pPr>
      <w:r>
        <w:rPr>
          <w:rFonts w:eastAsia="Arial" w:cs="Arial"/>
          <w:i w:val="false"/>
          <w:iCs/>
          <w:color w:val="000000"/>
          <w:kern w:val="0"/>
          <w:lang w:val="pt-BR" w:eastAsia="pt-BR" w:bidi="ar-SA"/>
        </w:rPr>
      </w:r>
    </w:p>
    <w:tbl>
      <w:tblPr>
        <w:tblStyle w:val="Tabelacomgrade"/>
        <w:tblW w:w="6629" w:type="dxa"/>
        <w:jc w:val="left"/>
        <w:tblInd w:w="1277" w:type="dxa"/>
        <w:tblLayout w:type="fixed"/>
        <w:tblCellMar>
          <w:top w:w="0" w:type="dxa"/>
          <w:left w:w="143" w:type="dxa"/>
          <w:bottom w:w="0" w:type="dxa"/>
          <w:right w:w="108" w:type="dxa"/>
        </w:tblCellMar>
        <w:tblLook w:val="04a0" w:noHBand="0" w:noVBand="1" w:firstColumn="1" w:lastRow="0" w:lastColumn="0" w:firstRow="1"/>
      </w:tblPr>
      <w:tblGrid>
        <w:gridCol w:w="2233"/>
        <w:gridCol w:w="4395"/>
      </w:tblGrid>
      <w:tr>
        <w:trPr>
          <w:cantSplit w:val="true"/>
        </w:trPr>
        <w:tc>
          <w:tcPr>
            <w:tcW w:w="2233" w:type="dxa"/>
            <w:vMerge w:val="restart"/>
            <w:tcBorders/>
            <w:shd w:fill="auto" w:val="clear"/>
            <w:vAlign w:val="center"/>
          </w:tcPr>
          <w:p>
            <w:pPr>
              <w:pStyle w:val="Nvel02"/>
              <w:widowControl w:val="false"/>
              <w:numPr>
                <w:ilvl w:val="0"/>
                <w:numId w:val="0"/>
              </w:numPr>
              <w:shd w:val="clear" w:fill="FFFFFF"/>
              <w:spacing w:before="120" w:after="120"/>
              <w:ind w:left="833" w:right="0" w:hanging="0"/>
              <w:rPr>
                <w:color w:val="000000"/>
              </w:rPr>
            </w:pPr>
            <w:r>
              <w:rPr>
                <w:color w:val="000000"/>
              </w:rPr>
              <w:t>SG =</w:t>
            </w:r>
          </w:p>
        </w:tc>
        <w:tc>
          <w:tcPr>
            <w:tcW w:w="4395" w:type="dxa"/>
            <w:tcBorders/>
            <w:shd w:fill="auto" w:val="clear"/>
            <w:vAlign w:val="bottom"/>
          </w:tcPr>
          <w:p>
            <w:pPr>
              <w:pStyle w:val="Nvel02"/>
              <w:widowControl w:val="false"/>
              <w:numPr>
                <w:ilvl w:val="0"/>
                <w:numId w:val="0"/>
              </w:numPr>
              <w:shd w:val="clear" w:fill="FFFFFF"/>
              <w:spacing w:before="120" w:after="120"/>
              <w:ind w:left="833" w:right="0" w:hanging="0"/>
              <w:rPr>
                <w:color w:val="000000"/>
              </w:rPr>
            </w:pPr>
            <w:r>
              <w:rPr>
                <w:color w:val="000000"/>
              </w:rPr>
              <w:t>Ativo Total</w:t>
            </w:r>
          </w:p>
        </w:tc>
      </w:tr>
      <w:tr>
        <w:trPr>
          <w:cantSplit w:val="true"/>
        </w:trPr>
        <w:tc>
          <w:tcPr>
            <w:tcW w:w="2233" w:type="dxa"/>
            <w:vMerge w:val="continue"/>
            <w:tcBorders/>
            <w:shd w:fill="auto" w:val="clear"/>
          </w:tcPr>
          <w:p>
            <w:pPr>
              <w:pStyle w:val="Normal"/>
              <w:widowControl w:val="false"/>
              <w:rPr/>
            </w:pPr>
            <w:r>
              <w:rPr/>
            </w:r>
          </w:p>
        </w:tc>
        <w:tc>
          <w:tcPr>
            <w:tcW w:w="4395" w:type="dxa"/>
            <w:tcBorders/>
            <w:shd w:fill="auto" w:val="clear"/>
          </w:tcPr>
          <w:p>
            <w:pPr>
              <w:pStyle w:val="Nvel02"/>
              <w:widowControl w:val="false"/>
              <w:numPr>
                <w:ilvl w:val="0"/>
                <w:numId w:val="0"/>
              </w:numPr>
              <w:shd w:val="clear" w:fill="FFFFFF"/>
              <w:spacing w:before="120" w:after="120"/>
              <w:ind w:left="833" w:right="0" w:hanging="0"/>
              <w:rPr>
                <w:color w:val="000000"/>
              </w:rPr>
            </w:pPr>
            <w:r>
              <w:rPr>
                <w:color w:val="000000"/>
              </w:rPr>
              <w:t>Passivo Circulante + Passivo Não Circulante</w:t>
            </w:r>
          </w:p>
        </w:tc>
      </w:tr>
    </w:tbl>
    <w:p>
      <w:pPr>
        <w:pStyle w:val="Normal"/>
        <w:widowControl/>
        <w:numPr>
          <w:ilvl w:val="0"/>
          <w:numId w:val="0"/>
        </w:numPr>
        <w:suppressAutoHyphens w:val="true"/>
        <w:bidi w:val="0"/>
        <w:spacing w:lineRule="auto" w:line="276" w:before="0" w:after="0"/>
        <w:ind w:left="0" w:right="0" w:firstLine="567"/>
        <w:jc w:val="both"/>
        <w:rPr>
          <w:rFonts w:eastAsia="Arial" w:cs="Arial"/>
          <w:i w:val="false"/>
          <w:i w:val="false"/>
          <w:iCs/>
          <w:color w:val="000000"/>
          <w:kern w:val="0"/>
          <w:lang w:val="pt-BR" w:eastAsia="pt-BR" w:bidi="ar-SA"/>
        </w:rPr>
      </w:pPr>
      <w:r>
        <w:rPr>
          <w:rFonts w:eastAsia="Arial" w:cs="Arial"/>
          <w:i w:val="false"/>
          <w:iCs/>
          <w:color w:val="000000"/>
          <w:kern w:val="0"/>
          <w:lang w:val="pt-BR" w:eastAsia="pt-BR" w:bidi="ar-SA"/>
        </w:rPr>
      </w:r>
    </w:p>
    <w:tbl>
      <w:tblPr>
        <w:tblStyle w:val="Tabelacomgrade"/>
        <w:tblW w:w="4786" w:type="dxa"/>
        <w:jc w:val="left"/>
        <w:tblInd w:w="1277" w:type="dxa"/>
        <w:tblLayout w:type="fixed"/>
        <w:tblCellMar>
          <w:top w:w="0" w:type="dxa"/>
          <w:left w:w="143" w:type="dxa"/>
          <w:bottom w:w="0" w:type="dxa"/>
          <w:right w:w="108" w:type="dxa"/>
        </w:tblCellMar>
        <w:tblLook w:val="04a0" w:noHBand="0" w:noVBand="1" w:firstColumn="1" w:lastRow="0" w:lastColumn="0" w:firstRow="1"/>
      </w:tblPr>
      <w:tblGrid>
        <w:gridCol w:w="2235"/>
        <w:gridCol w:w="2550"/>
      </w:tblGrid>
      <w:tr>
        <w:trPr/>
        <w:tc>
          <w:tcPr>
            <w:tcW w:w="2235" w:type="dxa"/>
            <w:vMerge w:val="restart"/>
            <w:tcBorders/>
            <w:shd w:fill="auto" w:val="clear"/>
            <w:vAlign w:val="center"/>
          </w:tcPr>
          <w:p>
            <w:pPr>
              <w:pStyle w:val="Nvel02"/>
              <w:widowControl w:val="false"/>
              <w:numPr>
                <w:ilvl w:val="0"/>
                <w:numId w:val="0"/>
              </w:numPr>
              <w:shd w:val="clear" w:fill="FFFFFF"/>
              <w:spacing w:before="120" w:after="120"/>
              <w:ind w:left="833" w:right="0" w:hanging="0"/>
              <w:rPr>
                <w:color w:val="000000"/>
              </w:rPr>
            </w:pPr>
            <w:r>
              <w:rPr>
                <w:color w:val="000000"/>
              </w:rPr>
              <w:t>LC =</w:t>
            </w:r>
          </w:p>
        </w:tc>
        <w:tc>
          <w:tcPr>
            <w:tcW w:w="2550" w:type="dxa"/>
            <w:tcBorders/>
            <w:shd w:fill="auto" w:val="clear"/>
            <w:vAlign w:val="bottom"/>
          </w:tcPr>
          <w:p>
            <w:pPr>
              <w:pStyle w:val="Nvel02"/>
              <w:widowControl w:val="false"/>
              <w:numPr>
                <w:ilvl w:val="0"/>
                <w:numId w:val="0"/>
              </w:numPr>
              <w:shd w:val="clear" w:fill="FFFFFF"/>
              <w:spacing w:before="120" w:after="120"/>
              <w:ind w:left="833" w:right="0" w:hanging="0"/>
              <w:rPr>
                <w:color w:val="000000"/>
              </w:rPr>
            </w:pPr>
            <w:r>
              <w:rPr>
                <w:color w:val="000000"/>
              </w:rPr>
              <w:t>Ativo Circulante</w:t>
            </w:r>
          </w:p>
        </w:tc>
      </w:tr>
      <w:tr>
        <w:trPr/>
        <w:tc>
          <w:tcPr>
            <w:tcW w:w="2235" w:type="dxa"/>
            <w:vMerge w:val="continue"/>
            <w:tcBorders/>
            <w:shd w:fill="auto" w:val="clear"/>
          </w:tcPr>
          <w:p>
            <w:pPr>
              <w:pStyle w:val="Normal"/>
              <w:widowControl w:val="false"/>
              <w:rPr/>
            </w:pPr>
            <w:r>
              <w:rPr/>
            </w:r>
          </w:p>
        </w:tc>
        <w:tc>
          <w:tcPr>
            <w:tcW w:w="2550" w:type="dxa"/>
            <w:tcBorders/>
            <w:shd w:fill="auto" w:val="clear"/>
          </w:tcPr>
          <w:p>
            <w:pPr>
              <w:pStyle w:val="Nvel02"/>
              <w:widowControl w:val="false"/>
              <w:numPr>
                <w:ilvl w:val="0"/>
                <w:numId w:val="0"/>
              </w:numPr>
              <w:shd w:val="clear" w:fill="FFFFFF"/>
              <w:spacing w:before="120" w:after="120"/>
              <w:ind w:left="833" w:right="0" w:hanging="0"/>
              <w:rPr>
                <w:color w:val="000000"/>
              </w:rPr>
            </w:pPr>
            <w:r>
              <w:rPr>
                <w:color w:val="000000"/>
              </w:rPr>
              <w:t>Passivo Circulante</w:t>
            </w:r>
          </w:p>
        </w:tc>
      </w:tr>
    </w:tbl>
    <w:p>
      <w:pPr>
        <w:pStyle w:val="Normal"/>
        <w:widowControl/>
        <w:numPr>
          <w:ilvl w:val="0"/>
          <w:numId w:val="0"/>
        </w:numPr>
        <w:suppressAutoHyphens w:val="true"/>
        <w:bidi w:val="0"/>
        <w:spacing w:lineRule="auto" w:line="276" w:before="0" w:after="0"/>
        <w:ind w:left="0" w:right="0" w:firstLine="567"/>
        <w:jc w:val="both"/>
        <w:rPr>
          <w:rFonts w:eastAsia="Arial" w:cs="Arial"/>
          <w:i w:val="false"/>
          <w:i w:val="false"/>
          <w:iCs/>
          <w:color w:val="000000"/>
          <w:kern w:val="0"/>
          <w:lang w:val="pt-BR" w:eastAsia="pt-BR" w:bidi="ar-SA"/>
        </w:rPr>
      </w:pPr>
      <w:r>
        <w:rPr>
          <w:rFonts w:eastAsia="Arial" w:cs="Arial"/>
          <w:i w:val="false"/>
          <w:iCs/>
          <w:color w:val="000000"/>
          <w:kern w:val="0"/>
          <w:lang w:val="pt-BR" w:eastAsia="pt-BR" w:bidi="ar-SA"/>
        </w:rPr>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color w:val="000000"/>
          <w:sz w:val="24"/>
          <w:szCs w:val="24"/>
        </w:rPr>
        <w:t xml:space="preserve">Caso a empresa apresente resultado inferior ou igual a 1 (um) em qualquer dos índices de Liquidez Geral (LG), Solvência Geral (SG) e Liquidez Corrente (LC), será exigido, para fins de habilitação, </w:t>
      </w:r>
      <w:r>
        <w:rPr>
          <w:rFonts w:ascii="Carlito" w:hAnsi="Carlito"/>
          <w:b/>
          <w:bCs/>
          <w:color w:val="000000"/>
          <w:sz w:val="24"/>
          <w:szCs w:val="24"/>
        </w:rPr>
        <w:t>patrimônio líquido mínimo</w:t>
      </w:r>
      <w:r>
        <w:rPr>
          <w:rFonts w:ascii="Carlito" w:hAnsi="Carlito"/>
          <w:color w:val="000000"/>
          <w:sz w:val="24"/>
          <w:szCs w:val="24"/>
        </w:rPr>
        <w:t xml:space="preserve"> de </w:t>
      </w:r>
      <w:r>
        <w:rPr>
          <w:rFonts w:ascii="Carlito" w:hAnsi="Carlito"/>
          <w:b/>
          <w:bCs/>
          <w:color w:val="000000"/>
          <w:sz w:val="24"/>
          <w:szCs w:val="24"/>
        </w:rPr>
        <w:t>10%</w:t>
      </w:r>
      <w:r>
        <w:rPr>
          <w:rFonts w:ascii="Carlito" w:hAnsi="Carlito"/>
          <w:color w:val="000000"/>
          <w:sz w:val="24"/>
          <w:szCs w:val="24"/>
        </w:rPr>
        <w:t xml:space="preserve"> </w:t>
      </w:r>
      <w:r>
        <w:rPr>
          <w:rFonts w:ascii="Carlito" w:hAnsi="Carlito"/>
          <w:b/>
          <w:bCs/>
          <w:color w:val="000000"/>
          <w:sz w:val="24"/>
          <w:szCs w:val="24"/>
        </w:rPr>
        <w:t>valor total estimado da contratação.</w:t>
      </w:r>
    </w:p>
    <w:p>
      <w:pPr>
        <w:pStyle w:val="Nvel02"/>
        <w:widowControl/>
        <w:numPr>
          <w:ilvl w:val="0"/>
          <w:numId w:val="0"/>
        </w:numPr>
        <w:shd w:val="clear" w:fill="FFFFFF"/>
        <w:suppressAutoHyphens w:val="true"/>
        <w:bidi w:val="0"/>
        <w:spacing w:lineRule="auto" w:line="276" w:before="0" w:after="0"/>
        <w:ind w:left="1080" w:right="0" w:hanging="0"/>
        <w:jc w:val="both"/>
        <w:rPr>
          <w:b/>
          <w:b/>
          <w:bCs/>
          <w:color w:val="000000"/>
        </w:rPr>
      </w:pPr>
      <w:r>
        <w:rPr>
          <w:b/>
          <w:bCs/>
          <w:color w:val="000000"/>
        </w:rPr>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Os documentos referidos acima limitar-se-ão ao último exercício no caso de a pessoa jurídica ter sido constituída há menos de 2 (dois) anos;</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 xml:space="preserve">Os documentos referidos acima deverão ser exigidos com base no limite definido pela Receita Federal do Brasil para transmissão da Escrituração Contábil Digital - ECD ao Sped. </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As empresas criadas no exercício financeiro da licitação/contratação deverão atender a todas as exigências da habilitação e poderão substituir os demonstrativos contábeis pelo balanço de abertura.</w:t>
      </w:r>
    </w:p>
    <w:p>
      <w:pPr>
        <w:pStyle w:val="Nvel02"/>
        <w:widowControl/>
        <w:numPr>
          <w:ilvl w:val="0"/>
          <w:numId w:val="0"/>
        </w:numPr>
        <w:shd w:val="clear" w:fill="FFFFFF"/>
        <w:suppressAutoHyphens w:val="true"/>
        <w:bidi w:val="0"/>
        <w:spacing w:lineRule="auto" w:line="276" w:before="0" w:after="0"/>
        <w:ind w:left="144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Qualificação Técnica</w:t>
      </w:r>
    </w:p>
    <w:p>
      <w:pPr>
        <w:pStyle w:val="Nvel2Opcional1"/>
        <w:widowControl/>
        <w:numPr>
          <w:ilvl w:val="1"/>
          <w:numId w:val="2"/>
        </w:numPr>
        <w:shd w:val="clear" w:fill="FFFFFF"/>
        <w:tabs>
          <w:tab w:val="left" w:pos="735" w:leader="none"/>
          <w:tab w:val="left" w:pos="1140" w:leader="none"/>
        </w:tabs>
        <w:suppressAutoHyphens w:val="true"/>
        <w:bidi w:val="0"/>
        <w:spacing w:lineRule="auto" w:line="276" w:before="0" w:after="0"/>
        <w:ind w:left="0" w:right="0" w:firstLine="567"/>
        <w:jc w:val="both"/>
        <w:rPr/>
      </w:pPr>
      <w:bookmarkStart w:id="13" w:name="_Ref123202723"/>
      <w:r>
        <w:rPr>
          <w:rFonts w:ascii="Carlito" w:hAnsi="Carlito"/>
          <w:color w:val="000000"/>
          <w:sz w:val="24"/>
          <w:szCs w:val="24"/>
        </w:rPr>
        <w:t xml:space="preserve">Declaração de que o fornecedor tomou conhecimento de todas as informações e das condições locais para o cumprimento das obrigações objeto da </w:t>
      </w:r>
      <w:bookmarkEnd w:id="13"/>
      <w:r>
        <w:rPr>
          <w:rFonts w:ascii="Carlito" w:hAnsi="Carlito"/>
          <w:color w:val="000000"/>
          <w:sz w:val="24"/>
          <w:szCs w:val="24"/>
        </w:rPr>
        <w:t>contratação.</w:t>
      </w:r>
    </w:p>
    <w:p>
      <w:pPr>
        <w:pStyle w:val="Nvel3Opcional1"/>
        <w:widowControl/>
        <w:numPr>
          <w:ilvl w:val="1"/>
          <w:numId w:val="2"/>
        </w:numPr>
        <w:suppressAutoHyphens w:val="true"/>
        <w:bidi w:val="0"/>
        <w:spacing w:lineRule="auto" w:line="276" w:before="120" w:after="120"/>
        <w:ind w:left="0" w:right="0" w:firstLine="510"/>
        <w:jc w:val="both"/>
        <w:rPr>
          <w:rFonts w:ascii="Carlito" w:hAnsi="Carlito"/>
          <w:color w:val="000000"/>
          <w:sz w:val="24"/>
          <w:szCs w:val="24"/>
        </w:rPr>
      </w:pPr>
      <w:r>
        <w:rPr>
          <w:rFonts w:ascii="Carlito" w:hAnsi="Carlito"/>
          <w:color w:val="000000"/>
          <w:sz w:val="24"/>
          <w:szCs w:val="24"/>
        </w:rPr>
        <w:t>Essa declaração poderá ser substituída por declaração formal assinada pelo responsável técnico do interessado acerca do conhecimento pleno das condições e peculiaridades da contratação.</w:t>
      </w:r>
    </w:p>
    <w:p>
      <w:pPr>
        <w:pStyle w:val="Ttulo3"/>
        <w:widowControl/>
        <w:numPr>
          <w:ilvl w:val="0"/>
          <w:numId w:val="0"/>
        </w:numPr>
        <w:shd w:val="clear" w:fill="FFFFFF"/>
        <w:suppressAutoHyphens w:val="true"/>
        <w:bidi w:val="0"/>
        <w:spacing w:lineRule="auto" w:line="276" w:before="0" w:after="0"/>
        <w:ind w:left="720" w:right="0" w:hanging="0"/>
        <w:jc w:val="both"/>
        <w:rPr>
          <w:rStyle w:val="Nfaseforte"/>
          <w:rFonts w:ascii="Carlito" w:hAnsi="Carlito"/>
          <w:color w:val="000000"/>
          <w:sz w:val="24"/>
          <w:szCs w:val="24"/>
        </w:rPr>
      </w:pPr>
      <w:r>
        <w:rPr>
          <w:rFonts w:ascii="Carlito" w:hAnsi="Carlito"/>
          <w:color w:val="000000"/>
          <w:sz w:val="24"/>
          <w:szCs w:val="24"/>
        </w:rPr>
      </w:r>
    </w:p>
    <w:p>
      <w:pPr>
        <w:pStyle w:val="Nvel1SemNumerao"/>
        <w:widowControl/>
        <w:numPr>
          <w:ilvl w:val="0"/>
          <w:numId w:val="0"/>
        </w:numPr>
        <w:shd w:val="clear" w:fill="FFFFFF"/>
        <w:suppressAutoHyphens w:val="true"/>
        <w:bidi w:val="0"/>
        <w:spacing w:lineRule="auto" w:line="276" w:before="0" w:after="0"/>
        <w:ind w:left="720" w:right="0" w:hanging="0"/>
        <w:jc w:val="both"/>
        <w:rPr/>
      </w:pPr>
      <w:bookmarkStart w:id="14" w:name="_Hlk171013756"/>
      <w:bookmarkEnd w:id="14"/>
      <w:r>
        <w:rPr>
          <w:rFonts w:ascii="Carlito" w:hAnsi="Carlito"/>
          <w:sz w:val="24"/>
          <w:szCs w:val="24"/>
        </w:rPr>
        <w:t>Qualificação Técnico-Operacional</w:t>
      </w:r>
    </w:p>
    <w:p>
      <w:pPr>
        <w:pStyle w:val="Nvel02"/>
        <w:widowControl/>
        <w:numPr>
          <w:ilvl w:val="1"/>
          <w:numId w:val="2"/>
        </w:numPr>
        <w:shd w:val="clear" w:fill="FFFFFF"/>
        <w:suppressAutoHyphens w:val="true"/>
        <w:bidi w:val="0"/>
        <w:spacing w:lineRule="auto" w:line="276" w:before="0" w:after="0"/>
        <w:ind w:left="0" w:right="0" w:firstLine="510"/>
        <w:jc w:val="both"/>
        <w:rPr/>
      </w:pPr>
      <w:r>
        <w:rPr>
          <w:rFonts w:ascii="Carlito" w:hAnsi="Carlito"/>
          <w:sz w:val="24"/>
          <w:szCs w:val="24"/>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pPr>
        <w:pStyle w:val="Nivel3"/>
        <w:widowControl/>
        <w:numPr>
          <w:ilvl w:val="2"/>
          <w:numId w:val="2"/>
        </w:numPr>
        <w:suppressAutoHyphens w:val="true"/>
        <w:bidi w:val="0"/>
        <w:spacing w:lineRule="auto" w:line="276"/>
        <w:ind w:left="0" w:right="0" w:firstLine="1134"/>
        <w:jc w:val="both"/>
        <w:rPr>
          <w:rFonts w:ascii="Carlito" w:hAnsi="Carlito"/>
          <w:sz w:val="24"/>
          <w:szCs w:val="24"/>
        </w:rPr>
      </w:pPr>
      <w:r>
        <w:rPr>
          <w:rFonts w:ascii="Carlito" w:hAnsi="Carlito"/>
          <w:sz w:val="24"/>
          <w:szCs w:val="24"/>
        </w:rPr>
        <w:t>Para fins da comprovação de que trata este subitem, os atestados deverão dizer respeito a contrato(s) executado(s).</w:t>
      </w:r>
    </w:p>
    <w:p>
      <w:pPr>
        <w:pStyle w:val="Nivel3"/>
        <w:widowControl/>
        <w:numPr>
          <w:ilvl w:val="2"/>
          <w:numId w:val="2"/>
        </w:numPr>
        <w:suppressAutoHyphens w:val="true"/>
        <w:bidi w:val="0"/>
        <w:spacing w:lineRule="auto" w:line="276" w:before="6" w:after="6"/>
        <w:ind w:left="0" w:right="0" w:firstLine="1134"/>
        <w:jc w:val="both"/>
        <w:rPr>
          <w:rFonts w:ascii="Carlito" w:hAnsi="Carlito"/>
          <w:sz w:val="24"/>
          <w:szCs w:val="24"/>
        </w:rPr>
      </w:pPr>
      <w:r>
        <w:rPr>
          <w:rFonts w:ascii="Carlito" w:hAnsi="Carlito"/>
          <w:sz w:val="24"/>
          <w:szCs w:val="24"/>
        </w:rPr>
        <w:t>Os atestados de capacidade técnica poderão ser apresentados em nome da matriz ou da filial do fornecedor.</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Os atestados deverão referir-se a serviços prestados no âmbito de sua atividade econômica principal ou secundária especificadas no contrato social vigente.</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Serão aceitos atestados ou outros documentos hábeis emitidos por entidades estrangeiras quando acompanhados de tradução para o português, salvo se comprovada a inidoneidade da entidade emissora.</w:t>
      </w:r>
    </w:p>
    <w:p>
      <w:pPr>
        <w:pStyle w:val="Nvel02"/>
        <w:widowControl/>
        <w:numPr>
          <w:ilvl w:val="2"/>
          <w:numId w:val="2"/>
        </w:numPr>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A apresentação, pelo fornecedor, de certidões ou atestados de desempenho anterior emitido em favor de consórcio do qual tenha feito parte será admitida, desde que atendidos os requisitos do art. 67, §§ 10 e 11, da Lei nº 14.133/2021 e regulamentos sobre o tema.</w:t>
      </w:r>
    </w:p>
    <w:p>
      <w:pPr>
        <w:pStyle w:val="Nvel02"/>
        <w:widowControl/>
        <w:shd w:val="clear" w:fill="FFFFFF"/>
        <w:suppressAutoHyphens w:val="true"/>
        <w:bidi w:val="0"/>
        <w:spacing w:lineRule="auto" w:line="276" w:before="0" w:after="0"/>
        <w:ind w:left="0" w:right="0" w:firstLine="1134"/>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widowControl/>
        <w:numPr>
          <w:ilvl w:val="0"/>
          <w:numId w:val="0"/>
        </w:numPr>
        <w:shd w:val="clear" w:fill="FFFFFF"/>
        <w:suppressAutoHyphens w:val="true"/>
        <w:bidi w:val="0"/>
        <w:spacing w:lineRule="auto" w:line="276" w:before="0" w:after="0"/>
        <w:ind w:left="720" w:right="0" w:hanging="0"/>
        <w:jc w:val="both"/>
        <w:rPr/>
      </w:pPr>
      <w:r>
        <w:rPr>
          <w:rFonts w:ascii="Carlito" w:hAnsi="Carlito"/>
          <w:sz w:val="24"/>
          <w:szCs w:val="24"/>
        </w:rPr>
        <w:t>Disposições gerais sobre habilitação</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Quando permitida a participação na licitação/contratação de empresas estrangeiras que não funcionem no País, as exigências de habilitação serão atendidas mediante documentos equivalentes, inicialmente apresentados em tradução livre.</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Não serão aceitos documentos de habilitação com indicação de CNPJ/CPF diferentes, salvo aqueles legalmente permitidos.</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vel02"/>
        <w:widowControl/>
        <w:numPr>
          <w:ilvl w:val="1"/>
          <w:numId w:val="2"/>
        </w:numPr>
        <w:shd w:val="clear" w:fill="FFFFFF"/>
        <w:suppressAutoHyphens w:val="true"/>
        <w:bidi w:val="0"/>
        <w:spacing w:lineRule="auto" w:line="276" w:before="0" w:after="0"/>
        <w:ind w:left="0" w:right="0" w:firstLine="56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Serão aceitos registros de CNPJ de fornecedor matriz e filial com diferenças de números de documentos pertinentes ao CND e ao CRF/FGTS, quando for comprovada a centralização do recolhimento dessas contribuições.</w:t>
      </w:r>
    </w:p>
    <w:p>
      <w:pPr>
        <w:pStyle w:val="Nvel02"/>
        <w:widowControl/>
        <w:numPr>
          <w:ilvl w:val="0"/>
          <w:numId w:val="0"/>
        </w:numPr>
        <w:shd w:val="clear" w:fill="FFFFFF"/>
        <w:suppressAutoHyphens w:val="true"/>
        <w:bidi w:val="0"/>
        <w:spacing w:lineRule="auto" w:line="276" w:before="0" w:after="0"/>
        <w:ind w:left="0"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vel1SemNumerao"/>
        <w:numPr>
          <w:ilvl w:val="0"/>
          <w:numId w:val="0"/>
        </w:numPr>
        <w:shd w:val="clear" w:fill="FFFFFF"/>
        <w:ind w:left="720" w:right="0" w:hanging="0"/>
        <w:jc w:val="both"/>
        <w:rPr>
          <w:rFonts w:ascii="Carlito" w:hAnsi="Carlito"/>
          <w:sz w:val="24"/>
          <w:szCs w:val="24"/>
        </w:rPr>
      </w:pPr>
      <w:r>
        <w:rPr>
          <w:rFonts w:ascii="Carlito" w:hAnsi="Carlito"/>
          <w:sz w:val="24"/>
          <w:szCs w:val="24"/>
        </w:rPr>
        <w:t>Documentação complementar para cooperativas</w:t>
      </w:r>
    </w:p>
    <w:p>
      <w:pPr>
        <w:pStyle w:val="Nvel02"/>
        <w:widowControl/>
        <w:numPr>
          <w:ilvl w:val="1"/>
          <w:numId w:val="2"/>
        </w:numPr>
        <w:shd w:val="clear" w:fill="FFFFFF"/>
        <w:suppressAutoHyphens w:val="true"/>
        <w:overflowPunct w:val="true"/>
        <w:bidi w:val="0"/>
        <w:spacing w:lineRule="auto" w:line="276"/>
        <w:ind w:left="0" w:right="0" w:firstLine="510"/>
        <w:jc w:val="both"/>
        <w:rPr/>
      </w:pPr>
      <w:r>
        <w:rPr>
          <w:rFonts w:ascii="Carlito" w:hAnsi="Carlito"/>
          <w:sz w:val="24"/>
          <w:szCs w:val="24"/>
        </w:rPr>
        <w:t xml:space="preserve">Caso admitida a participação de cooperativas, </w:t>
      </w:r>
      <w:r>
        <w:rPr>
          <w:rFonts w:eastAsia="Arial" w:cs="Arial" w:ascii="Carlito" w:hAnsi="Carlito"/>
          <w:i w:val="false"/>
          <w:iCs/>
          <w:color w:val="000000"/>
          <w:kern w:val="0"/>
          <w:sz w:val="24"/>
          <w:szCs w:val="24"/>
          <w:lang w:val="pt-BR" w:eastAsia="pt-BR" w:bidi="ar-SA"/>
        </w:rPr>
        <w:t>será</w:t>
      </w:r>
      <w:r>
        <w:rPr>
          <w:rFonts w:ascii="Carlito" w:hAnsi="Carlito"/>
          <w:sz w:val="24"/>
          <w:szCs w:val="24"/>
        </w:rPr>
        <w:t xml:space="preserve"> exigida a seguinte documentação complementar:</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A declaração de regularidade de situação do contribuinte individual – DRSCI, para cada um dos cooperados indicados;</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 xml:space="preserve">A comprovação do capital social proporcional ao número de cooperados necessários à prestação do serviço; </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 registro previsto na Lei n. 5.764, de 1971, art. 107;</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A comprovação de integração das respectivas quotas-partes por parte dos cooperados que executarão o contrato;</w:t>
      </w:r>
    </w:p>
    <w:p>
      <w:pPr>
        <w:pStyle w:val="Nivel3"/>
        <w:widowControl/>
        <w:numPr>
          <w:ilvl w:val="2"/>
          <w:numId w:val="2"/>
        </w:numPr>
        <w:suppressAutoHyphens w:val="true"/>
        <w:bidi w:val="0"/>
        <w:spacing w:lineRule="auto" w:line="276" w:before="120" w:after="120"/>
        <w:ind w:left="0" w:right="0" w:firstLine="1134"/>
        <w:jc w:val="both"/>
        <w:rPr>
          <w:rFonts w:ascii="Carlito" w:hAnsi="Carlito"/>
          <w:sz w:val="24"/>
          <w:szCs w:val="24"/>
        </w:rPr>
      </w:pPr>
      <w:r>
        <w:rPr>
          <w:rFonts w:ascii="Carlito" w:hAnsi="Carlito"/>
          <w:sz w:val="24"/>
          <w:szCs w:val="24"/>
        </w:rPr>
        <w:t>Os seguintes documentos para a comprovação da regularidade jurídica da cooperativa:</w:t>
      </w:r>
    </w:p>
    <w:p>
      <w:pPr>
        <w:pStyle w:val="Nivel4"/>
        <w:widowControl/>
        <w:numPr>
          <w:ilvl w:val="3"/>
          <w:numId w:val="2"/>
        </w:numPr>
        <w:suppressAutoHyphens w:val="true"/>
        <w:overflowPunct w:val="true"/>
        <w:bidi w:val="0"/>
        <w:spacing w:lineRule="auto" w:line="276"/>
        <w:ind w:left="927" w:right="0" w:hanging="0"/>
        <w:jc w:val="both"/>
        <w:rPr>
          <w:rFonts w:ascii="Carlito" w:hAnsi="Carlito"/>
          <w:sz w:val="24"/>
          <w:szCs w:val="24"/>
        </w:rPr>
      </w:pPr>
      <w:r>
        <w:rPr>
          <w:rFonts w:ascii="Carlito" w:hAnsi="Carlito"/>
          <w:sz w:val="24"/>
          <w:szCs w:val="24"/>
        </w:rPr>
        <w:t>ata de fundação;</w:t>
      </w:r>
    </w:p>
    <w:p>
      <w:pPr>
        <w:pStyle w:val="Nivel4"/>
        <w:numPr>
          <w:ilvl w:val="3"/>
          <w:numId w:val="2"/>
        </w:numPr>
        <w:ind w:left="927" w:right="0" w:hanging="0"/>
        <w:jc w:val="both"/>
        <w:rPr>
          <w:rFonts w:ascii="Carlito" w:hAnsi="Carlito"/>
          <w:sz w:val="24"/>
          <w:szCs w:val="24"/>
        </w:rPr>
      </w:pPr>
      <w:r>
        <w:rPr>
          <w:rFonts w:ascii="Carlito" w:hAnsi="Carlito"/>
          <w:sz w:val="24"/>
          <w:szCs w:val="24"/>
        </w:rPr>
        <w:t>estatuto social com a ata da assembleia que o aprovou;</w:t>
      </w:r>
    </w:p>
    <w:p>
      <w:pPr>
        <w:pStyle w:val="Nivel4"/>
        <w:numPr>
          <w:ilvl w:val="3"/>
          <w:numId w:val="2"/>
        </w:numPr>
        <w:ind w:left="927" w:right="0" w:hanging="0"/>
        <w:jc w:val="both"/>
        <w:rPr>
          <w:rFonts w:ascii="Carlito" w:hAnsi="Carlito"/>
          <w:sz w:val="24"/>
          <w:szCs w:val="24"/>
        </w:rPr>
      </w:pPr>
      <w:r>
        <w:rPr>
          <w:rFonts w:ascii="Carlito" w:hAnsi="Carlito"/>
          <w:sz w:val="24"/>
          <w:szCs w:val="24"/>
        </w:rPr>
        <w:t>regimento dos fundos instituídos pelos cooperados, com a ata da assembleia;</w:t>
      </w:r>
    </w:p>
    <w:p>
      <w:pPr>
        <w:pStyle w:val="Nivel4"/>
        <w:widowControl/>
        <w:numPr>
          <w:ilvl w:val="3"/>
          <w:numId w:val="2"/>
        </w:numPr>
        <w:suppressAutoHyphens w:val="true"/>
        <w:bidi w:val="0"/>
        <w:spacing w:lineRule="auto" w:line="276"/>
        <w:ind w:left="927" w:right="0" w:hanging="0"/>
        <w:jc w:val="both"/>
        <w:rPr>
          <w:rFonts w:ascii="Carlito" w:hAnsi="Carlito"/>
          <w:sz w:val="24"/>
          <w:szCs w:val="24"/>
        </w:rPr>
      </w:pPr>
      <w:r>
        <w:rPr>
          <w:rFonts w:ascii="Carlito" w:hAnsi="Carlito"/>
          <w:sz w:val="24"/>
          <w:szCs w:val="24"/>
        </w:rPr>
        <w:t>editais de convocação das três últimas assembleias gerais extraordinárias;</w:t>
      </w:r>
    </w:p>
    <w:p>
      <w:pPr>
        <w:pStyle w:val="Nivel4"/>
        <w:widowControl/>
        <w:numPr>
          <w:ilvl w:val="3"/>
          <w:numId w:val="2"/>
        </w:numPr>
        <w:suppressAutoHyphens w:val="true"/>
        <w:overflowPunct w:val="true"/>
        <w:bidi w:val="0"/>
        <w:spacing w:lineRule="auto" w:line="276"/>
        <w:ind w:left="927" w:right="0" w:hanging="0"/>
        <w:jc w:val="both"/>
        <w:rPr>
          <w:rFonts w:ascii="Carlito" w:hAnsi="Carlito"/>
          <w:sz w:val="24"/>
          <w:szCs w:val="24"/>
        </w:rPr>
      </w:pPr>
      <w:r>
        <w:rPr>
          <w:rFonts w:ascii="Carlito" w:hAnsi="Carlito"/>
          <w:sz w:val="24"/>
          <w:szCs w:val="24"/>
        </w:rPr>
        <w:t>três registros de presença dos cooperados que executarão o contrato em assembleias gerais ou nas reuniões seccionais;</w:t>
      </w:r>
    </w:p>
    <w:p>
      <w:pPr>
        <w:pStyle w:val="Nivel4"/>
        <w:numPr>
          <w:ilvl w:val="3"/>
          <w:numId w:val="2"/>
        </w:numPr>
        <w:ind w:left="927" w:right="0" w:hanging="0"/>
        <w:jc w:val="both"/>
        <w:rPr>
          <w:rFonts w:ascii="Carlito" w:hAnsi="Carlito"/>
          <w:sz w:val="24"/>
          <w:szCs w:val="24"/>
        </w:rPr>
      </w:pPr>
      <w:r>
        <w:rPr>
          <w:rFonts w:ascii="Carlito" w:hAnsi="Carlito"/>
          <w:sz w:val="24"/>
          <w:szCs w:val="24"/>
        </w:rPr>
        <w:t>ata da sessão que os cooperados autorizaram a cooperativa a contratar o objeto da contratação; e</w:t>
      </w:r>
    </w:p>
    <w:p>
      <w:pPr>
        <w:pStyle w:val="Nivel4"/>
        <w:widowControl/>
        <w:numPr>
          <w:ilvl w:val="3"/>
          <w:numId w:val="2"/>
        </w:numPr>
        <w:suppressAutoHyphens w:val="true"/>
        <w:overflowPunct w:val="true"/>
        <w:bidi w:val="0"/>
        <w:spacing w:lineRule="auto" w:line="276"/>
        <w:ind w:left="927" w:right="0" w:hanging="0"/>
        <w:jc w:val="both"/>
        <w:rPr>
          <w:rFonts w:ascii="Carlito" w:hAnsi="Carlito"/>
          <w:sz w:val="24"/>
          <w:szCs w:val="24"/>
        </w:rPr>
      </w:pPr>
      <w:r>
        <w:rPr>
          <w:rFonts w:ascii="Carlito" w:hAnsi="Carlito"/>
          <w:sz w:val="24"/>
          <w:szCs w:val="24"/>
        </w:rPr>
        <w:t>última auditoria contábil-financeira da cooperativa, conforme dispõe o art. 112 da Lei n. 5.764, de 1971, ou uma declaração, sob as penas da lei, de que tal auditoria não foi exigida pelo órgão fiscalizador.</w:t>
      </w:r>
    </w:p>
    <w:p>
      <w:pPr>
        <w:pStyle w:val="Nivel4"/>
        <w:numPr>
          <w:ilvl w:val="0"/>
          <w:numId w:val="0"/>
        </w:numPr>
        <w:ind w:left="2727" w:right="0" w:hanging="0"/>
        <w:jc w:val="both"/>
        <w:rPr>
          <w:rFonts w:ascii="Carlito" w:hAnsi="Carlito"/>
          <w:sz w:val="24"/>
          <w:szCs w:val="24"/>
        </w:rPr>
      </w:pPr>
      <w:r>
        <w:rPr>
          <w:rFonts w:ascii="Carlito" w:hAnsi="Carlito"/>
          <w:sz w:val="24"/>
          <w:szCs w:val="24"/>
        </w:rPr>
      </w:r>
    </w:p>
    <w:p>
      <w:pPr>
        <w:pStyle w:val="Nivel01"/>
        <w:widowControl/>
        <w:numPr>
          <w:ilvl w:val="0"/>
          <w:numId w:val="2"/>
        </w:numPr>
        <w:shd w:val="clear" w:fill="FFFFFF"/>
        <w:suppressAutoHyphens w:val="true"/>
        <w:bidi w:val="0"/>
        <w:spacing w:lineRule="auto" w:line="276" w:before="0" w:after="0"/>
        <w:ind w:left="357" w:right="0" w:hanging="357"/>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t>ESTIMATIVAS DO VALOR DA CONTRATAÇÃO</w:t>
      </w:r>
    </w:p>
    <w:p>
      <w:pPr>
        <w:pStyle w:val="Nvel2Opcional1"/>
        <w:widowControl/>
        <w:numPr>
          <w:ilvl w:val="1"/>
          <w:numId w:val="2"/>
        </w:numPr>
        <w:shd w:val="clear" w:fill="FFFFFF"/>
        <w:suppressAutoHyphens w:val="true"/>
        <w:bidi w:val="0"/>
        <w:spacing w:lineRule="auto" w:line="276" w:before="0" w:after="0"/>
        <w:ind w:left="0" w:right="0" w:firstLine="567"/>
        <w:jc w:val="both"/>
        <w:rPr>
          <w:rFonts w:ascii="Carlito" w:hAnsi="Carlito"/>
          <w:sz w:val="24"/>
          <w:szCs w:val="24"/>
        </w:rPr>
      </w:pPr>
      <w:r>
        <w:rPr>
          <w:rFonts w:ascii="Carlito" w:hAnsi="Carlito"/>
          <w:i/>
          <w:color w:val="000000"/>
          <w:sz w:val="24"/>
          <w:szCs w:val="24"/>
        </w:rPr>
        <w:t>O custo estimado total da contratação é de</w:t>
      </w:r>
      <w:r>
        <w:rPr>
          <w:rFonts w:ascii="Carlito" w:hAnsi="Carlito"/>
          <w:i/>
          <w:color w:val="ED1C24"/>
          <w:sz w:val="24"/>
          <w:szCs w:val="24"/>
        </w:rPr>
        <w:t xml:space="preserve"> </w:t>
      </w:r>
      <w:r>
        <w:rPr>
          <w:rFonts w:ascii="Carlito" w:hAnsi="Carlito"/>
          <w:i/>
          <w:color w:val="000000"/>
          <w:sz w:val="24"/>
          <w:szCs w:val="24"/>
        </w:rPr>
        <w:t xml:space="preserve">R$ </w:t>
      </w:r>
      <w:r>
        <w:rPr>
          <w:rFonts w:ascii="Carlito" w:hAnsi="Carlito"/>
          <w:i/>
          <w:color w:val="000000"/>
          <w:sz w:val="24"/>
          <w:szCs w:val="24"/>
        </w:rPr>
        <w:t>8.536,</w:t>
      </w:r>
      <w:r>
        <w:rPr>
          <w:rFonts w:ascii="Carlito" w:hAnsi="Carlito"/>
          <w:i/>
          <w:color w:val="000000"/>
          <w:sz w:val="24"/>
          <w:szCs w:val="24"/>
        </w:rPr>
        <w:t>00</w:t>
      </w:r>
      <w:r>
        <w:rPr>
          <w:rFonts w:ascii="Carlito" w:hAnsi="Carlito"/>
          <w:i/>
          <w:color w:val="000000"/>
          <w:sz w:val="24"/>
          <w:szCs w:val="24"/>
        </w:rPr>
        <w:t xml:space="preserve"> ( </w:t>
      </w:r>
      <w:r>
        <w:rPr>
          <w:rFonts w:ascii="Carlito" w:hAnsi="Carlito"/>
          <w:i/>
          <w:color w:val="000000"/>
          <w:sz w:val="24"/>
          <w:szCs w:val="24"/>
        </w:rPr>
        <w:t xml:space="preserve">oito </w:t>
      </w:r>
      <w:r>
        <w:rPr>
          <w:rFonts w:ascii="Carlito" w:hAnsi="Carlito"/>
          <w:i/>
          <w:color w:val="000000"/>
          <w:sz w:val="24"/>
          <w:szCs w:val="24"/>
        </w:rPr>
        <w:t xml:space="preserve">mil quinhentos </w:t>
      </w:r>
      <w:r>
        <w:rPr>
          <w:rFonts w:ascii="Carlito" w:hAnsi="Carlito"/>
          <w:i/>
          <w:color w:val="000000"/>
          <w:sz w:val="24"/>
          <w:szCs w:val="24"/>
        </w:rPr>
        <w:t xml:space="preserve">e trinta e seis </w:t>
      </w:r>
      <w:r>
        <w:rPr>
          <w:rFonts w:ascii="Carlito" w:hAnsi="Carlito"/>
          <w:i/>
          <w:color w:val="000000"/>
          <w:sz w:val="24"/>
          <w:szCs w:val="24"/>
        </w:rPr>
        <w:t>reais)</w:t>
      </w:r>
      <w:r>
        <w:rPr>
          <w:rFonts w:eastAsia="SimSun;宋体" w:cs="Mangal;Courier" w:ascii="Carlito" w:hAnsi="Carlito"/>
          <w:b w:val="false"/>
          <w:bCs w:val="false"/>
          <w:i w:val="false"/>
          <w:iCs w:val="false"/>
          <w:color w:val="000000"/>
          <w:kern w:val="2"/>
          <w:sz w:val="24"/>
          <w:szCs w:val="24"/>
          <w:shd w:fill="auto" w:val="clear"/>
          <w:lang w:val="pt-BR" w:eastAsia="zh-CN" w:bidi="hi-IN"/>
        </w:rPr>
        <w:t>.</w:t>
      </w:r>
      <w:r>
        <w:rPr>
          <w:rFonts w:ascii="Carlito" w:hAnsi="Carlito"/>
          <w:i/>
          <w:iCs/>
          <w:color w:val="000000"/>
          <w:sz w:val="24"/>
          <w:szCs w:val="24"/>
        </w:rPr>
        <w:t xml:space="preserve"> conforme custos unitários apostos na tabela acima</w:t>
      </w:r>
    </w:p>
    <w:p>
      <w:pPr>
        <w:pStyle w:val="Nvel2Opcional1"/>
        <w:numPr>
          <w:ilvl w:val="0"/>
          <w:numId w:val="0"/>
        </w:numPr>
        <w:shd w:val="clear" w:fill="FFFFFF"/>
        <w:ind w:left="1193" w:right="0" w:hanging="0"/>
        <w:jc w:val="both"/>
        <w:rPr>
          <w:rFonts w:ascii="Carlito" w:hAnsi="Carlito"/>
          <w:i/>
          <w:i/>
          <w:color w:val="000000"/>
          <w:sz w:val="24"/>
          <w:szCs w:val="24"/>
        </w:rPr>
      </w:pPr>
      <w:r>
        <w:rPr>
          <w:rFonts w:ascii="Carlito" w:hAnsi="Carlito"/>
          <w:i/>
          <w:color w:val="000000"/>
          <w:sz w:val="24"/>
          <w:szCs w:val="24"/>
        </w:rPr>
      </w:r>
    </w:p>
    <w:p>
      <w:pPr>
        <w:pStyle w:val="Nivel01"/>
        <w:widowControl/>
        <w:numPr>
          <w:ilvl w:val="0"/>
          <w:numId w:val="2"/>
        </w:numPr>
        <w:shd w:val="clear" w:fill="FFFFFF"/>
        <w:suppressAutoHyphens w:val="true"/>
        <w:bidi w:val="0"/>
        <w:spacing w:lineRule="auto" w:line="276" w:before="120" w:after="120"/>
        <w:ind w:left="0" w:right="0" w:hanging="0"/>
        <w:jc w:val="both"/>
        <w:rPr/>
      </w:pPr>
      <w:r>
        <w:rPr>
          <w:rFonts w:eastAsia="Arial" w:cs="Arial" w:ascii="Carlito" w:hAnsi="Carlito"/>
          <w:b/>
          <w:bCs/>
          <w:i w:val="false"/>
          <w:iCs w:val="false"/>
          <w:color w:val="000000"/>
          <w:kern w:val="0"/>
          <w:sz w:val="24"/>
          <w:szCs w:val="24"/>
          <w:lang w:val="pt-BR" w:eastAsia="pt-BR" w:bidi="ar-SA"/>
        </w:rPr>
        <w:t>ADEQUAÇÃO ORÇAMENTÁRIA</w:t>
      </w:r>
    </w:p>
    <w:p>
      <w:pPr>
        <w:pStyle w:val="Normal"/>
        <w:widowControl/>
        <w:numPr>
          <w:ilvl w:val="0"/>
          <w:numId w:val="0"/>
        </w:numPr>
        <w:suppressAutoHyphens w:val="true"/>
        <w:bidi w:val="0"/>
        <w:spacing w:lineRule="auto" w:line="276" w:before="120" w:after="120"/>
        <w:ind w:left="0" w:right="0" w:firstLine="567"/>
        <w:jc w:val="both"/>
        <w:outlineLvl w:val="0"/>
        <w:rPr/>
      </w:pPr>
      <w:r>
        <w:rPr>
          <w:rFonts w:eastAsia="Arial" w:cs="Arial" w:ascii="Carlito" w:hAnsi="Carlito"/>
          <w:b/>
          <w:bCs/>
          <w:i w:val="false"/>
          <w:iCs w:val="false"/>
          <w:color w:val="000000"/>
          <w:kern w:val="0"/>
          <w:sz w:val="24"/>
          <w:szCs w:val="24"/>
          <w:lang w:val="pt-BR" w:eastAsia="pt-BR" w:bidi="ar-SA"/>
        </w:rPr>
        <w:t xml:space="preserve">11.1 </w:t>
      </w:r>
      <w:r>
        <w:rPr>
          <w:rFonts w:eastAsia="Arial" w:cs="Arial" w:ascii="Carlito" w:hAnsi="Carlito"/>
          <w:i w:val="false"/>
          <w:iCs w:val="false"/>
          <w:color w:val="000000"/>
          <w:kern w:val="0"/>
          <w:sz w:val="24"/>
          <w:szCs w:val="24"/>
          <w:lang w:val="pt-BR" w:eastAsia="pt-BR" w:bidi="ar-SA"/>
        </w:rPr>
        <w:t>As despesas decorrentes da presente contratação correrão à conta de recursos específicos consignados no Orçamento Geral da União.</w:t>
      </w:r>
    </w:p>
    <w:p>
      <w:pPr>
        <w:pStyle w:val="Nivel01"/>
        <w:shd w:val="clear" w:fill="FFFFFF"/>
        <w:ind w:left="1077" w:right="0" w:hanging="454"/>
        <w:rPr/>
      </w:pPr>
      <w:r>
        <w:rPr>
          <w:rFonts w:eastAsia="Arial" w:cs="Arial" w:ascii="Carlito" w:hAnsi="Carlito"/>
          <w:i w:val="false"/>
          <w:iCs w:val="false"/>
          <w:color w:val="000000"/>
          <w:kern w:val="0"/>
          <w:sz w:val="24"/>
          <w:szCs w:val="24"/>
          <w:lang w:val="pt-BR" w:eastAsia="pt-BR" w:bidi="ar-SA"/>
        </w:rPr>
        <w:t xml:space="preserve">11.2. </w:t>
      </w:r>
      <w:r>
        <w:rPr>
          <w:rFonts w:eastAsia="Arial" w:cs="Arial" w:ascii="Carlito" w:hAnsi="Carlito"/>
          <w:b w:val="false"/>
          <w:bCs w:val="false"/>
          <w:i w:val="false"/>
          <w:iCs w:val="false"/>
          <w:color w:val="000000"/>
          <w:kern w:val="0"/>
          <w:sz w:val="24"/>
          <w:szCs w:val="24"/>
          <w:lang w:val="pt-BR" w:eastAsia="pt-BR" w:bidi="ar-SA"/>
        </w:rPr>
        <w:t>A contratação será atendida pela seguinte dotação:</w:t>
      </w:r>
    </w:p>
    <w:p>
      <w:pPr>
        <w:pStyle w:val="ListParagraph"/>
        <w:widowControl/>
        <w:numPr>
          <w:ilvl w:val="2"/>
          <w:numId w:val="2"/>
        </w:numPr>
        <w:suppressAutoHyphens w:val="true"/>
        <w:bidi w:val="0"/>
        <w:spacing w:lineRule="auto" w:line="276" w:before="114" w:after="114"/>
        <w:ind w:left="0" w:right="0" w:firstLine="1134"/>
        <w:contextualSpacing/>
        <w:jc w:val="both"/>
        <w:rPr/>
      </w:pPr>
      <w:r>
        <w:rPr>
          <w:rFonts w:eastAsia="Arial" w:cs="Arial" w:ascii="Carlito" w:hAnsi="Carlito"/>
          <w:i w:val="false"/>
          <w:iCs w:val="false"/>
          <w:sz w:val="24"/>
          <w:szCs w:val="24"/>
        </w:rPr>
        <w:t>Gestão/Unidade: 781402;</w:t>
      </w:r>
    </w:p>
    <w:p>
      <w:pPr>
        <w:pStyle w:val="ListParagraph"/>
        <w:widowControl/>
        <w:numPr>
          <w:ilvl w:val="2"/>
          <w:numId w:val="2"/>
        </w:numPr>
        <w:suppressAutoHyphens w:val="true"/>
        <w:bidi w:val="0"/>
        <w:spacing w:lineRule="auto" w:line="276" w:before="348" w:after="348"/>
        <w:ind w:left="0" w:right="0" w:firstLine="1134"/>
        <w:contextualSpacing/>
        <w:jc w:val="both"/>
        <w:rPr>
          <w:rFonts w:ascii="Carlito" w:hAnsi="Carlito"/>
          <w:sz w:val="24"/>
          <w:szCs w:val="24"/>
        </w:rPr>
      </w:pPr>
      <w:r>
        <w:rPr>
          <w:rFonts w:eastAsia="Arial" w:cs="Arial" w:ascii="Carlito" w:hAnsi="Carlito"/>
          <w:i w:val="false"/>
          <w:iCs w:val="false"/>
          <w:sz w:val="24"/>
          <w:szCs w:val="24"/>
        </w:rPr>
        <w:t xml:space="preserve">Fonte de Recursos: </w:t>
      </w:r>
      <w:bookmarkStart w:id="15" w:name="manterPage%25252525252525252525252525252"/>
      <w:bookmarkStart w:id="16" w:name="manterPage%25252525252525252525252525252"/>
      <w:bookmarkEnd w:id="15"/>
      <w:bookmarkEnd w:id="16"/>
      <w:r>
        <w:rPr>
          <w:rFonts w:ascii="Carlito" w:hAnsi="Carlito"/>
          <w:i w:val="false"/>
          <w:iCs w:val="false"/>
          <w:color w:val="auto"/>
          <w:sz w:val="24"/>
          <w:szCs w:val="24"/>
        </w:rPr>
        <w:t xml:space="preserve">1050000144 </w:t>
      </w:r>
      <w:r>
        <w:rPr>
          <w:rFonts w:eastAsia="Arial" w:cs="Arial" w:ascii="Carlito" w:hAnsi="Carlito"/>
          <w:i w:val="false"/>
          <w:iCs w:val="false"/>
          <w:color w:val="auto"/>
          <w:sz w:val="24"/>
          <w:szCs w:val="24"/>
        </w:rPr>
        <w:t>;</w:t>
      </w:r>
    </w:p>
    <w:p>
      <w:pPr>
        <w:pStyle w:val="ListParagraph"/>
        <w:widowControl/>
        <w:numPr>
          <w:ilvl w:val="2"/>
          <w:numId w:val="2"/>
        </w:numPr>
        <w:tabs>
          <w:tab w:val="clear" w:pos="709"/>
          <w:tab w:val="left" w:pos="1245" w:leader="none"/>
          <w:tab w:val="left" w:pos="1695" w:leader="none"/>
          <w:tab w:val="left" w:pos="2100" w:leader="none"/>
          <w:tab w:val="left" w:pos="2670" w:leader="none"/>
        </w:tabs>
        <w:suppressAutoHyphens w:val="true"/>
        <w:bidi w:val="0"/>
        <w:spacing w:lineRule="auto" w:line="276" w:before="120" w:after="120"/>
        <w:ind w:left="0" w:right="0" w:firstLine="1134"/>
        <w:contextualSpacing/>
        <w:jc w:val="both"/>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b/>
        <w:t xml:space="preserve">Programa de Trabalho: </w:t>
      </w:r>
      <w:bookmarkStart w:id="17" w:name="manterPage%25252525252525252525252525252"/>
      <w:bookmarkStart w:id="18" w:name="manterPage%25252525252525252525252525252"/>
      <w:bookmarkEnd w:id="17"/>
      <w:bookmarkEnd w:id="18"/>
      <w:r>
        <w:rPr>
          <w:rFonts w:ascii="Carlito" w:hAnsi="Carlito"/>
          <w:i w:val="false"/>
          <w:iCs w:val="false"/>
          <w:color w:val="000000"/>
          <w:sz w:val="24"/>
          <w:szCs w:val="24"/>
        </w:rPr>
        <w:t>228653</w:t>
      </w:r>
      <w:r>
        <w:rPr>
          <w:rFonts w:eastAsia="Arial" w:cs="Arial" w:ascii="Carlito" w:hAnsi="Carlito"/>
          <w:i w:val="false"/>
          <w:iCs w:val="false"/>
          <w:color w:val="000000"/>
          <w:sz w:val="24"/>
          <w:szCs w:val="24"/>
        </w:rPr>
        <w:t>;</w:t>
      </w:r>
    </w:p>
    <w:p>
      <w:pPr>
        <w:pStyle w:val="ListParagraph"/>
        <w:widowControl/>
        <w:numPr>
          <w:ilvl w:val="2"/>
          <w:numId w:val="2"/>
        </w:numPr>
        <w:suppressAutoHyphens w:val="true"/>
        <w:bidi w:val="0"/>
        <w:spacing w:lineRule="auto" w:line="276" w:before="234" w:after="234"/>
        <w:ind w:left="0" w:right="0" w:firstLine="1134"/>
        <w:contextualSpacing/>
        <w:jc w:val="both"/>
        <w:rPr/>
      </w:pPr>
      <w:r>
        <w:rPr>
          <w:rFonts w:eastAsia="Arial" w:cs="Arial" w:ascii="Carlito" w:hAnsi="Carlito"/>
          <w:i w:val="false"/>
          <w:iCs w:val="false"/>
          <w:color w:val="000000"/>
          <w:sz w:val="24"/>
          <w:szCs w:val="24"/>
        </w:rPr>
        <w:t>Elemento de Despesa: 339039; e</w:t>
      </w:r>
    </w:p>
    <w:p>
      <w:pPr>
        <w:pStyle w:val="ListParagraph"/>
        <w:widowControl/>
        <w:numPr>
          <w:ilvl w:val="2"/>
          <w:numId w:val="2"/>
        </w:numPr>
        <w:shd w:val="clear" w:fill="FFFFFF"/>
        <w:suppressAutoHyphens w:val="true"/>
        <w:bidi w:val="0"/>
        <w:spacing w:lineRule="auto" w:line="276" w:before="63" w:after="63"/>
        <w:ind w:left="0" w:right="0" w:firstLine="1134"/>
        <w:contextualSpacing/>
        <w:jc w:val="both"/>
        <w:rPr>
          <w:color w:val="000000"/>
        </w:rPr>
      </w:pPr>
      <w:r>
        <w:rPr>
          <w:rFonts w:eastAsia="Arial" w:cs="Arial" w:ascii="Carlito" w:hAnsi="Carlito"/>
          <w:i/>
          <w:iCs/>
          <w:color w:val="000000"/>
          <w:sz w:val="24"/>
          <w:szCs w:val="24"/>
        </w:rPr>
        <w:t xml:space="preserve">Plano Interno: </w:t>
      </w:r>
      <w:r>
        <w:rPr>
          <w:rStyle w:val="Nfaseforte"/>
          <w:rFonts w:eastAsia="Times New Roman" w:cs="Times New Roman" w:ascii="Calibri" w:hAnsi="Calibri"/>
          <w:b w:val="false"/>
          <w:bCs w:val="false"/>
          <w:i w:val="false"/>
          <w:iCs/>
          <w:caps w:val="false"/>
          <w:smallCaps w:val="false"/>
          <w:strike w:val="false"/>
          <w:dstrike w:val="false"/>
          <w:outline w:val="false"/>
          <w:shadow w:val="false"/>
          <w:color w:val="000000"/>
          <w:spacing w:val="0"/>
          <w:kern w:val="2"/>
          <w:sz w:val="24"/>
          <w:szCs w:val="24"/>
          <w:u w:val="none"/>
          <w:shd w:fill="FFFFFF" w:val="clear"/>
          <w:em w:val="none"/>
          <w:lang w:val="pt-BR" w:eastAsia="zh-CN" w:bidi="ar-SA"/>
        </w:rPr>
        <w:t>G471FC1Z1L0</w:t>
      </w:r>
    </w:p>
    <w:p>
      <w:pPr>
        <w:pStyle w:val="Nvel2Opcional1"/>
        <w:widowControl/>
        <w:numPr>
          <w:ilvl w:val="0"/>
          <w:numId w:val="0"/>
        </w:numPr>
        <w:shd w:val="clear" w:fill="FFFFFF"/>
        <w:tabs>
          <w:tab w:val="left" w:pos="630" w:leader="none"/>
          <w:tab w:val="left" w:pos="735" w:leader="none"/>
        </w:tabs>
        <w:suppressAutoHyphens w:val="true"/>
        <w:overflowPunct w:val="true"/>
        <w:bidi w:val="0"/>
        <w:spacing w:lineRule="auto" w:line="276" w:before="0" w:after="0"/>
        <w:ind w:left="0" w:right="0" w:hanging="0"/>
        <w:jc w:val="both"/>
        <w:rPr>
          <w:rFonts w:ascii="Carlito" w:hAnsi="Carlito"/>
          <w:color w:val="000000"/>
          <w:sz w:val="24"/>
          <w:szCs w:val="24"/>
        </w:rPr>
      </w:pPr>
      <w:r>
        <w:rPr>
          <w:rFonts w:ascii="Carlito" w:hAnsi="Carlito"/>
          <w:color w:val="000000"/>
          <w:sz w:val="24"/>
          <w:szCs w:val="24"/>
        </w:rPr>
        <w:t xml:space="preserve"> </w:t>
      </w:r>
      <w:r>
        <w:rPr>
          <w:rFonts w:ascii="Carlito" w:hAnsi="Carlito"/>
          <w:color w:val="000000"/>
          <w:sz w:val="24"/>
          <w:szCs w:val="24"/>
        </w:rPr>
        <w:tab/>
      </w:r>
      <w:r>
        <w:rPr>
          <w:rFonts w:ascii="Carlito" w:hAnsi="Carlito"/>
          <w:b/>
          <w:bCs/>
          <w:color w:val="000000"/>
          <w:sz w:val="24"/>
          <w:szCs w:val="24"/>
        </w:rPr>
        <w:t>11.3.</w:t>
      </w:r>
      <w:r>
        <w:rPr>
          <w:rFonts w:ascii="Carlito" w:hAnsi="Carlito"/>
          <w:color w:val="000000"/>
          <w:sz w:val="24"/>
          <w:szCs w:val="24"/>
        </w:rPr>
        <w:t xml:space="preserve">  A dotação relativa aos exercícios financeiros subsequentes será indicada após aprovação da Lei Orçamentária respectiva e liberação dos créditos correspondentes, mediante apostilamento.</w:t>
      </w:r>
    </w:p>
    <w:p>
      <w:pPr>
        <w:pStyle w:val="Nvel2Opcional1"/>
        <w:numPr>
          <w:ilvl w:val="0"/>
          <w:numId w:val="0"/>
        </w:numPr>
        <w:shd w:val="clear" w:fill="FFFFFF"/>
        <w:ind w:left="1913" w:right="0" w:hanging="0"/>
        <w:jc w:val="both"/>
        <w:rPr>
          <w:rFonts w:ascii="Carlito" w:hAnsi="Carlito"/>
          <w:sz w:val="24"/>
          <w:szCs w:val="24"/>
          <w:highlight w:val="cyan"/>
        </w:rPr>
      </w:pPr>
      <w:r>
        <w:rPr>
          <w:rFonts w:ascii="Carlito" w:hAnsi="Carlito"/>
          <w:sz w:val="24"/>
          <w:szCs w:val="24"/>
          <w:highlight w:val="cyan"/>
        </w:rPr>
      </w:r>
    </w:p>
    <w:p>
      <w:pPr>
        <w:pStyle w:val="Nivel01"/>
        <w:widowControl/>
        <w:numPr>
          <w:ilvl w:val="0"/>
          <w:numId w:val="2"/>
        </w:numPr>
        <w:shd w:val="clear" w:fill="FFFFFF"/>
        <w:suppressAutoHyphens w:val="true"/>
        <w:overflowPunct w:val="true"/>
        <w:bidi w:val="0"/>
        <w:spacing w:lineRule="auto" w:line="276"/>
        <w:ind w:left="360" w:right="0" w:hanging="0"/>
        <w:jc w:val="both"/>
        <w:rPr>
          <w:rFonts w:ascii="Carlito" w:hAnsi="Carlito"/>
          <w:sz w:val="24"/>
          <w:szCs w:val="24"/>
        </w:rPr>
      </w:pPr>
      <w:r>
        <w:rPr>
          <w:rFonts w:ascii="Carlito" w:hAnsi="Carlito"/>
          <w:sz w:val="24"/>
          <w:szCs w:val="24"/>
        </w:rPr>
        <w:t>DISPOSIÇÕES FINAIS</w:t>
      </w:r>
    </w:p>
    <w:p>
      <w:pPr>
        <w:pStyle w:val="Nvel02"/>
        <w:widowControl/>
        <w:numPr>
          <w:ilvl w:val="1"/>
          <w:numId w:val="2"/>
        </w:numPr>
        <w:shd w:val="clear" w:fill="FFFFFF"/>
        <w:suppressAutoHyphens w:val="true"/>
        <w:bidi w:val="0"/>
        <w:spacing w:lineRule="auto" w:line="276" w:before="0" w:after="0"/>
        <w:ind w:left="0" w:right="0" w:firstLine="567"/>
        <w:jc w:val="both"/>
        <w:rPr/>
      </w:pPr>
      <w:r>
        <w:rPr>
          <w:rFonts w:ascii="Carlito" w:hAnsi="Carlito"/>
          <w:sz w:val="24"/>
          <w:szCs w:val="24"/>
        </w:rPr>
        <w:t>As informações contidas neste Termo de Referência não são classificadas como sigilosas [exceto o custo estimado da contratação, que possui caráter sigiloso até o julgamento das propostas].</w:t>
      </w:r>
    </w:p>
    <w:p>
      <w:pPr>
        <w:pStyle w:val="Nvel02"/>
        <w:widowControl/>
        <w:numPr>
          <w:ilvl w:val="0"/>
          <w:numId w:val="0"/>
        </w:numPr>
        <w:shd w:val="clear" w:fill="FFFFFF"/>
        <w:suppressAutoHyphens w:val="true"/>
        <w:overflowPunct w:val="true"/>
        <w:bidi w:val="0"/>
        <w:spacing w:lineRule="auto" w:line="276"/>
        <w:ind w:left="1913" w:right="0" w:hanging="0"/>
        <w:jc w:val="both"/>
        <w:rPr>
          <w:rFonts w:ascii="Carlito" w:hAnsi="Carlito" w:eastAsia="Arial" w:cs="Arial"/>
          <w:i w:val="false"/>
          <w:i w:val="false"/>
          <w:iCs/>
          <w:color w:val="000000"/>
          <w:kern w:val="0"/>
          <w:sz w:val="24"/>
          <w:szCs w:val="24"/>
          <w:lang w:val="pt-BR" w:eastAsia="pt-BR" w:bidi="ar-SA"/>
        </w:rPr>
      </w:pPr>
      <w:r>
        <w:rPr>
          <w:rFonts w:eastAsia="Arial" w:cs="Arial" w:ascii="Carlito" w:hAnsi="Carlito"/>
          <w:i w:val="false"/>
          <w:iCs/>
          <w:color w:val="000000"/>
          <w:kern w:val="0"/>
          <w:sz w:val="24"/>
          <w:szCs w:val="24"/>
          <w:lang w:val="pt-BR" w:eastAsia="pt-BR" w:bidi="ar-SA"/>
        </w:rPr>
      </w:r>
    </w:p>
    <w:p>
      <w:pPr>
        <w:pStyle w:val="Normal"/>
        <w:ind w:left="709" w:right="0" w:hanging="0"/>
        <w:jc w:val="both"/>
        <w:rPr/>
      </w:pPr>
      <w:r>
        <w:rPr>
          <w:rFonts w:ascii="Carlito" w:hAnsi="Carlito"/>
          <w:b w:val="false"/>
          <w:bCs w:val="false"/>
          <w:i w:val="false"/>
          <w:iCs w:val="false"/>
          <w:sz w:val="24"/>
          <w:szCs w:val="24"/>
        </w:rPr>
        <w:t xml:space="preserve">Rio de Janeiro, RJ, em </w:t>
      </w:r>
      <w:r>
        <w:rPr>
          <w:rFonts w:ascii="Carlito" w:hAnsi="Carlito"/>
          <w:b w:val="false"/>
          <w:bCs w:val="false"/>
          <w:i w:val="false"/>
          <w:iCs w:val="false"/>
          <w:sz w:val="24"/>
          <w:szCs w:val="24"/>
        </w:rPr>
        <w:t>19</w:t>
      </w:r>
      <w:r>
        <w:rPr>
          <w:rFonts w:ascii="Carlito" w:hAnsi="Carlito"/>
          <w:b w:val="false"/>
          <w:bCs w:val="false"/>
          <w:i w:val="false"/>
          <w:iCs w:val="false"/>
          <w:sz w:val="24"/>
          <w:szCs w:val="24"/>
        </w:rPr>
        <w:t xml:space="preserve"> </w:t>
      </w:r>
      <w:r>
        <w:rPr>
          <w:rFonts w:ascii="Calibri" w:hAnsi="Calibri"/>
          <w:b w:val="false"/>
          <w:bCs w:val="false"/>
          <w:i w:val="false"/>
          <w:iCs w:val="false"/>
          <w:sz w:val="24"/>
          <w:szCs w:val="24"/>
        </w:rPr>
        <w:t xml:space="preserve">de </w:t>
      </w:r>
      <w:r>
        <w:rPr>
          <w:rFonts w:ascii="Calibri" w:hAnsi="Calibri"/>
          <w:b w:val="false"/>
          <w:bCs w:val="false"/>
          <w:i w:val="false"/>
          <w:iCs w:val="false"/>
          <w:sz w:val="24"/>
          <w:szCs w:val="24"/>
        </w:rPr>
        <w:t>março</w:t>
      </w:r>
      <w:r>
        <w:rPr>
          <w:rFonts w:ascii="Calibri" w:hAnsi="Calibri"/>
          <w:b w:val="false"/>
          <w:bCs w:val="false"/>
          <w:i w:val="false"/>
          <w:iCs w:val="false"/>
          <w:sz w:val="24"/>
          <w:szCs w:val="24"/>
        </w:rPr>
        <w:t xml:space="preserve"> </w:t>
      </w:r>
      <w:r>
        <w:rPr>
          <w:rFonts w:ascii="Calibri" w:hAnsi="Calibri"/>
          <w:b w:val="false"/>
          <w:bCs w:val="false"/>
          <w:i w:val="false"/>
          <w:iCs w:val="false"/>
          <w:sz w:val="24"/>
          <w:szCs w:val="24"/>
        </w:rPr>
        <w:t>de 202</w:t>
      </w:r>
      <w:r>
        <w:rPr>
          <w:rFonts w:ascii="Calibri" w:hAnsi="Calibri"/>
          <w:b w:val="false"/>
          <w:bCs w:val="false"/>
          <w:i w:val="false"/>
          <w:iCs w:val="false"/>
          <w:sz w:val="24"/>
          <w:szCs w:val="24"/>
        </w:rPr>
        <w:t>6</w:t>
      </w:r>
      <w:bookmarkStart w:id="19" w:name="__DdeLink__10596_1417019858"/>
      <w:r>
        <w:rPr>
          <w:rFonts w:ascii="Carlito" w:hAnsi="Carlito"/>
          <w:b w:val="false"/>
          <w:bCs w:val="false"/>
          <w:i w:val="false"/>
          <w:iCs w:val="false"/>
          <w:sz w:val="24"/>
          <w:szCs w:val="24"/>
        </w:rPr>
        <w:t>.</w:t>
      </w:r>
      <w:bookmarkEnd w:id="19"/>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 xml:space="preserve">  </w:t>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r>
    </w:p>
    <w:p>
      <w:pPr>
        <w:pStyle w:val="Normal"/>
        <w:spacing w:before="0" w:after="0"/>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______________________________________________</w:t>
      </w:r>
    </w:p>
    <w:p>
      <w:pPr>
        <w:pStyle w:val="Normal"/>
        <w:spacing w:before="0" w:after="0"/>
        <w:ind w:left="357" w:right="0" w:hanging="0"/>
        <w:jc w:val="center"/>
        <w:rPr>
          <w:rFonts w:ascii="Carlito" w:hAnsi="Carlito"/>
          <w:sz w:val="24"/>
          <w:szCs w:val="24"/>
        </w:rPr>
      </w:pPr>
      <w:r>
        <w:rPr>
          <w:rFonts w:eastAsia="Arial" w:cs="Arial" w:ascii="Carlito" w:hAnsi="Carlito"/>
          <w:i w:val="false"/>
          <w:iCs w:val="false"/>
          <w:sz w:val="24"/>
          <w:szCs w:val="24"/>
        </w:rPr>
        <w:br/>
      </w:r>
      <w:r>
        <w:rPr>
          <w:rStyle w:val="Fontepargpadro"/>
          <w:rFonts w:eastAsia="Times New Roman" w:cs="Times New Roman" w:ascii="Calibri" w:hAnsi="Calibri"/>
          <w:b w:val="false"/>
          <w:bCs w:val="false"/>
          <w:i w:val="false"/>
          <w:iCs/>
          <w:strike w:val="false"/>
          <w:dstrike w:val="false"/>
          <w:outline w:val="false"/>
          <w:shadow w:val="false"/>
          <w:color w:val="000000"/>
          <w:kern w:val="2"/>
          <w:sz w:val="24"/>
          <w:szCs w:val="24"/>
          <w:u w:val="none"/>
          <w:shd w:fill="FFFFFF" w:val="clear"/>
          <w:em w:val="none"/>
          <w:lang w:val="pt-BR" w:eastAsia="zh-CN" w:bidi="ar-SA"/>
        </w:rPr>
        <w:t>JOEL PEREIRA ANASTÁCIO</w:t>
      </w:r>
    </w:p>
    <w:p>
      <w:pPr>
        <w:pStyle w:val="Contedodatabela"/>
        <w:widowControl/>
        <w:suppressAutoHyphens w:val="true"/>
        <w:overflowPunct w:val="false"/>
        <w:bidi w:val="0"/>
        <w:snapToGrid w:val="false"/>
        <w:ind w:left="0" w:right="0" w:hanging="0"/>
        <w:jc w:val="center"/>
        <w:rPr>
          <w:rFonts w:ascii="Calibri" w:hAnsi="Calibri" w:eastAsia="Times New Roman" w:cs="Times New Roman"/>
          <w:b w:val="false"/>
          <w:b w:val="false"/>
          <w:color w:val="auto"/>
          <w:kern w:val="2"/>
          <w:sz w:val="24"/>
          <w:szCs w:val="24"/>
          <w:lang w:val="pt-BR" w:eastAsia="zh-CN" w:bidi="ar-SA"/>
        </w:rPr>
      </w:pPr>
      <w:r>
        <w:rPr>
          <w:rStyle w:val="Fontepargpadro"/>
          <w:rFonts w:eastAsia="Times New Roman" w:cs="Times New Roman" w:ascii="Calibri" w:hAnsi="Calibri"/>
          <w:b w:val="false"/>
          <w:bCs w:val="false"/>
          <w:i w:val="false"/>
          <w:iCs/>
          <w:strike w:val="false"/>
          <w:dstrike w:val="false"/>
          <w:outline w:val="false"/>
          <w:shadow w:val="false"/>
          <w:color w:val="000000"/>
          <w:kern w:val="2"/>
          <w:sz w:val="24"/>
          <w:szCs w:val="24"/>
          <w:u w:val="none"/>
          <w:shd w:fill="FFFFFF" w:val="clear"/>
          <w:em w:val="none"/>
          <w:lang w:val="pt-BR" w:eastAsia="zh-CN" w:bidi="ar-SA"/>
        </w:rPr>
        <w:t>Capitão-Tenente</w:t>
      </w:r>
    </w:p>
    <w:p>
      <w:pPr>
        <w:pStyle w:val="Normal"/>
        <w:spacing w:before="0" w:after="0"/>
        <w:ind w:left="357" w:right="0" w:hanging="0"/>
        <w:jc w:val="center"/>
        <w:rPr>
          <w:rFonts w:ascii="Carlito" w:hAnsi="Carlito"/>
          <w:sz w:val="24"/>
          <w:szCs w:val="24"/>
        </w:rPr>
      </w:pPr>
      <w:r>
        <w:rPr>
          <w:rStyle w:val="Fontepargpadro"/>
          <w:rFonts w:eastAsia="Times New Roman" w:cs="Times New Roman" w:ascii="Calibri" w:hAnsi="Calibri"/>
          <w:b w:val="false"/>
          <w:bCs w:val="false"/>
          <w:i w:val="false"/>
          <w:iCs/>
          <w:strike w:val="false"/>
          <w:dstrike w:val="false"/>
          <w:outline w:val="false"/>
          <w:shadow w:val="false"/>
          <w:color w:val="000000"/>
          <w:kern w:val="2"/>
          <w:sz w:val="24"/>
          <w:szCs w:val="24"/>
          <w:u w:val="none"/>
          <w:shd w:fill="FFFFFF" w:val="clear"/>
          <w:em w:val="none"/>
          <w:lang w:val="pt-BR" w:eastAsia="zh-CN" w:bidi="ar-SA"/>
        </w:rPr>
        <w:t>Encarregado Da Divisão De Manutenção E Suporte</w:t>
      </w:r>
    </w:p>
    <w:p>
      <w:pPr>
        <w:pStyle w:val="Normal"/>
        <w:spacing w:before="0" w:after="0"/>
        <w:ind w:left="357" w:right="0" w:hanging="0"/>
        <w:jc w:val="center"/>
        <w:rPr>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709" w:right="0" w:hanging="0"/>
        <w:jc w:val="both"/>
        <w:rPr>
          <w:rStyle w:val="Fontepargpadro"/>
          <w:rFonts w:ascii="Carlito" w:hAnsi="Carlito"/>
          <w:sz w:val="24"/>
          <w:szCs w:val="24"/>
        </w:rPr>
      </w:pPr>
      <w:r>
        <w:rPr>
          <w:rStyle w:val="Fontepargpadro"/>
          <w:rFonts w:ascii="Carlito" w:hAnsi="Carlito"/>
          <w:b w:val="false"/>
          <w:bCs w:val="false"/>
          <w:i w:val="false"/>
          <w:iCs w:val="false"/>
          <w:sz w:val="24"/>
          <w:szCs w:val="24"/>
        </w:rPr>
        <w:t xml:space="preserve">Rio de Janeiro, RJ, em  </w:t>
      </w:r>
      <w:r>
        <w:rPr>
          <w:rStyle w:val="Fontepargpadro"/>
          <w:rFonts w:ascii="Carlito" w:hAnsi="Carlito"/>
          <w:b w:val="false"/>
          <w:bCs w:val="false"/>
          <w:i w:val="false"/>
          <w:iCs w:val="false"/>
          <w:sz w:val="24"/>
          <w:szCs w:val="24"/>
        </w:rPr>
        <w:t>1</w:t>
      </w:r>
      <w:r>
        <w:rPr>
          <w:rStyle w:val="Fontepargpadro"/>
          <w:rFonts w:ascii="Carlito" w:hAnsi="Carlito"/>
          <w:b w:val="false"/>
          <w:bCs w:val="false"/>
          <w:i w:val="false"/>
          <w:iCs w:val="false"/>
          <w:sz w:val="24"/>
          <w:szCs w:val="24"/>
        </w:rPr>
        <w:t>9</w:t>
      </w:r>
      <w:r>
        <w:rPr>
          <w:rStyle w:val="Fontepargpadro"/>
          <w:rFonts w:ascii="Carlito" w:hAnsi="Carlito"/>
          <w:b w:val="false"/>
          <w:bCs w:val="false"/>
          <w:i w:val="false"/>
          <w:iCs w:val="false"/>
          <w:sz w:val="24"/>
          <w:szCs w:val="24"/>
        </w:rPr>
        <w:t xml:space="preserve"> </w:t>
      </w:r>
      <w:r>
        <w:rPr>
          <w:rStyle w:val="Fontepargpadro"/>
          <w:rFonts w:ascii="Calibri" w:hAnsi="Calibri"/>
          <w:b w:val="false"/>
          <w:bCs w:val="false"/>
          <w:i w:val="false"/>
          <w:iCs w:val="false"/>
          <w:sz w:val="24"/>
          <w:szCs w:val="24"/>
        </w:rPr>
        <w:t xml:space="preserve">de </w:t>
      </w:r>
      <w:r>
        <w:rPr>
          <w:rStyle w:val="Fontepargpadro"/>
          <w:rFonts w:ascii="Calibri" w:hAnsi="Calibri"/>
          <w:b w:val="false"/>
          <w:bCs w:val="false"/>
          <w:i w:val="false"/>
          <w:iCs w:val="false"/>
          <w:sz w:val="24"/>
          <w:szCs w:val="24"/>
        </w:rPr>
        <w:t>março</w:t>
      </w:r>
      <w:r>
        <w:rPr>
          <w:rStyle w:val="Fontepargpadro"/>
          <w:rFonts w:ascii="Calibri" w:hAnsi="Calibri"/>
          <w:b w:val="false"/>
          <w:bCs w:val="false"/>
          <w:i w:val="false"/>
          <w:iCs w:val="false"/>
          <w:sz w:val="24"/>
          <w:szCs w:val="24"/>
        </w:rPr>
        <w:t xml:space="preserve"> </w:t>
      </w:r>
      <w:r>
        <w:rPr>
          <w:rStyle w:val="Fontepargpadro"/>
          <w:rFonts w:ascii="Calibri" w:hAnsi="Calibri"/>
          <w:b w:val="false"/>
          <w:bCs w:val="false"/>
          <w:i w:val="false"/>
          <w:iCs w:val="false"/>
          <w:sz w:val="24"/>
          <w:szCs w:val="24"/>
        </w:rPr>
        <w:t>de 202</w:t>
      </w:r>
      <w:r>
        <w:rPr>
          <w:rStyle w:val="Fontepargpadro"/>
          <w:rFonts w:ascii="Calibri" w:hAnsi="Calibri"/>
          <w:b w:val="false"/>
          <w:bCs w:val="false"/>
          <w:i w:val="false"/>
          <w:iCs w:val="false"/>
          <w:sz w:val="24"/>
          <w:szCs w:val="24"/>
        </w:rPr>
        <w:t>6</w:t>
      </w:r>
      <w:bookmarkStart w:id="20" w:name="__DdeLink__10596_14170198581"/>
      <w:r>
        <w:rPr>
          <w:rStyle w:val="Fontepargpadro"/>
          <w:rFonts w:ascii="Carlito" w:hAnsi="Carlito"/>
          <w:b w:val="false"/>
          <w:bCs w:val="false"/>
          <w:i w:val="false"/>
          <w:iCs w:val="false"/>
          <w:sz w:val="24"/>
          <w:szCs w:val="24"/>
        </w:rPr>
        <w:t>.</w:t>
      </w:r>
      <w:bookmarkEnd w:id="20"/>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hd w:val="clear" w:fill="FFFFFF"/>
        <w:spacing w:before="0" w:after="0"/>
        <w:ind w:left="0" w:right="0" w:hanging="0"/>
        <w:jc w:val="center"/>
        <w:rPr>
          <w:rStyle w:val="Fontepargpadro"/>
          <w:rFonts w:ascii="Carlito" w:hAnsi="Carlito"/>
          <w:sz w:val="24"/>
          <w:szCs w:val="24"/>
        </w:rPr>
      </w:pPr>
      <w:r>
        <w:rPr>
          <w:rFonts w:ascii="Carlito" w:hAnsi="Carlito"/>
          <w:sz w:val="24"/>
          <w:szCs w:val="24"/>
        </w:rPr>
      </w:r>
    </w:p>
    <w:p>
      <w:pPr>
        <w:pStyle w:val="Normal"/>
        <w:spacing w:before="0" w:after="0"/>
        <w:ind w:left="357" w:right="0" w:hanging="0"/>
        <w:jc w:val="center"/>
        <w:rPr>
          <w:rFonts w:ascii="Carlito" w:hAnsi="Carlito" w:eastAsia="Arial" w:cs="Arial"/>
          <w:i w:val="false"/>
          <w:i w:val="false"/>
          <w:iCs w:val="false"/>
          <w:sz w:val="24"/>
          <w:szCs w:val="24"/>
        </w:rPr>
      </w:pPr>
      <w:r>
        <w:rPr>
          <w:rFonts w:eastAsia="Arial" w:cs="Arial" w:ascii="Carlito" w:hAnsi="Carlito"/>
          <w:i w:val="false"/>
          <w:iCs w:val="false"/>
          <w:sz w:val="24"/>
          <w:szCs w:val="24"/>
        </w:rPr>
        <w:t>______________________________________________</w:t>
      </w:r>
    </w:p>
    <w:p>
      <w:pPr>
        <w:pStyle w:val="Normal"/>
        <w:spacing w:before="0" w:after="0"/>
        <w:ind w:left="357" w:right="0" w:hanging="0"/>
        <w:jc w:val="center"/>
        <w:rPr/>
      </w:pPr>
      <w:r>
        <w:rPr>
          <w:rFonts w:eastAsia="Arial" w:cs="Arial" w:ascii="Carlito" w:hAnsi="Carlito"/>
          <w:i w:val="false"/>
          <w:iCs w:val="false"/>
          <w:sz w:val="24"/>
          <w:szCs w:val="24"/>
        </w:rPr>
        <w:br/>
      </w:r>
      <w:r>
        <w:rPr>
          <w:rFonts w:eastAsia="Times New Roman" w:cs="Times New Roman" w:ascii="Calibri" w:hAnsi="Calibri"/>
          <w:b w:val="false"/>
          <w:i w:val="false"/>
          <w:iCs w:val="false"/>
          <w:color w:val="auto"/>
          <w:kern w:val="2"/>
          <w:sz w:val="24"/>
          <w:szCs w:val="24"/>
          <w:lang w:val="pt-BR" w:eastAsia="zh-CN" w:bidi="ar-SA"/>
        </w:rPr>
        <w:t>HÉLIO CANCIAN NETO</w:t>
      </w:r>
    </w:p>
    <w:p>
      <w:pPr>
        <w:pStyle w:val="Normal"/>
        <w:widowControl/>
        <w:suppressAutoHyphens w:val="true"/>
        <w:overflowPunct w:val="false"/>
        <w:bidi w:val="0"/>
        <w:ind w:left="0" w:right="0" w:hanging="0"/>
        <w:jc w:val="center"/>
        <w:rPr>
          <w:rFonts w:ascii="Calibri" w:hAnsi="Calibri" w:eastAsia="Times New Roman" w:cs="Times New Roman"/>
          <w:b w:val="false"/>
          <w:b w:val="false"/>
          <w:color w:val="auto"/>
          <w:kern w:val="2"/>
          <w:sz w:val="24"/>
          <w:szCs w:val="24"/>
          <w:lang w:val="pt-BR" w:eastAsia="zh-CN" w:bidi="ar-SA"/>
        </w:rPr>
      </w:pPr>
      <w:r>
        <w:rPr>
          <w:rFonts w:eastAsia="Times New Roman" w:cs="Times New Roman" w:ascii="Calibri" w:hAnsi="Calibri"/>
          <w:b w:val="false"/>
          <w:color w:val="auto"/>
          <w:kern w:val="2"/>
          <w:sz w:val="24"/>
          <w:szCs w:val="24"/>
          <w:lang w:val="pt-BR" w:eastAsia="zh-CN" w:bidi="ar-SA"/>
        </w:rPr>
        <w:t xml:space="preserve"> </w:t>
      </w:r>
      <w:r>
        <w:rPr>
          <w:rFonts w:eastAsia="Times New Roman" w:cs="Times New Roman" w:ascii="Calibri" w:hAnsi="Calibri"/>
          <w:b w:val="false"/>
          <w:color w:val="auto"/>
          <w:kern w:val="2"/>
          <w:sz w:val="24"/>
          <w:szCs w:val="24"/>
          <w:lang w:val="pt-BR" w:eastAsia="zh-CN" w:bidi="ar-SA"/>
        </w:rPr>
        <w:t xml:space="preserve">Capitão de Fragata </w:t>
      </w:r>
    </w:p>
    <w:p>
      <w:pPr>
        <w:pStyle w:val="Normal"/>
        <w:spacing w:before="0" w:after="0"/>
        <w:ind w:left="357" w:right="0" w:hanging="0"/>
        <w:jc w:val="center"/>
        <w:rPr/>
      </w:pPr>
      <w:r>
        <w:rPr>
          <w:rStyle w:val="Fontepargpadro"/>
          <w:rFonts w:eastAsia="Times New Roman" w:cs="Times New Roman" w:ascii="Calibri" w:hAnsi="Calibri"/>
          <w:b w:val="false"/>
          <w:bCs w:val="false"/>
          <w:i w:val="false"/>
          <w:iCs w:val="false"/>
          <w:color w:val="auto"/>
          <w:kern w:val="2"/>
          <w:sz w:val="24"/>
          <w:szCs w:val="24"/>
          <w:lang w:val="pt-BR" w:eastAsia="zh-CN" w:bidi="ar-SA"/>
        </w:rPr>
        <w:t>Ordenador de Despesas</w:t>
      </w:r>
    </w:p>
    <w:sectPr>
      <w:headerReference w:type="default" r:id="rId6"/>
      <w:footerReference w:type="default" r:id="rId7"/>
      <w:type w:val="nextPage"/>
      <w:pgSz w:w="11906" w:h="16838"/>
      <w:pgMar w:left="1134" w:right="1127"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Courier New">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Carlito">
    <w:altName w:val="Calibri"/>
    <w:charset w:val="01"/>
    <w:family w:val="roman"/>
    <w:pitch w:val="variable"/>
  </w:font>
  <w:font w:name="Calibri">
    <w:charset w:val="01"/>
    <w:family w:val="swiss"/>
    <w:pitch w:val="default"/>
  </w:font>
  <w:font w:name="Carlito">
    <w:altName w:val="Calibri"/>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color w:val="548DD4"/>
        <w:spacing w:val="60"/>
        <w:sz w:val="22"/>
        <w:szCs w:val="22"/>
      </w:rPr>
    </w:pPr>
    <w:r>
      <w:rPr>
        <w:color w:val="548DD4"/>
        <w:spacing w:val="60"/>
        <w:sz w:val="22"/>
        <w:szCs w:val="22"/>
      </w:rPr>
      <w:tab/>
      <w:tab/>
    </w:r>
  </w:p>
  <w:p>
    <w:pPr>
      <w:pStyle w:val="Rodap"/>
      <w:rPr/>
    </w:pPr>
    <w:r>
      <w:rPr>
        <w:color w:val="7F7F7F"/>
        <w:spacing w:val="60"/>
        <w:sz w:val="22"/>
        <w:szCs w:val="22"/>
      </w:rPr>
      <w:tab/>
      <w:tab/>
    </w:r>
    <w:r>
      <w:rPr>
        <w:rFonts w:cs="Arial" w:ascii="Arial" w:hAnsi="Arial"/>
        <w:color w:val="595959"/>
        <w:spacing w:val="60"/>
        <w:sz w:val="18"/>
        <w:szCs w:val="18"/>
      </w:rPr>
      <w:t>Página</w:t>
    </w:r>
    <w:r>
      <w:rPr>
        <w:rFonts w:cs="Arial" w:ascii="Arial" w:hAnsi="Arial"/>
        <w:color w:val="595959"/>
        <w:sz w:val="18"/>
        <w:szCs w:val="18"/>
      </w:rPr>
      <w:t xml:space="preserve"> </w:t>
    </w:r>
    <w:r>
      <w:rPr>
        <w:rFonts w:cs="Arial" w:ascii="Arial" w:hAnsi="Arial"/>
        <w:sz w:val="18"/>
        <w:szCs w:val="18"/>
      </w:rPr>
      <w:fldChar w:fldCharType="begin"/>
    </w:r>
    <w:r>
      <w:rPr>
        <w:sz w:val="18"/>
        <w:szCs w:val="18"/>
        <w:rFonts w:cs="Arial" w:ascii="Arial" w:hAnsi="Arial"/>
      </w:rPr>
      <w:instrText xml:space="preserve"> PAGE </w:instrText>
    </w:r>
    <w:r>
      <w:rPr>
        <w:sz w:val="18"/>
        <w:szCs w:val="18"/>
        <w:rFonts w:cs="Arial" w:ascii="Arial" w:hAnsi="Arial"/>
      </w:rPr>
      <w:fldChar w:fldCharType="separate"/>
    </w:r>
    <w:r>
      <w:rPr>
        <w:sz w:val="18"/>
        <w:szCs w:val="18"/>
        <w:rFonts w:cs="Arial" w:ascii="Arial" w:hAnsi="Arial"/>
      </w:rPr>
      <w:t>17</w:t>
    </w:r>
    <w:r>
      <w:rPr>
        <w:sz w:val="18"/>
        <w:szCs w:val="18"/>
        <w:rFonts w:cs="Arial" w:ascii="Arial" w:hAnsi="Arial"/>
      </w:rPr>
      <w:fldChar w:fldCharType="end"/>
    </w:r>
    <w:r>
      <w:rPr>
        <w:rFonts w:cs="Arial" w:ascii="Arial" w:hAnsi="Arial"/>
        <w:color w:val="595959"/>
        <w:sz w:val="18"/>
        <w:szCs w:val="18"/>
      </w:rPr>
      <w:t xml:space="preserve"> | </w:t>
    </w:r>
    <w:r>
      <w:rPr>
        <w:rFonts w:cs="Arial" w:ascii="Arial" w:hAnsi="Arial"/>
        <w:sz w:val="18"/>
        <w:szCs w:val="18"/>
      </w:rPr>
      <w:fldChar w:fldCharType="begin"/>
    </w:r>
    <w:r>
      <w:rPr>
        <w:sz w:val="18"/>
        <w:szCs w:val="18"/>
        <w:rFonts w:cs="Arial" w:ascii="Arial" w:hAnsi="Arial"/>
      </w:rPr>
      <w:instrText xml:space="preserve"> NUMPAGES </w:instrText>
    </w:r>
    <w:r>
      <w:rPr>
        <w:sz w:val="18"/>
        <w:szCs w:val="18"/>
        <w:rFonts w:cs="Arial" w:ascii="Arial" w:hAnsi="Arial"/>
      </w:rPr>
      <w:fldChar w:fldCharType="separate"/>
    </w:r>
    <w:r>
      <w:rPr>
        <w:sz w:val="18"/>
        <w:szCs w:val="18"/>
        <w:rFonts w:cs="Arial" w:ascii="Arial" w:hAnsi="Arial"/>
      </w:rPr>
      <w:t>19</w:t>
    </w:r>
    <w:r>
      <w:rPr>
        <w:sz w:val="18"/>
        <w:szCs w:val="18"/>
        <w:rFonts w:cs="Arial" w:ascii="Arial" w:hAnsi="Arial"/>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Modelo de Termo de Referência para Obras e Serviços, exceto TIC – Licitação e Contratação Direta - Lei nº 14.133, de 2021</w:t>
    </w:r>
  </w:p>
  <w:p>
    <w:pPr>
      <w:pStyle w:val="Rodap"/>
      <w:rPr>
        <w:rFonts w:ascii="Arial" w:hAnsi="Arial" w:cs="Arial"/>
        <w:sz w:val="14"/>
        <w:szCs w:val="14"/>
      </w:rPr>
    </w:pPr>
    <w:r>
      <w:rPr>
        <w:rFonts w:cs="Arial" w:ascii="Arial" w:hAnsi="Arial"/>
        <w:sz w:val="14"/>
        <w:szCs w:val="14"/>
      </w:rPr>
      <w:t>Aprovado pela Secretaria de Gestão e Inovação</w:t>
    </w:r>
  </w:p>
  <w:p>
    <w:pPr>
      <w:pStyle w:val="Rodap"/>
      <w:rPr>
        <w:rFonts w:ascii="Arial" w:hAnsi="Arial" w:cs="Arial"/>
        <w:sz w:val="14"/>
        <w:szCs w:val="14"/>
      </w:rPr>
    </w:pPr>
    <w:r>
      <w:rPr>
        <w:rFonts w:cs="Arial" w:ascii="Arial" w:hAnsi="Arial"/>
        <w:sz w:val="14"/>
        <w:szCs w:val="14"/>
      </w:rPr>
      <w:t>Identidade visual pela Secretaria de Gestão e Inovação</w:t>
    </w:r>
  </w:p>
  <w:p>
    <w:pPr>
      <w:pStyle w:val="Rodap"/>
      <w:rPr>
        <w:rFonts w:ascii="Arial" w:hAnsi="Arial" w:cs="Arial"/>
        <w:sz w:val="14"/>
        <w:szCs w:val="14"/>
      </w:rPr>
    </w:pPr>
    <w:r>
      <w:rPr>
        <w:rFonts w:cs="Arial" w:ascii="Arial" w:hAnsi="Arial"/>
        <w:sz w:val="14"/>
        <w:szCs w:val="14"/>
      </w:rPr>
      <w:t>Atualização: ABR/2025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b/>
      </w:rPr>
    </w:lvl>
    <w:lvl w:ilvl="1">
      <w:start w:val="1"/>
      <w:pStyle w:val="Ttulo2"/>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720"/>
        </w:tabs>
        <w:ind w:left="720" w:hanging="360"/>
      </w:pPr>
      <w:rPr/>
    </w:lvl>
    <w:lvl w:ilvl="1">
      <w:start w:val="1"/>
      <w:numFmt w:val="decimal"/>
      <w:lvlText w:val="%1.%2."/>
      <w:lvlJc w:val="left"/>
      <w:pPr>
        <w:tabs>
          <w:tab w:val="num" w:pos="1080"/>
        </w:tabs>
        <w:ind w:left="1080" w:hanging="360"/>
      </w:pPr>
      <w:rPr>
        <w:sz w:val="24"/>
        <w:b w:val="false"/>
        <w:szCs w:val="24"/>
        <w:rFonts w:ascii="Carlito" w:hAnsi="Carlito"/>
        <w:color w:val="000000"/>
      </w:rPr>
    </w:lvl>
    <w:lvl w:ilvl="2">
      <w:start w:val="1"/>
      <w:numFmt w:val="lowerLetter"/>
      <w:lvlText w:val="%2.%3"/>
      <w:lvlJc w:val="left"/>
      <w:pPr>
        <w:tabs>
          <w:tab w:val="num" w:pos="1440"/>
        </w:tabs>
        <w:ind w:left="1440" w:hanging="360"/>
      </w:pPr>
      <w:rPr/>
    </w:lvl>
    <w:lvl w:ilvl="3">
      <w:start w:val="1"/>
      <w:numFmt w:val="bullet"/>
      <w:lvlText w:val=""/>
      <w:lvlJc w:val="left"/>
      <w:pPr>
        <w:tabs>
          <w:tab w:val="num" w:pos="1800"/>
        </w:tabs>
        <w:ind w:left="1800" w:hanging="360"/>
      </w:pPr>
      <w:rPr>
        <w:rFonts w:ascii="Symbol" w:hAnsi="Symbol" w:cs="Symbol" w:hint="default"/>
        <w:sz w:val="24"/>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mirrorMargin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Ttulo1">
    <w:name w:val="Heading 1"/>
    <w:basedOn w:val="Normal"/>
    <w:next w:val="Normal"/>
    <w:qFormat/>
    <w:pPr>
      <w:keepNext w:val="true"/>
      <w:keepLines/>
      <w:numPr>
        <w:ilvl w:val="0"/>
        <w:numId w:val="1"/>
      </w:numPr>
      <w:spacing w:before="480" w:after="0"/>
      <w:outlineLvl w:val="0"/>
    </w:pPr>
    <w:rPr>
      <w:rFonts w:ascii="Arial" w:hAnsi="Arial" w:eastAsia="ＭＳ ゴシック" w:cs="Times New Roman"/>
      <w:b/>
      <w:bCs/>
      <w:sz w:val="20"/>
      <w:szCs w:val="28"/>
    </w:rPr>
  </w:style>
  <w:style w:type="paragraph" w:styleId="Ttulo2">
    <w:name w:val="Heading 2"/>
    <w:basedOn w:val="Normal"/>
    <w:next w:val="Normal"/>
    <w:qFormat/>
    <w:pPr>
      <w:keepNext w:val="true"/>
      <w:numPr>
        <w:ilvl w:val="1"/>
        <w:numId w:val="1"/>
      </w:numPr>
      <w:spacing w:lineRule="auto" w:line="276" w:before="120" w:after="120"/>
      <w:ind w:left="0" w:right="0" w:hanging="0"/>
      <w:jc w:val="both"/>
      <w:outlineLvl w:val="1"/>
    </w:pPr>
    <w:rPr>
      <w:rFonts w:ascii="Arial" w:hAnsi="Arial" w:cs="Times New Roman"/>
      <w:sz w:val="20"/>
      <w:szCs w:val="20"/>
    </w:rPr>
  </w:style>
  <w:style w:type="paragraph" w:styleId="Ttulo3">
    <w:name w:val="Heading 3"/>
    <w:basedOn w:val="Normal"/>
    <w:next w:val="Normal"/>
    <w:qFormat/>
    <w:pPr>
      <w:keepNext w:val="true"/>
      <w:keepLines/>
      <w:spacing w:lineRule="auto" w:line="259" w:before="40" w:after="0"/>
      <w:outlineLvl w:val="2"/>
    </w:pPr>
    <w:rPr>
      <w:rFonts w:ascii="Calibri" w:hAnsi="Calibri" w:eastAsia="ＭＳ ゴシック" w:cs="Times New Roman"/>
      <w:color w:val="243F60"/>
      <w:lang w:eastAsia="en-US"/>
    </w:rPr>
  </w:style>
  <w:style w:type="paragraph" w:styleId="Ttulo4">
    <w:name w:val="Heading 4"/>
    <w:basedOn w:val="Normal"/>
    <w:next w:val="Normal"/>
    <w:qFormat/>
    <w:pPr>
      <w:keepNext w:val="true"/>
      <w:keepLines/>
      <w:spacing w:before="40" w:after="0"/>
      <w:outlineLvl w:val="3"/>
    </w:pPr>
    <w:rPr>
      <w:rFonts w:ascii="Calibri" w:hAnsi="Calibri" w:eastAsia="ＭＳ ゴシック" w:cs="Times New Roman"/>
      <w:i/>
      <w:iCs/>
      <w:color w:val="365F91"/>
    </w:rPr>
  </w:style>
  <w:style w:type="paragraph" w:styleId="Ttulo6">
    <w:name w:val="Heading 6"/>
    <w:basedOn w:val="Normal"/>
    <w:next w:val="Normal"/>
    <w:qFormat/>
    <w:pPr>
      <w:keepNext w:val="true"/>
      <w:keepLines/>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rFonts w:ascii="Arial" w:hAnsi="Arial"/>
      <w:lang w:eastAsia="pt-BR"/>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LinkdaInternet">
    <w:name w:val="Link da Internet"/>
    <w:basedOn w:val="DefaultParagraphFont"/>
    <w:rPr>
      <w:color w:val="0000FF"/>
      <w:u w:val="single"/>
    </w:rPr>
  </w:style>
  <w:style w:type="character" w:styleId="CitaoChar">
    <w:name w:val="Citação Char"/>
    <w:qFormat/>
    <w:rPr>
      <w:rFonts w:ascii="Arial" w:hAnsi="Arial" w:eastAsia="Calibri" w:cs="Tahoma"/>
      <w:i/>
      <w:iCs/>
      <w:color w:val="000000"/>
      <w:szCs w:val="24"/>
    </w:rPr>
  </w:style>
  <w:style w:type="character" w:styleId="NotaexplicativaChar">
    <w:name w:val="Nota explicativa Char"/>
    <w:basedOn w:val="CitaoChar"/>
    <w:qFormat/>
    <w:rPr>
      <w:rFonts w:ascii="Arial" w:hAnsi="Arial" w:eastAsia="Calibri" w:cs="Tahoma"/>
      <w:i/>
      <w:iCs/>
      <w:color w:val="000000"/>
      <w:szCs w:val="24"/>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Ecofont_Spranq_eco_Sans" w:hAnsi="Ecofont_Spranq_eco_Sans" w:cs="Tahoma"/>
      <w:lang w:eastAsia="pt-BR"/>
    </w:rPr>
  </w:style>
  <w:style w:type="character" w:styleId="AssuntodocomentrioChar">
    <w:name w:val="Assunto do comentário Char"/>
    <w:basedOn w:val="TextodecomentrioChar"/>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ＭＳ ゴシック" w:cs="Times New Roman"/>
      <w:i/>
      <w:iCs/>
      <w:color w:val="365F91"/>
      <w:sz w:val="24"/>
      <w:szCs w:val="24"/>
      <w:lang w:eastAsia="pt-BR"/>
    </w:rPr>
  </w:style>
  <w:style w:type="character" w:styleId="TtuloChar">
    <w:name w:val="Título Char"/>
    <w:basedOn w:val="DefaultParagraphFont"/>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qFormat/>
    <w:rPr>
      <w:rFonts w:ascii="Arial" w:hAnsi="Arial" w:eastAsia="Arial" w:cs="Arial"/>
      <w:b/>
      <w:iCs/>
      <w:color w:val="17365D"/>
      <w:spacing w:val="5"/>
      <w:kern w:val="2"/>
      <w:sz w:val="52"/>
      <w:szCs w:val="52"/>
      <w:lang w:eastAsia="pt-BR"/>
    </w:rPr>
  </w:style>
  <w:style w:type="character" w:styleId="Ttulo1Char">
    <w:name w:val="Título 1 Char"/>
    <w:basedOn w:val="DefaultParagraphFont"/>
    <w:qFormat/>
    <w:rPr>
      <w:rFonts w:ascii="Arial" w:hAnsi="Arial" w:eastAsia="ＭＳ ゴシック" w:cs="Times New Roman"/>
      <w:b/>
      <w:bCs/>
      <w:szCs w:val="28"/>
      <w:lang w:eastAsia="pt-BR"/>
    </w:rPr>
  </w:style>
  <w:style w:type="character" w:styleId="Nivel01TituloChar">
    <w:name w:val="Nivel_01_Titulo Char"/>
    <w:basedOn w:val="Nivel01Char"/>
    <w:qFormat/>
    <w:rPr>
      <w:rFonts w:ascii="Arial" w:hAnsi="Arial" w:eastAsia="ＭＳ ゴシック" w:cs="Times New Roman"/>
      <w:b/>
      <w:bCs w:val="false"/>
      <w:iCs/>
      <w:vanish w:val="false"/>
      <w:color w:val="000000"/>
      <w:spacing w:val="5"/>
      <w:kern w:val="2"/>
      <w:sz w:val="52"/>
      <w:szCs w:val="52"/>
      <w:lang w:eastAsia="pt-BR"/>
    </w:rPr>
  </w:style>
  <w:style w:type="character" w:styleId="QuoteChar">
    <w:name w:val="Quote Char"/>
    <w:basedOn w:val="DefaultParagraphFont"/>
    <w:qFormat/>
    <w:rPr>
      <w:rFonts w:ascii="Ecofont_Spranq_eco_Sans" w:hAnsi="Ecofont_Spranq_eco_Sans" w:eastAsia="Calibri" w:cs="Tahoma"/>
      <w:i/>
      <w:iCs/>
      <w:color w:val="000000"/>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qFormat/>
    <w:rPr>
      <w:rFonts w:ascii="Arial" w:hAnsi="Arial" w:eastAsia="ＭＳ ゴシック" w:cs="Arial"/>
      <w:b/>
      <w:bCs w:val="false"/>
      <w:color w:val="000000"/>
      <w:szCs w:val="28"/>
      <w:lang w:eastAsia="pt-BR"/>
    </w:rPr>
  </w:style>
  <w:style w:type="character" w:styleId="Nivel4Char">
    <w:name w:val="Nivel 4 Char"/>
    <w:basedOn w:val="DefaultParagraphFont"/>
    <w:qFormat/>
    <w:rPr>
      <w:rFonts w:ascii="Arial" w:hAnsi="Arial" w:cs="Arial"/>
      <w:bCs/>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qFormat/>
    <w:rPr>
      <w:rFonts w:ascii="Arial" w:hAnsi="Arial" w:eastAsia="Calibri"/>
      <w:i/>
      <w:iCs/>
      <w:color w:val="000000"/>
      <w:szCs w:val="24"/>
    </w:rPr>
  </w:style>
  <w:style w:type="character" w:styleId="Highlight">
    <w:name w:val="highlight"/>
    <w:basedOn w:val="DefaultParagraphFont"/>
    <w:qFormat/>
    <w:rPr/>
  </w:style>
  <w:style w:type="character" w:styleId="Linkdainternetvisitado">
    <w:name w:val="Link da internet visitado"/>
    <w:basedOn w:val="DefaultParagraphFont"/>
    <w:rPr>
      <w:color w:val="800080"/>
      <w:u w:val="single"/>
    </w:rPr>
  </w:style>
  <w:style w:type="character" w:styleId="MenoPendente1">
    <w:name w:val="Menção Pendente1"/>
    <w:basedOn w:val="DefaultParagraphFont"/>
    <w:qFormat/>
    <w:rPr>
      <w:color w:val="605E5C"/>
    </w:rPr>
  </w:style>
  <w:style w:type="character" w:styleId="MenoPendente2">
    <w:name w:val="Menção Pendente2"/>
    <w:basedOn w:val="DefaultParagraphFont"/>
    <w:qFormat/>
    <w:rPr>
      <w:color w:val="605E5C"/>
    </w:rPr>
  </w:style>
  <w:style w:type="character" w:styleId="Nivel2OpcionalChar">
    <w:name w:val="Nivel 2-Opcional Char"/>
    <w:basedOn w:val="DefaultParagraphFont"/>
    <w:qFormat/>
    <w:rPr>
      <w:rFonts w:ascii="Arial" w:hAnsi="Arial" w:eastAsia="Arial" w:cs="Arial"/>
      <w:i/>
      <w:color w:val="FF0000"/>
      <w:lang w:eastAsia="pt-BR"/>
    </w:rPr>
  </w:style>
  <w:style w:type="character" w:styleId="Nvel2OpcionalChar">
    <w:name w:val="Nível 2 Opcional Char"/>
    <w:basedOn w:val="DefaultParagraphFont"/>
    <w:qFormat/>
    <w:rPr>
      <w:rFonts w:ascii="Arial" w:hAnsi="Arial" w:eastAsia="Times New Roman" w:cs="Arial"/>
      <w:i/>
      <w:color w:val="FF0000"/>
      <w:lang w:eastAsia="pt-BR"/>
    </w:rPr>
  </w:style>
  <w:style w:type="character" w:styleId="Nvel3OpcionalChar">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ＭＳ ゴシック" w:cs="Times New Roman"/>
      <w:color w:val="243F60"/>
      <w:sz w:val="24"/>
      <w:szCs w:val="24"/>
    </w:rPr>
  </w:style>
  <w:style w:type="character" w:styleId="Ttulo6Char">
    <w:name w:val="Título 6 Char"/>
    <w:basedOn w:val="DefaultParagraphFont"/>
    <w:qFormat/>
    <w:rPr>
      <w:rFonts w:ascii="Calibri" w:hAnsi="Calibri" w:eastAsia="ＭＳ ゴシック" w:cs="Times New Roman"/>
      <w:color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rPr>
  </w:style>
  <w:style w:type="character" w:styleId="MenoPendente4">
    <w:name w:val="Menção Pendente4"/>
    <w:basedOn w:val="DefaultParagraphFont"/>
    <w:qFormat/>
    <w:rPr>
      <w:color w:val="605E5C"/>
    </w:rPr>
  </w:style>
  <w:style w:type="character" w:styleId="OuChar">
    <w:name w:val="ou Char"/>
    <w:basedOn w:val="PargrafodaListaChar"/>
    <w:qFormat/>
    <w:rPr>
      <w:rFonts w:ascii="Arial" w:hAnsi="Arial" w:eastAsia="Cambria" w:cs="Arial"/>
      <w:b/>
      <w:bCs/>
      <w:i/>
      <w:iCs/>
      <w:color w:val="FF0000"/>
      <w:sz w:val="24"/>
      <w:szCs w:val="24"/>
      <w:lang w:eastAsia="pt-BR"/>
    </w:rPr>
  </w:style>
  <w:style w:type="character" w:styleId="Nvel02Char">
    <w:name w:val="Nível 02 Char"/>
    <w:basedOn w:val="Nivel2OpcionalChar"/>
    <w:qFormat/>
    <w:rPr>
      <w:rFonts w:ascii="Arial" w:hAnsi="Arial" w:eastAsia="Arial" w:cs="Arial"/>
      <w:i w:val="false"/>
      <w:iCs/>
      <w:color w:val="FF0000"/>
      <w:lang w:eastAsia="pt-BR"/>
    </w:rPr>
  </w:style>
  <w:style w:type="character" w:styleId="Nivel3erroChar">
    <w:name w:val="Nivel 3-erro Char"/>
    <w:basedOn w:val="DefaultParagraphFont"/>
    <w:qFormat/>
    <w:rPr>
      <w:rFonts w:ascii="Arial" w:hAnsi="Arial" w:cs="Tahoma"/>
      <w:szCs w:val="24"/>
      <w:lang w:eastAsia="pt-BR"/>
    </w:rPr>
  </w:style>
  <w:style w:type="character" w:styleId="Nvel3RChar">
    <w:name w:val="Nível 3-R Char"/>
    <w:basedOn w:val="Nivel3erroChar"/>
    <w:qFormat/>
    <w:rPr>
      <w:rFonts w:ascii="Arial" w:hAnsi="Arial" w:cs="Arial"/>
      <w:i/>
      <w:iCs/>
      <w:color w:val="FF0000"/>
      <w:szCs w:val="24"/>
      <w:lang w:eastAsia="pt-BR"/>
    </w:rPr>
  </w:style>
  <w:style w:type="character" w:styleId="Nvel4RChar">
    <w:name w:val="Nível 4-R Char"/>
    <w:basedOn w:val="Nivel4Char"/>
    <w:qFormat/>
    <w:rPr>
      <w:rFonts w:ascii="Arial" w:hAnsi="Arial" w:cs="Arial"/>
      <w:bCs/>
      <w:i/>
      <w:color w:val="FF0000"/>
      <w:lang w:eastAsia="pt-BR"/>
    </w:rPr>
  </w:style>
  <w:style w:type="character" w:styleId="Nvel1SemNumChar">
    <w:name w:val="Nível 1-Sem Num Char"/>
    <w:basedOn w:val="Nivel01Char"/>
    <w:qFormat/>
    <w:rPr>
      <w:rFonts w:ascii="Arial" w:hAnsi="Arial" w:eastAsia="Arial" w:cs="Arial"/>
      <w:b/>
      <w:i/>
      <w:iCs w:val="false"/>
      <w:color w:val="FF0000"/>
      <w:spacing w:val="5"/>
      <w:kern w:val="2"/>
      <w:sz w:val="52"/>
      <w:szCs w:val="52"/>
      <w:lang w:eastAsia="pt-BR"/>
    </w:rPr>
  </w:style>
  <w:style w:type="character" w:styleId="PrembuloChar">
    <w:name w:val="Preâmbulo Char"/>
    <w:basedOn w:val="DefaultParagraphFont"/>
    <w:qFormat/>
    <w:rPr>
      <w:rFonts w:ascii="Arial" w:hAnsi="Arial" w:eastAsia="Arial" w:cs="Arial"/>
      <w:bCs/>
      <w:lang w:eastAsia="pt-BR"/>
    </w:rPr>
  </w:style>
  <w:style w:type="character" w:styleId="MenoPendente5">
    <w:name w:val="Menção Pendente5"/>
    <w:basedOn w:val="DefaultParagraphFont"/>
    <w:qFormat/>
    <w:rPr>
      <w:color w:val="605E5C"/>
    </w:rPr>
  </w:style>
  <w:style w:type="character" w:styleId="Citao2Char">
    <w:name w:val="citação 2 Char"/>
    <w:basedOn w:val="CitaoChar"/>
    <w:qFormat/>
    <w:rPr>
      <w:rFonts w:ascii="Arial" w:hAnsi="Arial" w:eastAsia="Calibri" w:cs="Tahoma"/>
      <w:i/>
      <w:iCs/>
      <w:color w:val="000000"/>
      <w:szCs w:val="24"/>
    </w:rPr>
  </w:style>
  <w:style w:type="character" w:styleId="Nvel1SemNumeraoChar">
    <w:name w:val="Nível 1-Sem Numeração Char"/>
    <w:basedOn w:val="Nvel1SemNumChar"/>
    <w:qFormat/>
    <w:rPr>
      <w:rFonts w:ascii="Arial" w:hAnsi="Arial" w:eastAsia="Arial" w:cs="Arial"/>
      <w:b/>
      <w:i w:val="false"/>
      <w:iCs w:val="false"/>
      <w:color w:val="FF0000"/>
      <w:spacing w:val="5"/>
      <w:kern w:val="2"/>
      <w:sz w:val="52"/>
      <w:szCs w:val="52"/>
      <w:lang w:eastAsia="pt-BR"/>
    </w:rPr>
  </w:style>
  <w:style w:type="character" w:styleId="MenoPendente6">
    <w:name w:val="Menção Pendente6"/>
    <w:basedOn w:val="DefaultParagraphFont"/>
    <w:qFormat/>
    <w:rPr>
      <w:color w:val="605E5C"/>
    </w:rPr>
  </w:style>
  <w:style w:type="character" w:styleId="AlteraesChar">
    <w:name w:val="Alterações Char"/>
    <w:basedOn w:val="Nvel02Char"/>
    <w:qFormat/>
    <w:rPr>
      <w:rFonts w:ascii="Arial" w:hAnsi="Arial" w:eastAsia="Arial" w:cs="Arial"/>
      <w:i w:val="false"/>
      <w:iCs/>
      <w:color w:val="0000FF"/>
      <w:lang w:eastAsia="pt-BR"/>
    </w:rPr>
  </w:style>
  <w:style w:type="character" w:styleId="Nivel3Char">
    <w:name w:val="Nivel 3 Char"/>
    <w:basedOn w:val="DefaultParagraphFont"/>
    <w:qFormat/>
    <w:rPr>
      <w:rFonts w:ascii="Arial" w:hAnsi="Arial" w:cs="Tahoma"/>
      <w:szCs w:val="24"/>
      <w:lang w:eastAsia="pt-BR"/>
    </w:rPr>
  </w:style>
  <w:style w:type="character" w:styleId="UnresolvedMention">
    <w:name w:val="Unresolved Mention"/>
    <w:basedOn w:val="DefaultParagraphFont"/>
    <w:qFormat/>
    <w:rPr>
      <w:color w:val="605E5C"/>
    </w:rPr>
  </w:style>
  <w:style w:type="character" w:styleId="Nvel2OpcionalChar1">
    <w:name w:val="Nível 2-Opcional Char"/>
    <w:basedOn w:val="Nvel02Char"/>
    <w:qFormat/>
    <w:rPr>
      <w:rFonts w:ascii="Arial" w:hAnsi="Arial" w:eastAsia="Arial" w:cs="Arial"/>
      <w:i/>
      <w:iCs/>
      <w:color w:val="FF0000"/>
      <w:lang w:eastAsia="pt-BR"/>
    </w:rPr>
  </w:style>
  <w:style w:type="character" w:styleId="Nvel3OpcionalChar1">
    <w:name w:val="Nível 3-Opcional Char"/>
    <w:basedOn w:val="Nivel3Char"/>
    <w:qFormat/>
    <w:rPr>
      <w:rFonts w:ascii="Arial" w:hAnsi="Arial" w:cs="Tahoma"/>
      <w:i/>
      <w:color w:val="FF0000"/>
      <w:szCs w:val="24"/>
      <w:lang w:eastAsia="pt-BR"/>
    </w:rPr>
  </w:style>
  <w:style w:type="character" w:styleId="Nvel1SemBlackChar">
    <w:name w:val="Nível 1-Sem Black Char"/>
    <w:basedOn w:val="DefaultParagraphFont"/>
    <w:qFormat/>
    <w:rPr>
      <w:rFonts w:ascii="Arial" w:hAnsi="Arial" w:eastAsia="ＭＳ ゴシック" w:cs="Arial"/>
      <w:b/>
      <w:bCs/>
      <w:lang w:eastAsia="pt-BR"/>
    </w:rPr>
  </w:style>
  <w:style w:type="character" w:styleId="Nivel2Char">
    <w:name w:val="Nivel 2 Char"/>
    <w:basedOn w:val="DefaultParagraphFont"/>
    <w:qFormat/>
    <w:rPr>
      <w:rFonts w:ascii="Arial" w:hAnsi="Arial" w:eastAsia="Arial" w:cs="Arial"/>
      <w:color w:val="000000"/>
      <w:lang w:eastAsia="pt-BR"/>
    </w:rPr>
  </w:style>
  <w:style w:type="character" w:styleId="Nfaseforte">
    <w:name w:val="Ênfase forte"/>
    <w:qFormat/>
    <w:rPr>
      <w:b/>
      <w:bCs/>
    </w:rPr>
  </w:style>
  <w:style w:type="character" w:styleId="Smbolosdenumerao">
    <w:name w:val="Símbolos de numeração"/>
    <w:qFormat/>
    <w:rPr>
      <w:sz w:val="24"/>
      <w:szCs w:val="24"/>
    </w:rPr>
  </w:style>
  <w:style w:type="character" w:styleId="Fontepargpadro">
    <w:name w:val="Fonte parág. padrão"/>
    <w:qFormat/>
    <w:rPr/>
  </w:style>
  <w:style w:type="character" w:styleId="Character20style">
    <w:name w:val="Character_20_style"/>
    <w:qFormat/>
    <w:rPr/>
  </w:style>
  <w:style w:type="character" w:styleId="Fontepargpadro1">
    <w:name w:val="Fonte parág. padrão1"/>
    <w:qFormat/>
    <w:rPr/>
  </w:style>
  <w:style w:type="character" w:styleId="WW8Num1z1">
    <w:name w:val="WW8Num1z1"/>
    <w:qFormat/>
    <w:rPr>
      <w:rFonts w:ascii="Courier New" w:hAnsi="Courier New" w:eastAsia="Courier New"/>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before="280" w:after="280"/>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Bullet5">
    <w:name w:val="List Bullet 5"/>
    <w:basedOn w:val="Normal"/>
    <w:qFormat/>
    <w:pPr>
      <w:spacing w:before="0" w:after="0"/>
      <w:contextualSpacing/>
    </w:pPr>
    <w:rPr/>
  </w:style>
  <w:style w:type="paragraph" w:styleId="Notaexplicativa">
    <w:name w:val="Nota explicativa"/>
    <w:basedOn w:val="Quote"/>
    <w:qFormat/>
    <w:pPr>
      <w:shd w:val="clear" w:fill="FFFFCC"/>
    </w:pPr>
    <w:rPr>
      <w:szCs w:val="20"/>
    </w:rPr>
  </w:style>
  <w:style w:type="paragraph" w:styleId="CabealhoeRodap">
    <w:name w:val="Cabeçalho e Rodapé"/>
    <w:basedOn w:val="Normal"/>
    <w:qFormat/>
    <w:pPr/>
    <w:rPr/>
  </w:style>
  <w:style w:type="paragraph" w:styleId="Cabealho">
    <w:name w:val="Header"/>
    <w:basedOn w:val="Normal"/>
    <w:pPr>
      <w:tabs>
        <w:tab w:val="clear" w:pos="709"/>
        <w:tab w:val="center" w:pos="4252" w:leader="none"/>
        <w:tab w:val="right" w:pos="8504" w:leader="none"/>
      </w:tabs>
    </w:pPr>
    <w:rPr/>
  </w:style>
  <w:style w:type="paragraph" w:styleId="Rodap">
    <w:name w:val="Footer"/>
    <w:basedOn w:val="Normal"/>
    <w:pPr>
      <w:tabs>
        <w:tab w:val="clear" w:pos="709"/>
        <w:tab w:val="center" w:pos="4252" w:leader="none"/>
        <w:tab w:val="right" w:pos="8504" w:leader="none"/>
      </w:tabs>
    </w:pPr>
    <w:rPr/>
  </w:style>
  <w:style w:type="paragraph" w:styleId="Annotationtext">
    <w:name w:val="annotation text"/>
    <w:basedOn w:val="Normal"/>
    <w:qFormat/>
    <w:pPr/>
    <w:rPr>
      <w:sz w:val="20"/>
      <w:szCs w:val="20"/>
    </w:rPr>
  </w:style>
  <w:style w:type="paragraph" w:styleId="Annotationsubject">
    <w:name w:val="annotation subject"/>
    <w:basedOn w:val="Annotationtext"/>
    <w:qFormat/>
    <w:pPr/>
    <w:rPr>
      <w:b/>
      <w:bCs/>
    </w:rPr>
  </w:style>
  <w:style w:type="paragraph" w:styleId="Nivel01">
    <w:name w:val="Nivel 01"/>
    <w:basedOn w:val="Nvel02"/>
    <w:next w:val="Normal"/>
    <w:autoRedefine/>
    <w:qFormat/>
    <w:pPr>
      <w:widowControl/>
      <w:shd w:val="clear" w:fill="FFFFFF"/>
      <w:tabs>
        <w:tab w:val="clear" w:pos="735"/>
        <w:tab w:val="left" w:pos="120" w:leader="none"/>
        <w:tab w:val="left" w:pos="345" w:leader="none"/>
        <w:tab w:val="left" w:pos="570" w:leader="none"/>
      </w:tabs>
      <w:suppressAutoHyphens w:val="true"/>
      <w:overflowPunct w:val="true"/>
      <w:bidi w:val="0"/>
      <w:spacing w:lineRule="auto" w:line="276" w:before="6" w:after="6"/>
      <w:ind w:left="1077" w:right="0" w:hanging="454"/>
      <w:jc w:val="both"/>
      <w:outlineLvl w:val="0"/>
    </w:pPr>
    <w:rPr>
      <w:b/>
      <w:bCs/>
    </w:rPr>
  </w:style>
  <w:style w:type="paragraph" w:styleId="Nivel01Titulo">
    <w:name w:val="Nivel_01_Titulo"/>
    <w:basedOn w:val="Nivel01"/>
    <w:qFormat/>
    <w:pPr>
      <w:shd w:val="clear" w:fill="FFFFFF"/>
      <w:jc w:val="left"/>
    </w:pPr>
    <w:rPr>
      <w:rFonts w:cs="Times New Roman"/>
      <w:spacing w:val="5"/>
      <w:kern w:val="2"/>
      <w:sz w:val="52"/>
      <w:szCs w:val="52"/>
    </w:rPr>
  </w:style>
  <w:style w:type="paragraph" w:styleId="Ttulododocumento">
    <w:name w:val="Title"/>
    <w:basedOn w:val="Normal"/>
    <w:next w:val="Normal"/>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val="clear" w:fill="FFFFFF"/>
      <w:suppressAutoHyphens w:val="true"/>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Ttulo1"/>
    <w:qFormat/>
    <w:pPr>
      <w:numPr>
        <w:ilvl w:val="0"/>
        <w:numId w:val="0"/>
      </w:numPr>
      <w:spacing w:lineRule="auto" w:line="276"/>
      <w:ind w:left="357" w:right="0" w:hanging="357"/>
      <w:jc w:val="both"/>
    </w:pPr>
    <w:rPr>
      <w:rFonts w:cs="Arial"/>
      <w:bCs w:val="false"/>
      <w:color w:val="000000"/>
    </w:rPr>
  </w:style>
  <w:style w:type="paragraph" w:styleId="PargrafodaLista1">
    <w:name w:val="Parágrafo da Lista1"/>
    <w:basedOn w:val="Normal"/>
    <w:qFormat/>
    <w:pPr>
      <w:ind w:left="720" w:right="0" w:hanging="0"/>
    </w:pPr>
    <w:rPr>
      <w:rFonts w:eastAsia="Times New Roman" w:cs="Ecofont_Spranq_eco_Sans"/>
    </w:rPr>
  </w:style>
  <w:style w:type="paragraph" w:styleId="Nivel2Opcional">
    <w:name w:val="Nivel 2-Opcional"/>
    <w:basedOn w:val="Normal"/>
    <w:autoRedefine/>
    <w:qFormat/>
    <w:pPr>
      <w:shd w:val="clear" w:fill="76923C"/>
      <w:spacing w:lineRule="auto" w:line="276" w:before="120" w:after="120"/>
      <w:ind w:left="0" w:right="0" w:hanging="0"/>
      <w:jc w:val="both"/>
    </w:pPr>
    <w:rPr>
      <w:rFonts w:ascii="Arial" w:hAnsi="Arial" w:eastAsia="Arial" w:cs="Arial"/>
      <w:i/>
      <w:color w:val="FF0000"/>
      <w:sz w:val="20"/>
      <w:szCs w:val="20"/>
    </w:rPr>
  </w:style>
  <w:style w:type="paragraph" w:styleId="Nivel11">
    <w:name w:val="Nivel 1"/>
    <w:basedOn w:val="Nivel2Opcional"/>
    <w:qFormat/>
    <w:pPr>
      <w:shd w:val="clear" w:fill="76923C"/>
      <w:ind w:left="360" w:right="0" w:hanging="360"/>
    </w:pPr>
    <w:rPr>
      <w:b/>
    </w:rPr>
  </w:style>
  <w:style w:type="paragraph" w:styleId="Nivel3erro">
    <w:name w:val="Nivel 3-erro"/>
    <w:basedOn w:val="Nivel3"/>
    <w:autoRedefine/>
    <w:qFormat/>
    <w:pPr>
      <w:ind w:left="993" w:right="0" w:hanging="0"/>
    </w:pPr>
    <w:rPr/>
  </w:style>
  <w:style w:type="paragraph" w:styleId="Nivel4">
    <w:name w:val="Nivel 4"/>
    <w:basedOn w:val="Nvel4R"/>
    <w:autoRedefine/>
    <w:qFormat/>
    <w:pPr>
      <w:widowControl/>
      <w:tabs>
        <w:tab w:val="clear" w:pos="709"/>
        <w:tab w:val="left" w:pos="1140" w:leader="none"/>
      </w:tabs>
      <w:suppressAutoHyphens w:val="true"/>
      <w:bidi w:val="0"/>
      <w:spacing w:lineRule="auto" w:line="276" w:before="0" w:after="0"/>
      <w:ind w:left="0" w:right="0" w:firstLine="1134"/>
      <w:jc w:val="both"/>
    </w:pPr>
    <w:rPr>
      <w:i w:val="false"/>
      <w:color w:val="auto"/>
    </w:rPr>
  </w:style>
  <w:style w:type="paragraph" w:styleId="Nivel5">
    <w:name w:val="Nivel 5"/>
    <w:basedOn w:val="Nvel4R"/>
    <w:autoRedefine/>
    <w:qFormat/>
    <w:pPr>
      <w:ind w:left="851" w:right="0" w:hanging="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right="0" w:hanging="0"/>
      <w:jc w:val="both"/>
    </w:pPr>
    <w:rPr>
      <w:rFonts w:ascii="Times New Roman" w:hAnsi="Times New Roman" w:eastAsia="Times New Roman" w:cs="Times New Roman"/>
      <w:sz w:val="28"/>
      <w:szCs w:val="28"/>
    </w:rPr>
  </w:style>
  <w:style w:type="paragraph" w:styleId="Revision">
    <w:name w:val="Revision"/>
    <w:qFormat/>
    <w:pPr>
      <w:widowControl/>
      <w:suppressAutoHyphens w:val="true"/>
      <w:overflowPunct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left="0" w:right="0"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Opcional"/>
    <w:qFormat/>
    <w:pPr>
      <w:shd w:val="clear" w:fill="76923C"/>
      <w:ind w:left="432" w:right="0" w:hanging="432"/>
    </w:pPr>
    <w:rPr>
      <w:rFonts w:eastAsia="Times New Roman"/>
      <w:i w:val="false"/>
    </w:rPr>
  </w:style>
  <w:style w:type="paragraph" w:styleId="Nvel3Opcional">
    <w:name w:val="Nível 3 Opcional"/>
    <w:basedOn w:val="Nivel3erro"/>
    <w:qFormat/>
    <w:pPr>
      <w:ind w:left="1072" w:right="0" w:hanging="504"/>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fill="FFFFCC"/>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autoRedefine/>
    <w:qFormat/>
    <w:pPr>
      <w:spacing w:lineRule="auto" w:line="259" w:before="0" w:after="0"/>
      <w:ind w:left="0" w:right="0" w:hanging="0"/>
      <w:contextualSpacing/>
      <w:jc w:val="center"/>
    </w:pPr>
    <w:rPr>
      <w:rFonts w:ascii="Arial" w:hAnsi="Arial" w:eastAsia="Cambria" w:cs="Arial"/>
      <w:b/>
      <w:bCs/>
      <w:i/>
      <w:iCs/>
      <w:color w:val="FF0000"/>
      <w:sz w:val="20"/>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02">
    <w:name w:val="Nível 02"/>
    <w:basedOn w:val="Nivel2Opcional"/>
    <w:autoRedefine/>
    <w:qFormat/>
    <w:pPr>
      <w:widowControl/>
      <w:shd w:val="clear" w:fill="FFFFFF"/>
      <w:tabs>
        <w:tab w:val="clear" w:pos="709"/>
        <w:tab w:val="left" w:pos="735" w:leader="none"/>
      </w:tabs>
      <w:suppressAutoHyphens w:val="true"/>
      <w:bidi w:val="0"/>
      <w:spacing w:lineRule="auto" w:line="276" w:before="0" w:after="0"/>
      <w:ind w:left="0" w:right="0" w:firstLine="567"/>
      <w:jc w:val="both"/>
    </w:pPr>
    <w:rPr>
      <w:i w:val="false"/>
      <w:iCs/>
      <w:color w:val="000000"/>
    </w:rPr>
  </w:style>
  <w:style w:type="paragraph" w:styleId="Nvel3R">
    <w:name w:val="Nível 3-R"/>
    <w:basedOn w:val="Nivel3erro"/>
    <w:autoRedefine/>
    <w:qFormat/>
    <w:pPr>
      <w:ind w:left="1638" w:right="0" w:hanging="504"/>
    </w:pPr>
    <w:rPr>
      <w:rFonts w:cs="Arial"/>
      <w:i/>
      <w:iCs/>
      <w:color w:val="FF0000"/>
    </w:rPr>
  </w:style>
  <w:style w:type="paragraph" w:styleId="Nvel4R">
    <w:name w:val="Nível 4-R"/>
    <w:basedOn w:val="Nvel3Opcional1"/>
    <w:autoRedefine/>
    <w:qFormat/>
    <w:pPr>
      <w:ind w:left="567" w:right="0" w:hanging="0"/>
    </w:pPr>
    <w:rPr>
      <w:rFonts w:cs="Arial"/>
      <w:bCs/>
      <w:color w:val="000000"/>
      <w:szCs w:val="20"/>
    </w:rPr>
  </w:style>
  <w:style w:type="paragraph" w:styleId="Nvel1SemNum">
    <w:name w:val="Nível 1-Sem Num"/>
    <w:basedOn w:val="Nivel01"/>
    <w:autoRedefine/>
    <w:qFormat/>
    <w:pPr>
      <w:widowControl/>
      <w:shd w:val="clear" w:fill="FFFFFF"/>
      <w:suppressAutoHyphens w:val="true"/>
      <w:bidi w:val="0"/>
      <w:spacing w:lineRule="auto" w:line="276" w:before="0" w:after="0"/>
      <w:ind w:left="0" w:right="0" w:hanging="0"/>
      <w:jc w:val="both"/>
      <w:outlineLvl w:val="1"/>
    </w:pPr>
    <w:rPr>
      <w:i/>
      <w:iCs w:val="false"/>
      <w:color w:val="FF0000"/>
    </w:rPr>
  </w:style>
  <w:style w:type="paragraph" w:styleId="Citao2">
    <w:name w:val="citação 2"/>
    <w:basedOn w:val="Quote"/>
    <w:qFormat/>
    <w:pPr>
      <w:shd w:val="clear" w:fill="FFFFCC"/>
      <w:overflowPunct w:val="true"/>
    </w:pPr>
    <w:rPr>
      <w:szCs w:val="20"/>
    </w:rPr>
  </w:style>
  <w:style w:type="paragraph" w:styleId="Prembulo">
    <w:name w:val="Preâmbulo"/>
    <w:basedOn w:val="Normal"/>
    <w:qFormat/>
    <w:pPr>
      <w:spacing w:lineRule="auto" w:line="360" w:before="480" w:after="120"/>
      <w:ind w:left="4253" w:right="-17" w:hanging="0"/>
      <w:jc w:val="both"/>
    </w:pPr>
    <w:rPr>
      <w:rFonts w:ascii="Arial" w:hAnsi="Arial" w:eastAsia="Arial" w:cs="Arial"/>
      <w:bCs/>
      <w:sz w:val="20"/>
      <w:szCs w:val="20"/>
    </w:rPr>
  </w:style>
  <w:style w:type="paragraph" w:styleId="Nvel1SemNumerao">
    <w:name w:val="Nível 1-Sem Numeração"/>
    <w:basedOn w:val="Nvel1SemNum"/>
    <w:autoRedefine/>
    <w:qFormat/>
    <w:pPr>
      <w:widowControl/>
      <w:numPr>
        <w:ilvl w:val="0"/>
        <w:numId w:val="0"/>
      </w:numPr>
      <w:shd w:val="clear" w:fill="FFFFFF"/>
      <w:tabs>
        <w:tab w:val="left" w:pos="120" w:leader="none"/>
        <w:tab w:val="left" w:pos="345" w:leader="none"/>
        <w:tab w:val="left" w:pos="390" w:leader="none"/>
        <w:tab w:val="left" w:pos="570" w:leader="none"/>
        <w:tab w:val="left" w:pos="900" w:leader="none"/>
        <w:tab w:val="left" w:pos="1020" w:leader="none"/>
        <w:tab w:val="left" w:pos="1140" w:leader="none"/>
      </w:tabs>
      <w:suppressAutoHyphens w:val="true"/>
      <w:overflowPunct w:val="true"/>
      <w:bidi w:val="0"/>
      <w:spacing w:lineRule="auto" w:line="276" w:before="0" w:after="0"/>
      <w:ind w:left="1191" w:right="0" w:hanging="567"/>
      <w:jc w:val="both"/>
    </w:pPr>
    <w:rPr>
      <w:b/>
      <w:bCs/>
      <w:i w:val="false"/>
      <w:color w:val="auto"/>
      <w:lang w:eastAsia="en-US"/>
    </w:rPr>
  </w:style>
  <w:style w:type="paragraph" w:styleId="Nivel3">
    <w:name w:val="Nivel 3"/>
    <w:basedOn w:val="Normal"/>
    <w:qFormat/>
    <w:pPr>
      <w:spacing w:lineRule="auto" w:line="276" w:before="120" w:after="120"/>
      <w:ind w:left="284" w:right="0" w:hanging="0"/>
      <w:jc w:val="both"/>
    </w:pPr>
    <w:rPr>
      <w:rFonts w:ascii="Arial" w:hAnsi="Arial"/>
      <w:sz w:val="20"/>
    </w:rPr>
  </w:style>
  <w:style w:type="paragraph" w:styleId="Alteraes">
    <w:name w:val="Alterações"/>
    <w:basedOn w:val="Nvel02"/>
    <w:qFormat/>
    <w:pPr>
      <w:shd w:val="clear" w:fill="FFFFFF"/>
    </w:pPr>
    <w:rPr>
      <w:color w:val="0000FF"/>
    </w:rPr>
  </w:style>
  <w:style w:type="paragraph" w:styleId="Contedodatabela">
    <w:name w:val="Conteúdo da tabela"/>
    <w:basedOn w:val="Normal"/>
    <w:qFormat/>
    <w:pPr>
      <w:widowControl w:val="false"/>
      <w:suppressLineNumbers/>
      <w:suppressAutoHyphens w:val="true"/>
      <w:textAlignment w:val="baseline"/>
    </w:pPr>
    <w:rPr>
      <w:rFonts w:ascii="Times New Roman" w:hAnsi="Times New Roman" w:eastAsia="SimSun"/>
      <w:kern w:val="2"/>
      <w:lang w:eastAsia="zh-CN" w:bidi="hi-IN"/>
    </w:rPr>
  </w:style>
  <w:style w:type="paragraph" w:styleId="Nivel21">
    <w:name w:val="Nivel 21"/>
    <w:basedOn w:val="Normal"/>
    <w:autoRedefine/>
    <w:qFormat/>
    <w:pPr>
      <w:shd w:val="clear" w:fill="948A54"/>
      <w:spacing w:lineRule="auto" w:line="276" w:before="120" w:after="120"/>
      <w:ind w:left="999" w:right="0" w:hanging="432"/>
      <w:jc w:val="both"/>
    </w:pPr>
    <w:rPr>
      <w:rFonts w:ascii="Arial" w:hAnsi="Arial" w:eastAsia="Arial" w:cs="Arial"/>
      <w:color w:val="000000"/>
      <w:sz w:val="20"/>
      <w:szCs w:val="20"/>
    </w:rPr>
  </w:style>
  <w:style w:type="paragraph" w:styleId="Nvel2Opcional1">
    <w:name w:val="Nível 2-Opcional"/>
    <w:basedOn w:val="Nvel02"/>
    <w:qFormat/>
    <w:pPr>
      <w:shd w:val="clear" w:fill="FFFFFF"/>
    </w:pPr>
    <w:rPr>
      <w:i/>
      <w:color w:val="FF0000"/>
    </w:rPr>
  </w:style>
  <w:style w:type="paragraph" w:styleId="Nvel3Opcional1">
    <w:name w:val="Nível 3-Opcional"/>
    <w:basedOn w:val="Nivel3"/>
    <w:qFormat/>
    <w:pPr/>
    <w:rPr>
      <w:i/>
      <w:color w:val="FF0000"/>
    </w:rPr>
  </w:style>
  <w:style w:type="paragraph" w:styleId="Nvel1SemBlack">
    <w:name w:val="Nível 1-Sem Black"/>
    <w:basedOn w:val="Normal"/>
    <w:qFormat/>
    <w:pPr>
      <w:keepNext w:val="true"/>
      <w:keepLines/>
      <w:tabs>
        <w:tab w:val="clear" w:pos="709"/>
        <w:tab w:val="left" w:pos="567" w:leader="none"/>
      </w:tabs>
      <w:spacing w:lineRule="auto" w:line="276" w:before="240" w:after="120"/>
      <w:jc w:val="both"/>
      <w:outlineLvl w:val="1"/>
    </w:pPr>
    <w:rPr>
      <w:rFonts w:ascii="Arial" w:hAnsi="Arial" w:eastAsia="ＭＳ ゴシック" w:cs="Arial"/>
      <w:b/>
      <w:bCs/>
      <w:sz w:val="20"/>
      <w:szCs w:val="20"/>
    </w:rPr>
  </w:style>
  <w:style w:type="paragraph" w:styleId="Nivel2">
    <w:name w:val="Nivel 2"/>
    <w:basedOn w:val="Normal"/>
    <w:autoRedefine/>
    <w:qFormat/>
    <w:pPr>
      <w:spacing w:lineRule="auto" w:line="276" w:before="120" w:after="120"/>
      <w:ind w:left="999" w:right="0" w:hanging="432"/>
      <w:jc w:val="both"/>
    </w:pPr>
    <w:rPr>
      <w:rFonts w:ascii="Arial" w:hAnsi="Arial" w:eastAsia="Arial" w:cs="Arial"/>
      <w:color w:val="000000"/>
      <w:sz w:val="20"/>
      <w:szCs w:val="20"/>
    </w:rPr>
  </w:style>
  <w:style w:type="paragraph" w:styleId="Estilo7">
    <w:name w:val="Estilo7"/>
    <w:basedOn w:val="Nvel02"/>
    <w:qFormat/>
    <w:pPr>
      <w:shd w:val="clear" w:fill="FFFFFF"/>
    </w:pPr>
    <w:rPr/>
  </w:style>
  <w:style w:type="paragraph" w:styleId="Default">
    <w:name w:val="Default"/>
    <w:qFormat/>
    <w:pPr>
      <w:widowControl/>
      <w:suppressAutoHyphens w:val="true"/>
      <w:overflowPunct w:val="true"/>
      <w:bidi w:val="0"/>
      <w:spacing w:before="0" w:after="0"/>
      <w:jc w:val="left"/>
    </w:pPr>
    <w:rPr>
      <w:rFonts w:ascii="Arial" w:hAnsi="Arial" w:eastAsia="Times New Roman" w:cs="Arial"/>
      <w:color w:val="000000"/>
      <w:kern w:val="0"/>
      <w:sz w:val="24"/>
      <w:szCs w:val="24"/>
      <w:lang w:val="pt-BR" w:eastAsia="zh-CN" w:bidi="ar-SA"/>
    </w:rPr>
  </w:style>
  <w:style w:type="paragraph" w:styleId="Ttulodetabela">
    <w:name w:val="Título de tabela"/>
    <w:basedOn w:val="Contedodatabela"/>
    <w:qFormat/>
    <w:pPr>
      <w:suppressLineNumbers/>
      <w:jc w:val="center"/>
    </w:pPr>
    <w:rPr>
      <w:b/>
      <w:bCs/>
    </w:rPr>
  </w:style>
  <w:style w:type="paragraph" w:styleId="Nvel2Red">
    <w:name w:val="Nível 2 -Red"/>
    <w:basedOn w:val="Nivel2"/>
    <w:qFormat/>
    <w:pPr>
      <w:widowControl/>
      <w:bidi w:val="0"/>
      <w:spacing w:lineRule="auto" w:line="276" w:before="0" w:after="0"/>
      <w:ind w:left="1247" w:right="0" w:hanging="454"/>
      <w:jc w:val="both"/>
    </w:pPr>
    <w:rPr>
      <w:b w:val="false"/>
      <w:bCs w:val="false"/>
      <w:i w:val="false"/>
      <w:iCs w:val="false"/>
      <w:color w:val="000000"/>
    </w:rPr>
  </w:style>
  <w:style w:type="paragraph" w:styleId="Western">
    <w:name w:val="western"/>
    <w:basedOn w:val="Normal"/>
    <w:qFormat/>
    <w:pPr>
      <w:widowControl/>
      <w:suppressAutoHyphens w:val="false"/>
      <w:spacing w:lineRule="auto" w:line="276" w:before="280" w:after="142"/>
    </w:pPr>
    <w:rPr>
      <w:rFonts w:ascii="Arial" w:hAnsi="Arial" w:eastAsia="Arial"/>
      <w:kern w:val="0"/>
      <w:lang w:eastAsia="ar-SA"/>
    </w:rPr>
  </w:style>
  <w:style w:type="paragraph" w:styleId="Ttulo11">
    <w:name w:val="Título1"/>
    <w:basedOn w:val="Normal"/>
    <w:qFormat/>
    <w:pPr>
      <w:keepNext w:val="true"/>
      <w:spacing w:before="240" w:after="120"/>
    </w:pPr>
    <w:rPr>
      <w:rFonts w:ascii="Liberation Sans" w:hAnsi="Liberation Sans" w:eastAsia="Mangal"/>
      <w:sz w:val="28"/>
      <w:szCs w:val="28"/>
      <w:lang w:eastAsia="hi-IN"/>
    </w:rPr>
  </w:style>
  <w:style w:type="paragraph" w:styleId="Ttulo21">
    <w:name w:val="Título2"/>
    <w:basedOn w:val="Normal"/>
    <w:qFormat/>
    <w:pPr>
      <w:keepNext w:val="true"/>
      <w:spacing w:before="240" w:after="120"/>
    </w:pPr>
    <w:rPr>
      <w:rFonts w:ascii="Liberation Sans" w:hAnsi="Liberation Sans" w:eastAsia="Lucida Sans"/>
      <w:sz w:val="28"/>
      <w:szCs w:val="28"/>
      <w:lang w:eastAsia="hi-IN"/>
    </w:rPr>
  </w:style>
  <w:style w:type="paragraph" w:styleId="TableParagraph">
    <w:name w:val="Table Paragraph"/>
    <w:basedOn w:val="Normal"/>
    <w:qFormat/>
    <w:pPr>
      <w:spacing w:lineRule="exact" w:line="247"/>
      <w:jc w:val="center"/>
    </w:pPr>
    <w:rPr>
      <w:rFonts w:ascii="Times New Roman" w:hAnsi="Times New Roman" w:eastAsia="Times New Roman" w:cs="Times New Roman"/>
      <w:lang w:val="pt-PT" w:eastAsia="en-US" w:bidi="ar-SA"/>
    </w:rPr>
  </w:style>
  <w:style w:type="numbering" w:styleId="NoList">
    <w:name w:val="No List"/>
    <w:qFormat/>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mailto:sergio.sousa@marinha.mil.br" TargetMode="External"/><Relationship Id="rId4" Type="http://schemas.openxmlformats.org/officeDocument/2006/relationships/hyperlink" Target="mailto:verly.jairo@marinha.mil.br" TargetMode="External"/><Relationship Id="rId5" Type="http://schemas.openxmlformats.org/officeDocument/2006/relationships/hyperlink" Target="mailto:marcos.ferreira.gomes@marinha.mil.br"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988</TotalTime>
  <Application>LibreOffice/7.3.7.2$Linux_X86_64 LibreOffice_project/30$Build-2</Application>
  <AppVersion>15.0000</AppVersion>
  <Pages>19</Pages>
  <Words>6552</Words>
  <Characters>37432</Characters>
  <CharactersWithSpaces>43536</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lastPrinted>2025-11-07T15:52:11Z</cp:lastPrinted>
  <dcterms:modified xsi:type="dcterms:W3CDTF">2026-03-20T23:48:43Z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