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contextualSpacing/>
        <w:jc w:val="center"/>
        <w:rPr>
          <w:rFonts w:ascii="Arial" w:hAnsi="Arial" w:cs="Arial"/>
          <w:b/>
          <w:b/>
          <w:bCs/>
          <w:color w:val="000000"/>
          <w:sz w:val="20"/>
          <w:szCs w:val="20"/>
        </w:rPr>
      </w:pPr>
      <w:r>
        <w:rPr>
          <w:rFonts w:cs="Arial" w:ascii="Arial" w:hAnsi="Arial"/>
          <w:b/>
          <w:bCs/>
          <w:color w:val="000000"/>
          <w:sz w:val="20"/>
          <w:szCs w:val="20"/>
        </w:rPr>
        <w:drawing>
          <wp:anchor behindDoc="0" distT="0" distB="0" distL="114300" distR="119380" simplePos="0" locked="0" layoutInCell="0" allowOverlap="1" relativeHeight="2">
            <wp:simplePos x="0" y="0"/>
            <wp:positionH relativeFrom="column">
              <wp:posOffset>2818130</wp:posOffset>
            </wp:positionH>
            <wp:positionV relativeFrom="paragraph">
              <wp:posOffset>8255</wp:posOffset>
            </wp:positionV>
            <wp:extent cx="73787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p>
    <w:p>
      <w:pPr>
        <w:pStyle w:val="Normal"/>
        <w:spacing w:lineRule="auto" w:line="312" w:before="360" w:after="288"/>
        <w:jc w:val="center"/>
        <w:rPr>
          <w:rFonts w:ascii="Calibri" w:hAnsi="Calibri" w:cs="Arial"/>
          <w:b/>
          <w:b/>
          <w:bCs/>
          <w:i w:val="false"/>
          <w:i w:val="false"/>
          <w:iCs w:val="false"/>
          <w:color w:val="000000"/>
          <w:sz w:val="24"/>
          <w:szCs w:val="24"/>
        </w:rPr>
      </w:pPr>
      <w:r>
        <w:rPr>
          <w:rFonts w:cs="Arial" w:ascii="Calibri" w:hAnsi="Calibri"/>
          <w:b/>
          <w:bCs/>
          <w:i w:val="false"/>
          <w:iCs w:val="false"/>
          <w:color w:val="000000"/>
          <w:sz w:val="24"/>
          <w:szCs w:val="24"/>
        </w:rPr>
        <w:t>MINISTÉRIO DA DEFESA</w:t>
      </w:r>
    </w:p>
    <w:p>
      <w:pPr>
        <w:pStyle w:val="Default"/>
        <w:bidi w:val="0"/>
        <w:jc w:val="center"/>
        <w:rPr>
          <w:rFonts w:ascii="Calibri" w:hAnsi="Calibri"/>
          <w:b/>
          <w:b/>
          <w:bCs/>
          <w:i w:val="false"/>
          <w:i w:val="false"/>
          <w:iCs w:val="false"/>
          <w:sz w:val="24"/>
          <w:szCs w:val="24"/>
        </w:rPr>
      </w:pPr>
      <w:r>
        <w:rPr>
          <w:rFonts w:ascii="Calibri" w:hAnsi="Calibri"/>
          <w:b/>
          <w:bCs/>
          <w:i w:val="false"/>
          <w:iCs w:val="false"/>
          <w:sz w:val="24"/>
          <w:szCs w:val="24"/>
        </w:rPr>
        <w:t>MARINHA DO BRASIL</w:t>
      </w:r>
    </w:p>
    <w:p>
      <w:pPr>
        <w:pStyle w:val="Default"/>
        <w:widowControl/>
        <w:suppressAutoHyphens w:val="true"/>
        <w:overflowPunct w:val="true"/>
        <w:bidi w:val="0"/>
        <w:spacing w:lineRule="auto" w:line="312" w:before="0" w:after="60"/>
        <w:ind w:left="0" w:right="0" w:hanging="0"/>
        <w:jc w:val="center"/>
        <w:rPr>
          <w:rFonts w:ascii="Calibri" w:hAnsi="Calibri" w:eastAsia="Times New Roman" w:cs="Arial"/>
          <w:b/>
          <w:b/>
          <w:bCs/>
          <w:i w:val="false"/>
          <w:i w:val="false"/>
          <w:iCs w:val="false"/>
          <w:color w:val="000000"/>
          <w:sz w:val="24"/>
          <w:szCs w:val="24"/>
        </w:rPr>
      </w:pPr>
      <w:r>
        <w:rPr>
          <w:rFonts w:eastAsia="Times New Roman" w:cs="Arial" w:ascii="Calibri" w:hAnsi="Calibri"/>
          <w:b/>
          <w:bCs/>
          <w:i w:val="false"/>
          <w:iCs w:val="false"/>
          <w:color w:val="000000"/>
          <w:sz w:val="24"/>
          <w:szCs w:val="24"/>
        </w:rPr>
        <w:t>ESTAÇÃO RÁDIO DA MARINHA NO RIO DE JANEIRO</w:t>
      </w:r>
    </w:p>
    <w:p>
      <w:pPr>
        <w:pStyle w:val="Normal"/>
        <w:spacing w:lineRule="auto" w:line="312" w:before="189" w:after="117"/>
        <w:jc w:val="center"/>
        <w:rPr/>
      </w:pPr>
      <w:r>
        <w:rPr>
          <w:rFonts w:eastAsia="ＭＳ 明朝" w:cs="Arial" w:ascii="Arial" w:hAnsi="Arial"/>
          <w:b/>
          <w:bCs/>
          <w:i w:val="false"/>
          <w:iCs w:val="false"/>
          <w:color w:val="000000"/>
          <w:kern w:val="0"/>
          <w:sz w:val="20"/>
          <w:szCs w:val="20"/>
          <w:lang w:val="pt-BR" w:eastAsia="pt-BR" w:bidi="ar-SA"/>
        </w:rPr>
        <w:t>Processo Administrativo n</w:t>
      </w:r>
      <w:r>
        <w:rPr>
          <w:rFonts w:cs="Arial" w:ascii="Arial" w:hAnsi="Arial"/>
          <w:b/>
          <w:bCs/>
          <w:i w:val="false"/>
          <w:iCs w:val="false"/>
          <w:color w:val="000000"/>
          <w:sz w:val="20"/>
          <w:szCs w:val="20"/>
        </w:rPr>
        <w:t xml:space="preserve">° </w:t>
      </w:r>
      <w:r>
        <w:rPr>
          <w:rStyle w:val="Nfaseforte"/>
          <w:rFonts w:eastAsia="Times New Roman" w:cs="Arial" w:ascii="Carlito" w:hAnsi="Carlito"/>
          <w:b w:val="false"/>
          <w:bCs w:val="false"/>
          <w:i w:val="false"/>
          <w:iCs/>
          <w:color w:val="000000"/>
          <w:kern w:val="2"/>
          <w:sz w:val="24"/>
          <w:szCs w:val="24"/>
          <w:shd w:fill="FFFFFF" w:val="clear"/>
          <w:lang w:val="pt-BR" w:eastAsia="zh-CN" w:bidi="ar-SA"/>
        </w:rPr>
        <w:t>63078.000243/2026-10</w:t>
      </w:r>
    </w:p>
    <w:p>
      <w:pPr>
        <w:pStyle w:val="Normal"/>
        <w:spacing w:lineRule="auto" w:line="312" w:before="0" w:after="288"/>
        <w:jc w:val="center"/>
        <w:rPr>
          <w:rFonts w:ascii="Arial" w:hAnsi="Arial" w:cs="Arial"/>
          <w:b/>
          <w:b/>
          <w:bCs/>
          <w:color w:val="000000"/>
          <w:sz w:val="20"/>
          <w:szCs w:val="20"/>
        </w:rPr>
      </w:pPr>
      <w:r>
        <w:rPr>
          <w:rFonts w:cs="Arial" w:ascii="Arial" w:hAnsi="Arial"/>
          <w:b/>
          <w:bCs/>
          <w:color w:val="000000"/>
          <w:sz w:val="20"/>
          <w:szCs w:val="20"/>
        </w:rPr>
        <w:t>TERMO DE REFERÊNCIA</w:t>
      </w:r>
    </w:p>
    <w:p>
      <w:pPr>
        <w:pStyle w:val="Nivel01"/>
        <w:numPr>
          <w:ilvl w:val="0"/>
          <w:numId w:val="2"/>
        </w:numPr>
        <w:shd w:val="clear" w:fill="FFFFFF"/>
        <w:ind w:left="357" w:right="0" w:hanging="357"/>
        <w:rPr/>
      </w:pPr>
      <w:r>
        <w:rPr/>
        <w:t>CONDIÇÕES GERAIS DA CONTRATAÇÃO</w:t>
      </w:r>
    </w:p>
    <w:p>
      <w:pPr>
        <w:pStyle w:val="Nivel01"/>
        <w:numPr>
          <w:ilvl w:val="1"/>
          <w:numId w:val="2"/>
        </w:numPr>
        <w:shd w:val="clear" w:fill="FFFFFF"/>
        <w:ind w:left="357" w:right="0" w:hanging="357"/>
        <w:rPr>
          <w:rFonts w:ascii="Calibri" w:hAnsi="Calibri" w:eastAsia="Times New Roman" w:cs="Arial"/>
          <w:b w:val="false"/>
          <w:b w:val="false"/>
          <w:bCs w:val="false"/>
          <w:i w:val="false"/>
          <w:i w:val="false"/>
          <w:iCs/>
          <w:color w:val="000000"/>
          <w:kern w:val="2"/>
          <w:sz w:val="24"/>
          <w:szCs w:val="24"/>
          <w:highlight w:val="white"/>
          <w:lang w:val="pt-BR" w:eastAsia="zh-CN" w:bidi="ar-SA"/>
        </w:rPr>
      </w:pPr>
      <w:r>
        <w:rPr>
          <w:rFonts w:eastAsia="Times New Roman" w:cs="Arial" w:ascii="Calibri" w:hAnsi="Calibri"/>
          <w:b w:val="false"/>
          <w:bCs w:val="false"/>
          <w:i w:val="false"/>
          <w:iCs/>
          <w:color w:val="000000"/>
          <w:kern w:val="2"/>
          <w:sz w:val="24"/>
          <w:szCs w:val="24"/>
          <w:highlight w:val="white"/>
          <w:lang w:val="pt-BR" w:eastAsia="zh-CN" w:bidi="ar-SA"/>
        </w:rPr>
        <w:t>Contratação de serviço de Controle de Pragas</w:t>
      </w:r>
      <w:r>
        <w:rPr>
          <w:rFonts w:eastAsia="Times New Roman" w:cs="Arial" w:ascii="Calibri" w:hAnsi="Calibri"/>
          <w:b w:val="false"/>
          <w:bCs w:val="false"/>
          <w:i w:val="false"/>
          <w:iCs/>
          <w:caps w:val="false"/>
          <w:smallCaps w:val="false"/>
          <w:color w:val="000000"/>
          <w:spacing w:val="0"/>
          <w:kern w:val="2"/>
          <w:sz w:val="24"/>
          <w:szCs w:val="24"/>
          <w:highlight w:val="white"/>
          <w:shd w:fill="FFFFFF" w:val="clear"/>
          <w:lang w:val="pt-BR" w:eastAsia="zh-CN" w:bidi="ar-SA"/>
        </w:rPr>
        <w:t xml:space="preserve"> com</w:t>
      </w:r>
      <w:r>
        <w:rPr>
          <w:rFonts w:eastAsia="Times New Roman" w:cs="Arial" w:ascii="Calibri" w:hAnsi="Calibri"/>
          <w:b w:val="false"/>
          <w:bCs w:val="false"/>
          <w:i w:val="false"/>
          <w:iCs/>
          <w:color w:val="000000"/>
          <w:kern w:val="2"/>
          <w:sz w:val="24"/>
          <w:szCs w:val="24"/>
          <w:highlight w:val="white"/>
          <w:shd w:fill="FFFFFF" w:val="clear"/>
          <w:lang w:val="pt-BR" w:eastAsia="zh-CN" w:bidi="ar-SA"/>
        </w:rPr>
        <w:t xml:space="preserve"> fornecimento de material,</w:t>
      </w:r>
      <w:r>
        <w:rPr>
          <w:rFonts w:eastAsia="Times New Roman" w:cs="Arial" w:ascii="Calibri" w:hAnsi="Calibri"/>
          <w:b w:val="false"/>
          <w:bCs w:val="false"/>
          <w:i w:val="false"/>
          <w:iCs/>
          <w:color w:val="000000"/>
          <w:kern w:val="2"/>
          <w:sz w:val="24"/>
          <w:szCs w:val="24"/>
          <w:highlight w:val="white"/>
          <w:lang w:val="pt-BR" w:eastAsia="zh-CN" w:bidi="ar-SA"/>
        </w:rPr>
        <w:t xml:space="preserve"> nos termos da tabela abaixo, conforme condições e exigências estabelecidas neste instrumento</w:t>
      </w:r>
      <w:bookmarkStart w:id="0" w:name="_Ref172095982"/>
      <w:bookmarkEnd w:id="0"/>
      <w:r>
        <w:rPr>
          <w:rFonts w:eastAsia="Times New Roman" w:cs="Arial" w:ascii="Calibri" w:hAnsi="Calibri"/>
          <w:b w:val="false"/>
          <w:bCs w:val="false"/>
          <w:i w:val="false"/>
          <w:iCs/>
          <w:color w:val="000000"/>
          <w:kern w:val="2"/>
          <w:sz w:val="24"/>
          <w:szCs w:val="24"/>
          <w:highlight w:val="white"/>
          <w:lang w:val="pt-BR" w:eastAsia="zh-CN" w:bidi="ar-SA"/>
        </w:rPr>
        <w:t>.</w:t>
      </w:r>
    </w:p>
    <w:tbl>
      <w:tblPr>
        <w:tblW w:w="9975" w:type="dxa"/>
        <w:jc w:val="left"/>
        <w:tblInd w:w="98" w:type="dxa"/>
        <w:tblLayout w:type="fixed"/>
        <w:tblCellMar>
          <w:top w:w="0" w:type="dxa"/>
          <w:left w:w="98" w:type="dxa"/>
          <w:bottom w:w="0" w:type="dxa"/>
          <w:right w:w="108" w:type="dxa"/>
        </w:tblCellMar>
      </w:tblPr>
      <w:tblGrid>
        <w:gridCol w:w="679"/>
        <w:gridCol w:w="4139"/>
        <w:gridCol w:w="1013"/>
        <w:gridCol w:w="581"/>
        <w:gridCol w:w="843"/>
        <w:gridCol w:w="1370"/>
        <w:gridCol w:w="1349"/>
      </w:tblGrid>
      <w:tr>
        <w:trPr>
          <w:trHeight w:val="851" w:hRule="exact"/>
        </w:trPr>
        <w:tc>
          <w:tcPr>
            <w:tcW w:w="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ITEM</w:t>
            </w:r>
          </w:p>
        </w:tc>
        <w:tc>
          <w:tcPr>
            <w:tcW w:w="41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ESPECIFICAÇÃO</w:t>
            </w:r>
          </w:p>
        </w:tc>
        <w:tc>
          <w:tcPr>
            <w:tcW w:w="101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CATSER</w:t>
            </w:r>
          </w:p>
        </w:tc>
        <w:tc>
          <w:tcPr>
            <w:tcW w:w="5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UF</w:t>
            </w:r>
          </w:p>
        </w:tc>
        <w:tc>
          <w:tcPr>
            <w:tcW w:w="84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spacing w:val="-16"/>
                <w:sz w:val="20"/>
                <w:szCs w:val="20"/>
              </w:rPr>
            </w:pPr>
            <w:r>
              <w:rPr>
                <w:rFonts w:cs="Arial" w:ascii="Arial" w:hAnsi="Arial"/>
                <w:b/>
                <w:bCs/>
                <w:spacing w:val="-16"/>
                <w:sz w:val="20"/>
                <w:szCs w:val="20"/>
              </w:rPr>
              <w:t>QNT</w:t>
            </w:r>
          </w:p>
        </w:tc>
        <w:tc>
          <w:tcPr>
            <w:tcW w:w="137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spacing w:val="-16"/>
                <w:sz w:val="20"/>
                <w:szCs w:val="20"/>
              </w:rPr>
            </w:pPr>
            <w:r>
              <w:rPr>
                <w:rFonts w:cs="Arial" w:ascii="Arial" w:hAnsi="Arial"/>
                <w:b/>
                <w:bCs/>
                <w:spacing w:val="-16"/>
                <w:sz w:val="20"/>
                <w:szCs w:val="20"/>
              </w:rPr>
              <w:t>VALOR UNITÁRIO</w:t>
            </w:r>
          </w:p>
        </w:tc>
        <w:tc>
          <w:tcPr>
            <w:tcW w:w="13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spacing w:val="-16"/>
                <w:sz w:val="20"/>
                <w:szCs w:val="20"/>
              </w:rPr>
            </w:pPr>
            <w:r>
              <w:rPr>
                <w:rFonts w:cs="Arial" w:ascii="Arial" w:hAnsi="Arial"/>
                <w:b/>
                <w:bCs/>
                <w:spacing w:val="-16"/>
                <w:sz w:val="20"/>
                <w:szCs w:val="20"/>
              </w:rPr>
              <w:t>VALOR TOTAL</w:t>
            </w:r>
          </w:p>
        </w:tc>
      </w:tr>
      <w:tr>
        <w:trPr>
          <w:trHeight w:val="1024" w:hRule="atLeast"/>
        </w:trPr>
        <w:tc>
          <w:tcPr>
            <w:tcW w:w="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Carlito" w:hAnsi="Carlito" w:eastAsia="WenQuanYi Micro Hei" w:cs="Arial"/>
                <w:b w:val="false"/>
                <w:b w:val="false"/>
                <w:bCs w:val="false"/>
                <w:i w:val="false"/>
                <w:i w:val="false"/>
                <w:iCs w:val="false"/>
                <w:strike w:val="false"/>
                <w:dstrike w:val="false"/>
                <w:color w:val="000000"/>
                <w:spacing w:val="-10"/>
                <w:kern w:val="0"/>
                <w:sz w:val="24"/>
                <w:szCs w:val="24"/>
                <w:u w:val="none"/>
                <w:shd w:fill="FFFFFF" w:val="clear"/>
                <w:lang w:val="pt-BR" w:eastAsia="zh-CN" w:bidi="hi-IN"/>
              </w:rPr>
            </w:pPr>
            <w:r>
              <w:rPr>
                <w:rFonts w:eastAsia="WenQuanYi Micro Hei" w:cs="Arial" w:ascii="Carlito" w:hAnsi="Carlito"/>
                <w:b w:val="false"/>
                <w:bCs w:val="false"/>
                <w:i w:val="false"/>
                <w:iCs w:val="false"/>
                <w:strike w:val="false"/>
                <w:dstrike w:val="false"/>
                <w:color w:val="000000"/>
                <w:spacing w:val="-10"/>
                <w:kern w:val="0"/>
                <w:sz w:val="24"/>
                <w:szCs w:val="24"/>
                <w:u w:val="none"/>
                <w:shd w:fill="FFFFFF" w:val="clear"/>
                <w:lang w:val="pt-BR" w:eastAsia="zh-CN" w:bidi="hi-IN"/>
              </w:rPr>
              <w:t>1</w:t>
            </w:r>
          </w:p>
        </w:tc>
        <w:tc>
          <w:tcPr>
            <w:tcW w:w="4139" w:type="dxa"/>
            <w:tcBorders>
              <w:top w:val="single" w:sz="4" w:space="0" w:color="000000"/>
              <w:left w:val="single" w:sz="4" w:space="0" w:color="000000"/>
              <w:bottom w:val="single" w:sz="4" w:space="0" w:color="000000"/>
              <w:right w:val="single" w:sz="4" w:space="0" w:color="000000"/>
            </w:tcBorders>
            <w:shd w:fill="auto" w:val="clear"/>
          </w:tcPr>
          <w:p>
            <w:pPr>
              <w:pStyle w:val="Contedodatabela"/>
              <w:keepNext w:val="false"/>
              <w:widowControl w:val="false"/>
              <w:suppressAutoHyphens w:val="true"/>
              <w:bidi w:val="0"/>
              <w:spacing w:lineRule="auto" w:line="360" w:before="120" w:after="120"/>
              <w:ind w:left="0" w:right="0" w:hanging="0"/>
              <w:jc w:val="both"/>
              <w:textAlignment w:val="baseline"/>
              <w:rPr>
                <w:rFonts w:ascii="CaLIBRI" w:hAnsi="CaLIBRI" w:eastAsia="WenQuanYi Micro Hei" w:cs="Arial"/>
                <w:b w:val="false"/>
                <w:b w:val="false"/>
                <w:bCs w:val="false"/>
                <w:i w:val="false"/>
                <w:i w:val="false"/>
                <w:iCs w:val="false"/>
                <w:strike w:val="false"/>
                <w:dstrike w:val="false"/>
                <w:color w:val="000000"/>
                <w:spacing w:val="-10"/>
                <w:kern w:val="0"/>
                <w:sz w:val="24"/>
                <w:szCs w:val="24"/>
                <w:u w:val="none"/>
                <w:shd w:fill="FFFFFF" w:val="clear"/>
                <w:lang w:val="pt-BR" w:eastAsia="zh-CN" w:bidi="hi-IN"/>
              </w:rPr>
            </w:pPr>
            <w:r>
              <w:rPr>
                <w:rFonts w:eastAsia="WenQuanYi Micro Hei" w:cs="Arial" w:ascii="CaLIBRI" w:hAnsi="CaLIBRI"/>
                <w:b w:val="false"/>
                <w:bCs w:val="false"/>
                <w:i w:val="false"/>
                <w:iCs w:val="false"/>
                <w:strike w:val="false"/>
                <w:dstrike w:val="false"/>
                <w:color w:val="000000"/>
                <w:spacing w:val="-10"/>
                <w:kern w:val="0"/>
                <w:sz w:val="24"/>
                <w:szCs w:val="24"/>
                <w:u w:val="none"/>
                <w:shd w:fill="FFFFFF" w:val="clear"/>
                <w:lang w:val="pt-BR" w:eastAsia="zh-CN" w:bidi="hi-IN"/>
              </w:rPr>
              <w:t xml:space="preserve">Controle sanitário no combate a pragas urbanas  em uma </w:t>
            </w:r>
            <w:r>
              <w:rPr>
                <w:rFonts w:eastAsia="WenQuanYi Micro Hei" w:cs="Arial" w:ascii="CaLIBRI" w:hAnsi="CaLIBRI"/>
                <w:b/>
                <w:bCs/>
                <w:i w:val="false"/>
                <w:iCs w:val="false"/>
                <w:strike w:val="false"/>
                <w:dstrike w:val="false"/>
                <w:color w:val="000000"/>
                <w:spacing w:val="-10"/>
                <w:kern w:val="0"/>
                <w:sz w:val="24"/>
                <w:szCs w:val="24"/>
                <w:u w:val="none"/>
                <w:shd w:fill="FFFFFF" w:val="clear"/>
                <w:lang w:val="pt-BR" w:eastAsia="zh-CN" w:bidi="hi-IN"/>
              </w:rPr>
              <w:t xml:space="preserve">área de </w:t>
            </w:r>
            <w:r>
              <w:rPr>
                <w:rFonts w:eastAsia="WenQuanYi Micro Hei" w:cs="Arial" w:ascii="Carlito" w:hAnsi="Carlito"/>
                <w:b/>
                <w:bCs/>
                <w:i w:val="false"/>
                <w:iCs w:val="false"/>
                <w:strike w:val="false"/>
                <w:dstrike w:val="false"/>
                <w:color w:val="000000"/>
                <w:spacing w:val="-26"/>
                <w:kern w:val="0"/>
                <w:sz w:val="24"/>
                <w:szCs w:val="24"/>
                <w:u w:val="none"/>
                <w:shd w:fill="FFFFFF" w:val="clear"/>
                <w:lang w:val="pt-BR" w:eastAsia="zh-CN" w:bidi="hi-IN"/>
              </w:rPr>
              <w:t>15.103,75 m²</w:t>
            </w:r>
            <w:r>
              <w:rPr>
                <w:rFonts w:eastAsia="WenQuanYi Micro Hei" w:cs="Arial" w:ascii="CaLIBRI" w:hAnsi="CaLIBRI"/>
                <w:b w:val="false"/>
                <w:bCs w:val="false"/>
                <w:i w:val="false"/>
                <w:iCs w:val="false"/>
                <w:strike w:val="false"/>
                <w:dstrike w:val="false"/>
                <w:color w:val="000000"/>
                <w:spacing w:val="-10"/>
                <w:kern w:val="0"/>
                <w:sz w:val="24"/>
                <w:szCs w:val="24"/>
                <w:u w:val="none"/>
                <w:shd w:fill="FFFFFF" w:val="clear"/>
                <w:lang w:val="pt-BR" w:eastAsia="zh-CN" w:bidi="hi-IN"/>
              </w:rPr>
              <w:t xml:space="preserve">, englobando, desinsetização, desratização e descupinização, nas áreas internas e externas, a ser realizado </w:t>
            </w:r>
            <w:r>
              <w:rPr>
                <w:rFonts w:eastAsia="WenQuanYi Micro Hei" w:cs="Arial" w:ascii="CaLIBRI" w:hAnsi="CaLIBRI"/>
                <w:b/>
                <w:bCs/>
                <w:i w:val="false"/>
                <w:iCs w:val="false"/>
                <w:strike w:val="false"/>
                <w:dstrike w:val="false"/>
                <w:color w:val="000000"/>
                <w:spacing w:val="-10"/>
                <w:kern w:val="0"/>
                <w:sz w:val="24"/>
                <w:szCs w:val="24"/>
                <w:u w:val="none"/>
                <w:shd w:fill="FFFFFF" w:val="clear"/>
                <w:lang w:val="pt-BR" w:eastAsia="zh-CN" w:bidi="hi-IN"/>
              </w:rPr>
              <w:t>trimestralmente no período de 12 meses;</w:t>
            </w:r>
            <w:r>
              <w:rPr>
                <w:rFonts w:eastAsia="WenQuanYi Micro Hei" w:cs="Arial" w:ascii="CaLIBRI" w:hAnsi="CaLIBRI"/>
                <w:b w:val="false"/>
                <w:bCs w:val="false"/>
                <w:i w:val="false"/>
                <w:iCs w:val="false"/>
                <w:strike w:val="false"/>
                <w:dstrike w:val="false"/>
                <w:color w:val="000000"/>
                <w:spacing w:val="-10"/>
                <w:kern w:val="0"/>
                <w:sz w:val="24"/>
                <w:szCs w:val="24"/>
                <w:u w:val="none"/>
                <w:shd w:fill="FFFFFF" w:val="clear"/>
                <w:lang w:val="pt-BR" w:eastAsia="zh-CN" w:bidi="hi-IN"/>
              </w:rPr>
              <w:t xml:space="preserve"> incluindo o fornecimento de produtos químicos e defensivos, utensílios, máquinas e equipamentos, EPI’s e material de consumo adequado, bem como, mão de obra qualificada. A contratada deverá ser capaz de aplicar os métodos de controle de pragas por pulverização, termonebulização, gel baraticida/formicida, pó químico, iscas e armadilha; com emissão de certificado de execução dos serviços com validade/garantia de 3 meses.</w:t>
            </w:r>
          </w:p>
        </w:tc>
        <w:tc>
          <w:tcPr>
            <w:tcW w:w="1013"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spacing w:lineRule="auto" w:line="240" w:before="0" w:after="0"/>
              <w:ind w:left="0" w:right="0" w:hanging="0"/>
              <w:jc w:val="both"/>
              <w:rPr>
                <w:rFonts w:ascii="CaLIBRI" w:hAnsi="CaLIBRI" w:eastAsia="WenQuanYi Micro Hei" w:cs="Arial"/>
                <w:b w:val="false"/>
                <w:b w:val="false"/>
                <w:bCs w:val="false"/>
                <w:i w:val="false"/>
                <w:i w:val="false"/>
                <w:iCs w:val="false"/>
                <w:strike w:val="false"/>
                <w:dstrike w:val="false"/>
                <w:color w:val="000000"/>
                <w:spacing w:val="-10"/>
                <w:kern w:val="0"/>
                <w:sz w:val="24"/>
                <w:szCs w:val="24"/>
                <w:u w:val="none"/>
                <w:shd w:fill="FFFFFF" w:val="clear"/>
                <w:lang w:val="pt-BR" w:eastAsia="zh-CN" w:bidi="hi-IN"/>
              </w:rPr>
            </w:pPr>
            <w:r>
              <w:rPr>
                <w:rFonts w:eastAsia="WenQuanYi Micro Hei" w:cs="Arial" w:ascii="CaLIBRI" w:hAnsi="CaLIBRI"/>
                <w:b w:val="false"/>
                <w:bCs w:val="false"/>
                <w:i w:val="false"/>
                <w:iCs w:val="false"/>
                <w:strike w:val="false"/>
                <w:dstrike w:val="false"/>
                <w:color w:val="000000"/>
                <w:spacing w:val="-10"/>
                <w:kern w:val="0"/>
                <w:sz w:val="24"/>
                <w:szCs w:val="24"/>
                <w:u w:val="none"/>
                <w:shd w:fill="FFFFFF" w:val="clear"/>
                <w:lang w:val="pt-BR" w:eastAsia="zh-CN" w:bidi="hi-IN"/>
              </w:rPr>
              <w:t>3417</w:t>
            </w:r>
          </w:p>
        </w:tc>
        <w:tc>
          <w:tcPr>
            <w:tcW w:w="581"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jc w:val="center"/>
              <w:rPr>
                <w:rFonts w:ascii="Carlito" w:hAnsi="Carlito" w:eastAsia="WenQuanYi Micro Hei" w:cs="Arial"/>
                <w:b w:val="false"/>
                <w:b w:val="false"/>
                <w:bCs w:val="false"/>
                <w:i w:val="false"/>
                <w:i w:val="false"/>
                <w:iCs w:val="false"/>
                <w:strike w:val="false"/>
                <w:dstrike w:val="false"/>
                <w:color w:val="000000"/>
                <w:spacing w:val="-26"/>
                <w:kern w:val="0"/>
                <w:sz w:val="24"/>
                <w:szCs w:val="24"/>
                <w:u w:val="none"/>
                <w:shd w:fill="FFFFFF" w:val="clear"/>
                <w:lang w:val="pt-BR" w:eastAsia="zh-CN" w:bidi="hi-IN"/>
              </w:rPr>
            </w:pPr>
            <w:r>
              <w:rPr>
                <w:rFonts w:eastAsia="WenQuanYi Micro Hei" w:cs="Arial" w:ascii="Carlito" w:hAnsi="Carlito"/>
                <w:b w:val="false"/>
                <w:bCs w:val="false"/>
                <w:i w:val="false"/>
                <w:iCs w:val="false"/>
                <w:strike w:val="false"/>
                <w:dstrike w:val="false"/>
                <w:color w:val="000000"/>
                <w:spacing w:val="-26"/>
                <w:kern w:val="0"/>
                <w:sz w:val="24"/>
                <w:szCs w:val="24"/>
                <w:u w:val="none"/>
                <w:shd w:fill="FFFFFF" w:val="clear"/>
                <w:lang w:val="pt-BR" w:eastAsia="zh-CN" w:bidi="hi-IN"/>
              </w:rPr>
              <w:t>UN</w:t>
            </w:r>
          </w:p>
        </w:tc>
        <w:tc>
          <w:tcPr>
            <w:tcW w:w="843"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jc w:val="center"/>
              <w:rPr>
                <w:rFonts w:ascii="Carlito" w:hAnsi="Carlito" w:eastAsia="WenQuanYi Micro Hei" w:cs="Arial"/>
                <w:b w:val="false"/>
                <w:b w:val="false"/>
                <w:bCs w:val="false"/>
                <w:i w:val="false"/>
                <w:i w:val="false"/>
                <w:iCs w:val="false"/>
                <w:strike w:val="false"/>
                <w:dstrike w:val="false"/>
                <w:color w:val="000000"/>
                <w:spacing w:val="-26"/>
                <w:kern w:val="0"/>
                <w:sz w:val="24"/>
                <w:szCs w:val="24"/>
                <w:u w:val="none"/>
                <w:shd w:fill="FFFFFF" w:val="clear"/>
                <w:lang w:val="pt-BR" w:eastAsia="zh-CN" w:bidi="hi-IN"/>
              </w:rPr>
            </w:pPr>
            <w:r>
              <w:rPr>
                <w:rFonts w:eastAsia="WenQuanYi Micro Hei" w:cs="Arial" w:ascii="Carlito" w:hAnsi="Carlito"/>
                <w:b w:val="false"/>
                <w:bCs w:val="false"/>
                <w:i w:val="false"/>
                <w:iCs w:val="false"/>
                <w:strike w:val="false"/>
                <w:dstrike w:val="false"/>
                <w:color w:val="000000"/>
                <w:spacing w:val="-26"/>
                <w:kern w:val="0"/>
                <w:sz w:val="24"/>
                <w:szCs w:val="24"/>
                <w:u w:val="none"/>
                <w:shd w:fill="FFFFFF" w:val="clear"/>
                <w:lang w:val="pt-BR" w:eastAsia="zh-CN" w:bidi="hi-IN"/>
              </w:rPr>
              <w:t>4</w:t>
            </w:r>
          </w:p>
        </w:tc>
        <w:tc>
          <w:tcPr>
            <w:tcW w:w="137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Carlito" w:hAnsi="Carlito" w:eastAsia="WenQuanYi Micro Hei" w:cs="Arial"/>
                <w:b w:val="false"/>
                <w:b w:val="false"/>
                <w:bCs w:val="false"/>
                <w:i w:val="false"/>
                <w:i w:val="false"/>
                <w:iCs w:val="false"/>
                <w:strike w:val="false"/>
                <w:dstrike w:val="false"/>
                <w:color w:val="000000"/>
                <w:spacing w:val="-10"/>
                <w:kern w:val="0"/>
                <w:sz w:val="24"/>
                <w:szCs w:val="24"/>
                <w:u w:val="none"/>
                <w:shd w:fill="FFFFFF" w:val="clear"/>
                <w:lang w:val="pt-BR" w:eastAsia="zh-CN" w:bidi="hi-IN"/>
              </w:rPr>
            </w:pPr>
            <w:r>
              <w:rPr>
                <w:rFonts w:eastAsia="WenQuanYi Micro Hei" w:cs="Arial" w:ascii="Carlito" w:hAnsi="Carlito"/>
                <w:b w:val="false"/>
                <w:bCs w:val="false"/>
                <w:i w:val="false"/>
                <w:iCs w:val="false"/>
                <w:strike w:val="false"/>
                <w:dstrike w:val="false"/>
                <w:color w:val="000000"/>
                <w:spacing w:val="-10"/>
                <w:kern w:val="0"/>
                <w:sz w:val="24"/>
                <w:szCs w:val="24"/>
                <w:u w:val="none"/>
                <w:shd w:fill="FFFFFF" w:val="clear"/>
                <w:lang w:val="pt-BR" w:eastAsia="zh-CN" w:bidi="hi-IN"/>
              </w:rPr>
              <w:t>R$ 3.926,98</w:t>
            </w:r>
          </w:p>
        </w:tc>
        <w:tc>
          <w:tcPr>
            <w:tcW w:w="13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Carlito" w:hAnsi="Carlito" w:eastAsia="WenQuanYi Micro Hei" w:cs="Arial"/>
                <w:b w:val="false"/>
                <w:b w:val="false"/>
                <w:bCs w:val="false"/>
                <w:i w:val="false"/>
                <w:i w:val="false"/>
                <w:iCs w:val="false"/>
                <w:strike w:val="false"/>
                <w:dstrike w:val="false"/>
                <w:outline w:val="false"/>
                <w:shadow w:val="false"/>
                <w:color w:val="000000"/>
                <w:spacing w:val="-26"/>
                <w:kern w:val="0"/>
                <w:sz w:val="24"/>
                <w:szCs w:val="24"/>
                <w:u w:val="none"/>
                <w:shd w:fill="FFFFFF" w:val="clear"/>
                <w:em w:val="none"/>
                <w:lang w:val="pt-BR" w:eastAsia="zh-CN" w:bidi="hi-IN"/>
              </w:rPr>
            </w:pPr>
            <w:r>
              <w:rPr>
                <w:rFonts w:eastAsia="WenQuanYi Micro Hei" w:cs="Arial" w:ascii="Carlito" w:hAnsi="Carlito"/>
                <w:b w:val="false"/>
                <w:bCs w:val="false"/>
                <w:i w:val="false"/>
                <w:iCs w:val="false"/>
                <w:strike w:val="false"/>
                <w:dstrike w:val="false"/>
                <w:outline w:val="false"/>
                <w:shadow w:val="false"/>
                <w:color w:val="000000"/>
                <w:spacing w:val="-26"/>
                <w:kern w:val="0"/>
                <w:sz w:val="24"/>
                <w:szCs w:val="24"/>
                <w:u w:val="none"/>
                <w:shd w:fill="FFFFFF" w:val="clear"/>
                <w:em w:val="none"/>
                <w:lang w:val="pt-BR" w:eastAsia="zh-CN" w:bidi="hi-IN"/>
              </w:rPr>
              <w:t>R$15.707,90</w:t>
            </w:r>
          </w:p>
        </w:tc>
      </w:tr>
    </w:tbl>
    <w:p>
      <w:pPr>
        <w:pStyle w:val="Nvel2Opcional1"/>
        <w:widowControl/>
        <w:numPr>
          <w:ilvl w:val="1"/>
          <w:numId w:val="2"/>
        </w:numPr>
        <w:shd w:val="clear" w:fill="FFFFFF"/>
        <w:tabs>
          <w:tab w:val="left" w:pos="510" w:leader="none"/>
          <w:tab w:val="left" w:pos="735" w:leader="none"/>
        </w:tabs>
        <w:suppressAutoHyphens w:val="true"/>
        <w:bidi w:val="0"/>
        <w:spacing w:lineRule="auto" w:line="276" w:before="0" w:after="0"/>
        <w:ind w:left="454" w:right="0" w:firstLine="113"/>
        <w:jc w:val="both"/>
        <w:rPr>
          <w:rFonts w:ascii="Carlito" w:hAnsi="Carlito"/>
          <w:sz w:val="24"/>
          <w:szCs w:val="24"/>
        </w:rPr>
      </w:pPr>
      <w:r>
        <w:rPr>
          <w:rFonts w:ascii="Carlito" w:hAnsi="Carlito"/>
          <w:color w:val="000000"/>
          <w:sz w:val="24"/>
          <w:szCs w:val="24"/>
        </w:rPr>
        <w:t xml:space="preserve">O(s) serviço(s) objeto desta contratação são caracterizados como </w:t>
      </w:r>
      <w:r>
        <w:rPr>
          <w:rFonts w:ascii="Carlito" w:hAnsi="Carlito"/>
          <w:b/>
          <w:bCs/>
          <w:color w:val="000000"/>
          <w:sz w:val="24"/>
          <w:szCs w:val="24"/>
        </w:rPr>
        <w:t>comuns.</w:t>
      </w:r>
    </w:p>
    <w:p>
      <w:pPr>
        <w:pStyle w:val="Nvel2Opcional1"/>
        <w:widowControl/>
        <w:numPr>
          <w:ilvl w:val="1"/>
          <w:numId w:val="2"/>
        </w:numPr>
        <w:shd w:val="clear" w:fill="FFFFFF"/>
        <w:tabs>
          <w:tab w:val="left" w:pos="510" w:leader="none"/>
          <w:tab w:val="left" w:pos="735" w:leader="none"/>
        </w:tabs>
        <w:suppressAutoHyphens w:val="true"/>
        <w:bidi w:val="0"/>
        <w:spacing w:lineRule="auto" w:line="276" w:before="0" w:after="0"/>
        <w:ind w:left="0" w:right="0" w:firstLine="567"/>
        <w:jc w:val="both"/>
        <w:rPr>
          <w:rFonts w:ascii="Carlito" w:hAnsi="Carlito"/>
          <w:sz w:val="24"/>
          <w:szCs w:val="24"/>
        </w:rPr>
      </w:pPr>
      <w:r>
        <w:rPr>
          <w:rFonts w:ascii="Carlito" w:hAnsi="Carlito"/>
          <w:color w:val="000000"/>
          <w:sz w:val="24"/>
          <w:szCs w:val="24"/>
        </w:rPr>
        <w:t>O prazo de vigência da contratação é de 12</w:t>
      </w:r>
      <w:r>
        <w:rPr>
          <w:rFonts w:ascii="Carlito" w:hAnsi="Carlito"/>
          <w:b/>
          <w:bCs/>
          <w:color w:val="000000"/>
          <w:sz w:val="24"/>
          <w:szCs w:val="24"/>
        </w:rPr>
        <w:t xml:space="preserve"> meses</w:t>
      </w:r>
      <w:r>
        <w:rPr>
          <w:rFonts w:ascii="Carlito" w:hAnsi="Carlito"/>
          <w:color w:val="000000"/>
          <w:sz w:val="24"/>
          <w:szCs w:val="24"/>
        </w:rPr>
        <w:t xml:space="preserve"> contados do(a) </w:t>
      </w:r>
      <w:r>
        <w:rPr>
          <w:rFonts w:ascii="Carlito" w:hAnsi="Carlito"/>
          <w:b/>
          <w:bCs/>
          <w:color w:val="000000"/>
          <w:sz w:val="24"/>
          <w:szCs w:val="24"/>
        </w:rPr>
        <w:t>assinatura do contrato</w:t>
      </w:r>
      <w:r>
        <w:rPr>
          <w:rFonts w:ascii="Carlito" w:hAnsi="Carlito"/>
          <w:color w:val="000000"/>
          <w:sz w:val="24"/>
          <w:szCs w:val="24"/>
        </w:rPr>
        <w:t xml:space="preserve">, na forma do artigo </w:t>
      </w:r>
      <w:bookmarkStart w:id="1" w:name="__DdeLink__5149_3526926466"/>
      <w:r>
        <w:rPr>
          <w:rFonts w:ascii="Carlito" w:hAnsi="Carlito"/>
          <w:color w:val="000000"/>
          <w:sz w:val="24"/>
          <w:szCs w:val="24"/>
        </w:rPr>
        <w:t>105 da Lei n° 14.133, de 2021</w:t>
      </w:r>
      <w:bookmarkEnd w:id="1"/>
      <w:r>
        <w:rPr>
          <w:rFonts w:ascii="Carlito" w:hAnsi="Carlito"/>
          <w:color w:val="000000"/>
          <w:sz w:val="24"/>
          <w:szCs w:val="24"/>
        </w:rPr>
        <w:t>.</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O contrato ou outro instrumento hábil que o substitua oferece maior detalhamento das regras que serão aplicadas em relação à vigência da contratação.</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ivel01"/>
        <w:widowControl/>
        <w:numPr>
          <w:ilvl w:val="0"/>
          <w:numId w:val="2"/>
        </w:numPr>
        <w:shd w:val="clear" w:fill="FFFFFF"/>
        <w:tabs>
          <w:tab w:val="left" w:pos="120" w:leader="none"/>
          <w:tab w:val="left" w:pos="345" w:leader="none"/>
          <w:tab w:val="left" w:pos="570" w:leader="none"/>
          <w:tab w:val="left" w:pos="735" w:leader="none"/>
        </w:tabs>
        <w:suppressAutoHyphens w:val="true"/>
        <w:bidi w:val="0"/>
        <w:spacing w:lineRule="auto" w:line="276" w:before="0" w:after="0"/>
        <w:ind w:left="357" w:right="0" w:hanging="35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FUNDAMENTAÇÃO E DESCRIÇÃO DA NECESSIDADE DA CONTRATAÇÃO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A Fundamentação da Contratação e de seus quantitativos encontra-se pormenorizada neste Termo de Referência.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O objeto da contratação está previsto no Plano de Contratações Anual, conforme consta das informações básicas neste Termo de Referência.</w:t>
      </w:r>
    </w:p>
    <w:p>
      <w:pPr>
        <w:pStyle w:val="Nvel2Opcional1"/>
        <w:numPr>
          <w:ilvl w:val="0"/>
          <w:numId w:val="0"/>
        </w:numPr>
        <w:shd w:val="clear" w:fill="FFFFFF"/>
        <w:spacing w:before="0" w:after="0"/>
        <w:ind w:left="2273" w:right="0" w:hanging="0"/>
        <w:jc w:val="both"/>
        <w:rPr>
          <w:rFonts w:ascii="Carlito" w:hAnsi="Carlito"/>
          <w:color w:val="000000"/>
          <w:sz w:val="24"/>
          <w:szCs w:val="24"/>
        </w:rPr>
      </w:pPr>
      <w:r>
        <w:rPr>
          <w:rFonts w:ascii="Carlito" w:hAnsi="Carlito"/>
          <w:color w:val="000000"/>
          <w:sz w:val="24"/>
          <w:szCs w:val="24"/>
        </w:rPr>
      </w:r>
    </w:p>
    <w:p>
      <w:pPr>
        <w:pStyle w:val="Nivel01"/>
        <w:widowControl/>
        <w:numPr>
          <w:ilvl w:val="0"/>
          <w:numId w:val="2"/>
        </w:numPr>
        <w:shd w:val="clear" w:fill="FFFFFF"/>
        <w:suppressAutoHyphens w:val="true"/>
        <w:overflowPunct w:val="true"/>
        <w:bidi w:val="0"/>
        <w:spacing w:lineRule="auto" w:line="276"/>
        <w:ind w:left="357" w:right="0" w:hanging="357"/>
        <w:jc w:val="both"/>
        <w:rPr>
          <w:rFonts w:ascii="Carlito" w:hAnsi="Carlito"/>
          <w:sz w:val="24"/>
          <w:szCs w:val="24"/>
        </w:rPr>
      </w:pPr>
      <w:r>
        <w:rPr>
          <w:rFonts w:ascii="Carlito" w:hAnsi="Carlito"/>
          <w:sz w:val="24"/>
          <w:szCs w:val="24"/>
        </w:rPr>
        <w:t>DESCRIÇÃO DA SOLUÇÃO COMO UM TODO CONSIDERADO O CICLO DE VIDA DO OBJETO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bookmarkStart w:id="2" w:name="_Ref121236534"/>
      <w:r>
        <w:rPr>
          <w:rFonts w:ascii="Carlito" w:hAnsi="Carlito"/>
          <w:color w:val="000000"/>
          <w:sz w:val="24"/>
          <w:szCs w:val="24"/>
        </w:rPr>
        <w:t>A descrição da solução como um todo encontra-se pormenorizada neste Termo de Referência.</w:t>
      </w:r>
      <w:bookmarkEnd w:id="2"/>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0" w:after="0"/>
        <w:ind w:left="1080" w:right="0" w:hanging="0"/>
        <w:jc w:val="both"/>
        <w:rPr>
          <w:rFonts w:ascii="Carlito" w:hAnsi="Carlito"/>
          <w:color w:val="000000"/>
          <w:sz w:val="24"/>
          <w:szCs w:val="24"/>
        </w:rPr>
      </w:pPr>
      <w:r>
        <w:rPr>
          <w:rFonts w:ascii="Carlito" w:hAnsi="Carlito"/>
          <w:color w:val="000000"/>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REQUISITOS DA CONTRATAÇÃO</w:t>
      </w:r>
    </w:p>
    <w:p>
      <w:pPr>
        <w:pStyle w:val="Nvel2Red"/>
        <w:widowControl/>
        <w:numPr>
          <w:ilvl w:val="1"/>
          <w:numId w:val="2"/>
        </w:numPr>
        <w:suppressAutoHyphens w:val="true"/>
        <w:bidi w:val="0"/>
        <w:spacing w:lineRule="auto" w:line="276" w:before="0" w:after="0"/>
        <w:ind w:left="0" w:right="0" w:firstLine="567"/>
        <w:jc w:val="both"/>
        <w:rPr>
          <w:rFonts w:ascii="Carlito" w:hAnsi="Carlito" w:eastAsia="Arial" w:cs="Arial"/>
          <w:b w:val="false"/>
          <w:b w:val="false"/>
          <w:bCs w:val="false"/>
          <w:i w:val="false"/>
          <w:i w:val="false"/>
          <w:iCs w:val="false"/>
          <w:color w:val="000000"/>
          <w:sz w:val="24"/>
          <w:szCs w:val="24"/>
          <w:lang w:eastAsia="pt-BR"/>
        </w:rPr>
      </w:pPr>
      <w:r>
        <w:rPr>
          <w:rFonts w:eastAsia="Arial" w:cs="Arial" w:ascii="Carlito" w:hAnsi="Carlito"/>
          <w:b w:val="false"/>
          <w:bCs w:val="false"/>
          <w:i w:val="false"/>
          <w:iCs w:val="false"/>
          <w:color w:val="000000"/>
          <w:sz w:val="24"/>
          <w:szCs w:val="24"/>
          <w:lang w:eastAsia="pt-BR"/>
        </w:rPr>
        <w:t>O prazo de vigência da contratação é de 12 meses contados do(a) entrega da nota de empenho, na forma do artigo 105 da Lei n° 14.133, de 2021.</w:t>
      </w:r>
    </w:p>
    <w:p>
      <w:pPr>
        <w:pStyle w:val="Nvel2Red"/>
        <w:widowControl/>
        <w:numPr>
          <w:ilvl w:val="0"/>
          <w:numId w:val="0"/>
        </w:numPr>
        <w:suppressAutoHyphens w:val="true"/>
        <w:bidi w:val="0"/>
        <w:spacing w:lineRule="auto" w:line="276" w:before="0" w:after="0"/>
        <w:ind w:left="1080" w:right="0" w:hanging="0"/>
        <w:jc w:val="both"/>
        <w:rPr>
          <w:rFonts w:ascii="Carlito" w:hAnsi="Carlito" w:eastAsia="Arial" w:cs="Arial"/>
          <w:b w:val="false"/>
          <w:b w:val="false"/>
          <w:bCs w:val="false"/>
          <w:i w:val="false"/>
          <w:i w:val="false"/>
          <w:iCs w:val="false"/>
          <w:color w:val="000000"/>
          <w:sz w:val="24"/>
          <w:szCs w:val="24"/>
          <w:lang w:eastAsia="pt-BR"/>
        </w:rPr>
      </w:pPr>
      <w:r>
        <w:rPr>
          <w:rFonts w:eastAsia="Arial" w:cs="Arial" w:ascii="Carlito" w:hAnsi="Carlito"/>
          <w:b w:val="false"/>
          <w:bCs w:val="false"/>
          <w:i w:val="false"/>
          <w:iCs w:val="false"/>
          <w:color w:val="000000"/>
          <w:sz w:val="24"/>
          <w:szCs w:val="24"/>
          <w:lang w:eastAsia="pt-BR"/>
        </w:rPr>
      </w:r>
    </w:p>
    <w:p>
      <w:pPr>
        <w:pStyle w:val="Nivel01"/>
        <w:widowControl/>
        <w:numPr>
          <w:ilvl w:val="0"/>
          <w:numId w:val="0"/>
        </w:numPr>
        <w:shd w:val="clear" w:fill="FFFFFF"/>
        <w:suppressAutoHyphens w:val="true"/>
        <w:bidi w:val="0"/>
        <w:spacing w:lineRule="auto" w:line="276" w:before="0" w:after="0"/>
        <w:ind w:left="380" w:right="0" w:hanging="0"/>
        <w:jc w:val="both"/>
        <w:rPr/>
      </w:pPr>
      <w:r>
        <w:rPr>
          <w:rFonts w:ascii="Carlito" w:hAnsi="Carlito"/>
          <w:sz w:val="24"/>
          <w:szCs w:val="24"/>
        </w:rPr>
        <w:t>Subcontratação</w:t>
      </w:r>
    </w:p>
    <w:p>
      <w:pPr>
        <w:pStyle w:val="Nvel2Opcional1"/>
        <w:numPr>
          <w:ilvl w:val="1"/>
          <w:numId w:val="2"/>
        </w:numPr>
        <w:shd w:val="clear" w:fill="FFFFFF"/>
        <w:ind w:left="473" w:right="0" w:hanging="0"/>
        <w:jc w:val="both"/>
        <w:rPr>
          <w:rFonts w:ascii="Carlito" w:hAnsi="Carlito"/>
          <w:color w:val="000000"/>
          <w:sz w:val="24"/>
          <w:szCs w:val="24"/>
        </w:rPr>
      </w:pPr>
      <w:r>
        <w:rPr>
          <w:rFonts w:ascii="Carlito" w:hAnsi="Carlito"/>
          <w:color w:val="000000"/>
          <w:sz w:val="24"/>
          <w:szCs w:val="24"/>
        </w:rPr>
        <w:t>Não será admitida a subcontratação do objeto contratual.</w:t>
      </w:r>
    </w:p>
    <w:p>
      <w:pPr>
        <w:pStyle w:val="Ou"/>
        <w:widowControl/>
        <w:bidi w:val="0"/>
        <w:spacing w:lineRule="auto" w:line="259"/>
        <w:ind w:left="720" w:right="0" w:hanging="0"/>
        <w:jc w:val="both"/>
        <w:rPr>
          <w:rFonts w:ascii="Carlito" w:hAnsi="Carlito" w:eastAsia="Cambria" w:cs="Arial"/>
          <w:b/>
          <w:b/>
          <w:bCs/>
          <w:i/>
          <w:i/>
          <w:iCs/>
          <w:color w:val="FF0000"/>
          <w:kern w:val="0"/>
          <w:sz w:val="24"/>
          <w:szCs w:val="24"/>
          <w:highlight w:val="lightGray"/>
          <w:lang w:val="pt-BR" w:eastAsia="zh-CN" w:bidi="hi-IN"/>
        </w:rPr>
      </w:pPr>
      <w:r>
        <w:rPr>
          <w:rFonts w:eastAsia="Cambria" w:cs="Arial" w:ascii="Carlito" w:hAnsi="Carlito"/>
          <w:b/>
          <w:bCs/>
          <w:i/>
          <w:iCs/>
          <w:color w:val="FF0000"/>
          <w:kern w:val="0"/>
          <w:sz w:val="24"/>
          <w:szCs w:val="24"/>
          <w:highlight w:val="lightGray"/>
          <w:lang w:val="pt-BR" w:eastAsia="zh-CN" w:bidi="hi-IN"/>
        </w:rPr>
      </w:r>
    </w:p>
    <w:p>
      <w:pPr>
        <w:pStyle w:val="Nvel1SemNumerao"/>
        <w:widowControl/>
        <w:numPr>
          <w:ilvl w:val="0"/>
          <w:numId w:val="0"/>
        </w:numPr>
        <w:shd w:val="clear" w:fill="FFFFFF"/>
        <w:tabs>
          <w:tab w:val="left" w:pos="120" w:leader="none"/>
          <w:tab w:val="left" w:pos="345" w:leader="none"/>
          <w:tab w:val="left" w:pos="390" w:leader="none"/>
          <w:tab w:val="left" w:pos="570" w:leader="none"/>
          <w:tab w:val="left" w:pos="900" w:leader="none"/>
          <w:tab w:val="left" w:pos="1020" w:leader="none"/>
          <w:tab w:val="left" w:pos="1140" w:leader="none"/>
          <w:tab w:val="left" w:pos="2160" w:leader="none"/>
        </w:tabs>
        <w:suppressAutoHyphens w:val="true"/>
        <w:bidi w:val="0"/>
        <w:spacing w:lineRule="auto" w:line="276" w:before="0" w:after="0"/>
        <w:ind w:left="720" w:right="0" w:hanging="0"/>
        <w:jc w:val="both"/>
        <w:rPr>
          <w:rFonts w:ascii="Carlito" w:hAnsi="Carlito" w:eastAsia="Arial" w:cs="Arial"/>
          <w:i w:val="false"/>
          <w:i w:val="false"/>
          <w:iCs w:val="false"/>
          <w:color w:val="auto"/>
          <w:kern w:val="0"/>
          <w:sz w:val="24"/>
          <w:szCs w:val="24"/>
          <w:lang w:val="pt-BR" w:eastAsia="en-US" w:bidi="ar-SA"/>
        </w:rPr>
      </w:pPr>
      <w:r>
        <w:rPr>
          <w:rFonts w:eastAsia="Arial" w:cs="Arial" w:ascii="Carlito" w:hAnsi="Carlito"/>
          <w:i w:val="false"/>
          <w:iCs w:val="false"/>
          <w:color w:val="auto"/>
          <w:kern w:val="0"/>
          <w:sz w:val="24"/>
          <w:szCs w:val="24"/>
          <w:lang w:val="pt-BR" w:eastAsia="en-US" w:bidi="ar-SA"/>
        </w:rPr>
        <w:t>Garantia da contratação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Não haverá exigência da garantia da contratação dos art. 96 e seguintes da Lei nº 14.133, de 2021.</w:t>
      </w:r>
    </w:p>
    <w:p>
      <w:pPr>
        <w:pStyle w:val="Ou"/>
        <w:ind w:left="72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Vistoria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09:00 horas às 15:00 horas.</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Serão disponibilizados data e horário diferentes aos interessados em realizar a vistoria prévia.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 xml:space="preserve">Caso o interessado opte por não realizar a vistoria, deverá prestar declaração formal assinada por seu responsável técnico acerca do conhecimento pleno das condições e peculiaridades da contratação. </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6" w:after="6"/>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A não realização da vistoria não poderá embasar posteriores alegações de desconhecimento das instalações, dúvidas ou esquecimentos de quaisquer detalhes das instalações da prestação dos serviços, devendo o contratado assumir os ônus dos serviços decorrentes</w:t>
      </w:r>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6" w:after="6"/>
        <w:ind w:left="1080" w:right="0" w:hanging="0"/>
        <w:jc w:val="both"/>
        <w:rPr>
          <w:rFonts w:ascii="Carlito" w:hAnsi="Carlito"/>
          <w:color w:val="000000"/>
          <w:sz w:val="24"/>
          <w:szCs w:val="24"/>
          <w:lang w:eastAsia="en-US"/>
        </w:rPr>
      </w:pPr>
      <w:r>
        <w:rPr>
          <w:rFonts w:ascii="Carlito" w:hAnsi="Carlito"/>
          <w:color w:val="000000"/>
          <w:sz w:val="24"/>
          <w:szCs w:val="24"/>
          <w:lang w:eastAsia="en-US"/>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MODELO DE EXECUÇÃO DO OBJETO</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Condições de execução</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A execução do serviço seguirá a seguinte dinâmica:</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 xml:space="preserve"> </w:t>
      </w:r>
      <w:r>
        <w:rPr>
          <w:rFonts w:eastAsia="Arial" w:cs="Arial" w:ascii="Carlito" w:hAnsi="Carlito"/>
          <w:b w:val="false"/>
          <w:bCs w:val="false"/>
          <w:i w:val="false"/>
          <w:iCs w:val="false"/>
          <w:color w:val="auto"/>
          <w:kern w:val="0"/>
          <w:sz w:val="24"/>
          <w:szCs w:val="24"/>
          <w:lang w:val="pt-BR" w:eastAsia="en-US" w:bidi="ar-SA"/>
        </w:rPr>
        <w:t>Início da execução do serviço: iniciará no momento da assinatura do contrato.</w:t>
      </w:r>
    </w:p>
    <w:p>
      <w:pPr>
        <w:pStyle w:val="Nvel1SemNumerao"/>
        <w:numPr>
          <w:ilvl w:val="0"/>
          <w:numId w:val="0"/>
        </w:numPr>
        <w:shd w:val="clear" w:fill="FFFFFF"/>
        <w:ind w:left="1080" w:right="0" w:hanging="0"/>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Nvel1SemNumerao"/>
        <w:widowControl/>
        <w:numPr>
          <w:ilvl w:val="0"/>
          <w:numId w:val="0"/>
        </w:numPr>
        <w:shd w:val="clear" w:fill="FFFFFF"/>
        <w:suppressAutoHyphens w:val="true"/>
        <w:bidi w:val="0"/>
        <w:spacing w:lineRule="auto" w:line="276" w:before="0" w:after="0"/>
        <w:ind w:left="380" w:right="0" w:hanging="0"/>
        <w:jc w:val="both"/>
        <w:rPr/>
      </w:pPr>
      <w:r>
        <w:rPr>
          <w:rFonts w:eastAsia="Arial" w:cs="Arial" w:ascii="Carlito" w:hAnsi="Carlito"/>
          <w:b/>
          <w:bCs/>
          <w:i w:val="false"/>
          <w:iCs w:val="false"/>
          <w:color w:val="auto"/>
          <w:kern w:val="0"/>
          <w:sz w:val="24"/>
          <w:szCs w:val="24"/>
          <w:lang w:val="pt-BR" w:eastAsia="en-US" w:bidi="ar-SA"/>
        </w:rPr>
        <w:t>Local e horário para vistoria</w:t>
      </w:r>
    </w:p>
    <w:p>
      <w:pPr>
        <w:pStyle w:val="Nvel1SemNumerao"/>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b w:val="false"/>
          <w:bCs w:val="false"/>
          <w:i w:val="false"/>
          <w:iCs w:val="false"/>
          <w:color w:val="auto"/>
          <w:kern w:val="0"/>
          <w:sz w:val="24"/>
          <w:szCs w:val="24"/>
          <w:lang w:val="pt-BR" w:eastAsia="en-US" w:bidi="ar-SA"/>
        </w:rPr>
        <w:t>O item descrito na tabela encontra-se disponível para vistoria no Posto de Recepção, localizado na Estrada do Rio Jequiá, s/nº, Ribeira, Ilha do Governador, Rio de Janeiro/RJ – CEP 21930-007, no horário das 09h às 15h, em dias úteis, de segunda a sexta-feira."</w:t>
      </w:r>
    </w:p>
    <w:p>
      <w:pPr>
        <w:pStyle w:val="Default"/>
        <w:widowControl/>
        <w:numPr>
          <w:ilvl w:val="1"/>
          <w:numId w:val="2"/>
        </w:numPr>
        <w:shd w:val="clear" w:fill="FFFFFF"/>
        <w:tabs>
          <w:tab w:val="clear" w:pos="709"/>
          <w:tab w:val="left" w:pos="563" w:leader="none"/>
        </w:tabs>
        <w:suppressAutoHyphens w:val="true"/>
        <w:bidi w:val="0"/>
        <w:spacing w:lineRule="auto" w:line="360" w:before="0" w:after="0"/>
        <w:jc w:val="left"/>
        <w:rPr>
          <w:rFonts w:ascii="Calibri" w:hAnsi="Calibri" w:cs="Arial"/>
          <w:color w:val="000000"/>
          <w:sz w:val="24"/>
          <w:szCs w:val="24"/>
        </w:rPr>
      </w:pPr>
      <w:r>
        <w:rPr>
          <w:rFonts w:eastAsia="Arial" w:cs="Arial" w:ascii="Carlito" w:hAnsi="Carlito"/>
          <w:b w:val="false"/>
          <w:bCs w:val="false"/>
          <w:i w:val="false"/>
          <w:iCs w:val="false"/>
          <w:color w:val="auto"/>
          <w:kern w:val="0"/>
          <w:sz w:val="24"/>
          <w:szCs w:val="24"/>
          <w:lang w:val="pt-BR" w:eastAsia="en-US" w:bidi="ar-SA"/>
        </w:rPr>
        <w:t xml:space="preserve">Contatos: (21)2126-5913 , </w:t>
      </w:r>
      <w:hyperlink r:id="rId3">
        <w:r>
          <w:rPr>
            <w:rStyle w:val="LinkdaInternet"/>
            <w:rFonts w:eastAsia="Arial" w:cs="Arial" w:ascii="Carlito" w:hAnsi="Carlito"/>
            <w:b w:val="false"/>
            <w:bCs w:val="false"/>
            <w:i w:val="false"/>
            <w:iCs w:val="false"/>
            <w:color w:val="auto"/>
            <w:kern w:val="0"/>
            <w:sz w:val="24"/>
            <w:szCs w:val="24"/>
            <w:lang w:val="pt-BR" w:eastAsia="en-US" w:bidi="ar-SA"/>
          </w:rPr>
          <w:t>sergio.sousa@marinha.mil.br</w:t>
        </w:r>
      </w:hyperlink>
      <w:r>
        <w:rPr>
          <w:rFonts w:eastAsia="Arial" w:cs="Arial" w:ascii="Carlito" w:hAnsi="Carlito"/>
          <w:b w:val="false"/>
          <w:bCs w:val="false"/>
          <w:i w:val="false"/>
          <w:iCs w:val="false"/>
          <w:color w:val="auto"/>
          <w:kern w:val="0"/>
          <w:sz w:val="24"/>
          <w:szCs w:val="24"/>
          <w:lang w:val="pt-BR" w:eastAsia="en-US" w:bidi="ar-SA"/>
        </w:rPr>
        <w:t xml:space="preserve"> / </w:t>
      </w:r>
      <w:hyperlink r:id="rId4">
        <w:r>
          <w:rPr>
            <w:rStyle w:val="LinkdaInternet"/>
            <w:rFonts w:eastAsia="Arial" w:cs="Arial" w:ascii="Carlito" w:hAnsi="Carlito"/>
            <w:b w:val="false"/>
            <w:bCs w:val="false"/>
            <w:i w:val="false"/>
            <w:iCs w:val="false"/>
            <w:color w:val="auto"/>
            <w:kern w:val="0"/>
            <w:sz w:val="24"/>
            <w:szCs w:val="24"/>
            <w:lang w:val="pt-BR" w:eastAsia="en-US" w:bidi="ar-SA"/>
          </w:rPr>
          <w:t>verly.jairo@marinha.mil.br</w:t>
        </w:r>
      </w:hyperlink>
      <w:r>
        <w:rPr>
          <w:rFonts w:eastAsia="Arial" w:cs="Arial" w:ascii="Carlito" w:hAnsi="Carlito"/>
          <w:b w:val="false"/>
          <w:bCs w:val="false"/>
          <w:i w:val="false"/>
          <w:iCs w:val="false"/>
          <w:color w:val="auto"/>
          <w:kern w:val="0"/>
          <w:sz w:val="24"/>
          <w:szCs w:val="24"/>
          <w:lang w:val="pt-BR" w:eastAsia="en-US" w:bidi="ar-SA"/>
        </w:rPr>
        <w:t xml:space="preserve"> / </w:t>
      </w:r>
      <w:hyperlink r:id="rId5">
        <w:r>
          <w:rPr>
            <w:rStyle w:val="LinkdaInternet"/>
            <w:rFonts w:eastAsia="Arial" w:cs="Arial" w:ascii="Carlito" w:hAnsi="Carlito"/>
            <w:b w:val="false"/>
            <w:bCs w:val="false"/>
            <w:i w:val="false"/>
            <w:iCs w:val="false"/>
            <w:color w:val="auto"/>
            <w:kern w:val="0"/>
            <w:sz w:val="24"/>
            <w:szCs w:val="24"/>
            <w:lang w:val="pt-BR" w:eastAsia="en-US" w:bidi="ar-SA"/>
          </w:rPr>
          <w:t>marcos.ferreira.gomes@marinha.mil.br</w:t>
        </w:r>
      </w:hyperlink>
      <w:r>
        <w:rPr>
          <w:rFonts w:eastAsia="Arial" w:cs="Arial" w:ascii="Carlito" w:hAnsi="Carlito"/>
          <w:b w:val="false"/>
          <w:bCs w:val="false"/>
          <w:i w:val="false"/>
          <w:iCs w:val="false"/>
          <w:color w:val="auto"/>
          <w:kern w:val="0"/>
          <w:sz w:val="24"/>
          <w:szCs w:val="24"/>
          <w:lang w:val="pt-BR" w:eastAsia="en-US" w:bidi="ar-SA"/>
        </w:rPr>
        <w:t xml:space="preserve"> / </w:t>
      </w:r>
      <w:hyperlink r:id="rId6">
        <w:r>
          <w:rPr>
            <w:rStyle w:val="LinkdaInternet"/>
            <w:rFonts w:eastAsia="Arial" w:cs="Arial" w:ascii="Carlito" w:hAnsi="Carlito"/>
            <w:b w:val="false"/>
            <w:bCs w:val="false"/>
            <w:i w:val="false"/>
            <w:iCs w:val="false"/>
            <w:color w:val="auto"/>
            <w:kern w:val="0"/>
            <w:sz w:val="24"/>
            <w:szCs w:val="24"/>
            <w:lang w:val="pt-BR" w:eastAsia="en-US" w:bidi="ar-SA"/>
          </w:rPr>
          <w:t>renato.elias@marinha.mil.br</w:t>
        </w:r>
      </w:hyperlink>
      <w:r>
        <w:rPr>
          <w:rFonts w:eastAsia="Arial" w:cs="Arial" w:ascii="Carlito" w:hAnsi="Carlito"/>
          <w:b w:val="false"/>
          <w:bCs w:val="false"/>
          <w:i w:val="false"/>
          <w:iCs w:val="false"/>
          <w:color w:val="auto"/>
          <w:kern w:val="0"/>
          <w:sz w:val="24"/>
          <w:szCs w:val="24"/>
          <w:lang w:val="pt-BR" w:eastAsia="en-US" w:bidi="ar-SA"/>
        </w:rPr>
        <w:t xml:space="preserve">  </w:t>
      </w:r>
    </w:p>
    <w:p>
      <w:pPr>
        <w:pStyle w:val="Nvel1SemNumerao"/>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Nvel1SemNumerao"/>
        <w:shd w:val="clear" w:fill="FFFFFF"/>
        <w:ind w:left="1191" w:right="0" w:hanging="567"/>
        <w:rPr/>
      </w:pPr>
      <w:r>
        <w:rPr>
          <w:rFonts w:eastAsia="Arial" w:cs="Arial" w:ascii="Carlito" w:hAnsi="Carlito"/>
          <w:i w:val="false"/>
          <w:iCs w:val="false"/>
          <w:color w:val="auto"/>
          <w:kern w:val="0"/>
          <w:sz w:val="24"/>
          <w:szCs w:val="24"/>
          <w:lang w:val="pt-BR" w:eastAsia="en-US" w:bidi="ar-SA"/>
        </w:rPr>
        <w:t>Materiais a serem disponibilizados</w:t>
      </w:r>
    </w:p>
    <w:p>
      <w:pPr>
        <w:pStyle w:val="Nvel1SemNumerao"/>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b w:val="false"/>
          <w:bCs w:val="false"/>
          <w:i w:val="false"/>
          <w:iCs w:val="false"/>
          <w:color w:val="auto"/>
          <w:kern w:val="0"/>
          <w:sz w:val="24"/>
          <w:szCs w:val="24"/>
          <w:lang w:val="pt-BR" w:eastAsia="en-US" w:bidi="ar-SA"/>
        </w:rPr>
        <w:t>Para a perfeita execução dos serviços, a Contratada deverá disponibilizar os materiais, equipamentos, ferramentas e utensílios necessários, nas quantidades estimadas e qualidades a seguir estabelecidas, promovendo sua substituição quando necessário:</w:t>
      </w:r>
    </w:p>
    <w:p>
      <w:pPr>
        <w:pStyle w:val="Nvel1SemNumerao"/>
        <w:numPr>
          <w:ilvl w:val="0"/>
          <w:numId w:val="0"/>
        </w:numPr>
        <w:shd w:val="clear" w:fill="FFFFFF"/>
        <w:ind w:left="216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Especificação da garantia do serviço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O prazo de garantia contratual dos serviços é aquele estabelecido na Lei nº 8.078, de 11 de setembro de 1990 (Código de Defesa do Consumidor).</w:t>
      </w:r>
    </w:p>
    <w:p>
      <w:pPr>
        <w:pStyle w:val="Ou"/>
        <w:ind w:left="720" w:right="0" w:hanging="0"/>
        <w:jc w:val="both"/>
        <w:rPr>
          <w:rFonts w:ascii="Carlito" w:hAnsi="Carlito"/>
          <w:sz w:val="24"/>
          <w:szCs w:val="24"/>
          <w:highlight w:val="lightGray"/>
        </w:rPr>
      </w:pPr>
      <w:r>
        <w:rPr>
          <w:rFonts w:ascii="Carlito" w:hAnsi="Carlito"/>
          <w:sz w:val="24"/>
          <w:szCs w:val="24"/>
          <w:highlight w:val="lightGray"/>
        </w:rPr>
      </w:r>
    </w:p>
    <w:p>
      <w:pPr>
        <w:pStyle w:val="Nvel1SemNum"/>
        <w:shd w:val="clear" w:fill="FFFFFF"/>
        <w:ind w:left="0" w:right="0" w:hanging="0"/>
        <w:rPr>
          <w:rFonts w:ascii="Carlito" w:hAnsi="Carlito"/>
          <w:color w:val="000000"/>
          <w:sz w:val="24"/>
          <w:szCs w:val="24"/>
        </w:rPr>
      </w:pPr>
      <w:r>
        <w:rPr>
          <w:rFonts w:ascii="Carlito" w:hAnsi="Carlito"/>
          <w:color w:val="000000"/>
          <w:sz w:val="24"/>
          <w:szCs w:val="24"/>
        </w:rPr>
        <w:t>Procedimentos de transição e finalização do contrato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Não serão necessários procedimentos de transição e finalização do contrato devido às características do objeto.</w:t>
      </w:r>
    </w:p>
    <w:p>
      <w:pPr>
        <w:pStyle w:val="Nvel2Opcional1"/>
        <w:widowControl/>
        <w:numPr>
          <w:ilvl w:val="0"/>
          <w:numId w:val="0"/>
        </w:numPr>
        <w:shd w:val="clear" w:fill="FFFFFF"/>
        <w:suppressAutoHyphens w:val="true"/>
        <w:bidi w:val="0"/>
        <w:spacing w:lineRule="auto" w:line="276" w:before="0" w:after="0"/>
        <w:ind w:left="1080" w:right="0" w:hanging="0"/>
        <w:jc w:val="both"/>
        <w:rPr>
          <w:rFonts w:ascii="Carlito" w:hAnsi="Carlito"/>
          <w:color w:val="000000"/>
          <w:sz w:val="24"/>
          <w:szCs w:val="24"/>
        </w:rPr>
      </w:pPr>
      <w:r>
        <w:rPr>
          <w:rFonts w:ascii="Carlito" w:hAnsi="Carlito"/>
          <w:color w:val="000000"/>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MODELO DE GESTÃO DO CONTRATO</w:t>
      </w:r>
    </w:p>
    <w:p>
      <w:pPr>
        <w:pStyle w:val="Estilo7"/>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O contrato deverá ser executado fielmente pelas partes, de acordo com as cláusulas avençadas e as normas da Lei nº 14.133, de 2021, e cada parte responderá pelas consequências de sua inexecução total ou parcial.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Em caso de impedimento, ordem de paralisação ou suspensão do contrato, o cronograma de execução será prorrogado automaticamente pelo tempo correspondente, anotadas tais circunstâncias mediante simples apostila.</w:t>
      </w:r>
    </w:p>
    <w:p>
      <w:pPr>
        <w:pStyle w:val="Nvel02"/>
        <w:numPr>
          <w:ilvl w:val="0"/>
          <w:numId w:val="0"/>
        </w:numPr>
        <w:shd w:val="clear" w:fill="FFFFFF"/>
        <w:ind w:left="1080" w:right="0" w:hanging="0"/>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As comunicações entre o órgão ou entidade e o Contratado devem ser realizadas por escrito sempre que o ato exigir tal formalidade, admitindo-se o uso de mensagem eletrônica para esse fim.</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O órgão ou entidade poderá convocar o preposto da empresa para adoção de providências que devam ser cumpridas de imediato.</w:t>
      </w:r>
    </w:p>
    <w:p>
      <w:pPr>
        <w:pStyle w:val="Nvel2Opcional1"/>
        <w:widowControl/>
        <w:numPr>
          <w:ilvl w:val="1"/>
          <w:numId w:val="2"/>
        </w:numPr>
        <w:shd w:val="clear" w:fill="FFFFFF"/>
        <w:tabs>
          <w:tab w:val="clear" w:pos="735"/>
        </w:tabs>
        <w:suppressAutoHyphens w:val="true"/>
        <w:bidi w:val="0"/>
        <w:spacing w:lineRule="auto" w:line="276" w:before="0" w:after="0"/>
        <w:ind w:left="0" w:right="0" w:firstLine="510"/>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pPr>
        <w:pStyle w:val="Nvel2Opcional1"/>
        <w:widowControl/>
        <w:numPr>
          <w:ilvl w:val="0"/>
          <w:numId w:val="0"/>
        </w:numPr>
        <w:shd w:val="clear" w:fill="FFFFFF"/>
        <w:tabs>
          <w:tab w:val="clear" w:pos="735"/>
        </w:tabs>
        <w:suppressAutoHyphens w:val="true"/>
        <w:bidi w:val="0"/>
        <w:spacing w:lineRule="auto" w:line="276" w:before="0" w:after="0"/>
        <w:ind w:left="1080" w:right="0" w:hanging="0"/>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Preposto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designará formalmente o preposto da empresa, antes do início da prestação dos serviços, indicando no instrumento os poderes e deveres em relação à execução do objeto Contratado.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não necessitará manter preposto da empresa no local da execução do objeto durante o período.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Contratante poderá recusar, desde que justificadamente, a indicação ou a manutenção do preposto da empresa, hipótese em que o Contratado designará outro para o exercício da atividade.</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Rotinas de </w:t>
      </w:r>
      <w:r>
        <w:rPr>
          <w:rFonts w:eastAsia="Arial" w:cs="Arial" w:ascii="Carlito" w:hAnsi="Carlito"/>
          <w:b w:val="false"/>
          <w:bCs w:val="false"/>
          <w:i w:val="false"/>
          <w:iCs w:val="false"/>
          <w:color w:val="auto"/>
          <w:kern w:val="0"/>
          <w:sz w:val="24"/>
          <w:szCs w:val="24"/>
          <w:lang w:val="pt-BR" w:eastAsia="en-US" w:bidi="ar-SA"/>
        </w:rPr>
        <w:t>Fiscalização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A execução do contrato deverá ser acompanhada e fiscalizada pelo(s) fiscal(is) do contrato, ou pelos respectivos substitutos.</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Fiscalização Técnica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acompanhará a execução do contrato, para que sejam cumpridas todas as condições estabelecidas no contrato, de modo a assegurar os melhores resultados para a Administração.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Identificada qualquer inexatidão ou irregularidade, o fiscal técnico do contrato emitirá notificações para a correção da execução do contrato, determinando prazo para a correção.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informará ao gestor do contato, em tempo hábil, a situação que demandar decisão ou adoção de medidas que ultrapassem sua competência, para que adote as medidas necessárias e saneadoras, se for o caso.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No caso de ocorrências que possam inviabilizar a execução do contrato nas datas aprazadas, o fiscal técnico do contrato comunicará o fato imediatamente ao gestor do contrato.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rPr>
        <w:t xml:space="preserve">O fiscal técnico do contrato comunicará ao gestor do contrato, em tempo hábil, o término do contrato sob sua responsabilidade, com vistas à tempestiva </w:t>
      </w:r>
      <w:r>
        <w:rPr>
          <w:rFonts w:eastAsia="Times New Roman" w:ascii="Carlito" w:hAnsi="Carlito"/>
          <w:sz w:val="24"/>
          <w:szCs w:val="24"/>
        </w:rPr>
        <w:t xml:space="preserve">renovação </w:t>
      </w:r>
      <w:r>
        <w:rPr>
          <w:rFonts w:ascii="Carlito" w:hAnsi="Carlito"/>
          <w:sz w:val="24"/>
          <w:szCs w:val="24"/>
        </w:rPr>
        <w:t>ou à prorrogação contratual.</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pPr>
        <w:pStyle w:val="Nvel2Opcional1"/>
        <w:numPr>
          <w:ilvl w:val="0"/>
          <w:numId w:val="0"/>
        </w:numPr>
        <w:shd w:val="clear" w:fill="FFFFFF"/>
        <w:ind w:left="1913" w:right="0" w:hanging="0"/>
        <w:jc w:val="both"/>
        <w:rPr>
          <w:rFonts w:ascii="Carlito" w:hAnsi="Carlito"/>
          <w:sz w:val="24"/>
          <w:szCs w:val="24"/>
          <w:highlight w:val="lightGray"/>
        </w:rPr>
      </w:pPr>
      <w:r>
        <w:rPr>
          <w:rFonts w:ascii="Carlito" w:hAnsi="Carlito"/>
          <w:sz w:val="24"/>
          <w:szCs w:val="24"/>
          <w:highlight w:val="lightGray"/>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Fiscalização Administrativa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02"/>
        <w:widowControl/>
        <w:numPr>
          <w:ilvl w:val="0"/>
          <w:numId w:val="0"/>
        </w:numPr>
        <w:shd w:val="clear" w:fill="FFFFFF"/>
        <w:suppressAutoHyphens w:val="true"/>
        <w:bidi w:val="0"/>
        <w:spacing w:lineRule="auto" w:line="276" w:before="0" w:after="0"/>
        <w:ind w:left="720" w:right="0" w:hanging="0"/>
        <w:jc w:val="both"/>
        <w:rPr>
          <w:rFonts w:ascii="Carlito" w:hAnsi="Carlito" w:eastAsia="Arial" w:cs="Arial"/>
          <w:b/>
          <w:b/>
          <w:i w:val="false"/>
          <w:i w:val="false"/>
          <w:iCs w:val="false"/>
          <w:color w:val="auto"/>
          <w:kern w:val="0"/>
          <w:sz w:val="24"/>
          <w:szCs w:val="24"/>
          <w:lang w:val="pt-BR" w:eastAsia="en-US" w:bidi="ar-SA"/>
        </w:rPr>
      </w:pPr>
      <w:r>
        <w:rPr>
          <w:rFonts w:eastAsia="Arial" w:cs="Arial" w:ascii="Carlito" w:hAnsi="Carlito"/>
          <w:b/>
          <w:i w:val="false"/>
          <w:iCs w:val="false"/>
          <w:color w:val="auto"/>
          <w:kern w:val="0"/>
          <w:sz w:val="24"/>
          <w:szCs w:val="24"/>
          <w:lang w:val="pt-BR" w:eastAsia="en-US" w:bidi="ar-SA"/>
        </w:rPr>
        <w:t>Cabe ao gestor do contrato: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elaborar relatório final com informações sobre a consecução dos objetivos que tenham justificado a contratação e eventuais condutas a serem adotadas para o aprimoramento das atividades da Administração.</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enviar a documentação pertinente ao setor de contratos para a formalização dos procedimentos de liquidação e pagamento, no valor dimensionado pela fiscalização e gestão nos termos do contrato.</w:t>
      </w:r>
    </w:p>
    <w:p>
      <w:pPr>
        <w:pStyle w:val="Nivel3"/>
        <w:widowControl/>
        <w:numPr>
          <w:ilvl w:val="1"/>
          <w:numId w:val="2"/>
        </w:numPr>
        <w:suppressAutoHyphens w:val="true"/>
        <w:bidi w:val="0"/>
        <w:spacing w:lineRule="auto" w:line="276" w:before="120" w:after="120"/>
        <w:ind w:left="0" w:right="0" w:firstLine="510"/>
        <w:jc w:val="both"/>
        <w:rPr>
          <w:rFonts w:ascii="Carlito" w:hAnsi="Carlito"/>
          <w:color w:val="000000"/>
          <w:sz w:val="24"/>
          <w:szCs w:val="24"/>
        </w:rPr>
      </w:pPr>
      <w:r>
        <w:rPr>
          <w:rFonts w:ascii="Carlito" w:hAnsi="Carlito"/>
          <w:color w:val="000000"/>
          <w:sz w:val="24"/>
          <w:szCs w:val="24"/>
        </w:rPr>
        <w:t>receber e dar encaminhamento imediato:</w:t>
      </w:r>
    </w:p>
    <w:p>
      <w:pPr>
        <w:pStyle w:val="Nivel4"/>
        <w:widowControl/>
        <w:numPr>
          <w:ilvl w:val="2"/>
          <w:numId w:val="2"/>
        </w:numPr>
        <w:suppressAutoHyphens w:val="true"/>
        <w:bidi w:val="0"/>
        <w:spacing w:lineRule="auto" w:line="276" w:before="0" w:after="0"/>
        <w:ind w:left="0" w:right="0" w:firstLine="1134"/>
        <w:jc w:val="both"/>
        <w:rPr>
          <w:rFonts w:ascii="Carlito" w:hAnsi="Carlito" w:eastAsia="ＭＳ 明朝" w:cs="Arial"/>
          <w:bCs/>
          <w:i w:val="false"/>
          <w:i w:val="false"/>
          <w:color w:val="000000"/>
          <w:kern w:val="0"/>
          <w:sz w:val="24"/>
          <w:szCs w:val="24"/>
          <w:lang w:val="pt-BR" w:eastAsia="pt-BR" w:bidi="ar-SA"/>
        </w:rPr>
      </w:pPr>
      <w:r>
        <w:rPr>
          <w:rFonts w:eastAsia="ＭＳ 明朝" w:cs="Arial" w:ascii="Carlito" w:hAnsi="Carlito"/>
          <w:bCs/>
          <w:i w:val="false"/>
          <w:color w:val="000000"/>
          <w:kern w:val="0"/>
          <w:sz w:val="24"/>
          <w:szCs w:val="24"/>
          <w:lang w:val="pt-BR" w:eastAsia="pt-BR" w:bidi="ar-SA"/>
        </w:rPr>
        <w:t xml:space="preserve">às denúncias de discriminação, violência e assédio no ambiente de trabalho, conforme o art. 2º, inciso III, do Decreto n.º 12.174/2024; </w:t>
      </w:r>
    </w:p>
    <w:p>
      <w:pPr>
        <w:pStyle w:val="Nivel4"/>
        <w:widowControl/>
        <w:numPr>
          <w:ilvl w:val="2"/>
          <w:numId w:val="2"/>
        </w:numPr>
        <w:suppressAutoHyphens w:val="true"/>
        <w:bidi w:val="0"/>
        <w:spacing w:lineRule="auto" w:line="276" w:before="0" w:after="0"/>
        <w:ind w:left="0" w:right="0" w:firstLine="1134"/>
        <w:jc w:val="both"/>
        <w:rPr>
          <w:rFonts w:ascii="Carlito" w:hAnsi="Carlito" w:eastAsia="ＭＳ 明朝" w:cs="Arial"/>
          <w:bCs/>
          <w:i w:val="false"/>
          <w:i w:val="false"/>
          <w:color w:val="000000"/>
          <w:kern w:val="0"/>
          <w:sz w:val="24"/>
          <w:szCs w:val="24"/>
          <w:lang w:val="pt-BR" w:eastAsia="pt-BR" w:bidi="ar-SA"/>
        </w:rPr>
      </w:pPr>
      <w:r>
        <w:rPr>
          <w:rFonts w:eastAsia="ＭＳ 明朝" w:cs="Arial" w:ascii="Carlito" w:hAnsi="Carlito"/>
          <w:bCs/>
          <w:i w:val="false"/>
          <w:color w:val="000000"/>
          <w:kern w:val="0"/>
          <w:sz w:val="24"/>
          <w:szCs w:val="24"/>
          <w:lang w:val="pt-BR" w:eastAsia="pt-BR" w:bidi="ar-SA"/>
        </w:rPr>
        <w:t>à notificação formal de que a empresa contratada está descumprindo suas obrigações trabalhistas, enviada pelo trabalhador, sindicato, Ministério do Trabalho, Ministério Público, Defensoria Pública ou por qualquer outro meio idôneo.</w:t>
      </w:r>
    </w:p>
    <w:p>
      <w:pPr>
        <w:pStyle w:val="Nvel2Opcional1"/>
        <w:numPr>
          <w:ilvl w:val="0"/>
          <w:numId w:val="0"/>
        </w:numPr>
        <w:shd w:val="clear" w:fill="FFFFFF"/>
        <w:ind w:left="1913" w:right="0" w:hanging="0"/>
        <w:jc w:val="both"/>
        <w:rPr>
          <w:rFonts w:ascii="Carlito" w:hAnsi="Carlito"/>
          <w:sz w:val="24"/>
          <w:szCs w:val="24"/>
          <w:highlight w:val="lightGray"/>
        </w:rPr>
      </w:pPr>
      <w:r>
        <w:rPr>
          <w:rFonts w:ascii="Carlito" w:hAnsi="Carlito"/>
          <w:sz w:val="24"/>
          <w:szCs w:val="24"/>
          <w:highlight w:val="lightGray"/>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CRITÉRIOS DE MEDIÇÃO E PAGAMENTO</w:t>
      </w:r>
    </w:p>
    <w:p>
      <w:pPr>
        <w:pStyle w:val="Nvel2Opcional1"/>
        <w:widowControl/>
        <w:numPr>
          <w:ilvl w:val="1"/>
          <w:numId w:val="2"/>
        </w:numPr>
        <w:shd w:val="clear" w:fill="FFFFFF"/>
        <w:tabs>
          <w:tab w:val="clear" w:pos="735"/>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A avaliação da execução do serviço utilizará o disposto neste item.</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Será indicada a retenção ou glosa no pagamento, proporcional à irregularidade verificada, sem prejuízo das sanções cabíveis, caso se constate que o Contratado:</w:t>
      </w:r>
    </w:p>
    <w:p>
      <w:pPr>
        <w:pStyle w:val="Nivel3"/>
        <w:widowControl/>
        <w:numPr>
          <w:ilvl w:val="1"/>
          <w:numId w:val="2"/>
        </w:numPr>
        <w:bidi w:val="0"/>
        <w:spacing w:lineRule="auto" w:line="276" w:before="120" w:after="120"/>
        <w:ind w:left="510" w:right="0" w:hanging="0"/>
        <w:jc w:val="both"/>
        <w:rPr>
          <w:rFonts w:ascii="Carlito" w:hAnsi="Carlito"/>
          <w:sz w:val="24"/>
          <w:szCs w:val="24"/>
        </w:rPr>
      </w:pPr>
      <w:r>
        <w:rPr>
          <w:rFonts w:ascii="Carlito" w:hAnsi="Carlito"/>
          <w:sz w:val="24"/>
          <w:szCs w:val="24"/>
        </w:rPr>
        <w:t>não produziu os resultados acordados,</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deixou de executar, ou não executou com a qualidade mínima exigida as atividades contratadas; ou</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deixou de utilizar materiais e recursos humanos exigidos para a execução do serviço, ou os utilizou com qualidade ou quantidade inferior à demandada.</w:t>
      </w:r>
    </w:p>
    <w:p>
      <w:pPr>
        <w:pStyle w:val="Nvel2Opcional1"/>
        <w:widowControl/>
        <w:numPr>
          <w:ilvl w:val="1"/>
          <w:numId w:val="2"/>
        </w:numPr>
        <w:shd w:val="clear" w:fill="FFFFFF"/>
        <w:tabs>
          <w:tab w:val="left" w:pos="675" w:leader="none"/>
          <w:tab w:val="left" w:pos="735" w:leader="none"/>
        </w:tabs>
        <w:suppressAutoHyphens w:val="true"/>
        <w:bidi w:val="0"/>
        <w:spacing w:lineRule="auto" w:line="276" w:before="0" w:after="0"/>
        <w:ind w:left="-57" w:right="0" w:firstLine="624"/>
        <w:jc w:val="both"/>
        <w:rPr>
          <w:rFonts w:ascii="Carlito" w:hAnsi="Carlito"/>
          <w:color w:val="000000"/>
          <w:sz w:val="24"/>
          <w:szCs w:val="24"/>
        </w:rPr>
      </w:pPr>
      <w:r>
        <w:rPr>
          <w:rFonts w:ascii="Carlito" w:hAnsi="Carlito"/>
          <w:color w:val="000000"/>
          <w:sz w:val="24"/>
          <w:szCs w:val="24"/>
        </w:rPr>
        <w:t>A utilização do IMR não impede a aplicação concomitante de outros mecanismos para a avaliação da prestação dos serviços.</w:t>
      </w:r>
    </w:p>
    <w:p>
      <w:pPr>
        <w:pStyle w:val="Nvel2Opcional1"/>
        <w:numPr>
          <w:ilvl w:val="0"/>
          <w:numId w:val="0"/>
        </w:numPr>
        <w:shd w:val="clear" w:fill="FFFFFF"/>
        <w:ind w:left="1913"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pPr>
      <w:r>
        <w:rPr>
          <w:rFonts w:ascii="Carlito" w:hAnsi="Carlito"/>
          <w:sz w:val="24"/>
          <w:szCs w:val="24"/>
        </w:rPr>
        <w:t xml:space="preserve">Do </w:t>
      </w:r>
      <w:r>
        <w:rPr>
          <w:rFonts w:eastAsia="Arial" w:cs="Arial" w:ascii="Carlito" w:hAnsi="Carlito"/>
          <w:b w:val="false"/>
          <w:bCs w:val="false"/>
          <w:i w:val="false"/>
          <w:iCs w:val="false"/>
          <w:color w:val="auto"/>
          <w:kern w:val="0"/>
          <w:sz w:val="24"/>
          <w:szCs w:val="24"/>
          <w:lang w:val="pt-BR" w:eastAsia="en-US" w:bidi="ar-SA"/>
        </w:rPr>
        <w:t>recebimento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serão recebidos provisoriamente, no prazo de 10 (dez) dias, pelos fiscais técnico e administrativo, mediante termos detalhados, quando verificado o cumprimento das exigências de caráter técnico e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prazo para recebimento provisório será contado do recebimento de comunicação de cobrança oriunda do Contratado com a comprovação da prestação dos serviços a que se referem a parcela a ser paga.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realizará o recebimento provisório do objeto do contrato mediante termo detalhado que comprove o cumprimento das exigências de caráter técnico.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administrativo do contrato realizará o recebimento provisório do objeto do contrato mediante termo detalhado que comprove o cumprimento das exigências de caráter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setorial do contrato, quando houver, realizará o recebimento provisório sob o ponto de vista técnico e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Para efeito de recebimento provisório, será considerado para fins de faturamento o período a ser apurado: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Ao final de cada período/evento de faturamento:</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sz w:val="24"/>
          <w:szCs w:val="24"/>
        </w:rPr>
      </w:pPr>
      <w:r>
        <w:rPr>
          <w:rFonts w:eastAsia="Arial" w:cs="Arial" w:ascii="Carlito" w:hAnsi="Carlito"/>
          <w:i w:val="false"/>
          <w:iCs/>
          <w:color w:val="000000"/>
          <w:kern w:val="0"/>
          <w:sz w:val="24"/>
          <w:szCs w:val="24"/>
          <w:lang w:val="pt-BR" w:eastAsia="pt-BR" w:bidi="ar-SA"/>
        </w:rPr>
        <w:t>Será considerado como ocorrido o recebimento provisório com a entrega do termo detalhado ou, em havendo mais de um a ser feito, com a entrega do último.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fiscalização não efetuará o ateste da última e/ou única medição de serviços até que sejam sanadas todas as eventuais pendências que possam vir a ser apontadas no recebimento provisório.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recebimento provisório também ficará sujeito, quando cabível, à conclusão de todos os testes de campo e à entrega dos Manuais e Instruções exigíveis.</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poderão ser rejeitados, no todo ou em parte, quando em desacordo com as especificações constantes neste Termo de Referência e na proposta, sem prejuízo da aplicação das penalidades.</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pPr>
        <w:pStyle w:val="Nivel3"/>
        <w:widowControl/>
        <w:numPr>
          <w:ilvl w:val="1"/>
          <w:numId w:val="2"/>
        </w:numPr>
        <w:tabs>
          <w:tab w:val="clear" w:pos="709"/>
          <w:tab w:val="left" w:pos="1245" w:leader="none"/>
          <w:tab w:val="left" w:pos="1650" w:leader="none"/>
        </w:tabs>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 xml:space="preserve"> </w:t>
      </w:r>
      <w:r>
        <w:rPr>
          <w:rFonts w:ascii="Carlito" w:hAnsi="Carlito"/>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Emitir Termo Detalhado para efeito de recebimento definitivo dos serviços prestados, com base nos relatórios e documentações apresentadas; e</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Comunicar a empresa para que emita a Nota Fiscal ou Fatura, com o valor exato dimensionado pela fiscalização.</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Enviar a documentação pertinente ao setor de contratos para a formalização dos procedimentos de liquidação e pagamento, no valor dimensionado pela fiscalização e gestão.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Nenhum prazo de recebimento ocorrerá enquanto pendente a solução, pelo Contratado, de inconsistências verificadas na execução do objeto ou no instrumento de cobrança.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O recebimento provisório ou definitivo não excluirá a responsabilidade civil pela solidez e pela segurança do serviço nem a responsabilidade ético-profissional pela perfeita execução do contrato.</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en-US" w:bidi="ar-SA"/>
        </w:rPr>
      </w:pPr>
      <w:r>
        <w:rPr>
          <w:rFonts w:eastAsia="Arial" w:cs="Arial" w:ascii="Carlito" w:hAnsi="Carlito"/>
          <w:i w:val="false"/>
          <w:iCs/>
          <w:color w:val="000000"/>
          <w:kern w:val="0"/>
          <w:sz w:val="24"/>
          <w:szCs w:val="24"/>
          <w:lang w:val="pt-BR" w:eastAsia="en-US" w:bidi="ar-SA"/>
        </w:rPr>
      </w:r>
    </w:p>
    <w:p>
      <w:pPr>
        <w:pStyle w:val="Nvel1SemNumerao"/>
        <w:widowControl/>
        <w:numPr>
          <w:ilvl w:val="0"/>
          <w:numId w:val="0"/>
        </w:numPr>
        <w:shd w:val="clear" w:fill="FFFFFF"/>
        <w:tabs>
          <w:tab w:val="left" w:pos="120" w:leader="none"/>
          <w:tab w:val="left" w:pos="345" w:leader="none"/>
          <w:tab w:val="left" w:pos="390" w:leader="none"/>
          <w:tab w:val="left" w:pos="570" w:leader="none"/>
          <w:tab w:val="left" w:pos="735" w:leader="none"/>
          <w:tab w:val="left" w:pos="900" w:leader="none"/>
          <w:tab w:val="left" w:pos="1020" w:leader="none"/>
          <w:tab w:val="left" w:pos="1140" w:leader="none"/>
        </w:tabs>
        <w:suppressAutoHyphens w:val="true"/>
        <w:bidi w:val="0"/>
        <w:spacing w:lineRule="auto" w:line="276" w:before="0" w:after="0"/>
        <w:ind w:left="0" w:right="0" w:hanging="0"/>
        <w:jc w:val="both"/>
        <w:rPr>
          <w:rFonts w:ascii="Carlito" w:hAnsi="Carlito" w:eastAsia="Arial" w:cs="Arial"/>
          <w:i w:val="false"/>
          <w:i w:val="false"/>
          <w:iCs w:val="false"/>
          <w:color w:val="auto"/>
          <w:kern w:val="0"/>
          <w:sz w:val="24"/>
          <w:szCs w:val="24"/>
          <w:lang w:val="pt-BR" w:eastAsia="en-US" w:bidi="ar-SA"/>
        </w:rPr>
      </w:pPr>
      <w:r>
        <w:rPr>
          <w:rFonts w:eastAsia="Arial" w:cs="Arial" w:ascii="Carlito" w:hAnsi="Carlito"/>
          <w:i w:val="false"/>
          <w:iCs w:val="false"/>
          <w:color w:val="auto"/>
          <w:kern w:val="0"/>
          <w:sz w:val="24"/>
          <w:szCs w:val="24"/>
          <w:lang w:val="pt-BR" w:eastAsia="en-US" w:bidi="ar-SA"/>
        </w:rPr>
        <w:t>Liquidação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Recebida a Nota Fiscal ou documento de cobrança equivalente, correrá o prazo de dez dias úteis para fins de liquidação, na forma desta seção, prorrogáveis por igual período, nos termos do art. 7º, §3º da Instrução Normativa SEGES/ME nº 77/2022.</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O prazo de que trata o item anterior será reduzido à metade, mantendo-se a possibilidade de prorrogação, nos casos de contratações decorrentes de despesas cujos valores não ultrapassem o limite de que trata o inciso II do art. 75 da Lei nº 14.133, de 2021</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Para fins de liquidação, o setor competente deve verificar se a Nota Fiscal ou Fatura apresentada expressa os elementos necessários e essenciais do documento, tais como: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prazo de validade;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a data da emissão;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os dados do contrato e do órgão contratante;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período respectivo de execução do contrato;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valor a pagar; 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eventual destaque do valor de retenções tributárias cabíveis.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Administração deverá realizar consulta ao SICAF para:</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verificar a manutenção das condições de habilitação exigidas;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bookmarkStart w:id="3" w:name="_Int_T4XqlsQA"/>
      <w:r>
        <w:rPr>
          <w:rFonts w:ascii="Carlito" w:hAnsi="Carlito"/>
          <w:sz w:val="24"/>
          <w:szCs w:val="24"/>
        </w:rPr>
        <w:t>.</w:t>
      </w:r>
      <w:bookmarkEnd w:id="3"/>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Persistindo a irregularidade, o Contratante deverá adotar as medidas necessárias à rescisão contratual nos autos do processo administrativo correspondente, assegurada ao Contratado a ampla defesa.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Havendo a efetiva execução do objeto, os pagamentos serão realizados normalmente, até que se decida pela rescisão do contrato, caso o Contratado não regularize sua situação junto ao SICAF</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Prazo de </w:t>
      </w:r>
      <w:r>
        <w:rPr>
          <w:rFonts w:eastAsia="Arial" w:cs="Arial" w:ascii="Carlito" w:hAnsi="Carlito"/>
          <w:b w:val="false"/>
          <w:bCs w:val="false"/>
          <w:i w:val="false"/>
          <w:iCs w:val="false"/>
          <w:color w:val="auto"/>
          <w:kern w:val="0"/>
          <w:sz w:val="24"/>
          <w:szCs w:val="24"/>
          <w:lang w:val="pt-BR" w:eastAsia="en-US" w:bidi="ar-SA"/>
        </w:rPr>
        <w:t>pagamento</w:t>
      </w:r>
    </w:p>
    <w:p>
      <w:pPr>
        <w:pStyle w:val="Nvel02"/>
        <w:widowControl/>
        <w:numPr>
          <w:ilvl w:val="1"/>
          <w:numId w:val="2"/>
        </w:numPr>
        <w:shd w:val="clear" w:fill="FFFFFF"/>
        <w:suppressAutoHyphens w:val="true"/>
        <w:bidi w:val="0"/>
        <w:spacing w:lineRule="auto" w:line="276" w:before="0" w:after="0"/>
        <w:ind w:left="0" w:right="0" w:firstLine="51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pagamento será efetuado no prazo máximo de até dez dias úteis, contados da finalização da liquidação da despesa, conforme seção anterior, nos termos da Instrução Normativa SEGES/ME nº 77, de 2022.</w:t>
      </w:r>
    </w:p>
    <w:p>
      <w:pPr>
        <w:pStyle w:val="Nvel02"/>
        <w:widowControl/>
        <w:numPr>
          <w:ilvl w:val="1"/>
          <w:numId w:val="2"/>
        </w:numPr>
        <w:shd w:val="clear" w:fill="FFFFFF"/>
        <w:suppressAutoHyphens w:val="true"/>
        <w:bidi w:val="0"/>
        <w:spacing w:lineRule="auto" w:line="276" w:before="0" w:after="0"/>
        <w:ind w:left="0" w:right="0" w:firstLine="51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No caso de atraso pelo Contratante, os valores devidos ao Contratado serão atualizados monetariamente entre o termo final do prazo de pagamento até a data de sua efetiva realização, mediante aplicação do índice 10% de correção monetária.</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Forma de </w:t>
      </w:r>
      <w:r>
        <w:rPr>
          <w:rFonts w:eastAsia="Arial" w:cs="Arial" w:ascii="Carlito" w:hAnsi="Carlito"/>
          <w:b w:val="false"/>
          <w:bCs w:val="false"/>
          <w:i w:val="false"/>
          <w:iCs w:val="false"/>
          <w:color w:val="auto"/>
          <w:kern w:val="0"/>
          <w:sz w:val="24"/>
          <w:szCs w:val="24"/>
          <w:lang w:val="pt-BR" w:eastAsia="en-US" w:bidi="ar-SA"/>
        </w:rPr>
        <w:t>pagamento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O pagamento será realizado por meio de ordem bancária, para crédito em banco, agência e conta corrente indicados pelo Contratado.</w:t>
      </w:r>
    </w:p>
    <w:p>
      <w:pPr>
        <w:pStyle w:val="Nvel02"/>
        <w:widowControl/>
        <w:numPr>
          <w:ilvl w:val="1"/>
          <w:numId w:val="2"/>
        </w:numPr>
        <w:shd w:val="clear" w:fill="FFFFFF"/>
        <w:suppressAutoHyphens w:val="true"/>
        <w:bidi w:val="0"/>
        <w:spacing w:lineRule="auto" w:line="276" w:before="0" w:after="0"/>
        <w:ind w:left="-57" w:right="0" w:firstLine="62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Será considerada data do pagamento o dia em que constar como emitida a ordem bancária para pagamento.</w:t>
      </w:r>
    </w:p>
    <w:p>
      <w:pPr>
        <w:pStyle w:val="Nvel02"/>
        <w:widowControl/>
        <w:numPr>
          <w:ilvl w:val="1"/>
          <w:numId w:val="2"/>
        </w:numPr>
        <w:shd w:val="clear" w:fill="FFFFFF"/>
        <w:suppressAutoHyphens w:val="true"/>
        <w:bidi w:val="0"/>
        <w:spacing w:lineRule="auto" w:line="276" w:before="0" w:after="0"/>
        <w:ind w:left="-57" w:right="0" w:firstLine="62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do pagamento, será efetuada a retenção tributária prevista na legislação aplicável.</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Independentemente</w:t>
      </w:r>
      <w:r>
        <w:rPr>
          <w:rFonts w:ascii="Carlito" w:hAnsi="Carlito"/>
          <w:sz w:val="24"/>
          <w:szCs w:val="24"/>
          <w:lang w:eastAsia="en-US"/>
        </w:rPr>
        <w:t xml:space="preserve"> do percentual de tributo inserido na planilha, quando houver, serão retidos na fonte, quando da realização do pagamento, os percentuais estabelecidos na legislação vigente.</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shd w:val="clear" w:fill="FFFFFF"/>
        <w:ind w:left="1080" w:right="0" w:hanging="0"/>
        <w:jc w:val="both"/>
        <w:rPr>
          <w:rFonts w:ascii="Carlito" w:hAnsi="Carlito"/>
          <w:sz w:val="24"/>
          <w:szCs w:val="24"/>
          <w:highlight w:val="yellow"/>
        </w:rPr>
      </w:pPr>
      <w:r>
        <w:rPr>
          <w:rFonts w:ascii="Carlito" w:hAnsi="Carlito"/>
          <w:sz w:val="24"/>
          <w:szCs w:val="24"/>
          <w:highlight w:val="yellow"/>
        </w:rPr>
      </w:r>
    </w:p>
    <w:p>
      <w:pPr>
        <w:pStyle w:val="Nvel1SemNumerao"/>
        <w:numPr>
          <w:ilvl w:val="0"/>
          <w:numId w:val="0"/>
        </w:numPr>
        <w:shd w:val="clear" w:fill="FFFFFF"/>
        <w:ind w:left="720" w:right="0" w:hanging="0"/>
        <w:rPr/>
      </w:pPr>
      <w:r>
        <w:rPr>
          <w:rFonts w:ascii="Carlito" w:hAnsi="Carlito"/>
          <w:sz w:val="24"/>
          <w:szCs w:val="24"/>
        </w:rPr>
        <w:t xml:space="preserve">Cessão de </w:t>
      </w:r>
      <w:r>
        <w:rPr>
          <w:rFonts w:eastAsia="Arial" w:cs="Arial" w:ascii="Carlito" w:hAnsi="Carlito"/>
          <w:b w:val="false"/>
          <w:bCs w:val="false"/>
          <w:i w:val="false"/>
          <w:iCs w:val="false"/>
          <w:color w:val="auto"/>
          <w:kern w:val="0"/>
          <w:sz w:val="24"/>
          <w:szCs w:val="24"/>
          <w:lang w:val="pt-BR" w:eastAsia="en-US" w:bidi="ar-SA"/>
        </w:rPr>
        <w:t>Crédito</w:t>
      </w:r>
    </w:p>
    <w:p>
      <w:pPr>
        <w:pStyle w:val="Nvel02"/>
        <w:widowControl/>
        <w:numPr>
          <w:ilvl w:val="1"/>
          <w:numId w:val="2"/>
        </w:numPr>
        <w:shd w:val="clear" w:fill="FFFFFF"/>
        <w:suppressAutoHyphens w:val="true"/>
        <w:bidi w:val="0"/>
        <w:spacing w:lineRule="auto" w:line="276" w:before="0" w:after="0"/>
        <w:ind w:left="1077" w:right="0" w:hanging="510"/>
        <w:jc w:val="both"/>
        <w:rPr/>
      </w:pPr>
      <w:r>
        <w:rPr>
          <w:rFonts w:ascii="Carlito" w:hAnsi="Carlito"/>
          <w:sz w:val="24"/>
          <w:szCs w:val="24"/>
          <w:lang w:eastAsia="en-US"/>
        </w:rPr>
        <w:t>As cessões de crédito dependerão de prévia aprovação do Contratante.</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A eficácia da cessão de crédito, em relação à Administração, está condicionada à celebração de termo aditivo ao contrato administrativo.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A cessão de crédito não afetará a execução do objeto contratado, que continuará sob a integral responsabilidade do Contratado.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lang w:eastAsia="en-US"/>
        </w:rPr>
        <w:t>O disposto nesta seção não afeta as operações de crédito de que trata a Instrução Normativa SEGES/MGI nº 82, de 21 de fevereiro de 2025, as quais ficam por esta regidas.</w:t>
      </w:r>
    </w:p>
    <w:p>
      <w:pPr>
        <w:pStyle w:val="Nvel1SemNumerao"/>
        <w:numPr>
          <w:ilvl w:val="0"/>
          <w:numId w:val="0"/>
        </w:numPr>
        <w:shd w:val="clear" w:fill="FFFFFF"/>
        <w:ind w:left="1800" w:right="0" w:hanging="0"/>
        <w:jc w:val="both"/>
        <w:rPr>
          <w:rFonts w:ascii="Carlito" w:hAnsi="Carlito"/>
          <w:sz w:val="24"/>
          <w:szCs w:val="24"/>
          <w:highlight w:val="lightGray"/>
        </w:rPr>
      </w:pPr>
      <w:r>
        <w:rPr>
          <w:rFonts w:ascii="Carlito" w:hAnsi="Carlito"/>
          <w:sz w:val="24"/>
          <w:szCs w:val="24"/>
          <w:highlight w:val="lightGray"/>
        </w:rPr>
      </w:r>
    </w:p>
    <w:p>
      <w:pPr>
        <w:pStyle w:val="Nivel01"/>
        <w:widowControl/>
        <w:numPr>
          <w:ilvl w:val="0"/>
          <w:numId w:val="2"/>
        </w:numPr>
        <w:shd w:val="clear" w:fill="FFFFFF"/>
        <w:suppressAutoHyphens w:val="true"/>
        <w:bidi w:val="0"/>
        <w:spacing w:lineRule="auto" w:line="276" w:before="0" w:after="0"/>
        <w:ind w:left="0" w:right="0" w:hanging="0"/>
        <w:jc w:val="both"/>
        <w:rPr/>
      </w:pPr>
      <w:r>
        <w:rPr>
          <w:rFonts w:eastAsia="Arial" w:cs="Arial" w:ascii="Carlito" w:hAnsi="Carlito"/>
          <w:b/>
          <w:bCs/>
          <w:i w:val="false"/>
          <w:iCs/>
          <w:color w:val="000000"/>
          <w:kern w:val="0"/>
          <w:sz w:val="24"/>
          <w:szCs w:val="24"/>
          <w:lang w:val="pt-BR" w:eastAsia="pt-BR" w:bidi="ar-SA"/>
        </w:rPr>
        <w:t xml:space="preserve"> </w:t>
      </w:r>
      <w:r>
        <w:rPr>
          <w:rFonts w:eastAsia="Arial" w:cs="Arial" w:ascii="Carlito" w:hAnsi="Carlito"/>
          <w:b/>
          <w:bCs/>
          <w:i w:val="false"/>
          <w:iCs/>
          <w:color w:val="000000"/>
          <w:kern w:val="0"/>
          <w:sz w:val="24"/>
          <w:szCs w:val="24"/>
          <w:lang w:val="pt-BR" w:eastAsia="pt-BR" w:bidi="ar-SA"/>
        </w:rPr>
        <w:t>INFRAÇÕES</w:t>
      </w:r>
      <w:r>
        <w:rPr>
          <w:rFonts w:ascii="Carlito" w:hAnsi="Carlito"/>
          <w:sz w:val="24"/>
          <w:szCs w:val="24"/>
        </w:rPr>
        <w:t xml:space="preserve"> E SANÇÕES ADMINISTRATIVAS</w:t>
      </w:r>
    </w:p>
    <w:p>
      <w:pPr>
        <w:pStyle w:val="Nvel02"/>
        <w:widowControl/>
        <w:numPr>
          <w:ilvl w:val="1"/>
          <w:numId w:val="2"/>
        </w:numPr>
        <w:shd w:val="clear" w:fill="FFFFFF"/>
        <w:suppressAutoHyphens w:val="true"/>
        <w:bidi w:val="0"/>
        <w:spacing w:lineRule="auto" w:line="276" w:before="0" w:after="0"/>
        <w:ind w:left="57" w:right="0" w:firstLine="510"/>
        <w:jc w:val="both"/>
        <w:rPr/>
      </w:pPr>
      <w:r>
        <w:rPr>
          <w:rStyle w:val="Normaltextrun"/>
          <w:rFonts w:ascii="Carlito" w:hAnsi="Carlito"/>
          <w:color w:val="000000"/>
          <w:sz w:val="24"/>
          <w:szCs w:val="24"/>
        </w:rPr>
        <w:t xml:space="preserve">Comete </w:t>
      </w:r>
      <w:r>
        <w:rPr>
          <w:rFonts w:ascii="Carlito" w:hAnsi="Carlito"/>
          <w:sz w:val="24"/>
          <w:szCs w:val="24"/>
        </w:rPr>
        <w:t>infração</w:t>
      </w:r>
      <w:r>
        <w:rPr>
          <w:rStyle w:val="Normaltextrun"/>
          <w:rFonts w:ascii="Carlito" w:hAnsi="Carlito"/>
          <w:color w:val="000000"/>
          <w:sz w:val="24"/>
          <w:szCs w:val="24"/>
        </w:rPr>
        <w:t xml:space="preserve"> administrativa, nos termos da </w:t>
      </w:r>
      <w:r>
        <w:rPr>
          <w:rStyle w:val="Normaltextrun"/>
          <w:rFonts w:ascii="Carlito" w:hAnsi="Carlito"/>
          <w:sz w:val="24"/>
          <w:szCs w:val="24"/>
        </w:rPr>
        <w:t>Lei nº 14.133, de 2021</w:t>
      </w:r>
      <w:r>
        <w:rPr>
          <w:rStyle w:val="Normaltextrun"/>
          <w:rFonts w:ascii="Carlito" w:hAnsi="Carlito"/>
          <w:color w:val="000000"/>
          <w:sz w:val="24"/>
          <w:szCs w:val="24"/>
        </w:rPr>
        <w:t>, o Contratado que:</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parcial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parcial do contrato que cause grave dano à Administração ou ao funcionamento dos serviços públicos ou ao interesse coletivo;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total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ensejar o retardamento da execução ou da entrega do objeto da contratação sem motivo justificado;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apresentar documentação falsa ou prestar declaração falsa durante a execução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praticar ato fraudulento na execução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comportar-se de modo inidôneo ou cometer fraude de qualquer natureza;</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praticar ato lesivo previsto no art. 5º da Lei nº 12.846, de 1º de agosto de 2013.</w:t>
      </w:r>
    </w:p>
    <w:p>
      <w:pPr>
        <w:pStyle w:val="Paragraph"/>
        <w:widowControl/>
        <w:numPr>
          <w:ilvl w:val="0"/>
          <w:numId w:val="0"/>
        </w:numPr>
        <w:suppressAutoHyphens w:val="true"/>
        <w:bidi w:val="0"/>
        <w:spacing w:lineRule="auto" w:line="276" w:before="120" w:after="0"/>
        <w:ind w:left="1440" w:right="0" w:hanging="0"/>
        <w:jc w:val="both"/>
        <w:textAlignment w:val="baseline"/>
        <w:rPr>
          <w:rStyle w:val="Normaltextrun"/>
          <w:rFonts w:ascii="Carlito" w:hAnsi="Carlito" w:cs="Arial"/>
          <w:sz w:val="24"/>
          <w:szCs w:val="24"/>
        </w:rPr>
      </w:pPr>
      <w:r>
        <w:rPr>
          <w:rFonts w:cs="Arial" w:ascii="Carlito" w:hAnsi="Carlito"/>
          <w:sz w:val="24"/>
          <w:szCs w:val="24"/>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Serão aplicadas ao Contratado que incorrer nas infrações acima descritas as seguintes sanções: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Advertência, quando o Contratado der causa à inexecução parcial do contrato, sempre que não se justificar a imposição de penalidade mais grave;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Impedimento de licitar e contratar, quando praticadas as condutas descritas nas alíneas “b”, “c” e “d” do subitem acima, sempre que não se justificar a imposição de penalidade mais grave;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Declaração de inidoneidade para licitar e contratar, quando praticadas as condutas descritas nas alíneas “e”, “f”, “g” e “h” do subitem acima, bem como nas alíneas “b”, “c” e “d”, que justifiquem a imposição de penalidade mais grave.</w:t>
      </w:r>
    </w:p>
    <w:p>
      <w:pPr>
        <w:pStyle w:val="Nivel3"/>
        <w:widowControl/>
        <w:suppressAutoHyphens w:val="true"/>
        <w:bidi w:val="0"/>
        <w:spacing w:lineRule="auto" w:line="276" w:before="120" w:after="120"/>
        <w:ind w:left="0" w:right="0" w:hanging="0"/>
        <w:jc w:val="both"/>
        <w:rPr/>
      </w:pPr>
      <w:r>
        <w:rPr>
          <w:rStyle w:val="Normaltextrun"/>
          <w:rFonts w:eastAsia="Arial" w:cs="Arial" w:ascii="Carlito" w:hAnsi="Carlito"/>
          <w:b/>
          <w:i w:val="false"/>
          <w:iCs/>
          <w:color w:val="000000"/>
          <w:kern w:val="0"/>
          <w:sz w:val="24"/>
          <w:szCs w:val="24"/>
          <w:lang w:val="pt-BR" w:eastAsia="pt-BR" w:bidi="ar-SA"/>
        </w:rPr>
        <w:t>Multa:</w:t>
      </w:r>
    </w:p>
    <w:p>
      <w:pPr>
        <w:pStyle w:val="Nivel3"/>
        <w:widowControl/>
        <w:suppressAutoHyphens w:val="true"/>
        <w:bidi w:val="0"/>
        <w:spacing w:lineRule="auto" w:line="276" w:before="0" w:after="0"/>
        <w:ind w:left="0" w:right="0" w:hanging="0"/>
        <w:jc w:val="both"/>
        <w:rPr/>
      </w:pPr>
      <w:r>
        <w:rPr>
          <w:rFonts w:eastAsia="Arial" w:cs="Arial" w:ascii="Carlito" w:hAnsi="Carlito"/>
          <w:i w:val="false"/>
          <w:iCs/>
          <w:color w:val="000000"/>
          <w:kern w:val="0"/>
          <w:sz w:val="24"/>
          <w:szCs w:val="24"/>
          <w:lang w:val="pt-BR" w:eastAsia="pt-BR" w:bidi="ar-SA"/>
        </w:rPr>
        <w:t>A aplicação das sanções previstas neste Termo de Referência não exclui, em hipótese alguma, a obrigação de reparação integral do dano causado ao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Todas as sanções previstas neste Termo de Referência poderão ser aplicadas cumulativamente com a multa.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Antes da aplicação da multa será facultada a defesa do interessado no prazo de 15 (quinze) dias úteis, contado da data de sua intimação.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multa poderá ser recolhida administrativamente no prazo máximo de 60 (sessenta) dias, a contar da data do recebimento da comunicação enviada pela autoridade competente.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ivel3"/>
        <w:widowControl/>
        <w:numPr>
          <w:ilvl w:val="1"/>
          <w:numId w:val="2"/>
        </w:numPr>
        <w:suppressAutoHyphens w:val="true"/>
        <w:bidi w:val="0"/>
        <w:spacing w:lineRule="auto" w:line="276" w:before="120" w:after="120"/>
        <w:ind w:left="0" w:right="0" w:firstLine="567"/>
        <w:jc w:val="both"/>
        <w:rPr/>
      </w:pPr>
      <w:r>
        <w:rPr>
          <w:rStyle w:val="Normaltextrun"/>
          <w:rFonts w:ascii="Carlito" w:hAnsi="Carlito"/>
          <w:sz w:val="24"/>
          <w:szCs w:val="24"/>
        </w:rPr>
        <w:t>Para a garantia da ampla defesa e contraditório, as notificações serão enviadas eletronicamente para os endereços de e-mail informados na proposta comercial, bem como os cadastrados pela empresa no SICAF.</w:t>
      </w:r>
    </w:p>
    <w:p>
      <w:pPr>
        <w:pStyle w:val="Nivel3"/>
        <w:widowControl/>
        <w:numPr>
          <w:ilvl w:val="1"/>
          <w:numId w:val="2"/>
        </w:numPr>
        <w:suppressAutoHyphens w:val="true"/>
        <w:bidi w:val="0"/>
        <w:spacing w:lineRule="auto" w:line="276" w:before="120" w:after="120"/>
        <w:ind w:left="0" w:right="0" w:firstLine="567"/>
        <w:jc w:val="both"/>
        <w:rPr/>
      </w:pPr>
      <w:r>
        <w:rPr>
          <w:rStyle w:val="Normaltextrun"/>
          <w:rFonts w:ascii="Carlito" w:hAnsi="Carlito"/>
          <w:sz w:val="24"/>
          <w:szCs w:val="24"/>
        </w:rPr>
        <w:t>Os endereços de e-mail informados na proposta comercial e/ou cadastrados no SICAF serão considerados de uso contínuo da empresa, não cabendo alegação de desconhecimento das comunicações a eles comprovadamente enviadas.</w:t>
      </w:r>
    </w:p>
    <w:p>
      <w:pPr>
        <w:pStyle w:val="Nvel02"/>
        <w:numPr>
          <w:ilvl w:val="1"/>
          <w:numId w:val="2"/>
        </w:numPr>
        <w:shd w:val="clear" w:fill="FFFFFF"/>
        <w:ind w:left="1080" w:right="0" w:hanging="360"/>
        <w:rPr/>
      </w:pPr>
      <w:r>
        <w:rPr>
          <w:rStyle w:val="Normaltextrun"/>
          <w:rFonts w:ascii="Carlito" w:hAnsi="Carlito"/>
          <w:color w:val="000000"/>
          <w:sz w:val="24"/>
          <w:szCs w:val="24"/>
        </w:rPr>
        <w:t xml:space="preserve">Na aplicação </w:t>
      </w:r>
      <w:r>
        <w:rPr>
          <w:rFonts w:ascii="Carlito" w:hAnsi="Carlito"/>
          <w:sz w:val="24"/>
          <w:szCs w:val="24"/>
        </w:rPr>
        <w:t>das</w:t>
      </w:r>
      <w:r>
        <w:rPr>
          <w:rStyle w:val="Normaltextrun"/>
          <w:rFonts w:ascii="Carlito" w:hAnsi="Carlito"/>
          <w:color w:val="000000"/>
          <w:sz w:val="24"/>
          <w:szCs w:val="24"/>
        </w:rPr>
        <w:t xml:space="preserve"> sanções serão considerados: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 natureza e a gravidade da infração cometida;</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as peculiaridades do caso concreto;</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as circunstâncias agravantes ou atenuantes;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os danos que dela provierem para o Contratante; 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 implantação ou o aperfeiçoamento de programa de integridade, conforme normas e orientações dos órgãos de controle.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O Contratante deverá, no prazo máximo de 15 (quinze) dias úteis, contado da data de aplicação da sanção, informar e manter atualizados os dados relativos às sanções por ela aplicadas, para fins de publicidade no Cadastro Nacional de Empresas Inidôneas e Suspensas</w:t>
      </w:r>
      <w:r>
        <w:rPr>
          <w:rStyle w:val="Normaltextrun"/>
          <w:rFonts w:ascii="Carlito" w:hAnsi="Carlito"/>
          <w:color w:val="000000"/>
          <w:sz w:val="24"/>
          <w:szCs w:val="24"/>
        </w:rPr>
        <w:t xml:space="preserve"> (CEIS) e no Cadastro Nacional de Empresas Punidas (CNEP), instituídos no âmbito do Poder Executivo Federal.</w:t>
      </w:r>
    </w:p>
    <w:p>
      <w:pPr>
        <w:pStyle w:val="Nivel3"/>
        <w:widowControl/>
        <w:numPr>
          <w:ilvl w:val="1"/>
          <w:numId w:val="2"/>
        </w:numPr>
        <w:suppressAutoHyphens w:val="true"/>
        <w:bidi w:val="0"/>
        <w:spacing w:lineRule="auto" w:line="276" w:before="120" w:after="120"/>
        <w:ind w:left="0" w:right="0" w:firstLine="510"/>
        <w:jc w:val="both"/>
        <w:rPr>
          <w:rFonts w:ascii="Carlito" w:hAnsi="Carlito" w:eastAsia="ＭＳ 明朝"/>
          <w:sz w:val="24"/>
          <w:szCs w:val="24"/>
        </w:rPr>
      </w:pPr>
      <w:r>
        <w:rPr>
          <w:rFonts w:eastAsia="ＭＳ 明朝" w:ascii="Carlito" w:hAnsi="Carlito"/>
          <w:sz w:val="24"/>
          <w:szCs w:val="24"/>
        </w:rPr>
        <w:t>As penalidades serão obrigatoriamente registradas no SICAF.</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As sanções de impedimento de licitar e contratar e declaração de inidoneidade para licitar ou contratar são passíveis de reabilitação na forma do art. 163 da Lei nº 14.133, de 2021.</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pPr>
        <w:pStyle w:val="Nvel02"/>
        <w:numPr>
          <w:ilvl w:val="0"/>
          <w:numId w:val="0"/>
        </w:numPr>
        <w:shd w:val="clear" w:fill="FFFFFF"/>
        <w:ind w:left="2633" w:right="0" w:hanging="0"/>
        <w:jc w:val="both"/>
        <w:rPr>
          <w:rFonts w:ascii="Carlito" w:hAnsi="Carlito"/>
          <w:sz w:val="24"/>
          <w:szCs w:val="24"/>
        </w:rPr>
      </w:pPr>
      <w:r>
        <w:rPr>
          <w:rFonts w:ascii="Carlito" w:hAnsi="Carlito"/>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FORMA E CRITÉRIOS DE SELEÇÃO DO FORNECEDOR E REGIME DE EXECUÇÃO</w:t>
      </w:r>
    </w:p>
    <w:p>
      <w:pPr>
        <w:pStyle w:val="Nvel1SemNumerao"/>
        <w:numPr>
          <w:ilvl w:val="0"/>
          <w:numId w:val="0"/>
        </w:numPr>
        <w:shd w:val="clear" w:fill="FFFFFF"/>
        <w:ind w:left="720" w:right="0" w:hanging="0"/>
        <w:rPr/>
      </w:pPr>
      <w:r>
        <w:rPr>
          <w:rFonts w:ascii="Carlito" w:hAnsi="Carlito"/>
          <w:sz w:val="24"/>
          <w:szCs w:val="24"/>
        </w:rPr>
        <w:t xml:space="preserve">Forma de seleção e critério </w:t>
      </w:r>
      <w:r>
        <w:rPr>
          <w:rFonts w:eastAsia="Arial" w:cs="Arial" w:ascii="Carlito" w:hAnsi="Carlito"/>
          <w:b w:val="false"/>
          <w:bCs w:val="false"/>
          <w:i w:val="false"/>
          <w:iCs w:val="false"/>
          <w:color w:val="auto"/>
          <w:kern w:val="0"/>
          <w:sz w:val="24"/>
          <w:szCs w:val="24"/>
          <w:lang w:val="pt-BR" w:eastAsia="en-US" w:bidi="ar-SA"/>
        </w:rPr>
        <w:t>de</w:t>
      </w:r>
      <w:r>
        <w:rPr>
          <w:rFonts w:ascii="Carlito" w:hAnsi="Carlito"/>
          <w:sz w:val="24"/>
          <w:szCs w:val="24"/>
        </w:rPr>
        <w:t xml:space="preserve"> julgamento da proposta</w:t>
      </w:r>
    </w:p>
    <w:p>
      <w:pPr>
        <w:pStyle w:val="Nvel2Opcional1"/>
        <w:widowControl/>
        <w:numPr>
          <w:ilvl w:val="1"/>
          <w:numId w:val="2"/>
        </w:numPr>
        <w:shd w:val="clear" w:fill="FFFFFF"/>
        <w:tabs>
          <w:tab w:val="left" w:pos="735" w:leader="none"/>
          <w:tab w:val="left" w:pos="1140"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O fornecedor será selecionado por meio da realização de procedimento de LICITAÇÃO, na modalidade CONCORRÊNCIA, sob a forma ELETRÔNICA, com adoção do critério de julgamento pelo MENOR PREÇO.</w:t>
      </w:r>
      <w:bookmarkStart w:id="4" w:name="_Hlk171371350"/>
      <w:bookmarkStart w:id="5" w:name="_Hlk171371336"/>
      <w:bookmarkEnd w:id="4"/>
      <w:bookmarkEnd w:id="5"/>
    </w:p>
    <w:p>
      <w:pPr>
        <w:pStyle w:val="Nvel2Opcional1"/>
        <w:numPr>
          <w:ilvl w:val="0"/>
          <w:numId w:val="0"/>
        </w:numPr>
        <w:shd w:val="clear" w:fill="FFFFFF"/>
        <w:ind w:left="1913" w:right="0" w:hanging="0"/>
        <w:jc w:val="both"/>
        <w:rPr>
          <w:rFonts w:ascii="Carlito" w:hAnsi="Carlito"/>
          <w:sz w:val="24"/>
          <w:szCs w:val="24"/>
          <w:highlight w:val="cyan"/>
        </w:rPr>
      </w:pPr>
      <w:r>
        <w:rPr>
          <w:rFonts w:ascii="Carlito" w:hAnsi="Carlito"/>
          <w:sz w:val="24"/>
          <w:szCs w:val="24"/>
          <w:highlight w:val="cyan"/>
        </w:rPr>
      </w:r>
      <w:bookmarkStart w:id="6" w:name="_Hlk190336520"/>
      <w:bookmarkStart w:id="7" w:name="_Hlk170893696"/>
      <w:bookmarkStart w:id="8" w:name="_Hlk190336520"/>
      <w:bookmarkStart w:id="9" w:name="_Hlk170893696"/>
      <w:bookmarkEnd w:id="8"/>
      <w:bookmarkEnd w:id="9"/>
    </w:p>
    <w:p>
      <w:pPr>
        <w:pStyle w:val="Nvel1SemNumerao"/>
        <w:numPr>
          <w:ilvl w:val="0"/>
          <w:numId w:val="0"/>
        </w:numPr>
        <w:shd w:val="clear" w:fill="FFFFFF"/>
        <w:ind w:left="720" w:right="0" w:hanging="0"/>
        <w:rPr/>
      </w:pPr>
      <w:r>
        <w:rPr>
          <w:rFonts w:ascii="Carlito" w:hAnsi="Carlito"/>
          <w:sz w:val="24"/>
          <w:szCs w:val="24"/>
        </w:rPr>
        <w:t xml:space="preserve">Exigências de </w:t>
      </w:r>
      <w:r>
        <w:rPr>
          <w:rFonts w:eastAsia="Arial" w:cs="Arial" w:ascii="Carlito" w:hAnsi="Carlito"/>
          <w:b w:val="false"/>
          <w:bCs w:val="false"/>
          <w:i w:val="false"/>
          <w:iCs w:val="false"/>
          <w:color w:val="auto"/>
          <w:kern w:val="0"/>
          <w:sz w:val="24"/>
          <w:szCs w:val="24"/>
          <w:lang w:val="pt-BR" w:eastAsia="en-US" w:bidi="ar-SA"/>
        </w:rPr>
        <w:t>habilitação</w:t>
      </w:r>
    </w:p>
    <w:p>
      <w:pPr>
        <w:pStyle w:val="Nvel02"/>
        <w:numPr>
          <w:ilvl w:val="1"/>
          <w:numId w:val="2"/>
        </w:numPr>
        <w:shd w:val="clear" w:fill="FFFFFF"/>
        <w:ind w:left="1080" w:right="0" w:hanging="360"/>
        <w:rPr/>
      </w:pPr>
      <w:r>
        <w:rPr>
          <w:rFonts w:ascii="Carlito" w:hAnsi="Carlito"/>
          <w:sz w:val="24"/>
          <w:szCs w:val="24"/>
        </w:rPr>
        <w:t>Para fins de habilitação, deverá o interessado comprovar os seguintes requisitos:</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pPr>
      <w:r>
        <w:rPr>
          <w:rFonts w:ascii="Carlito" w:hAnsi="Carlito"/>
          <w:sz w:val="24"/>
          <w:szCs w:val="24"/>
        </w:rPr>
        <w:t xml:space="preserve">Habilitação </w:t>
      </w:r>
      <w:r>
        <w:rPr>
          <w:rFonts w:eastAsia="Arial" w:cs="Arial" w:ascii="Carlito" w:hAnsi="Carlito"/>
          <w:b w:val="false"/>
          <w:bCs w:val="false"/>
          <w:i w:val="false"/>
          <w:iCs w:val="false"/>
          <w:color w:val="auto"/>
          <w:kern w:val="0"/>
          <w:sz w:val="24"/>
          <w:szCs w:val="24"/>
          <w:lang w:val="pt-BR" w:eastAsia="en-US" w:bidi="ar-SA"/>
        </w:rPr>
        <w:t>jurídica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P</w:t>
      </w:r>
      <w:bookmarkStart w:id="10" w:name="_Ref115800561"/>
      <w:r>
        <w:rPr>
          <w:rFonts w:eastAsia="Arial" w:cs="Arial" w:ascii="Carlito" w:hAnsi="Carlito"/>
          <w:i w:val="false"/>
          <w:iCs/>
          <w:color w:val="000000"/>
          <w:kern w:val="0"/>
          <w:sz w:val="24"/>
          <w:szCs w:val="24"/>
          <w:lang w:val="pt-BR" w:eastAsia="pt-BR" w:bidi="ar-SA"/>
        </w:rPr>
        <w:t>essoa física: cédula de identidade (RG) ou documento equivalente que, por força de lei, tenha validade para fins de identificação em todo o território nacional;</w:t>
      </w:r>
      <w:bookmarkEnd w:id="10"/>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Empresário individual: inscrição no Registro Público de Empresas Mercantis, a cargo da Junta Comercial da respectiva sede;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Microempreendedor Individual - MEI: Certificado da Condição de Microempreendedor Individual - CCMEI, cuja aceitação ficará condicionada à verificação da autenticidade no sítio https://www.gov.br/empresas-e-negocios/pt-br/empreendedor;</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Sociedade simples: inscrição do ato constitutivo no Registro Civil de Pessoas Jurídicas do local de sua sede, acompanhada de documento comprobatório de seus administradores;</w:t>
      </w:r>
    </w:p>
    <w:p>
      <w:pPr>
        <w:pStyle w:val="Nvel02"/>
        <w:widowControl/>
        <w:numPr>
          <w:ilvl w:val="2"/>
          <w:numId w:val="2"/>
        </w:numPr>
        <w:shd w:val="clear" w:fill="FFFFFF"/>
        <w:suppressAutoHyphens w:val="true"/>
        <w:bidi w:val="0"/>
        <w:spacing w:lineRule="auto" w:line="276" w:before="0" w:after="0"/>
        <w:ind w:left="0" w:right="0" w:firstLine="1134"/>
        <w:jc w:val="both"/>
        <w:rPr/>
      </w:pPr>
      <w:r>
        <w:rPr>
          <w:rFonts w:ascii="Carlito" w:hAnsi="Carlito"/>
          <w:sz w:val="24"/>
          <w:szCs w:val="24"/>
        </w:rPr>
        <w:t xml:space="preserve"> </w:t>
      </w:r>
      <w:r>
        <w:rPr>
          <w:rFonts w:ascii="Carlito" w:hAnsi="Carli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 w:name="_Int_ySfCXwr4"/>
      <w:r>
        <w:rPr>
          <w:rFonts w:ascii="Carlito" w:hAnsi="Carlito"/>
          <w:sz w:val="24"/>
          <w:szCs w:val="24"/>
        </w:rPr>
        <w:t>Mercantis onde</w:t>
      </w:r>
      <w:bookmarkEnd w:id="11"/>
      <w:r>
        <w:rPr>
          <w:rFonts w:ascii="Carlito" w:hAnsi="Carlito"/>
          <w:sz w:val="24"/>
          <w:szCs w:val="24"/>
        </w:rPr>
        <w:t xml:space="preserve"> opera, com averbação no Registro onde tem sede a matriz;</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documentos apresentados deverão estar acompanhados de todas as alterações ou da consolidação respectiva.</w:t>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Habilitação fiscal, social e trabalhista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Prova de inscrição no Cadastro Nacional de Pessoas Jurídicas ou no Cadastro de Pessoas Físicas, conforme o caso;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regularidade com o Fundo de Garantia do Tempo de Serviço (FGTS);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inscrição no cadastro de contribuintes Distrital ou Municipal relativo ao domicílio ou sede do fornecedor, pertinente ao seu ramo de atividade e compatível com o objeto contratual;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regularidade com a Fazenda Distrital ou Municipal do domicílio ou sede do fornecedor, relativa à atividade em cujo exercício contrata ou concorre;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Qualificação Econômico-Financeira</w:t>
      </w:r>
    </w:p>
    <w:p>
      <w:pPr>
        <w:pStyle w:val="Nvel02"/>
        <w:widowControl/>
        <w:numPr>
          <w:ilvl w:val="1"/>
          <w:numId w:val="2"/>
        </w:numPr>
        <w:shd w:val="clear" w:fill="FFFFFF"/>
        <w:suppressAutoHyphens w:val="true"/>
        <w:overflowPunct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Será exigida apenas a comprovação de inexistência de falência ou recuperação judicial, mediante apresentação de certidão negativa expedida pelo distribuidor da sede da pessoa jurídica,</w:t>
      </w:r>
    </w:p>
    <w:p>
      <w:pPr>
        <w:pStyle w:val="Nvel02"/>
        <w:widowControl/>
        <w:numPr>
          <w:ilvl w:val="0"/>
          <w:numId w:val="0"/>
        </w:numPr>
        <w:shd w:val="clear" w:fill="FFFFFF"/>
        <w:suppressAutoHyphens w:val="true"/>
        <w:bidi w:val="0"/>
        <w:spacing w:lineRule="auto" w:line="276" w:before="0" w:after="0"/>
        <w:ind w:left="1080" w:right="0" w:hanging="0"/>
        <w:jc w:val="both"/>
        <w:rPr>
          <w:b/>
          <w:b/>
          <w:bCs/>
          <w:color w:val="000000"/>
        </w:rPr>
      </w:pPr>
      <w:r>
        <w:rPr>
          <w:b/>
          <w:bCs/>
          <w:color w:val="000000"/>
        </w:rPr>
      </w:r>
    </w:p>
    <w:p>
      <w:pPr>
        <w:pStyle w:val="Nvel02"/>
        <w:widowControl/>
        <w:numPr>
          <w:ilvl w:val="0"/>
          <w:numId w:val="0"/>
        </w:numPr>
        <w:shd w:val="clear" w:fill="FFFFFF"/>
        <w:suppressAutoHyphens w:val="true"/>
        <w:bidi w:val="0"/>
        <w:spacing w:lineRule="auto" w:line="276" w:before="0" w:after="0"/>
        <w:ind w:left="0" w:right="0" w:hanging="0"/>
        <w:jc w:val="both"/>
        <w:rPr/>
      </w:pPr>
      <w:r>
        <w:rPr/>
      </w:r>
    </w:p>
    <w:p>
      <w:pPr>
        <w:pStyle w:val="Nvel02"/>
        <w:widowControl/>
        <w:numPr>
          <w:ilvl w:val="0"/>
          <w:numId w:val="0"/>
        </w:numPr>
        <w:shd w:val="clear" w:fill="FFFFFF"/>
        <w:suppressAutoHyphens w:val="true"/>
        <w:bidi w:val="0"/>
        <w:spacing w:lineRule="auto" w:line="276" w:before="0" w:after="0"/>
        <w:ind w:left="144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Qualificação Técnica</w:t>
      </w:r>
    </w:p>
    <w:p>
      <w:pPr>
        <w:pStyle w:val="Nvel2Opcional1"/>
        <w:widowControl/>
        <w:numPr>
          <w:ilvl w:val="1"/>
          <w:numId w:val="2"/>
        </w:numPr>
        <w:shd w:val="clear" w:fill="FFFFFF"/>
        <w:tabs>
          <w:tab w:val="left" w:pos="735" w:leader="none"/>
          <w:tab w:val="left" w:pos="1140" w:leader="none"/>
        </w:tabs>
        <w:suppressAutoHyphens w:val="true"/>
        <w:bidi w:val="0"/>
        <w:spacing w:lineRule="auto" w:line="276" w:before="0" w:after="0"/>
        <w:ind w:left="0" w:right="0" w:firstLine="567"/>
        <w:jc w:val="both"/>
        <w:rPr/>
      </w:pPr>
      <w:bookmarkStart w:id="12" w:name="_Ref123202723"/>
      <w:r>
        <w:rPr>
          <w:rFonts w:ascii="Carlito" w:hAnsi="Carlito"/>
          <w:color w:val="000000"/>
          <w:sz w:val="24"/>
          <w:szCs w:val="24"/>
        </w:rPr>
        <w:t xml:space="preserve">Declaração de que o fornecedor tomou conhecimento de todas as informações e das condições locais para o cumprimento das obrigações objeto da </w:t>
      </w:r>
      <w:bookmarkEnd w:id="12"/>
      <w:r>
        <w:rPr>
          <w:rFonts w:ascii="Carlito" w:hAnsi="Carlito"/>
          <w:color w:val="000000"/>
          <w:sz w:val="24"/>
          <w:szCs w:val="24"/>
        </w:rPr>
        <w:t>contratação.</w:t>
      </w:r>
    </w:p>
    <w:p>
      <w:pPr>
        <w:pStyle w:val="Nvel3Opcional1"/>
        <w:widowControl/>
        <w:numPr>
          <w:ilvl w:val="1"/>
          <w:numId w:val="2"/>
        </w:numPr>
        <w:suppressAutoHyphens w:val="true"/>
        <w:bidi w:val="0"/>
        <w:spacing w:lineRule="auto" w:line="276" w:before="120" w:after="120"/>
        <w:ind w:left="0" w:right="0" w:firstLine="510"/>
        <w:jc w:val="both"/>
        <w:rPr>
          <w:rFonts w:ascii="Carlito" w:hAnsi="Carlito"/>
          <w:color w:val="000000"/>
          <w:sz w:val="24"/>
          <w:szCs w:val="24"/>
        </w:rPr>
      </w:pPr>
      <w:r>
        <w:rPr>
          <w:rFonts w:ascii="Carlito" w:hAnsi="Carlito"/>
          <w:color w:val="000000"/>
          <w:sz w:val="24"/>
          <w:szCs w:val="24"/>
        </w:rPr>
        <w:t>Essa declaração poderá ser substituída por declaração formal assinada pelo responsável técnico do interessado acerca do conhecimento pleno das condições e peculiaridades da contratação.</w:t>
      </w:r>
    </w:p>
    <w:p>
      <w:pPr>
        <w:pStyle w:val="Ttulo3"/>
        <w:widowControl/>
        <w:numPr>
          <w:ilvl w:val="0"/>
          <w:numId w:val="0"/>
        </w:numPr>
        <w:shd w:val="clear" w:fill="FFFFFF"/>
        <w:suppressAutoHyphens w:val="true"/>
        <w:bidi w:val="0"/>
        <w:spacing w:lineRule="auto" w:line="276" w:before="0" w:after="0"/>
        <w:ind w:left="720" w:right="0" w:hanging="0"/>
        <w:jc w:val="both"/>
        <w:rPr/>
      </w:pPr>
      <w:r>
        <w:rPr>
          <w:rStyle w:val="Nfaseforte"/>
          <w:rFonts w:ascii="Carlito" w:hAnsi="Carlito"/>
          <w:sz w:val="24"/>
          <w:szCs w:val="24"/>
        </w:rPr>
        <w:t>Qualificação Técnico-Operacional</w:t>
      </w:r>
    </w:p>
    <w:p>
      <w:pPr>
        <w:pStyle w:val="Corpodotexto"/>
        <w:rPr/>
      </w:pPr>
      <w:r>
        <w:rPr/>
        <w:t>Apresentação de atestado(s) de capacidade técnica que comprove(m) a execução de serviços compatíveis com o objeto.</w:t>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Disposições gerais sobre habilitação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permitida a participação na licitação/contratação de empresas estrangeiras que não funcionem no País, as exigências de habilitação serão atendidas mediante documentos equivalentes, inicialmente apresentados em tradução livre.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Não serão aceitos documentos de habilitação com indicação de CNPJ/CPF diferentes, salvo aqueles legalmente permitidos.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Serão aceitos registros de CNPJ de fornecedor matriz e filial com diferenças de números de documentos pertinentes ao CND e ao CRF/FGTS, quando for comprovada a centralização do recolhimento dessas contribuições.</w:t>
      </w:r>
    </w:p>
    <w:p>
      <w:pPr>
        <w:pStyle w:val="Nvel1SemNumerao"/>
        <w:numPr>
          <w:ilvl w:val="0"/>
          <w:numId w:val="0"/>
        </w:numPr>
        <w:shd w:val="clear" w:fill="FFFFFF"/>
        <w:ind w:left="720" w:right="0" w:hanging="0"/>
        <w:jc w:val="both"/>
        <w:rPr>
          <w:rFonts w:ascii="Carlito" w:hAnsi="Carlito"/>
          <w:sz w:val="24"/>
          <w:szCs w:val="24"/>
        </w:rPr>
      </w:pPr>
      <w:r>
        <w:rPr>
          <w:rFonts w:ascii="Carlito" w:hAnsi="Carlito"/>
          <w:sz w:val="24"/>
          <w:szCs w:val="24"/>
        </w:rPr>
        <w:t>Documentação complementar para cooperativas</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rPr>
        <w:t>Caso admitida a participação de cooperativas, será exigida a seguinte documentação complementar:</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A declaração de regularidade de situação do contribuinte individual – DRSCI, para cada um dos cooperados indicados;</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 xml:space="preserve">A comprovação do capital social proporcional ao número de cooperados necessários à prestação do serviço; </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 registro previsto na Lei n. 5.764, de 1971, art. 107;</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A comprovação de integração das respectivas quotas-partes por parte dos cooperados que executarão o contrato;</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Os seguintes documentos para a comprovação da regularidade jurídica da cooperativa:</w:t>
      </w:r>
    </w:p>
    <w:p>
      <w:pPr>
        <w:pStyle w:val="Nivel4"/>
        <w:numPr>
          <w:ilvl w:val="3"/>
          <w:numId w:val="2"/>
        </w:numPr>
        <w:ind w:left="927" w:right="0" w:hanging="0"/>
        <w:jc w:val="both"/>
        <w:rPr>
          <w:rFonts w:ascii="Carlito" w:hAnsi="Carlito"/>
          <w:sz w:val="24"/>
          <w:szCs w:val="24"/>
        </w:rPr>
      </w:pPr>
      <w:r>
        <w:rPr>
          <w:rFonts w:ascii="Carlito" w:hAnsi="Carlito"/>
          <w:sz w:val="24"/>
          <w:szCs w:val="24"/>
        </w:rPr>
        <w:t>ata de fundação;</w:t>
      </w:r>
    </w:p>
    <w:p>
      <w:pPr>
        <w:pStyle w:val="Nivel4"/>
        <w:numPr>
          <w:ilvl w:val="3"/>
          <w:numId w:val="2"/>
        </w:numPr>
        <w:ind w:left="927" w:right="0" w:hanging="0"/>
        <w:jc w:val="both"/>
        <w:rPr>
          <w:rFonts w:ascii="Carlito" w:hAnsi="Carlito"/>
          <w:sz w:val="24"/>
          <w:szCs w:val="24"/>
        </w:rPr>
      </w:pPr>
      <w:r>
        <w:rPr>
          <w:rFonts w:ascii="Carlito" w:hAnsi="Carlito"/>
          <w:sz w:val="24"/>
          <w:szCs w:val="24"/>
        </w:rPr>
        <w:t>estatuto social com a ata da assembleia que o aprovou;</w:t>
      </w:r>
    </w:p>
    <w:p>
      <w:pPr>
        <w:pStyle w:val="Nivel4"/>
        <w:numPr>
          <w:ilvl w:val="3"/>
          <w:numId w:val="2"/>
        </w:numPr>
        <w:ind w:left="927" w:right="0" w:hanging="0"/>
        <w:jc w:val="both"/>
        <w:rPr>
          <w:rFonts w:ascii="Carlito" w:hAnsi="Carlito"/>
          <w:sz w:val="24"/>
          <w:szCs w:val="24"/>
        </w:rPr>
      </w:pPr>
      <w:r>
        <w:rPr>
          <w:rFonts w:ascii="Carlito" w:hAnsi="Carlito"/>
          <w:sz w:val="24"/>
          <w:szCs w:val="24"/>
        </w:rPr>
        <w:t>regimento dos fundos instituídos pelos cooperados, com a ata da assembleia;</w:t>
      </w:r>
    </w:p>
    <w:p>
      <w:pPr>
        <w:pStyle w:val="Nivel4"/>
        <w:widowControl/>
        <w:numPr>
          <w:ilvl w:val="3"/>
          <w:numId w:val="2"/>
        </w:numPr>
        <w:suppressAutoHyphens w:val="true"/>
        <w:bidi w:val="0"/>
        <w:spacing w:lineRule="auto" w:line="276"/>
        <w:ind w:left="927" w:right="0" w:hanging="0"/>
        <w:jc w:val="both"/>
        <w:rPr>
          <w:rFonts w:ascii="Carlito" w:hAnsi="Carlito"/>
          <w:sz w:val="24"/>
          <w:szCs w:val="24"/>
        </w:rPr>
      </w:pPr>
      <w:r>
        <w:rPr>
          <w:rFonts w:ascii="Carlito" w:hAnsi="Carlito"/>
          <w:sz w:val="24"/>
          <w:szCs w:val="24"/>
        </w:rPr>
        <w:t>editais de convocação das três últimas assembleias gerais extraordinárias;</w:t>
      </w:r>
    </w:p>
    <w:p>
      <w:pPr>
        <w:pStyle w:val="Nivel4"/>
        <w:numPr>
          <w:ilvl w:val="3"/>
          <w:numId w:val="2"/>
        </w:numPr>
        <w:ind w:left="927" w:right="0" w:hanging="0"/>
        <w:jc w:val="both"/>
        <w:rPr>
          <w:rFonts w:ascii="Carlito" w:hAnsi="Carlito"/>
          <w:sz w:val="24"/>
          <w:szCs w:val="24"/>
        </w:rPr>
      </w:pPr>
      <w:r>
        <w:rPr>
          <w:rFonts w:ascii="Carlito" w:hAnsi="Carlito"/>
          <w:sz w:val="24"/>
          <w:szCs w:val="24"/>
        </w:rPr>
        <w:t>três registros de presença dos cooperados que executarão o contrato em assembleias gerais ou nas reuniões seccionais;</w:t>
      </w:r>
    </w:p>
    <w:p>
      <w:pPr>
        <w:pStyle w:val="Nivel4"/>
        <w:numPr>
          <w:ilvl w:val="3"/>
          <w:numId w:val="2"/>
        </w:numPr>
        <w:ind w:left="927" w:right="0" w:hanging="0"/>
        <w:jc w:val="both"/>
        <w:rPr>
          <w:rFonts w:ascii="Carlito" w:hAnsi="Carlito"/>
          <w:sz w:val="24"/>
          <w:szCs w:val="24"/>
        </w:rPr>
      </w:pPr>
      <w:r>
        <w:rPr>
          <w:rFonts w:ascii="Carlito" w:hAnsi="Carlito"/>
          <w:sz w:val="24"/>
          <w:szCs w:val="24"/>
        </w:rPr>
        <w:t>ata da sessão que os cooperados autorizaram a cooperativa a contratar o objeto da contratação; e</w:t>
      </w:r>
    </w:p>
    <w:p>
      <w:pPr>
        <w:pStyle w:val="Nivel4"/>
        <w:numPr>
          <w:ilvl w:val="3"/>
          <w:numId w:val="2"/>
        </w:numPr>
        <w:ind w:left="927" w:right="0" w:hanging="0"/>
        <w:jc w:val="both"/>
        <w:rPr>
          <w:rFonts w:ascii="Carlito" w:hAnsi="Carlito"/>
          <w:sz w:val="24"/>
          <w:szCs w:val="24"/>
        </w:rPr>
      </w:pPr>
      <w:r>
        <w:rPr>
          <w:rFonts w:ascii="Carlito" w:hAnsi="Carlito"/>
          <w:sz w:val="24"/>
          <w:szCs w:val="24"/>
        </w:rPr>
        <w:t>última auditoria contábil-financeira da cooperativa, conforme dispõe o art. 112 da Lei n. 5.764, de 1971, ou uma declaração, sob as penas da lei, de que tal auditoria não foi exigida pelo órgão fiscalizador.</w:t>
      </w:r>
    </w:p>
    <w:p>
      <w:pPr>
        <w:pStyle w:val="Nivel4"/>
        <w:numPr>
          <w:ilvl w:val="0"/>
          <w:numId w:val="0"/>
        </w:numPr>
        <w:ind w:left="2727" w:right="0" w:hanging="0"/>
        <w:jc w:val="both"/>
        <w:rPr>
          <w:rFonts w:ascii="Carlito" w:hAnsi="Carlito"/>
          <w:sz w:val="24"/>
          <w:szCs w:val="24"/>
        </w:rPr>
      </w:pPr>
      <w:r>
        <w:rPr>
          <w:rFonts w:ascii="Carlito" w:hAnsi="Carlito"/>
          <w:sz w:val="24"/>
          <w:szCs w:val="24"/>
        </w:rPr>
      </w:r>
    </w:p>
    <w:p>
      <w:pPr>
        <w:pStyle w:val="Nivel01"/>
        <w:widowControl/>
        <w:numPr>
          <w:ilvl w:val="0"/>
          <w:numId w:val="2"/>
        </w:numPr>
        <w:shd w:val="clear" w:fill="FFFFFF"/>
        <w:suppressAutoHyphens w:val="true"/>
        <w:bidi w:val="0"/>
        <w:spacing w:lineRule="auto" w:line="276" w:before="0" w:after="0"/>
        <w:ind w:left="357" w:right="0" w:hanging="35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ESTIMATIVAS DO VALOR DA CONTRATAÇÃO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i/>
          <w:color w:val="000000"/>
          <w:sz w:val="24"/>
          <w:szCs w:val="24"/>
        </w:rPr>
        <w:t>O custo estimado total da contratação é de</w:t>
      </w:r>
      <w:r>
        <w:rPr>
          <w:rFonts w:ascii="Carlito" w:hAnsi="Carlito"/>
          <w:i/>
          <w:color w:val="ED1C24"/>
          <w:sz w:val="24"/>
          <w:szCs w:val="24"/>
        </w:rPr>
        <w:t xml:space="preserve"> </w:t>
      </w:r>
      <w:r>
        <w:rPr>
          <w:rFonts w:eastAsia="SimSun;宋体" w:cs="Mangal;Courier" w:ascii="CALIBRI" w:hAnsi="CALIBRI"/>
          <w:b w:val="false"/>
          <w:bCs w:val="false"/>
          <w:i w:val="false"/>
          <w:iCs w:val="false"/>
          <w:strike w:val="false"/>
          <w:dstrike w:val="false"/>
          <w:outline w:val="false"/>
          <w:shadow w:val="false"/>
          <w:color w:val="000000"/>
          <w:spacing w:val="-24"/>
          <w:kern w:val="2"/>
          <w:sz w:val="24"/>
          <w:szCs w:val="24"/>
          <w:u w:val="none"/>
          <w:shd w:fill="auto" w:val="clear"/>
          <w:em w:val="none"/>
          <w:lang w:val="pt-BR" w:eastAsia="zh-CN" w:bidi="hi-IN"/>
        </w:rPr>
        <w:t>R$ 15.707,92</w:t>
      </w:r>
      <w:r>
        <w:rPr>
          <w:rFonts w:eastAsia="SimSun;宋体" w:cs="Mangal;Courier" w:ascii="Carlito" w:hAnsi="Carlito"/>
          <w:b w:val="false"/>
          <w:bCs w:val="false"/>
          <w:i w:val="false"/>
          <w:iCs w:val="false"/>
          <w:color w:val="000000"/>
          <w:kern w:val="2"/>
          <w:sz w:val="24"/>
          <w:szCs w:val="24"/>
          <w:shd w:fill="auto" w:val="clear"/>
          <w:lang w:val="pt-BR" w:eastAsia="zh-CN" w:bidi="hi-IN"/>
        </w:rPr>
        <w:t xml:space="preserve"> </w:t>
      </w:r>
      <w:r>
        <w:rPr>
          <w:rFonts w:eastAsia="SimSun;宋体" w:cs="Mangal;Courier" w:ascii="Carlito" w:hAnsi="Carlito"/>
          <w:b w:val="false"/>
          <w:bCs w:val="false"/>
          <w:i w:val="false"/>
          <w:iCs w:val="false"/>
          <w:strike w:val="false"/>
          <w:dstrike w:val="false"/>
          <w:outline w:val="false"/>
          <w:shadow w:val="false"/>
          <w:color w:val="000000"/>
          <w:kern w:val="2"/>
          <w:sz w:val="24"/>
          <w:szCs w:val="24"/>
          <w:u w:val="none"/>
          <w:shd w:fill="auto" w:val="clear"/>
          <w:em w:val="none"/>
          <w:lang w:val="pt-BR" w:eastAsia="zh-CN" w:bidi="hi-IN"/>
        </w:rPr>
        <w:t>(quinze mil e setecentos e sete reais e noventa e dois centavos</w:t>
      </w:r>
      <w:r>
        <w:rPr>
          <w:rFonts w:eastAsia="SimSun;宋体" w:cs="Mangal;Courier" w:ascii="Carlito" w:hAnsi="Carlito"/>
          <w:b w:val="false"/>
          <w:bCs w:val="false"/>
          <w:i w:val="false"/>
          <w:iCs w:val="false"/>
          <w:color w:val="000000"/>
          <w:kern w:val="2"/>
          <w:sz w:val="24"/>
          <w:szCs w:val="24"/>
          <w:shd w:fill="auto" w:val="clear"/>
          <w:lang w:val="pt-BR" w:eastAsia="zh-CN" w:bidi="hi-IN"/>
        </w:rPr>
        <w:t>)</w:t>
      </w:r>
      <w:r>
        <w:rPr>
          <w:rFonts w:ascii="Carlito" w:hAnsi="Carlito"/>
          <w:i/>
          <w:iCs/>
          <w:color w:val="000000"/>
          <w:sz w:val="24"/>
          <w:szCs w:val="24"/>
        </w:rPr>
        <w:t xml:space="preserve"> conforme custos unitários apostos na tabela acima</w:t>
      </w:r>
    </w:p>
    <w:p>
      <w:pPr>
        <w:pStyle w:val="Nvel2Opcional1"/>
        <w:numPr>
          <w:ilvl w:val="0"/>
          <w:numId w:val="0"/>
        </w:numPr>
        <w:shd w:val="clear" w:fill="FFFFFF"/>
        <w:ind w:left="1193" w:right="0" w:hanging="0"/>
        <w:jc w:val="both"/>
        <w:rPr>
          <w:rFonts w:ascii="Carlito" w:hAnsi="Carlito"/>
          <w:i/>
          <w:i/>
          <w:color w:val="000000"/>
          <w:sz w:val="24"/>
          <w:szCs w:val="24"/>
        </w:rPr>
      </w:pPr>
      <w:r>
        <w:rPr>
          <w:rFonts w:ascii="Carlito" w:hAnsi="Carlito"/>
          <w:i/>
          <w:color w:val="000000"/>
          <w:sz w:val="24"/>
          <w:szCs w:val="24"/>
        </w:rPr>
      </w:r>
    </w:p>
    <w:p>
      <w:pPr>
        <w:pStyle w:val="Nivel01"/>
        <w:widowControl/>
        <w:numPr>
          <w:ilvl w:val="0"/>
          <w:numId w:val="2"/>
        </w:numPr>
        <w:shd w:val="clear" w:fill="FFFFFF"/>
        <w:suppressAutoHyphens w:val="true"/>
        <w:bidi w:val="0"/>
        <w:spacing w:lineRule="auto" w:line="276" w:before="120" w:after="120"/>
        <w:ind w:left="0" w:right="0" w:hanging="0"/>
        <w:jc w:val="both"/>
        <w:rPr/>
      </w:pPr>
      <w:r>
        <w:rPr>
          <w:rFonts w:eastAsia="Arial" w:cs="Arial" w:ascii="Carlito" w:hAnsi="Carlito"/>
          <w:b/>
          <w:bCs/>
          <w:i w:val="false"/>
          <w:iCs w:val="false"/>
          <w:color w:val="000000"/>
          <w:kern w:val="0"/>
          <w:sz w:val="24"/>
          <w:szCs w:val="24"/>
          <w:lang w:val="pt-BR" w:eastAsia="pt-BR" w:bidi="ar-SA"/>
        </w:rPr>
        <w:t>ADEQUAÇÃO ORÇAMENTÁRIA</w:t>
      </w:r>
    </w:p>
    <w:p>
      <w:pPr>
        <w:pStyle w:val="Normal"/>
        <w:widowControl/>
        <w:numPr>
          <w:ilvl w:val="0"/>
          <w:numId w:val="0"/>
        </w:numPr>
        <w:suppressAutoHyphens w:val="true"/>
        <w:bidi w:val="0"/>
        <w:spacing w:lineRule="auto" w:line="276" w:before="120" w:after="120"/>
        <w:ind w:left="0" w:right="0" w:firstLine="567"/>
        <w:jc w:val="both"/>
        <w:outlineLvl w:val="0"/>
        <w:rPr/>
      </w:pPr>
      <w:r>
        <w:rPr>
          <w:rFonts w:eastAsia="Arial" w:cs="Arial" w:ascii="Carlito" w:hAnsi="Carlito"/>
          <w:b/>
          <w:bCs/>
          <w:i w:val="false"/>
          <w:iCs w:val="false"/>
          <w:color w:val="000000"/>
          <w:kern w:val="0"/>
          <w:sz w:val="24"/>
          <w:szCs w:val="24"/>
          <w:lang w:val="pt-BR" w:eastAsia="pt-BR" w:bidi="ar-SA"/>
        </w:rPr>
        <w:t xml:space="preserve">11.1 </w:t>
      </w:r>
      <w:r>
        <w:rPr>
          <w:rFonts w:eastAsia="Arial" w:cs="Arial" w:ascii="Carlito" w:hAnsi="Carlito"/>
          <w:i w:val="false"/>
          <w:iCs w:val="false"/>
          <w:color w:val="000000"/>
          <w:kern w:val="0"/>
          <w:sz w:val="24"/>
          <w:szCs w:val="24"/>
          <w:lang w:val="pt-BR" w:eastAsia="pt-BR" w:bidi="ar-SA"/>
        </w:rPr>
        <w:t>As despesas decorrentes da presente contratação correrão à conta de recursos específicos consignados no Orçamento Geral da União.</w:t>
      </w:r>
    </w:p>
    <w:p>
      <w:pPr>
        <w:pStyle w:val="Nivel01"/>
        <w:shd w:val="clear" w:fill="FFFFFF"/>
        <w:ind w:left="1077" w:right="0" w:hanging="454"/>
        <w:rPr/>
      </w:pPr>
      <w:r>
        <w:rPr>
          <w:rFonts w:eastAsia="Arial" w:cs="Arial" w:ascii="Carlito" w:hAnsi="Carlito"/>
          <w:i w:val="false"/>
          <w:iCs w:val="false"/>
          <w:color w:val="000000"/>
          <w:kern w:val="0"/>
          <w:sz w:val="24"/>
          <w:szCs w:val="24"/>
          <w:lang w:val="pt-BR" w:eastAsia="pt-BR" w:bidi="ar-SA"/>
        </w:rPr>
        <w:t xml:space="preserve">11.2. </w:t>
      </w:r>
      <w:r>
        <w:rPr>
          <w:rFonts w:eastAsia="Arial" w:cs="Arial" w:ascii="Carlito" w:hAnsi="Carlito"/>
          <w:b w:val="false"/>
          <w:bCs w:val="false"/>
          <w:i w:val="false"/>
          <w:iCs w:val="false"/>
          <w:color w:val="000000"/>
          <w:kern w:val="0"/>
          <w:sz w:val="24"/>
          <w:szCs w:val="24"/>
          <w:lang w:val="pt-BR" w:eastAsia="pt-BR" w:bidi="ar-SA"/>
        </w:rPr>
        <w:t>A contratação será atendida pela seguinte dotação:</w:t>
      </w:r>
    </w:p>
    <w:p>
      <w:pPr>
        <w:pStyle w:val="ListParagraph"/>
        <w:widowControl/>
        <w:numPr>
          <w:ilvl w:val="2"/>
          <w:numId w:val="2"/>
        </w:numPr>
        <w:suppressAutoHyphens w:val="true"/>
        <w:bidi w:val="0"/>
        <w:spacing w:lineRule="auto" w:line="276" w:before="0" w:after="0"/>
        <w:ind w:left="0" w:right="0" w:firstLine="1134"/>
        <w:contextualSpacing/>
        <w:jc w:val="both"/>
        <w:rPr/>
      </w:pPr>
      <w:r>
        <w:rPr>
          <w:rFonts w:eastAsia="Arial" w:cs="Arial" w:ascii="Carlito" w:hAnsi="Carlito"/>
          <w:i w:val="false"/>
          <w:iCs w:val="false"/>
          <w:sz w:val="24"/>
          <w:szCs w:val="24"/>
        </w:rPr>
        <w:t>Gestão/Unidade: 781402;</w:t>
      </w:r>
    </w:p>
    <w:p>
      <w:pPr>
        <w:pStyle w:val="ListParagraph"/>
        <w:widowControl/>
        <w:numPr>
          <w:ilvl w:val="2"/>
          <w:numId w:val="2"/>
        </w:numPr>
        <w:suppressAutoHyphens w:val="true"/>
        <w:bidi w:val="0"/>
        <w:spacing w:lineRule="auto" w:line="276" w:before="120" w:after="120"/>
        <w:ind w:left="0" w:right="0" w:firstLine="1134"/>
        <w:contextualSpacing/>
        <w:jc w:val="both"/>
        <w:rPr>
          <w:rFonts w:ascii="Carlito" w:hAnsi="Carlito"/>
          <w:sz w:val="24"/>
          <w:szCs w:val="24"/>
        </w:rPr>
      </w:pPr>
      <w:r>
        <w:rPr>
          <w:rFonts w:eastAsia="Arial" w:cs="Arial" w:ascii="Carlito" w:hAnsi="Carlito"/>
          <w:i w:val="false"/>
          <w:iCs w:val="false"/>
          <w:sz w:val="24"/>
          <w:szCs w:val="24"/>
        </w:rPr>
        <w:t xml:space="preserve">Fonte de Recursos: </w:t>
      </w:r>
      <w:bookmarkStart w:id="13" w:name="manterPage%25252525252525252525252525252"/>
      <w:bookmarkStart w:id="14" w:name="manterPage%25252525252525252525252525252"/>
      <w:bookmarkEnd w:id="13"/>
      <w:bookmarkEnd w:id="14"/>
      <w:r>
        <w:rPr>
          <w:rFonts w:ascii="Carlito" w:hAnsi="Carlito"/>
          <w:i w:val="false"/>
          <w:iCs w:val="false"/>
          <w:color w:val="auto"/>
          <w:sz w:val="24"/>
          <w:szCs w:val="24"/>
        </w:rPr>
        <w:t xml:space="preserve">1050000144 </w:t>
      </w:r>
      <w:r>
        <w:rPr>
          <w:rFonts w:eastAsia="Arial" w:cs="Arial" w:ascii="Carlito" w:hAnsi="Carlito"/>
          <w:i w:val="false"/>
          <w:iCs w:val="false"/>
          <w:color w:val="auto"/>
          <w:sz w:val="24"/>
          <w:szCs w:val="24"/>
        </w:rPr>
        <w:t>;</w:t>
      </w:r>
    </w:p>
    <w:p>
      <w:pPr>
        <w:pStyle w:val="ListParagraph"/>
        <w:widowControl/>
        <w:numPr>
          <w:ilvl w:val="2"/>
          <w:numId w:val="2"/>
        </w:numPr>
        <w:tabs>
          <w:tab w:val="clear" w:pos="709"/>
          <w:tab w:val="left" w:pos="1245" w:leader="none"/>
          <w:tab w:val="left" w:pos="1695" w:leader="none"/>
          <w:tab w:val="left" w:pos="2100" w:leader="none"/>
          <w:tab w:val="left" w:pos="2670" w:leader="none"/>
        </w:tabs>
        <w:suppressAutoHyphens w:val="true"/>
        <w:bidi w:val="0"/>
        <w:spacing w:lineRule="auto" w:line="276" w:before="120" w:after="120"/>
        <w:ind w:left="0" w:right="0" w:firstLine="1134"/>
        <w:contextualSpacing/>
        <w:jc w:val="both"/>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b/>
        <w:t xml:space="preserve">Programa de Trabalho: </w:t>
      </w:r>
      <w:bookmarkStart w:id="15" w:name="manterPage%25252525252525252525252525252"/>
      <w:bookmarkStart w:id="16" w:name="manterPage%25252525252525252525252525252"/>
      <w:bookmarkEnd w:id="15"/>
      <w:bookmarkEnd w:id="16"/>
      <w:r>
        <w:rPr>
          <w:rFonts w:ascii="Carlito" w:hAnsi="Carlito"/>
          <w:i w:val="false"/>
          <w:iCs w:val="false"/>
          <w:color w:val="000000"/>
          <w:sz w:val="24"/>
          <w:szCs w:val="24"/>
        </w:rPr>
        <w:t>228653</w:t>
      </w:r>
      <w:r>
        <w:rPr>
          <w:rFonts w:eastAsia="Arial" w:cs="Arial" w:ascii="Carlito" w:hAnsi="Carlito"/>
          <w:i w:val="false"/>
          <w:iCs w:val="false"/>
          <w:color w:val="000000"/>
          <w:sz w:val="24"/>
          <w:szCs w:val="24"/>
        </w:rPr>
        <w:t>;</w:t>
      </w:r>
    </w:p>
    <w:p>
      <w:pPr>
        <w:pStyle w:val="ListParagraph"/>
        <w:widowControl/>
        <w:numPr>
          <w:ilvl w:val="2"/>
          <w:numId w:val="2"/>
        </w:numPr>
        <w:suppressAutoHyphens w:val="true"/>
        <w:bidi w:val="0"/>
        <w:spacing w:lineRule="auto" w:line="276" w:before="120" w:after="120"/>
        <w:ind w:left="0" w:right="0" w:firstLine="1134"/>
        <w:contextualSpacing/>
        <w:jc w:val="both"/>
        <w:rPr/>
      </w:pPr>
      <w:r>
        <w:rPr>
          <w:rFonts w:eastAsia="Arial" w:cs="Arial" w:ascii="Carlito" w:hAnsi="Carlito"/>
          <w:i w:val="false"/>
          <w:iCs w:val="false"/>
          <w:color w:val="000000"/>
          <w:sz w:val="24"/>
          <w:szCs w:val="24"/>
        </w:rPr>
        <w:t>Elemento de Despesa: 339039; e</w:t>
      </w:r>
    </w:p>
    <w:p>
      <w:pPr>
        <w:pStyle w:val="ListParagraph"/>
        <w:widowControl/>
        <w:numPr>
          <w:ilvl w:val="2"/>
          <w:numId w:val="2"/>
        </w:numPr>
        <w:shd w:val="clear" w:fill="FFFFFF"/>
        <w:suppressAutoHyphens w:val="true"/>
        <w:bidi w:val="0"/>
        <w:spacing w:lineRule="auto" w:line="276" w:before="120" w:after="120"/>
        <w:ind w:left="0" w:right="0" w:firstLine="1134"/>
        <w:contextualSpacing/>
        <w:jc w:val="both"/>
        <w:rPr>
          <w:color w:val="000000"/>
        </w:rPr>
      </w:pPr>
      <w:r>
        <w:rPr>
          <w:rFonts w:eastAsia="Arial" w:cs="Arial" w:ascii="Carlito" w:hAnsi="Carlito"/>
          <w:i/>
          <w:iCs/>
          <w:color w:val="000000"/>
          <w:sz w:val="24"/>
          <w:szCs w:val="24"/>
        </w:rPr>
        <w:t xml:space="preserve">Plano Interno: </w:t>
      </w:r>
      <w:r>
        <w:rPr>
          <w:rFonts w:eastAsia="Times New Roman" w:cs="Times New Roman" w:ascii="Carlito" w:hAnsi="Carlito"/>
          <w:i/>
          <w:iCs/>
          <w:color w:val="000000"/>
          <w:kern w:val="0"/>
          <w:sz w:val="24"/>
          <w:szCs w:val="24"/>
          <w:lang w:val="pt-BR" w:eastAsia="pt-BR" w:bidi="ar-SA"/>
        </w:rPr>
        <w:t>G471FC</w:t>
      </w:r>
    </w:p>
    <w:p>
      <w:pPr>
        <w:pStyle w:val="Nvel2Opcional1"/>
        <w:widowControl/>
        <w:numPr>
          <w:ilvl w:val="0"/>
          <w:numId w:val="0"/>
        </w:numPr>
        <w:shd w:val="clear" w:fill="FFFFFF"/>
        <w:tabs>
          <w:tab w:val="left" w:pos="630" w:leader="none"/>
          <w:tab w:val="left" w:pos="735" w:leader="none"/>
        </w:tabs>
        <w:suppressAutoHyphens w:val="true"/>
        <w:overflowPunct w:val="true"/>
        <w:bidi w:val="0"/>
        <w:spacing w:lineRule="auto" w:line="276" w:before="63" w:after="63"/>
        <w:ind w:left="0" w:right="0" w:hanging="0"/>
        <w:jc w:val="both"/>
        <w:rPr>
          <w:rFonts w:ascii="Carlito" w:hAnsi="Carlito"/>
          <w:color w:val="000000"/>
          <w:sz w:val="24"/>
          <w:szCs w:val="24"/>
        </w:rPr>
      </w:pPr>
      <w:r>
        <w:rPr>
          <w:rFonts w:ascii="Carlito" w:hAnsi="Carlito"/>
          <w:color w:val="000000"/>
          <w:sz w:val="24"/>
          <w:szCs w:val="24"/>
        </w:rPr>
        <w:t xml:space="preserve"> </w:t>
      </w:r>
      <w:r>
        <w:rPr>
          <w:rFonts w:ascii="Carlito" w:hAnsi="Carlito"/>
          <w:color w:val="000000"/>
          <w:sz w:val="24"/>
          <w:szCs w:val="24"/>
        </w:rPr>
        <w:tab/>
      </w:r>
      <w:r>
        <w:rPr>
          <w:rFonts w:ascii="Carlito" w:hAnsi="Carlito"/>
          <w:b/>
          <w:bCs/>
          <w:color w:val="000000"/>
          <w:sz w:val="24"/>
          <w:szCs w:val="24"/>
        </w:rPr>
        <w:t>11.3.</w:t>
      </w:r>
      <w:r>
        <w:rPr>
          <w:rFonts w:ascii="Carlito" w:hAnsi="Carlito"/>
          <w:color w:val="000000"/>
          <w:sz w:val="24"/>
          <w:szCs w:val="24"/>
        </w:rPr>
        <w:t xml:space="preserve">  A dotação relativa aos exercícios financeiros subsequentes será indicada após aprovação da Lei Orçamentária respectiva e liberação dos créditos correspondentes, mediante apostilamento.</w:t>
      </w:r>
    </w:p>
    <w:p>
      <w:pPr>
        <w:pStyle w:val="Nvel2Opcional1"/>
        <w:numPr>
          <w:ilvl w:val="0"/>
          <w:numId w:val="0"/>
        </w:numPr>
        <w:shd w:val="clear" w:fill="FFFFFF"/>
        <w:ind w:left="1913" w:right="0" w:hanging="0"/>
        <w:jc w:val="both"/>
        <w:rPr>
          <w:rFonts w:ascii="Carlito" w:hAnsi="Carlito"/>
          <w:sz w:val="24"/>
          <w:szCs w:val="24"/>
          <w:highlight w:val="cyan"/>
        </w:rPr>
      </w:pPr>
      <w:r>
        <w:rPr>
          <w:rFonts w:ascii="Carlito" w:hAnsi="Carlito"/>
          <w:sz w:val="24"/>
          <w:szCs w:val="24"/>
          <w:highlight w:val="cyan"/>
        </w:rPr>
      </w:r>
    </w:p>
    <w:p>
      <w:pPr>
        <w:pStyle w:val="Nivel01"/>
        <w:widowControl/>
        <w:numPr>
          <w:ilvl w:val="0"/>
          <w:numId w:val="2"/>
        </w:numPr>
        <w:shd w:val="clear" w:fill="FFFFFF"/>
        <w:bidi w:val="0"/>
        <w:spacing w:lineRule="auto" w:line="276"/>
        <w:ind w:left="360" w:right="0" w:hanging="0"/>
        <w:jc w:val="both"/>
        <w:rPr>
          <w:rFonts w:ascii="Carlito" w:hAnsi="Carlito"/>
          <w:sz w:val="24"/>
          <w:szCs w:val="24"/>
        </w:rPr>
      </w:pPr>
      <w:r>
        <w:rPr>
          <w:rFonts w:ascii="Carlito" w:hAnsi="Carlito"/>
          <w:sz w:val="24"/>
          <w:szCs w:val="24"/>
        </w:rPr>
        <w:t>DISPOSIÇÕES FINAIS</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As informações contidas neste Termo de Referência não são classificadas como sigilosas [exceto o custo estimado da contratação, que possui caráter sigiloso até o julgamento das propostas].</w:t>
      </w:r>
    </w:p>
    <w:p>
      <w:pPr>
        <w:pStyle w:val="Nvel02"/>
        <w:numPr>
          <w:ilvl w:val="0"/>
          <w:numId w:val="0"/>
        </w:numPr>
        <w:shd w:val="clear" w:fill="FFFFFF"/>
        <w:ind w:left="1913" w:right="0" w:hanging="0"/>
        <w:jc w:val="both"/>
        <w:rPr>
          <w:rFonts w:ascii="Carlito" w:hAnsi="Carlito"/>
          <w:sz w:val="24"/>
          <w:szCs w:val="24"/>
        </w:rPr>
      </w:pPr>
      <w:r>
        <w:rPr>
          <w:rFonts w:ascii="Carlito" w:hAnsi="Carlito"/>
          <w:sz w:val="24"/>
          <w:szCs w:val="24"/>
        </w:rPr>
      </w:r>
    </w:p>
    <w:p>
      <w:pPr>
        <w:pStyle w:val="Normal"/>
        <w:ind w:left="709" w:right="0" w:hanging="0"/>
        <w:jc w:val="both"/>
        <w:rPr/>
      </w:pPr>
      <w:r>
        <w:rPr>
          <w:rFonts w:ascii="Carlito" w:hAnsi="Carlito"/>
          <w:b w:val="false"/>
          <w:bCs w:val="false"/>
          <w:i w:val="false"/>
          <w:iCs w:val="false"/>
          <w:sz w:val="24"/>
          <w:szCs w:val="24"/>
        </w:rPr>
        <w:t xml:space="preserve">Rio de Janeiro, RJ, em         </w:t>
      </w:r>
      <w:r>
        <w:rPr>
          <w:rStyle w:val="Fontepargpadro"/>
          <w:rFonts w:ascii="Carlito" w:hAnsi="Carlito"/>
          <w:b w:val="false"/>
          <w:bCs w:val="false"/>
          <w:i w:val="false"/>
          <w:iCs w:val="false"/>
          <w:sz w:val="24"/>
          <w:szCs w:val="24"/>
        </w:rPr>
        <w:t>de abril de 2026.</w:t>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 xml:space="preserve">  </w:t>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spacing w:before="0" w:after="0"/>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______________________________________________</w:t>
      </w:r>
    </w:p>
    <w:p>
      <w:pPr>
        <w:pStyle w:val="Normal"/>
        <w:spacing w:before="0" w:after="0"/>
        <w:ind w:left="357" w:right="0" w:hanging="0"/>
        <w:jc w:val="center"/>
        <w:rPr>
          <w:rFonts w:ascii="Carlito" w:hAnsi="Carlito"/>
          <w:sz w:val="24"/>
          <w:szCs w:val="24"/>
        </w:rPr>
      </w:pPr>
      <w:r>
        <w:rPr>
          <w:rFonts w:eastAsia="Arial" w:cs="Arial" w:ascii="Carlito" w:hAnsi="Carlito"/>
          <w:i w:val="false"/>
          <w:iCs w:val="false"/>
          <w:sz w:val="24"/>
          <w:szCs w:val="24"/>
        </w:rPr>
        <w:br/>
      </w:r>
      <w:r>
        <w:rPr>
          <w:rFonts w:eastAsia="Times New Roman" w:cs="Times New Roman" w:ascii="Calibri" w:hAnsi="Calibri"/>
          <w:b w:val="false"/>
          <w:bCs w:val="false"/>
          <w:i w:val="false"/>
          <w:iCs/>
          <w:color w:val="000000"/>
          <w:kern w:val="2"/>
          <w:sz w:val="24"/>
          <w:szCs w:val="24"/>
          <w:shd w:fill="FFFFFF" w:val="clear"/>
          <w:lang w:val="pt-BR" w:eastAsia="zh-CN" w:bidi="ar-SA"/>
        </w:rPr>
        <w:t>SABRINA RODRIGUES PACHECO</w:t>
      </w:r>
    </w:p>
    <w:p>
      <w:pPr>
        <w:pStyle w:val="Normal"/>
        <w:widowControl/>
        <w:suppressAutoHyphens w:val="true"/>
        <w:overflowPunct w:val="false"/>
        <w:bidi w:val="0"/>
        <w:ind w:left="0" w:right="0" w:hanging="0"/>
        <w:jc w:val="center"/>
        <w:rPr>
          <w:rFonts w:ascii="Calibri" w:hAnsi="Calibri" w:eastAsia="Times New Roman" w:cs="Times New Roman"/>
          <w:b w:val="false"/>
          <w:b w:val="false"/>
          <w:bCs w:val="false"/>
          <w:iCs/>
          <w:color w:val="auto"/>
          <w:kern w:val="2"/>
          <w:sz w:val="24"/>
          <w:szCs w:val="24"/>
          <w:shd w:fill="FFFFFF" w:val="clear"/>
          <w:lang w:val="pt-BR" w:eastAsia="zh-CN" w:bidi="ar-SA"/>
        </w:rPr>
      </w:pPr>
      <w:r>
        <w:rPr>
          <w:rFonts w:eastAsia="Times New Roman" w:cs="Times New Roman" w:ascii="Calibri" w:hAnsi="Calibri"/>
          <w:b w:val="false"/>
          <w:bCs w:val="false"/>
          <w:iCs/>
          <w:color w:val="000000"/>
          <w:kern w:val="2"/>
          <w:sz w:val="24"/>
          <w:szCs w:val="24"/>
          <w:shd w:fill="FFFFFF" w:val="clear"/>
          <w:lang w:val="pt-BR" w:eastAsia="zh-CN" w:bidi="ar-SA"/>
        </w:rPr>
        <w:t>Guarda-Marinha (RM2-T)</w:t>
      </w:r>
    </w:p>
    <w:p>
      <w:pPr>
        <w:pStyle w:val="Normal"/>
        <w:spacing w:before="0" w:after="0"/>
        <w:ind w:left="357" w:right="0" w:hanging="0"/>
        <w:jc w:val="center"/>
        <w:rPr>
          <w:rFonts w:ascii="Carlito" w:hAnsi="Carlito"/>
          <w:sz w:val="24"/>
          <w:szCs w:val="24"/>
        </w:rPr>
      </w:pPr>
      <w:r>
        <w:rPr>
          <w:rStyle w:val="Fontepargpadro"/>
          <w:rFonts w:eastAsia="Times New Roman" w:cs="Times New Roman" w:ascii="Calibri" w:hAnsi="Calibri"/>
          <w:b w:val="false"/>
          <w:bCs w:val="false"/>
          <w:i w:val="false"/>
          <w:iCs/>
          <w:color w:val="000000"/>
          <w:kern w:val="2"/>
          <w:sz w:val="24"/>
          <w:szCs w:val="24"/>
          <w:highlight w:val="white"/>
          <w:u w:val="none"/>
          <w:shd w:fill="FFFFFF" w:val="clear"/>
          <w:lang w:val="pt-BR" w:eastAsia="zh-CN" w:bidi="ar-SA"/>
        </w:rPr>
        <w:t>Encarregada da Seção de Municiamento</w:t>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709" w:right="0" w:hanging="0"/>
        <w:jc w:val="both"/>
        <w:rPr>
          <w:rStyle w:val="Fontepargpadro"/>
          <w:rFonts w:ascii="Carlito" w:hAnsi="Carlito"/>
          <w:sz w:val="24"/>
          <w:szCs w:val="24"/>
        </w:rPr>
      </w:pPr>
      <w:r>
        <w:rPr>
          <w:rStyle w:val="Fontepargpadro"/>
          <w:rFonts w:ascii="Carlito" w:hAnsi="Carlito"/>
          <w:b w:val="false"/>
          <w:bCs w:val="false"/>
          <w:i w:val="false"/>
          <w:iCs w:val="false"/>
          <w:sz w:val="24"/>
          <w:szCs w:val="24"/>
        </w:rPr>
        <w:t>Rio de Janeiro, RJ, em       de abril de 2026.</w:t>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pacing w:before="0" w:after="0"/>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______________________________________________</w:t>
      </w:r>
    </w:p>
    <w:p>
      <w:pPr>
        <w:pStyle w:val="Normal"/>
        <w:spacing w:before="0" w:after="0"/>
        <w:ind w:left="357" w:right="0" w:hanging="0"/>
        <w:jc w:val="center"/>
        <w:rPr/>
      </w:pPr>
      <w:r>
        <w:rPr>
          <w:rFonts w:eastAsia="Arial" w:cs="Arial" w:ascii="Carlito" w:hAnsi="Carlito"/>
          <w:i w:val="false"/>
          <w:iCs w:val="false"/>
          <w:sz w:val="24"/>
          <w:szCs w:val="24"/>
        </w:rPr>
        <w:br/>
      </w:r>
      <w:r>
        <w:rPr>
          <w:rFonts w:eastAsia="Times New Roman" w:cs="Times New Roman" w:ascii="Calibri" w:hAnsi="Calibri"/>
          <w:b w:val="false"/>
          <w:i w:val="false"/>
          <w:iCs w:val="false"/>
          <w:color w:val="auto"/>
          <w:kern w:val="2"/>
          <w:sz w:val="24"/>
          <w:szCs w:val="24"/>
          <w:lang w:val="pt-BR" w:eastAsia="zh-CN" w:bidi="ar-SA"/>
        </w:rPr>
        <w:t>HÉLIO CANCIAN NETO</w:t>
      </w:r>
    </w:p>
    <w:p>
      <w:pPr>
        <w:pStyle w:val="Normal"/>
        <w:widowControl/>
        <w:suppressAutoHyphens w:val="true"/>
        <w:overflowPunct w:val="false"/>
        <w:bidi w:val="0"/>
        <w:ind w:left="0" w:right="0" w:hanging="0"/>
        <w:jc w:val="center"/>
        <w:rPr>
          <w:rFonts w:ascii="Calibri" w:hAnsi="Calibri" w:eastAsia="Times New Roman" w:cs="Times New Roman"/>
          <w:b w:val="false"/>
          <w:b w:val="false"/>
          <w:color w:val="auto"/>
          <w:kern w:val="2"/>
          <w:sz w:val="24"/>
          <w:szCs w:val="24"/>
          <w:lang w:val="pt-BR" w:eastAsia="zh-CN" w:bidi="ar-SA"/>
        </w:rPr>
      </w:pPr>
      <w:r>
        <w:rPr>
          <w:rFonts w:eastAsia="Times New Roman" w:cs="Times New Roman" w:ascii="Calibri" w:hAnsi="Calibri"/>
          <w:b w:val="false"/>
          <w:color w:val="auto"/>
          <w:kern w:val="2"/>
          <w:sz w:val="24"/>
          <w:szCs w:val="24"/>
          <w:lang w:val="pt-BR" w:eastAsia="zh-CN" w:bidi="ar-SA"/>
        </w:rPr>
        <w:t xml:space="preserve"> </w:t>
      </w:r>
      <w:r>
        <w:rPr>
          <w:rFonts w:eastAsia="Times New Roman" w:cs="Times New Roman" w:ascii="Calibri" w:hAnsi="Calibri"/>
          <w:b w:val="false"/>
          <w:color w:val="auto"/>
          <w:kern w:val="2"/>
          <w:sz w:val="24"/>
          <w:szCs w:val="24"/>
          <w:lang w:val="pt-BR" w:eastAsia="zh-CN" w:bidi="ar-SA"/>
        </w:rPr>
        <w:t xml:space="preserve">Capitão de Fragata </w:t>
      </w:r>
    </w:p>
    <w:p>
      <w:pPr>
        <w:pStyle w:val="Normal"/>
        <w:spacing w:before="0" w:after="0"/>
        <w:ind w:left="357" w:right="0" w:hanging="0"/>
        <w:jc w:val="center"/>
        <w:rPr/>
      </w:pPr>
      <w:r>
        <w:rPr>
          <w:rStyle w:val="Fontepargpadro"/>
          <w:rFonts w:eastAsia="Times New Roman" w:cs="Times New Roman" w:ascii="Calibri" w:hAnsi="Calibri"/>
          <w:b w:val="false"/>
          <w:bCs w:val="false"/>
          <w:i w:val="false"/>
          <w:iCs w:val="false"/>
          <w:color w:val="auto"/>
          <w:kern w:val="2"/>
          <w:sz w:val="24"/>
          <w:szCs w:val="24"/>
          <w:lang w:val="pt-BR" w:eastAsia="zh-CN" w:bidi="ar-SA"/>
        </w:rPr>
        <w:t>Ordenador de Despesas</w:t>
      </w:r>
    </w:p>
    <w:sectPr>
      <w:headerReference w:type="default" r:id="rId7"/>
      <w:footerReference w:type="default" r:id="rId8"/>
      <w:type w:val="nextPage"/>
      <w:pgSz w:w="11906" w:h="16838"/>
      <w:pgMar w:left="1134" w:right="1127"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Courier New">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Carlito">
    <w:altName w:val="Calibri"/>
    <w:charset w:val="01"/>
    <w:family w:val="roman"/>
    <w:pitch w:val="variable"/>
  </w:font>
  <w:font w:name="CaLIBRI">
    <w:charset w:val="01"/>
    <w:family w:val="roman"/>
    <w:pitch w:val="variable"/>
  </w:font>
  <w:font w:name="CALIBRI">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color w:val="548DD4"/>
        <w:spacing w:val="60"/>
        <w:sz w:val="22"/>
        <w:szCs w:val="22"/>
      </w:rPr>
    </w:pPr>
    <w:r>
      <w:rPr>
        <w:color w:val="548DD4"/>
        <w:spacing w:val="60"/>
        <w:sz w:val="22"/>
        <w:szCs w:val="22"/>
      </w:rPr>
      <w:tab/>
      <w:tab/>
    </w:r>
  </w:p>
  <w:p>
    <w:pPr>
      <w:pStyle w:val="Rodap"/>
      <w:rPr/>
    </w:pPr>
    <w:r>
      <w:rPr>
        <w:color w:val="7F7F7F"/>
        <w:spacing w:val="60"/>
        <w:sz w:val="22"/>
        <w:szCs w:val="22"/>
      </w:rPr>
      <w:tab/>
      <w:tab/>
    </w:r>
    <w:r>
      <w:rPr>
        <w:rFonts w:cs="Arial" w:ascii="Arial" w:hAnsi="Arial"/>
        <w:color w:val="595959"/>
        <w:spacing w:val="60"/>
        <w:sz w:val="18"/>
        <w:szCs w:val="18"/>
      </w:rPr>
      <w:t>Página</w:t>
    </w:r>
    <w:r>
      <w:rPr>
        <w:rFonts w:cs="Arial" w:ascii="Arial" w:hAnsi="Arial"/>
        <w:color w:val="595959"/>
        <w:sz w:val="18"/>
        <w:szCs w:val="18"/>
      </w:rPr>
      <w:t xml:space="preserve"> </w:t>
    </w:r>
    <w:r>
      <w:rPr>
        <w:rFonts w:cs="Arial" w:ascii="Arial" w:hAnsi="Arial"/>
        <w:sz w:val="18"/>
        <w:szCs w:val="18"/>
      </w:rPr>
      <w:fldChar w:fldCharType="begin"/>
    </w:r>
    <w:r>
      <w:rPr>
        <w:sz w:val="18"/>
        <w:szCs w:val="18"/>
        <w:rFonts w:cs="Arial" w:ascii="Arial" w:hAnsi="Arial"/>
      </w:rPr>
      <w:instrText xml:space="preserve"> PAGE </w:instrText>
    </w:r>
    <w:r>
      <w:rPr>
        <w:sz w:val="18"/>
        <w:szCs w:val="18"/>
        <w:rFonts w:cs="Arial" w:ascii="Arial" w:hAnsi="Arial"/>
      </w:rPr>
      <w:fldChar w:fldCharType="separate"/>
    </w:r>
    <w:r>
      <w:rPr>
        <w:sz w:val="18"/>
        <w:szCs w:val="18"/>
        <w:rFonts w:cs="Arial" w:ascii="Arial" w:hAnsi="Arial"/>
      </w:rPr>
      <w:t>18</w:t>
    </w:r>
    <w:r>
      <w:rPr>
        <w:sz w:val="18"/>
        <w:szCs w:val="18"/>
        <w:rFonts w:cs="Arial" w:ascii="Arial" w:hAnsi="Arial"/>
      </w:rPr>
      <w:fldChar w:fldCharType="end"/>
    </w:r>
    <w:r>
      <w:rPr>
        <w:rFonts w:cs="Arial" w:ascii="Arial" w:hAnsi="Arial"/>
        <w:color w:val="595959"/>
        <w:sz w:val="18"/>
        <w:szCs w:val="18"/>
      </w:rPr>
      <w:t xml:space="preserve"> | </w:t>
    </w:r>
    <w:r>
      <w:rPr>
        <w:rFonts w:cs="Arial" w:ascii="Arial" w:hAnsi="Arial"/>
        <w:sz w:val="18"/>
        <w:szCs w:val="18"/>
      </w:rPr>
      <w:fldChar w:fldCharType="begin"/>
    </w:r>
    <w:r>
      <w:rPr>
        <w:sz w:val="18"/>
        <w:szCs w:val="18"/>
        <w:rFonts w:cs="Arial" w:ascii="Arial" w:hAnsi="Arial"/>
      </w:rPr>
      <w:instrText xml:space="preserve"> NUMPAGES </w:instrText>
    </w:r>
    <w:r>
      <w:rPr>
        <w:sz w:val="18"/>
        <w:szCs w:val="18"/>
        <w:rFonts w:cs="Arial" w:ascii="Arial" w:hAnsi="Arial"/>
      </w:rPr>
      <w:fldChar w:fldCharType="separate"/>
    </w:r>
    <w:r>
      <w:rPr>
        <w:sz w:val="18"/>
        <w:szCs w:val="18"/>
        <w:rFonts w:cs="Arial" w:ascii="Arial" w:hAnsi="Arial"/>
      </w:rPr>
      <w:t>18</w:t>
    </w:r>
    <w:r>
      <w:rPr>
        <w:sz w:val="18"/>
        <w:szCs w:val="18"/>
        <w:rFonts w:cs="Arial" w:ascii="Arial" w:hAnsi="Arial"/>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Modelo de Termo de Referência para Obras e Serviços, exceto TIC – Licitação e Contratação Direta - Lei nº 14.133, de 2021</w:t>
    </w:r>
  </w:p>
  <w:p>
    <w:pPr>
      <w:pStyle w:val="Rodap"/>
      <w:rPr>
        <w:rFonts w:ascii="Arial" w:hAnsi="Arial" w:cs="Arial"/>
        <w:sz w:val="14"/>
        <w:szCs w:val="14"/>
      </w:rPr>
    </w:pPr>
    <w:r>
      <w:rPr>
        <w:rFonts w:cs="Arial" w:ascii="Arial" w:hAnsi="Arial"/>
        <w:sz w:val="14"/>
        <w:szCs w:val="14"/>
      </w:rPr>
      <w:t>Aprovado pela Secretaria de Gestão e Inovação</w:t>
    </w:r>
  </w:p>
  <w:p>
    <w:pPr>
      <w:pStyle w:val="Rodap"/>
      <w:rPr>
        <w:rFonts w:ascii="Arial" w:hAnsi="Arial" w:cs="Arial"/>
        <w:sz w:val="14"/>
        <w:szCs w:val="14"/>
      </w:rPr>
    </w:pPr>
    <w:r>
      <w:rPr>
        <w:rFonts w:cs="Arial" w:ascii="Arial" w:hAnsi="Arial"/>
        <w:sz w:val="14"/>
        <w:szCs w:val="14"/>
      </w:rPr>
      <w:t>Identidade visual pela Secretaria de Gestão e Inovação</w:t>
    </w:r>
  </w:p>
  <w:p>
    <w:pPr>
      <w:pStyle w:val="Rodap"/>
      <w:rPr>
        <w:rFonts w:ascii="Arial" w:hAnsi="Arial" w:cs="Arial"/>
        <w:sz w:val="14"/>
        <w:szCs w:val="14"/>
      </w:rPr>
    </w:pPr>
    <w:r>
      <w:rPr>
        <w:rFonts w:cs="Arial" w:ascii="Arial" w:hAnsi="Arial"/>
        <w:sz w:val="14"/>
        <w:szCs w:val="14"/>
      </w:rPr>
      <w:t>Atualização: ABR/2025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b/>
      </w:rPr>
    </w:lvl>
    <w:lvl w:ilvl="1">
      <w:start w:val="1"/>
      <w:pStyle w:val="Ttulo2"/>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720"/>
        </w:tabs>
        <w:ind w:left="720" w:hanging="360"/>
      </w:pPr>
      <w:rPr/>
    </w:lvl>
    <w:lvl w:ilvl="1">
      <w:start w:val="1"/>
      <w:numFmt w:val="decimal"/>
      <w:lvlText w:val="%1.%2."/>
      <w:lvlJc w:val="left"/>
      <w:pPr>
        <w:tabs>
          <w:tab w:val="num" w:pos="1080"/>
        </w:tabs>
        <w:ind w:left="1080" w:hanging="360"/>
      </w:pPr>
      <w:rPr>
        <w:sz w:val="24"/>
        <w:b w:val="false"/>
        <w:szCs w:val="24"/>
        <w:rFonts w:ascii="Carlito" w:hAnsi="Carlito"/>
      </w:rPr>
    </w:lvl>
    <w:lvl w:ilvl="2">
      <w:start w:val="1"/>
      <w:numFmt w:val="lowerLetter"/>
      <w:lvlText w:val="%2.%3"/>
      <w:lvlJc w:val="left"/>
      <w:pPr>
        <w:tabs>
          <w:tab w:val="num" w:pos="1440"/>
        </w:tabs>
        <w:ind w:left="1440" w:hanging="360"/>
      </w:pPr>
      <w:rPr/>
    </w:lvl>
    <w:lvl w:ilvl="3">
      <w:start w:val="1"/>
      <w:numFmt w:val="bullet"/>
      <w:lvlText w:val=""/>
      <w:lvlJc w:val="left"/>
      <w:pPr>
        <w:tabs>
          <w:tab w:val="num" w:pos="1800"/>
        </w:tabs>
        <w:ind w:left="1800" w:hanging="360"/>
      </w:pPr>
      <w:rPr>
        <w:rFonts w:ascii="Symbol" w:hAnsi="Symbol" w:cs="Symbol" w:hint="default"/>
        <w:sz w:val="24"/>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80"/>
  <w:mirrorMargin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Ttulo1">
    <w:name w:val="Heading 1"/>
    <w:basedOn w:val="Normal"/>
    <w:next w:val="Normal"/>
    <w:qFormat/>
    <w:pPr>
      <w:keepNext w:val="true"/>
      <w:keepLines/>
      <w:numPr>
        <w:ilvl w:val="0"/>
        <w:numId w:val="1"/>
      </w:numPr>
      <w:spacing w:before="480" w:after="0"/>
      <w:outlineLvl w:val="0"/>
    </w:pPr>
    <w:rPr>
      <w:rFonts w:ascii="Arial" w:hAnsi="Arial" w:eastAsia="ＭＳ ゴシック" w:cs="Times New Roman"/>
      <w:b/>
      <w:bCs/>
      <w:sz w:val="20"/>
      <w:szCs w:val="28"/>
    </w:rPr>
  </w:style>
  <w:style w:type="paragraph" w:styleId="Ttulo2">
    <w:name w:val="Heading 2"/>
    <w:basedOn w:val="Normal"/>
    <w:next w:val="Normal"/>
    <w:qFormat/>
    <w:pPr>
      <w:keepNext w:val="true"/>
      <w:numPr>
        <w:ilvl w:val="1"/>
        <w:numId w:val="1"/>
      </w:numPr>
      <w:spacing w:lineRule="auto" w:line="276" w:before="120" w:after="120"/>
      <w:ind w:left="0" w:right="0" w:hanging="0"/>
      <w:jc w:val="both"/>
      <w:outlineLvl w:val="1"/>
    </w:pPr>
    <w:rPr>
      <w:rFonts w:ascii="Arial" w:hAnsi="Arial" w:cs="Times New Roman"/>
      <w:sz w:val="20"/>
      <w:szCs w:val="20"/>
    </w:rPr>
  </w:style>
  <w:style w:type="paragraph" w:styleId="Ttulo3">
    <w:name w:val="Heading 3"/>
    <w:basedOn w:val="Normal"/>
    <w:next w:val="Normal"/>
    <w:qFormat/>
    <w:pPr>
      <w:keepNext w:val="true"/>
      <w:keepLines/>
      <w:spacing w:lineRule="auto" w:line="259" w:before="40" w:after="0"/>
      <w:outlineLvl w:val="2"/>
    </w:pPr>
    <w:rPr>
      <w:rFonts w:ascii="Calibri" w:hAnsi="Calibri" w:eastAsia="ＭＳ ゴシック" w:cs="Times New Roman"/>
      <w:color w:val="243F60"/>
      <w:lang w:eastAsia="en-US"/>
    </w:rPr>
  </w:style>
  <w:style w:type="paragraph" w:styleId="Ttulo4">
    <w:name w:val="Heading 4"/>
    <w:basedOn w:val="Normal"/>
    <w:next w:val="Normal"/>
    <w:qFormat/>
    <w:pPr>
      <w:keepNext w:val="true"/>
      <w:keepLines/>
      <w:spacing w:before="40" w:after="0"/>
      <w:outlineLvl w:val="3"/>
    </w:pPr>
    <w:rPr>
      <w:rFonts w:ascii="Calibri" w:hAnsi="Calibri" w:eastAsia="ＭＳ ゴシック" w:cs="Times New Roman"/>
      <w:i/>
      <w:iCs/>
      <w:color w:val="365F91"/>
    </w:rPr>
  </w:style>
  <w:style w:type="paragraph" w:styleId="Ttulo6">
    <w:name w:val="Heading 6"/>
    <w:basedOn w:val="Normal"/>
    <w:next w:val="Normal"/>
    <w:qFormat/>
    <w:pPr>
      <w:keepNext w:val="true"/>
      <w:keepLines/>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rFonts w:ascii="Arial" w:hAnsi="Arial"/>
      <w:lang w:eastAsia="pt-BR"/>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LinkdaInternet">
    <w:name w:val="Link da Internet"/>
    <w:basedOn w:val="DefaultParagraphFont"/>
    <w:rPr>
      <w:color w:val="0000FF"/>
      <w:u w:val="single"/>
    </w:rPr>
  </w:style>
  <w:style w:type="character" w:styleId="CitaoChar">
    <w:name w:val="Citação Char"/>
    <w:qFormat/>
    <w:rPr>
      <w:rFonts w:ascii="Arial" w:hAnsi="Arial" w:eastAsia="Calibri" w:cs="Tahoma"/>
      <w:i/>
      <w:iCs/>
      <w:color w:val="000000"/>
      <w:szCs w:val="24"/>
    </w:rPr>
  </w:style>
  <w:style w:type="character" w:styleId="NotaexplicativaChar">
    <w:name w:val="Nota explicativa Char"/>
    <w:basedOn w:val="CitaoChar"/>
    <w:qFormat/>
    <w:rPr>
      <w:rFonts w:ascii="Arial" w:hAnsi="Arial" w:eastAsia="Calibri" w:cs="Tahoma"/>
      <w:i/>
      <w:iCs/>
      <w:color w:val="000000"/>
      <w:szCs w:val="24"/>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Ecofont_Spranq_eco_Sans" w:hAnsi="Ecofont_Spranq_eco_Sans" w:cs="Tahoma"/>
      <w:lang w:eastAsia="pt-BR"/>
    </w:rPr>
  </w:style>
  <w:style w:type="character" w:styleId="AssuntodocomentrioChar">
    <w:name w:val="Assunto do comentário Char"/>
    <w:basedOn w:val="TextodecomentrioChar"/>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ＭＳ ゴシック" w:cs="Times New Roman"/>
      <w:i/>
      <w:iCs/>
      <w:color w:val="365F91"/>
      <w:sz w:val="24"/>
      <w:szCs w:val="24"/>
      <w:lang w:eastAsia="pt-BR"/>
    </w:rPr>
  </w:style>
  <w:style w:type="character" w:styleId="TtuloChar">
    <w:name w:val="Título Char"/>
    <w:basedOn w:val="DefaultParagraphFont"/>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qFormat/>
    <w:rPr>
      <w:rFonts w:ascii="Arial" w:hAnsi="Arial" w:eastAsia="Arial" w:cs="Arial"/>
      <w:b/>
      <w:iCs/>
      <w:color w:val="17365D"/>
      <w:spacing w:val="5"/>
      <w:kern w:val="2"/>
      <w:sz w:val="52"/>
      <w:szCs w:val="52"/>
      <w:lang w:eastAsia="pt-BR"/>
    </w:rPr>
  </w:style>
  <w:style w:type="character" w:styleId="Ttulo1Char">
    <w:name w:val="Título 1 Char"/>
    <w:basedOn w:val="DefaultParagraphFont"/>
    <w:qFormat/>
    <w:rPr>
      <w:rFonts w:ascii="Arial" w:hAnsi="Arial" w:eastAsia="ＭＳ ゴシック" w:cs="Times New Roman"/>
      <w:b/>
      <w:bCs/>
      <w:szCs w:val="28"/>
      <w:lang w:eastAsia="pt-BR"/>
    </w:rPr>
  </w:style>
  <w:style w:type="character" w:styleId="Nivel01TituloChar">
    <w:name w:val="Nivel_01_Titulo Char"/>
    <w:basedOn w:val="Nivel01Char"/>
    <w:qFormat/>
    <w:rPr>
      <w:rFonts w:ascii="Arial" w:hAnsi="Arial" w:eastAsia="ＭＳ ゴシック" w:cs="Times New Roman"/>
      <w:b/>
      <w:bCs w:val="false"/>
      <w:iCs/>
      <w:vanish w:val="false"/>
      <w:color w:val="000000"/>
      <w:spacing w:val="5"/>
      <w:kern w:val="2"/>
      <w:sz w:val="52"/>
      <w:szCs w:val="52"/>
      <w:lang w:eastAsia="pt-BR"/>
    </w:rPr>
  </w:style>
  <w:style w:type="character" w:styleId="QuoteChar">
    <w:name w:val="Quote Char"/>
    <w:basedOn w:val="DefaultParagraphFont"/>
    <w:qFormat/>
    <w:rPr>
      <w:rFonts w:ascii="Ecofont_Spranq_eco_Sans" w:hAnsi="Ecofont_Spranq_eco_Sans" w:eastAsia="Calibri" w:cs="Tahoma"/>
      <w:i/>
      <w:iCs/>
      <w:color w:val="000000"/>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qFormat/>
    <w:rPr>
      <w:rFonts w:ascii="Arial" w:hAnsi="Arial" w:eastAsia="ＭＳ ゴシック" w:cs="Arial"/>
      <w:b/>
      <w:bCs w:val="false"/>
      <w:color w:val="000000"/>
      <w:szCs w:val="28"/>
      <w:lang w:eastAsia="pt-BR"/>
    </w:rPr>
  </w:style>
  <w:style w:type="character" w:styleId="Nivel4Char">
    <w:name w:val="Nivel 4 Char"/>
    <w:basedOn w:val="DefaultParagraphFont"/>
    <w:qFormat/>
    <w:rPr>
      <w:rFonts w:ascii="Arial" w:hAnsi="Arial" w:cs="Arial"/>
      <w:bCs/>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qFormat/>
    <w:rPr>
      <w:rFonts w:ascii="Arial" w:hAnsi="Arial" w:eastAsia="Calibri"/>
      <w:i/>
      <w:iCs/>
      <w:color w:val="000000"/>
      <w:szCs w:val="24"/>
    </w:rPr>
  </w:style>
  <w:style w:type="character" w:styleId="Highlight">
    <w:name w:val="highlight"/>
    <w:basedOn w:val="DefaultParagraphFont"/>
    <w:qFormat/>
    <w:rPr/>
  </w:style>
  <w:style w:type="character" w:styleId="Linkdainternetvisitado">
    <w:name w:val="Link da internet visitado"/>
    <w:basedOn w:val="DefaultParagraphFont"/>
    <w:rPr>
      <w:color w:val="800080"/>
      <w:u w:val="single"/>
    </w:rPr>
  </w:style>
  <w:style w:type="character" w:styleId="MenoPendente1">
    <w:name w:val="Menção Pendente1"/>
    <w:basedOn w:val="DefaultParagraphFont"/>
    <w:qFormat/>
    <w:rPr>
      <w:color w:val="605E5C"/>
    </w:rPr>
  </w:style>
  <w:style w:type="character" w:styleId="MenoPendente2">
    <w:name w:val="Menção Pendente2"/>
    <w:basedOn w:val="DefaultParagraphFont"/>
    <w:qFormat/>
    <w:rPr>
      <w:color w:val="605E5C"/>
    </w:rPr>
  </w:style>
  <w:style w:type="character" w:styleId="Nivel2OpcionalChar">
    <w:name w:val="Nivel 2-Opcional Char"/>
    <w:basedOn w:val="DefaultParagraphFont"/>
    <w:qFormat/>
    <w:rPr>
      <w:rFonts w:ascii="Arial" w:hAnsi="Arial" w:eastAsia="Arial" w:cs="Arial"/>
      <w:i/>
      <w:color w:val="FF0000"/>
      <w:lang w:eastAsia="pt-BR"/>
    </w:rPr>
  </w:style>
  <w:style w:type="character" w:styleId="Nvel2OpcionalChar">
    <w:name w:val="Nível 2 Opcional Char"/>
    <w:basedOn w:val="DefaultParagraphFont"/>
    <w:qFormat/>
    <w:rPr>
      <w:rFonts w:ascii="Arial" w:hAnsi="Arial" w:eastAsia="Times New Roman" w:cs="Arial"/>
      <w:i/>
      <w:color w:val="FF0000"/>
      <w:lang w:eastAsia="pt-BR"/>
    </w:rPr>
  </w:style>
  <w:style w:type="character" w:styleId="Nvel3OpcionalChar">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ＭＳ ゴシック" w:cs="Times New Roman"/>
      <w:color w:val="243F60"/>
      <w:sz w:val="24"/>
      <w:szCs w:val="24"/>
    </w:rPr>
  </w:style>
  <w:style w:type="character" w:styleId="Ttulo6Char">
    <w:name w:val="Título 6 Char"/>
    <w:basedOn w:val="DefaultParagraphFont"/>
    <w:qFormat/>
    <w:rPr>
      <w:rFonts w:ascii="Calibri" w:hAnsi="Calibri" w:eastAsia="ＭＳ ゴシック" w:cs="Times New Roman"/>
      <w:color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rPr>
  </w:style>
  <w:style w:type="character" w:styleId="MenoPendente4">
    <w:name w:val="Menção Pendente4"/>
    <w:basedOn w:val="DefaultParagraphFont"/>
    <w:qFormat/>
    <w:rPr>
      <w:color w:val="605E5C"/>
    </w:rPr>
  </w:style>
  <w:style w:type="character" w:styleId="OuChar">
    <w:name w:val="ou Char"/>
    <w:basedOn w:val="PargrafodaListaChar"/>
    <w:qFormat/>
    <w:rPr>
      <w:rFonts w:ascii="Arial" w:hAnsi="Arial" w:eastAsia="Cambria" w:cs="Arial"/>
      <w:b/>
      <w:bCs/>
      <w:i/>
      <w:iCs/>
      <w:color w:val="FF0000"/>
      <w:sz w:val="24"/>
      <w:szCs w:val="24"/>
      <w:lang w:eastAsia="pt-BR"/>
    </w:rPr>
  </w:style>
  <w:style w:type="character" w:styleId="Nvel02Char">
    <w:name w:val="Nível 02 Char"/>
    <w:basedOn w:val="Nivel2OpcionalChar"/>
    <w:qFormat/>
    <w:rPr>
      <w:rFonts w:ascii="Arial" w:hAnsi="Arial" w:eastAsia="Arial" w:cs="Arial"/>
      <w:i w:val="false"/>
      <w:iCs/>
      <w:color w:val="FF0000"/>
      <w:lang w:eastAsia="pt-BR"/>
    </w:rPr>
  </w:style>
  <w:style w:type="character" w:styleId="Nivel3erroChar">
    <w:name w:val="Nivel 3-erro Char"/>
    <w:basedOn w:val="DefaultParagraphFont"/>
    <w:qFormat/>
    <w:rPr>
      <w:rFonts w:ascii="Arial" w:hAnsi="Arial" w:cs="Tahoma"/>
      <w:szCs w:val="24"/>
      <w:lang w:eastAsia="pt-BR"/>
    </w:rPr>
  </w:style>
  <w:style w:type="character" w:styleId="Nvel3RChar">
    <w:name w:val="Nível 3-R Char"/>
    <w:basedOn w:val="Nivel3erroChar"/>
    <w:qFormat/>
    <w:rPr>
      <w:rFonts w:ascii="Arial" w:hAnsi="Arial" w:cs="Arial"/>
      <w:i/>
      <w:iCs/>
      <w:color w:val="FF0000"/>
      <w:szCs w:val="24"/>
      <w:lang w:eastAsia="pt-BR"/>
    </w:rPr>
  </w:style>
  <w:style w:type="character" w:styleId="Nvel4RChar">
    <w:name w:val="Nível 4-R Char"/>
    <w:basedOn w:val="Nivel4Char"/>
    <w:qFormat/>
    <w:rPr>
      <w:rFonts w:ascii="Arial" w:hAnsi="Arial" w:cs="Arial"/>
      <w:bCs/>
      <w:i/>
      <w:color w:val="FF0000"/>
      <w:lang w:eastAsia="pt-BR"/>
    </w:rPr>
  </w:style>
  <w:style w:type="character" w:styleId="Nvel1SemNumChar">
    <w:name w:val="Nível 1-Sem Num Char"/>
    <w:basedOn w:val="Nivel01Char"/>
    <w:qFormat/>
    <w:rPr>
      <w:rFonts w:ascii="Arial" w:hAnsi="Arial" w:eastAsia="Arial" w:cs="Arial"/>
      <w:b/>
      <w:i/>
      <w:iCs w:val="false"/>
      <w:color w:val="FF0000"/>
      <w:spacing w:val="5"/>
      <w:kern w:val="2"/>
      <w:sz w:val="52"/>
      <w:szCs w:val="52"/>
      <w:lang w:eastAsia="pt-BR"/>
    </w:rPr>
  </w:style>
  <w:style w:type="character" w:styleId="PrembuloChar">
    <w:name w:val="Preâmbulo Char"/>
    <w:basedOn w:val="DefaultParagraphFont"/>
    <w:qFormat/>
    <w:rPr>
      <w:rFonts w:ascii="Arial" w:hAnsi="Arial" w:eastAsia="Arial" w:cs="Arial"/>
      <w:bCs/>
      <w:lang w:eastAsia="pt-BR"/>
    </w:rPr>
  </w:style>
  <w:style w:type="character" w:styleId="MenoPendente5">
    <w:name w:val="Menção Pendente5"/>
    <w:basedOn w:val="DefaultParagraphFont"/>
    <w:qFormat/>
    <w:rPr>
      <w:color w:val="605E5C"/>
    </w:rPr>
  </w:style>
  <w:style w:type="character" w:styleId="Citao2Char">
    <w:name w:val="citação 2 Char"/>
    <w:basedOn w:val="CitaoChar"/>
    <w:qFormat/>
    <w:rPr>
      <w:rFonts w:ascii="Arial" w:hAnsi="Arial" w:eastAsia="Calibri" w:cs="Tahoma"/>
      <w:i/>
      <w:iCs/>
      <w:color w:val="000000"/>
      <w:szCs w:val="24"/>
    </w:rPr>
  </w:style>
  <w:style w:type="character" w:styleId="Nvel1SemNumeraoChar">
    <w:name w:val="Nível 1-Sem Numeração Char"/>
    <w:basedOn w:val="Nvel1SemNumChar"/>
    <w:qFormat/>
    <w:rPr>
      <w:rFonts w:ascii="Arial" w:hAnsi="Arial" w:eastAsia="Arial" w:cs="Arial"/>
      <w:b/>
      <w:i w:val="false"/>
      <w:iCs w:val="false"/>
      <w:color w:val="FF0000"/>
      <w:spacing w:val="5"/>
      <w:kern w:val="2"/>
      <w:sz w:val="52"/>
      <w:szCs w:val="52"/>
      <w:lang w:eastAsia="pt-BR"/>
    </w:rPr>
  </w:style>
  <w:style w:type="character" w:styleId="MenoPendente6">
    <w:name w:val="Menção Pendente6"/>
    <w:basedOn w:val="DefaultParagraphFont"/>
    <w:qFormat/>
    <w:rPr>
      <w:color w:val="605E5C"/>
    </w:rPr>
  </w:style>
  <w:style w:type="character" w:styleId="AlteraesChar">
    <w:name w:val="Alterações Char"/>
    <w:basedOn w:val="Nvel02Char"/>
    <w:qFormat/>
    <w:rPr>
      <w:rFonts w:ascii="Arial" w:hAnsi="Arial" w:eastAsia="Arial" w:cs="Arial"/>
      <w:i w:val="false"/>
      <w:iCs/>
      <w:color w:val="0000FF"/>
      <w:lang w:eastAsia="pt-BR"/>
    </w:rPr>
  </w:style>
  <w:style w:type="character" w:styleId="Nivel3Char">
    <w:name w:val="Nivel 3 Char"/>
    <w:basedOn w:val="DefaultParagraphFont"/>
    <w:qFormat/>
    <w:rPr>
      <w:rFonts w:ascii="Arial" w:hAnsi="Arial" w:cs="Tahoma"/>
      <w:szCs w:val="24"/>
      <w:lang w:eastAsia="pt-BR"/>
    </w:rPr>
  </w:style>
  <w:style w:type="character" w:styleId="UnresolvedMention">
    <w:name w:val="Unresolved Mention"/>
    <w:basedOn w:val="DefaultParagraphFont"/>
    <w:qFormat/>
    <w:rPr>
      <w:color w:val="605E5C"/>
    </w:rPr>
  </w:style>
  <w:style w:type="character" w:styleId="Nvel2OpcionalChar1">
    <w:name w:val="Nível 2-Opcional Char"/>
    <w:basedOn w:val="Nvel02Char"/>
    <w:qFormat/>
    <w:rPr>
      <w:rFonts w:ascii="Arial" w:hAnsi="Arial" w:eastAsia="Arial" w:cs="Arial"/>
      <w:i/>
      <w:iCs/>
      <w:color w:val="FF0000"/>
      <w:lang w:eastAsia="pt-BR"/>
    </w:rPr>
  </w:style>
  <w:style w:type="character" w:styleId="Nvel3OpcionalChar1">
    <w:name w:val="Nível 3-Opcional Char"/>
    <w:basedOn w:val="Nivel3Char"/>
    <w:qFormat/>
    <w:rPr>
      <w:rFonts w:ascii="Arial" w:hAnsi="Arial" w:cs="Tahoma"/>
      <w:i/>
      <w:color w:val="FF0000"/>
      <w:szCs w:val="24"/>
      <w:lang w:eastAsia="pt-BR"/>
    </w:rPr>
  </w:style>
  <w:style w:type="character" w:styleId="Nvel1SemBlackChar">
    <w:name w:val="Nível 1-Sem Black Char"/>
    <w:basedOn w:val="DefaultParagraphFont"/>
    <w:qFormat/>
    <w:rPr>
      <w:rFonts w:ascii="Arial" w:hAnsi="Arial" w:eastAsia="ＭＳ ゴシック" w:cs="Arial"/>
      <w:b/>
      <w:bCs/>
      <w:lang w:eastAsia="pt-BR"/>
    </w:rPr>
  </w:style>
  <w:style w:type="character" w:styleId="Nivel2Char">
    <w:name w:val="Nivel 2 Char"/>
    <w:basedOn w:val="DefaultParagraphFont"/>
    <w:qFormat/>
    <w:rPr>
      <w:rFonts w:ascii="Arial" w:hAnsi="Arial" w:eastAsia="Arial" w:cs="Arial"/>
      <w:color w:val="000000"/>
      <w:lang w:eastAsia="pt-BR"/>
    </w:rPr>
  </w:style>
  <w:style w:type="character" w:styleId="Nfaseforte">
    <w:name w:val="Ênfase forte"/>
    <w:qFormat/>
    <w:rPr>
      <w:b/>
      <w:bCs/>
    </w:rPr>
  </w:style>
  <w:style w:type="character" w:styleId="Smbolosdenumerao">
    <w:name w:val="Símbolos de numeração"/>
    <w:qFormat/>
    <w:rPr>
      <w:sz w:val="24"/>
      <w:szCs w:val="24"/>
    </w:rPr>
  </w:style>
  <w:style w:type="character" w:styleId="Fontepargpadro">
    <w:name w:val="Fonte parág. padrão"/>
    <w:qFormat/>
    <w:rPr/>
  </w:style>
  <w:style w:type="character" w:styleId="Character20style">
    <w:name w:val="Character_20_style"/>
    <w:qFormat/>
    <w:rPr/>
  </w:style>
  <w:style w:type="character" w:styleId="Fontepargpadro1">
    <w:name w:val="Fonte parág. padrão1"/>
    <w:qFormat/>
    <w:rPr/>
  </w:style>
  <w:style w:type="character" w:styleId="WW8Num1z1">
    <w:name w:val="WW8Num1z1"/>
    <w:qFormat/>
    <w:rPr>
      <w:rFonts w:ascii="Courier New" w:hAnsi="Courier New" w:eastAsia="Courier New"/>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before="280" w:after="280"/>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Bullet5">
    <w:name w:val="List Bullet 5"/>
    <w:basedOn w:val="Normal"/>
    <w:qFormat/>
    <w:pPr>
      <w:spacing w:before="0" w:after="0"/>
      <w:contextualSpacing/>
    </w:pPr>
    <w:rPr/>
  </w:style>
  <w:style w:type="paragraph" w:styleId="Notaexplicativa">
    <w:name w:val="Nota explicativa"/>
    <w:basedOn w:val="Quote"/>
    <w:qFormat/>
    <w:pPr>
      <w:shd w:val="clear" w:fill="FFFFCC"/>
    </w:pPr>
    <w:rPr>
      <w:szCs w:val="20"/>
    </w:rPr>
  </w:style>
  <w:style w:type="paragraph" w:styleId="CabealhoeRodap">
    <w:name w:val="Cabeçalho e Rodapé"/>
    <w:basedOn w:val="Normal"/>
    <w:qFormat/>
    <w:pPr/>
    <w:rPr/>
  </w:style>
  <w:style w:type="paragraph" w:styleId="Cabealho">
    <w:name w:val="Header"/>
    <w:basedOn w:val="Normal"/>
    <w:pPr>
      <w:tabs>
        <w:tab w:val="clear" w:pos="709"/>
        <w:tab w:val="center" w:pos="4252" w:leader="none"/>
        <w:tab w:val="right" w:pos="8504" w:leader="none"/>
      </w:tabs>
    </w:pPr>
    <w:rPr/>
  </w:style>
  <w:style w:type="paragraph" w:styleId="Rodap">
    <w:name w:val="Footer"/>
    <w:basedOn w:val="Normal"/>
    <w:pPr>
      <w:tabs>
        <w:tab w:val="clear" w:pos="709"/>
        <w:tab w:val="center" w:pos="4252" w:leader="none"/>
        <w:tab w:val="right" w:pos="8504" w:leader="none"/>
      </w:tabs>
    </w:pPr>
    <w:rPr/>
  </w:style>
  <w:style w:type="paragraph" w:styleId="Annotationtext">
    <w:name w:val="annotation text"/>
    <w:basedOn w:val="Normal"/>
    <w:qFormat/>
    <w:pPr/>
    <w:rPr>
      <w:sz w:val="20"/>
      <w:szCs w:val="20"/>
    </w:rPr>
  </w:style>
  <w:style w:type="paragraph" w:styleId="Annotationsubject">
    <w:name w:val="annotation subject"/>
    <w:basedOn w:val="Annotationtext"/>
    <w:qFormat/>
    <w:pPr/>
    <w:rPr>
      <w:b/>
      <w:bCs/>
    </w:rPr>
  </w:style>
  <w:style w:type="paragraph" w:styleId="Nivel01">
    <w:name w:val="Nivel 01"/>
    <w:basedOn w:val="Nvel02"/>
    <w:next w:val="Normal"/>
    <w:autoRedefine/>
    <w:qFormat/>
    <w:pPr>
      <w:widowControl/>
      <w:shd w:val="clear" w:fill="FFFFFF"/>
      <w:tabs>
        <w:tab w:val="clear" w:pos="735"/>
        <w:tab w:val="left" w:pos="120" w:leader="none"/>
        <w:tab w:val="left" w:pos="345" w:leader="none"/>
        <w:tab w:val="left" w:pos="570" w:leader="none"/>
      </w:tabs>
      <w:suppressAutoHyphens w:val="true"/>
      <w:overflowPunct w:val="true"/>
      <w:bidi w:val="0"/>
      <w:spacing w:lineRule="auto" w:line="276" w:before="120" w:after="120"/>
      <w:ind w:left="1077" w:right="0" w:hanging="454"/>
      <w:jc w:val="both"/>
      <w:outlineLvl w:val="0"/>
    </w:pPr>
    <w:rPr>
      <w:b/>
      <w:bCs/>
    </w:rPr>
  </w:style>
  <w:style w:type="paragraph" w:styleId="Nivel01Titulo">
    <w:name w:val="Nivel_01_Titulo"/>
    <w:basedOn w:val="Nivel01"/>
    <w:qFormat/>
    <w:pPr>
      <w:shd w:val="clear" w:fill="FFFFFF"/>
      <w:jc w:val="left"/>
    </w:pPr>
    <w:rPr>
      <w:rFonts w:cs="Times New Roman"/>
      <w:spacing w:val="5"/>
      <w:kern w:val="2"/>
      <w:sz w:val="52"/>
      <w:szCs w:val="52"/>
    </w:rPr>
  </w:style>
  <w:style w:type="paragraph" w:styleId="Ttulododocumento">
    <w:name w:val="Title"/>
    <w:basedOn w:val="Normal"/>
    <w:next w:val="Normal"/>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val="clear" w:fill="FFFFFF"/>
      <w:suppressAutoHyphens w:val="true"/>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Ttulo1"/>
    <w:qFormat/>
    <w:pPr>
      <w:numPr>
        <w:ilvl w:val="0"/>
        <w:numId w:val="0"/>
      </w:numPr>
      <w:spacing w:lineRule="auto" w:line="276"/>
      <w:ind w:left="357" w:right="0" w:hanging="357"/>
      <w:jc w:val="both"/>
    </w:pPr>
    <w:rPr>
      <w:rFonts w:cs="Arial"/>
      <w:bCs w:val="false"/>
      <w:color w:val="000000"/>
    </w:rPr>
  </w:style>
  <w:style w:type="paragraph" w:styleId="PargrafodaLista1">
    <w:name w:val="Parágrafo da Lista1"/>
    <w:basedOn w:val="Normal"/>
    <w:qFormat/>
    <w:pPr>
      <w:ind w:left="720" w:right="0" w:hanging="0"/>
    </w:pPr>
    <w:rPr>
      <w:rFonts w:eastAsia="Times New Roman" w:cs="Ecofont_Spranq_eco_Sans"/>
    </w:rPr>
  </w:style>
  <w:style w:type="paragraph" w:styleId="Nivel2Opcional">
    <w:name w:val="Nivel 2-Opcional"/>
    <w:basedOn w:val="Normal"/>
    <w:autoRedefine/>
    <w:qFormat/>
    <w:pPr>
      <w:shd w:val="clear" w:fill="76923C"/>
      <w:spacing w:lineRule="auto" w:line="276" w:before="120" w:after="120"/>
      <w:ind w:left="0" w:right="0" w:hanging="0"/>
      <w:jc w:val="both"/>
    </w:pPr>
    <w:rPr>
      <w:rFonts w:ascii="Arial" w:hAnsi="Arial" w:eastAsia="Arial" w:cs="Arial"/>
      <w:i/>
      <w:color w:val="FF0000"/>
      <w:sz w:val="20"/>
      <w:szCs w:val="20"/>
    </w:rPr>
  </w:style>
  <w:style w:type="paragraph" w:styleId="Nivel11">
    <w:name w:val="Nivel 1"/>
    <w:basedOn w:val="Nivel2Opcional"/>
    <w:qFormat/>
    <w:pPr>
      <w:shd w:val="clear" w:fill="76923C"/>
      <w:ind w:left="360" w:right="0" w:hanging="360"/>
    </w:pPr>
    <w:rPr>
      <w:b/>
    </w:rPr>
  </w:style>
  <w:style w:type="paragraph" w:styleId="Nivel3erro">
    <w:name w:val="Nivel 3-erro"/>
    <w:basedOn w:val="Nivel3"/>
    <w:autoRedefine/>
    <w:qFormat/>
    <w:pPr>
      <w:ind w:left="993" w:right="0" w:hanging="0"/>
    </w:pPr>
    <w:rPr/>
  </w:style>
  <w:style w:type="paragraph" w:styleId="Nivel4">
    <w:name w:val="Nivel 4"/>
    <w:basedOn w:val="Nvel4R"/>
    <w:autoRedefine/>
    <w:qFormat/>
    <w:pPr>
      <w:widowControl/>
      <w:tabs>
        <w:tab w:val="clear" w:pos="709"/>
        <w:tab w:val="left" w:pos="1140" w:leader="none"/>
      </w:tabs>
      <w:suppressAutoHyphens w:val="true"/>
      <w:bidi w:val="0"/>
      <w:spacing w:lineRule="auto" w:line="276" w:before="0" w:after="0"/>
      <w:ind w:left="0" w:right="0" w:firstLine="1134"/>
      <w:jc w:val="both"/>
    </w:pPr>
    <w:rPr>
      <w:i w:val="false"/>
      <w:color w:val="auto"/>
    </w:rPr>
  </w:style>
  <w:style w:type="paragraph" w:styleId="Nivel5">
    <w:name w:val="Nivel 5"/>
    <w:basedOn w:val="Nvel4R"/>
    <w:autoRedefine/>
    <w:qFormat/>
    <w:pPr>
      <w:ind w:left="851" w:right="0" w:hanging="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right="0" w:hanging="0"/>
      <w:jc w:val="both"/>
    </w:pPr>
    <w:rPr>
      <w:rFonts w:ascii="Times New Roman" w:hAnsi="Times New Roman" w:eastAsia="Times New Roman" w:cs="Times New Roman"/>
      <w:sz w:val="28"/>
      <w:szCs w:val="28"/>
    </w:rPr>
  </w:style>
  <w:style w:type="paragraph" w:styleId="Revision">
    <w:name w:val="Revision"/>
    <w:qFormat/>
    <w:pPr>
      <w:widowControl/>
      <w:suppressAutoHyphens w:val="true"/>
      <w:overflowPunct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left="0" w:right="0"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Opcional"/>
    <w:qFormat/>
    <w:pPr>
      <w:shd w:val="clear" w:fill="76923C"/>
      <w:ind w:left="432" w:right="0" w:hanging="432"/>
    </w:pPr>
    <w:rPr>
      <w:rFonts w:eastAsia="Times New Roman"/>
      <w:i w:val="false"/>
    </w:rPr>
  </w:style>
  <w:style w:type="paragraph" w:styleId="Nvel3Opcional">
    <w:name w:val="Nível 3 Opcional"/>
    <w:basedOn w:val="Nivel3erro"/>
    <w:qFormat/>
    <w:pPr>
      <w:ind w:left="1072" w:right="0" w:hanging="504"/>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fill="FFFFCC"/>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autoRedefine/>
    <w:qFormat/>
    <w:pPr>
      <w:spacing w:lineRule="auto" w:line="259" w:before="0" w:after="0"/>
      <w:ind w:left="0" w:right="0" w:hanging="0"/>
      <w:contextualSpacing/>
      <w:jc w:val="center"/>
    </w:pPr>
    <w:rPr>
      <w:rFonts w:ascii="Arial" w:hAnsi="Arial" w:eastAsia="Cambria" w:cs="Arial"/>
      <w:b/>
      <w:bCs/>
      <w:i/>
      <w:iCs/>
      <w:color w:val="FF0000"/>
      <w:sz w:val="20"/>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02">
    <w:name w:val="Nível 02"/>
    <w:basedOn w:val="Nivel2Opcional"/>
    <w:autoRedefine/>
    <w:qFormat/>
    <w:pPr>
      <w:widowControl/>
      <w:shd w:val="clear" w:fill="FFFFFF"/>
      <w:tabs>
        <w:tab w:val="clear" w:pos="709"/>
        <w:tab w:val="left" w:pos="735" w:leader="none"/>
      </w:tabs>
      <w:suppressAutoHyphens w:val="true"/>
      <w:bidi w:val="0"/>
      <w:spacing w:lineRule="auto" w:line="276" w:before="0" w:after="0"/>
      <w:ind w:left="0" w:right="0" w:firstLine="567"/>
      <w:jc w:val="both"/>
    </w:pPr>
    <w:rPr>
      <w:i w:val="false"/>
      <w:iCs/>
      <w:color w:val="000000"/>
    </w:rPr>
  </w:style>
  <w:style w:type="paragraph" w:styleId="Nvel3R">
    <w:name w:val="Nível 3-R"/>
    <w:basedOn w:val="Nivel3erro"/>
    <w:autoRedefine/>
    <w:qFormat/>
    <w:pPr>
      <w:ind w:left="1638" w:right="0" w:hanging="504"/>
    </w:pPr>
    <w:rPr>
      <w:rFonts w:cs="Arial"/>
      <w:i/>
      <w:iCs/>
      <w:color w:val="FF0000"/>
    </w:rPr>
  </w:style>
  <w:style w:type="paragraph" w:styleId="Nvel4R">
    <w:name w:val="Nível 4-R"/>
    <w:basedOn w:val="Nvel3Opcional1"/>
    <w:autoRedefine/>
    <w:qFormat/>
    <w:pPr>
      <w:ind w:left="567" w:right="0" w:hanging="0"/>
    </w:pPr>
    <w:rPr>
      <w:rFonts w:cs="Arial"/>
      <w:bCs/>
      <w:color w:val="000000"/>
      <w:szCs w:val="20"/>
    </w:rPr>
  </w:style>
  <w:style w:type="paragraph" w:styleId="Nvel1SemNum">
    <w:name w:val="Nível 1-Sem Num"/>
    <w:basedOn w:val="Nivel01"/>
    <w:autoRedefine/>
    <w:qFormat/>
    <w:pPr>
      <w:widowControl/>
      <w:shd w:val="clear" w:fill="FFFFFF"/>
      <w:suppressAutoHyphens w:val="true"/>
      <w:bidi w:val="0"/>
      <w:spacing w:lineRule="auto" w:line="276" w:before="0" w:after="0"/>
      <w:ind w:left="0" w:right="0" w:hanging="0"/>
      <w:jc w:val="both"/>
      <w:outlineLvl w:val="1"/>
    </w:pPr>
    <w:rPr>
      <w:i/>
      <w:iCs w:val="false"/>
      <w:color w:val="FF0000"/>
    </w:rPr>
  </w:style>
  <w:style w:type="paragraph" w:styleId="Citao2">
    <w:name w:val="citação 2"/>
    <w:basedOn w:val="Quote"/>
    <w:qFormat/>
    <w:pPr>
      <w:shd w:val="clear" w:fill="FFFFCC"/>
      <w:overflowPunct w:val="true"/>
    </w:pPr>
    <w:rPr>
      <w:szCs w:val="20"/>
    </w:rPr>
  </w:style>
  <w:style w:type="paragraph" w:styleId="Prembulo">
    <w:name w:val="Preâmbulo"/>
    <w:basedOn w:val="Normal"/>
    <w:qFormat/>
    <w:pPr>
      <w:spacing w:lineRule="auto" w:line="360" w:before="480" w:after="120"/>
      <w:ind w:left="4253" w:right="-17" w:hanging="0"/>
      <w:jc w:val="both"/>
    </w:pPr>
    <w:rPr>
      <w:rFonts w:ascii="Arial" w:hAnsi="Arial" w:eastAsia="Arial" w:cs="Arial"/>
      <w:bCs/>
      <w:sz w:val="20"/>
      <w:szCs w:val="20"/>
    </w:rPr>
  </w:style>
  <w:style w:type="paragraph" w:styleId="Nvel1SemNumerao">
    <w:name w:val="Nível 1-Sem Numeração"/>
    <w:basedOn w:val="Nvel1SemNum"/>
    <w:autoRedefine/>
    <w:qFormat/>
    <w:pPr>
      <w:widowControl/>
      <w:numPr>
        <w:ilvl w:val="0"/>
        <w:numId w:val="0"/>
      </w:numPr>
      <w:shd w:val="clear" w:fill="FFFFFF"/>
      <w:tabs>
        <w:tab w:val="left" w:pos="120" w:leader="none"/>
        <w:tab w:val="left" w:pos="345" w:leader="none"/>
        <w:tab w:val="left" w:pos="390" w:leader="none"/>
        <w:tab w:val="left" w:pos="570" w:leader="none"/>
        <w:tab w:val="left" w:pos="900" w:leader="none"/>
        <w:tab w:val="left" w:pos="1020" w:leader="none"/>
        <w:tab w:val="left" w:pos="1140" w:leader="none"/>
      </w:tabs>
      <w:suppressAutoHyphens w:val="true"/>
      <w:overflowPunct w:val="true"/>
      <w:bidi w:val="0"/>
      <w:spacing w:lineRule="auto" w:line="276" w:before="0" w:after="0"/>
      <w:ind w:left="1191" w:right="0" w:hanging="567"/>
      <w:jc w:val="both"/>
    </w:pPr>
    <w:rPr>
      <w:b/>
      <w:bCs/>
      <w:i w:val="false"/>
      <w:color w:val="auto"/>
      <w:lang w:eastAsia="en-US"/>
    </w:rPr>
  </w:style>
  <w:style w:type="paragraph" w:styleId="Nivel3">
    <w:name w:val="Nivel 3"/>
    <w:basedOn w:val="Normal"/>
    <w:qFormat/>
    <w:pPr>
      <w:spacing w:lineRule="auto" w:line="276" w:before="120" w:after="120"/>
      <w:ind w:left="284" w:right="0" w:hanging="0"/>
      <w:jc w:val="both"/>
    </w:pPr>
    <w:rPr>
      <w:rFonts w:ascii="Arial" w:hAnsi="Arial"/>
      <w:sz w:val="20"/>
    </w:rPr>
  </w:style>
  <w:style w:type="paragraph" w:styleId="Alteraes">
    <w:name w:val="Alterações"/>
    <w:basedOn w:val="Nvel02"/>
    <w:qFormat/>
    <w:pPr>
      <w:shd w:val="clear" w:fill="FFFFFF"/>
    </w:pPr>
    <w:rPr>
      <w:color w:val="0000FF"/>
    </w:rPr>
  </w:style>
  <w:style w:type="paragraph" w:styleId="Contedodatabela">
    <w:name w:val="Conteúdo da tabela"/>
    <w:basedOn w:val="Normal"/>
    <w:qFormat/>
    <w:pPr>
      <w:widowControl w:val="false"/>
      <w:suppressLineNumbers/>
      <w:suppressAutoHyphens w:val="true"/>
      <w:textAlignment w:val="baseline"/>
    </w:pPr>
    <w:rPr>
      <w:rFonts w:ascii="Times New Roman" w:hAnsi="Times New Roman" w:eastAsia="SimSun"/>
      <w:kern w:val="2"/>
      <w:lang w:eastAsia="zh-CN" w:bidi="hi-IN"/>
    </w:rPr>
  </w:style>
  <w:style w:type="paragraph" w:styleId="Nivel21">
    <w:name w:val="Nivel 21"/>
    <w:basedOn w:val="Normal"/>
    <w:autoRedefine/>
    <w:qFormat/>
    <w:pPr>
      <w:shd w:val="clear" w:fill="948A54"/>
      <w:spacing w:lineRule="auto" w:line="276" w:before="120" w:after="120"/>
      <w:ind w:left="999" w:right="0" w:hanging="432"/>
      <w:jc w:val="both"/>
    </w:pPr>
    <w:rPr>
      <w:rFonts w:ascii="Arial" w:hAnsi="Arial" w:eastAsia="Arial" w:cs="Arial"/>
      <w:color w:val="000000"/>
      <w:sz w:val="20"/>
      <w:szCs w:val="20"/>
    </w:rPr>
  </w:style>
  <w:style w:type="paragraph" w:styleId="Nvel2Opcional1">
    <w:name w:val="Nível 2-Opcional"/>
    <w:basedOn w:val="Nvel02"/>
    <w:qFormat/>
    <w:pPr>
      <w:shd w:val="clear" w:fill="FFFFFF"/>
    </w:pPr>
    <w:rPr>
      <w:i/>
      <w:color w:val="FF0000"/>
    </w:rPr>
  </w:style>
  <w:style w:type="paragraph" w:styleId="Nvel3Opcional1">
    <w:name w:val="Nível 3-Opcional"/>
    <w:basedOn w:val="Nivel3"/>
    <w:qFormat/>
    <w:pPr/>
    <w:rPr>
      <w:i/>
      <w:color w:val="FF0000"/>
    </w:rPr>
  </w:style>
  <w:style w:type="paragraph" w:styleId="Nvel1SemBlack">
    <w:name w:val="Nível 1-Sem Black"/>
    <w:basedOn w:val="Normal"/>
    <w:qFormat/>
    <w:pPr>
      <w:keepNext w:val="true"/>
      <w:keepLines/>
      <w:tabs>
        <w:tab w:val="clear" w:pos="709"/>
        <w:tab w:val="left" w:pos="567" w:leader="none"/>
      </w:tabs>
      <w:spacing w:lineRule="auto" w:line="276" w:before="240" w:after="120"/>
      <w:jc w:val="both"/>
      <w:outlineLvl w:val="1"/>
    </w:pPr>
    <w:rPr>
      <w:rFonts w:ascii="Arial" w:hAnsi="Arial" w:eastAsia="ＭＳ ゴシック" w:cs="Arial"/>
      <w:b/>
      <w:bCs/>
      <w:sz w:val="20"/>
      <w:szCs w:val="20"/>
    </w:rPr>
  </w:style>
  <w:style w:type="paragraph" w:styleId="Nivel2">
    <w:name w:val="Nivel 2"/>
    <w:basedOn w:val="Normal"/>
    <w:autoRedefine/>
    <w:qFormat/>
    <w:pPr>
      <w:spacing w:lineRule="auto" w:line="276" w:before="120" w:after="120"/>
      <w:ind w:left="999" w:right="0" w:hanging="432"/>
      <w:jc w:val="both"/>
    </w:pPr>
    <w:rPr>
      <w:rFonts w:ascii="Arial" w:hAnsi="Arial" w:eastAsia="Arial" w:cs="Arial"/>
      <w:color w:val="000000"/>
      <w:sz w:val="20"/>
      <w:szCs w:val="20"/>
    </w:rPr>
  </w:style>
  <w:style w:type="paragraph" w:styleId="Estilo7">
    <w:name w:val="Estilo7"/>
    <w:basedOn w:val="Nvel02"/>
    <w:qFormat/>
    <w:pPr>
      <w:shd w:val="clear" w:fill="FFFFFF"/>
    </w:pPr>
    <w:rPr/>
  </w:style>
  <w:style w:type="paragraph" w:styleId="Default">
    <w:name w:val="Default"/>
    <w:qFormat/>
    <w:pPr>
      <w:widowControl/>
      <w:suppressAutoHyphens w:val="true"/>
      <w:overflowPunct w:val="true"/>
      <w:bidi w:val="0"/>
      <w:spacing w:before="0" w:after="0"/>
      <w:jc w:val="left"/>
    </w:pPr>
    <w:rPr>
      <w:rFonts w:ascii="Arial" w:hAnsi="Arial" w:eastAsia="Times New Roman" w:cs="Arial"/>
      <w:color w:val="000000"/>
      <w:kern w:val="0"/>
      <w:sz w:val="24"/>
      <w:szCs w:val="24"/>
      <w:lang w:val="pt-BR" w:eastAsia="zh-CN" w:bidi="ar-SA"/>
    </w:rPr>
  </w:style>
  <w:style w:type="paragraph" w:styleId="Ttulodetabela">
    <w:name w:val="Título de tabela"/>
    <w:basedOn w:val="Contedodatabela"/>
    <w:qFormat/>
    <w:pPr>
      <w:suppressLineNumbers/>
      <w:jc w:val="center"/>
    </w:pPr>
    <w:rPr>
      <w:b/>
      <w:bCs/>
    </w:rPr>
  </w:style>
  <w:style w:type="paragraph" w:styleId="Nvel2Red">
    <w:name w:val="Nível 2 -Red"/>
    <w:basedOn w:val="Nivel2"/>
    <w:qFormat/>
    <w:pPr>
      <w:widowControl/>
      <w:bidi w:val="0"/>
      <w:spacing w:lineRule="auto" w:line="276" w:before="0" w:after="0"/>
      <w:ind w:left="1247" w:right="0" w:hanging="454"/>
      <w:jc w:val="both"/>
    </w:pPr>
    <w:rPr>
      <w:b w:val="false"/>
      <w:bCs w:val="false"/>
      <w:i w:val="false"/>
      <w:iCs w:val="false"/>
      <w:color w:val="000000"/>
    </w:rPr>
  </w:style>
  <w:style w:type="paragraph" w:styleId="Western">
    <w:name w:val="western"/>
    <w:basedOn w:val="Normal"/>
    <w:qFormat/>
    <w:pPr>
      <w:widowControl/>
      <w:suppressAutoHyphens w:val="false"/>
      <w:spacing w:lineRule="auto" w:line="276" w:before="280" w:after="142"/>
    </w:pPr>
    <w:rPr>
      <w:rFonts w:ascii="Arial" w:hAnsi="Arial" w:eastAsia="Arial"/>
      <w:kern w:val="0"/>
      <w:lang w:eastAsia="ar-SA"/>
    </w:rPr>
  </w:style>
  <w:style w:type="paragraph" w:styleId="Ttulo11">
    <w:name w:val="Título1"/>
    <w:basedOn w:val="Normal"/>
    <w:qFormat/>
    <w:pPr>
      <w:keepNext w:val="true"/>
      <w:spacing w:before="240" w:after="120"/>
    </w:pPr>
    <w:rPr>
      <w:rFonts w:ascii="Liberation Sans" w:hAnsi="Liberation Sans" w:eastAsia="Mangal"/>
      <w:sz w:val="28"/>
      <w:szCs w:val="28"/>
      <w:lang w:eastAsia="hi-IN"/>
    </w:rPr>
  </w:style>
  <w:style w:type="paragraph" w:styleId="Ttulo21">
    <w:name w:val="Título2"/>
    <w:basedOn w:val="Normal"/>
    <w:qFormat/>
    <w:pPr>
      <w:keepNext w:val="true"/>
      <w:spacing w:before="240" w:after="120"/>
    </w:pPr>
    <w:rPr>
      <w:rFonts w:ascii="Liberation Sans" w:hAnsi="Liberation Sans" w:eastAsia="Lucida Sans"/>
      <w:sz w:val="28"/>
      <w:szCs w:val="28"/>
      <w:lang w:eastAsia="hi-IN"/>
    </w:rPr>
  </w:style>
  <w:style w:type="paragraph" w:styleId="TableParagraph">
    <w:name w:val="Table Paragraph"/>
    <w:basedOn w:val="Normal"/>
    <w:qFormat/>
    <w:pPr>
      <w:spacing w:lineRule="exact" w:line="247"/>
      <w:jc w:val="center"/>
    </w:pPr>
    <w:rPr>
      <w:rFonts w:ascii="Times New Roman" w:hAnsi="Times New Roman" w:eastAsia="Times New Roman" w:cs="Times New Roman"/>
      <w:lang w:val="pt-PT" w:eastAsia="en-US" w:bidi="ar-SA"/>
    </w:rPr>
  </w:style>
  <w:style w:type="numbering" w:styleId="NoList">
    <w:name w:val="No List"/>
    <w:qFormat/>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mailto:sergio.sousa@marinha.mil.br" TargetMode="External"/><Relationship Id="rId4" Type="http://schemas.openxmlformats.org/officeDocument/2006/relationships/hyperlink" Target="mailto:verly.jairo@marinha.mil.br" TargetMode="External"/><Relationship Id="rId5" Type="http://schemas.openxmlformats.org/officeDocument/2006/relationships/hyperlink" Target="mailto:marcos.ferreira.gomes@marinha.mil.br" TargetMode="External"/><Relationship Id="rId6" Type="http://schemas.openxmlformats.org/officeDocument/2006/relationships/hyperlink" Target="mailto:renato.elias@marinha.mil.br"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551</TotalTime>
  <Application>LibreOffice/7.3.7.2$Linux_X86_64 LibreOffice_project/30$Build-2</Application>
  <AppVersion>15.0000</AppVersion>
  <Pages>18</Pages>
  <Words>5927</Words>
  <Characters>33866</Characters>
  <CharactersWithSpaces>39401</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2026-04-16T04:01:11Z</dcterms:modified>
  <cp:revision>74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