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Calibri" w:hAnsi="Calibri" w:cs="Times New Roman"/>
          <w:b/>
          <w:b/>
          <w:bCs/>
        </w:rPr>
      </w:pPr>
      <w:r>
        <w:rPr>
          <w:rFonts w:cs="Times New Roman" w:ascii="Calibri" w:hAnsi="Calibri"/>
          <w:b/>
          <w:bCs/>
        </w:rPr>
        <w:t>MARINHA DO BRASIL</w:t>
      </w:r>
    </w:p>
    <w:p>
      <w:pPr>
        <w:pStyle w:val="Standard"/>
        <w:jc w:val="center"/>
        <w:rPr>
          <w:rFonts w:ascii="Calibri" w:hAnsi="Calibri" w:cs="Times New Roman"/>
          <w:b/>
          <w:b/>
          <w:bCs/>
        </w:rPr>
      </w:pPr>
      <w:r>
        <w:rPr>
          <w:rFonts w:cs="Times New Roman" w:ascii="Calibri" w:hAnsi="Calibri"/>
          <w:b/>
          <w:bCs/>
        </w:rPr>
      </w:r>
    </w:p>
    <w:p>
      <w:pPr>
        <w:pStyle w:val="Textbody"/>
        <w:spacing w:lineRule="auto" w:line="276" w:before="0" w:after="0"/>
        <w:ind w:right="-29" w:hanging="0"/>
        <w:jc w:val="center"/>
        <w:rPr>
          <w:rFonts w:ascii="Calibri" w:hAnsi="Calibri" w:cs="Calibri"/>
          <w:b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  <w:t>CENTRO DE INSTRUÇÃO E ADESTRAMENTO ALMIRANTE ÁTTILA MONTEIRO ACHÉ</w:t>
      </w:r>
    </w:p>
    <w:p>
      <w:pPr>
        <w:pStyle w:val="Textbody"/>
        <w:spacing w:lineRule="auto" w:line="276" w:before="0" w:after="0"/>
        <w:ind w:right="-29" w:hanging="0"/>
        <w:jc w:val="center"/>
        <w:rPr>
          <w:rFonts w:ascii="Calibri" w:hAnsi="Calibri" w:cs="Calibri"/>
          <w:b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</w:r>
    </w:p>
    <w:p>
      <w:pPr>
        <w:pStyle w:val="Standard"/>
        <w:jc w:val="center"/>
        <w:rPr>
          <w:rFonts w:ascii="Calibri" w:hAnsi="Calibri" w:cs="Times New Roman"/>
          <w:b/>
          <w:b/>
          <w:bCs/>
          <w:color w:val="000000"/>
          <w:lang w:eastAsia="ar-SA"/>
        </w:rPr>
      </w:pPr>
      <w:r>
        <w:rPr>
          <w:rFonts w:cs="Times New Roman" w:ascii="Calibri" w:hAnsi="Calibri"/>
          <w:b/>
          <w:bCs/>
          <w:color w:val="000000"/>
          <w:lang w:eastAsia="ar-SA"/>
        </w:rPr>
        <w:t>PLANEJAMENTO DA CONTRATAÇÃO/OBTENÇÃO</w:t>
      </w:r>
    </w:p>
    <w:p>
      <w:pPr>
        <w:pStyle w:val="Standard"/>
        <w:jc w:val="center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  <w:t>ESTUDOS TÉCNICO PRELIMINARES</w:t>
      </w:r>
    </w:p>
    <w:p>
      <w:pPr>
        <w:pStyle w:val="Standard"/>
        <w:jc w:val="center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1. Informações Básicas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Número do processo: </w:t>
      </w:r>
      <w:r>
        <w:rPr>
          <w:rStyle w:val="Nfaseforte"/>
          <w:rFonts w:cs="Calibri" w:ascii="Calibri" w:hAnsi="Calibri"/>
          <w:b w:val="false"/>
          <w:bCs w:val="false"/>
          <w:i/>
          <w:iCs/>
          <w:color w:val="FF0000"/>
        </w:rPr>
        <w:t>xxxx.xxxxxxx/xxxx-xx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2. Descrição da necessidade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Trata-se </w:t>
      </w:r>
      <w:r>
        <w:rPr>
          <w:rFonts w:ascii="Calibri" w:hAnsi="Calibri"/>
        </w:rPr>
        <w:t>da</w:t>
      </w:r>
      <w:r>
        <w:rPr>
          <w:rFonts w:cs="Calibri" w:ascii="Calibri" w:hAnsi="Calibri" w:asciiTheme="minorHAnsi" w:cstheme="minorHAnsi" w:hAnsiTheme="minorHAnsi"/>
          <w:color w:val="111111"/>
        </w:rPr>
        <w:t xml:space="preserve"> eventual aquisiç</w:t>
      </w:r>
      <w:r>
        <w:rPr>
          <w:rFonts w:eastAsia="SimSun" w:cs="Calibri" w:ascii="Calibri" w:hAnsi="Calibri" w:asciiTheme="minorHAnsi" w:cstheme="minorHAnsi" w:hAnsiTheme="minorHAnsi"/>
          <w:color w:val="111111"/>
          <w:kern w:val="2"/>
          <w:sz w:val="24"/>
          <w:szCs w:val="24"/>
          <w:lang w:val="pt-BR" w:eastAsia="zh-CN" w:bidi="hi-IN"/>
        </w:rPr>
        <w:t>ão de equipamentos para manutenção da descarga do motor da EIM (Embarcação de Instrução de Mergulho) Reitor</w:t>
      </w:r>
      <w:r>
        <w:rPr>
          <w:rFonts w:ascii="Calibri" w:hAnsi="Calibri"/>
        </w:rPr>
        <w:t xml:space="preserve">, a fim de manter a capacidade operacional </w:t>
      </w:r>
      <w:r>
        <w:rPr>
          <w:rFonts w:ascii="Calibri" w:hAnsi="Calibri"/>
        </w:rPr>
        <w:t>desta embarcaç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 xml:space="preserve">ão </w:t>
      </w:r>
      <w:r>
        <w:rPr>
          <w:rFonts w:ascii="Calibri" w:hAnsi="Calibri"/>
        </w:rPr>
        <w:t xml:space="preserve">para atender a demanda </w:t>
      </w:r>
      <w:r>
        <w:rPr>
          <w:rFonts w:ascii="Calibri" w:hAnsi="Calibri"/>
        </w:rPr>
        <w:t>das in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 xml:space="preserve">úmeras instruções no mar </w:t>
      </w:r>
      <w:r>
        <w:rPr>
          <w:rFonts w:ascii="Calibri" w:hAnsi="Calibri"/>
        </w:rPr>
        <w:t xml:space="preserve">e </w:t>
      </w:r>
      <w:r>
        <w:rPr>
          <w:rFonts w:ascii="Calibri" w:hAnsi="Calibri"/>
        </w:rPr>
        <w:t xml:space="preserve"> visando suprir a necessidades da Instituição.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O CIAMA é uma Centro de Instrução e Adestramento, possuindo edificações distribuídas no município de Niterói-RJ e Itaguaí-RJ, vem desempenhando a nobre missão de ministrar diversos cursos. Em virtude do exposto, faz-se necessário adquiri o aparelho para que se tenha a convicção da plena transcorrência dos cursos ministrados pela instituição.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3. Área requisitante</w:t>
      </w:r>
    </w:p>
    <w:p>
      <w:pPr>
        <w:pStyle w:val="Default"/>
        <w:jc w:val="both"/>
        <w:rPr>
          <w:color w:val="000000"/>
        </w:rPr>
      </w:pPr>
      <w:r>
        <w:rPr>
          <w:rFonts w:ascii="Calibri" w:hAnsi="Calibri"/>
          <w:color w:val="000000"/>
        </w:rPr>
        <w:t>Departamento de Ensino / Escola de Mergulho</w:t>
      </w:r>
    </w:p>
    <w:p>
      <w:pPr>
        <w:pStyle w:val="Default"/>
        <w:jc w:val="both"/>
        <w:rPr>
          <w:color w:val="000000"/>
        </w:rPr>
      </w:pPr>
      <w:r>
        <w:rPr>
          <w:rFonts w:ascii="Calibri" w:hAnsi="Calibri"/>
          <w:color w:val="000000"/>
        </w:rPr>
        <w:t>2°SG-MG / 86.5894.58 / ALLAN DE SOUZA MARCOLINO DA SILVA</w:t>
      </w:r>
    </w:p>
    <w:p>
      <w:pPr>
        <w:pStyle w:val="Default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4. Descrição dos Requisitos da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O objeto da </w:t>
      </w:r>
      <w:r>
        <w:rPr>
          <w:rFonts w:ascii="Calibri" w:hAnsi="Calibri"/>
        </w:rPr>
        <w:t>aquis</w:t>
      </w:r>
      <w:r>
        <w:rPr>
          <w:rFonts w:ascii="Calibri" w:hAnsi="Calibri"/>
        </w:rPr>
        <w:t>i</w:t>
      </w:r>
      <w:r>
        <w:rPr>
          <w:rFonts w:ascii="Calibri" w:hAnsi="Calibri"/>
        </w:rPr>
        <w:t>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 xml:space="preserve">ão </w:t>
      </w:r>
      <w:r>
        <w:rPr>
          <w:rFonts w:ascii="Calibri" w:hAnsi="Calibri"/>
        </w:rPr>
        <w:t>deverá atender aos requisitos técnicos mínimos necessários para garantir sua plena funcionalidade e adequação ao uso previsto. A especificação deverá considerar critérios de qualidade, durabilidade e compatibilidade com as necessidades operacionais da instituição, observando as normas técnicas aplicáveis.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Além disso, deverão ser atendidos os requisitos de sustentabilidade, eficiência e economicidade, conforme diretrizes estabelecidas na legislação vigente e no planejamento estratégico da organização.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5. Levantamento de Mercado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Para garantir a adequada definição </w:t>
      </w:r>
      <w:r>
        <w:rPr>
          <w:rFonts w:ascii="Calibri" w:hAnsi="Calibri"/>
        </w:rPr>
        <w:t>e viabilidade</w:t>
      </w:r>
      <w:r>
        <w:rPr>
          <w:rFonts w:ascii="Calibri" w:hAnsi="Calibri"/>
        </w:rPr>
        <w:t xml:space="preserve"> do objeto da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ão,</w:t>
      </w:r>
      <w:r>
        <w:rPr>
          <w:rFonts w:ascii="Calibri" w:hAnsi="Calibri"/>
        </w:rPr>
        <w:t xml:space="preserve"> foi realizado o levantamento de mercado considerando fontes diversas, incluindo consultas ao Painel de Preços do Governo Federal, cotações com fornecedores especializados e análise de contratações similares realizadas por outros órgãos públicos.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 pesquisa contemplou aspectos como disponibilidade, valores praticados no mercado, padrões de qualidade e atendimento às exigências técnicas previstas no Termo de Referência. Essa análise permitiu identificar a melhor estratégia de aquisição, alinhando economicidade, eficiência e atendimento às necessidades institucionais.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6. Descrição da solução como um todo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A solução proposta abrange todas as etapas necessárias para garantir a efetiva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 xml:space="preserve"> do objeto, desde a definição dos requisitos técnicos até a sua entrega e operacionalização. O planejamento considera aspectos essenciais como qualidade, durabilidade, adequação às necessidades institucionais e conformidade com normas vigentes, assegurando a eficiência e a economicidade do processo.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Além disso, a solução contempla mecanismos de gestão e fiscalização, permitindo o acompanhamento da execução e a garantia de que os objetivos estabelecidos sejam plenamente atendidos, promovendo transparência e otimização dos recursos disponíveis.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7. Estimativa das Quantidades a serem </w:t>
      </w:r>
      <w:r>
        <w:rPr>
          <w:rFonts w:ascii="Calibri" w:hAnsi="Calibri"/>
        </w:rPr>
        <w:t>Compradas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 estimativa das quantidades necessárias foi definida com base na análise da demanda institucional, considerando o histórico de consumo, a previsão de utilização para o período de inserir período, e a capacidade operacional do órgão.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Os quantitativos foram ajustados de forma a garantir o equilíbrio entre a necessidade real e a economicidade da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>, evitando desperdícios e assegurando a disponibilidade adequada do objeto durante todo o período planejado. Eventuais variações serão tratadas conforme previsto nas normas vigentes e diretrizes estratégicas da organização.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8. Estimativa do Valor da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Os valores foram obtidos utilizando-se os parâmetros do Art. 5º da Instrução Normativa nº 65, de 07 de julho de 2021, conforme se mostra a seguir:</w:t>
      </w:r>
    </w:p>
    <w:p>
      <w:pPr>
        <w:pStyle w:val="Default"/>
        <w:ind w:left="3402" w:hanging="0"/>
        <w:jc w:val="both"/>
        <w:rPr>
          <w:color w:val="000000"/>
        </w:rPr>
      </w:pPr>
      <w:r>
        <w:rPr>
          <w:rFonts w:ascii="Calibri" w:hAnsi="Calibri"/>
          <w:color w:val="000000"/>
          <w:sz w:val="20"/>
          <w:szCs w:val="20"/>
        </w:rPr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>
      <w:pPr>
        <w:pStyle w:val="Default"/>
        <w:ind w:left="3402" w:hanging="0"/>
        <w:jc w:val="both"/>
        <w:rPr>
          <w:color w:val="000000"/>
        </w:rPr>
      </w:pPr>
      <w:r>
        <w:rPr>
          <w:rFonts w:ascii="Calibri" w:hAnsi="Calibri"/>
          <w:color w:val="000000"/>
          <w:sz w:val="20"/>
          <w:szCs w:val="20"/>
        </w:rPr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>
      <w:pPr>
        <w:pStyle w:val="Default"/>
        <w:ind w:left="3402" w:hanging="0"/>
        <w:jc w:val="both"/>
        <w:rPr>
          <w:color w:val="000000"/>
        </w:rPr>
      </w:pPr>
      <w:r>
        <w:rPr>
          <w:rFonts w:ascii="Calibri" w:hAnsi="Calibri"/>
          <w:color w:val="000000"/>
          <w:sz w:val="20"/>
          <w:szCs w:val="20"/>
        </w:rPr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>
      <w:pPr>
        <w:pStyle w:val="Default"/>
        <w:ind w:left="3402" w:hanging="0"/>
        <w:jc w:val="both"/>
        <w:rPr>
          <w:color w:val="000000"/>
        </w:rPr>
      </w:pPr>
      <w:r>
        <w:rPr>
          <w:rFonts w:ascii="Calibri" w:hAnsi="Calibri"/>
          <w:color w:val="000000"/>
          <w:sz w:val="20"/>
          <w:szCs w:val="20"/>
        </w:rPr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>
      <w:pPr>
        <w:pStyle w:val="Default"/>
        <w:ind w:left="3402" w:hanging="0"/>
        <w:jc w:val="both"/>
        <w:rPr>
          <w:color w:val="000000"/>
        </w:rPr>
      </w:pPr>
      <w:r>
        <w:rPr>
          <w:rFonts w:ascii="Calibri" w:hAnsi="Calibri"/>
          <w:color w:val="000000"/>
          <w:sz w:val="20"/>
          <w:szCs w:val="20"/>
        </w:rPr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A metodologia utilizada para obtenção do preço de referência da presente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 xml:space="preserve"> foi a média dos valores obtidos na pesquisa de preços, conforme demonstrado na planilha de custos e mapa de pesquisa de preços e seguindo a orientação dada pelo art. 6º da referida norma:</w:t>
      </w:r>
    </w:p>
    <w:p>
      <w:pPr>
        <w:pStyle w:val="Default"/>
        <w:ind w:left="3402" w:hanging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Serão utilizados, como métodos para obtenção do preço estimado, a média, a mediana ou o menor dos valores obtidos na pesquisa de preços, desde que o cálculo incida sobre um conjunto de três ou mais preços, oriundos de um ou mais dos parâmetros de que trata o art. 5º, desconsiderados os valores inexequíveis, inconsistentes e os excessivamente elevados.</w:t>
      </w:r>
    </w:p>
    <w:p>
      <w:pPr>
        <w:pStyle w:val="Default"/>
        <w:ind w:left="737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9. Justificativa para o Parcelamento ou não da Solução</w:t>
      </w:r>
    </w:p>
    <w:p>
      <w:pPr>
        <w:pStyle w:val="Default"/>
        <w:jc w:val="both"/>
        <w:rPr>
          <w:color w:val="000000"/>
        </w:rPr>
      </w:pPr>
      <w:r>
        <w:rPr>
          <w:rFonts w:ascii="Calibri" w:hAnsi="Calibri"/>
          <w:color w:val="000000"/>
        </w:rPr>
        <w:t xml:space="preserve">Dada a especificidade do objeto da </w:t>
      </w:r>
      <w:r>
        <w:rPr>
          <w:rFonts w:ascii="Calibri" w:hAnsi="Calibri"/>
          <w:color w:val="000000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 xml:space="preserve">ão </w:t>
      </w:r>
      <w:r>
        <w:rPr>
          <w:rFonts w:ascii="Calibri" w:hAnsi="Calibri"/>
          <w:color w:val="000000"/>
        </w:rPr>
        <w:t>e a necessidade de padronização na aquisição, o parcelamento não se mostra necessário ou vantajoso. A divisão em itens poderia comprometer a uniformidade do fornecimento, dificultando a gestão logística e operacional. Além disso, a contratação em um único lote assegura melhores condições de negociação, reduzindo custos administrativos e garantindo eficiência na entrega e implementação da solução.</w:t>
      </w:r>
    </w:p>
    <w:p>
      <w:pPr>
        <w:pStyle w:val="Default"/>
        <w:jc w:val="both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10. Contratações Correlatas e/ou Interdependentes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 presente aquisição não requer contratações correlatas ou interdependentes, uma vez que o objeto pode ser plenamente atendido de forma autônoma, sem necessidade de vínculos com outros processos ou fornecedores.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11. Alinhamento entre 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 xml:space="preserve">ão </w:t>
      </w:r>
      <w:r>
        <w:rPr>
          <w:rFonts w:ascii="Calibri" w:hAnsi="Calibri"/>
        </w:rPr>
        <w:t xml:space="preserve"> e o Planejamento</w:t>
      </w:r>
    </w:p>
    <w:p>
      <w:pPr>
        <w:pStyle w:val="Default"/>
        <w:jc w:val="both"/>
        <w:rPr/>
      </w:pPr>
      <w:r>
        <w:rPr>
          <w:rFonts w:ascii="Calibri" w:hAnsi="Calibri"/>
        </w:rPr>
        <w:t xml:space="preserve">A presente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 xml:space="preserve"> está plenamente alinhada ao Planejamento e Gerenciamento das Contratações (PAR/202</w:t>
      </w:r>
      <w:r>
        <w:rPr>
          <w:rFonts w:ascii="Calibri" w:hAnsi="Calibri"/>
        </w:rPr>
        <w:t>6</w:t>
      </w:r>
      <w:r>
        <w:rPr>
          <w:rFonts w:ascii="Calibri" w:hAnsi="Calibri"/>
        </w:rPr>
        <w:t>) do CIAMA, visando à aquisição de material permanente essencial para garantir a continuidade e o aprimoramento dos cursos ministrados pela instituição.</w:t>
      </w:r>
    </w:p>
    <w:p>
      <w:pPr>
        <w:pStyle w:val="Default"/>
        <w:ind w:left="737" w:hanging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12. Benefícios a serem alcançados com 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Os resultados esperados com a contratação visam gerar benefícios diretos para a unidade requisitante, garantindo maior economicidade, eficácia e eficiência na utilização dos recursos disponíveis. A solução contratada contribuirá para a otimização dos processos, possibilitando um melhor aproveitamento dos recursos humanos, materiais e financeiros, alinhando-se às diretrizes institucionais de racionalização e aprimoramento da gestão.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Além disso, a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 xml:space="preserve"> busca atender às necessidades operacionais de forma estratégica, promovendo melhorias na prestação dos serviços e na execução das atividades essenciais, com impacto positivo na produtividade e na qualidade dos resultados alcançados.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13. Providências a serem Adotadas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 xml:space="preserve">A Instituição dispõe de infraestrutura adequada e de profissionais qualificados para garantir a condução eficiente e a gestão estratégica da presente </w:t>
      </w:r>
      <w:r>
        <w:rPr>
          <w:rFonts w:ascii="Calibri" w:hAnsi="Calibri"/>
        </w:rPr>
        <w:t>aquisiç</w:t>
      </w:r>
      <w:r>
        <w:rPr>
          <w:rFonts w:eastAsia="Times New Roman" w:cs="Times New Roman" w:ascii="Calibri" w:hAnsi="Calibri"/>
          <w:color w:val="000000"/>
          <w:kern w:val="2"/>
          <w:sz w:val="24"/>
          <w:szCs w:val="24"/>
          <w:lang w:val="pt-BR" w:eastAsia="zh-CN" w:bidi="hi-IN"/>
        </w:rPr>
        <w:t>ão</w:t>
      </w:r>
      <w:r>
        <w:rPr>
          <w:rFonts w:ascii="Calibri" w:hAnsi="Calibri"/>
        </w:rPr>
        <w:t>, assegurando conformidade com as normativas vigentes e otimização dos processos administrativos.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14. Possíveis Impactos Ambientais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O Centro de Instrução e Adestramento Almirante Átilla Monteiro Aché, por intermédio da Divisão de Ambiental da Base Naval do Rio de Janeiro, possui o PGR (Programa de Gerenciamento de Resíduos), visando mitigar os riscos de geração de impactos ambientais. O Programa de Gerenciamento de Resíduos tem o objetivo de propiciar o gerenciamento dos resíduos de forma apropriada e segura, conforme normativas ambientais. As etapas de gerenciamento compreendem desde a geração até a destinação final ambientalmente correta, perfazendo as etapas de implementação e operação; verificação e ações corretivas; e revisão da gestão. Especificamente quanto aos resíduos químicos, biológicos, materiais perfuro cortantes, pilhas e baterias, a BNRJ contratou, através do pregão eletrônico nº 030/2022, empresa especializada para a prestação de serviços de coleta, acondicionamento, transporte, tratamento e destinação final ambientalmente correta de resíduos, nas Organizações Militares localizadas no Complexo Naval da Ilha de Mocanguê, Niterói-RJ.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15. Declaração de Viabilidade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 presente contratação foi analisada quanto à sua viabilidade técnica, operacional e financeira, verificando-se que atende aos requisitos institucionais e às diretrizes normativas vigentes. O objeto proposto está alinhado às necessidades identificadas, demonstrando compatibilidade com a estrutura existente e garantindo a adequada execução das atividades planejadas.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Adicionalmente, foram realizados estudos que comprovam a viabilidade da solução, considerando aspectos como disponibilidade de mercado, custo-benefício e impacto na eficiência operacional. Dessa forma, conclui-se que a contratação atende aos princípios da economicidade, legalidade e transparência, sendo viável sua efetivação dentro dos parâmetros estabelecidos pela administração pública.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Presentes os requisitos essenciais de segurança, funcionalidade, eficiência na execução e adequação às condições de conservação, a equipe de planejamento ratifica a viabilidade do registro de preços para futura aquisição do equipamento, assegurando o atendimento das necessidades institucionais e operacionais do Centro de Instrução e Adestramento Almirante Áttila Monteiro Aché (CIAMA).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16. Responsáveis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Todas as assinaturas eletrônicas seguem o horário oficial de Brasília e fundamentam-se no §3º do Art. 4º do Decreto nº 10.543, de 13 de novembro de 2020.</w:t>
      </w:r>
    </w:p>
    <w:p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efault"/>
        <w:jc w:val="both"/>
        <w:rPr>
          <w:rFonts w:ascii="Calibri" w:hAnsi="Calibri"/>
          <w:color w:val="CE181E"/>
        </w:rPr>
      </w:pPr>
      <w:r>
        <w:rPr>
          <w:rFonts w:ascii="Calibri" w:hAnsi="Calibri"/>
          <w:color w:val="CE181E"/>
        </w:rPr>
      </w:r>
    </w:p>
    <w:p>
      <w:pPr>
        <w:pStyle w:val="Default"/>
        <w:jc w:val="both"/>
        <w:rPr>
          <w:rFonts w:ascii="Calibri" w:hAnsi="Calibri"/>
          <w:color w:val="CE181E"/>
        </w:rPr>
      </w:pPr>
      <w:r>
        <w:rPr>
          <w:rFonts w:ascii="Calibri" w:hAnsi="Calibri"/>
          <w:color w:val="CE181E"/>
        </w:rPr>
      </w:r>
    </w:p>
    <w:p>
      <w:pPr>
        <w:pStyle w:val="Normal"/>
        <w:widowControl w:val="false"/>
        <w:tabs>
          <w:tab w:val="clear" w:pos="709"/>
          <w:tab w:val="left" w:pos="2127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>
          <w:rFonts w:ascii="Calibri" w:hAnsi="Calibri" w:eastAsia="Calibri"/>
          <w:color w:val="FF0000"/>
          <w:kern w:val="0"/>
          <w:lang w:eastAsia="en-US"/>
        </w:rPr>
      </w:pPr>
      <w:r>
        <w:rPr>
          <w:rStyle w:val="Fontepargpadro"/>
          <w:rFonts w:eastAsia="Calibri" w:ascii="Calibri" w:hAnsi="Calibri"/>
          <w:b w:val="false"/>
          <w:bCs w:val="false"/>
          <w:color w:val="111111"/>
          <w:kern w:val="0"/>
          <w:sz w:val="24"/>
          <w:szCs w:val="24"/>
          <w:lang w:val="en-US" w:eastAsia="en-US"/>
        </w:rPr>
        <w:t>CARLOS EDUARDO DE BRITO SILVA</w:t>
      </w:r>
    </w:p>
    <w:p>
      <w:pPr>
        <w:pStyle w:val="Standard"/>
        <w:jc w:val="center"/>
        <w:rPr>
          <w:color w:val="000000"/>
        </w:rPr>
      </w:pPr>
      <w:r>
        <w:rPr>
          <w:rFonts w:eastAsia="Calibri" w:ascii="Calibri" w:hAnsi="Calibri"/>
          <w:color w:val="000000"/>
          <w:kern w:val="0"/>
          <w:lang w:eastAsia="en-US"/>
        </w:rPr>
        <w:t>1°SG-MO</w:t>
      </w:r>
    </w:p>
    <w:p>
      <w:pPr>
        <w:pStyle w:val="Standard"/>
        <w:jc w:val="center"/>
        <w:rPr>
          <w:rFonts w:ascii="Calibri" w:hAnsi="Calibri" w:cs="Times New Roman"/>
          <w:color w:val="000000"/>
          <w:kern w:val="0"/>
        </w:rPr>
      </w:pPr>
      <w:r>
        <w:rPr>
          <w:rFonts w:cs="Times New Roman" w:ascii="Calibri" w:hAnsi="Calibri"/>
          <w:color w:val="000000"/>
          <w:kern w:val="0"/>
        </w:rPr>
        <w:t>Responsável do Setor Requisitante</w:t>
      </w:r>
    </w:p>
    <w:p>
      <w:pPr>
        <w:pStyle w:val="Standard"/>
        <w:jc w:val="center"/>
        <w:rPr>
          <w:rFonts w:ascii="Calibri" w:hAnsi="Calibri"/>
          <w:color w:val="CE181E"/>
        </w:rPr>
      </w:pPr>
      <w:r>
        <w:rPr>
          <w:rFonts w:ascii="Calibri" w:hAnsi="Calibri"/>
          <w:color w:val="CE181E"/>
        </w:rPr>
      </w:r>
    </w:p>
    <w:p>
      <w:pPr>
        <w:pStyle w:val="Standard"/>
        <w:jc w:val="center"/>
        <w:rPr>
          <w:rFonts w:ascii="Calibri" w:hAnsi="Calibri" w:cs="Times New Roman"/>
          <w:color w:val="CE181E"/>
        </w:rPr>
      </w:pPr>
      <w:r>
        <w:rPr>
          <w:rFonts w:cs="Times New Roman" w:ascii="Calibri" w:hAnsi="Calibri"/>
          <w:color w:val="CE181E"/>
        </w:rPr>
      </w:r>
    </w:p>
    <w:p>
      <w:pPr>
        <w:pStyle w:val="Standard"/>
        <w:jc w:val="center"/>
        <w:rPr>
          <w:rFonts w:ascii="Calibri" w:hAnsi="Calibri" w:cs="Times New Roman"/>
          <w:color w:val="CE181E"/>
        </w:rPr>
      </w:pPr>
      <w:r>
        <w:rPr>
          <w:rFonts w:cs="Times New Roman" w:ascii="Calibri" w:hAnsi="Calibri"/>
          <w:color w:val="CE181E"/>
        </w:rPr>
      </w:r>
    </w:p>
    <w:p>
      <w:pPr>
        <w:pStyle w:val="Standard"/>
        <w:jc w:val="center"/>
        <w:rPr>
          <w:rFonts w:ascii="Calibri" w:hAnsi="Calibri" w:cs="Times New Roman"/>
          <w:color w:val="CE181E"/>
        </w:rPr>
      </w:pPr>
      <w:r>
        <w:rPr>
          <w:rFonts w:cs="Times New Roman" w:ascii="Calibri" w:hAnsi="Calibri"/>
          <w:color w:val="CE181E"/>
        </w:rPr>
      </w:r>
    </w:p>
    <w:p>
      <w:pPr>
        <w:pStyle w:val="Standard"/>
        <w:jc w:val="center"/>
        <w:rPr>
          <w:rFonts w:ascii="Calibri" w:hAnsi="Calibri" w:cs="Times New Roman"/>
          <w:color w:val="000000"/>
        </w:rPr>
      </w:pPr>
      <w:r>
        <w:rPr>
          <w:rFonts w:cs="Times New Roman" w:ascii="Calibri" w:hAnsi="Calibri"/>
          <w:color w:val="000000"/>
        </w:rPr>
        <w:t>RODOLPHO DE SOUZA LEMOS DE OLIVEIRA</w:t>
      </w:r>
    </w:p>
    <w:p>
      <w:pPr>
        <w:pStyle w:val="Standard"/>
        <w:jc w:val="center"/>
        <w:rPr>
          <w:rFonts w:ascii="Calibri" w:hAnsi="Calibri" w:cs="Times New Roman"/>
          <w:color w:val="000000"/>
        </w:rPr>
      </w:pPr>
      <w:r>
        <w:rPr>
          <w:rFonts w:cs="Times New Roman" w:ascii="Calibri" w:hAnsi="Calibri"/>
          <w:color w:val="000000"/>
        </w:rPr>
        <w:t>Terceiro-Sargento (ES)</w:t>
      </w:r>
    </w:p>
    <w:p>
      <w:pPr>
        <w:pStyle w:val="Standard"/>
        <w:jc w:val="center"/>
        <w:rPr>
          <w:rFonts w:ascii="Calibri" w:hAnsi="Calibri" w:cs="Times New Roman"/>
          <w:color w:val="000000"/>
        </w:rPr>
      </w:pPr>
      <w:r>
        <w:rPr>
          <w:rFonts w:eastAsia="Calibri" w:cs="Times New Roman" w:ascii="Calibri" w:hAnsi="Calibri"/>
          <w:color w:val="000000"/>
          <w:lang w:eastAsia="en-US"/>
        </w:rPr>
        <w:t>Auxiliar da Seç</w:t>
      </w:r>
      <w:r>
        <w:rPr>
          <w:rFonts w:cs="Times New Roman" w:ascii="Calibri" w:hAnsi="Calibri"/>
          <w:color w:val="000000"/>
        </w:rPr>
        <w:t>ão de Licitações e Contratos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Ttulo5"/>
        <w:tabs>
          <w:tab w:val="clear" w:pos="709"/>
          <w:tab w:val="left" w:pos="5458" w:leader="none"/>
        </w:tabs>
        <w:snapToGrid w:val="false"/>
        <w:spacing w:before="0" w:after="0"/>
        <w:jc w:val="center"/>
        <w:rPr>
          <w:rFonts w:ascii="Calibri" w:hAnsi="Calibri" w:eastAsia="Times New Roman" w:cs="Times New Roman"/>
          <w:color w:val="000000"/>
        </w:rPr>
      </w:pPr>
      <w:r>
        <w:rPr>
          <w:rFonts w:eastAsia="Times New Roman" w:cs="Times New Roman" w:ascii="Calibri" w:hAnsi="Calibri"/>
          <w:color w:val="000000"/>
        </w:rPr>
        <w:t>MARCIO CLAUDIO BOMFIM OLIVEIRA</w:t>
      </w:r>
    </w:p>
    <w:p>
      <w:pPr>
        <w:pStyle w:val="Standard"/>
        <w:tabs>
          <w:tab w:val="clear" w:pos="709"/>
          <w:tab w:val="left" w:pos="4902" w:leader="none"/>
        </w:tabs>
        <w:snapToGrid w:val="false"/>
        <w:jc w:val="center"/>
        <w:rPr>
          <w:rFonts w:ascii="Calibri" w:hAnsi="Calibri" w:cs="Times New Roman"/>
          <w:color w:val="000000"/>
        </w:rPr>
      </w:pPr>
      <w:r>
        <w:rPr>
          <w:rFonts w:cs="Times New Roman" w:ascii="Calibri" w:hAnsi="Calibri"/>
          <w:color w:val="000000"/>
        </w:rPr>
        <w:t>Capitão de Mar e Guerra</w:t>
      </w:r>
    </w:p>
    <w:p>
      <w:pPr>
        <w:pStyle w:val="Standard"/>
        <w:tabs>
          <w:tab w:val="clear" w:pos="709"/>
          <w:tab w:val="left" w:pos="4902" w:leader="none"/>
        </w:tabs>
        <w:snapToGrid w:val="false"/>
        <w:spacing w:before="0" w:after="200"/>
        <w:jc w:val="center"/>
        <w:rPr>
          <w:rFonts w:ascii="Calibri" w:hAnsi="Calibri" w:cs="Times New Roman"/>
          <w:color w:val="000000"/>
        </w:rPr>
      </w:pPr>
      <w:r>
        <w:rPr>
          <w:rFonts w:cs="Times New Roman" w:ascii="Calibri" w:hAnsi="Calibri"/>
          <w:color w:val="000000"/>
        </w:rPr>
        <w:t>Ordenador de Despesas</w:t>
      </w:r>
    </w:p>
    <w:sectPr>
      <w:footerReference w:type="default" r:id="rId2"/>
      <w:footerReference w:type="first" r:id="rId3"/>
      <w:type w:val="nextPage"/>
      <w:pgSz w:w="11906" w:h="16838"/>
      <w:pgMar w:left="1701" w:right="1134" w:gutter="0" w:header="0" w:top="840" w:footer="569" w:bottom="853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swiss"/>
    <w:pitch w:val="variable"/>
  </w:font>
  <w:font w:name="Calibri Light">
    <w:charset w:val="01"/>
    <w:family w:val="swiss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Ecofont_Spranq_eco_Sans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ymbo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Calibri Light">
    <w:charset w:val="01"/>
    <w:family w:val="roman"/>
    <w:pitch w:val="variable"/>
  </w:font>
  <w:font w:name="Calibri">
    <w:altName w:val=" ''Century Gothic''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0" w:after="200"/>
      <w:jc w:val="center"/>
      <w:rPr/>
    </w:pPr>
    <w:r>
      <w:rPr>
        <w:rStyle w:val="Pagenumber"/>
        <w:rFonts w:ascii="Calibri" w:hAnsi="Calibri"/>
        <w:sz w:val="20"/>
        <w:szCs w:val="20"/>
      </w:rPr>
      <w:t xml:space="preserve">Página </w:t>
    </w:r>
    <w:r>
      <w:rPr>
        <w:rStyle w:val="Pagenumber"/>
        <w:rFonts w:ascii="Calibri" w:hAnsi="Calibri"/>
        <w:sz w:val="20"/>
        <w:szCs w:val="20"/>
      </w:rPr>
      <w:fldChar w:fldCharType="begin"/>
    </w:r>
    <w:r>
      <w:rPr>
        <w:rStyle w:val="Pagenumber"/>
        <w:sz w:val="20"/>
        <w:szCs w:val="20"/>
        <w:rFonts w:ascii="Calibri" w:hAnsi="Calibri"/>
      </w:rPr>
      <w:instrText xml:space="preserve"> PAGE </w:instrText>
    </w:r>
    <w:r>
      <w:rPr>
        <w:rStyle w:val="Pagenumber"/>
        <w:sz w:val="20"/>
        <w:szCs w:val="20"/>
        <w:rFonts w:ascii="Calibri" w:hAnsi="Calibri"/>
      </w:rPr>
      <w:fldChar w:fldCharType="separate"/>
    </w:r>
    <w:r>
      <w:rPr>
        <w:rStyle w:val="Pagenumber"/>
        <w:sz w:val="20"/>
        <w:szCs w:val="20"/>
        <w:rFonts w:ascii="Calibri" w:hAnsi="Calibri"/>
      </w:rPr>
      <w:t>3</w:t>
    </w:r>
    <w:r>
      <w:rPr>
        <w:rStyle w:val="Pagenumber"/>
        <w:sz w:val="20"/>
        <w:szCs w:val="20"/>
        <w:rFonts w:ascii="Calibri" w:hAnsi="Calibri"/>
      </w:rPr>
      <w:fldChar w:fldCharType="end"/>
    </w:r>
    <w:r>
      <w:rPr>
        <w:rStyle w:val="Pagenumber"/>
        <w:rFonts w:ascii="Calibri" w:hAnsi="Calibri"/>
        <w:sz w:val="20"/>
        <w:szCs w:val="20"/>
      </w:rPr>
      <w:t xml:space="preserve"> de </w:t>
    </w:r>
    <w:r>
      <w:rPr>
        <w:rStyle w:val="Pagenumber"/>
        <w:rFonts w:ascii="Calibri" w:hAnsi="Calibri"/>
        <w:sz w:val="20"/>
        <w:szCs w:val="20"/>
      </w:rPr>
      <w:fldChar w:fldCharType="begin"/>
    </w:r>
    <w:r>
      <w:rPr>
        <w:rStyle w:val="Pagenumber"/>
        <w:sz w:val="20"/>
        <w:szCs w:val="20"/>
        <w:rFonts w:ascii="Calibri" w:hAnsi="Calibri"/>
      </w:rPr>
      <w:instrText xml:space="preserve"> NUMPAGES </w:instrText>
    </w:r>
    <w:r>
      <w:rPr>
        <w:rStyle w:val="Pagenumber"/>
        <w:sz w:val="20"/>
        <w:szCs w:val="20"/>
        <w:rFonts w:ascii="Calibri" w:hAnsi="Calibri"/>
      </w:rPr>
      <w:fldChar w:fldCharType="separate"/>
    </w:r>
    <w:r>
      <w:rPr>
        <w:rStyle w:val="Pagenumber"/>
        <w:sz w:val="20"/>
        <w:szCs w:val="20"/>
        <w:rFonts w:ascii="Calibri" w:hAnsi="Calibri"/>
      </w:rPr>
      <w:t>4</w:t>
    </w:r>
    <w:r>
      <w:rPr>
        <w:rStyle w:val="Pagenumber"/>
        <w:sz w:val="20"/>
        <w:szCs w:val="20"/>
        <w:rFonts w:ascii="Calibri" w:hAnsi="Calibri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0" w:after="200"/>
      <w:jc w:val="center"/>
      <w:rPr/>
    </w:pPr>
    <w:r>
      <w:rPr>
        <w:rStyle w:val="Pagenumber"/>
        <w:rFonts w:ascii="Calibri" w:hAnsi="Calibri"/>
        <w:sz w:val="20"/>
        <w:szCs w:val="20"/>
      </w:rPr>
      <w:t xml:space="preserve">Página </w:t>
    </w:r>
    <w:r>
      <w:rPr>
        <w:rStyle w:val="Pagenumber"/>
        <w:rFonts w:ascii="Calibri" w:hAnsi="Calibri"/>
        <w:sz w:val="20"/>
        <w:szCs w:val="20"/>
      </w:rPr>
      <w:fldChar w:fldCharType="begin"/>
    </w:r>
    <w:r>
      <w:rPr>
        <w:rStyle w:val="Pagenumber"/>
        <w:sz w:val="20"/>
        <w:szCs w:val="20"/>
        <w:rFonts w:ascii="Calibri" w:hAnsi="Calibri"/>
      </w:rPr>
      <w:instrText xml:space="preserve"> PAGE </w:instrText>
    </w:r>
    <w:r>
      <w:rPr>
        <w:rStyle w:val="Pagenumber"/>
        <w:sz w:val="20"/>
        <w:szCs w:val="20"/>
        <w:rFonts w:ascii="Calibri" w:hAnsi="Calibri"/>
      </w:rPr>
      <w:fldChar w:fldCharType="separate"/>
    </w:r>
    <w:r>
      <w:rPr>
        <w:rStyle w:val="Pagenumber"/>
        <w:sz w:val="20"/>
        <w:szCs w:val="20"/>
        <w:rFonts w:ascii="Calibri" w:hAnsi="Calibri"/>
      </w:rPr>
      <w:t>1</w:t>
    </w:r>
    <w:r>
      <w:rPr>
        <w:rStyle w:val="Pagenumber"/>
        <w:sz w:val="20"/>
        <w:szCs w:val="20"/>
        <w:rFonts w:ascii="Calibri" w:hAnsi="Calibri"/>
      </w:rPr>
      <w:fldChar w:fldCharType="end"/>
    </w:r>
    <w:r>
      <w:rPr>
        <w:rStyle w:val="Pagenumber"/>
        <w:rFonts w:ascii="Calibri" w:hAnsi="Calibri"/>
        <w:sz w:val="20"/>
        <w:szCs w:val="20"/>
      </w:rPr>
      <w:t xml:space="preserve"> de </w:t>
    </w:r>
    <w:r>
      <w:rPr>
        <w:rStyle w:val="Pagenumber"/>
        <w:rFonts w:ascii="Calibri" w:hAnsi="Calibri"/>
        <w:sz w:val="20"/>
        <w:szCs w:val="20"/>
      </w:rPr>
      <w:fldChar w:fldCharType="begin"/>
    </w:r>
    <w:r>
      <w:rPr>
        <w:rStyle w:val="Pagenumber"/>
        <w:sz w:val="20"/>
        <w:szCs w:val="20"/>
        <w:rFonts w:ascii="Calibri" w:hAnsi="Calibri"/>
      </w:rPr>
      <w:instrText xml:space="preserve"> NUMPAGES </w:instrText>
    </w:r>
    <w:r>
      <w:rPr>
        <w:rStyle w:val="Pagenumber"/>
        <w:sz w:val="20"/>
        <w:szCs w:val="20"/>
        <w:rFonts w:ascii="Calibri" w:hAnsi="Calibri"/>
      </w:rPr>
      <w:fldChar w:fldCharType="separate"/>
    </w:r>
    <w:r>
      <w:rPr>
        <w:rStyle w:val="Pagenumber"/>
        <w:sz w:val="20"/>
        <w:szCs w:val="20"/>
        <w:rFonts w:ascii="Calibri" w:hAnsi="Calibri"/>
      </w:rPr>
      <w:t>4</w:t>
    </w:r>
    <w:r>
      <w:rPr>
        <w:rStyle w:val="Pagenumber"/>
        <w:sz w:val="20"/>
        <w:szCs w:val="20"/>
        <w:rFonts w:ascii="Calibri" w:hAnsi="Calibri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 %1 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suff w:val="nothing"/>
      <w:lvlText w:val=" %1.%2 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suff w:val="nothing"/>
      <w:lvlText w:val=" %1.%2.%3.%4 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 %1.%2.%3.%4.%5 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 %1.%2.%3.%4.%5.%6 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 %1.%2.%3.%4.%5.%6.%7 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 %1.%2.%3.%4.%5.%6.%7.%8 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 %1.%2.%3.%4.%5.%6.%7.%8.%9 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uiPriority w:val="9"/>
    <w:qFormat/>
    <w:pPr>
      <w:outlineLvl w:val="0"/>
    </w:pPr>
    <w:rPr/>
  </w:style>
  <w:style w:type="paragraph" w:styleId="Ttulo2">
    <w:name w:val="Heading 2"/>
    <w:basedOn w:val="Standard"/>
    <w:uiPriority w:val="9"/>
    <w:unhideWhenUsed/>
    <w:qFormat/>
    <w:pPr>
      <w:keepNext w:val="true"/>
      <w:tabs>
        <w:tab w:val="clear" w:pos="709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Ttulo3">
    <w:name w:val="Heading 3"/>
    <w:basedOn w:val="Ttulo"/>
    <w:uiPriority w:val="9"/>
    <w:unhideWhenUsed/>
    <w:qFormat/>
    <w:pPr>
      <w:outlineLvl w:val="2"/>
    </w:pPr>
    <w:rPr/>
  </w:style>
  <w:style w:type="paragraph" w:styleId="Ttulo5">
    <w:name w:val="Heading 5"/>
    <w:basedOn w:val="Standard"/>
    <w:next w:val="Standard"/>
    <w:uiPriority w:val="9"/>
    <w:unhideWhenUsed/>
    <w:qFormat/>
    <w:pPr>
      <w:keepNext w:val="true"/>
      <w:keepLines/>
      <w:spacing w:before="200" w:after="120"/>
      <w:outlineLvl w:val="4"/>
    </w:pPr>
    <w:rPr>
      <w:rFonts w:ascii="Calibri Light" w:hAnsi="Calibri Light" w:eastAsia="SimSun" w:cs="Mangal"/>
      <w:color w:val="243F6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tulo2Char" w:customStyle="1">
    <w:name w:val="Título 2 Char"/>
    <w:qFormat/>
    <w:rPr>
      <w:b/>
      <w:color w:val="000000"/>
      <w:sz w:val="24"/>
    </w:rPr>
  </w:style>
  <w:style w:type="character" w:styleId="Normalchar1" w:customStyle="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Applestylespan" w:customStyle="1">
    <w:name w:val="apple-style-span"/>
    <w:basedOn w:val="DefaultParagraphFont"/>
    <w:qFormat/>
    <w:rPr/>
  </w:style>
  <w:style w:type="character" w:styleId="LinkdaInternet" w:customStyle="1">
    <w:name w:val="Link da Internet"/>
    <w:qFormat/>
    <w:rPr>
      <w:color w:val="000080"/>
      <w:u w:val="single"/>
    </w:rPr>
  </w:style>
  <w:style w:type="character" w:styleId="CitaoChar" w:customStyle="1">
    <w:name w:val="Citação Char"/>
    <w:qFormat/>
    <w:rPr>
      <w:rFonts w:ascii="Ecofont_Spranq_eco_Sans" w:hAnsi="Ecofont_Spranq_eco_Sans" w:eastAsia="Calibri" w:cs="Tahoma"/>
      <w:i/>
      <w:iCs/>
      <w:color w:val="000000"/>
      <w:sz w:val="24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Pr>
      <w:rFonts w:ascii="Ecofont_Spranq_eco_Sans" w:hAnsi="Ecofont_Spranq_eco_Sans" w:eastAsia="Calibri" w:cs="Tahoma"/>
      <w:i/>
      <w:iCs/>
      <w:color w:val="000000"/>
      <w:sz w:val="24"/>
      <w:szCs w:val="24"/>
      <w:shd w:fill="FFFFCC" w:val="clear"/>
      <w:lang w:eastAsia="en-US"/>
    </w:rPr>
  </w:style>
  <w:style w:type="character" w:styleId="GradeColoridanfase1Char" w:customStyle="1">
    <w:name w:val="Grade Colorida - Ênfase 1 Char"/>
    <w:qFormat/>
    <w:rPr>
      <w:rFonts w:ascii="Ecofont_Spranq_eco_Sans" w:hAnsi="Ecofont_Spranq_eco_Sans" w:eastAsia="Calibri" w:cs="Tahoma"/>
      <w:i/>
      <w:iCs/>
      <w:color w:val="000000"/>
      <w:sz w:val="24"/>
      <w:szCs w:val="24"/>
      <w:shd w:fill="FFFFCC" w:val="clear"/>
      <w:lang w:eastAsia="en-US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 w:customStyle="1">
    <w:name w:val="Texto de comentário Char"/>
    <w:basedOn w:val="DefaultParagraphFont"/>
    <w:qFormat/>
    <w:rPr>
      <w:rFonts w:ascii="Ecofont_Spranq_eco_Sans" w:hAnsi="Ecofont_Spranq_eco_Sans" w:eastAsia="Ecofont_Spranq_eco_Sans" w:cs="Tahoma"/>
    </w:rPr>
  </w:style>
  <w:style w:type="character" w:styleId="CabealhoChar" w:customStyle="1">
    <w:name w:val="Cabeçalho Char"/>
    <w:basedOn w:val="DefaultParagraphFont"/>
    <w:qFormat/>
    <w:rPr>
      <w:rFonts w:ascii="Ecofont_Spranq_eco_Sans" w:hAnsi="Ecofont_Spranq_eco_Sans" w:eastAsia="Ecofont_Spranq_eco_Sans" w:cs="Tahoma"/>
      <w:sz w:val="24"/>
      <w:szCs w:val="24"/>
    </w:rPr>
  </w:style>
  <w:style w:type="character" w:styleId="RodapChar" w:customStyle="1">
    <w:name w:val="Rodapé Char"/>
    <w:basedOn w:val="DefaultParagraphFont"/>
    <w:qFormat/>
    <w:rPr>
      <w:rFonts w:ascii="Ecofont_Spranq_eco_Sans" w:hAnsi="Ecofont_Spranq_eco_Sans" w:eastAsia="Ecofont_Spranq_eco_Sans" w:cs="Tahoma"/>
      <w:sz w:val="24"/>
      <w:szCs w:val="24"/>
    </w:rPr>
  </w:style>
  <w:style w:type="character" w:styleId="Smbolosdenumerao" w:customStyle="1">
    <w:name w:val="Símbolos de numeração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Pagenumber">
    <w:name w:val="page number"/>
    <w:basedOn w:val="DefaultParagraphFont"/>
    <w:qFormat/>
    <w:rPr/>
  </w:style>
  <w:style w:type="character" w:styleId="CharChar" w:customStyle="1">
    <w:name w:val="Char Char"/>
    <w:basedOn w:val="DefaultParagraphFont"/>
    <w:qFormat/>
    <w:rPr>
      <w:szCs w:val="21"/>
    </w:rPr>
  </w:style>
  <w:style w:type="character" w:styleId="CharChar1" w:customStyle="1">
    <w:name w:val="Char Char1"/>
    <w:basedOn w:val="DefaultParagraphFont"/>
    <w:qFormat/>
    <w:rPr>
      <w:szCs w:val="21"/>
    </w:rPr>
  </w:style>
  <w:style w:type="character" w:styleId="WW8Num8z3" w:customStyle="1">
    <w:name w:val="WW8Num8z3"/>
    <w:qFormat/>
    <w:rPr>
      <w:rFonts w:ascii="Symbol" w:hAnsi="Symbol" w:eastAsia="Symbol" w:cs="Symbol"/>
    </w:rPr>
  </w:style>
  <w:style w:type="character" w:styleId="WW8Num8z2" w:customStyle="1">
    <w:name w:val="WW8Num8z2"/>
    <w:qFormat/>
    <w:rPr>
      <w:rFonts w:ascii="Wingdings" w:hAnsi="Wingdings" w:eastAsia="Wingdings" w:cs="Wingdings"/>
    </w:rPr>
  </w:style>
  <w:style w:type="character" w:styleId="WW8Num8z1" w:customStyle="1">
    <w:name w:val="WW8Num8z1"/>
    <w:qFormat/>
    <w:rPr>
      <w:rFonts w:ascii="Courier New" w:hAnsi="Courier New" w:eastAsia="Courier New" w:cs="Courier New"/>
    </w:rPr>
  </w:style>
  <w:style w:type="character" w:styleId="WW8Num7z3" w:customStyle="1">
    <w:name w:val="WW8Num7z3"/>
    <w:qFormat/>
    <w:rPr>
      <w:rFonts w:ascii="Symbol" w:hAnsi="Symbol" w:eastAsia="Symbol" w:cs="Symbol"/>
    </w:rPr>
  </w:style>
  <w:style w:type="character" w:styleId="WW8Num7z2" w:customStyle="1">
    <w:name w:val="WW8Num7z2"/>
    <w:qFormat/>
    <w:rPr>
      <w:rFonts w:ascii="Wingdings" w:hAnsi="Wingdings" w:eastAsia="Wingdings" w:cs="Wingdings"/>
    </w:rPr>
  </w:style>
  <w:style w:type="character" w:styleId="WW8Num7z1" w:customStyle="1">
    <w:name w:val="WW8Num7z1"/>
    <w:qFormat/>
    <w:rPr>
      <w:rFonts w:ascii="Courier New" w:hAnsi="Courier New" w:eastAsia="Courier New" w:cs="Courier New"/>
    </w:rPr>
  </w:style>
  <w:style w:type="character" w:styleId="WW8Num4z3" w:customStyle="1">
    <w:name w:val="WW8Num4z3"/>
    <w:qFormat/>
    <w:rPr>
      <w:rFonts w:ascii="Symbol" w:hAnsi="Symbol" w:eastAsia="Symbol" w:cs="Symbol"/>
    </w:rPr>
  </w:style>
  <w:style w:type="character" w:styleId="WW8Num4z2" w:customStyle="1">
    <w:name w:val="WW8Num4z2"/>
    <w:qFormat/>
    <w:rPr>
      <w:rFonts w:ascii="Wingdings" w:hAnsi="Wingdings" w:eastAsia="Wingdings" w:cs="Wingdings"/>
    </w:rPr>
  </w:style>
  <w:style w:type="character" w:styleId="WW8Num4z1" w:customStyle="1">
    <w:name w:val="WW8Num4z1"/>
    <w:qFormat/>
    <w:rPr>
      <w:rFonts w:ascii="Courier New" w:hAnsi="Courier New" w:eastAsia="Courier New" w:cs="Courier New"/>
    </w:rPr>
  </w:style>
  <w:style w:type="character" w:styleId="WW8Num4z0" w:customStyle="1">
    <w:name w:val="WW8Num4z0"/>
    <w:qFormat/>
    <w:rPr>
      <w:rFonts w:ascii="Wingdings" w:hAnsi="Wingdings" w:eastAsia="Calibri, ''Century Gothic''" w:cs="Times New Roman"/>
    </w:rPr>
  </w:style>
  <w:style w:type="character" w:styleId="WW8Num3z3" w:customStyle="1">
    <w:name w:val="WW8Num3z3"/>
    <w:qFormat/>
    <w:rPr>
      <w:rFonts w:ascii="Symbol" w:hAnsi="Symbol" w:eastAsia="Symbol" w:cs="Symbol"/>
    </w:rPr>
  </w:style>
  <w:style w:type="character" w:styleId="WW8Num3z2" w:customStyle="1">
    <w:name w:val="WW8Num3z2"/>
    <w:qFormat/>
    <w:rPr>
      <w:rFonts w:ascii="Wingdings" w:hAnsi="Wingdings" w:eastAsia="Wingdings" w:cs="Wingdings"/>
    </w:rPr>
  </w:style>
  <w:style w:type="character" w:styleId="WW8Num3z1" w:customStyle="1">
    <w:name w:val="WW8Num3z1"/>
    <w:qFormat/>
    <w:rPr>
      <w:rFonts w:ascii="Courier New" w:hAnsi="Courier New" w:eastAsia="Courier New" w:cs="Courier New"/>
    </w:rPr>
  </w:style>
  <w:style w:type="character" w:styleId="WW8Num3z0" w:customStyle="1">
    <w:name w:val="WW8Num3z0"/>
    <w:qFormat/>
    <w:rPr>
      <w:rFonts w:ascii="Wingdings" w:hAnsi="Wingdings" w:eastAsia="Calibri, ''Century Gothic''" w:cs="Times New Roman"/>
    </w:rPr>
  </w:style>
  <w:style w:type="character" w:styleId="WW8Num2z3" w:customStyle="1">
    <w:name w:val="WW8Num2z3"/>
    <w:qFormat/>
    <w:rPr>
      <w:rFonts w:ascii="Symbol" w:hAnsi="Symbol" w:eastAsia="Symbol" w:cs="Symbol"/>
    </w:rPr>
  </w:style>
  <w:style w:type="character" w:styleId="WW8Num2z2" w:customStyle="1">
    <w:name w:val="WW8Num2z2"/>
    <w:qFormat/>
    <w:rPr>
      <w:rFonts w:ascii="Wingdings" w:hAnsi="Wingdings" w:eastAsia="Wingdings" w:cs="Wingdings"/>
    </w:rPr>
  </w:style>
  <w:style w:type="character" w:styleId="WW8Num2z1" w:customStyle="1">
    <w:name w:val="WW8Num2z1"/>
    <w:qFormat/>
    <w:rPr>
      <w:rFonts w:ascii="Courier New" w:hAnsi="Courier New" w:eastAsia="Courier New" w:cs="Courier New"/>
    </w:rPr>
  </w:style>
  <w:style w:type="character" w:styleId="WW8Num2z0" w:customStyle="1">
    <w:name w:val="WW8Num2z0"/>
    <w:qFormat/>
    <w:rPr>
      <w:rFonts w:ascii="Wingdings" w:hAnsi="Wingdings" w:eastAsia="Calibri, ''Century Gothic''" w:cs="Times New Roman"/>
    </w:rPr>
  </w:style>
  <w:style w:type="character" w:styleId="WW8Num1z3" w:customStyle="1">
    <w:name w:val="WW8Num1z3"/>
    <w:qFormat/>
    <w:rPr>
      <w:rFonts w:ascii="Symbol" w:hAnsi="Symbol" w:eastAsia="Symbol" w:cs="Symbol"/>
    </w:rPr>
  </w:style>
  <w:style w:type="character" w:styleId="WW8Num1z2" w:customStyle="1">
    <w:name w:val="WW8Num1z2"/>
    <w:qFormat/>
    <w:rPr>
      <w:rFonts w:ascii="Wingdings" w:hAnsi="Wingdings" w:eastAsia="Wingdings" w:cs="Wingdings"/>
    </w:rPr>
  </w:style>
  <w:style w:type="character" w:styleId="WW8Num1z1" w:customStyle="1">
    <w:name w:val="WW8Num1z1"/>
    <w:qFormat/>
    <w:rPr>
      <w:rFonts w:ascii="Courier New" w:hAnsi="Courier New" w:eastAsia="Courier New" w:cs="Courier New"/>
    </w:rPr>
  </w:style>
  <w:style w:type="character" w:styleId="WW8Num1z0" w:customStyle="1">
    <w:name w:val="WW8Num1z0"/>
    <w:qFormat/>
    <w:rPr>
      <w:rFonts w:ascii="Wingdings" w:hAnsi="Wingdings" w:eastAsia="Calibri, ''Century Gothic''" w:cs="Times New Roman"/>
    </w:rPr>
  </w:style>
  <w:style w:type="character" w:styleId="AbsatzStandardschriftart" w:customStyle="1">
    <w:name w:val="Absatz-Standardschriftart"/>
    <w:qFormat/>
    <w:rPr/>
  </w:style>
  <w:style w:type="character" w:styleId="WW8Num10z0" w:customStyle="1">
    <w:name w:val="WW8Num10z0"/>
    <w:qFormat/>
    <w:rPr>
      <w:rFonts w:ascii="Symbol" w:hAnsi="Symbol" w:eastAsia="Symbol" w:cs="Symbol"/>
    </w:rPr>
  </w:style>
  <w:style w:type="character" w:styleId="WW8Num9zfalse" w:customStyle="1">
    <w:name w:val="WW8Num9zfalse"/>
    <w:qFormat/>
    <w:rPr/>
  </w:style>
  <w:style w:type="character" w:styleId="WW8Num8z0" w:customStyle="1">
    <w:name w:val="WW8Num8z0"/>
    <w:qFormat/>
    <w:rPr>
      <w:rFonts w:ascii="Wingdings" w:hAnsi="Wingdings" w:eastAsia="Calibri, ''Century Gothic''" w:cs="Times New Roman"/>
    </w:rPr>
  </w:style>
  <w:style w:type="character" w:styleId="WW8Num7z0" w:customStyle="1">
    <w:name w:val="WW8Num7z0"/>
    <w:qFormat/>
    <w:rPr>
      <w:rFonts w:ascii="Wingdings" w:hAnsi="Wingdings" w:eastAsia="Calibri, ''Century Gothic''" w:cs="Times New Roman"/>
    </w:rPr>
  </w:style>
  <w:style w:type="character" w:styleId="WW8Num6z0" w:customStyle="1">
    <w:name w:val="WW8Num6z0"/>
    <w:qFormat/>
    <w:rPr>
      <w:rFonts w:ascii="Symbol" w:hAnsi="Symbol" w:eastAsia="Symbol" w:cs="Symbol"/>
    </w:rPr>
  </w:style>
  <w:style w:type="character" w:styleId="WW8Num5z0" w:customStyle="1">
    <w:name w:val="WW8Num5z0"/>
    <w:qFormat/>
    <w:rPr>
      <w:rFonts w:ascii="Symbol" w:hAnsi="Symbol" w:eastAsia="Symbol" w:cs="Symbol"/>
    </w:rPr>
  </w:style>
  <w:style w:type="character" w:styleId="WW8Num4zfalse" w:customStyle="1">
    <w:name w:val="WW8Num4zfalse"/>
    <w:qFormat/>
    <w:rPr/>
  </w:style>
  <w:style w:type="character" w:styleId="WW8Num3zfalse" w:customStyle="1">
    <w:name w:val="WW8Num3zfalse"/>
    <w:qFormat/>
    <w:rPr/>
  </w:style>
  <w:style w:type="character" w:styleId="WW8Num2zfalse" w:customStyle="1">
    <w:name w:val="WW8Num2zfalse"/>
    <w:qFormat/>
    <w:rPr/>
  </w:style>
  <w:style w:type="character" w:styleId="WW8Num1zfalse" w:customStyle="1">
    <w:name w:val="WW8Num1zfalse"/>
    <w:qFormat/>
    <w:rPr/>
  </w:style>
  <w:style w:type="character" w:styleId="FootnoteSymbol" w:customStyle="1">
    <w:name w:val="Footnote Symbol"/>
    <w:qFormat/>
    <w:rPr/>
  </w:style>
  <w:style w:type="character" w:styleId="Ncoradanotaderodap" w:customStyle="1">
    <w:name w:val="Âncora da nota de rodapé"/>
    <w:rPr>
      <w:vertAlign w:val="superscript"/>
    </w:rPr>
  </w:style>
  <w:style w:type="character" w:styleId="EndnoteSymbol" w:customStyle="1">
    <w:name w:val="Endnote Symbol"/>
    <w:qFormat/>
    <w:rPr/>
  </w:style>
  <w:style w:type="character" w:styleId="Ncoradanotadefim" w:customStyle="1">
    <w:name w:val="Âncora da nota de fim"/>
    <w:rPr>
      <w:vertAlign w:val="superscript"/>
    </w:rPr>
  </w:style>
  <w:style w:type="character" w:styleId="Zeichenformat" w:customStyle="1">
    <w:name w:val="Zeichenformat"/>
    <w:qFormat/>
    <w:rPr/>
  </w:style>
  <w:style w:type="character" w:styleId="MenoPendente3" w:customStyle="1">
    <w:name w:val="Menção Pendente3"/>
    <w:qFormat/>
    <w:rPr>
      <w:color w:val="605E5C"/>
      <w:shd w:fill="E1DFDD" w:val="clear"/>
    </w:rPr>
  </w:style>
  <w:style w:type="character" w:styleId="Nivel2Char" w:customStyle="1">
    <w:name w:val="Nivel 2 Char"/>
    <w:qFormat/>
    <w:rPr>
      <w:rFonts w:ascii="Arial" w:hAnsi="Arial" w:eastAsia="Arial" w:cs="Arial"/>
      <w:color w:val="000000"/>
    </w:rPr>
  </w:style>
  <w:style w:type="character" w:styleId="MenoPendente2" w:customStyle="1">
    <w:name w:val="Menção Pendente2"/>
    <w:qFormat/>
    <w:rPr>
      <w:color w:val="605E5C"/>
      <w:shd w:fill="E1DFDD" w:val="clear"/>
    </w:rPr>
  </w:style>
  <w:style w:type="character" w:styleId="Highlight" w:customStyle="1">
    <w:name w:val="highlight"/>
    <w:qFormat/>
    <w:rPr/>
  </w:style>
  <w:style w:type="character" w:styleId="Markedcontent" w:customStyle="1">
    <w:name w:val="markedcontent"/>
    <w:qFormat/>
    <w:rPr/>
  </w:style>
  <w:style w:type="character" w:styleId="QuoteChar" w:customStyle="1">
    <w:name w:val="Quote Char"/>
    <w:qFormat/>
    <w:rPr>
      <w:rFonts w:ascii="Ecofont_Spranq_eco_Sans" w:hAnsi="Ecofont_Spranq_eco_Sans" w:eastAsia="Ecofont_Spranq_eco_Sans" w:cs="Ecofont_Spranq_eco_Sans"/>
      <w:i/>
      <w:iCs/>
      <w:color w:val="000000"/>
      <w:sz w:val="24"/>
      <w:szCs w:val="24"/>
      <w:shd w:fill="FFFFCC" w:val="clear"/>
    </w:rPr>
  </w:style>
  <w:style w:type="character" w:styleId="Ttulo6Char" w:customStyle="1">
    <w:name w:val="Título 6 Char"/>
    <w:qFormat/>
    <w:rPr>
      <w:rFonts w:ascii="Calibri Light" w:hAnsi="Calibri Light" w:eastAsia="Calibri Light" w:cs="Calibri Light"/>
      <w:color w:val="1F3763"/>
    </w:rPr>
  </w:style>
  <w:style w:type="character" w:styleId="AssuntodocomentrioChar" w:customStyle="1">
    <w:name w:val="Assunto do comentário Char"/>
    <w:qFormat/>
    <w:rPr>
      <w:b/>
      <w:sz w:val="20"/>
    </w:rPr>
  </w:style>
  <w:style w:type="character" w:styleId="MenoPendente1" w:customStyle="1">
    <w:name w:val="Menção Pendente1"/>
    <w:qFormat/>
    <w:rPr>
      <w:color w:val="605E5C"/>
      <w:shd w:fill="E1DFDD" w:val="clear"/>
    </w:rPr>
  </w:style>
  <w:style w:type="character" w:styleId="Strong">
    <w:name w:val="Strong"/>
    <w:uiPriority w:val="22"/>
    <w:qFormat/>
    <w:rPr>
      <w:b/>
    </w:rPr>
  </w:style>
  <w:style w:type="character" w:styleId="Ttulo1Char" w:customStyle="1">
    <w:name w:val="Título 1 Char"/>
    <w:qFormat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Nivel1Char" w:customStyle="1">
    <w:name w:val="Nivel1 Char"/>
    <w:qFormat/>
    <w:rPr>
      <w:rFonts w:ascii="Arial" w:hAnsi="Arial" w:eastAsia="Arial" w:cs="Arial"/>
      <w:b/>
      <w:color w:val="000000"/>
      <w:sz w:val="32"/>
      <w:szCs w:val="32"/>
    </w:rPr>
  </w:style>
  <w:style w:type="character" w:styleId="Nfaseforte" w:customStyle="1">
    <w:name w:val="Ênfase forte"/>
    <w:qFormat/>
    <w:rPr>
      <w:b/>
      <w:bCs/>
    </w:rPr>
  </w:style>
  <w:style w:type="character" w:styleId="Fontepargpadro">
    <w:name w:val="Fonte parág. padrão"/>
    <w:qFormat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Body Text"/>
    <w:basedOn w:val="Standard"/>
    <w:pPr>
      <w:spacing w:lineRule="exact" w:line="288" w:before="0" w:after="140"/>
    </w:pPr>
    <w:rPr/>
  </w:style>
  <w:style w:type="paragraph" w:styleId="Lista">
    <w:name w:val="List"/>
    <w:basedOn w:val="Textbody"/>
    <w:pPr/>
    <w:rPr>
      <w:rFonts w:cs="Mangal"/>
    </w:rPr>
  </w:style>
  <w:style w:type="paragraph" w:styleId="Legenda" w:customStyle="1">
    <w:name w:val="Caption"/>
    <w:basedOn w:val="Standard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" w:customStyle="1">
    <w:name w:val="Índice"/>
    <w:basedOn w:val="Standard"/>
    <w:qFormat/>
    <w:pPr>
      <w:suppressLineNumbers/>
    </w:pPr>
    <w:rPr>
      <w:rFonts w:cs="Tahom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''Century Gothic''" w:hAnsi="Calibri, ''Century Gothic''" w:eastAsia="Calibri, ''Century Gothic''" w:cs="Calibri, ''Century Gothic''"/>
      <w:color w:val="auto"/>
      <w:kern w:val="2"/>
      <w:sz w:val="22"/>
      <w:szCs w:val="22"/>
      <w:lang w:val="pt-BR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ListParagraph">
    <w:name w:val="List Paragraph"/>
    <w:basedOn w:val="Standard"/>
    <w:qFormat/>
    <w:pPr>
      <w:ind w:left="720" w:hanging="0"/>
    </w:pPr>
    <w:rPr/>
  </w:style>
  <w:style w:type="paragraph" w:styleId="NormalWeb">
    <w:name w:val="Normal (Web)"/>
    <w:basedOn w:val="Standard"/>
    <w:uiPriority w:val="99"/>
    <w:qFormat/>
    <w:pPr>
      <w:spacing w:before="28" w:after="28"/>
    </w:pPr>
    <w:rPr>
      <w:rFonts w:ascii="Times New Roman" w:hAnsi="Times New Roman" w:cs="Times New Roman"/>
    </w:rPr>
  </w:style>
  <w:style w:type="paragraph" w:styleId="BalloonText">
    <w:name w:val="Balloon Text"/>
    <w:basedOn w:val="Standard"/>
    <w:qFormat/>
    <w:pPr/>
    <w:rPr>
      <w:rFonts w:ascii="Tahoma" w:hAnsi="Tahoma" w:eastAsia="Tahoma" w:cs="Times New Roman"/>
      <w:sz w:val="16"/>
      <w:szCs w:val="16"/>
    </w:rPr>
  </w:style>
  <w:style w:type="paragraph" w:styleId="Nvel2" w:customStyle="1">
    <w:name w:val="Nível 2"/>
    <w:basedOn w:val="Standard"/>
    <w:qFormat/>
    <w:pPr>
      <w:spacing w:before="0" w:after="120"/>
      <w:jc w:val="both"/>
    </w:pPr>
    <w:rPr>
      <w:rFonts w:ascii="Arial" w:hAnsi="Arial" w:eastAsia="Arial" w:cs="Times New Roman"/>
      <w:b/>
      <w:sz w:val="20"/>
      <w:szCs w:val="20"/>
    </w:rPr>
  </w:style>
  <w:style w:type="paragraph" w:styleId="Quote">
    <w:name w:val="Quote"/>
    <w:basedOn w:val="Standard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paragraph" w:styleId="ListBullet5">
    <w:name w:val="List Bullet 5"/>
    <w:basedOn w:val="Standard"/>
    <w:qFormat/>
    <w:pPr/>
    <w:rPr/>
  </w:style>
  <w:style w:type="paragraph" w:styleId="Citao2" w:customStyle="1">
    <w:name w:val="citação 2"/>
    <w:basedOn w:val="Quote"/>
    <w:qFormat/>
    <w:pPr/>
    <w:rPr>
      <w:szCs w:val="20"/>
    </w:rPr>
  </w:style>
  <w:style w:type="paragraph" w:styleId="GradeColoridanfase11" w:customStyle="1">
    <w:name w:val="Grade Colorida - Ênfase 11"/>
    <w:basedOn w:val="Standard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Annotationtext">
    <w:name w:val="annotation text"/>
    <w:basedOn w:val="Standard"/>
    <w:qFormat/>
    <w:pPr/>
    <w:rPr>
      <w:sz w:val="20"/>
      <w:szCs w:val="20"/>
    </w:rPr>
  </w:style>
  <w:style w:type="paragraph" w:styleId="CabealhoeRodap" w:customStyle="1">
    <w:name w:val="Cabeçalho e Rodapé"/>
    <w:basedOn w:val="Standard"/>
    <w:qFormat/>
    <w:pPr/>
    <w:rPr/>
  </w:style>
  <w:style w:type="paragraph" w:styleId="Cabealho" w:customStyle="1">
    <w:name w:val="Header"/>
    <w:basedOn w:val="Standard"/>
    <w:qFormat/>
    <w:pPr/>
    <w:rPr/>
  </w:style>
  <w:style w:type="paragraph" w:styleId="Rodap" w:customStyle="1">
    <w:name w:val="Footer"/>
    <w:basedOn w:val="Standard"/>
    <w:qFormat/>
    <w:pPr/>
    <w:rPr/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Textbody"/>
    <w:qFormat/>
    <w:pPr/>
    <w:rPr/>
  </w:style>
  <w:style w:type="paragraph" w:styleId="Western1" w:customStyle="1">
    <w:name w:val="western1"/>
    <w:basedOn w:val="Standard"/>
    <w:qFormat/>
    <w:pPr>
      <w:suppressAutoHyphens w:val="false"/>
      <w:spacing w:lineRule="atLeast" w:line="221" w:before="280" w:after="0"/>
      <w:textAlignment w:val="auto"/>
    </w:pPr>
    <w:rPr>
      <w:rFonts w:cs="Times New Roman"/>
      <w:color w:val="000000"/>
    </w:rPr>
  </w:style>
  <w:style w:type="paragraph" w:styleId="Western" w:customStyle="1">
    <w:name w:val="western"/>
    <w:basedOn w:val="Standard"/>
    <w:qFormat/>
    <w:pPr>
      <w:suppressAutoHyphens w:val="false"/>
      <w:spacing w:before="280" w:after="119"/>
      <w:textAlignment w:val="auto"/>
    </w:pPr>
    <w:rPr>
      <w:rFonts w:cs="Times New Roma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, ''Century Gothic''" w:hAnsi="Calibri, ''Century Gothic''" w:eastAsia="Calibri, ''Century Gothic''" w:cs="Calibri, ''Century Gothic''"/>
      <w:color w:val="auto"/>
      <w:kern w:val="2"/>
      <w:sz w:val="22"/>
      <w:szCs w:val="22"/>
      <w:lang w:val="pt-BR" w:eastAsia="zh-CN" w:bidi="ar-SA"/>
    </w:rPr>
  </w:style>
  <w:style w:type="paragraph" w:styleId="Subttulo">
    <w:name w:val="Subtitle"/>
    <w:basedOn w:val="Ttulo"/>
    <w:next w:val="Textbody"/>
    <w:uiPriority w:val="11"/>
    <w:qFormat/>
    <w:pPr>
      <w:jc w:val="center"/>
    </w:pPr>
    <w:rPr>
      <w:i/>
      <w:iCs/>
    </w:rPr>
  </w:style>
  <w:style w:type="paragraph" w:styleId="Ttulo2TRDPF" w:customStyle="1">
    <w:name w:val="Título 2 - TRDPF"/>
    <w:basedOn w:val="Standard"/>
    <w:qFormat/>
    <w:pPr>
      <w:numPr>
        <w:ilvl w:val="0"/>
        <w:numId w:val="1"/>
      </w:numPr>
      <w:jc w:val="both"/>
    </w:pPr>
    <w:rPr>
      <w:rFonts w:ascii="Times New Roman" w:hAnsi="Times New Roman" w:cs="Times New Roman"/>
      <w:b/>
      <w:bCs/>
      <w:color w:val="000000"/>
    </w:rPr>
  </w:style>
  <w:style w:type="paragraph" w:styleId="Footnote" w:customStyle="1">
    <w:name w:val="Footnote"/>
    <w:basedOn w:val="Standard"/>
    <w:qFormat/>
    <w:pPr/>
    <w:rPr/>
  </w:style>
  <w:style w:type="paragraph" w:styleId="Endnote" w:customStyle="1">
    <w:name w:val="Endnote"/>
    <w:basedOn w:val="Standard"/>
    <w:qFormat/>
    <w:pPr/>
    <w:rPr/>
  </w:style>
  <w:style w:type="paragraph" w:styleId="Citaes" w:customStyle="1">
    <w:name w:val="Citações"/>
    <w:basedOn w:val="Standard"/>
    <w:qFormat/>
    <w:pPr/>
    <w:rPr/>
  </w:style>
  <w:style w:type="paragraph" w:styleId="Ttulododocumento">
    <w:name w:val="Title"/>
    <w:basedOn w:val="Ttulo"/>
    <w:uiPriority w:val="10"/>
    <w:qFormat/>
    <w:pPr/>
    <w:rPr/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t-BR" w:eastAsia="zh-CN" w:bidi="hi-IN"/>
    </w:rPr>
  </w:style>
  <w:style w:type="paragraph" w:styleId="PADRO" w:customStyle="1">
    <w:name w:val="PADRÃO"/>
    <w:qFormat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Lohit Hindi" w:cs="Liberation Serif"/>
      <w:color w:val="00000A"/>
      <w:kern w:val="0"/>
      <w:sz w:val="20"/>
      <w:szCs w:val="24"/>
      <w:lang w:val="pt-BR" w:eastAsia="hi-IN" w:bidi="hi-IN"/>
    </w:rPr>
  </w:style>
  <w:style w:type="paragraph" w:styleId="Nivel5" w:customStyle="1">
    <w:name w:val="Nivel 5"/>
    <w:qFormat/>
    <w:pPr>
      <w:widowControl w:val="false"/>
      <w:tabs>
        <w:tab w:val="clear" w:pos="709"/>
        <w:tab w:val="left" w:pos="3845" w:leader="none"/>
      </w:tabs>
      <w:suppressAutoHyphens w:val="true"/>
      <w:bidi w:val="0"/>
      <w:spacing w:lineRule="exact" w:line="276" w:before="120" w:after="120"/>
      <w:ind w:left="3485" w:hanging="792"/>
      <w:contextualSpacing/>
      <w:jc w:val="both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pt-BR" w:eastAsia="ar-SA" w:bidi="hi-IN"/>
    </w:rPr>
  </w:style>
  <w:style w:type="paragraph" w:styleId="Nivel4" w:customStyle="1">
    <w:name w:val="Nivel 4"/>
    <w:qFormat/>
    <w:pPr>
      <w:widowControl w:val="false"/>
      <w:tabs>
        <w:tab w:val="clear" w:pos="709"/>
        <w:tab w:val="left" w:pos="2851" w:leader="none"/>
      </w:tabs>
      <w:suppressAutoHyphens w:val="true"/>
      <w:bidi w:val="0"/>
      <w:spacing w:lineRule="exact" w:line="276" w:before="120" w:after="120"/>
      <w:ind w:left="2491" w:hanging="648"/>
      <w:contextualSpacing/>
      <w:jc w:val="both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pt-BR" w:eastAsia="ar-SA" w:bidi="hi-IN"/>
    </w:rPr>
  </w:style>
  <w:style w:type="paragraph" w:styleId="Nivel3" w:customStyle="1">
    <w:name w:val="Nivel 3"/>
    <w:qFormat/>
    <w:pPr>
      <w:widowControl w:val="false"/>
      <w:tabs>
        <w:tab w:val="clear" w:pos="709"/>
        <w:tab w:val="left" w:pos="785" w:leader="none"/>
      </w:tabs>
      <w:suppressAutoHyphens w:val="true"/>
      <w:bidi w:val="0"/>
      <w:spacing w:lineRule="exact" w:line="276" w:before="120" w:after="120"/>
      <w:ind w:left="425" w:hanging="0"/>
      <w:contextualSpacing/>
      <w:jc w:val="both"/>
      <w:textAlignment w:val="baseline"/>
    </w:pPr>
    <w:rPr>
      <w:rFonts w:ascii="Arial" w:hAnsi="Arial" w:eastAsia="Arial" w:cs="Arial"/>
      <w:color w:val="auto"/>
      <w:kern w:val="2"/>
      <w:sz w:val="20"/>
      <w:szCs w:val="20"/>
      <w:lang w:val="pt-BR" w:eastAsia="ar-SA" w:bidi="hi-IN"/>
    </w:rPr>
  </w:style>
  <w:style w:type="paragraph" w:styleId="Nivel2" w:customStyle="1">
    <w:name w:val="Nivel 2"/>
    <w:basedOn w:val="Standard"/>
    <w:qFormat/>
    <w:pPr>
      <w:spacing w:lineRule="exact" w:line="276" w:before="120" w:after="120"/>
      <w:jc w:val="both"/>
    </w:pPr>
    <w:rPr>
      <w:rFonts w:ascii="Arial" w:hAnsi="Arial" w:eastAsia="Arial" w:cs="Arial"/>
      <w:color w:val="000000"/>
      <w:lang w:eastAsia="ar-SA"/>
    </w:rPr>
  </w:style>
  <w:style w:type="paragraph" w:styleId="Citao1" w:customStyle="1">
    <w:name w:val="Citação1"/>
    <w:basedOn w:val="Standard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exact" w:line="240" w:before="120" w:after="200"/>
      <w:jc w:val="both"/>
    </w:pPr>
    <w:rPr>
      <w:rFonts w:eastAsia="Ecofont_Spranq_eco_Sans" w:cs="Ecofont_Spranq_eco_Sans"/>
      <w:i/>
      <w:iCs/>
      <w:color w:val="000000"/>
      <w:lang w:eastAsia="ar-SA"/>
    </w:rPr>
  </w:style>
  <w:style w:type="paragraph" w:styleId="Itemalinealetra" w:customStyle="1">
    <w:name w:val="item_alinea_letra"/>
    <w:basedOn w:val="Standard"/>
    <w:qFormat/>
    <w:pPr>
      <w:spacing w:lineRule="exact" w:line="240" w:before="100" w:after="100"/>
    </w:pPr>
    <w:rPr>
      <w:rFonts w:ascii="Times New Roman" w:hAnsi="Times New Roman" w:cs="Times New Roman"/>
      <w:lang w:eastAsia="ar-SA"/>
    </w:rPr>
  </w:style>
  <w:style w:type="paragraph" w:styleId="Itemnivel1" w:customStyle="1">
    <w:name w:val="item_nivel1"/>
    <w:basedOn w:val="Standard"/>
    <w:qFormat/>
    <w:pPr>
      <w:spacing w:lineRule="exact" w:line="240" w:before="100" w:after="100"/>
    </w:pPr>
    <w:rPr>
      <w:rFonts w:ascii="Times New Roman" w:hAnsi="Times New Roman" w:cs="Times New Roman"/>
      <w:lang w:eastAsia="ar-SA"/>
    </w:rPr>
  </w:style>
  <w:style w:type="paragraph" w:styleId="Itemnivel2" w:customStyle="1">
    <w:name w:val="item_nivel2"/>
    <w:basedOn w:val="Standard"/>
    <w:qFormat/>
    <w:pPr>
      <w:spacing w:lineRule="exact" w:line="240" w:before="100" w:after="100"/>
    </w:pPr>
    <w:rPr>
      <w:rFonts w:ascii="Times New Roman" w:hAnsi="Times New Roman" w:cs="Times New Roman"/>
      <w:lang w:eastAsia="ar-SA"/>
    </w:rPr>
  </w:style>
  <w:style w:type="paragraph" w:styleId="Annotationsubject">
    <w:name w:val="annotation subject"/>
    <w:qFormat/>
    <w:pPr>
      <w:widowControl w:val="false"/>
      <w:suppressAutoHyphens w:val="true"/>
      <w:bidi w:val="0"/>
      <w:spacing w:lineRule="exact" w:line="240" w:before="0" w:after="0"/>
      <w:jc w:val="left"/>
      <w:textAlignment w:val="baseline"/>
    </w:pPr>
    <w:rPr>
      <w:rFonts w:ascii="Liberation Serif" w:hAnsi="Liberation Serif" w:eastAsia="SimSun" w:cs="Mangal"/>
      <w:b/>
      <w:color w:val="auto"/>
      <w:kern w:val="2"/>
      <w:sz w:val="20"/>
      <w:szCs w:val="24"/>
      <w:lang w:val="pt-BR" w:eastAsia="zh-CN" w:bidi="hi-IN"/>
    </w:rPr>
  </w:style>
  <w:style w:type="paragraph" w:styleId="Corpo" w:customStyle="1">
    <w:name w:val="corpo"/>
    <w:basedOn w:val="Standard"/>
    <w:qFormat/>
    <w:pPr>
      <w:spacing w:lineRule="exact" w:line="240" w:before="100" w:after="100"/>
    </w:pPr>
    <w:rPr>
      <w:rFonts w:ascii="Times New Roman" w:hAnsi="Times New Roman" w:cs="Times New Roman"/>
      <w:lang w:eastAsia="ar-SA"/>
    </w:rPr>
  </w:style>
  <w:style w:type="paragraph" w:styleId="SombreamentoMdio1nfase31" w:customStyle="1">
    <w:name w:val="Sombreamento Médio 1 - Ênfase 31"/>
    <w:basedOn w:val="Standard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lineRule="exact" w:line="240" w:before="120" w:after="200"/>
      <w:jc w:val="both"/>
    </w:pPr>
    <w:rPr>
      <w:rFonts w:eastAsia="Tahoma" w:cs="Ecofont_Spranq_eco_Sans"/>
      <w:i/>
      <w:iCs/>
      <w:color w:val="000000"/>
      <w:sz w:val="20"/>
      <w:lang w:eastAsia="ar-SA"/>
    </w:rPr>
  </w:style>
  <w:style w:type="paragraph" w:styleId="Nivel1" w:customStyle="1">
    <w:name w:val="Nivel1"/>
    <w:basedOn w:val="Ttulo1"/>
    <w:qFormat/>
    <w:pPr>
      <w:keepLines/>
      <w:spacing w:lineRule="exact" w:line="276" w:before="480" w:after="120"/>
      <w:jc w:val="both"/>
    </w:pPr>
    <w:rPr>
      <w:rFonts w:eastAsia="Arial" w:cs="Arial"/>
      <w:b/>
      <w:color w:val="000000"/>
      <w:sz w:val="32"/>
      <w:szCs w:val="32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8" w:customStyle="1">
    <w:name w:val="WW8Num8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LibreOffice/7.3.7.2$Linux_X86_64 LibreOffice_project/30$Build-2</Application>
  <AppVersion>15.0000</AppVersion>
  <Pages>4</Pages>
  <Words>1520</Words>
  <Characters>9188</Characters>
  <CharactersWithSpaces>10647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2025-04-01T14:12:00Z</dcterms:created>
  <dc:creator>CGNOR</dc:creator>
  <dc:description/>
  <dc:language>pt-BR</dc:language>
  <cp:lastModifiedBy/>
  <dcterms:modified xsi:type="dcterms:W3CDTF">2026-04-13T15:43:35Z</dcterms:modified>
  <cp:revision>6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