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media/image1.wmf" ContentType="image/x-wmf"/>
  <Override PartName="/word/styles.xml" ContentType="application/vnd.openxmlformats-officedocument.wordprocessingml.styles+xml"/>
  <Override PartName="/word/footer1.xml" ContentType="application/vnd.openxmlformats-officedocument.wordprocessingml.footer+xml"/>
  <Override PartName="/word/settings.xml" ContentType="application/vnd.openxmlformats-officedocument.wordprocessingml.settings+xml"/>
  <Override PartName="/word/numbering.xml" ContentType="application/vnd.openxmlformats-officedocument.wordprocessingml.numbering+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lineRule="auto" w:line="312" w:before="0" w:after="288"/>
        <w:contextualSpacing/>
        <w:jc w:val="center"/>
        <w:rPr>
          <w:rFonts w:ascii="Arial" w:hAnsi="Arial" w:cs="Arial"/>
          <w:b/>
          <w:b/>
          <w:bCs/>
          <w:color w:val="000000"/>
          <w:sz w:val="20"/>
          <w:szCs w:val="20"/>
        </w:rPr>
      </w:pPr>
      <w:r>
        <w:rPr>
          <w:rFonts w:cs="Arial" w:ascii="Arial" w:hAnsi="Arial"/>
          <w:b/>
          <w:bCs/>
          <w:color w:val="000000"/>
          <w:sz w:val="20"/>
          <w:szCs w:val="20"/>
        </w:rPr>
        <w:t>Lei nº 14.133, de 1º de abril de 2021</w:t>
      </w:r>
    </w:p>
    <w:p>
      <w:pPr>
        <w:pStyle w:val="Normal"/>
        <w:spacing w:lineRule="auto" w:line="312" w:before="0" w:after="288"/>
        <w:contextualSpacing/>
        <w:jc w:val="center"/>
        <w:rPr>
          <w:rFonts w:ascii="Arial" w:hAnsi="Arial" w:cs="Arial"/>
          <w:b/>
          <w:b/>
          <w:bCs/>
          <w:color w:val="000000"/>
          <w:sz w:val="20"/>
          <w:szCs w:val="20"/>
        </w:rPr>
      </w:pPr>
      <w:r>
        <w:rPr>
          <w:rFonts w:cs="Arial" w:ascii="Arial" w:hAnsi="Arial"/>
          <w:b/>
          <w:bCs/>
          <w:color w:val="000000"/>
          <w:sz w:val="20"/>
          <w:szCs w:val="20"/>
        </w:rPr>
        <w:t>CONTRATAÇÃO DIRETA</w:t>
      </w:r>
    </w:p>
    <w:p>
      <w:pPr>
        <w:pStyle w:val="Normal"/>
        <w:spacing w:lineRule="auto" w:line="312" w:before="360" w:after="288"/>
        <w:jc w:val="center"/>
        <w:rPr>
          <w:rFonts w:ascii="Arial" w:hAnsi="Arial" w:cs="Arial"/>
          <w:b/>
          <w:b/>
          <w:iCs/>
          <w:sz w:val="20"/>
          <w:szCs w:val="20"/>
        </w:rPr>
      </w:pPr>
      <w:r>
        <w:drawing>
          <wp:anchor behindDoc="0" distT="0" distB="0" distL="114300" distR="114300" simplePos="0" locked="0" layoutInCell="0" allowOverlap="1" relativeHeight="2">
            <wp:simplePos x="0" y="0"/>
            <wp:positionH relativeFrom="margin">
              <wp:posOffset>2818130</wp:posOffset>
            </wp:positionH>
            <wp:positionV relativeFrom="paragraph">
              <wp:posOffset>64135</wp:posOffset>
            </wp:positionV>
            <wp:extent cx="737870" cy="805815"/>
            <wp:effectExtent l="0" t="0" r="0" b="0"/>
            <wp:wrapTopAndBottom/>
            <wp:docPr id="1" name="Imagem 18669637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866963775" descr=""/>
                    <pic:cNvPicPr>
                      <a:picLocks noChangeAspect="1" noChangeArrowheads="1"/>
                    </pic:cNvPicPr>
                  </pic:nvPicPr>
                  <pic:blipFill>
                    <a:blip r:embed="rId2"/>
                    <a:stretch>
                      <a:fillRect/>
                    </a:stretch>
                  </pic:blipFill>
                  <pic:spPr bwMode="auto">
                    <a:xfrm>
                      <a:off x="0" y="0"/>
                      <a:ext cx="737870" cy="805815"/>
                    </a:xfrm>
                    <a:prstGeom prst="rect">
                      <a:avLst/>
                    </a:prstGeom>
                  </pic:spPr>
                </pic:pic>
              </a:graphicData>
            </a:graphic>
          </wp:anchor>
        </w:drawing>
      </w:r>
      <w:r>
        <w:rPr>
          <w:rFonts w:cs="Arial" w:ascii="Arial" w:hAnsi="Arial"/>
          <w:b/>
          <w:iCs/>
          <w:sz w:val="20"/>
          <w:szCs w:val="20"/>
        </w:rPr>
        <w:t>CENTRO DE INSTRUÇÃO E ADESTRAMENTO ÁTILLA MONTEIRO ACHÉ</w:t>
      </w:r>
    </w:p>
    <w:p>
      <w:pPr>
        <w:pStyle w:val="Normal"/>
        <w:spacing w:lineRule="auto" w:line="312" w:before="120" w:after="288"/>
        <w:jc w:val="center"/>
        <w:rPr/>
      </w:pPr>
      <w:r>
        <w:rPr>
          <w:rFonts w:cs="Arial" w:ascii="Arial" w:hAnsi="Arial"/>
          <w:color w:val="000000"/>
          <w:sz w:val="20"/>
          <w:szCs w:val="20"/>
        </w:rPr>
        <w:t>(Processo Administrativo n</w:t>
      </w:r>
      <w:r>
        <w:rPr>
          <w:rFonts w:cs="Arial" w:ascii="Arial" w:hAnsi="Arial"/>
          <w:bCs/>
          <w:color w:val="000000"/>
          <w:sz w:val="20"/>
          <w:szCs w:val="20"/>
        </w:rPr>
        <w:t xml:space="preserve">° </w:t>
      </w:r>
      <w:r>
        <w:rPr>
          <w:rFonts w:cs="Arial" w:ascii="Arial" w:hAnsi="Arial"/>
          <w:bCs/>
          <w:i/>
          <w:iCs/>
          <w:color w:val="FF0000"/>
          <w:sz w:val="20"/>
          <w:szCs w:val="20"/>
        </w:rPr>
        <w:t>xxxxx</w:t>
      </w:r>
      <w:r>
        <w:rPr>
          <w:rFonts w:cs="Arial" w:ascii="Arial" w:hAnsi="Arial"/>
          <w:bCs/>
          <w:sz w:val="20"/>
          <w:szCs w:val="20"/>
        </w:rPr>
        <w:t>.</w:t>
      </w:r>
      <w:r>
        <w:rPr>
          <w:rFonts w:cs="Arial" w:ascii="Arial" w:hAnsi="Arial"/>
          <w:bCs/>
          <w:i/>
          <w:iCs/>
          <w:color w:val="FF0000"/>
          <w:sz w:val="20"/>
          <w:szCs w:val="20"/>
        </w:rPr>
        <w:t>xxxxxx</w:t>
      </w:r>
      <w:r>
        <w:rPr>
          <w:rFonts w:cs="Arial" w:ascii="Arial" w:hAnsi="Arial"/>
          <w:bCs/>
          <w:sz w:val="20"/>
          <w:szCs w:val="20"/>
        </w:rPr>
        <w:t>/</w:t>
      </w:r>
      <w:r>
        <w:rPr>
          <w:rFonts w:cs="Arial" w:ascii="Arial" w:hAnsi="Arial"/>
          <w:bCs/>
          <w:i/>
          <w:iCs/>
          <w:color w:val="FF0000"/>
          <w:sz w:val="20"/>
          <w:szCs w:val="20"/>
        </w:rPr>
        <w:t>xxxx</w:t>
      </w:r>
      <w:r>
        <w:rPr>
          <w:rFonts w:cs="Arial" w:ascii="Arial" w:hAnsi="Arial"/>
          <w:bCs/>
          <w:sz w:val="20"/>
          <w:szCs w:val="20"/>
        </w:rPr>
        <w:t>-</w:t>
      </w:r>
      <w:r>
        <w:rPr>
          <w:rFonts w:cs="Arial" w:ascii="Arial" w:hAnsi="Arial"/>
          <w:bCs/>
          <w:i/>
          <w:iCs/>
          <w:color w:val="FF0000"/>
          <w:sz w:val="20"/>
          <w:szCs w:val="20"/>
        </w:rPr>
        <w:t>xx</w:t>
      </w:r>
      <w:r>
        <w:rPr>
          <w:rFonts w:cs="Arial" w:ascii="Arial" w:hAnsi="Arial"/>
          <w:bCs/>
          <w:color w:val="000000"/>
          <w:sz w:val="20"/>
          <w:szCs w:val="20"/>
        </w:rPr>
        <w:t>)</w:t>
      </w:r>
    </w:p>
    <w:p>
      <w:pPr>
        <w:pStyle w:val="Normal"/>
        <w:spacing w:lineRule="auto" w:line="312" w:before="0" w:after="288"/>
        <w:jc w:val="center"/>
        <w:rPr>
          <w:rFonts w:ascii="Arial" w:hAnsi="Arial" w:cs="Arial"/>
          <w:b/>
          <w:b/>
          <w:bCs/>
          <w:color w:val="000000"/>
          <w:sz w:val="20"/>
          <w:szCs w:val="20"/>
        </w:rPr>
      </w:pPr>
      <w:r>
        <w:rPr>
          <w:rFonts w:cs="Arial" w:ascii="Arial" w:hAnsi="Arial"/>
          <w:b/>
          <w:bCs/>
          <w:color w:val="000000"/>
          <w:sz w:val="20"/>
          <w:szCs w:val="20"/>
        </w:rPr>
        <w:t>TERMO DE REFERÊNCIA</w:t>
      </w:r>
    </w:p>
    <w:p>
      <w:pPr>
        <w:pStyle w:val="Nivel01"/>
        <w:numPr>
          <w:ilvl w:val="0"/>
          <w:numId w:val="2"/>
        </w:numPr>
        <w:ind w:left="357" w:right="0" w:hanging="357"/>
        <w:rPr/>
      </w:pPr>
      <w:r>
        <w:rPr/>
        <w:t>CONDIÇÕES GERAIS DA CONTRATAÇÃO</w:t>
      </w:r>
    </w:p>
    <w:p>
      <w:pPr>
        <w:pStyle w:val="Normal"/>
        <w:ind w:left="357" w:right="0" w:hanging="357"/>
        <w:rPr/>
      </w:pPr>
      <w:r>
        <w:rPr/>
      </w:r>
    </w:p>
    <w:p>
      <w:pPr>
        <w:pStyle w:val="Nvel02"/>
        <w:numPr>
          <w:ilvl w:val="1"/>
          <w:numId w:val="2"/>
        </w:numPr>
        <w:ind w:left="0" w:right="0" w:hanging="0"/>
        <w:rPr/>
      </w:pPr>
      <w:r>
        <w:rPr>
          <w:rFonts w:eastAsia="Arial" w:cs="Arial" w:ascii="Arial" w:hAnsi="Arial"/>
          <w:b w:val="false"/>
          <w:bCs w:val="false"/>
          <w:i w:val="false"/>
          <w:iCs w:val="false"/>
          <w:kern w:val="0"/>
          <w:sz w:val="20"/>
          <w:szCs w:val="20"/>
          <w:shd w:fill="FFFFFF" w:val="clear"/>
          <w:lang w:val="pt-BR" w:eastAsia="pt-BR" w:bidi="ar-SA"/>
        </w:rPr>
        <w:t>Trata-se da</w:t>
      </w:r>
      <w:r>
        <w:rPr>
          <w:rFonts w:eastAsia="Arial" w:cs="Aptos" w:ascii="Arial" w:hAnsi="Arial"/>
          <w:b w:val="false"/>
          <w:bCs w:val="false"/>
          <w:i w:val="false"/>
          <w:iCs w:val="false"/>
          <w:color w:val="111111"/>
          <w:kern w:val="0"/>
          <w:sz w:val="20"/>
          <w:szCs w:val="20"/>
          <w:shd w:fill="FFFFFF" w:val="clear"/>
          <w:lang w:val="pt-BR" w:eastAsia="pt-BR" w:bidi="ar-SA"/>
        </w:rPr>
        <w:t xml:space="preserve"> eventual aquisiç</w:t>
      </w:r>
      <w:r>
        <w:rPr>
          <w:rFonts w:eastAsia="SimSun" w:cs="Aptos" w:ascii="Arial" w:hAnsi="Arial"/>
          <w:b w:val="false"/>
          <w:bCs w:val="false"/>
          <w:i w:val="false"/>
          <w:iCs w:val="false"/>
          <w:color w:val="111111"/>
          <w:kern w:val="2"/>
          <w:sz w:val="20"/>
          <w:szCs w:val="20"/>
          <w:shd w:fill="FFFFFF" w:val="clear"/>
          <w:lang w:val="pt-BR" w:eastAsia="zh-CN" w:bidi="hi-IN"/>
        </w:rPr>
        <w:t>ão de equipamentos para manutenção da descarga do motor da EIM (Embarcação de Instrução de Mergulho) Reitor</w:t>
      </w:r>
      <w:r>
        <w:rPr>
          <w:rFonts w:eastAsia="Arial" w:cs="Arial" w:ascii="Arial" w:hAnsi="Arial"/>
          <w:b w:val="false"/>
          <w:bCs w:val="false"/>
          <w:i w:val="false"/>
          <w:iCs w:val="false"/>
          <w:kern w:val="0"/>
          <w:sz w:val="20"/>
          <w:szCs w:val="20"/>
          <w:shd w:fill="FFFFFF" w:val="clear"/>
          <w:lang w:val="pt-BR" w:eastAsia="pt-BR" w:bidi="ar-SA"/>
        </w:rPr>
        <w:t>, a fim de manter a capacidade operacional desta embarcaç</w:t>
      </w:r>
      <w:r>
        <w:rPr>
          <w:rFonts w:eastAsia="Times New Roman" w:cs="Times New Roman" w:ascii="Arial" w:hAnsi="Arial"/>
          <w:b w:val="false"/>
          <w:bCs w:val="false"/>
          <w:i w:val="false"/>
          <w:iCs w:val="false"/>
          <w:color w:val="000000"/>
          <w:kern w:val="2"/>
          <w:sz w:val="20"/>
          <w:szCs w:val="20"/>
          <w:shd w:fill="FFFFFF" w:val="clear"/>
          <w:lang w:val="pt-BR" w:eastAsia="zh-CN" w:bidi="hi-IN"/>
        </w:rPr>
        <w:t xml:space="preserve">ão </w:t>
      </w:r>
      <w:r>
        <w:rPr>
          <w:rFonts w:eastAsia="Arial" w:cs="Arial" w:ascii="Arial" w:hAnsi="Arial"/>
          <w:b w:val="false"/>
          <w:bCs w:val="false"/>
          <w:i w:val="false"/>
          <w:iCs w:val="false"/>
          <w:kern w:val="0"/>
          <w:sz w:val="20"/>
          <w:szCs w:val="20"/>
          <w:shd w:fill="FFFFFF" w:val="clear"/>
          <w:lang w:val="pt-BR" w:eastAsia="pt-BR" w:bidi="ar-SA"/>
        </w:rPr>
        <w:t>para atender a demanda das in</w:t>
      </w:r>
      <w:r>
        <w:rPr>
          <w:rFonts w:eastAsia="Times New Roman" w:cs="Times New Roman" w:ascii="Arial" w:hAnsi="Arial"/>
          <w:b w:val="false"/>
          <w:bCs w:val="false"/>
          <w:i w:val="false"/>
          <w:iCs w:val="false"/>
          <w:color w:val="000000"/>
          <w:kern w:val="2"/>
          <w:sz w:val="20"/>
          <w:szCs w:val="20"/>
          <w:shd w:fill="FFFFFF" w:val="clear"/>
          <w:lang w:val="pt-BR" w:eastAsia="zh-CN" w:bidi="hi-IN"/>
        </w:rPr>
        <w:t xml:space="preserve">úmeras instruções no mar </w:t>
      </w:r>
      <w:r>
        <w:rPr>
          <w:rFonts w:eastAsia="Arial" w:cs="Arial" w:ascii="Arial" w:hAnsi="Arial"/>
          <w:b w:val="false"/>
          <w:bCs w:val="false"/>
          <w:i w:val="false"/>
          <w:iCs w:val="false"/>
          <w:kern w:val="0"/>
          <w:sz w:val="20"/>
          <w:szCs w:val="20"/>
          <w:shd w:fill="FFFFFF" w:val="clear"/>
          <w:lang w:val="pt-BR" w:eastAsia="pt-BR" w:bidi="ar-SA"/>
        </w:rPr>
        <w:t>e  visando suprir a necessidades da Instituição.</w:t>
      </w:r>
    </w:p>
    <w:p>
      <w:pPr>
        <w:pStyle w:val="Nvel02"/>
        <w:numPr>
          <w:ilvl w:val="1"/>
          <w:numId w:val="2"/>
        </w:numPr>
        <w:ind w:left="0" w:right="0" w:hanging="0"/>
        <w:rPr/>
      </w:pPr>
      <w:r>
        <w:rPr>
          <w:rFonts w:eastAsia="Arial" w:cs="Arial" w:ascii="Arial" w:hAnsi="Arial"/>
          <w:b w:val="false"/>
          <w:bCs w:val="false"/>
          <w:i w:val="false"/>
          <w:iCs w:val="false"/>
          <w:kern w:val="0"/>
          <w:sz w:val="20"/>
          <w:szCs w:val="20"/>
          <w:shd w:fill="FFFFFF" w:val="clear"/>
          <w:lang w:val="pt-BR" w:eastAsia="pt-BR" w:bidi="ar-SA"/>
        </w:rPr>
        <w:t>Nos termos da tabela abaixo, conforme condiç</w:t>
      </w:r>
      <w:r>
        <w:rPr>
          <w:rFonts w:eastAsia="Arial" w:cs="Arial" w:ascii="Arial" w:hAnsi="Arial"/>
          <w:b w:val="false"/>
          <w:bCs w:val="false"/>
          <w:i w:val="false"/>
          <w:iCs w:val="false"/>
          <w:color w:val="000000"/>
          <w:kern w:val="0"/>
          <w:sz w:val="20"/>
          <w:szCs w:val="20"/>
          <w:shd w:fill="FFFFFF" w:val="clear"/>
          <w:lang w:val="pt-BR" w:eastAsia="pt-BR" w:bidi="ar-SA"/>
        </w:rPr>
        <w:t xml:space="preserve">ões e exigências estabelecidas neste instrumento. </w:t>
      </w:r>
    </w:p>
    <w:tbl>
      <w:tblPr>
        <w:tblW w:w="10064" w:type="dxa"/>
        <w:jc w:val="center"/>
        <w:tblInd w:w="0" w:type="dxa"/>
        <w:tblLayout w:type="fixed"/>
        <w:tblCellMar>
          <w:top w:w="0" w:type="dxa"/>
          <w:left w:w="108" w:type="dxa"/>
          <w:bottom w:w="0" w:type="dxa"/>
          <w:right w:w="108" w:type="dxa"/>
        </w:tblCellMar>
      </w:tblPr>
      <w:tblGrid>
        <w:gridCol w:w="1020"/>
        <w:gridCol w:w="3000"/>
        <w:gridCol w:w="1305"/>
        <w:gridCol w:w="690"/>
        <w:gridCol w:w="1067"/>
        <w:gridCol w:w="1416"/>
        <w:gridCol w:w="1566"/>
      </w:tblGrid>
      <w:tr>
        <w:trPr>
          <w:trHeight w:val="885" w:hRule="exact"/>
        </w:trPr>
        <w:tc>
          <w:tcPr>
            <w:tcW w:w="102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312" w:before="120" w:after="288"/>
              <w:jc w:val="center"/>
              <w:rPr>
                <w:rFonts w:ascii="Arial" w:hAnsi="Arial"/>
                <w:b/>
                <w:b/>
                <w:color w:val="000000"/>
                <w:sz w:val="20"/>
              </w:rPr>
            </w:pPr>
            <w:r>
              <w:rPr>
                <w:rFonts w:ascii="Arial" w:hAnsi="Arial"/>
                <w:b/>
                <w:color w:val="000000"/>
                <w:sz w:val="20"/>
              </w:rPr>
              <w:t>ITEM</w:t>
            </w:r>
          </w:p>
        </w:tc>
        <w:tc>
          <w:tcPr>
            <w:tcW w:w="300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312" w:before="120" w:after="288"/>
              <w:jc w:val="center"/>
              <w:rPr>
                <w:rFonts w:ascii="Arial" w:hAnsi="Arial"/>
                <w:b/>
                <w:b/>
                <w:color w:val="000000"/>
                <w:sz w:val="20"/>
              </w:rPr>
            </w:pPr>
            <w:r>
              <w:rPr>
                <w:rFonts w:ascii="Arial" w:hAnsi="Arial"/>
                <w:b/>
                <w:color w:val="000000"/>
                <w:sz w:val="20"/>
              </w:rPr>
              <w:t>ESPECIFICAÇÃO</w:t>
            </w:r>
          </w:p>
        </w:tc>
        <w:tc>
          <w:tcPr>
            <w:tcW w:w="130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312" w:before="120" w:after="288"/>
              <w:jc w:val="center"/>
              <w:rPr>
                <w:rFonts w:ascii="Arial" w:hAnsi="Arial" w:cs="Arial"/>
                <w:b/>
                <w:b/>
                <w:bCs/>
                <w:color w:val="000000"/>
                <w:sz w:val="20"/>
                <w:szCs w:val="20"/>
              </w:rPr>
            </w:pPr>
            <w:r>
              <w:rPr>
                <w:rFonts w:cs="Arial" w:ascii="Arial" w:hAnsi="Arial"/>
                <w:b/>
                <w:bCs/>
                <w:color w:val="000000"/>
                <w:sz w:val="20"/>
                <w:szCs w:val="20"/>
              </w:rPr>
              <w:t>CATMAT</w:t>
            </w:r>
          </w:p>
        </w:tc>
        <w:tc>
          <w:tcPr>
            <w:tcW w:w="69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312" w:before="120" w:after="288"/>
              <w:jc w:val="center"/>
              <w:rPr>
                <w:rFonts w:ascii="Arial" w:hAnsi="Arial"/>
                <w:b/>
                <w:b/>
                <w:color w:val="000000"/>
                <w:sz w:val="20"/>
              </w:rPr>
            </w:pPr>
            <w:r>
              <w:rPr>
                <w:rFonts w:ascii="Arial" w:hAnsi="Arial"/>
                <w:b/>
                <w:color w:val="000000"/>
                <w:sz w:val="20"/>
              </w:rPr>
              <w:t>UF</w:t>
            </w:r>
          </w:p>
        </w:tc>
        <w:tc>
          <w:tcPr>
            <w:tcW w:w="106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312" w:before="120" w:after="288"/>
              <w:jc w:val="center"/>
              <w:rPr>
                <w:rFonts w:ascii="Arial" w:hAnsi="Arial" w:cs="Arial"/>
                <w:b/>
                <w:b/>
                <w:bCs/>
                <w:sz w:val="20"/>
                <w:szCs w:val="20"/>
              </w:rPr>
            </w:pPr>
            <w:r>
              <w:rPr>
                <w:rFonts w:cs="Arial" w:ascii="Arial" w:hAnsi="Arial"/>
                <w:b/>
                <w:bCs/>
                <w:sz w:val="20"/>
                <w:szCs w:val="20"/>
              </w:rPr>
              <w:t>QUANTIDADE</w:t>
            </w:r>
          </w:p>
        </w:tc>
        <w:tc>
          <w:tcPr>
            <w:tcW w:w="141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312" w:before="120" w:after="288"/>
              <w:jc w:val="center"/>
              <w:rPr>
                <w:rFonts w:ascii="Arial" w:hAnsi="Arial" w:cs="Arial"/>
                <w:b/>
                <w:b/>
                <w:bCs/>
                <w:sz w:val="20"/>
                <w:szCs w:val="20"/>
              </w:rPr>
            </w:pPr>
            <w:r>
              <w:rPr>
                <w:rFonts w:cs="Arial" w:ascii="Arial" w:hAnsi="Arial"/>
                <w:b/>
                <w:bCs/>
                <w:sz w:val="20"/>
                <w:szCs w:val="20"/>
              </w:rPr>
              <w:t>VALOR UNITÁRIO</w:t>
            </w:r>
          </w:p>
        </w:tc>
        <w:tc>
          <w:tcPr>
            <w:tcW w:w="156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312" w:before="120" w:after="288"/>
              <w:jc w:val="center"/>
              <w:rPr>
                <w:rFonts w:ascii="Arial" w:hAnsi="Arial" w:cs="Arial"/>
                <w:b/>
                <w:b/>
                <w:bCs/>
                <w:sz w:val="20"/>
                <w:szCs w:val="20"/>
              </w:rPr>
            </w:pPr>
            <w:r>
              <w:rPr>
                <w:rFonts w:cs="Arial" w:ascii="Arial" w:hAnsi="Arial"/>
                <w:b/>
                <w:bCs/>
                <w:sz w:val="20"/>
                <w:szCs w:val="20"/>
              </w:rPr>
              <w:t>VALOR TOTAL</w:t>
            </w:r>
          </w:p>
        </w:tc>
      </w:tr>
      <w:tr>
        <w:trPr>
          <w:trHeight w:val="2340" w:hRule="exact"/>
        </w:trPr>
        <w:tc>
          <w:tcPr>
            <w:tcW w:w="1020"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312" w:before="918" w:after="1086"/>
              <w:jc w:val="center"/>
              <w:rPr>
                <w:rFonts w:ascii="Arial" w:hAnsi="Arial"/>
                <w:b/>
                <w:b/>
                <w:color w:val="000000"/>
                <w:sz w:val="20"/>
              </w:rPr>
            </w:pPr>
            <w:r>
              <w:rPr>
                <w:rFonts w:ascii="Arial" w:hAnsi="Arial"/>
                <w:b/>
                <w:color w:val="000000"/>
                <w:sz w:val="20"/>
              </w:rPr>
              <w:t>1</w:t>
            </w:r>
          </w:p>
        </w:tc>
        <w:tc>
          <w:tcPr>
            <w:tcW w:w="3000" w:type="dxa"/>
            <w:tcBorders>
              <w:top w:val="single" w:sz="4" w:space="0" w:color="000000"/>
              <w:left w:val="single" w:sz="4" w:space="0" w:color="000000"/>
              <w:bottom w:val="single" w:sz="4" w:space="0" w:color="000000"/>
              <w:right w:val="single" w:sz="4" w:space="0" w:color="000000"/>
            </w:tcBorders>
          </w:tcPr>
          <w:p>
            <w:pPr>
              <w:pStyle w:val="Subttulo"/>
              <w:widowControl w:val="false"/>
              <w:suppressAutoHyphens w:val="true"/>
              <w:spacing w:lineRule="auto" w:line="276" w:before="120" w:after="288"/>
              <w:jc w:val="both"/>
              <w:rPr>
                <w:rFonts w:ascii="Arial" w:hAnsi="Arial"/>
                <w:sz w:val="20"/>
                <w:szCs w:val="20"/>
              </w:rPr>
            </w:pPr>
            <w:r>
              <w:rPr>
                <w:rFonts w:eastAsia="Times New Roman" w:cs="Calibri" w:ascii="Arial" w:hAnsi="Arial"/>
                <w:b w:val="false"/>
                <w:bCs w:val="false"/>
                <w:i w:val="false"/>
                <w:iCs w:val="false"/>
                <w:strike w:val="false"/>
                <w:dstrike w:val="false"/>
                <w:outline w:val="false"/>
                <w:shadow w:val="false"/>
                <w:color w:val="000000"/>
                <w:sz w:val="20"/>
                <w:szCs w:val="20"/>
                <w:u w:val="none"/>
                <w:shd w:fill="FFFFFF" w:val="clear"/>
                <w:em w:val="none"/>
                <w:lang w:val="pt-BR" w:eastAsia="zh-CN" w:bidi="ar-SA"/>
              </w:rPr>
              <w:t>(</w:t>
            </w:r>
            <w:r>
              <w:rPr>
                <w:rFonts w:eastAsia="Calibri" w:cs="Calibri" w:ascii="Arial" w:hAnsi="Arial"/>
                <w:b w:val="false"/>
                <w:bCs w:val="false"/>
                <w:i w:val="false"/>
                <w:iCs w:val="false"/>
                <w:strike w:val="false"/>
                <w:dstrike w:val="false"/>
                <w:outline w:val="false"/>
                <w:shadow w:val="false"/>
                <w:color w:val="0E0E0E"/>
                <w:kern w:val="0"/>
                <w:sz w:val="20"/>
                <w:szCs w:val="20"/>
                <w:u w:val="none"/>
                <w:shd w:fill="FFFFFF" w:val="clear"/>
                <w:em w:val="none"/>
                <w:lang w:val="pt-BR" w:eastAsia="en-US" w:bidi="ar-SA"/>
              </w:rPr>
              <w:t xml:space="preserve">Junta de expansão metálica Com fole em aço inoxidável para tubo aço carbono de </w:t>
            </w:r>
            <w:r>
              <w:rPr>
                <w:rFonts w:eastAsia="Calibri" w:cs="Calibri" w:ascii="Arial" w:hAnsi="Arial"/>
                <w:b/>
                <w:bCs w:val="false"/>
                <w:i w:val="false"/>
                <w:iCs w:val="false"/>
                <w:strike w:val="false"/>
                <w:dstrike w:val="false"/>
                <w:outline w:val="false"/>
                <w:shadow w:val="false"/>
                <w:color w:val="0E0E0E"/>
                <w:kern w:val="0"/>
                <w:sz w:val="20"/>
                <w:szCs w:val="20"/>
                <w:u w:val="none"/>
                <w:shd w:fill="FFFFFF" w:val="clear"/>
                <w:em w:val="none"/>
                <w:lang w:val="pt-BR" w:eastAsia="en-US" w:bidi="ar-SA"/>
              </w:rPr>
              <w:t>DN 3”</w:t>
            </w:r>
            <w:r>
              <w:rPr>
                <w:rFonts w:eastAsia="Calibri" w:cs="Calibri" w:ascii="Arial" w:hAnsi="Arial"/>
                <w:b w:val="false"/>
                <w:bCs w:val="false"/>
                <w:i w:val="false"/>
                <w:iCs w:val="false"/>
                <w:strike w:val="false"/>
                <w:dstrike w:val="false"/>
                <w:outline w:val="false"/>
                <w:shadow w:val="false"/>
                <w:color w:val="0E0E0E"/>
                <w:kern w:val="0"/>
                <w:sz w:val="20"/>
                <w:szCs w:val="20"/>
                <w:u w:val="none"/>
                <w:shd w:fill="FFFFFF" w:val="clear"/>
                <w:em w:val="none"/>
                <w:lang w:val="pt-BR" w:eastAsia="en-US" w:bidi="ar-SA"/>
              </w:rPr>
              <w:t xml:space="preserve"> com tubo no guia interno e medida de </w:t>
            </w:r>
            <w:r>
              <w:rPr>
                <w:rFonts w:eastAsia="Calibri" w:cs="Calibri" w:ascii="Arial" w:hAnsi="Arial"/>
                <w:b/>
                <w:bCs w:val="false"/>
                <w:i w:val="false"/>
                <w:iCs w:val="false"/>
                <w:strike w:val="false"/>
                <w:dstrike w:val="false"/>
                <w:outline w:val="false"/>
                <w:shadow w:val="false"/>
                <w:color w:val="0E0E0E"/>
                <w:kern w:val="0"/>
                <w:sz w:val="20"/>
                <w:szCs w:val="20"/>
                <w:u w:val="none"/>
                <w:shd w:fill="FFFFFF" w:val="clear"/>
                <w:em w:val="none"/>
                <w:lang w:val="pt-BR" w:eastAsia="en-US" w:bidi="ar-SA"/>
              </w:rPr>
              <w:t>150mm</w:t>
            </w:r>
            <w:r>
              <w:rPr>
                <w:rFonts w:eastAsia="Calibri" w:cs="Calibri" w:ascii="Arial" w:hAnsi="Arial"/>
                <w:b w:val="false"/>
                <w:bCs w:val="false"/>
                <w:i w:val="false"/>
                <w:iCs w:val="false"/>
                <w:strike w:val="false"/>
                <w:dstrike w:val="false"/>
                <w:outline w:val="false"/>
                <w:shadow w:val="false"/>
                <w:color w:val="0E0E0E"/>
                <w:kern w:val="0"/>
                <w:sz w:val="20"/>
                <w:szCs w:val="20"/>
                <w:u w:val="none"/>
                <w:shd w:fill="FFFFFF" w:val="clear"/>
                <w:em w:val="none"/>
                <w:lang w:val="pt-BR" w:eastAsia="en-US" w:bidi="ar-SA"/>
              </w:rPr>
              <w:t xml:space="preserve"> de face a face dos flanges fixos de </w:t>
            </w:r>
            <w:r>
              <w:rPr>
                <w:rFonts w:eastAsia="Calibri" w:cs="Calibri" w:ascii="Arial" w:hAnsi="Arial"/>
                <w:b/>
                <w:bCs w:val="false"/>
                <w:i w:val="false"/>
                <w:iCs w:val="false"/>
                <w:strike w:val="false"/>
                <w:dstrike w:val="false"/>
                <w:outline w:val="false"/>
                <w:shadow w:val="false"/>
                <w:color w:val="0E0E0E"/>
                <w:kern w:val="0"/>
                <w:sz w:val="20"/>
                <w:szCs w:val="20"/>
                <w:u w:val="none"/>
                <w:shd w:fill="FFFFFF" w:val="clear"/>
                <w:em w:val="none"/>
                <w:lang w:val="pt-BR" w:eastAsia="en-US" w:bidi="ar-SA"/>
              </w:rPr>
              <w:t>Aço Inox 316 ASME B16.5</w:t>
            </w:r>
            <w:r>
              <w:rPr>
                <w:rFonts w:eastAsia="Calibri" w:cs="Calibri" w:ascii="Arial" w:hAnsi="Arial"/>
                <w:b w:val="false"/>
                <w:bCs w:val="false"/>
                <w:i w:val="false"/>
                <w:iCs w:val="false"/>
                <w:strike w:val="false"/>
                <w:dstrike w:val="false"/>
                <w:outline w:val="false"/>
                <w:shadow w:val="false"/>
                <w:color w:val="0E0E0E"/>
                <w:kern w:val="0"/>
                <w:sz w:val="20"/>
                <w:szCs w:val="20"/>
                <w:u w:val="none"/>
                <w:shd w:fill="FFFFFF" w:val="clear"/>
                <w:em w:val="none"/>
                <w:lang w:val="pt-BR" w:eastAsia="en-US" w:bidi="ar-SA"/>
              </w:rPr>
              <w:t xml:space="preserve"> com </w:t>
            </w:r>
            <w:r>
              <w:rPr>
                <w:rFonts w:eastAsia="Calibri" w:cs="Calibri" w:ascii="Arial" w:hAnsi="Arial"/>
                <w:b/>
                <w:bCs w:val="false"/>
                <w:i w:val="false"/>
                <w:iCs w:val="false"/>
                <w:strike w:val="false"/>
                <w:dstrike w:val="false"/>
                <w:outline w:val="false"/>
                <w:shadow w:val="false"/>
                <w:color w:val="0E0E0E"/>
                <w:kern w:val="0"/>
                <w:sz w:val="20"/>
                <w:szCs w:val="20"/>
                <w:u w:val="none"/>
                <w:shd w:fill="FFFFFF" w:val="clear"/>
                <w:em w:val="none"/>
                <w:lang w:val="pt-BR" w:eastAsia="en-US" w:bidi="ar-SA"/>
              </w:rPr>
              <w:t xml:space="preserve">6 furos </w:t>
            </w:r>
          </w:p>
        </w:tc>
        <w:tc>
          <w:tcPr>
            <w:tcW w:w="130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312" w:before="918" w:after="1086"/>
              <w:jc w:val="center"/>
              <w:rPr>
                <w:rFonts w:ascii="Arial" w:hAnsi="Arial" w:cs="Arial"/>
                <w:color w:val="000000"/>
                <w:sz w:val="20"/>
                <w:szCs w:val="20"/>
              </w:rPr>
            </w:pPr>
            <w:r>
              <w:rPr>
                <w:rFonts w:cs="Arial" w:ascii="Arial" w:hAnsi="Arial"/>
                <w:color w:val="000000"/>
                <w:sz w:val="20"/>
                <w:szCs w:val="20"/>
              </w:rPr>
            </w:r>
          </w:p>
        </w:tc>
        <w:tc>
          <w:tcPr>
            <w:tcW w:w="690"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312" w:before="918" w:after="1086"/>
              <w:jc w:val="center"/>
              <w:rPr>
                <w:rFonts w:ascii="Arial" w:hAnsi="Arial" w:cs="Arial"/>
                <w:color w:val="000000"/>
                <w:sz w:val="20"/>
                <w:szCs w:val="20"/>
              </w:rPr>
            </w:pPr>
            <w:r>
              <w:rPr>
                <w:rFonts w:cs="Arial" w:ascii="Arial" w:hAnsi="Arial"/>
                <w:color w:val="000000"/>
                <w:sz w:val="20"/>
                <w:szCs w:val="20"/>
              </w:rPr>
              <w:t>UN</w:t>
            </w:r>
          </w:p>
        </w:tc>
        <w:tc>
          <w:tcPr>
            <w:tcW w:w="1067"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312" w:before="918" w:after="1086"/>
              <w:jc w:val="center"/>
              <w:rPr>
                <w:rFonts w:ascii="Arial" w:hAnsi="Arial" w:cs="Arial"/>
                <w:color w:val="000000"/>
                <w:sz w:val="20"/>
                <w:szCs w:val="20"/>
              </w:rPr>
            </w:pPr>
            <w:r>
              <w:rPr>
                <w:rFonts w:cs="Arial" w:ascii="Arial" w:hAnsi="Arial"/>
                <w:color w:val="000000"/>
                <w:sz w:val="20"/>
                <w:szCs w:val="20"/>
              </w:rPr>
            </w:r>
          </w:p>
        </w:tc>
        <w:tc>
          <w:tcPr>
            <w:tcW w:w="1416"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312" w:before="918" w:after="1086"/>
              <w:jc w:val="center"/>
              <w:rPr>
                <w:rFonts w:ascii="Arial" w:hAnsi="Arial"/>
                <w:color w:val="000000"/>
                <w:sz w:val="18"/>
              </w:rPr>
            </w:pPr>
            <w:r>
              <w:rPr>
                <w:rFonts w:ascii="Arial" w:hAnsi="Arial"/>
                <w:color w:val="000000"/>
                <w:sz w:val="18"/>
              </w:rPr>
            </w:r>
          </w:p>
        </w:tc>
        <w:tc>
          <w:tcPr>
            <w:tcW w:w="1566"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312" w:before="918" w:after="1086"/>
              <w:jc w:val="center"/>
              <w:rPr>
                <w:rFonts w:ascii="Arial" w:hAnsi="Arial"/>
                <w:color w:val="000000"/>
                <w:sz w:val="18"/>
              </w:rPr>
            </w:pPr>
            <w:r>
              <w:rPr>
                <w:rFonts w:ascii="Arial" w:hAnsi="Arial"/>
                <w:color w:val="000000"/>
                <w:sz w:val="18"/>
              </w:rPr>
            </w:r>
          </w:p>
        </w:tc>
      </w:tr>
      <w:tr>
        <w:trPr>
          <w:trHeight w:val="2175" w:hRule="exact"/>
        </w:trPr>
        <w:tc>
          <w:tcPr>
            <w:tcW w:w="1020" w:type="dxa"/>
            <w:tcBorders>
              <w:left w:val="single" w:sz="4" w:space="0" w:color="000000"/>
              <w:bottom w:val="single" w:sz="4" w:space="0" w:color="000000"/>
              <w:right w:val="single" w:sz="4" w:space="0" w:color="000000"/>
            </w:tcBorders>
          </w:tcPr>
          <w:p>
            <w:pPr>
              <w:pStyle w:val="Normal"/>
              <w:widowControl w:val="false"/>
              <w:suppressAutoHyphens w:val="true"/>
              <w:spacing w:lineRule="auto" w:line="312" w:before="918" w:after="1086"/>
              <w:jc w:val="center"/>
              <w:rPr>
                <w:rFonts w:ascii="Arial" w:hAnsi="Arial"/>
                <w:b/>
                <w:b/>
                <w:bCs/>
                <w:color w:val="000000"/>
                <w:sz w:val="20"/>
                <w:szCs w:val="20"/>
              </w:rPr>
            </w:pPr>
            <w:r>
              <w:rPr>
                <w:rFonts w:ascii="Arial" w:hAnsi="Arial"/>
                <w:b/>
                <w:bCs/>
                <w:color w:val="000000"/>
                <w:sz w:val="20"/>
                <w:szCs w:val="20"/>
              </w:rPr>
              <w:t>2</w:t>
            </w:r>
          </w:p>
          <w:p>
            <w:pPr>
              <w:pStyle w:val="Normal"/>
              <w:widowControl w:val="false"/>
              <w:suppressAutoHyphens w:val="true"/>
              <w:spacing w:lineRule="auto" w:line="312" w:before="918" w:after="1086"/>
              <w:jc w:val="center"/>
              <w:rPr>
                <w:rFonts w:ascii="Arial" w:hAnsi="Arial"/>
                <w:b/>
                <w:b/>
                <w:bCs/>
                <w:color w:val="000000"/>
                <w:sz w:val="20"/>
                <w:szCs w:val="20"/>
              </w:rPr>
            </w:pPr>
            <w:r>
              <w:rPr>
                <w:rFonts w:ascii="Arial" w:hAnsi="Arial"/>
                <w:b/>
                <w:bCs/>
                <w:color w:val="000000"/>
                <w:sz w:val="20"/>
                <w:szCs w:val="20"/>
              </w:rPr>
            </w:r>
          </w:p>
          <w:p>
            <w:pPr>
              <w:pStyle w:val="Normal"/>
              <w:widowControl w:val="false"/>
              <w:suppressAutoHyphens w:val="true"/>
              <w:spacing w:lineRule="auto" w:line="312" w:before="918" w:after="1086"/>
              <w:jc w:val="center"/>
              <w:rPr>
                <w:rFonts w:ascii="Arial" w:hAnsi="Arial"/>
                <w:b/>
                <w:b/>
                <w:bCs/>
                <w:color w:val="000000"/>
                <w:sz w:val="20"/>
                <w:szCs w:val="20"/>
              </w:rPr>
            </w:pPr>
            <w:r>
              <w:rPr>
                <w:rFonts w:ascii="Arial" w:hAnsi="Arial"/>
                <w:b/>
                <w:bCs/>
                <w:color w:val="000000"/>
                <w:sz w:val="20"/>
                <w:szCs w:val="20"/>
              </w:rPr>
            </w:r>
          </w:p>
          <w:p>
            <w:pPr>
              <w:pStyle w:val="Normal"/>
              <w:widowControl w:val="false"/>
              <w:suppressAutoHyphens w:val="true"/>
              <w:spacing w:lineRule="auto" w:line="312" w:before="918" w:after="1086"/>
              <w:jc w:val="center"/>
              <w:rPr>
                <w:rFonts w:ascii="Arial" w:hAnsi="Arial"/>
                <w:b/>
                <w:b/>
                <w:bCs/>
                <w:color w:val="000000"/>
                <w:sz w:val="20"/>
                <w:szCs w:val="20"/>
              </w:rPr>
            </w:pPr>
            <w:r>
              <w:rPr>
                <w:rFonts w:ascii="Arial" w:hAnsi="Arial"/>
                <w:b/>
                <w:bCs/>
                <w:color w:val="000000"/>
                <w:sz w:val="20"/>
                <w:szCs w:val="20"/>
              </w:rPr>
            </w:r>
          </w:p>
          <w:p>
            <w:pPr>
              <w:pStyle w:val="Normal"/>
              <w:widowControl w:val="false"/>
              <w:suppressAutoHyphens w:val="true"/>
              <w:spacing w:lineRule="auto" w:line="312" w:before="918" w:after="1086"/>
              <w:jc w:val="center"/>
              <w:rPr>
                <w:rFonts w:ascii="Arial" w:hAnsi="Arial"/>
                <w:b/>
                <w:b/>
                <w:bCs/>
                <w:color w:val="000000"/>
                <w:sz w:val="20"/>
                <w:szCs w:val="20"/>
              </w:rPr>
            </w:pPr>
            <w:r>
              <w:rPr>
                <w:rFonts w:ascii="Arial" w:hAnsi="Arial"/>
                <w:b/>
                <w:bCs/>
                <w:color w:val="000000"/>
                <w:sz w:val="20"/>
                <w:szCs w:val="20"/>
              </w:rPr>
            </w:r>
          </w:p>
        </w:tc>
        <w:tc>
          <w:tcPr>
            <w:tcW w:w="3000" w:type="dxa"/>
            <w:tcBorders>
              <w:left w:val="single" w:sz="4" w:space="0" w:color="000000"/>
              <w:bottom w:val="single" w:sz="4" w:space="0" w:color="000000"/>
              <w:right w:val="single" w:sz="4" w:space="0" w:color="000000"/>
            </w:tcBorders>
          </w:tcPr>
          <w:p>
            <w:pPr>
              <w:pStyle w:val="Normal"/>
              <w:widowControl/>
              <w:spacing w:lineRule="auto" w:line="240" w:before="114" w:after="114"/>
              <w:jc w:val="left"/>
              <w:rPr>
                <w:rFonts w:ascii="Arial" w:hAnsi="Arial" w:eastAsia="Calibri"/>
                <w:kern w:val="0"/>
                <w:sz w:val="20"/>
                <w:szCs w:val="20"/>
                <w:lang w:val="pt-BR" w:eastAsia="en-US" w:bidi="ar-SA"/>
              </w:rPr>
            </w:pPr>
            <w:r>
              <w:rPr>
                <w:rFonts w:eastAsia="Calibri" w:cs="Calibri" w:ascii="Arial" w:hAnsi="Arial"/>
                <w:color w:val="0E0E0E"/>
                <w:kern w:val="0"/>
                <w:sz w:val="20"/>
                <w:szCs w:val="20"/>
                <w:shd w:fill="FFFFFF" w:val="clear"/>
                <w:lang w:val="pt-BR" w:eastAsia="en-US" w:bidi="ar-SA"/>
              </w:rPr>
              <w:t xml:space="preserve">Junta de expansão metálica Com fole em aço inoxidável para tubo aço carbono de </w:t>
            </w:r>
            <w:r>
              <w:rPr>
                <w:rFonts w:eastAsia="Calibri" w:cs="Calibri" w:ascii="Arial" w:hAnsi="Arial"/>
                <w:b/>
                <w:color w:val="0E0E0E"/>
                <w:kern w:val="0"/>
                <w:sz w:val="20"/>
                <w:szCs w:val="20"/>
                <w:shd w:fill="FFFFFF" w:val="clear"/>
                <w:lang w:val="pt-BR" w:eastAsia="en-US" w:bidi="ar-SA"/>
              </w:rPr>
              <w:t>DN 4</w:t>
            </w:r>
            <w:r>
              <w:rPr>
                <w:rFonts w:eastAsia="Calibri" w:cs="Calibri" w:ascii="Arial" w:hAnsi="Arial"/>
                <w:color w:val="0E0E0E"/>
                <w:kern w:val="0"/>
                <w:sz w:val="20"/>
                <w:szCs w:val="20"/>
                <w:shd w:fill="FFFFFF" w:val="clear"/>
                <w:lang w:val="pt-BR" w:eastAsia="en-US" w:bidi="ar-SA"/>
              </w:rPr>
              <w:t xml:space="preserve">” com tubo no guia interno e medida de </w:t>
            </w:r>
            <w:r>
              <w:rPr>
                <w:rFonts w:eastAsia="Calibri" w:cs="Calibri" w:ascii="Arial" w:hAnsi="Arial"/>
                <w:b/>
                <w:color w:val="0E0E0E"/>
                <w:kern w:val="0"/>
                <w:sz w:val="20"/>
                <w:szCs w:val="20"/>
                <w:shd w:fill="FFFFFF" w:val="clear"/>
                <w:lang w:val="pt-BR" w:eastAsia="en-US" w:bidi="ar-SA"/>
              </w:rPr>
              <w:t>220mm</w:t>
            </w:r>
            <w:r>
              <w:rPr>
                <w:rFonts w:eastAsia="Calibri" w:cs="Calibri" w:ascii="Arial" w:hAnsi="Arial"/>
                <w:color w:val="0E0E0E"/>
                <w:kern w:val="0"/>
                <w:sz w:val="20"/>
                <w:szCs w:val="20"/>
                <w:shd w:fill="FFFFFF" w:val="clear"/>
                <w:lang w:val="pt-BR" w:eastAsia="en-US" w:bidi="ar-SA"/>
              </w:rPr>
              <w:t xml:space="preserve"> de face a face dos flanges fixos</w:t>
            </w:r>
            <w:r>
              <w:rPr>
                <w:rFonts w:eastAsia="Calibri" w:cs="Calibri" w:ascii="Arial" w:hAnsi="Arial"/>
                <w:b/>
                <w:color w:val="0E0E0E"/>
                <w:kern w:val="0"/>
                <w:sz w:val="20"/>
                <w:szCs w:val="20"/>
                <w:shd w:fill="FFFFFF" w:val="clear"/>
                <w:lang w:val="pt-BR" w:eastAsia="en-US" w:bidi="ar-SA"/>
              </w:rPr>
              <w:t xml:space="preserve"> Aço Inox 316 ASME B16.5</w:t>
            </w:r>
            <w:r>
              <w:rPr>
                <w:rFonts w:eastAsia="Calibri" w:cs="Calibri" w:ascii="Arial" w:hAnsi="Arial"/>
                <w:color w:val="0E0E0E"/>
                <w:kern w:val="0"/>
                <w:sz w:val="20"/>
                <w:szCs w:val="20"/>
                <w:shd w:fill="FFFFFF" w:val="clear"/>
                <w:lang w:val="pt-BR" w:eastAsia="en-US" w:bidi="ar-SA"/>
              </w:rPr>
              <w:t xml:space="preserve"> com </w:t>
            </w:r>
            <w:r>
              <w:rPr>
                <w:rFonts w:eastAsia="Calibri" w:cs="Calibri" w:ascii="Arial" w:hAnsi="Arial"/>
                <w:b/>
                <w:color w:val="0E0E0E"/>
                <w:kern w:val="0"/>
                <w:sz w:val="20"/>
                <w:szCs w:val="20"/>
                <w:shd w:fill="FFFFFF" w:val="clear"/>
                <w:lang w:val="pt-BR" w:eastAsia="en-US" w:bidi="ar-SA"/>
              </w:rPr>
              <w:t xml:space="preserve">8 furos  </w:t>
            </w:r>
          </w:p>
        </w:tc>
        <w:tc>
          <w:tcPr>
            <w:tcW w:w="1305" w:type="dxa"/>
            <w:tcBorders>
              <w:left w:val="single" w:sz="4" w:space="0" w:color="000000"/>
              <w:bottom w:val="single" w:sz="4" w:space="0" w:color="000000"/>
              <w:right w:val="single" w:sz="4" w:space="0" w:color="000000"/>
            </w:tcBorders>
          </w:tcPr>
          <w:p>
            <w:pPr>
              <w:pStyle w:val="Normal"/>
              <w:widowControl w:val="false"/>
              <w:suppressAutoHyphens w:val="true"/>
              <w:spacing w:lineRule="auto" w:line="312" w:before="918" w:after="1086"/>
              <w:jc w:val="center"/>
              <w:rPr/>
            </w:pPr>
            <w:r>
              <w:rPr/>
            </w:r>
          </w:p>
        </w:tc>
        <w:tc>
          <w:tcPr>
            <w:tcW w:w="690" w:type="dxa"/>
            <w:tcBorders>
              <w:left w:val="single" w:sz="4" w:space="0" w:color="000000"/>
              <w:bottom w:val="single" w:sz="4" w:space="0" w:color="000000"/>
              <w:right w:val="single" w:sz="4" w:space="0" w:color="000000"/>
            </w:tcBorders>
          </w:tcPr>
          <w:p>
            <w:pPr>
              <w:pStyle w:val="Normal"/>
              <w:widowControl w:val="false"/>
              <w:suppressAutoHyphens w:val="true"/>
              <w:spacing w:lineRule="auto" w:line="312" w:before="918" w:after="1086"/>
              <w:jc w:val="center"/>
              <w:rPr>
                <w:rFonts w:ascii="Arial" w:hAnsi="Arial" w:cs="Arial"/>
                <w:color w:val="000000"/>
                <w:sz w:val="20"/>
                <w:szCs w:val="20"/>
              </w:rPr>
            </w:pPr>
            <w:r>
              <w:rPr>
                <w:rFonts w:cs="Arial" w:ascii="Arial" w:hAnsi="Arial"/>
                <w:color w:val="000000"/>
                <w:sz w:val="20"/>
                <w:szCs w:val="20"/>
              </w:rPr>
              <w:t>UN</w:t>
            </w:r>
          </w:p>
        </w:tc>
        <w:tc>
          <w:tcPr>
            <w:tcW w:w="1067" w:type="dxa"/>
            <w:tcBorders>
              <w:left w:val="single" w:sz="4" w:space="0" w:color="000000"/>
              <w:bottom w:val="single" w:sz="4" w:space="0" w:color="000000"/>
              <w:right w:val="single" w:sz="4" w:space="0" w:color="000000"/>
            </w:tcBorders>
          </w:tcPr>
          <w:p>
            <w:pPr>
              <w:pStyle w:val="Normal"/>
              <w:widowControl w:val="false"/>
              <w:suppressAutoHyphens w:val="true"/>
              <w:spacing w:lineRule="auto" w:line="312" w:before="918" w:after="1086"/>
              <w:jc w:val="center"/>
              <w:rPr/>
            </w:pPr>
            <w:r>
              <w:rPr/>
            </w:r>
          </w:p>
        </w:tc>
        <w:tc>
          <w:tcPr>
            <w:tcW w:w="1416" w:type="dxa"/>
            <w:tcBorders>
              <w:left w:val="single" w:sz="4" w:space="0" w:color="000000"/>
              <w:bottom w:val="single" w:sz="4" w:space="0" w:color="000000"/>
              <w:right w:val="single" w:sz="4" w:space="0" w:color="000000"/>
            </w:tcBorders>
          </w:tcPr>
          <w:p>
            <w:pPr>
              <w:pStyle w:val="Normal"/>
              <w:widowControl w:val="false"/>
              <w:suppressAutoHyphens w:val="true"/>
              <w:spacing w:lineRule="auto" w:line="312" w:before="918" w:after="1086"/>
              <w:jc w:val="center"/>
              <w:rPr/>
            </w:pPr>
            <w:r>
              <w:rPr/>
            </w:r>
          </w:p>
        </w:tc>
        <w:tc>
          <w:tcPr>
            <w:tcW w:w="1566" w:type="dxa"/>
            <w:tcBorders>
              <w:left w:val="single" w:sz="4" w:space="0" w:color="000000"/>
              <w:bottom w:val="single" w:sz="4" w:space="0" w:color="000000"/>
              <w:right w:val="single" w:sz="4" w:space="0" w:color="000000"/>
            </w:tcBorders>
          </w:tcPr>
          <w:p>
            <w:pPr>
              <w:pStyle w:val="Normal"/>
              <w:widowControl w:val="false"/>
              <w:suppressAutoHyphens w:val="true"/>
              <w:spacing w:lineRule="auto" w:line="312" w:before="918" w:after="1086"/>
              <w:jc w:val="center"/>
              <w:rPr/>
            </w:pPr>
            <w:r>
              <w:rPr/>
            </w:r>
          </w:p>
        </w:tc>
      </w:tr>
      <w:tr>
        <w:trPr>
          <w:trHeight w:val="2175" w:hRule="exact"/>
        </w:trPr>
        <w:tc>
          <w:tcPr>
            <w:tcW w:w="1020" w:type="dxa"/>
            <w:tcBorders>
              <w:left w:val="single" w:sz="4" w:space="0" w:color="000000"/>
              <w:bottom w:val="single" w:sz="4" w:space="0" w:color="000000"/>
              <w:right w:val="single" w:sz="4" w:space="0" w:color="000000"/>
            </w:tcBorders>
          </w:tcPr>
          <w:p>
            <w:pPr>
              <w:pStyle w:val="Normal"/>
              <w:widowControl w:val="false"/>
              <w:suppressAutoHyphens w:val="true"/>
              <w:spacing w:lineRule="auto" w:line="312" w:before="918" w:after="1086"/>
              <w:jc w:val="center"/>
              <w:rPr>
                <w:rFonts w:ascii="Arial" w:hAnsi="Arial"/>
                <w:b/>
                <w:b/>
                <w:bCs/>
                <w:color w:val="000000"/>
                <w:sz w:val="20"/>
                <w:szCs w:val="20"/>
              </w:rPr>
            </w:pPr>
            <w:r>
              <w:rPr>
                <w:rFonts w:ascii="Arial" w:hAnsi="Arial"/>
                <w:b/>
                <w:bCs/>
                <w:color w:val="000000"/>
                <w:sz w:val="20"/>
                <w:szCs w:val="20"/>
              </w:rPr>
              <w:t>3</w:t>
            </w:r>
          </w:p>
        </w:tc>
        <w:tc>
          <w:tcPr>
            <w:tcW w:w="3000" w:type="dxa"/>
            <w:tcBorders>
              <w:left w:val="single" w:sz="4" w:space="0" w:color="000000"/>
              <w:bottom w:val="single" w:sz="4" w:space="0" w:color="000000"/>
              <w:right w:val="single" w:sz="4" w:space="0" w:color="000000"/>
            </w:tcBorders>
          </w:tcPr>
          <w:p>
            <w:pPr>
              <w:pStyle w:val="Normal"/>
              <w:widowControl/>
              <w:spacing w:lineRule="auto" w:line="240" w:before="228" w:after="228"/>
              <w:jc w:val="left"/>
              <w:rPr>
                <w:rFonts w:ascii="Arial" w:hAnsi="Arial" w:eastAsia="Calibri"/>
                <w:kern w:val="0"/>
                <w:sz w:val="20"/>
                <w:szCs w:val="20"/>
                <w:lang w:val="pt-BR" w:eastAsia="en-US" w:bidi="ar-SA"/>
              </w:rPr>
            </w:pPr>
            <w:r>
              <w:rPr>
                <w:rFonts w:eastAsia="Calibri" w:cs="Calibri" w:ascii="Arial" w:hAnsi="Arial"/>
                <w:color w:val="0E0E0E"/>
                <w:kern w:val="0"/>
                <w:sz w:val="20"/>
                <w:szCs w:val="20"/>
                <w:shd w:fill="FFFFFF" w:val="clear"/>
                <w:lang w:val="pt-BR" w:eastAsia="en-US" w:bidi="ar-SA"/>
              </w:rPr>
              <w:t xml:space="preserve">Junta de expansão metálica Com fole em aço inoxidável para tubo aço carbono de </w:t>
            </w:r>
            <w:r>
              <w:rPr>
                <w:rFonts w:eastAsia="Calibri" w:cs="Calibri" w:ascii="Arial" w:hAnsi="Arial"/>
                <w:b/>
                <w:color w:val="0E0E0E"/>
                <w:kern w:val="0"/>
                <w:sz w:val="20"/>
                <w:szCs w:val="20"/>
                <w:shd w:fill="FFFFFF" w:val="clear"/>
                <w:lang w:val="pt-BR" w:eastAsia="en-US" w:bidi="ar-SA"/>
              </w:rPr>
              <w:t>DN 4</w:t>
            </w:r>
            <w:r>
              <w:rPr>
                <w:rFonts w:eastAsia="Calibri" w:cs="Calibri" w:ascii="Arial" w:hAnsi="Arial"/>
                <w:color w:val="0E0E0E"/>
                <w:kern w:val="0"/>
                <w:sz w:val="20"/>
                <w:szCs w:val="20"/>
                <w:shd w:fill="FFFFFF" w:val="clear"/>
                <w:lang w:val="pt-BR" w:eastAsia="en-US" w:bidi="ar-SA"/>
              </w:rPr>
              <w:t xml:space="preserve">” com tubo no guia interno e medida de </w:t>
            </w:r>
            <w:r>
              <w:rPr>
                <w:rFonts w:eastAsia="Calibri" w:cs="Calibri" w:ascii="Arial" w:hAnsi="Arial"/>
                <w:b/>
                <w:color w:val="0E0E0E"/>
                <w:kern w:val="0"/>
                <w:sz w:val="20"/>
                <w:szCs w:val="20"/>
                <w:shd w:fill="FFFFFF" w:val="clear"/>
                <w:lang w:val="pt-BR" w:eastAsia="en-US" w:bidi="ar-SA"/>
              </w:rPr>
              <w:t xml:space="preserve">180mm </w:t>
            </w:r>
            <w:r>
              <w:rPr>
                <w:rFonts w:eastAsia="Calibri" w:cs="Calibri" w:ascii="Arial" w:hAnsi="Arial"/>
                <w:color w:val="0E0E0E"/>
                <w:kern w:val="0"/>
                <w:sz w:val="20"/>
                <w:szCs w:val="20"/>
                <w:shd w:fill="FFFFFF" w:val="clear"/>
                <w:lang w:val="pt-BR" w:eastAsia="en-US" w:bidi="ar-SA"/>
              </w:rPr>
              <w:t xml:space="preserve">de face a face dos flanges fixos </w:t>
            </w:r>
            <w:r>
              <w:rPr>
                <w:rFonts w:eastAsia="Calibri" w:cs="Calibri" w:ascii="Arial" w:hAnsi="Arial"/>
                <w:b/>
                <w:color w:val="0E0E0E"/>
                <w:kern w:val="0"/>
                <w:sz w:val="20"/>
                <w:szCs w:val="20"/>
                <w:shd w:fill="FFFFFF" w:val="clear"/>
                <w:lang w:val="pt-BR" w:eastAsia="en-US" w:bidi="ar-SA"/>
              </w:rPr>
              <w:t>Aço Inox 316  ASME B16.5</w:t>
            </w:r>
            <w:r>
              <w:rPr>
                <w:rFonts w:eastAsia="Calibri" w:cs="Calibri" w:ascii="Arial" w:hAnsi="Arial"/>
                <w:color w:val="0E0E0E"/>
                <w:kern w:val="0"/>
                <w:sz w:val="20"/>
                <w:szCs w:val="20"/>
                <w:shd w:fill="FFFFFF" w:val="clear"/>
                <w:lang w:val="pt-BR" w:eastAsia="en-US" w:bidi="ar-SA"/>
              </w:rPr>
              <w:t xml:space="preserve"> com </w:t>
            </w:r>
            <w:r>
              <w:rPr>
                <w:rFonts w:eastAsia="Calibri" w:cs="Calibri" w:ascii="Arial" w:hAnsi="Arial"/>
                <w:b/>
                <w:color w:val="0E0E0E"/>
                <w:kern w:val="0"/>
                <w:sz w:val="20"/>
                <w:szCs w:val="20"/>
                <w:shd w:fill="FFFFFF" w:val="clear"/>
                <w:lang w:val="pt-BR" w:eastAsia="en-US" w:bidi="ar-SA"/>
              </w:rPr>
              <w:t xml:space="preserve">8 furos </w:t>
            </w:r>
          </w:p>
        </w:tc>
        <w:tc>
          <w:tcPr>
            <w:tcW w:w="1305" w:type="dxa"/>
            <w:tcBorders>
              <w:left w:val="single" w:sz="4" w:space="0" w:color="000000"/>
              <w:bottom w:val="single" w:sz="4" w:space="0" w:color="000000"/>
              <w:right w:val="single" w:sz="4" w:space="0" w:color="000000"/>
            </w:tcBorders>
          </w:tcPr>
          <w:p>
            <w:pPr>
              <w:pStyle w:val="Normal"/>
              <w:widowControl w:val="false"/>
              <w:suppressAutoHyphens w:val="true"/>
              <w:spacing w:lineRule="auto" w:line="312" w:before="918" w:after="1086"/>
              <w:jc w:val="center"/>
              <w:rPr/>
            </w:pPr>
            <w:r>
              <w:rPr/>
            </w:r>
          </w:p>
        </w:tc>
        <w:tc>
          <w:tcPr>
            <w:tcW w:w="690" w:type="dxa"/>
            <w:tcBorders>
              <w:left w:val="single" w:sz="4" w:space="0" w:color="000000"/>
              <w:bottom w:val="single" w:sz="4" w:space="0" w:color="000000"/>
              <w:right w:val="single" w:sz="4" w:space="0" w:color="000000"/>
            </w:tcBorders>
          </w:tcPr>
          <w:p>
            <w:pPr>
              <w:pStyle w:val="Normal"/>
              <w:widowControl w:val="false"/>
              <w:suppressAutoHyphens w:val="true"/>
              <w:spacing w:lineRule="auto" w:line="312" w:before="918" w:after="1086"/>
              <w:jc w:val="center"/>
              <w:rPr>
                <w:rFonts w:ascii="Arial" w:hAnsi="Arial" w:cs="Arial"/>
                <w:color w:val="000000"/>
                <w:sz w:val="20"/>
                <w:szCs w:val="20"/>
              </w:rPr>
            </w:pPr>
            <w:r>
              <w:rPr>
                <w:rFonts w:cs="Arial" w:ascii="Arial" w:hAnsi="Arial"/>
                <w:color w:val="000000"/>
                <w:sz w:val="20"/>
                <w:szCs w:val="20"/>
              </w:rPr>
              <w:t>UN</w:t>
            </w:r>
          </w:p>
        </w:tc>
        <w:tc>
          <w:tcPr>
            <w:tcW w:w="1067" w:type="dxa"/>
            <w:tcBorders>
              <w:left w:val="single" w:sz="4" w:space="0" w:color="000000"/>
              <w:bottom w:val="single" w:sz="4" w:space="0" w:color="000000"/>
              <w:right w:val="single" w:sz="4" w:space="0" w:color="000000"/>
            </w:tcBorders>
          </w:tcPr>
          <w:p>
            <w:pPr>
              <w:pStyle w:val="Normal"/>
              <w:widowControl w:val="false"/>
              <w:suppressAutoHyphens w:val="true"/>
              <w:spacing w:lineRule="auto" w:line="312" w:before="918" w:after="1086"/>
              <w:jc w:val="center"/>
              <w:rPr/>
            </w:pPr>
            <w:r>
              <w:rPr/>
            </w:r>
          </w:p>
        </w:tc>
        <w:tc>
          <w:tcPr>
            <w:tcW w:w="1416" w:type="dxa"/>
            <w:tcBorders>
              <w:left w:val="single" w:sz="4" w:space="0" w:color="000000"/>
              <w:bottom w:val="single" w:sz="4" w:space="0" w:color="000000"/>
              <w:right w:val="single" w:sz="4" w:space="0" w:color="000000"/>
            </w:tcBorders>
          </w:tcPr>
          <w:p>
            <w:pPr>
              <w:pStyle w:val="Normal"/>
              <w:widowControl w:val="false"/>
              <w:suppressAutoHyphens w:val="true"/>
              <w:spacing w:lineRule="auto" w:line="312" w:before="918" w:after="1086"/>
              <w:jc w:val="center"/>
              <w:rPr/>
            </w:pPr>
            <w:r>
              <w:rPr/>
            </w:r>
          </w:p>
        </w:tc>
        <w:tc>
          <w:tcPr>
            <w:tcW w:w="1566" w:type="dxa"/>
            <w:tcBorders>
              <w:left w:val="single" w:sz="4" w:space="0" w:color="000000"/>
              <w:bottom w:val="single" w:sz="4" w:space="0" w:color="000000"/>
              <w:right w:val="single" w:sz="4" w:space="0" w:color="000000"/>
            </w:tcBorders>
          </w:tcPr>
          <w:p>
            <w:pPr>
              <w:pStyle w:val="Normal"/>
              <w:widowControl w:val="false"/>
              <w:suppressAutoHyphens w:val="true"/>
              <w:spacing w:lineRule="auto" w:line="312" w:before="918" w:after="1086"/>
              <w:jc w:val="center"/>
              <w:rPr/>
            </w:pPr>
            <w:r>
              <w:rPr/>
            </w:r>
          </w:p>
        </w:tc>
      </w:tr>
      <w:tr>
        <w:trPr>
          <w:trHeight w:val="2175" w:hRule="exact"/>
        </w:trPr>
        <w:tc>
          <w:tcPr>
            <w:tcW w:w="1020" w:type="dxa"/>
            <w:tcBorders>
              <w:left w:val="single" w:sz="4" w:space="0" w:color="000000"/>
              <w:bottom w:val="single" w:sz="4" w:space="0" w:color="000000"/>
              <w:right w:val="single" w:sz="4" w:space="0" w:color="000000"/>
            </w:tcBorders>
          </w:tcPr>
          <w:p>
            <w:pPr>
              <w:pStyle w:val="Normal"/>
              <w:widowControl w:val="false"/>
              <w:suppressAutoHyphens w:val="true"/>
              <w:spacing w:lineRule="auto" w:line="312" w:before="918" w:after="1086"/>
              <w:jc w:val="center"/>
              <w:rPr>
                <w:rFonts w:ascii="Arial" w:hAnsi="Arial"/>
                <w:b/>
                <w:b/>
                <w:bCs/>
                <w:color w:val="000000"/>
                <w:sz w:val="20"/>
                <w:szCs w:val="20"/>
              </w:rPr>
            </w:pPr>
            <w:r>
              <w:rPr>
                <w:rFonts w:ascii="Arial" w:hAnsi="Arial"/>
                <w:b/>
                <w:bCs/>
                <w:color w:val="000000"/>
                <w:sz w:val="20"/>
                <w:szCs w:val="20"/>
              </w:rPr>
              <w:t>4</w:t>
            </w:r>
          </w:p>
        </w:tc>
        <w:tc>
          <w:tcPr>
            <w:tcW w:w="3000" w:type="dxa"/>
            <w:tcBorders>
              <w:left w:val="single" w:sz="4" w:space="0" w:color="000000"/>
              <w:bottom w:val="single" w:sz="4" w:space="0" w:color="000000"/>
              <w:right w:val="single" w:sz="4" w:space="0" w:color="000000"/>
            </w:tcBorders>
          </w:tcPr>
          <w:p>
            <w:pPr>
              <w:pStyle w:val="Normal"/>
              <w:widowControl/>
              <w:spacing w:lineRule="auto" w:line="240" w:before="228" w:after="228"/>
              <w:jc w:val="left"/>
              <w:rPr>
                <w:rFonts w:ascii="Arial" w:hAnsi="Arial" w:eastAsia="Calibri"/>
                <w:kern w:val="0"/>
                <w:sz w:val="20"/>
                <w:szCs w:val="20"/>
                <w:lang w:val="pt-BR" w:eastAsia="en-US" w:bidi="ar-SA"/>
              </w:rPr>
            </w:pPr>
            <w:r>
              <w:rPr>
                <w:rFonts w:eastAsia="Calibri" w:cs="Calibri" w:ascii="Arial" w:hAnsi="Arial"/>
                <w:color w:val="0E0E0E"/>
                <w:kern w:val="0"/>
                <w:sz w:val="20"/>
                <w:szCs w:val="20"/>
                <w:shd w:fill="FFFFFF" w:val="clear"/>
                <w:lang w:val="pt-BR" w:eastAsia="en-US" w:bidi="ar-SA"/>
              </w:rPr>
              <w:t xml:space="preserve">Junta de expansão metálica Com fole em aço inoxidável para tubo aço carbono de </w:t>
            </w:r>
            <w:r>
              <w:rPr>
                <w:rFonts w:eastAsia="Calibri" w:cs="Calibri" w:ascii="Arial" w:hAnsi="Arial"/>
                <w:b/>
                <w:color w:val="0E0E0E"/>
                <w:kern w:val="0"/>
                <w:sz w:val="20"/>
                <w:szCs w:val="20"/>
                <w:shd w:fill="FFFFFF" w:val="clear"/>
                <w:lang w:val="pt-BR" w:eastAsia="en-US" w:bidi="ar-SA"/>
              </w:rPr>
              <w:t>DN 4”</w:t>
            </w:r>
            <w:r>
              <w:rPr>
                <w:rFonts w:eastAsia="Calibri" w:cs="Calibri" w:ascii="Arial" w:hAnsi="Arial"/>
                <w:color w:val="0E0E0E"/>
                <w:kern w:val="0"/>
                <w:sz w:val="20"/>
                <w:szCs w:val="20"/>
                <w:shd w:fill="FFFFFF" w:val="clear"/>
                <w:lang w:val="pt-BR" w:eastAsia="en-US" w:bidi="ar-SA"/>
              </w:rPr>
              <w:t xml:space="preserve"> com tubo no guia interno e medida de </w:t>
            </w:r>
            <w:r>
              <w:rPr>
                <w:rFonts w:eastAsia="Calibri" w:cs="Calibri" w:ascii="Arial" w:hAnsi="Arial"/>
                <w:b/>
                <w:color w:val="0E0E0E"/>
                <w:kern w:val="0"/>
                <w:sz w:val="20"/>
                <w:szCs w:val="20"/>
                <w:shd w:fill="FFFFFF" w:val="clear"/>
                <w:lang w:val="pt-BR" w:eastAsia="en-US" w:bidi="ar-SA"/>
              </w:rPr>
              <w:t>160mm</w:t>
            </w:r>
            <w:r>
              <w:rPr>
                <w:rFonts w:eastAsia="Calibri" w:cs="Calibri" w:ascii="Arial" w:hAnsi="Arial"/>
                <w:color w:val="0E0E0E"/>
                <w:kern w:val="0"/>
                <w:sz w:val="20"/>
                <w:szCs w:val="20"/>
                <w:shd w:fill="FFFFFF" w:val="clear"/>
                <w:lang w:val="pt-BR" w:eastAsia="en-US" w:bidi="ar-SA"/>
              </w:rPr>
              <w:t xml:space="preserve"> de face a face dos flanges fixos </w:t>
            </w:r>
            <w:r>
              <w:rPr>
                <w:rFonts w:eastAsia="Calibri" w:cs="Calibri" w:ascii="Arial" w:hAnsi="Arial"/>
                <w:b/>
                <w:color w:val="0E0E0E"/>
                <w:kern w:val="0"/>
                <w:sz w:val="20"/>
                <w:szCs w:val="20"/>
                <w:shd w:fill="FFFFFF" w:val="clear"/>
                <w:lang w:val="pt-BR" w:eastAsia="en-US" w:bidi="ar-SA"/>
              </w:rPr>
              <w:t>Aço Inox 316 ASME B16.5</w:t>
            </w:r>
            <w:r>
              <w:rPr>
                <w:rFonts w:eastAsia="Calibri" w:cs="Calibri" w:ascii="Arial" w:hAnsi="Arial"/>
                <w:color w:val="0E0E0E"/>
                <w:kern w:val="0"/>
                <w:sz w:val="20"/>
                <w:szCs w:val="20"/>
                <w:shd w:fill="FFFFFF" w:val="clear"/>
                <w:lang w:val="pt-BR" w:eastAsia="en-US" w:bidi="ar-SA"/>
              </w:rPr>
              <w:t xml:space="preserve"> com </w:t>
            </w:r>
            <w:r>
              <w:rPr>
                <w:rFonts w:eastAsia="Calibri" w:cs="Calibri" w:ascii="Arial" w:hAnsi="Arial"/>
                <w:b/>
                <w:color w:val="0E0E0E"/>
                <w:kern w:val="0"/>
                <w:sz w:val="20"/>
                <w:szCs w:val="20"/>
                <w:shd w:fill="FFFFFF" w:val="clear"/>
                <w:lang w:val="pt-BR" w:eastAsia="en-US" w:bidi="ar-SA"/>
              </w:rPr>
              <w:t xml:space="preserve">8 furos   </w:t>
            </w:r>
          </w:p>
        </w:tc>
        <w:tc>
          <w:tcPr>
            <w:tcW w:w="1305" w:type="dxa"/>
            <w:tcBorders>
              <w:left w:val="single" w:sz="4" w:space="0" w:color="000000"/>
              <w:bottom w:val="single" w:sz="4" w:space="0" w:color="000000"/>
              <w:right w:val="single" w:sz="4" w:space="0" w:color="000000"/>
            </w:tcBorders>
          </w:tcPr>
          <w:p>
            <w:pPr>
              <w:pStyle w:val="Normal"/>
              <w:widowControl w:val="false"/>
              <w:suppressAutoHyphens w:val="true"/>
              <w:spacing w:lineRule="auto" w:line="312" w:before="918" w:after="1086"/>
              <w:jc w:val="center"/>
              <w:rPr/>
            </w:pPr>
            <w:r>
              <w:rPr/>
            </w:r>
          </w:p>
        </w:tc>
        <w:tc>
          <w:tcPr>
            <w:tcW w:w="690" w:type="dxa"/>
            <w:tcBorders>
              <w:left w:val="single" w:sz="4" w:space="0" w:color="000000"/>
              <w:bottom w:val="single" w:sz="4" w:space="0" w:color="000000"/>
              <w:right w:val="single" w:sz="4" w:space="0" w:color="000000"/>
            </w:tcBorders>
          </w:tcPr>
          <w:p>
            <w:pPr>
              <w:pStyle w:val="Normal"/>
              <w:widowControl w:val="false"/>
              <w:suppressAutoHyphens w:val="true"/>
              <w:spacing w:lineRule="auto" w:line="312" w:before="918" w:after="1086"/>
              <w:jc w:val="center"/>
              <w:rPr>
                <w:rFonts w:ascii="Arial" w:hAnsi="Arial" w:cs="Arial"/>
                <w:color w:val="000000"/>
                <w:sz w:val="20"/>
                <w:szCs w:val="20"/>
              </w:rPr>
            </w:pPr>
            <w:r>
              <w:rPr>
                <w:rFonts w:cs="Arial" w:ascii="Arial" w:hAnsi="Arial"/>
                <w:color w:val="000000"/>
                <w:sz w:val="20"/>
                <w:szCs w:val="20"/>
              </w:rPr>
              <w:t>UN</w:t>
            </w:r>
          </w:p>
        </w:tc>
        <w:tc>
          <w:tcPr>
            <w:tcW w:w="1067" w:type="dxa"/>
            <w:tcBorders>
              <w:left w:val="single" w:sz="4" w:space="0" w:color="000000"/>
              <w:bottom w:val="single" w:sz="4" w:space="0" w:color="000000"/>
              <w:right w:val="single" w:sz="4" w:space="0" w:color="000000"/>
            </w:tcBorders>
          </w:tcPr>
          <w:p>
            <w:pPr>
              <w:pStyle w:val="Normal"/>
              <w:widowControl w:val="false"/>
              <w:suppressAutoHyphens w:val="true"/>
              <w:spacing w:lineRule="auto" w:line="312" w:before="918" w:after="1086"/>
              <w:jc w:val="center"/>
              <w:rPr/>
            </w:pPr>
            <w:r>
              <w:rPr/>
            </w:r>
          </w:p>
        </w:tc>
        <w:tc>
          <w:tcPr>
            <w:tcW w:w="1416" w:type="dxa"/>
            <w:tcBorders>
              <w:left w:val="single" w:sz="4" w:space="0" w:color="000000"/>
              <w:bottom w:val="single" w:sz="4" w:space="0" w:color="000000"/>
              <w:right w:val="single" w:sz="4" w:space="0" w:color="000000"/>
            </w:tcBorders>
          </w:tcPr>
          <w:p>
            <w:pPr>
              <w:pStyle w:val="Normal"/>
              <w:widowControl w:val="false"/>
              <w:suppressAutoHyphens w:val="true"/>
              <w:spacing w:lineRule="auto" w:line="312" w:before="918" w:after="1086"/>
              <w:jc w:val="center"/>
              <w:rPr/>
            </w:pPr>
            <w:r>
              <w:rPr/>
            </w:r>
          </w:p>
        </w:tc>
        <w:tc>
          <w:tcPr>
            <w:tcW w:w="1566" w:type="dxa"/>
            <w:tcBorders>
              <w:left w:val="single" w:sz="4" w:space="0" w:color="000000"/>
              <w:bottom w:val="single" w:sz="4" w:space="0" w:color="000000"/>
              <w:right w:val="single" w:sz="4" w:space="0" w:color="000000"/>
            </w:tcBorders>
          </w:tcPr>
          <w:p>
            <w:pPr>
              <w:pStyle w:val="Normal"/>
              <w:widowControl w:val="false"/>
              <w:suppressAutoHyphens w:val="true"/>
              <w:spacing w:lineRule="auto" w:line="312" w:before="918" w:after="1086"/>
              <w:jc w:val="center"/>
              <w:rPr/>
            </w:pPr>
            <w:r>
              <w:rPr/>
            </w:r>
          </w:p>
        </w:tc>
      </w:tr>
      <w:tr>
        <w:trPr>
          <w:trHeight w:val="2175" w:hRule="exact"/>
        </w:trPr>
        <w:tc>
          <w:tcPr>
            <w:tcW w:w="1020" w:type="dxa"/>
            <w:tcBorders>
              <w:left w:val="single" w:sz="4" w:space="0" w:color="000000"/>
              <w:bottom w:val="single" w:sz="4" w:space="0" w:color="000000"/>
              <w:right w:val="single" w:sz="4" w:space="0" w:color="000000"/>
            </w:tcBorders>
          </w:tcPr>
          <w:p>
            <w:pPr>
              <w:pStyle w:val="Normal"/>
              <w:widowControl w:val="false"/>
              <w:suppressAutoHyphens w:val="true"/>
              <w:spacing w:lineRule="auto" w:line="312" w:before="918" w:after="1086"/>
              <w:jc w:val="center"/>
              <w:rPr>
                <w:rFonts w:ascii="Arial" w:hAnsi="Arial"/>
                <w:b/>
                <w:b/>
                <w:bCs/>
                <w:color w:val="000000"/>
                <w:sz w:val="20"/>
                <w:szCs w:val="20"/>
              </w:rPr>
            </w:pPr>
            <w:r>
              <w:rPr>
                <w:rFonts w:ascii="Arial" w:hAnsi="Arial"/>
                <w:b/>
                <w:bCs/>
                <w:color w:val="000000"/>
                <w:sz w:val="20"/>
                <w:szCs w:val="20"/>
              </w:rPr>
              <w:t>5</w:t>
            </w:r>
          </w:p>
        </w:tc>
        <w:tc>
          <w:tcPr>
            <w:tcW w:w="3000" w:type="dxa"/>
            <w:tcBorders>
              <w:left w:val="single" w:sz="4" w:space="0" w:color="000000"/>
              <w:bottom w:val="single" w:sz="4" w:space="0" w:color="000000"/>
              <w:right w:val="single" w:sz="4" w:space="0" w:color="000000"/>
            </w:tcBorders>
          </w:tcPr>
          <w:p>
            <w:pPr>
              <w:pStyle w:val="Normal"/>
              <w:widowControl/>
              <w:spacing w:lineRule="auto" w:line="240" w:before="228" w:after="228"/>
              <w:jc w:val="left"/>
              <w:rPr>
                <w:rFonts w:ascii="Arial" w:hAnsi="Arial" w:eastAsia="Calibri"/>
                <w:kern w:val="0"/>
                <w:sz w:val="20"/>
                <w:szCs w:val="20"/>
                <w:lang w:val="pt-BR" w:eastAsia="en-US" w:bidi="ar-SA"/>
              </w:rPr>
            </w:pPr>
            <w:r>
              <w:rPr>
                <w:rFonts w:eastAsia="Calibri" w:cs="Calibri" w:ascii="Arial" w:hAnsi="Arial"/>
                <w:color w:val="0E0E0E"/>
                <w:kern w:val="0"/>
                <w:sz w:val="20"/>
                <w:szCs w:val="20"/>
                <w:shd w:fill="FFFFFF" w:val="clear"/>
                <w:lang w:val="pt-BR" w:eastAsia="en-US" w:bidi="ar-SA"/>
              </w:rPr>
              <w:t xml:space="preserve">Junta de expansão metálica Com fole em aço inoxidável para tubo aço carbono de </w:t>
            </w:r>
            <w:r>
              <w:rPr>
                <w:rFonts w:eastAsia="Calibri" w:cs="Calibri" w:ascii="Arial" w:hAnsi="Arial"/>
                <w:b/>
                <w:color w:val="0E0E0E"/>
                <w:kern w:val="0"/>
                <w:sz w:val="20"/>
                <w:szCs w:val="20"/>
                <w:shd w:fill="FFFFFF" w:val="clear"/>
                <w:lang w:val="pt-BR" w:eastAsia="en-US" w:bidi="ar-SA"/>
              </w:rPr>
              <w:t>DN 2</w:t>
            </w:r>
            <w:r>
              <w:rPr>
                <w:rFonts w:eastAsia="Calibri" w:cs="Calibri" w:ascii="Arial" w:hAnsi="Arial"/>
                <w:color w:val="0E0E0E"/>
                <w:kern w:val="0"/>
                <w:sz w:val="20"/>
                <w:szCs w:val="20"/>
                <w:shd w:fill="FFFFFF" w:val="clear"/>
                <w:lang w:val="pt-BR" w:eastAsia="en-US" w:bidi="ar-SA"/>
              </w:rPr>
              <w:t xml:space="preserve">” com tubo no guia interno e medida de </w:t>
            </w:r>
            <w:r>
              <w:rPr>
                <w:rFonts w:eastAsia="Calibri" w:cs="Calibri" w:ascii="Arial" w:hAnsi="Arial"/>
                <w:b/>
                <w:color w:val="0E0E0E"/>
                <w:kern w:val="0"/>
                <w:sz w:val="20"/>
                <w:szCs w:val="20"/>
                <w:shd w:fill="FFFFFF" w:val="clear"/>
                <w:lang w:val="pt-BR" w:eastAsia="en-US" w:bidi="ar-SA"/>
              </w:rPr>
              <w:t>150mm</w:t>
            </w:r>
            <w:r>
              <w:rPr>
                <w:rFonts w:eastAsia="Calibri" w:cs="Calibri" w:ascii="Arial" w:hAnsi="Arial"/>
                <w:color w:val="0E0E0E"/>
                <w:kern w:val="0"/>
                <w:sz w:val="20"/>
                <w:szCs w:val="20"/>
                <w:shd w:fill="FFFFFF" w:val="clear"/>
                <w:lang w:val="pt-BR" w:eastAsia="en-US" w:bidi="ar-SA"/>
              </w:rPr>
              <w:t xml:space="preserve"> de face a face dos flanges fixos</w:t>
            </w:r>
            <w:r>
              <w:rPr>
                <w:rFonts w:eastAsia="Calibri" w:cs="Calibri" w:ascii="Arial" w:hAnsi="Arial"/>
                <w:b/>
                <w:color w:val="0E0E0E"/>
                <w:kern w:val="0"/>
                <w:sz w:val="20"/>
                <w:szCs w:val="20"/>
                <w:shd w:fill="FFFFFF" w:val="clear"/>
                <w:lang w:val="pt-BR" w:eastAsia="en-US" w:bidi="ar-SA"/>
              </w:rPr>
              <w:t xml:space="preserve"> Aço Inox  ASME B16.5</w:t>
            </w:r>
            <w:r>
              <w:rPr>
                <w:rFonts w:eastAsia="Calibri" w:cs="Calibri" w:ascii="Arial" w:hAnsi="Arial"/>
                <w:color w:val="0E0E0E"/>
                <w:kern w:val="0"/>
                <w:sz w:val="20"/>
                <w:szCs w:val="20"/>
                <w:shd w:fill="FFFFFF" w:val="clear"/>
                <w:lang w:val="pt-BR" w:eastAsia="en-US" w:bidi="ar-SA"/>
              </w:rPr>
              <w:t xml:space="preserve"> </w:t>
            </w:r>
            <w:r>
              <w:rPr>
                <w:rFonts w:eastAsia="Calibri" w:cs="Calibri" w:ascii="Arial" w:hAnsi="Arial"/>
                <w:b/>
                <w:color w:val="0E0E0E"/>
                <w:kern w:val="0"/>
                <w:sz w:val="20"/>
                <w:szCs w:val="20"/>
                <w:shd w:fill="FFFFFF" w:val="clear"/>
                <w:lang w:val="pt-BR" w:eastAsia="en-US" w:bidi="ar-SA"/>
              </w:rPr>
              <w:t xml:space="preserve"> </w:t>
            </w:r>
            <w:r>
              <w:rPr>
                <w:rFonts w:eastAsia="Calibri" w:cs="Calibri" w:ascii="Arial" w:hAnsi="Arial"/>
                <w:color w:val="0E0E0E"/>
                <w:kern w:val="0"/>
                <w:sz w:val="20"/>
                <w:szCs w:val="20"/>
                <w:shd w:fill="FFFFFF" w:val="clear"/>
                <w:lang w:val="pt-BR" w:eastAsia="en-US" w:bidi="ar-SA"/>
              </w:rPr>
              <w:t xml:space="preserve">com </w:t>
            </w:r>
            <w:r>
              <w:rPr>
                <w:rFonts w:eastAsia="Calibri" w:cs="Calibri" w:ascii="Arial" w:hAnsi="Arial"/>
                <w:b/>
                <w:color w:val="0E0E0E"/>
                <w:kern w:val="0"/>
                <w:sz w:val="20"/>
                <w:szCs w:val="20"/>
                <w:shd w:fill="FFFFFF" w:val="clear"/>
                <w:lang w:val="pt-BR" w:eastAsia="en-US" w:bidi="ar-SA"/>
              </w:rPr>
              <w:t xml:space="preserve">4 furos </w:t>
            </w:r>
          </w:p>
        </w:tc>
        <w:tc>
          <w:tcPr>
            <w:tcW w:w="1305" w:type="dxa"/>
            <w:tcBorders>
              <w:left w:val="single" w:sz="4" w:space="0" w:color="000000"/>
              <w:bottom w:val="single" w:sz="4" w:space="0" w:color="000000"/>
              <w:right w:val="single" w:sz="4" w:space="0" w:color="000000"/>
            </w:tcBorders>
          </w:tcPr>
          <w:p>
            <w:pPr>
              <w:pStyle w:val="Normal"/>
              <w:widowControl w:val="false"/>
              <w:suppressAutoHyphens w:val="true"/>
              <w:spacing w:lineRule="auto" w:line="312" w:before="918" w:after="1086"/>
              <w:jc w:val="center"/>
              <w:rPr/>
            </w:pPr>
            <w:r>
              <w:rPr/>
            </w:r>
          </w:p>
        </w:tc>
        <w:tc>
          <w:tcPr>
            <w:tcW w:w="690" w:type="dxa"/>
            <w:tcBorders>
              <w:left w:val="single" w:sz="4" w:space="0" w:color="000000"/>
              <w:bottom w:val="single" w:sz="4" w:space="0" w:color="000000"/>
              <w:right w:val="single" w:sz="4" w:space="0" w:color="000000"/>
            </w:tcBorders>
          </w:tcPr>
          <w:p>
            <w:pPr>
              <w:pStyle w:val="Normal"/>
              <w:widowControl w:val="false"/>
              <w:suppressAutoHyphens w:val="true"/>
              <w:spacing w:lineRule="auto" w:line="312" w:before="918" w:after="1086"/>
              <w:jc w:val="center"/>
              <w:rPr>
                <w:rFonts w:ascii="Arial" w:hAnsi="Arial" w:cs="Arial"/>
                <w:color w:val="000000"/>
                <w:sz w:val="20"/>
                <w:szCs w:val="20"/>
              </w:rPr>
            </w:pPr>
            <w:r>
              <w:rPr>
                <w:rFonts w:cs="Arial" w:ascii="Arial" w:hAnsi="Arial"/>
                <w:color w:val="000000"/>
                <w:sz w:val="20"/>
                <w:szCs w:val="20"/>
              </w:rPr>
              <w:t>UN</w:t>
            </w:r>
          </w:p>
        </w:tc>
        <w:tc>
          <w:tcPr>
            <w:tcW w:w="1067" w:type="dxa"/>
            <w:tcBorders>
              <w:left w:val="single" w:sz="4" w:space="0" w:color="000000"/>
              <w:bottom w:val="single" w:sz="4" w:space="0" w:color="000000"/>
              <w:right w:val="single" w:sz="4" w:space="0" w:color="000000"/>
            </w:tcBorders>
          </w:tcPr>
          <w:p>
            <w:pPr>
              <w:pStyle w:val="Normal"/>
              <w:widowControl w:val="false"/>
              <w:suppressAutoHyphens w:val="true"/>
              <w:spacing w:lineRule="auto" w:line="312" w:before="918" w:after="1086"/>
              <w:jc w:val="center"/>
              <w:rPr/>
            </w:pPr>
            <w:r>
              <w:rPr/>
            </w:r>
          </w:p>
        </w:tc>
        <w:tc>
          <w:tcPr>
            <w:tcW w:w="1416" w:type="dxa"/>
            <w:tcBorders>
              <w:left w:val="single" w:sz="4" w:space="0" w:color="000000"/>
              <w:bottom w:val="single" w:sz="4" w:space="0" w:color="000000"/>
              <w:right w:val="single" w:sz="4" w:space="0" w:color="000000"/>
            </w:tcBorders>
          </w:tcPr>
          <w:p>
            <w:pPr>
              <w:pStyle w:val="Normal"/>
              <w:widowControl w:val="false"/>
              <w:suppressAutoHyphens w:val="true"/>
              <w:spacing w:lineRule="auto" w:line="312" w:before="918" w:after="1086"/>
              <w:jc w:val="center"/>
              <w:rPr/>
            </w:pPr>
            <w:r>
              <w:rPr/>
            </w:r>
          </w:p>
        </w:tc>
        <w:tc>
          <w:tcPr>
            <w:tcW w:w="1566" w:type="dxa"/>
            <w:tcBorders>
              <w:left w:val="single" w:sz="4" w:space="0" w:color="000000"/>
              <w:bottom w:val="single" w:sz="4" w:space="0" w:color="000000"/>
              <w:right w:val="single" w:sz="4" w:space="0" w:color="000000"/>
            </w:tcBorders>
          </w:tcPr>
          <w:p>
            <w:pPr>
              <w:pStyle w:val="Normal"/>
              <w:widowControl w:val="false"/>
              <w:suppressAutoHyphens w:val="true"/>
              <w:spacing w:lineRule="auto" w:line="312" w:before="918" w:after="1086"/>
              <w:jc w:val="center"/>
              <w:rPr/>
            </w:pPr>
            <w:r>
              <w:rPr/>
            </w:r>
          </w:p>
        </w:tc>
      </w:tr>
      <w:tr>
        <w:trPr>
          <w:trHeight w:val="589" w:hRule="exact"/>
        </w:trPr>
        <w:tc>
          <w:tcPr>
            <w:tcW w:w="1020" w:type="dxa"/>
            <w:tcBorders>
              <w:left w:val="single" w:sz="4" w:space="0" w:color="000000"/>
              <w:bottom w:val="single" w:sz="4" w:space="0" w:color="000000"/>
              <w:right w:val="single" w:sz="4" w:space="0" w:color="000000"/>
            </w:tcBorders>
          </w:tcPr>
          <w:p>
            <w:pPr>
              <w:pStyle w:val="Normal"/>
              <w:widowControl w:val="false"/>
              <w:suppressAutoHyphens w:val="true"/>
              <w:spacing w:lineRule="auto" w:line="312" w:before="120" w:after="288"/>
              <w:jc w:val="center"/>
              <w:rPr>
                <w:rFonts w:ascii="Arial" w:hAnsi="Arial" w:cs="Arial"/>
                <w:b/>
                <w:b/>
                <w:color w:val="000000"/>
                <w:sz w:val="20"/>
                <w:szCs w:val="20"/>
              </w:rPr>
            </w:pPr>
            <w:r>
              <w:rPr>
                <w:rFonts w:cs="Arial" w:ascii="Arial" w:hAnsi="Arial"/>
                <w:b/>
                <w:color w:val="000000"/>
                <w:sz w:val="20"/>
                <w:szCs w:val="20"/>
              </w:rPr>
            </w:r>
          </w:p>
        </w:tc>
        <w:tc>
          <w:tcPr>
            <w:tcW w:w="3000" w:type="dxa"/>
            <w:tcBorders>
              <w:left w:val="single" w:sz="4" w:space="0" w:color="000000"/>
              <w:bottom w:val="single" w:sz="4" w:space="0" w:color="000000"/>
              <w:right w:val="single" w:sz="4" w:space="0" w:color="000000"/>
            </w:tcBorders>
          </w:tcPr>
          <w:p>
            <w:pPr>
              <w:pStyle w:val="Normal"/>
              <w:widowControl w:val="false"/>
              <w:suppressAutoHyphens w:val="true"/>
              <w:spacing w:lineRule="auto" w:line="312" w:before="120" w:after="288"/>
              <w:jc w:val="center"/>
              <w:rPr>
                <w:rFonts w:ascii="Arial" w:hAnsi="Arial" w:cs="Arial"/>
                <w:color w:val="000000"/>
                <w:sz w:val="20"/>
                <w:szCs w:val="20"/>
              </w:rPr>
            </w:pPr>
            <w:r>
              <w:rPr>
                <w:rFonts w:cs="Arial" w:ascii="Arial" w:hAnsi="Arial"/>
                <w:color w:val="000000"/>
                <w:sz w:val="20"/>
                <w:szCs w:val="20"/>
              </w:rPr>
            </w:r>
          </w:p>
        </w:tc>
        <w:tc>
          <w:tcPr>
            <w:tcW w:w="1305" w:type="dxa"/>
            <w:tcBorders>
              <w:left w:val="single" w:sz="4" w:space="0" w:color="000000"/>
              <w:bottom w:val="single" w:sz="4" w:space="0" w:color="000000"/>
              <w:right w:val="single" w:sz="4" w:space="0" w:color="000000"/>
            </w:tcBorders>
          </w:tcPr>
          <w:p>
            <w:pPr>
              <w:pStyle w:val="Normal"/>
              <w:widowControl w:val="false"/>
              <w:suppressAutoHyphens w:val="true"/>
              <w:spacing w:lineRule="auto" w:line="312" w:before="120" w:after="288"/>
              <w:jc w:val="center"/>
              <w:rPr>
                <w:rFonts w:ascii="Arial" w:hAnsi="Arial" w:cs="Arial"/>
                <w:color w:val="000000"/>
                <w:sz w:val="20"/>
                <w:szCs w:val="20"/>
              </w:rPr>
            </w:pPr>
            <w:r>
              <w:rPr>
                <w:rFonts w:cs="Arial" w:ascii="Arial" w:hAnsi="Arial"/>
                <w:color w:val="000000"/>
                <w:sz w:val="20"/>
                <w:szCs w:val="20"/>
              </w:rPr>
            </w:r>
          </w:p>
        </w:tc>
        <w:tc>
          <w:tcPr>
            <w:tcW w:w="690" w:type="dxa"/>
            <w:tcBorders>
              <w:left w:val="single" w:sz="4" w:space="0" w:color="000000"/>
              <w:bottom w:val="single" w:sz="4" w:space="0" w:color="000000"/>
              <w:right w:val="single" w:sz="4" w:space="0" w:color="000000"/>
            </w:tcBorders>
          </w:tcPr>
          <w:p>
            <w:pPr>
              <w:pStyle w:val="Normal"/>
              <w:widowControl w:val="false"/>
              <w:suppressAutoHyphens w:val="true"/>
              <w:spacing w:lineRule="auto" w:line="312" w:before="120" w:after="288"/>
              <w:jc w:val="center"/>
              <w:rPr>
                <w:rFonts w:ascii="Arial" w:hAnsi="Arial" w:cs="Arial"/>
                <w:color w:val="000000"/>
                <w:sz w:val="20"/>
                <w:szCs w:val="20"/>
              </w:rPr>
            </w:pPr>
            <w:r>
              <w:rPr>
                <w:rFonts w:cs="Arial" w:ascii="Arial" w:hAnsi="Arial"/>
                <w:color w:val="000000"/>
                <w:sz w:val="20"/>
                <w:szCs w:val="20"/>
              </w:rPr>
            </w:r>
          </w:p>
        </w:tc>
        <w:tc>
          <w:tcPr>
            <w:tcW w:w="1067" w:type="dxa"/>
            <w:tcBorders>
              <w:left w:val="single" w:sz="4" w:space="0" w:color="000000"/>
              <w:bottom w:val="single" w:sz="4" w:space="0" w:color="000000"/>
              <w:right w:val="single" w:sz="4" w:space="0" w:color="000000"/>
            </w:tcBorders>
          </w:tcPr>
          <w:p>
            <w:pPr>
              <w:pStyle w:val="Normal"/>
              <w:widowControl w:val="false"/>
              <w:suppressAutoHyphens w:val="true"/>
              <w:spacing w:lineRule="auto" w:line="312" w:before="120" w:after="288"/>
              <w:jc w:val="center"/>
              <w:rPr>
                <w:rFonts w:ascii="Arial" w:hAnsi="Arial" w:cs="Arial"/>
                <w:color w:val="000000"/>
                <w:sz w:val="20"/>
                <w:szCs w:val="20"/>
              </w:rPr>
            </w:pPr>
            <w:r>
              <w:rPr>
                <w:rFonts w:cs="Arial" w:ascii="Arial" w:hAnsi="Arial"/>
                <w:color w:val="000000"/>
                <w:sz w:val="20"/>
                <w:szCs w:val="20"/>
              </w:rPr>
            </w:r>
          </w:p>
        </w:tc>
        <w:tc>
          <w:tcPr>
            <w:tcW w:w="1416" w:type="dxa"/>
            <w:tcBorders>
              <w:left w:val="single" w:sz="4" w:space="0" w:color="000000"/>
              <w:bottom w:val="single" w:sz="4" w:space="0" w:color="000000"/>
              <w:right w:val="single" w:sz="4" w:space="0" w:color="000000"/>
            </w:tcBorders>
          </w:tcPr>
          <w:p>
            <w:pPr>
              <w:pStyle w:val="Normal"/>
              <w:widowControl w:val="false"/>
              <w:suppressAutoHyphens w:val="true"/>
              <w:spacing w:lineRule="auto" w:line="312" w:before="120" w:after="288"/>
              <w:jc w:val="center"/>
              <w:rPr>
                <w:rFonts w:ascii="Arial" w:hAnsi="Arial" w:cs="Arial"/>
                <w:b/>
                <w:b/>
                <w:bCs/>
                <w:color w:val="000000"/>
                <w:sz w:val="20"/>
                <w:szCs w:val="20"/>
              </w:rPr>
            </w:pPr>
            <w:r>
              <w:rPr>
                <w:rFonts w:cs="Arial" w:ascii="Arial" w:hAnsi="Arial"/>
                <w:b/>
                <w:bCs/>
                <w:color w:val="000000"/>
                <w:sz w:val="20"/>
                <w:szCs w:val="20"/>
              </w:rPr>
              <w:t xml:space="preserve">TOTAL </w:t>
            </w:r>
          </w:p>
        </w:tc>
        <w:tc>
          <w:tcPr>
            <w:tcW w:w="1566" w:type="dxa"/>
            <w:tcBorders>
              <w:left w:val="single" w:sz="4" w:space="0" w:color="000000"/>
              <w:bottom w:val="single" w:sz="4" w:space="0" w:color="000000"/>
              <w:right w:val="single" w:sz="4" w:space="0" w:color="000000"/>
            </w:tcBorders>
          </w:tcPr>
          <w:p>
            <w:pPr>
              <w:pStyle w:val="Normal"/>
              <w:widowControl w:val="false"/>
              <w:suppressAutoHyphens w:val="true"/>
              <w:spacing w:lineRule="auto" w:line="312" w:before="120" w:after="288"/>
              <w:jc w:val="center"/>
              <w:rPr>
                <w:rFonts w:ascii="Arial" w:hAnsi="Arial"/>
                <w:b/>
                <w:b/>
                <w:bCs/>
                <w:color w:val="000000"/>
                <w:sz w:val="18"/>
              </w:rPr>
            </w:pPr>
            <w:r>
              <w:rPr>
                <w:rFonts w:ascii="Arial" w:hAnsi="Arial"/>
                <w:b/>
                <w:bCs/>
                <w:color w:val="000000"/>
                <w:sz w:val="18"/>
              </w:rPr>
              <w:t>R$ 0,00</w:t>
            </w:r>
          </w:p>
        </w:tc>
      </w:tr>
    </w:tbl>
    <w:p>
      <w:pPr>
        <w:pStyle w:val="Nvel2Opcional1"/>
        <w:numPr>
          <w:ilvl w:val="1"/>
          <w:numId w:val="2"/>
        </w:numPr>
        <w:rPr>
          <w:i w:val="false"/>
          <w:i w:val="false"/>
          <w:iCs w:val="false"/>
          <w:color w:val="auto"/>
        </w:rPr>
      </w:pPr>
      <w:r>
        <w:rPr>
          <w:i w:val="false"/>
          <w:iCs w:val="false"/>
          <w:color w:val="auto"/>
        </w:rPr>
        <w:t>Os bens objeto desta contratação são caracterizados como comuns, conforme justificativa constante do Estudo Técnico Preliminar.</w:t>
      </w:r>
      <w:bookmarkStart w:id="0" w:name="_Hlk176363679"/>
      <w:bookmarkStart w:id="1" w:name="_Hlk171370816"/>
      <w:bookmarkEnd w:id="0"/>
      <w:bookmarkEnd w:id="1"/>
    </w:p>
    <w:p>
      <w:pPr>
        <w:pStyle w:val="Nvel02"/>
        <w:numPr>
          <w:ilvl w:val="1"/>
          <w:numId w:val="2"/>
        </w:numPr>
        <w:ind w:left="0" w:right="0" w:hanging="0"/>
        <w:rPr/>
      </w:pPr>
      <w:r>
        <w:rPr/>
        <w:t>O contrato ou outro instrumento hábil que o substitua oferece maior detalhamento das regras que serão aplicadas em relação à vigência da contratação.</w:t>
      </w:r>
    </w:p>
    <w:p>
      <w:pPr>
        <w:pStyle w:val="Nivel01"/>
        <w:numPr>
          <w:ilvl w:val="0"/>
          <w:numId w:val="2"/>
        </w:numPr>
        <w:ind w:left="357" w:right="0" w:hanging="357"/>
        <w:rPr>
          <w:i/>
          <w:i/>
          <w:iCs w:val="false"/>
        </w:rPr>
      </w:pPr>
      <w:r>
        <w:rPr>
          <w:i/>
          <w:iCs w:val="false"/>
        </w:rPr>
        <w:t>FUNDAMENTAÇÃO E DESCRIÇÃO DA NECESSIDADE DA CONTRATAÇÃO</w:t>
      </w:r>
    </w:p>
    <w:p>
      <w:pPr>
        <w:pStyle w:val="Nvel02"/>
        <w:numPr>
          <w:ilvl w:val="1"/>
          <w:numId w:val="2"/>
        </w:numPr>
        <w:ind w:left="0" w:right="0" w:hanging="0"/>
        <w:rPr>
          <w:i w:val="false"/>
          <w:i w:val="false"/>
          <w:iCs w:val="false"/>
        </w:rPr>
      </w:pPr>
      <w:r>
        <w:rPr>
          <w:i w:val="false"/>
          <w:iCs w:val="false"/>
        </w:rPr>
        <w:t>A Fundamentação da Contratação e de seus quantitativos encontra-se pormenorizada em tópico específico dos Estudos Técnicos Preliminares, apêndice deste Termo de Referência.</w:t>
      </w:r>
      <w:bookmarkStart w:id="2" w:name="_Hlk170988156"/>
      <w:bookmarkEnd w:id="2"/>
    </w:p>
    <w:p>
      <w:pPr>
        <w:pStyle w:val="Nvel2Opcional1"/>
        <w:numPr>
          <w:ilvl w:val="1"/>
          <w:numId w:val="2"/>
        </w:numPr>
        <w:rPr/>
      </w:pPr>
      <w:r>
        <w:rPr>
          <w:i w:val="false"/>
          <w:iCs w:val="false"/>
          <w:color w:val="auto"/>
        </w:rPr>
        <w:t xml:space="preserve">O objeto da contratação está previsto no Plano de Contratações Anual ou Programa de Aplicação de Recursos de </w:t>
      </w:r>
      <w:r>
        <w:rPr>
          <w:rFonts w:eastAsia="Arial" w:cs="Arial"/>
          <w:b/>
          <w:bCs/>
          <w:i w:val="false"/>
          <w:iCs w:val="false"/>
          <w:color w:val="auto"/>
          <w:kern w:val="0"/>
          <w:sz w:val="20"/>
          <w:szCs w:val="20"/>
          <w:lang w:val="pt-BR" w:eastAsia="pt-BR" w:bidi="ar-SA"/>
        </w:rPr>
        <w:t>202</w:t>
      </w:r>
      <w:r>
        <w:rPr>
          <w:rFonts w:eastAsia="Arial" w:cs="Arial"/>
          <w:b/>
          <w:bCs/>
          <w:i w:val="false"/>
          <w:iCs w:val="false"/>
          <w:color w:val="auto"/>
          <w:kern w:val="0"/>
          <w:sz w:val="20"/>
          <w:szCs w:val="20"/>
          <w:lang w:val="pt-BR" w:eastAsia="pt-BR" w:bidi="ar-SA"/>
        </w:rPr>
        <w:t>6</w:t>
      </w:r>
      <w:r>
        <w:rPr>
          <w:rFonts w:eastAsia="Arial" w:cs="Arial"/>
          <w:b w:val="false"/>
          <w:bCs w:val="false"/>
          <w:i w:val="false"/>
          <w:iCs w:val="false"/>
          <w:color w:val="auto"/>
          <w:kern w:val="0"/>
          <w:sz w:val="20"/>
          <w:szCs w:val="20"/>
          <w:lang w:val="pt-BR" w:eastAsia="pt-BR" w:bidi="ar-SA"/>
        </w:rPr>
        <w:t>,</w:t>
      </w:r>
      <w:r>
        <w:rPr>
          <w:i w:val="false"/>
          <w:iCs w:val="false"/>
          <w:color w:val="auto"/>
        </w:rPr>
        <w:t xml:space="preserve"> conforme consta das informações básicas desse Termo de Referência.</w:t>
      </w:r>
    </w:p>
    <w:p>
      <w:pPr>
        <w:pStyle w:val="Nivel01"/>
        <w:numPr>
          <w:ilvl w:val="0"/>
          <w:numId w:val="2"/>
        </w:numPr>
        <w:ind w:left="357" w:right="0" w:hanging="357"/>
        <w:rPr/>
      </w:pPr>
      <w:r>
        <w:rPr/>
        <w:t>DESCRIÇÃO DA SOLUÇÃO COMO UM TODO CONSIDERADO O CICLO DE VIDA DO OBJETO E ESPECIFICAÇÃO DO PRODUTO</w:t>
      </w:r>
    </w:p>
    <w:p>
      <w:pPr>
        <w:pStyle w:val="Nvel02"/>
        <w:numPr>
          <w:ilvl w:val="1"/>
          <w:numId w:val="2"/>
        </w:numPr>
        <w:ind w:left="0" w:right="0" w:hanging="0"/>
        <w:rPr/>
      </w:pPr>
      <w:bookmarkStart w:id="3" w:name="_Ref121236534"/>
      <w:r>
        <w:rPr/>
        <w:t>A descrição da solução como um todo encontra-se pormenorizada em tópico específico dos Estudos Técnicos Preliminares, apêndice deste Termo de Referência.</w:t>
      </w:r>
      <w:bookmarkEnd w:id="3"/>
    </w:p>
    <w:p>
      <w:pPr>
        <w:pStyle w:val="Nivel01"/>
        <w:numPr>
          <w:ilvl w:val="0"/>
          <w:numId w:val="2"/>
        </w:numPr>
        <w:ind w:left="357" w:right="0" w:hanging="357"/>
        <w:rPr/>
      </w:pPr>
      <w:r>
        <w:rPr/>
        <w:t>REQUISITOS DA CONTRATAÇÃO</w:t>
      </w:r>
    </w:p>
    <w:p>
      <w:pPr>
        <w:pStyle w:val="Nvel1SemNum"/>
        <w:rPr>
          <w:i w:val="false"/>
          <w:i w:val="false"/>
          <w:iCs/>
          <w:color w:val="auto"/>
        </w:rPr>
      </w:pPr>
      <w:r>
        <w:rPr>
          <w:i w:val="false"/>
          <w:iCs/>
          <w:color w:val="auto"/>
        </w:rPr>
        <w:t>Sustentabilidade</w:t>
      </w:r>
    </w:p>
    <w:p>
      <w:pPr>
        <w:pStyle w:val="Nvel2Opcional1"/>
        <w:numPr>
          <w:ilvl w:val="1"/>
          <w:numId w:val="2"/>
        </w:numPr>
        <w:rPr>
          <w:i w:val="false"/>
          <w:i w:val="false"/>
          <w:color w:val="auto"/>
        </w:rPr>
      </w:pPr>
      <w:r>
        <w:rPr>
          <w:i w:val="false"/>
          <w:color w:val="auto"/>
        </w:rPr>
        <w:t>Além dos critérios de sustentabilidade eventualmente inseridos na descrição do objeto, devem ser atendidos os seguintes requisitos, que se baseiam no Guia Nacional de Contratações Sustentáveis:</w:t>
      </w:r>
    </w:p>
    <w:p>
      <w:pPr>
        <w:pStyle w:val="Nvel3Opcional1"/>
        <w:numPr>
          <w:ilvl w:val="2"/>
          <w:numId w:val="51"/>
        </w:numPr>
        <w:ind w:left="284" w:right="0" w:hanging="0"/>
        <w:rPr>
          <w:i w:val="false"/>
          <w:i w:val="false"/>
          <w:iCs/>
          <w:color w:val="auto"/>
        </w:rPr>
      </w:pPr>
      <w:r>
        <w:rPr>
          <w:i w:val="false"/>
          <w:iCs/>
          <w:color w:val="auto"/>
        </w:rPr>
        <w:t>Garantir que os fornecedores estejam em conformidade com a legislação ambiental e apresentem documentos comprobatórios, como licença ambiental válida, quando aplicável;</w:t>
      </w:r>
    </w:p>
    <w:p>
      <w:pPr>
        <w:pStyle w:val="Nvel3Opcional1"/>
        <w:numPr>
          <w:ilvl w:val="2"/>
          <w:numId w:val="52"/>
        </w:numPr>
        <w:ind w:left="284" w:right="0" w:hanging="0"/>
        <w:rPr>
          <w:i w:val="false"/>
          <w:i w:val="false"/>
          <w:iCs/>
          <w:color w:val="auto"/>
        </w:rPr>
      </w:pPr>
      <w:r>
        <w:rPr>
          <w:i w:val="false"/>
          <w:iCs/>
          <w:color w:val="auto"/>
        </w:rPr>
        <w:t>Incentivar, quando possível, a utilização de transportes e processos que resultem em menor emissão de gases de efeito estufa;</w:t>
      </w:r>
    </w:p>
    <w:p>
      <w:pPr>
        <w:pStyle w:val="Nvel3Opcional1"/>
        <w:numPr>
          <w:ilvl w:val="2"/>
          <w:numId w:val="53"/>
        </w:numPr>
        <w:ind w:left="284" w:right="0" w:hanging="0"/>
        <w:rPr>
          <w:i w:val="false"/>
          <w:i w:val="false"/>
          <w:iCs/>
          <w:color w:val="auto"/>
        </w:rPr>
      </w:pPr>
      <w:r>
        <w:rPr>
          <w:i w:val="false"/>
          <w:iCs/>
          <w:color w:val="auto"/>
        </w:rPr>
        <w:t>Implementar práticas para a logística reversa, prevendo devolução, coleta ou destinação adequada dos materiais ao término de sua utilização; e</w:t>
      </w:r>
    </w:p>
    <w:p>
      <w:pPr>
        <w:pStyle w:val="Nvel3Opcional1"/>
        <w:numPr>
          <w:ilvl w:val="2"/>
          <w:numId w:val="54"/>
        </w:numPr>
        <w:ind w:left="284" w:right="0" w:hanging="0"/>
        <w:rPr>
          <w:i w:val="false"/>
          <w:i w:val="false"/>
          <w:iCs/>
          <w:color w:val="auto"/>
        </w:rPr>
      </w:pPr>
      <w:r>
        <w:rPr>
          <w:i w:val="false"/>
          <w:iCs/>
          <w:color w:val="auto"/>
        </w:rPr>
        <w:t>Dar preferência a itens com maior durabilidade, baixo consumo energético e alta eficiência, sempre que aplicável.</w:t>
      </w:r>
    </w:p>
    <w:p>
      <w:pPr>
        <w:pStyle w:val="Nvel1SemNum"/>
        <w:rPr>
          <w:color w:val="auto"/>
        </w:rPr>
      </w:pPr>
      <w:r>
        <w:rPr>
          <w:color w:val="auto"/>
        </w:rPr>
      </w:r>
    </w:p>
    <w:p>
      <w:pPr>
        <w:pStyle w:val="Nvel1SemNum"/>
        <w:rPr>
          <w:color w:val="auto"/>
        </w:rPr>
      </w:pPr>
      <w:r>
        <w:rPr>
          <w:color w:val="auto"/>
        </w:rPr>
        <w:t>Indicação de marcas ou modelos</w:t>
      </w:r>
    </w:p>
    <w:p>
      <w:pPr>
        <w:pStyle w:val="Nvel2Opcional1"/>
        <w:numPr>
          <w:ilvl w:val="1"/>
          <w:numId w:val="2"/>
        </w:numPr>
        <w:rPr>
          <w:color w:val="auto"/>
        </w:rPr>
      </w:pPr>
      <w:r>
        <w:rPr>
          <w:color w:val="auto"/>
        </w:rPr>
        <w:t>Na presente contratação, será admitida a indicação de marcas, características ou modelos específicos como referência técnica, desde que devidamente justificadas nos Estudos Técnicos Preliminares, conforme exigências funcionais, técnicas ou de desempenho. Tal indicação serve exclusivamente para facilitar a compreensão do objeto e não configura, em hipótese alguma, restrição à ampla competição, em conformidade com o disposto na Lei nº 14.133/2021.</w:t>
      </w:r>
    </w:p>
    <w:p>
      <w:pPr>
        <w:pStyle w:val="Nvel1SemNum"/>
        <w:rPr>
          <w:i w:val="false"/>
          <w:i w:val="false"/>
          <w:iCs/>
        </w:rPr>
      </w:pPr>
      <w:r>
        <w:rPr>
          <w:i w:val="false"/>
          <w:iCs/>
        </w:rPr>
      </w:r>
    </w:p>
    <w:p>
      <w:pPr>
        <w:pStyle w:val="Nvel1SemNum"/>
        <w:rPr>
          <w:i w:val="false"/>
          <w:i w:val="false"/>
          <w:iCs/>
          <w:color w:val="auto"/>
        </w:rPr>
      </w:pPr>
      <w:r>
        <w:rPr>
          <w:i w:val="false"/>
          <w:iCs/>
          <w:color w:val="auto"/>
        </w:rPr>
        <w:t>Da exigência de carta de solidariedade</w:t>
      </w:r>
    </w:p>
    <w:p>
      <w:pPr>
        <w:pStyle w:val="Nvel2Opcional1"/>
        <w:numPr>
          <w:ilvl w:val="1"/>
          <w:numId w:val="2"/>
        </w:numPr>
        <w:rPr>
          <w:i w:val="false"/>
          <w:i w:val="false"/>
          <w:color w:val="auto"/>
        </w:rPr>
      </w:pPr>
      <w:r>
        <w:rPr>
          <w:i w:val="false"/>
          <w:color w:val="auto"/>
        </w:rPr>
        <w:t>Em caso de fornecedor, revendedor ou distribuidor, será exigida carta de solidariedade emitida pelo fabricante, que assegure a execução do contrato.</w:t>
      </w:r>
    </w:p>
    <w:p>
      <w:pPr>
        <w:pStyle w:val="Nvel1SemNumerao"/>
        <w:rPr/>
      </w:pPr>
      <w:r>
        <w:rPr/>
      </w:r>
    </w:p>
    <w:p>
      <w:pPr>
        <w:pStyle w:val="Nvel1SemNumerao"/>
        <w:rPr/>
      </w:pPr>
      <w:r>
        <w:rPr/>
        <w:t>Subcontratação</w:t>
      </w:r>
    </w:p>
    <w:p>
      <w:pPr>
        <w:pStyle w:val="Nvel2Opcional1"/>
        <w:numPr>
          <w:ilvl w:val="1"/>
          <w:numId w:val="2"/>
        </w:numPr>
        <w:rPr>
          <w:i w:val="false"/>
          <w:i w:val="false"/>
          <w:iCs w:val="false"/>
          <w:color w:val="auto"/>
        </w:rPr>
      </w:pPr>
      <w:r>
        <w:rPr>
          <w:i w:val="false"/>
          <w:iCs w:val="false"/>
          <w:color w:val="auto"/>
        </w:rPr>
        <w:t>Não será admitida a subcontratação do objeto contratual.</w:t>
      </w:r>
    </w:p>
    <w:p>
      <w:pPr>
        <w:pStyle w:val="Nvel1SemNumerao"/>
        <w:rPr/>
      </w:pPr>
      <w:r>
        <w:rPr/>
      </w:r>
    </w:p>
    <w:p>
      <w:pPr>
        <w:pStyle w:val="Nvel1SemNumerao"/>
        <w:rPr/>
      </w:pPr>
      <w:r>
        <w:rPr/>
        <w:t>Garantia da contratação</w:t>
      </w:r>
    </w:p>
    <w:p>
      <w:pPr>
        <w:pStyle w:val="Nvel2Opcional1"/>
        <w:numPr>
          <w:ilvl w:val="1"/>
          <w:numId w:val="2"/>
        </w:numPr>
        <w:rPr/>
      </w:pPr>
      <w:r>
        <w:rPr>
          <w:i w:val="false"/>
          <w:iCs w:val="false"/>
          <w:color w:val="auto"/>
        </w:rPr>
        <w:t>Não haverá exigência da garantia da contratação dos art. 96 e seguintes da Lei nº 14.133, de 2021, pelas razões constantes do Estudo Técnico Preliminar</w:t>
      </w:r>
      <w:r>
        <w:rPr/>
        <w:t>.</w:t>
      </w:r>
      <w:bookmarkStart w:id="4" w:name="_Hlk170740922"/>
      <w:bookmarkEnd w:id="4"/>
    </w:p>
    <w:p>
      <w:pPr>
        <w:pStyle w:val="Nivel01"/>
        <w:numPr>
          <w:ilvl w:val="0"/>
          <w:numId w:val="2"/>
        </w:numPr>
        <w:ind w:left="357" w:right="0" w:hanging="357"/>
        <w:rPr/>
      </w:pPr>
      <w:r>
        <w:rPr/>
        <w:t>MODELO DE EXECUÇÃO DO OBJETO</w:t>
      </w:r>
    </w:p>
    <w:p>
      <w:pPr>
        <w:pStyle w:val="Nvel1SemNumerao"/>
        <w:rPr>
          <w:i/>
          <w:i/>
          <w:iCs/>
        </w:rPr>
      </w:pPr>
      <w:r>
        <w:rPr>
          <w:i/>
          <w:iCs/>
        </w:rPr>
        <w:t>Condições de Entrega</w:t>
      </w:r>
    </w:p>
    <w:p>
      <w:pPr>
        <w:pStyle w:val="Nvel2Opcional1"/>
        <w:numPr>
          <w:ilvl w:val="1"/>
          <w:numId w:val="2"/>
        </w:numPr>
        <w:rPr>
          <w:i w:val="false"/>
          <w:i w:val="false"/>
          <w:iCs w:val="false"/>
          <w:color w:val="auto"/>
        </w:rPr>
      </w:pPr>
      <w:r>
        <w:rPr>
          <w:i w:val="false"/>
          <w:iCs w:val="false"/>
          <w:color w:val="auto"/>
        </w:rPr>
        <w:t xml:space="preserve">O prazo de entrega dos bens é de 10 (dez) dias, contados da emissão de empenho, em remessa única. </w:t>
      </w:r>
    </w:p>
    <w:p>
      <w:pPr>
        <w:pStyle w:val="Nvel2Opcional1"/>
        <w:numPr>
          <w:ilvl w:val="1"/>
          <w:numId w:val="2"/>
        </w:numPr>
        <w:rPr>
          <w:i w:val="false"/>
          <w:i w:val="false"/>
          <w:iCs w:val="false"/>
          <w:color w:val="auto"/>
        </w:rPr>
      </w:pPr>
      <w:r>
        <w:rPr>
          <w:i w:val="false"/>
          <w:iCs w:val="false"/>
          <w:color w:val="auto"/>
        </w:rPr>
        <w:t>Caso não seja possível a entrega na data assinalada, a empresa deverá comunicar as razões respectivas com pelo menos 3 (três) dias de antecedência para que qualquer pleito de prorrogação de prazo seja analisado, ressalvadas situações de caso fortuito e força maior.</w:t>
      </w:r>
    </w:p>
    <w:p>
      <w:pPr>
        <w:pStyle w:val="Nvel2Opcional1"/>
        <w:numPr>
          <w:ilvl w:val="1"/>
          <w:numId w:val="2"/>
        </w:numPr>
        <w:rPr>
          <w:i w:val="false"/>
          <w:i w:val="false"/>
          <w:iCs w:val="false"/>
          <w:color w:val="auto"/>
        </w:rPr>
      </w:pPr>
      <w:r>
        <w:rPr>
          <w:i w:val="false"/>
          <w:iCs w:val="false"/>
          <w:color w:val="auto"/>
        </w:rPr>
        <w:t>Os bens deverão ser entregues no seguinte endereço Centro de Instrução e Adestramento Almirante Áttila Monteiro Aché (CIAMA) é:</w:t>
      </w:r>
    </w:p>
    <w:p>
      <w:pPr>
        <w:pStyle w:val="Nivel3"/>
        <w:numPr>
          <w:ilvl w:val="2"/>
          <w:numId w:val="55"/>
        </w:numPr>
        <w:ind w:left="284" w:right="0" w:hanging="0"/>
        <w:rPr>
          <w:color w:val="000000"/>
        </w:rPr>
      </w:pPr>
      <w:r>
        <w:rPr>
          <w:color w:val="000000"/>
        </w:rPr>
        <w:t>Ilha de Mocangué Grande S/N, Ponta D'areia, Niterói - RJ, CEP: 24040-300.</w:t>
      </w:r>
    </w:p>
    <w:p>
      <w:pPr>
        <w:pStyle w:val="Nvel3Opcional1"/>
        <w:numPr>
          <w:ilvl w:val="2"/>
          <w:numId w:val="56"/>
        </w:numPr>
        <w:ind w:left="284" w:right="0" w:hanging="0"/>
        <w:rPr>
          <w:i w:val="false"/>
          <w:i w:val="false"/>
          <w:color w:val="auto"/>
        </w:rPr>
      </w:pPr>
      <w:r>
        <w:rPr>
          <w:i w:val="false"/>
          <w:color w:val="auto"/>
        </w:rPr>
        <w:t>No caso de produtos perecíveis, o prazo de validade na data da entrega não poderá ser inferior a 90 (noventa) dias do prazo total recomendado pelo fabricante.</w:t>
      </w:r>
    </w:p>
    <w:p>
      <w:pPr>
        <w:pStyle w:val="Nvel1SemNumerao"/>
        <w:rPr/>
      </w:pPr>
      <w:r>
        <w:rPr/>
      </w:r>
    </w:p>
    <w:p>
      <w:pPr>
        <w:pStyle w:val="Nvel1SemNumerao"/>
        <w:rPr/>
      </w:pPr>
      <w:r>
        <w:rPr/>
        <w:t>Garantia, manutenção e assistência técnica</w:t>
      </w:r>
    </w:p>
    <w:p>
      <w:pPr>
        <w:pStyle w:val="Nvel2Opcional1"/>
        <w:numPr>
          <w:ilvl w:val="1"/>
          <w:numId w:val="2"/>
        </w:numPr>
        <w:rPr>
          <w:i w:val="false"/>
          <w:i w:val="false"/>
          <w:iCs w:val="false"/>
          <w:color w:val="auto"/>
        </w:rPr>
      </w:pPr>
      <w:r>
        <w:rPr>
          <w:i w:val="false"/>
          <w:iCs w:val="false"/>
          <w:color w:val="auto"/>
        </w:rPr>
        <w:t>O prazo de garantia é aquele estabelecido na Lei nº 8.078, de 11 de setembro de 1990 (Código de Defesa do Consumidor)</w:t>
      </w:r>
      <w:bookmarkStart w:id="5" w:name="_Hlk175669127"/>
      <w:bookmarkEnd w:id="5"/>
    </w:p>
    <w:p>
      <w:pPr>
        <w:pStyle w:val="Nivel01"/>
        <w:numPr>
          <w:ilvl w:val="0"/>
          <w:numId w:val="2"/>
        </w:numPr>
        <w:ind w:left="357" w:right="0" w:hanging="357"/>
        <w:rPr/>
      </w:pPr>
      <w:r>
        <w:rPr/>
        <w:t>MODELO DE GESTÃO DO CONTRATO</w:t>
      </w:r>
    </w:p>
    <w:p>
      <w:pPr>
        <w:pStyle w:val="Nvel02"/>
        <w:numPr>
          <w:ilvl w:val="1"/>
          <w:numId w:val="2"/>
        </w:numPr>
        <w:ind w:left="0" w:right="0" w:hanging="0"/>
        <w:rPr/>
      </w:pPr>
      <w:r>
        <w:rPr/>
        <w:t>O contrato deverá ser executado fielmente pelas partes, de acordo com as cláusulas avençadas e as normas da Lei nº 14.133, de 2021, e cada parte responderá pelas consequências de sua inexecução total ou parcial.</w:t>
      </w:r>
    </w:p>
    <w:p>
      <w:pPr>
        <w:pStyle w:val="Nvel02"/>
        <w:numPr>
          <w:ilvl w:val="1"/>
          <w:numId w:val="2"/>
        </w:numPr>
        <w:ind w:left="0" w:right="0" w:hanging="0"/>
        <w:rPr/>
      </w:pPr>
      <w:r>
        <w:rPr/>
        <w:t>Em caso de impedimento, ordem de paralisação ou suspensão do contrato, o cronograma de execução será prorrogado automaticamente pelo tempo correspondente, anotadas tais circunstâncias mediante simples apostila.</w:t>
      </w:r>
    </w:p>
    <w:p>
      <w:pPr>
        <w:pStyle w:val="Nvel02"/>
        <w:numPr>
          <w:ilvl w:val="1"/>
          <w:numId w:val="2"/>
        </w:numPr>
        <w:ind w:left="0" w:right="0" w:hanging="0"/>
        <w:rPr/>
      </w:pPr>
      <w:r>
        <w:rPr/>
        <w:t>As comunicações entre o órgão ou entidade e a contratada devem ser realizadas por escrito sempre que o ato exigir tal formalidade, admitindo-se o uso de mensagem eletrônica para esse fim.</w:t>
      </w:r>
    </w:p>
    <w:p>
      <w:pPr>
        <w:pStyle w:val="Nvel02"/>
        <w:numPr>
          <w:ilvl w:val="1"/>
          <w:numId w:val="2"/>
        </w:numPr>
        <w:ind w:left="0" w:right="0" w:hanging="0"/>
        <w:rPr/>
      </w:pPr>
      <w:r>
        <w:rPr/>
        <w:t>O órgão ou entidade poderá convocar representante da empresa para adoção de providências que devam ser cumpridas de imediato.</w:t>
      </w:r>
    </w:p>
    <w:p>
      <w:pPr>
        <w:pStyle w:val="Nvel2Opcional1"/>
        <w:numPr>
          <w:ilvl w:val="1"/>
          <w:numId w:val="2"/>
        </w:numPr>
        <w:rPr>
          <w:i w:val="false"/>
          <w:i w:val="false"/>
          <w:iCs w:val="false"/>
          <w:color w:val="auto"/>
        </w:rPr>
      </w:pPr>
      <w:r>
        <w:rPr>
          <w:i w:val="false"/>
          <w:iCs w:val="false"/>
          <w:color w:val="auto"/>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pPr>
        <w:pStyle w:val="Nvel1SemNumerao"/>
        <w:rPr/>
      </w:pPr>
      <w:r>
        <w:rPr/>
      </w:r>
    </w:p>
    <w:p>
      <w:pPr>
        <w:pStyle w:val="Nvel1SemNumerao"/>
        <w:rPr/>
      </w:pPr>
      <w:r>
        <w:rPr/>
        <w:t>Fiscalização</w:t>
      </w:r>
    </w:p>
    <w:p>
      <w:pPr>
        <w:pStyle w:val="Nvel02"/>
        <w:numPr>
          <w:ilvl w:val="1"/>
          <w:numId w:val="2"/>
        </w:numPr>
        <w:ind w:left="0" w:right="0" w:hanging="0"/>
        <w:rPr/>
      </w:pPr>
      <w:r>
        <w:rPr/>
        <w:t>A execução do contrato deverá ser acompanhada e fiscalizada pelo(s) fiscal(is) do contrato, ou pelos respectivos substitutos.</w:t>
      </w:r>
    </w:p>
    <w:p>
      <w:pPr>
        <w:pStyle w:val="Nvel1SemNumerao"/>
        <w:rPr/>
      </w:pPr>
      <w:r>
        <w:rPr/>
      </w:r>
    </w:p>
    <w:p>
      <w:pPr>
        <w:pStyle w:val="Nvel1SemNumerao"/>
        <w:rPr/>
      </w:pPr>
      <w:r>
        <w:rPr/>
        <w:t>Fiscalização Técnica</w:t>
      </w:r>
    </w:p>
    <w:p>
      <w:pPr>
        <w:pStyle w:val="Nvel02"/>
        <w:numPr>
          <w:ilvl w:val="1"/>
          <w:numId w:val="2"/>
        </w:numPr>
        <w:ind w:left="0" w:right="0" w:hanging="0"/>
        <w:rPr/>
      </w:pPr>
      <w:r>
        <w:rPr/>
        <w:t>O fiscal técnico do contrato acompanhará a execução do contrato, para que sejam cumpridas todas as condições estabelecidas no contrato, de modo a assegurar os melhores resultados para a Administração.</w:t>
      </w:r>
    </w:p>
    <w:p>
      <w:pPr>
        <w:pStyle w:val="Nvel02"/>
        <w:numPr>
          <w:ilvl w:val="1"/>
          <w:numId w:val="2"/>
        </w:numPr>
        <w:ind w:left="0" w:right="0" w:hanging="0"/>
        <w:rPr/>
      </w:pPr>
      <w:r>
        <w:rPr/>
        <w:t>O fiscal técnico do contrato anotará no histórico de gerenciamento do contrato todas as ocorrências relacionadas à execução do contrato, com a descrição do que for necessário para a regularização das faltas ou dos defeitos observados.</w:t>
      </w:r>
    </w:p>
    <w:p>
      <w:pPr>
        <w:pStyle w:val="Nvel02"/>
        <w:numPr>
          <w:ilvl w:val="1"/>
          <w:numId w:val="2"/>
        </w:numPr>
        <w:ind w:left="0" w:right="0" w:hanging="0"/>
        <w:rPr/>
      </w:pPr>
      <w:r>
        <w:rPr/>
        <w:t>Identificada qualquer inexatidão ou irregularidade, o fiscal técnico do contrato emitirá notificações para a correção da execução do contrato, determinando prazo para a correção.</w:t>
      </w:r>
    </w:p>
    <w:p>
      <w:pPr>
        <w:pStyle w:val="Nvel02"/>
        <w:numPr>
          <w:ilvl w:val="1"/>
          <w:numId w:val="2"/>
        </w:numPr>
        <w:ind w:left="0" w:right="0" w:hanging="0"/>
        <w:rPr/>
      </w:pPr>
      <w:r>
        <w:rPr/>
        <w:t>O fiscal técnico do contrato informará ao gestor do contato, em tempo hábil, a situação que demandar decisão ou adoção de medidas que ultrapassem sua competência, para que adote as medidas necessárias e saneadoras, se for o caso.</w:t>
      </w:r>
    </w:p>
    <w:p>
      <w:pPr>
        <w:pStyle w:val="Nvel02"/>
        <w:numPr>
          <w:ilvl w:val="1"/>
          <w:numId w:val="2"/>
        </w:numPr>
        <w:ind w:left="0" w:right="0" w:hanging="0"/>
        <w:rPr/>
      </w:pPr>
      <w:r>
        <w:rPr/>
        <w:t>No caso de ocorrências que possam inviabilizar a execução do contrato nas datas aprazadas, o fiscal técnico do contrato comunicará o fato imediatamente ao gestor do contrato.</w:t>
      </w:r>
    </w:p>
    <w:p>
      <w:pPr>
        <w:pStyle w:val="Nvel02"/>
        <w:numPr>
          <w:ilvl w:val="1"/>
          <w:numId w:val="2"/>
        </w:numPr>
        <w:ind w:left="0" w:right="0" w:hanging="0"/>
        <w:rPr/>
      </w:pPr>
      <w:r>
        <w:rPr/>
        <w:t>O fiscal técnico do contrato comunicará ao gestor do contrato, em tempo hábil, o término do contrato sob sua responsabilidade, com vistas à renovação tempestiva ou à prorrogação contratual.</w:t>
      </w:r>
    </w:p>
    <w:p>
      <w:pPr>
        <w:pStyle w:val="Nvel1SemNumerao"/>
        <w:rPr/>
      </w:pPr>
      <w:r>
        <w:rPr/>
      </w:r>
    </w:p>
    <w:p>
      <w:pPr>
        <w:pStyle w:val="Nvel1SemNumerao"/>
        <w:rPr/>
      </w:pPr>
      <w:r>
        <w:rPr/>
        <w:t>Fiscalização Administrativa</w:t>
      </w:r>
    </w:p>
    <w:p>
      <w:pPr>
        <w:pStyle w:val="Nvel02"/>
        <w:numPr>
          <w:ilvl w:val="1"/>
          <w:numId w:val="2"/>
        </w:numPr>
        <w:ind w:left="0" w:right="0" w:hanging="0"/>
        <w:rPr/>
      </w:pPr>
      <w:r>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pPr>
        <w:pStyle w:val="Nvel02"/>
        <w:numPr>
          <w:ilvl w:val="1"/>
          <w:numId w:val="2"/>
        </w:numPr>
        <w:ind w:left="0" w:right="0" w:hanging="0"/>
        <w:rPr/>
      </w:pPr>
      <w:r>
        <w:rPr/>
        <w:t>Caso ocorra descumprimento das obrigações contratuais, o fiscal administrativo do contrato atuará tempestivamente na solução do problema, reportando ao gestor do contrato para que tome as providências cabíveis, quando ultrapassar a sua competência.</w:t>
      </w:r>
    </w:p>
    <w:p>
      <w:pPr>
        <w:pStyle w:val="Nvel02"/>
        <w:numPr>
          <w:ilvl w:val="1"/>
          <w:numId w:val="2"/>
        </w:numPr>
        <w:ind w:left="0" w:right="0" w:hanging="0"/>
        <w:rPr/>
      </w:pPr>
      <w:r>
        <w:rPr/>
        <w:t xml:space="preserve">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 </w:t>
      </w:r>
    </w:p>
    <w:p>
      <w:pPr>
        <w:pStyle w:val="Nvel1SemNumerao"/>
        <w:rPr/>
      </w:pPr>
      <w:r>
        <w:rPr/>
      </w:r>
    </w:p>
    <w:p>
      <w:pPr>
        <w:pStyle w:val="Nvel1SemNumerao"/>
        <w:rPr/>
      </w:pPr>
      <w:r>
        <w:rPr/>
        <w:t>Gestor do Contrato</w:t>
      </w:r>
    </w:p>
    <w:p>
      <w:pPr>
        <w:pStyle w:val="Nvel02"/>
        <w:numPr>
          <w:ilvl w:val="1"/>
          <w:numId w:val="2"/>
        </w:numPr>
        <w:ind w:left="0" w:right="0" w:hanging="0"/>
        <w:rPr/>
      </w:pPr>
      <w:r>
        <w:rPr/>
        <w:t>Cabe ao gestor do contrato:</w:t>
      </w:r>
    </w:p>
    <w:p>
      <w:pPr>
        <w:pStyle w:val="Nivel3"/>
        <w:numPr>
          <w:ilvl w:val="2"/>
          <w:numId w:val="57"/>
        </w:numPr>
        <w:ind w:left="284" w:right="0" w:hanging="0"/>
        <w:rPr/>
      </w:pPr>
      <w:r>
        <w:rPr/>
        <w:t>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pPr>
        <w:pStyle w:val="Nivel3"/>
        <w:numPr>
          <w:ilvl w:val="2"/>
          <w:numId w:val="58"/>
        </w:numPr>
        <w:ind w:left="284" w:right="0" w:hanging="0"/>
        <w:rPr/>
      </w:pPr>
      <w:r>
        <w:rPr/>
        <w:t>acompanhar os registros realizados pelos fiscais do contrato, de todas as ocorrências relacionadas à execução do contrato e as medidas adotadas, informando, se for o caso, à autoridade superior àquelas que ultrapassarem a sua competência.</w:t>
      </w:r>
    </w:p>
    <w:p>
      <w:pPr>
        <w:pStyle w:val="Nivel3"/>
        <w:numPr>
          <w:ilvl w:val="2"/>
          <w:numId w:val="59"/>
        </w:numPr>
        <w:ind w:left="284" w:right="0" w:hanging="0"/>
        <w:rPr/>
      </w:pPr>
      <w:r>
        <w:rPr/>
        <w:t>acompanhar a manutenção das condições de habilitação da contratada, para fins de empenho de despesa e pagamento, e anotará os problemas que obstem o fluxo normal da liquidação e do pagamento da despesa no relatório de riscos eventuais.</w:t>
      </w:r>
    </w:p>
    <w:p>
      <w:pPr>
        <w:pStyle w:val="Nivel3"/>
        <w:numPr>
          <w:ilvl w:val="2"/>
          <w:numId w:val="60"/>
        </w:numPr>
        <w:ind w:left="284" w:right="0" w:hanging="0"/>
        <w:rPr/>
      </w:pPr>
      <w:r>
        <w:rPr/>
        <w:t>emitir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pPr>
        <w:pStyle w:val="Nivel3"/>
        <w:numPr>
          <w:ilvl w:val="2"/>
          <w:numId w:val="61"/>
        </w:numPr>
        <w:ind w:left="284" w:right="0" w:hanging="0"/>
        <w:rPr/>
      </w:pPr>
      <w:r>
        <w:rPr/>
        <w:t>tomar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pPr>
        <w:pStyle w:val="Nivel3"/>
        <w:numPr>
          <w:ilvl w:val="2"/>
          <w:numId w:val="62"/>
        </w:numPr>
        <w:ind w:left="284" w:right="0" w:hanging="0"/>
        <w:rPr/>
      </w:pPr>
      <w:r>
        <w:rPr/>
        <w:t>elaborar relatório final com informações sobre a consecução dos objetivos que tenham justificado a contratação e eventuais condutas a serem adotadas para o aprimoramento das atividades da Administração.</w:t>
      </w:r>
    </w:p>
    <w:p>
      <w:pPr>
        <w:pStyle w:val="Nivel3"/>
        <w:numPr>
          <w:ilvl w:val="2"/>
          <w:numId w:val="63"/>
        </w:numPr>
        <w:ind w:left="284" w:right="0" w:hanging="0"/>
        <w:rPr/>
      </w:pPr>
      <w:r>
        <w:rPr/>
        <w:t>enviar a documentação pertinente ao setor de contratos para a formalização dos procedimentos de liquidação e pagamento, no valor dimensionado pela fiscalização e gestão nos termos do contrato.</w:t>
      </w:r>
    </w:p>
    <w:p>
      <w:pPr>
        <w:pStyle w:val="Nivel01"/>
        <w:numPr>
          <w:ilvl w:val="0"/>
          <w:numId w:val="2"/>
        </w:numPr>
        <w:ind w:left="357" w:right="0" w:hanging="357"/>
        <w:rPr/>
      </w:pPr>
      <w:bookmarkStart w:id="6" w:name="_Hlk114498479"/>
      <w:bookmarkStart w:id="7" w:name="_Hlk114498447"/>
      <w:bookmarkEnd w:id="6"/>
      <w:bookmarkEnd w:id="7"/>
      <w:r>
        <w:rPr/>
        <w:t>INFRAÇÕES E SANÇÕES ADMINISTRATIVAS</w:t>
      </w:r>
    </w:p>
    <w:p>
      <w:pPr>
        <w:pStyle w:val="Nvel02"/>
        <w:numPr>
          <w:ilvl w:val="1"/>
          <w:numId w:val="2"/>
        </w:numPr>
        <w:ind w:left="0" w:right="0" w:hanging="0"/>
        <w:rPr/>
      </w:pPr>
      <w:r>
        <w:rPr>
          <w:rStyle w:val="Normaltextrun"/>
          <w:color w:val="000000"/>
        </w:rPr>
        <w:t xml:space="preserve">Comete </w:t>
      </w:r>
      <w:r>
        <w:rPr/>
        <w:t>infração</w:t>
      </w:r>
      <w:r>
        <w:rPr>
          <w:rStyle w:val="Normaltextrun"/>
          <w:color w:val="000000"/>
        </w:rPr>
        <w:t xml:space="preserve"> administrativa, nos termos da </w:t>
      </w:r>
      <w:r>
        <w:rPr>
          <w:rStyle w:val="Normaltextrun"/>
        </w:rPr>
        <w:t>Lei nº 14.133, de 2021</w:t>
      </w:r>
      <w:r>
        <w:rPr>
          <w:rStyle w:val="Normaltextrun"/>
          <w:color w:val="000000"/>
        </w:rPr>
        <w:t>, o Contratado que:</w:t>
      </w:r>
    </w:p>
    <w:p>
      <w:pPr>
        <w:pStyle w:val="Paragraph"/>
        <w:numPr>
          <w:ilvl w:val="0"/>
          <w:numId w:val="3"/>
        </w:numPr>
        <w:spacing w:lineRule="auto" w:line="276" w:before="120" w:after="0"/>
        <w:ind w:left="284" w:right="0" w:hanging="0"/>
        <w:jc w:val="both"/>
        <w:textAlignment w:val="baseline"/>
        <w:rPr/>
      </w:pPr>
      <w:r>
        <w:rPr>
          <w:rStyle w:val="Normaltextrun"/>
          <w:rFonts w:ascii="Arial" w:hAnsi="Arial"/>
          <w:iCs/>
          <w:sz w:val="20"/>
        </w:rPr>
        <w:t>der causa à inexecução parcial do contrato;</w:t>
      </w:r>
    </w:p>
    <w:p>
      <w:pPr>
        <w:pStyle w:val="Paragraph"/>
        <w:numPr>
          <w:ilvl w:val="0"/>
          <w:numId w:val="3"/>
        </w:numPr>
        <w:spacing w:lineRule="auto" w:line="276" w:before="0" w:after="0"/>
        <w:ind w:left="284" w:right="0" w:hanging="0"/>
        <w:jc w:val="both"/>
        <w:textAlignment w:val="baseline"/>
        <w:rPr/>
      </w:pPr>
      <w:r>
        <w:rPr>
          <w:rStyle w:val="Normaltextrun"/>
          <w:rFonts w:ascii="Arial" w:hAnsi="Arial"/>
          <w:iCs/>
          <w:sz w:val="20"/>
        </w:rPr>
        <w:t>der causa à inexecução parcial do contrato que cause grave dano à Administração ou ao funcionamento dos serviços públicos ou ao interesse coletivo;</w:t>
      </w:r>
    </w:p>
    <w:p>
      <w:pPr>
        <w:pStyle w:val="Paragraph"/>
        <w:numPr>
          <w:ilvl w:val="0"/>
          <w:numId w:val="3"/>
        </w:numPr>
        <w:spacing w:lineRule="auto" w:line="276" w:before="0" w:after="0"/>
        <w:ind w:left="284" w:right="0" w:hanging="0"/>
        <w:jc w:val="both"/>
        <w:textAlignment w:val="baseline"/>
        <w:rPr/>
      </w:pPr>
      <w:r>
        <w:rPr>
          <w:rStyle w:val="Normaltextrun"/>
          <w:rFonts w:ascii="Arial" w:hAnsi="Arial"/>
          <w:iCs/>
          <w:sz w:val="20"/>
        </w:rPr>
        <w:t>der causa à inexecução total do contrato;</w:t>
      </w:r>
    </w:p>
    <w:p>
      <w:pPr>
        <w:pStyle w:val="Paragraph"/>
        <w:numPr>
          <w:ilvl w:val="0"/>
          <w:numId w:val="3"/>
        </w:numPr>
        <w:spacing w:lineRule="auto" w:line="276" w:before="0" w:after="0"/>
        <w:ind w:left="284" w:right="0" w:hanging="0"/>
        <w:jc w:val="both"/>
        <w:textAlignment w:val="baseline"/>
        <w:rPr/>
      </w:pPr>
      <w:r>
        <w:rPr>
          <w:rStyle w:val="Normaltextrun"/>
          <w:rFonts w:ascii="Arial" w:hAnsi="Arial"/>
          <w:iCs/>
          <w:sz w:val="20"/>
        </w:rPr>
        <w:t>ensejar o retardamento da execução ou da entrega do objeto da contratação sem motivo justificado;</w:t>
      </w:r>
    </w:p>
    <w:p>
      <w:pPr>
        <w:pStyle w:val="Paragraph"/>
        <w:numPr>
          <w:ilvl w:val="0"/>
          <w:numId w:val="3"/>
        </w:numPr>
        <w:spacing w:lineRule="auto" w:line="276" w:before="0" w:after="0"/>
        <w:ind w:left="284" w:right="0" w:hanging="0"/>
        <w:jc w:val="both"/>
        <w:textAlignment w:val="baseline"/>
        <w:rPr/>
      </w:pPr>
      <w:r>
        <w:rPr>
          <w:rStyle w:val="Normaltextrun"/>
          <w:rFonts w:ascii="Arial" w:hAnsi="Arial"/>
          <w:iCs/>
          <w:sz w:val="20"/>
        </w:rPr>
        <w:t>apresentar documentação falsa ou prestar declaração falsa durante a execução do contrato;</w:t>
      </w:r>
    </w:p>
    <w:p>
      <w:pPr>
        <w:pStyle w:val="Paragraph"/>
        <w:numPr>
          <w:ilvl w:val="0"/>
          <w:numId w:val="3"/>
        </w:numPr>
        <w:spacing w:lineRule="auto" w:line="276" w:before="0" w:after="0"/>
        <w:ind w:left="284" w:right="0" w:hanging="0"/>
        <w:jc w:val="both"/>
        <w:textAlignment w:val="baseline"/>
        <w:rPr/>
      </w:pPr>
      <w:r>
        <w:rPr>
          <w:rStyle w:val="Normaltextrun"/>
          <w:rFonts w:ascii="Arial" w:hAnsi="Arial"/>
          <w:iCs/>
          <w:sz w:val="20"/>
        </w:rPr>
        <w:t>praticar ato fraudulento na execução do contrato;</w:t>
      </w:r>
    </w:p>
    <w:p>
      <w:pPr>
        <w:pStyle w:val="Paragraph"/>
        <w:numPr>
          <w:ilvl w:val="0"/>
          <w:numId w:val="3"/>
        </w:numPr>
        <w:spacing w:lineRule="auto" w:line="276" w:before="0" w:after="0"/>
        <w:ind w:left="284" w:right="0" w:hanging="0"/>
        <w:jc w:val="both"/>
        <w:textAlignment w:val="baseline"/>
        <w:rPr/>
      </w:pPr>
      <w:r>
        <w:rPr>
          <w:rStyle w:val="Normaltextrun"/>
          <w:rFonts w:ascii="Arial" w:hAnsi="Arial"/>
          <w:iCs/>
          <w:sz w:val="20"/>
        </w:rPr>
        <w:t>comportar-se de modo inidôneo ou cometer fraude de qualquer natureza;</w:t>
      </w:r>
    </w:p>
    <w:p>
      <w:pPr>
        <w:pStyle w:val="Paragraph"/>
        <w:numPr>
          <w:ilvl w:val="0"/>
          <w:numId w:val="3"/>
        </w:numPr>
        <w:spacing w:lineRule="auto" w:line="276" w:before="0" w:after="120"/>
        <w:ind w:left="284" w:right="0" w:hanging="0"/>
        <w:jc w:val="both"/>
        <w:textAlignment w:val="baseline"/>
        <w:rPr/>
      </w:pPr>
      <w:r>
        <w:rPr>
          <w:rStyle w:val="Normaltextrun"/>
          <w:rFonts w:ascii="Arial" w:hAnsi="Arial"/>
          <w:iCs/>
          <w:sz w:val="20"/>
        </w:rPr>
        <w:t>praticar ato lesivo previsto no art. 5º da Lei nº 12.846, de 1º de agosto de 2013.</w:t>
      </w:r>
    </w:p>
    <w:p>
      <w:pPr>
        <w:pStyle w:val="Nvel02"/>
        <w:numPr>
          <w:ilvl w:val="1"/>
          <w:numId w:val="2"/>
        </w:numPr>
        <w:ind w:left="0" w:right="0" w:hanging="0"/>
        <w:rPr/>
      </w:pPr>
      <w:r>
        <w:rPr>
          <w:rStyle w:val="Normaltextrun"/>
          <w:color w:val="000000"/>
        </w:rPr>
        <w:t xml:space="preserve">Serão </w:t>
      </w:r>
      <w:r>
        <w:rPr/>
        <w:t>aplicadas</w:t>
      </w:r>
      <w:r>
        <w:rPr>
          <w:rStyle w:val="Normaltextrun"/>
          <w:color w:val="000000"/>
        </w:rPr>
        <w:t xml:space="preserve"> ao Contratado que incorrer nas infrações acima descritas as seguintes sanções:</w:t>
      </w:r>
    </w:p>
    <w:p>
      <w:pPr>
        <w:pStyle w:val="Nivel3"/>
        <w:numPr>
          <w:ilvl w:val="2"/>
          <w:numId w:val="64"/>
        </w:numPr>
        <w:ind w:left="284" w:right="0" w:hanging="0"/>
        <w:rPr/>
      </w:pPr>
      <w:r>
        <w:rPr>
          <w:rStyle w:val="Normaltextrun"/>
          <w:iCs/>
          <w:color w:val="000000"/>
        </w:rPr>
        <w:t>Advertência, quando o Contratado der causa à inexecução parcial do contrato, sempre que não se justificar a imposição de penalidade mais grave;</w:t>
      </w:r>
    </w:p>
    <w:p>
      <w:pPr>
        <w:pStyle w:val="Nivel3"/>
        <w:numPr>
          <w:ilvl w:val="2"/>
          <w:numId w:val="65"/>
        </w:numPr>
        <w:ind w:left="284" w:right="0" w:hanging="0"/>
        <w:rPr/>
      </w:pPr>
      <w:r>
        <w:rPr>
          <w:rStyle w:val="Normaltextrun"/>
          <w:iCs/>
          <w:color w:val="000000"/>
        </w:rPr>
        <w:t>Impedimento de licitar e contratar, quando praticadas as condutas descritas nas alíneas “b”, “c” e “d” do subitem acima, sempre que não se justificar a imposição de penalidade mais grave;</w:t>
      </w:r>
    </w:p>
    <w:p>
      <w:pPr>
        <w:pStyle w:val="Nivel3"/>
        <w:numPr>
          <w:ilvl w:val="2"/>
          <w:numId w:val="66"/>
        </w:numPr>
        <w:ind w:left="284" w:right="0" w:hanging="0"/>
        <w:rPr/>
      </w:pPr>
      <w:r>
        <w:rPr>
          <w:rStyle w:val="Normaltextrun"/>
          <w:iCs/>
          <w:color w:val="000000"/>
        </w:rPr>
        <w:t>Declaração de inidoneidade para licitar e contratar, quando praticadas as condutas descritas nas alíneas “e”, “f”, “g” e “h” do subitem acima, bem como nas alíneas “b”, “c” e “d”, que justifiquem a imposição de penalidade mais grave.</w:t>
      </w:r>
    </w:p>
    <w:p>
      <w:pPr>
        <w:pStyle w:val="Nivel3"/>
        <w:numPr>
          <w:ilvl w:val="2"/>
          <w:numId w:val="67"/>
        </w:numPr>
        <w:ind w:left="284" w:right="0" w:hanging="0"/>
        <w:rPr/>
      </w:pPr>
      <w:r>
        <w:rPr>
          <w:rStyle w:val="Normaltextrun"/>
          <w:iCs/>
        </w:rPr>
        <w:t>Multa</w:t>
      </w:r>
      <w:r>
        <w:rPr>
          <w:rStyle w:val="Normaltextrun"/>
          <w:rFonts w:cs="Arial"/>
          <w:iCs/>
          <w:szCs w:val="20"/>
        </w:rPr>
        <w:t>:</w:t>
      </w:r>
    </w:p>
    <w:p>
      <w:pPr>
        <w:pStyle w:val="Nvel4R"/>
        <w:numPr>
          <w:ilvl w:val="3"/>
          <w:numId w:val="68"/>
        </w:numPr>
        <w:ind w:left="567" w:right="0" w:hanging="0"/>
        <w:rPr/>
      </w:pPr>
      <w:r>
        <w:rPr>
          <w:rStyle w:val="Normaltextrun"/>
        </w:rPr>
        <w:t xml:space="preserve">Moratória, para as infrações descritas no item “d”, de </w:t>
      </w:r>
      <w:r>
        <w:rPr>
          <w:rStyle w:val="Normaltextrun"/>
          <w:b/>
        </w:rPr>
        <w:t>5</w:t>
      </w:r>
      <w:r>
        <w:rPr>
          <w:rStyle w:val="Normaltextrun"/>
        </w:rPr>
        <w:t>% (</w:t>
      </w:r>
      <w:r>
        <w:rPr>
          <w:rStyle w:val="Normaltextrun"/>
          <w:b/>
        </w:rPr>
        <w:t>cinco</w:t>
      </w:r>
      <w:r>
        <w:rPr>
          <w:rStyle w:val="Normaltextrun"/>
        </w:rPr>
        <w:t xml:space="preserve"> por cento) por dia de atraso injustificado sobre o valor da parcela inadimplida, até o limite de </w:t>
      </w:r>
      <w:r>
        <w:rPr>
          <w:rStyle w:val="Normaltextrun"/>
          <w:b/>
        </w:rPr>
        <w:t>20</w:t>
      </w:r>
      <w:r>
        <w:rPr>
          <w:rStyle w:val="Normaltextrun"/>
        </w:rPr>
        <w:t xml:space="preserve"> (</w:t>
      </w:r>
      <w:r>
        <w:rPr>
          <w:rStyle w:val="Normaltextrun"/>
          <w:b/>
        </w:rPr>
        <w:t>vinte</w:t>
      </w:r>
      <w:r>
        <w:rPr>
          <w:rStyle w:val="Normaltextrun"/>
        </w:rPr>
        <w:t>) dias</w:t>
      </w:r>
    </w:p>
    <w:p>
      <w:pPr>
        <w:pStyle w:val="Nvel4R"/>
        <w:numPr>
          <w:ilvl w:val="3"/>
          <w:numId w:val="69"/>
        </w:numPr>
        <w:ind w:left="567" w:right="0" w:hanging="0"/>
        <w:rPr/>
      </w:pPr>
      <w:r>
        <w:rPr>
          <w:rStyle w:val="Normaltextrun"/>
        </w:rPr>
        <w:t>Moratória de 0,07% (sete centésimos por cento) por dia de atraso injustificado sobre o valor total do contrato, até o máximo de 2% (dois por cento), pela inobservância do prazo fixado para apresentação, suplementação ou reposição da garantia;</w:t>
      </w:r>
    </w:p>
    <w:p>
      <w:pPr>
        <w:pStyle w:val="Nvel4R"/>
        <w:numPr>
          <w:ilvl w:val="4"/>
          <w:numId w:val="5"/>
        </w:numPr>
        <w:rPr/>
      </w:pPr>
      <w:r>
        <w:rPr/>
        <w:t>O atraso superior a 25 (vinte e cinco) dias para apresentação, suplementação ou reposição da garantia autoriza a Administração a promover a extinção do contrato por descumprimento ou cumprimento irregular de suas cláusulas, conforme dispõe o inciso I do art. 137 da Lei n. 14.133, de 2021.</w:t>
      </w:r>
    </w:p>
    <w:p>
      <w:pPr>
        <w:pStyle w:val="Nvel4R"/>
        <w:numPr>
          <w:ilvl w:val="3"/>
          <w:numId w:val="70"/>
        </w:numPr>
        <w:ind w:left="567" w:right="0" w:hanging="0"/>
        <w:rPr/>
      </w:pPr>
      <w:r>
        <w:rPr>
          <w:rStyle w:val="Normaltextrun"/>
        </w:rPr>
        <w:t>Compensatória, para as infrações descritas acima alíneas “</w:t>
      </w:r>
      <w:r>
        <w:rPr>
          <w:rStyle w:val="Normaltextrun"/>
          <w:b/>
        </w:rPr>
        <w:t>e</w:t>
      </w:r>
      <w:r>
        <w:rPr>
          <w:rStyle w:val="Normaltextrun"/>
        </w:rPr>
        <w:t>” a “</w:t>
      </w:r>
      <w:r>
        <w:rPr>
          <w:rStyle w:val="Normaltextrun"/>
          <w:b/>
        </w:rPr>
        <w:t>h</w:t>
      </w:r>
      <w:r>
        <w:rPr>
          <w:rStyle w:val="Normaltextrun"/>
        </w:rPr>
        <w:t xml:space="preserve">” de </w:t>
      </w:r>
      <w:r>
        <w:rPr>
          <w:rStyle w:val="Normaltextrun"/>
          <w:b/>
        </w:rPr>
        <w:t>2</w:t>
      </w:r>
      <w:r>
        <w:rPr>
          <w:rStyle w:val="Normaltextrun"/>
        </w:rPr>
        <w:t>% (</w:t>
      </w:r>
      <w:r>
        <w:rPr>
          <w:rStyle w:val="Normaltextrun"/>
          <w:b/>
        </w:rPr>
        <w:t>dois</w:t>
      </w:r>
      <w:r>
        <w:rPr>
          <w:rStyle w:val="Normaltextrun"/>
        </w:rPr>
        <w:t xml:space="preserve"> por cento) a </w:t>
      </w:r>
      <w:r>
        <w:rPr>
          <w:rStyle w:val="Normaltextrun"/>
          <w:b/>
        </w:rPr>
        <w:t>5</w:t>
      </w:r>
      <w:r>
        <w:rPr>
          <w:rStyle w:val="Normaltextrun"/>
        </w:rPr>
        <w:t>% (</w:t>
      </w:r>
      <w:r>
        <w:rPr>
          <w:rStyle w:val="Normaltextrun"/>
          <w:b/>
        </w:rPr>
        <w:t>cinco</w:t>
      </w:r>
      <w:r>
        <w:rPr>
          <w:rStyle w:val="Normaltextrun"/>
        </w:rPr>
        <w:t xml:space="preserve"> por cento) do valor da contratação.</w:t>
      </w:r>
    </w:p>
    <w:p>
      <w:pPr>
        <w:pStyle w:val="Nvel4R"/>
        <w:numPr>
          <w:ilvl w:val="3"/>
          <w:numId w:val="71"/>
        </w:numPr>
        <w:ind w:left="567" w:right="0" w:hanging="0"/>
        <w:rPr/>
      </w:pPr>
      <w:r>
        <w:rPr>
          <w:rStyle w:val="Normaltextrun"/>
          <w:iCs w:val="false"/>
        </w:rPr>
        <w:t>Compensatória, para a inexecução total do contrato prevista acima na alínea “</w:t>
      </w:r>
      <w:r>
        <w:rPr>
          <w:rStyle w:val="Normaltextrun"/>
          <w:b/>
          <w:iCs w:val="false"/>
        </w:rPr>
        <w:t>c</w:t>
      </w:r>
      <w:r>
        <w:rPr>
          <w:rStyle w:val="Normaltextrun"/>
          <w:iCs w:val="false"/>
        </w:rPr>
        <w:t xml:space="preserve">”, de </w:t>
      </w:r>
      <w:r>
        <w:rPr>
          <w:rStyle w:val="Normaltextrun"/>
          <w:b/>
          <w:iCs w:val="false"/>
        </w:rPr>
        <w:t>2</w:t>
      </w:r>
      <w:r>
        <w:rPr>
          <w:rStyle w:val="Normaltextrun"/>
          <w:iCs w:val="false"/>
        </w:rPr>
        <w:t>% (</w:t>
      </w:r>
      <w:r>
        <w:rPr>
          <w:rStyle w:val="Normaltextrun"/>
          <w:b/>
          <w:iCs w:val="false"/>
        </w:rPr>
        <w:t>dois</w:t>
      </w:r>
      <w:r>
        <w:rPr>
          <w:rStyle w:val="Normaltextrun"/>
          <w:iCs w:val="false"/>
        </w:rPr>
        <w:t xml:space="preserve"> por cento) a </w:t>
      </w:r>
      <w:r>
        <w:rPr>
          <w:rStyle w:val="Normaltextrun"/>
          <w:b/>
          <w:iCs w:val="false"/>
        </w:rPr>
        <w:t>5</w:t>
      </w:r>
      <w:r>
        <w:rPr>
          <w:rStyle w:val="Normaltextrun"/>
          <w:iCs w:val="false"/>
        </w:rPr>
        <w:t>% (</w:t>
      </w:r>
      <w:r>
        <w:rPr>
          <w:rStyle w:val="Normaltextrun"/>
          <w:b/>
          <w:iCs w:val="false"/>
        </w:rPr>
        <w:t>cinco</w:t>
      </w:r>
      <w:r>
        <w:rPr>
          <w:rStyle w:val="Normaltextrun"/>
          <w:iCs w:val="false"/>
        </w:rPr>
        <w:t xml:space="preserve"> por cento) do valor da contratação.</w:t>
      </w:r>
    </w:p>
    <w:p>
      <w:pPr>
        <w:pStyle w:val="Nvel4R"/>
        <w:numPr>
          <w:ilvl w:val="3"/>
          <w:numId w:val="72"/>
        </w:numPr>
        <w:ind w:left="567" w:right="0" w:hanging="0"/>
        <w:rPr/>
      </w:pPr>
      <w:r>
        <w:rPr>
          <w:rStyle w:val="Normaltextrun"/>
        </w:rPr>
        <w:t>Compensatória, para a infração descrita acima na alínea “</w:t>
      </w:r>
      <w:r>
        <w:rPr>
          <w:rStyle w:val="Normaltextrun"/>
          <w:b/>
        </w:rPr>
        <w:t>b</w:t>
      </w:r>
      <w:r>
        <w:rPr>
          <w:rStyle w:val="Normaltextrun"/>
        </w:rPr>
        <w:t xml:space="preserve">”, de </w:t>
      </w:r>
      <w:r>
        <w:rPr>
          <w:rStyle w:val="Normaltextrun"/>
          <w:b/>
        </w:rPr>
        <w:t>2</w:t>
      </w:r>
      <w:r>
        <w:rPr>
          <w:rStyle w:val="Normaltextrun"/>
        </w:rPr>
        <w:t>% (</w:t>
      </w:r>
      <w:r>
        <w:rPr>
          <w:rStyle w:val="Normaltextrun"/>
          <w:b/>
        </w:rPr>
        <w:t>dois</w:t>
      </w:r>
      <w:r>
        <w:rPr>
          <w:rStyle w:val="Normaltextrun"/>
        </w:rPr>
        <w:t xml:space="preserve"> por cento) a </w:t>
      </w:r>
      <w:r>
        <w:rPr>
          <w:rStyle w:val="Normaltextrun"/>
          <w:b/>
        </w:rPr>
        <w:t>5</w:t>
      </w:r>
      <w:r>
        <w:rPr>
          <w:rStyle w:val="Normaltextrun"/>
        </w:rPr>
        <w:t>% (</w:t>
      </w:r>
      <w:r>
        <w:rPr>
          <w:rStyle w:val="Normaltextrun"/>
          <w:b/>
        </w:rPr>
        <w:t>cinco</w:t>
      </w:r>
      <w:r>
        <w:rPr>
          <w:rStyle w:val="Normaltextrun"/>
        </w:rPr>
        <w:t xml:space="preserve"> por cento) do valor da contratação.</w:t>
      </w:r>
    </w:p>
    <w:p>
      <w:pPr>
        <w:pStyle w:val="Nvel4R"/>
        <w:numPr>
          <w:ilvl w:val="3"/>
          <w:numId w:val="73"/>
        </w:numPr>
        <w:ind w:left="567" w:right="0" w:hanging="0"/>
        <w:rPr/>
      </w:pPr>
      <w:r>
        <w:rPr>
          <w:rStyle w:val="Normaltextrun"/>
        </w:rPr>
        <w:t xml:space="preserve">Compensatória, em substituição à multa moratória para a infração descrita acima na alínea “d”, de </w:t>
      </w:r>
      <w:r>
        <w:rPr>
          <w:rStyle w:val="Normaltextrun"/>
          <w:b/>
        </w:rPr>
        <w:t>2</w:t>
      </w:r>
      <w:r>
        <w:rPr>
          <w:rStyle w:val="Normaltextrun"/>
        </w:rPr>
        <w:t>% (</w:t>
      </w:r>
      <w:r>
        <w:rPr>
          <w:rStyle w:val="Normaltextrun"/>
          <w:b/>
        </w:rPr>
        <w:t>dois</w:t>
      </w:r>
      <w:r>
        <w:rPr>
          <w:rStyle w:val="Normaltextrun"/>
        </w:rPr>
        <w:t xml:space="preserve"> por cento) a </w:t>
      </w:r>
      <w:r>
        <w:rPr>
          <w:rStyle w:val="Normaltextrun"/>
          <w:b/>
        </w:rPr>
        <w:t>5</w:t>
      </w:r>
      <w:r>
        <w:rPr>
          <w:rStyle w:val="Normaltextrun"/>
        </w:rPr>
        <w:t>% (</w:t>
      </w:r>
      <w:r>
        <w:rPr>
          <w:rStyle w:val="Normaltextrun"/>
          <w:b/>
        </w:rPr>
        <w:t>cinco</w:t>
      </w:r>
      <w:r>
        <w:rPr>
          <w:rStyle w:val="Normaltextrun"/>
        </w:rPr>
        <w:t xml:space="preserve"> por cento) do valor da contratação.</w:t>
      </w:r>
      <w:bookmarkStart w:id="8" w:name="_Hlk175669195"/>
      <w:bookmarkEnd w:id="8"/>
    </w:p>
    <w:p>
      <w:pPr>
        <w:pStyle w:val="Nvel02"/>
        <w:numPr>
          <w:ilvl w:val="1"/>
          <w:numId w:val="2"/>
        </w:numPr>
        <w:ind w:left="0" w:right="0" w:hanging="0"/>
        <w:rPr/>
      </w:pPr>
      <w:r>
        <w:rPr>
          <w:rStyle w:val="Normaltextrun"/>
          <w:color w:val="000000"/>
        </w:rPr>
        <w:t xml:space="preserve">A aplicação das sanções previstas </w:t>
      </w:r>
      <w:bookmarkStart w:id="9" w:name="_Hlk170830409"/>
      <w:r>
        <w:rPr>
          <w:rStyle w:val="Normaltextrun"/>
          <w:color w:val="000000"/>
        </w:rPr>
        <w:t xml:space="preserve">neste </w:t>
      </w:r>
      <w:r>
        <w:rPr/>
        <w:t xml:space="preserve">Termo de Referência </w:t>
      </w:r>
      <w:bookmarkEnd w:id="9"/>
      <w:r>
        <w:rPr>
          <w:rStyle w:val="Normaltextrun"/>
          <w:color w:val="000000"/>
        </w:rPr>
        <w:t>não exclui, em hipótese alguma, a obrigação de reparação integral do dano causado ao Contratante</w:t>
      </w:r>
      <w:r>
        <w:rPr>
          <w:rStyle w:val="Normaltextrun"/>
        </w:rPr>
        <w:t>.</w:t>
      </w:r>
    </w:p>
    <w:p>
      <w:pPr>
        <w:pStyle w:val="Nvel02"/>
        <w:numPr>
          <w:ilvl w:val="1"/>
          <w:numId w:val="2"/>
        </w:numPr>
        <w:ind w:left="0" w:right="0" w:hanging="0"/>
        <w:rPr/>
      </w:pPr>
      <w:r>
        <w:rPr>
          <w:rStyle w:val="Normaltextrun"/>
          <w:color w:val="000000"/>
        </w:rPr>
        <w:t xml:space="preserve">Todas as sanções previstas neste </w:t>
      </w:r>
      <w:r>
        <w:rPr/>
        <w:t>Termo de Referência</w:t>
      </w:r>
      <w:r>
        <w:rPr>
          <w:rStyle w:val="Normaltextrun"/>
          <w:color w:val="000000"/>
        </w:rPr>
        <w:t xml:space="preserve"> poderão ser aplicadas cumulativamente com a multa</w:t>
      </w:r>
      <w:r>
        <w:rPr>
          <w:rStyle w:val="Normaltextrun"/>
        </w:rPr>
        <w:t>.</w:t>
      </w:r>
    </w:p>
    <w:p>
      <w:pPr>
        <w:pStyle w:val="Nvel02"/>
        <w:numPr>
          <w:ilvl w:val="1"/>
          <w:numId w:val="2"/>
        </w:numPr>
        <w:ind w:left="0" w:right="0" w:hanging="0"/>
        <w:rPr/>
      </w:pPr>
      <w:r>
        <w:rPr/>
        <w:t xml:space="preserve">Antes da aplicação da </w:t>
      </w:r>
      <w:r>
        <w:rPr>
          <w:rStyle w:val="Normaltextrun"/>
        </w:rPr>
        <w:t>multa</w:t>
      </w:r>
      <w:r>
        <w:rPr/>
        <w:t xml:space="preserve"> será facultada a defesa do interessado no prazo de 15 (quinze) dias úteis, contado da data de sua intimação</w:t>
      </w:r>
      <w:r>
        <w:rPr>
          <w:rStyle w:val="Normaltextrun"/>
        </w:rPr>
        <w:t>.</w:t>
      </w:r>
    </w:p>
    <w:p>
      <w:pPr>
        <w:pStyle w:val="Nvel02"/>
        <w:numPr>
          <w:ilvl w:val="1"/>
          <w:numId w:val="2"/>
        </w:numPr>
        <w:ind w:left="0" w:right="0" w:hanging="0"/>
        <w:rPr/>
      </w:pPr>
      <w:r>
        <w:rPr>
          <w:rStyle w:val="Normaltextrun"/>
          <w:color w:val="000000"/>
        </w:rPr>
        <w:t xml:space="preserve">Se a multa aplicada e as indenizações cabíveis forem superiores ao valor do pagamento </w:t>
      </w:r>
      <w:r>
        <w:rPr/>
        <w:t>eventualmente</w:t>
      </w:r>
      <w:r>
        <w:rPr>
          <w:rStyle w:val="Normaltextrun"/>
          <w:color w:val="000000"/>
        </w:rPr>
        <w:t xml:space="preserve"> devido pelo Contratante ao Contratado, além da perda </w:t>
      </w:r>
      <w:r>
        <w:rPr>
          <w:rStyle w:val="Normaltextrun"/>
        </w:rPr>
        <w:t>desse valor, a diferença será descontada da garantia prestada ou será cobrada judicialmente.</w:t>
      </w:r>
    </w:p>
    <w:p>
      <w:pPr>
        <w:pStyle w:val="Nvel02"/>
        <w:numPr>
          <w:ilvl w:val="1"/>
          <w:numId w:val="2"/>
        </w:numPr>
        <w:ind w:left="0" w:right="0" w:hanging="0"/>
        <w:rPr/>
      </w:pPr>
      <w:r>
        <w:rPr>
          <w:rStyle w:val="Normaltextrun"/>
        </w:rPr>
        <w:t xml:space="preserve">A multa poderá ser recolhida </w:t>
      </w:r>
      <w:r>
        <w:rPr/>
        <w:t>administrativamente</w:t>
      </w:r>
      <w:r>
        <w:rPr>
          <w:rStyle w:val="Normaltextrun"/>
        </w:rPr>
        <w:t xml:space="preserve"> no prazo máximo de </w:t>
      </w:r>
      <w:r>
        <w:rPr>
          <w:rStyle w:val="Normaltextrun"/>
          <w:i/>
        </w:rPr>
        <w:t>10</w:t>
      </w:r>
      <w:r>
        <w:rPr>
          <w:rStyle w:val="Normaltextrun"/>
        </w:rPr>
        <w:t xml:space="preserve"> (</w:t>
      </w:r>
      <w:r>
        <w:rPr>
          <w:rStyle w:val="Normaltextrun"/>
          <w:i/>
          <w:iCs w:val="false"/>
        </w:rPr>
        <w:t>dez</w:t>
      </w:r>
      <w:r>
        <w:rPr>
          <w:rStyle w:val="Normaltextrun"/>
        </w:rPr>
        <w:t>) dias, a contar da data do recebimento da comunicação enviada pela autoridade competente.</w:t>
      </w:r>
    </w:p>
    <w:p>
      <w:pPr>
        <w:pStyle w:val="Nvel02"/>
        <w:numPr>
          <w:ilvl w:val="1"/>
          <w:numId w:val="2"/>
        </w:numPr>
        <w:ind w:left="0" w:right="0" w:hanging="0"/>
        <w:rPr/>
      </w:pPr>
      <w:r>
        <w:rPr>
          <w:rStyle w:val="Normaltextrun"/>
          <w:color w:val="000000"/>
        </w:rPr>
        <w:t xml:space="preserve">A aplicação das sanções realizar-se-á em processo administrativo que assegure o contraditório e a ampla defesa ao Contratado, observando-se o procedimento previsto no caput e </w:t>
      </w:r>
      <w:r>
        <w:rPr>
          <w:rStyle w:val="Normaltextrun"/>
        </w:rPr>
        <w:t>parágrafos do art. 158 da Lei nº 14.133, de 2021, para as penalidades de impedimento de licitar e contratar e de</w:t>
      </w:r>
      <w:r>
        <w:rPr>
          <w:rStyle w:val="Normaltextrun"/>
          <w:color w:val="000000"/>
        </w:rPr>
        <w:t xml:space="preserve"> declaração de inidoneidade para licitar ou contratar.</w:t>
      </w:r>
    </w:p>
    <w:p>
      <w:pPr>
        <w:pStyle w:val="Nivel3"/>
        <w:numPr>
          <w:ilvl w:val="2"/>
          <w:numId w:val="74"/>
        </w:numPr>
        <w:ind w:left="284" w:right="0" w:hanging="0"/>
        <w:rPr/>
      </w:pPr>
      <w:r>
        <w:rPr>
          <w:rStyle w:val="Normaltextrun"/>
        </w:rPr>
        <w:t>Para a garantia da ampla defesa e contraditório, as notificações serão enviadas eletronicamente para os endereços de e-mail informados na proposta comercial, bem como os cadastrados pela empresa no SICAF.</w:t>
      </w:r>
    </w:p>
    <w:p>
      <w:pPr>
        <w:pStyle w:val="Nivel3"/>
        <w:numPr>
          <w:ilvl w:val="2"/>
          <w:numId w:val="75"/>
        </w:numPr>
        <w:ind w:left="284" w:right="0" w:hanging="0"/>
        <w:rPr/>
      </w:pPr>
      <w:r>
        <w:rPr>
          <w:rStyle w:val="Normaltextrun"/>
        </w:rPr>
        <w:t>Os endereços de e-mail informados na proposta comercial e/ou cadastrados no Sicaf serão considerados de uso contínuo da empresa, não cabendo alegação de desconhecimento das comunicações a eles comprovadamente enviadas.</w:t>
      </w:r>
    </w:p>
    <w:p>
      <w:pPr>
        <w:pStyle w:val="Nvel02"/>
        <w:numPr>
          <w:ilvl w:val="1"/>
          <w:numId w:val="2"/>
        </w:numPr>
        <w:ind w:left="0" w:right="0" w:hanging="0"/>
        <w:rPr/>
      </w:pPr>
      <w:r>
        <w:rPr>
          <w:rStyle w:val="Normaltextrun"/>
          <w:color w:val="000000"/>
        </w:rPr>
        <w:t xml:space="preserve">Na aplicação </w:t>
      </w:r>
      <w:r>
        <w:rPr/>
        <w:t>das</w:t>
      </w:r>
      <w:r>
        <w:rPr>
          <w:rStyle w:val="Normaltextrun"/>
          <w:color w:val="000000"/>
        </w:rPr>
        <w:t xml:space="preserve"> sanções serão considerados:</w:t>
      </w:r>
    </w:p>
    <w:p>
      <w:pPr>
        <w:pStyle w:val="Nivel3"/>
        <w:numPr>
          <w:ilvl w:val="2"/>
          <w:numId w:val="76"/>
        </w:numPr>
        <w:ind w:left="284" w:right="0" w:hanging="0"/>
        <w:rPr/>
      </w:pPr>
      <w:r>
        <w:rPr>
          <w:rStyle w:val="Normaltextrun"/>
        </w:rPr>
        <w:t>a natureza e a gravidade da infração cometida;</w:t>
      </w:r>
    </w:p>
    <w:p>
      <w:pPr>
        <w:pStyle w:val="Nivel3"/>
        <w:numPr>
          <w:ilvl w:val="2"/>
          <w:numId w:val="77"/>
        </w:numPr>
        <w:ind w:left="284" w:right="0" w:hanging="0"/>
        <w:rPr/>
      </w:pPr>
      <w:r>
        <w:rPr>
          <w:rStyle w:val="Normaltextrun"/>
        </w:rPr>
        <w:t>as peculiaridades do caso concreto;</w:t>
      </w:r>
    </w:p>
    <w:p>
      <w:pPr>
        <w:pStyle w:val="Nivel3"/>
        <w:numPr>
          <w:ilvl w:val="2"/>
          <w:numId w:val="78"/>
        </w:numPr>
        <w:ind w:left="284" w:right="0" w:hanging="0"/>
        <w:rPr/>
      </w:pPr>
      <w:r>
        <w:rPr>
          <w:rStyle w:val="Normaltextrun"/>
        </w:rPr>
        <w:t>as circunstâncias agravantes ou atenuantes;</w:t>
      </w:r>
    </w:p>
    <w:p>
      <w:pPr>
        <w:pStyle w:val="Nivel3"/>
        <w:numPr>
          <w:ilvl w:val="2"/>
          <w:numId w:val="79"/>
        </w:numPr>
        <w:ind w:left="284" w:right="0" w:hanging="0"/>
        <w:rPr/>
      </w:pPr>
      <w:r>
        <w:rPr/>
        <w:t>os danos que dela provierem para o Contratante;</w:t>
      </w:r>
      <w:r>
        <w:rPr>
          <w:rStyle w:val="Normaltextrun"/>
          <w:rFonts w:cs="Arial"/>
          <w:szCs w:val="20"/>
        </w:rPr>
        <w:t xml:space="preserve"> </w:t>
      </w:r>
      <w:r>
        <w:rPr>
          <w:rStyle w:val="Normaltextrun"/>
        </w:rPr>
        <w:t>e</w:t>
      </w:r>
    </w:p>
    <w:p>
      <w:pPr>
        <w:pStyle w:val="Nivel3"/>
        <w:numPr>
          <w:ilvl w:val="2"/>
          <w:numId w:val="80"/>
        </w:numPr>
        <w:ind w:left="284" w:right="0" w:hanging="0"/>
        <w:rPr/>
      </w:pPr>
      <w:r>
        <w:rPr>
          <w:rStyle w:val="Normaltextrun"/>
        </w:rPr>
        <w:t>a implantação ou o aperfeiçoamento de programa de integridade, conforme normas e orientações dos órgãos de controle.</w:t>
      </w:r>
    </w:p>
    <w:p>
      <w:pPr>
        <w:pStyle w:val="Nvel02"/>
        <w:numPr>
          <w:ilvl w:val="1"/>
          <w:numId w:val="2"/>
        </w:numPr>
        <w:ind w:left="0" w:right="0" w:hanging="0"/>
        <w:rPr/>
      </w:pPr>
      <w:r>
        <w:rPr>
          <w:rStyle w:val="Normaltextrun"/>
          <w:color w:val="000000"/>
        </w:rPr>
        <w:t xml:space="preserve">Os atos previstos como infrações </w:t>
      </w:r>
      <w:r>
        <w:rPr>
          <w:rStyle w:val="Normaltextrun"/>
        </w:rPr>
        <w:t xml:space="preserve">administrativas na Lei nº 14.133, de 2021, ou em outras leis de licitações e contratos da </w:t>
      </w:r>
      <w:r>
        <w:rPr/>
        <w:t>Administração</w:t>
      </w:r>
      <w:r>
        <w:rPr>
          <w:rStyle w:val="Normaltextrun"/>
        </w:rPr>
        <w:t xml:space="preserve"> Pública que também sejam tipificados como atos lesivos na Lei nº 12.846, de 2013, serão apurados e julgados conj</w:t>
      </w:r>
      <w:r>
        <w:rPr>
          <w:rStyle w:val="Normaltextrun"/>
          <w:color w:val="000000"/>
        </w:rPr>
        <w:t xml:space="preserve">untamente, nos mesmos autos, observados o rito procedimental e autoridade competente definidos na </w:t>
      </w:r>
      <w:r>
        <w:rPr>
          <w:rStyle w:val="Normaltextrun"/>
        </w:rPr>
        <w:t>referida Lei.</w:t>
      </w:r>
    </w:p>
    <w:p>
      <w:pPr>
        <w:pStyle w:val="Nvel02"/>
        <w:numPr>
          <w:ilvl w:val="1"/>
          <w:numId w:val="2"/>
        </w:numPr>
        <w:ind w:left="0" w:right="0" w:hanging="0"/>
        <w:rPr/>
      </w:pPr>
      <w:r>
        <w:rPr>
          <w:rStyle w:val="Normaltextrun"/>
          <w:color w:val="000000"/>
        </w:rPr>
        <w:t xml:space="preserve">A personalidade jurídica do Contratado poderá ser desconsiderada sempre que utilizada com abuso do direito para facilitar, encobrir ou dissimular a prática dos atos ilícitos </w:t>
      </w:r>
      <w:bookmarkStart w:id="10" w:name="_Hlk170830482"/>
      <w:r>
        <w:rPr>
          <w:rStyle w:val="Normaltextrun"/>
          <w:color w:val="000000"/>
        </w:rPr>
        <w:t xml:space="preserve">previstos </w:t>
      </w:r>
      <w:r>
        <w:rPr/>
        <w:t>neste Termo de Referência</w:t>
      </w:r>
      <w:bookmarkEnd w:id="10"/>
      <w:r>
        <w:rPr>
          <w:rStyle w:val="Normaltextrun"/>
          <w:color w:val="000000"/>
        </w:rPr>
        <w:t xml:space="preserve">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pPr>
        <w:pStyle w:val="Nvel02"/>
        <w:numPr>
          <w:ilvl w:val="1"/>
          <w:numId w:val="2"/>
        </w:numPr>
        <w:ind w:left="0" w:right="0" w:hanging="0"/>
        <w:rPr/>
      </w:pPr>
      <w:r>
        <w:rPr>
          <w:rStyle w:val="Normaltextrun"/>
          <w:color w:val="000000"/>
        </w:rPr>
        <w:t xml:space="preserve">O Contratante deverá, no prazo máximo </w:t>
      </w:r>
      <w:r>
        <w:rPr>
          <w:rStyle w:val="Normaltextrun"/>
        </w:rPr>
        <w:t>de</w:t>
      </w:r>
      <w:r>
        <w:rPr>
          <w:rStyle w:val="Normaltextrun"/>
          <w:color w:val="000000"/>
        </w:rPr>
        <w:t xml:space="preserve"> 15 (quinze) dias úteis, contado da data de aplicação da sanção, </w:t>
      </w:r>
      <w:r>
        <w:rPr/>
        <w:t>informar</w:t>
      </w:r>
      <w:r>
        <w:rPr>
          <w:rStyle w:val="Normaltextrun"/>
          <w:color w:val="000000"/>
        </w:rPr>
        <w:t xml:space="preserve"> e manter atualizados os dados relativos às sanções por ela aplicadas, para fins de publicidade no Cadastro Nacional de Empresas Inidôneas e Suspensas (CEIS) e no Cadastro Nacional de Empresas Punidas (CNEP), instituídos no âmbito do Poder Executivo Federal.</w:t>
      </w:r>
    </w:p>
    <w:p>
      <w:pPr>
        <w:pStyle w:val="Nvel02"/>
        <w:numPr>
          <w:ilvl w:val="1"/>
          <w:numId w:val="2"/>
        </w:numPr>
        <w:ind w:left="0" w:right="0" w:hanging="0"/>
        <w:rPr/>
      </w:pPr>
      <w:r>
        <w:rPr>
          <w:rStyle w:val="Normaltextrun"/>
        </w:rPr>
        <w:t xml:space="preserve">As sanções de impedimento de licitar e contratar e declaração de inidoneidade para licitar ou contratar são passíveis </w:t>
      </w:r>
      <w:r>
        <w:rPr/>
        <w:t>de</w:t>
      </w:r>
      <w:r>
        <w:rPr>
          <w:rStyle w:val="Normaltextrun"/>
        </w:rPr>
        <w:t xml:space="preserve"> reabilitação na forma do art. 163 da Lei nº 14.133, de 2021.</w:t>
      </w:r>
    </w:p>
    <w:p>
      <w:pPr>
        <w:pStyle w:val="Nvel02"/>
        <w:numPr>
          <w:ilvl w:val="1"/>
          <w:numId w:val="2"/>
        </w:numPr>
        <w:ind w:left="0" w:right="0" w:hanging="0"/>
        <w:rPr/>
      </w:pPr>
      <w:r>
        <w:rPr/>
        <w:t>Os</w:t>
      </w:r>
      <w:r>
        <w:rPr>
          <w:rStyle w:val="Normaltextrun"/>
          <w:color w:val="000000"/>
        </w:rPr>
        <w:t xml:space="preserve">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w:t>
      </w:r>
      <w:r>
        <w:rPr>
          <w:rStyle w:val="Normaltextrun"/>
        </w:rPr>
        <w:t>da Instrução Normativa SEGES/ME nº 26, de 13 de abril de 2022.</w:t>
      </w:r>
    </w:p>
    <w:p>
      <w:pPr>
        <w:pStyle w:val="Nivel01"/>
        <w:numPr>
          <w:ilvl w:val="0"/>
          <w:numId w:val="2"/>
        </w:numPr>
        <w:ind w:left="357" w:right="0" w:hanging="357"/>
        <w:rPr/>
      </w:pPr>
      <w:r>
        <w:rPr/>
        <w:t>CRITÉRIOS DE MEDIÇÃO E DE PAGAMENTO</w:t>
      </w:r>
    </w:p>
    <w:p>
      <w:pPr>
        <w:pStyle w:val="Nvel1SemNumerao"/>
        <w:rPr/>
      </w:pPr>
      <w:r>
        <w:rPr/>
        <w:t>Recebimento</w:t>
      </w:r>
    </w:p>
    <w:p>
      <w:pPr>
        <w:pStyle w:val="Nvel02"/>
        <w:numPr>
          <w:ilvl w:val="1"/>
          <w:numId w:val="2"/>
        </w:numPr>
        <w:ind w:left="0" w:right="0" w:hanging="0"/>
        <w:rPr/>
      </w:pPr>
      <w:r>
        <w:rPr>
          <w:lang w:eastAsia="en-US"/>
        </w:rPr>
        <w:t xml:space="preserve">Os bens serão recebidos provisoriamente, de forma sumária, no ato da entrega, juntamente com a </w:t>
      </w:r>
      <w:r>
        <w:rPr>
          <w:rFonts w:eastAsia="Calibri"/>
          <w:lang w:eastAsia="en-US"/>
        </w:rPr>
        <w:t>nota</w:t>
      </w:r>
      <w:r>
        <w:rPr>
          <w:lang w:eastAsia="en-US"/>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pPr>
        <w:pStyle w:val="Nvel02"/>
        <w:numPr>
          <w:ilvl w:val="1"/>
          <w:numId w:val="2"/>
        </w:numPr>
        <w:ind w:left="0" w:right="0" w:hanging="0"/>
        <w:rPr>
          <w:lang w:eastAsia="en-US"/>
        </w:rPr>
      </w:pPr>
      <w:r>
        <w:rPr>
          <w:lang w:eastAsia="en-US"/>
        </w:rPr>
        <w:t>Os bens poderão ser rejeitados, no todo ou em parte, inclusive antes do recebimento provisório, quando em desacordo com as especificações constantes no Termo de Referência e na proposta, devendo ser substituídos no prazo de 10 (dez) dias, a contar da notificação da contratada, às suas custas, sem prejuízo da aplicação das penalidades.</w:t>
      </w:r>
    </w:p>
    <w:p>
      <w:pPr>
        <w:pStyle w:val="Nvel02"/>
        <w:numPr>
          <w:ilvl w:val="1"/>
          <w:numId w:val="2"/>
        </w:numPr>
        <w:ind w:left="0" w:right="0" w:hanging="0"/>
        <w:rPr>
          <w:lang w:eastAsia="en-US"/>
        </w:rPr>
      </w:pPr>
      <w:r>
        <w:rPr>
          <w:lang w:eastAsia="en-US"/>
        </w:rPr>
        <w:t>O recebimento definitivo ocorrerá no prazo de 10(dez) dias úteis, a contar do recebimento da nota fiscal ou instrumento de cobrança equivalente pela Administração, após a verificação da qualidade e quantidade do material e consequente aceitação mediante termo detalhado.</w:t>
      </w:r>
    </w:p>
    <w:p>
      <w:pPr>
        <w:pStyle w:val="Nvel02"/>
        <w:numPr>
          <w:ilvl w:val="1"/>
          <w:numId w:val="2"/>
        </w:numPr>
        <w:ind w:left="0" w:right="0" w:hanging="0"/>
        <w:rPr>
          <w:lang w:eastAsia="en-US"/>
        </w:rPr>
      </w:pPr>
      <w:r>
        <w:rPr>
          <w:lang w:eastAsia="en-US"/>
        </w:rPr>
        <w:t>Para as contratações decorrentes de despesas cujos valores não ultrapassem o limite de que trata o inciso II do art. 75 da Lei nº 14.133, de 2021, o prazo máximo para o recebimento definitivo será de até 10 (dez) dias úteis.</w:t>
      </w:r>
    </w:p>
    <w:p>
      <w:pPr>
        <w:pStyle w:val="Nvel02"/>
        <w:numPr>
          <w:ilvl w:val="1"/>
          <w:numId w:val="2"/>
        </w:numPr>
        <w:ind w:left="0" w:right="0" w:hanging="0"/>
        <w:rPr>
          <w:lang w:eastAsia="en-US"/>
        </w:rPr>
      </w:pPr>
      <w:r>
        <w:rPr>
          <w:lang w:eastAsia="en-US"/>
        </w:rPr>
        <w:t>O prazo para recebimento definitivo poderá ser excepcionalmente prorrogado, de forma justificada, por igual período, quando houver necessidade de diligências para a aferição do atendimento das exigências contratuais.</w:t>
      </w:r>
    </w:p>
    <w:p>
      <w:pPr>
        <w:pStyle w:val="Nvel02"/>
        <w:numPr>
          <w:ilvl w:val="1"/>
          <w:numId w:val="2"/>
        </w:numPr>
        <w:ind w:left="0" w:right="0" w:hanging="0"/>
        <w:rPr>
          <w:lang w:eastAsia="en-US"/>
        </w:rPr>
      </w:pPr>
      <w:r>
        <w:rPr>
          <w:lang w:eastAsia="en-US"/>
        </w:rPr>
        <w:t>No caso de controvérsia sobre a execução do objeto, quanto à dimensão, qualidade e quantidade, deverá ser observado o teor do art. 143 da Lei nº 14.133, de 2021, comunicando-se à empresa para emissão de Nota Fiscal quanto à parcela incontroversa da execução do objeto, para efeito de liquidação e pagamento.</w:t>
      </w:r>
    </w:p>
    <w:p>
      <w:pPr>
        <w:pStyle w:val="Nvel02"/>
        <w:numPr>
          <w:ilvl w:val="1"/>
          <w:numId w:val="2"/>
        </w:numPr>
        <w:ind w:left="0" w:right="0" w:hanging="0"/>
        <w:rPr>
          <w:lang w:eastAsia="en-US"/>
        </w:rPr>
      </w:pPr>
      <w:r>
        <w:rPr>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pPr>
        <w:pStyle w:val="Nvel02"/>
        <w:numPr>
          <w:ilvl w:val="1"/>
          <w:numId w:val="2"/>
        </w:numPr>
        <w:ind w:left="0" w:right="0" w:hanging="0"/>
        <w:rPr>
          <w:lang w:eastAsia="en-US"/>
        </w:rPr>
      </w:pPr>
      <w:r>
        <w:rPr>
          <w:lang w:eastAsia="en-US"/>
        </w:rPr>
        <w:t>O recebimento provisório ou definitivo não excluirá a responsabilidade civil pela solidez e pela segurança dos bens nem a responsabilidade ético-profissional pela perfeita execução do contrato.</w:t>
      </w:r>
    </w:p>
    <w:p>
      <w:pPr>
        <w:pStyle w:val="Nvel02"/>
        <w:numPr>
          <w:ilvl w:val="1"/>
          <w:numId w:val="2"/>
        </w:numPr>
        <w:ind w:left="0" w:right="0" w:hanging="0"/>
        <w:rPr/>
      </w:pPr>
      <w:r>
        <w:rPr/>
        <w:t>As atividades de montagem, instalação e quaisquer outras necessárias para o funcionamento ou uso do bem correrão por conta do Contratado e são condição para o recebimento do objeto.</w:t>
      </w:r>
    </w:p>
    <w:p>
      <w:pPr>
        <w:pStyle w:val="Nvel1SemNumerao"/>
        <w:rPr/>
      </w:pPr>
      <w:r>
        <w:rPr/>
      </w:r>
    </w:p>
    <w:p>
      <w:pPr>
        <w:pStyle w:val="Nvel1SemNumerao"/>
        <w:rPr/>
      </w:pPr>
      <w:r>
        <w:rPr/>
        <w:t>Liquidação</w:t>
      </w:r>
    </w:p>
    <w:p>
      <w:pPr>
        <w:pStyle w:val="Nvel02"/>
        <w:numPr>
          <w:ilvl w:val="1"/>
          <w:numId w:val="2"/>
        </w:numPr>
        <w:ind w:left="0" w:right="0" w:hanging="0"/>
        <w:rPr/>
      </w:pPr>
      <w:r>
        <w:rPr/>
        <w:t>Recebida a Nota Fiscal ou documento de cobrança equivalente, correrá o prazo de dez dias úteis para fins de liquidação, na forma desta seção, prorrogáveis por igual período, nos termos do art. 7º, §3º da Instrução Normativa SEGES/ME nº 77/2022.</w:t>
      </w:r>
    </w:p>
    <w:p>
      <w:pPr>
        <w:pStyle w:val="Nvel02"/>
        <w:numPr>
          <w:ilvl w:val="1"/>
          <w:numId w:val="2"/>
        </w:numPr>
        <w:ind w:left="0" w:right="0" w:hanging="0"/>
        <w:rPr/>
      </w:pPr>
      <w:r>
        <w:rPr/>
        <w:t>O prazo de que trata o item anterior será reduzido à metade, mantendo-se a possibilidade de prorrogação, no caso de contratações decorrentes de despesas cujos valores não ultrapassem o limite de que trata o inciso II do art. 75 da Lei nº 14.133, de 2021.</w:t>
      </w:r>
    </w:p>
    <w:p>
      <w:pPr>
        <w:pStyle w:val="Nvel02"/>
        <w:numPr>
          <w:ilvl w:val="1"/>
          <w:numId w:val="2"/>
        </w:numPr>
        <w:ind w:left="0" w:right="0" w:hanging="0"/>
        <w:rPr>
          <w:lang w:eastAsia="en-US"/>
        </w:rPr>
      </w:pPr>
      <w:r>
        <w:rPr>
          <w:lang w:eastAsia="en-US"/>
        </w:rPr>
        <w:t xml:space="preserve">Para fins de liquidação, o setor competente deverá verificar se a nota fiscal ou instrumento de cobrança equivalente apresentado expressa os elementos necessários e essenciais do documento, tais como: </w:t>
      </w:r>
    </w:p>
    <w:p>
      <w:pPr>
        <w:pStyle w:val="Nivel3"/>
        <w:numPr>
          <w:ilvl w:val="2"/>
          <w:numId w:val="81"/>
        </w:numPr>
        <w:ind w:left="284" w:right="0" w:hanging="0"/>
        <w:rPr/>
      </w:pPr>
      <w:r>
        <w:rPr/>
        <w:t>o prazo de validade;</w:t>
      </w:r>
    </w:p>
    <w:p>
      <w:pPr>
        <w:pStyle w:val="Nivel3"/>
        <w:numPr>
          <w:ilvl w:val="2"/>
          <w:numId w:val="82"/>
        </w:numPr>
        <w:ind w:left="284" w:right="0" w:hanging="0"/>
        <w:rPr/>
      </w:pPr>
      <w:r>
        <w:rPr/>
        <w:t xml:space="preserve">a data da emissão; </w:t>
      </w:r>
    </w:p>
    <w:p>
      <w:pPr>
        <w:pStyle w:val="Nivel3"/>
        <w:numPr>
          <w:ilvl w:val="2"/>
          <w:numId w:val="83"/>
        </w:numPr>
        <w:ind w:left="284" w:right="0" w:hanging="0"/>
        <w:rPr/>
      </w:pPr>
      <w:r>
        <w:rPr/>
        <w:t xml:space="preserve">os dados do contrato e do órgão contratante; </w:t>
      </w:r>
    </w:p>
    <w:p>
      <w:pPr>
        <w:pStyle w:val="Nivel3"/>
        <w:numPr>
          <w:ilvl w:val="2"/>
          <w:numId w:val="84"/>
        </w:numPr>
        <w:ind w:left="284" w:right="0" w:hanging="0"/>
        <w:rPr/>
      </w:pPr>
      <w:r>
        <w:rPr/>
        <w:t xml:space="preserve">o período respectivo de execução do contrato; </w:t>
      </w:r>
    </w:p>
    <w:p>
      <w:pPr>
        <w:pStyle w:val="Nivel3"/>
        <w:numPr>
          <w:ilvl w:val="2"/>
          <w:numId w:val="85"/>
        </w:numPr>
        <w:ind w:left="284" w:right="0" w:hanging="0"/>
        <w:rPr/>
      </w:pPr>
      <w:r>
        <w:rPr/>
        <w:t xml:space="preserve">o valor a pagar; e </w:t>
      </w:r>
    </w:p>
    <w:p>
      <w:pPr>
        <w:pStyle w:val="Nivel3"/>
        <w:numPr>
          <w:ilvl w:val="2"/>
          <w:numId w:val="86"/>
        </w:numPr>
        <w:ind w:left="284" w:right="0" w:hanging="0"/>
        <w:rPr/>
      </w:pPr>
      <w:r>
        <w:rPr/>
        <w:t>eventual destaque do valor de retenções tributárias cabíveis.</w:t>
      </w:r>
    </w:p>
    <w:p>
      <w:pPr>
        <w:pStyle w:val="Nvel02"/>
        <w:numPr>
          <w:ilvl w:val="1"/>
          <w:numId w:val="2"/>
        </w:numPr>
        <w:ind w:left="0" w:right="0" w:hanging="0"/>
        <w:rPr/>
      </w:pPr>
      <w:r>
        <w:rPr/>
        <w:t xml:space="preserve"> </w:t>
      </w:r>
      <w:r>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pPr>
        <w:pStyle w:val="Nvel02"/>
        <w:numPr>
          <w:ilvl w:val="1"/>
          <w:numId w:val="2"/>
        </w:numPr>
        <w:ind w:left="0" w:right="0" w:hanging="0"/>
        <w:rPr/>
      </w:pPr>
      <w:r>
        <w:rPr/>
        <w:t xml:space="preserve"> </w:t>
      </w:r>
      <w:r>
        <w:rPr/>
        <w:t>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art. 68 da Lei nº 14.133, de 2021.</w:t>
      </w:r>
    </w:p>
    <w:p>
      <w:pPr>
        <w:pStyle w:val="Nvel02"/>
        <w:numPr>
          <w:ilvl w:val="1"/>
          <w:numId w:val="2"/>
        </w:numPr>
        <w:ind w:left="0" w:right="0" w:hanging="0"/>
        <w:rPr/>
      </w:pPr>
      <w:r>
        <w:rPr/>
        <w:t>A Administração deverá realizar consulta ao SICAF para:</w:t>
      </w:r>
    </w:p>
    <w:p>
      <w:pPr>
        <w:pStyle w:val="Nivel3"/>
        <w:numPr>
          <w:ilvl w:val="2"/>
          <w:numId w:val="87"/>
        </w:numPr>
        <w:ind w:left="284" w:right="0" w:hanging="0"/>
        <w:rPr/>
      </w:pPr>
      <w:r>
        <w:rPr/>
        <w:t>verificar a manutenção das condições de habilitação exigidas;</w:t>
      </w:r>
    </w:p>
    <w:p>
      <w:pPr>
        <w:pStyle w:val="Nivel3"/>
        <w:numPr>
          <w:ilvl w:val="2"/>
          <w:numId w:val="88"/>
        </w:numPr>
        <w:ind w:left="284" w:right="0" w:hanging="0"/>
        <w:rPr/>
      </w:pPr>
      <w:r>
        <w:rPr/>
        <w:t>identificar possível razão que impeça a participação em licitação/contratação no âmbito do órgão ou entidade, tais como a proibição de contratar com a Administração ou com o Poder Público, bem como ocorrências impeditivas indiretas.</w:t>
      </w:r>
    </w:p>
    <w:p>
      <w:pPr>
        <w:pStyle w:val="Nvel02"/>
        <w:numPr>
          <w:ilvl w:val="1"/>
          <w:numId w:val="2"/>
        </w:numPr>
        <w:ind w:left="0" w:right="0" w:hanging="0"/>
        <w:rPr/>
      </w:pPr>
      <w:r>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pPr>
        <w:pStyle w:val="Nvel02"/>
        <w:numPr>
          <w:ilvl w:val="1"/>
          <w:numId w:val="2"/>
        </w:numPr>
        <w:ind w:left="0" w:right="0" w:hanging="0"/>
        <w:rPr/>
      </w:pPr>
      <w:r>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pPr>
        <w:pStyle w:val="Nvel02"/>
        <w:numPr>
          <w:ilvl w:val="1"/>
          <w:numId w:val="2"/>
        </w:numPr>
        <w:ind w:left="0" w:right="0" w:hanging="0"/>
        <w:rPr>
          <w:lang w:eastAsia="en-US"/>
        </w:rPr>
      </w:pPr>
      <w:r>
        <w:rPr>
          <w:lang w:eastAsia="en-US"/>
        </w:rPr>
        <w:t xml:space="preserve">Persistindo a irregularidade, o Contratante deverá adotar as medidas necessárias à rescisão contratual nos autos do processo administrativo correspondente, assegurada ao Contratado a ampla defesa. </w:t>
      </w:r>
    </w:p>
    <w:p>
      <w:pPr>
        <w:pStyle w:val="Nvel02"/>
        <w:numPr>
          <w:ilvl w:val="1"/>
          <w:numId w:val="2"/>
        </w:numPr>
        <w:ind w:left="0" w:right="0" w:hanging="0"/>
        <w:rPr/>
      </w:pPr>
      <w:r>
        <w:rPr/>
        <w:t>Havendo a efetiva execução do objeto, os pagamentos serão realizados normalmente, até que se decida pela rescisão do contrato, caso o Contratado não regularize sua situação junto ao SICAF.</w:t>
      </w:r>
    </w:p>
    <w:p>
      <w:pPr>
        <w:pStyle w:val="Nvel1SemNumerao"/>
        <w:rPr/>
      </w:pPr>
      <w:r>
        <w:rPr/>
      </w:r>
    </w:p>
    <w:p>
      <w:pPr>
        <w:pStyle w:val="Nvel1SemNumerao"/>
        <w:rPr/>
      </w:pPr>
      <w:r>
        <w:rPr/>
        <w:t>Prazo de pagamento</w:t>
      </w:r>
    </w:p>
    <w:p>
      <w:pPr>
        <w:pStyle w:val="Nvel02"/>
        <w:numPr>
          <w:ilvl w:val="1"/>
          <w:numId w:val="2"/>
        </w:numPr>
        <w:ind w:left="0" w:right="0" w:hanging="0"/>
        <w:rPr/>
      </w:pPr>
      <w:r>
        <w:rPr/>
        <w:t>O pagamento será efetuado no prazo de até 10 (dez) dias úteis contados da finalização da liquidação da despesa, conforme seção anterior, nos termos da Instrução Normativa SEGES/ME nº 77, de 2022.</w:t>
      </w:r>
    </w:p>
    <w:p>
      <w:pPr>
        <w:pStyle w:val="Nvel02"/>
        <w:numPr>
          <w:ilvl w:val="1"/>
          <w:numId w:val="2"/>
        </w:numPr>
        <w:ind w:left="0" w:right="0" w:hanging="0"/>
        <w:rPr>
          <w:lang w:eastAsia="en-US"/>
        </w:rPr>
      </w:pPr>
      <w:r>
        <w:rPr>
          <w:lang w:eastAsia="en-US"/>
        </w:rPr>
        <w:t>No caso de atraso pelo Contratante, os valores devidos ao Contratado serão atualizados monetariamente entre o termo final do prazo de pagamento até a data de sua efetiva realização, mediante aplicação do índice IPCA de correção monetária.</w:t>
      </w:r>
    </w:p>
    <w:p>
      <w:pPr>
        <w:pStyle w:val="Nvel1SemNumerao"/>
        <w:rPr/>
      </w:pPr>
      <w:r>
        <w:rPr/>
      </w:r>
    </w:p>
    <w:p>
      <w:pPr>
        <w:pStyle w:val="Nvel1SemNumerao"/>
        <w:rPr/>
      </w:pPr>
      <w:r>
        <w:rPr/>
        <w:t>Forma de pagamento</w:t>
      </w:r>
    </w:p>
    <w:p>
      <w:pPr>
        <w:pStyle w:val="Nvel02"/>
        <w:numPr>
          <w:ilvl w:val="1"/>
          <w:numId w:val="2"/>
        </w:numPr>
        <w:ind w:left="0" w:right="0" w:hanging="0"/>
        <w:rPr/>
      </w:pPr>
      <w:r>
        <w:rPr/>
        <w:t>O pagamento será realizado por meio de ordem bancária, para crédito em banco, agência e conta corrente indicados pelo Contratado.</w:t>
      </w:r>
    </w:p>
    <w:p>
      <w:pPr>
        <w:pStyle w:val="Nvel02"/>
        <w:numPr>
          <w:ilvl w:val="1"/>
          <w:numId w:val="2"/>
        </w:numPr>
        <w:ind w:left="0" w:right="0" w:hanging="0"/>
        <w:rPr/>
      </w:pPr>
      <w:r>
        <w:rPr/>
        <w:t>Será considerada data do pagamento o dia em que constar como emitida a ordem bancária para pagamento.</w:t>
      </w:r>
    </w:p>
    <w:p>
      <w:pPr>
        <w:pStyle w:val="Nvel02"/>
        <w:numPr>
          <w:ilvl w:val="1"/>
          <w:numId w:val="2"/>
        </w:numPr>
        <w:ind w:left="0" w:right="0" w:hanging="0"/>
        <w:rPr>
          <w:lang w:eastAsia="en-US"/>
        </w:rPr>
      </w:pPr>
      <w:r>
        <w:rPr>
          <w:lang w:eastAsia="en-US"/>
        </w:rPr>
        <w:t>Quando do pagamento, será efetuada a retenção tributária prevista na legislação aplicável.</w:t>
      </w:r>
    </w:p>
    <w:p>
      <w:pPr>
        <w:pStyle w:val="Nvel02"/>
        <w:numPr>
          <w:ilvl w:val="1"/>
          <w:numId w:val="2"/>
        </w:numPr>
        <w:ind w:left="0" w:right="0" w:hanging="0"/>
        <w:rPr/>
      </w:pPr>
      <w:r>
        <w:rPr/>
        <w:t>Independentemente</w:t>
      </w:r>
      <w:r>
        <w:rPr>
          <w:lang w:eastAsia="en-US"/>
        </w:rPr>
        <w:t xml:space="preserve"> do percentual de tributo inserido na planilha, quando houver, serão retidos na fonte, quando da realização do pagamento, os percentuais estabelecidos na legislação vigente.</w:t>
      </w:r>
    </w:p>
    <w:p>
      <w:pPr>
        <w:pStyle w:val="Nvel02"/>
        <w:numPr>
          <w:ilvl w:val="1"/>
          <w:numId w:val="2"/>
        </w:numPr>
        <w:ind w:left="0" w:right="0" w:hanging="0"/>
        <w:rPr>
          <w:lang w:eastAsia="en-US"/>
        </w:rPr>
      </w:pPr>
      <w:r>
        <w:rPr>
          <w:lang w:eastAsia="en-US"/>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pPr>
        <w:pStyle w:val="Nvel1SemNumerao"/>
        <w:rPr/>
      </w:pPr>
      <w:r>
        <w:rPr/>
      </w:r>
    </w:p>
    <w:p>
      <w:pPr>
        <w:pStyle w:val="Nvel1SemNumerao"/>
        <w:rPr/>
      </w:pPr>
      <w:r>
        <w:rPr/>
        <w:t>Cessão de crédito</w:t>
      </w:r>
    </w:p>
    <w:p>
      <w:pPr>
        <w:pStyle w:val="Nvel02"/>
        <w:numPr>
          <w:ilvl w:val="1"/>
          <w:numId w:val="2"/>
        </w:numPr>
        <w:ind w:left="0" w:right="0" w:hanging="0"/>
        <w:rPr>
          <w:lang w:eastAsia="en-US"/>
        </w:rPr>
      </w:pPr>
      <w:r>
        <w:rPr>
          <w:lang w:eastAsia="en-US"/>
        </w:rPr>
        <w:t>É admitida a cessão fiduciária de direitos creditícios com instituição financeira, nos termos e de acordo com os procedimentos previstos na Instrução Normativa SEGES/ME nº 53, de 8 de Julho de 2020, conforme as regras deste presente tópico.</w:t>
      </w:r>
    </w:p>
    <w:p>
      <w:pPr>
        <w:pStyle w:val="Nvel2Opcional1"/>
        <w:numPr>
          <w:ilvl w:val="1"/>
          <w:numId w:val="2"/>
        </w:numPr>
        <w:rPr>
          <w:i w:val="false"/>
          <w:i w:val="false"/>
          <w:color w:val="auto"/>
        </w:rPr>
      </w:pPr>
      <w:bookmarkStart w:id="11" w:name="_Ref118216946"/>
      <w:r>
        <w:rPr>
          <w:i w:val="false"/>
          <w:color w:val="auto"/>
        </w:rPr>
        <w:t>As cessões de crédito não abrangidas pela Instrução Normativa SEGES/ME nº 53, de 8 de julho de 2020 dependerão de prévia aprovação do Contratante.</w:t>
      </w:r>
      <w:bookmarkEnd w:id="11"/>
    </w:p>
    <w:p>
      <w:pPr>
        <w:pStyle w:val="Nvel2Opcional1"/>
        <w:numPr>
          <w:ilvl w:val="1"/>
          <w:numId w:val="2"/>
        </w:numPr>
        <w:rPr/>
      </w:pPr>
      <w:r>
        <w:rPr>
          <w:i w:val="false"/>
          <w:color w:val="auto"/>
          <w:lang w:eastAsia="en-US"/>
        </w:rPr>
        <w:t>A eficácia da cessão de crédito</w:t>
      </w:r>
      <w:r>
        <w:rPr>
          <w:i w:val="false"/>
          <w:color w:val="auto"/>
        </w:rPr>
        <w:t xml:space="preserve"> não abrangidas pela Instrução Normativa SEGES/ME nº 53, de 8 de julho de 2020,</w:t>
      </w:r>
      <w:r>
        <w:rPr>
          <w:i w:val="false"/>
          <w:color w:val="auto"/>
          <w:lang w:eastAsia="en-US"/>
        </w:rPr>
        <w:t xml:space="preserve"> em relação à Administração, está condicionada à celebração de termo aditivo ao contrato administrativo.</w:t>
      </w:r>
    </w:p>
    <w:p>
      <w:pPr>
        <w:pStyle w:val="Nvel02"/>
        <w:numPr>
          <w:ilvl w:val="1"/>
          <w:numId w:val="2"/>
        </w:numPr>
        <w:ind w:left="0" w:right="0" w:hanging="0"/>
        <w:rPr>
          <w:lang w:eastAsia="en-US"/>
        </w:rPr>
      </w:pPr>
      <w:r>
        <w:rPr>
          <w:lang w:eastAsia="en-US"/>
        </w:rPr>
        <w:t>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o art. 12 da Lei nº 8.429, de 1992, nos termos do Parecer JL-01, de 18 de maio de 2020.</w:t>
      </w:r>
    </w:p>
    <w:p>
      <w:pPr>
        <w:pStyle w:val="Nvel02"/>
        <w:numPr>
          <w:ilvl w:val="1"/>
          <w:numId w:val="2"/>
        </w:numPr>
        <w:ind w:left="0" w:right="0" w:hanging="0"/>
        <w:rPr/>
      </w:pPr>
      <w:r>
        <w:rPr/>
        <w:t>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w:t>
      </w:r>
      <w:r>
        <w:rPr>
          <w:sz w:val="19"/>
          <w:szCs w:val="19"/>
        </w:rPr>
        <w:t xml:space="preserve"> </w:t>
      </w:r>
    </w:p>
    <w:p>
      <w:pPr>
        <w:pStyle w:val="Nvel02"/>
        <w:numPr>
          <w:ilvl w:val="1"/>
          <w:numId w:val="2"/>
        </w:numPr>
        <w:ind w:left="0" w:right="0" w:hanging="0"/>
        <w:rPr>
          <w:lang w:eastAsia="en-US"/>
        </w:rPr>
      </w:pPr>
      <w:r>
        <w:rPr>
          <w:lang w:eastAsia="en-US"/>
        </w:rPr>
        <w:t>A cessão de crédito não afetará a execução do objeto contratado, que continuará sob a integral responsabilidade do Contratado.</w:t>
      </w:r>
    </w:p>
    <w:p>
      <w:pPr>
        <w:pStyle w:val="Nvel1SemNumerao"/>
        <w:rPr/>
      </w:pPr>
      <w:r>
        <w:rPr/>
      </w:r>
    </w:p>
    <w:p>
      <w:pPr>
        <w:pStyle w:val="Nvel1SemNumerao"/>
        <w:rPr/>
      </w:pPr>
      <w:r>
        <w:rPr/>
        <w:t>Reajuste</w:t>
      </w:r>
    </w:p>
    <w:p>
      <w:pPr>
        <w:pStyle w:val="Nvel02"/>
        <w:numPr>
          <w:ilvl w:val="1"/>
          <w:numId w:val="2"/>
        </w:numPr>
        <w:ind w:left="0" w:right="0" w:hanging="0"/>
        <w:rPr/>
      </w:pPr>
      <w:r>
        <w:rPr/>
        <w:t>Os preços inicialmente contratados são fixos e irreajustáveis no prazo de um ano contado da data do orçamento estimado.</w:t>
      </w:r>
      <w:bookmarkStart w:id="12" w:name="_Hlk169693537"/>
      <w:bookmarkEnd w:id="12"/>
    </w:p>
    <w:p>
      <w:pPr>
        <w:pStyle w:val="Nvel02"/>
        <w:numPr>
          <w:ilvl w:val="1"/>
          <w:numId w:val="2"/>
        </w:numPr>
        <w:ind w:left="0" w:right="0" w:hanging="0"/>
        <w:rPr/>
      </w:pPr>
      <w:r>
        <w:rPr/>
        <w:t>Após o interregno de um ano, e independentemente de pedido do Contratado, os preços iniciais serão reajustados, mediante a aplicação, pelo Contratante, do índice IPCA</w:t>
      </w:r>
      <w:r>
        <w:rPr>
          <w:i/>
        </w:rPr>
        <w:t>,</w:t>
      </w:r>
      <w:r>
        <w:rPr/>
        <w:t xml:space="preserve"> exclusivamente para as obrigações iniciadas e concluídas após a ocorrência da anualidade.</w:t>
      </w:r>
    </w:p>
    <w:p>
      <w:pPr>
        <w:pStyle w:val="Nvel02"/>
        <w:numPr>
          <w:ilvl w:val="1"/>
          <w:numId w:val="2"/>
        </w:numPr>
        <w:ind w:left="0" w:right="0" w:hanging="0"/>
        <w:rPr/>
      </w:pPr>
      <w:r>
        <w:rPr/>
        <w:t>Nos reajustes subsequentes ao primeiro, o interregno mínimo de um ano será contado a partir dos efeitos financeiros do último reajuste.</w:t>
      </w:r>
    </w:p>
    <w:p>
      <w:pPr>
        <w:pStyle w:val="Nvel02"/>
        <w:numPr>
          <w:ilvl w:val="1"/>
          <w:numId w:val="2"/>
        </w:numPr>
        <w:ind w:left="0" w:right="0" w:hanging="0"/>
        <w:rPr/>
      </w:pPr>
      <w:r>
        <w:rPr/>
        <w:t>No caso de atraso ou não divulgação do(s) índice (s) de reajustamento, o Contratante pagará ao Contratado a importância calculada pela última variação conhecida, liquidando a diferença correspondente tão logo seja(m) divulgado(s) o(s) índice(s) definitivo(s).</w:t>
      </w:r>
    </w:p>
    <w:p>
      <w:pPr>
        <w:pStyle w:val="Nvel02"/>
        <w:numPr>
          <w:ilvl w:val="1"/>
          <w:numId w:val="2"/>
        </w:numPr>
        <w:ind w:left="0" w:right="0" w:hanging="0"/>
        <w:rPr/>
      </w:pPr>
      <w:r>
        <w:rPr/>
        <w:t>Nas aferições finais, o(s) índice(s) utilizado(s) para reajuste será(ão), obrigatoriamente, o(s) definitivo(s).</w:t>
      </w:r>
    </w:p>
    <w:p>
      <w:pPr>
        <w:pStyle w:val="Nvel02"/>
        <w:numPr>
          <w:ilvl w:val="1"/>
          <w:numId w:val="2"/>
        </w:numPr>
        <w:ind w:left="0" w:right="0" w:hanging="0"/>
        <w:rPr/>
      </w:pPr>
      <w:r>
        <w:rPr/>
        <w:t>Caso o(s) índice(s) estabelecido(s) para reajustamento venha(m) a ser extinto(s) ou de qualquer forma não possa(m) mais ser utilizado(s), será(ão) adotado(s), em substituição, o(s) que vier(em) a ser determinado(s) pela legislação então em vigor.</w:t>
      </w:r>
    </w:p>
    <w:p>
      <w:pPr>
        <w:pStyle w:val="Nvel02"/>
        <w:numPr>
          <w:ilvl w:val="1"/>
          <w:numId w:val="2"/>
        </w:numPr>
        <w:ind w:left="0" w:right="0" w:hanging="0"/>
        <w:rPr/>
      </w:pPr>
      <w:r>
        <w:rPr/>
        <w:t>Na ausência de previsão legal quanto ao índice substituto, as partes elegerão novo índice oficial, para reajustamento do preço do valor remanescente, por meio de termo aditivo.</w:t>
      </w:r>
    </w:p>
    <w:p>
      <w:pPr>
        <w:pStyle w:val="Nvel02"/>
        <w:numPr>
          <w:ilvl w:val="1"/>
          <w:numId w:val="2"/>
        </w:numPr>
        <w:ind w:left="0" w:right="0" w:hanging="0"/>
        <w:rPr/>
      </w:pPr>
      <w:r>
        <w:rPr/>
        <w:t>O reajuste será realizado por apostilamento.</w:t>
      </w:r>
    </w:p>
    <w:p>
      <w:pPr>
        <w:pStyle w:val="Nivel01"/>
        <w:numPr>
          <w:ilvl w:val="0"/>
          <w:numId w:val="2"/>
        </w:numPr>
        <w:ind w:left="357" w:right="0" w:hanging="357"/>
        <w:rPr/>
      </w:pPr>
      <w:r>
        <w:rPr/>
        <w:t>FORMA E CRITÉRIOS DE SELEÇÃO DO FORNECEDOR E FORMA DE FORNECIMENTO</w:t>
      </w:r>
    </w:p>
    <w:p>
      <w:pPr>
        <w:pStyle w:val="Nvel1SemNumerao"/>
        <w:rPr/>
      </w:pPr>
      <w:r>
        <w:rPr/>
      </w:r>
    </w:p>
    <w:p>
      <w:pPr>
        <w:pStyle w:val="Nvel1SemNumerao"/>
        <w:rPr/>
      </w:pPr>
      <w:r>
        <w:rPr/>
        <w:t>Forma de seleção e critério de julgamento da proposta</w:t>
      </w:r>
    </w:p>
    <w:p>
      <w:pPr>
        <w:pStyle w:val="Nvel02"/>
        <w:numPr>
          <w:ilvl w:val="1"/>
          <w:numId w:val="2"/>
        </w:numPr>
        <w:ind w:left="0" w:right="0" w:hanging="0"/>
        <w:rPr/>
      </w:pPr>
      <w:r>
        <w:rPr/>
        <w:t>O fornecedor será selecionado por meio da realização de procedimento de Dispensa, sob a forma ELETRÔNICA, com fundamento na hipótese do art. 75, inciso II da Lei nº 14.133/2021, que culminará com a seleção da proposta de menor preço.</w:t>
      </w:r>
      <w:bookmarkStart w:id="13" w:name="_Hlk171371350"/>
      <w:bookmarkStart w:id="14" w:name="_Hlk171371336"/>
      <w:bookmarkEnd w:id="13"/>
      <w:bookmarkEnd w:id="14"/>
    </w:p>
    <w:p>
      <w:pPr>
        <w:pStyle w:val="Nvel1SemNumerao"/>
        <w:rPr/>
      </w:pPr>
      <w:r>
        <w:rPr/>
      </w:r>
    </w:p>
    <w:p>
      <w:pPr>
        <w:pStyle w:val="Nvel1SemNumerao"/>
        <w:rPr/>
      </w:pPr>
      <w:r>
        <w:rPr/>
        <w:t>Forma de fornecimento</w:t>
      </w:r>
    </w:p>
    <w:p>
      <w:pPr>
        <w:pStyle w:val="Nvel02"/>
        <w:numPr>
          <w:ilvl w:val="1"/>
          <w:numId w:val="2"/>
        </w:numPr>
        <w:ind w:left="0" w:right="0" w:hanging="0"/>
        <w:rPr/>
      </w:pPr>
      <w:r>
        <w:rPr>
          <w:rStyle w:val="Normaltextrun"/>
          <w:shd w:fill="FFFFFF" w:val="clear"/>
        </w:rPr>
        <w:t xml:space="preserve">O </w:t>
      </w:r>
      <w:r>
        <w:rPr>
          <w:rStyle w:val="Findhit"/>
          <w:shd w:fill="FFFFFF" w:val="clear"/>
        </w:rPr>
        <w:t>fornecimento do objeto será integral</w:t>
      </w:r>
      <w:r>
        <w:rPr>
          <w:shd w:fill="FFFFFF" w:val="clear"/>
        </w:rPr>
        <w:t>.</w:t>
      </w:r>
    </w:p>
    <w:p>
      <w:pPr>
        <w:pStyle w:val="Nvel1SemNumerao"/>
        <w:rPr/>
      </w:pPr>
      <w:r>
        <w:rPr/>
      </w:r>
    </w:p>
    <w:p>
      <w:pPr>
        <w:pStyle w:val="Nvel1SemNumerao"/>
        <w:rPr/>
      </w:pPr>
      <w:r>
        <w:rPr/>
        <w:t>Exigências de habilitação</w:t>
      </w:r>
    </w:p>
    <w:p>
      <w:pPr>
        <w:pStyle w:val="Nvel02"/>
        <w:numPr>
          <w:ilvl w:val="1"/>
          <w:numId w:val="2"/>
        </w:numPr>
        <w:ind w:left="0" w:right="0" w:hanging="0"/>
        <w:rPr/>
      </w:pPr>
      <w:r>
        <w:rPr/>
        <w:t>Para fins de habilitação, deverá o interessado comprovar os seguintes requisitos:</w:t>
      </w:r>
    </w:p>
    <w:p>
      <w:pPr>
        <w:pStyle w:val="Nvel1SemNumerao"/>
        <w:rPr/>
      </w:pPr>
      <w:r>
        <w:rPr/>
      </w:r>
    </w:p>
    <w:p>
      <w:pPr>
        <w:pStyle w:val="Nvel1SemNumerao"/>
        <w:rPr/>
      </w:pPr>
      <w:r>
        <w:rPr/>
        <w:t>Habilitação jurídica</w:t>
      </w:r>
    </w:p>
    <w:p>
      <w:pPr>
        <w:pStyle w:val="Nvel02"/>
        <w:numPr>
          <w:ilvl w:val="1"/>
          <w:numId w:val="2"/>
        </w:numPr>
        <w:ind w:left="0" w:right="0" w:hanging="0"/>
        <w:rPr/>
      </w:pPr>
      <w:bookmarkStart w:id="15" w:name="_Ref115800561"/>
      <w:r>
        <w:rPr/>
        <w:t>Pessoa física: cédula de identidade (RG) ou documento equivalente que, por força de lei, tenha validade para fins de identificação em todo o território nacional;</w:t>
      </w:r>
      <w:bookmarkEnd w:id="15"/>
    </w:p>
    <w:p>
      <w:pPr>
        <w:pStyle w:val="Nvel02"/>
        <w:numPr>
          <w:ilvl w:val="1"/>
          <w:numId w:val="2"/>
        </w:numPr>
        <w:ind w:left="0" w:right="0" w:hanging="0"/>
        <w:rPr/>
      </w:pPr>
      <w:r>
        <w:rPr/>
        <w:t>Empresário individual: inscrição no Registro Público de Empresas Mercantis, a cargo da Junta Comercial da respectiva sede;</w:t>
      </w:r>
    </w:p>
    <w:p>
      <w:pPr>
        <w:pStyle w:val="Nvel02"/>
        <w:numPr>
          <w:ilvl w:val="1"/>
          <w:numId w:val="2"/>
        </w:numPr>
        <w:ind w:left="0" w:right="0" w:hanging="0"/>
        <w:rPr/>
      </w:pPr>
      <w:r>
        <w:rPr/>
        <w:t>Microempreendedor Individual - MEI: Certificado da Condição de Microempreendedor Individual - CCMEI, cuja aceitação ficará condicionada à verificação da autenticidade no sítio https://www.gov.br/empresas-e-negocios/pt-br/empreendedor;</w:t>
      </w:r>
    </w:p>
    <w:p>
      <w:pPr>
        <w:pStyle w:val="Nvel02"/>
        <w:numPr>
          <w:ilvl w:val="1"/>
          <w:numId w:val="2"/>
        </w:numPr>
        <w:ind w:left="0" w:right="0" w:hanging="0"/>
        <w:rPr/>
      </w:pPr>
      <w:r>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pPr>
        <w:pStyle w:val="Nvel02"/>
        <w:numPr>
          <w:ilvl w:val="1"/>
          <w:numId w:val="2"/>
        </w:numPr>
        <w:ind w:left="0" w:right="0" w:hanging="0"/>
        <w:rPr/>
      </w:pPr>
      <w:r>
        <w:rPr/>
        <w:t>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pPr>
        <w:pStyle w:val="Nvel02"/>
        <w:numPr>
          <w:ilvl w:val="1"/>
          <w:numId w:val="2"/>
        </w:numPr>
        <w:ind w:left="0" w:right="0" w:hanging="0"/>
        <w:rPr/>
      </w:pPr>
      <w:r>
        <w:rPr/>
        <w:t>Sociedade simples: inscrição do ato constitutivo no Registro Civil de Pessoas Jurídicas do local de sua sede, acompanhada de documento comprobatório de seus administradores;</w:t>
      </w:r>
    </w:p>
    <w:p>
      <w:pPr>
        <w:pStyle w:val="Nvel02"/>
        <w:numPr>
          <w:ilvl w:val="1"/>
          <w:numId w:val="2"/>
        </w:numPr>
        <w:ind w:left="0" w:right="0" w:hanging="0"/>
        <w:rPr/>
      </w:pPr>
      <w:r>
        <w:rPr/>
        <w:t xml:space="preserve">Filial, sucursal ou agência de sociedade simples ou empresária: inscrição do ato constitutivo da filial, sucursal ou agência da sociedade simples ou empresária, respectivamente, no Registro Civil das Pessoas Jurídicas ou no Registro Público de Empresas </w:t>
      </w:r>
      <w:bookmarkStart w:id="16" w:name="_Int_ySfCXwr4"/>
      <w:r>
        <w:rPr/>
        <w:t>Mercantis onde</w:t>
      </w:r>
      <w:bookmarkEnd w:id="16"/>
      <w:r>
        <w:rPr/>
        <w:t xml:space="preserve"> opera, com averbação no Registro onde tem sede a matriz;</w:t>
      </w:r>
    </w:p>
    <w:p>
      <w:pPr>
        <w:pStyle w:val="Nvel02"/>
        <w:numPr>
          <w:ilvl w:val="1"/>
          <w:numId w:val="2"/>
        </w:numPr>
        <w:ind w:left="0" w:right="0" w:hanging="0"/>
        <w:rPr/>
      </w:pPr>
      <w:r>
        <w:rPr/>
        <w:t>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pPr>
        <w:pStyle w:val="Nvel02"/>
        <w:numPr>
          <w:ilvl w:val="1"/>
          <w:numId w:val="2"/>
        </w:numPr>
        <w:ind w:left="0" w:right="0" w:hanging="0"/>
        <w:rPr/>
      </w:pPr>
      <w:r>
        <w:rPr/>
        <w:t>Os documentos apresentados deverão estar acompanhados de todas as alterações ou da consolidação respectiva.</w:t>
      </w:r>
    </w:p>
    <w:p>
      <w:pPr>
        <w:pStyle w:val="Nvel1SemNumerao"/>
        <w:rPr/>
      </w:pPr>
      <w:r>
        <w:rPr/>
      </w:r>
    </w:p>
    <w:p>
      <w:pPr>
        <w:pStyle w:val="Nvel1SemNumerao"/>
        <w:rPr/>
      </w:pPr>
      <w:r>
        <w:rPr/>
        <w:t>Habilitação fiscal, social e trabalhista</w:t>
      </w:r>
    </w:p>
    <w:p>
      <w:pPr>
        <w:pStyle w:val="Nvel02"/>
        <w:numPr>
          <w:ilvl w:val="1"/>
          <w:numId w:val="2"/>
        </w:numPr>
        <w:ind w:left="0" w:right="0" w:hanging="0"/>
        <w:rPr/>
      </w:pPr>
      <w:r>
        <w:rPr/>
        <w:t>Prova de inscrição no Cadastro Nacional de Pessoas Jurídicas ou no Cadastro de Pessoas Físicas, conforme o caso;</w:t>
      </w:r>
    </w:p>
    <w:p>
      <w:pPr>
        <w:pStyle w:val="Nvel02"/>
        <w:numPr>
          <w:ilvl w:val="1"/>
          <w:numId w:val="2"/>
        </w:numPr>
        <w:ind w:left="0" w:right="0" w:hanging="0"/>
        <w:rPr/>
      </w:pPr>
      <w:r>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pPr>
        <w:pStyle w:val="Nvel02"/>
        <w:numPr>
          <w:ilvl w:val="1"/>
          <w:numId w:val="2"/>
        </w:numPr>
        <w:ind w:left="0" w:right="0" w:hanging="0"/>
        <w:rPr/>
      </w:pPr>
      <w:r>
        <w:rPr/>
        <w:t>Prova de regularidade com o Fundo de Garantia do Tempo de Serviço (FGTS);</w:t>
      </w:r>
    </w:p>
    <w:p>
      <w:pPr>
        <w:pStyle w:val="Nvel02"/>
        <w:numPr>
          <w:ilvl w:val="1"/>
          <w:numId w:val="2"/>
        </w:numPr>
        <w:ind w:left="0" w:right="0" w:hanging="0"/>
        <w:rPr/>
      </w:pPr>
      <w:r>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pPr>
        <w:pStyle w:val="Nvel02"/>
        <w:numPr>
          <w:ilvl w:val="1"/>
          <w:numId w:val="2"/>
        </w:numPr>
        <w:ind w:left="0" w:right="0" w:hanging="0"/>
        <w:rPr/>
      </w:pPr>
      <w:r>
        <w:rPr/>
        <w:t>Prova de inscrição no cadastro de contribuintes Estadual ou Distrital relativo ao domicílio ou sede do fornecedor, pertinente ao seu ramo de atividade e compatível com o objeto contratual;</w:t>
      </w:r>
    </w:p>
    <w:p>
      <w:pPr>
        <w:pStyle w:val="Nvel02"/>
        <w:numPr>
          <w:ilvl w:val="1"/>
          <w:numId w:val="2"/>
        </w:numPr>
        <w:ind w:left="0" w:right="0" w:hanging="0"/>
        <w:rPr/>
      </w:pPr>
      <w:r>
        <w:rPr/>
        <w:t>Prova de regularidade com a Fazenda Estadual ou Distrital do domicílio ou sede do fornecedor, relativa à atividade em cujo exercício contrata ou concorre;</w:t>
      </w:r>
    </w:p>
    <w:p>
      <w:pPr>
        <w:pStyle w:val="Nvel02"/>
        <w:numPr>
          <w:ilvl w:val="1"/>
          <w:numId w:val="2"/>
        </w:numPr>
        <w:ind w:left="0" w:right="0" w:hanging="0"/>
        <w:rPr/>
      </w:pPr>
      <w:r>
        <w:rPr/>
        <w:t>Caso o fornecedor seja considerado isento dos tributos relacionados ao objeto contratual, deverá comprovar tal condição mediante a apresentação de declaração da Fazenda respectiva do seu domicílio ou sede, ou outra equivalente, na forma da lei.</w:t>
      </w:r>
    </w:p>
    <w:p>
      <w:pPr>
        <w:pStyle w:val="Nvel02"/>
        <w:numPr>
          <w:ilvl w:val="1"/>
          <w:numId w:val="2"/>
        </w:numPr>
        <w:ind w:left="0" w:right="0" w:hanging="0"/>
        <w:rPr/>
      </w:pPr>
      <w:bookmarkStart w:id="17" w:name="_Hlk121934117"/>
      <w:r>
        <w:rPr/>
        <w:t>O fornecedor enquadrado como microempreendedor individual que pretenda auferir os benefícios do tratamento diferenciado previstos na Lei Complementar n. 123, de 2006, estará dispensado da prova de inscrição nos cadastros de contribuintes estadual e municipal.</w:t>
      </w:r>
      <w:bookmarkEnd w:id="17"/>
    </w:p>
    <w:p>
      <w:pPr>
        <w:pStyle w:val="Nvel1SemNumerao"/>
        <w:rPr/>
      </w:pPr>
      <w:r>
        <w:rPr/>
      </w:r>
    </w:p>
    <w:p>
      <w:pPr>
        <w:pStyle w:val="Nvel1SemNumerao"/>
        <w:rPr/>
      </w:pPr>
      <w:r>
        <w:rPr/>
        <w:t>Qualificação Econômico-Financeira</w:t>
      </w:r>
    </w:p>
    <w:p>
      <w:pPr>
        <w:pStyle w:val="Nvel02"/>
        <w:numPr>
          <w:ilvl w:val="1"/>
          <w:numId w:val="2"/>
        </w:numPr>
        <w:ind w:left="0" w:right="0" w:hanging="0"/>
        <w:rPr/>
      </w:pPr>
      <w:r>
        <w:rPr/>
        <w:t>certidão negativa de insolvência civil expedida pelo distribuidor do domicílio ou sede do interessado, caso se trate de pessoa física, desde que admitida a sua participação na licitação/contratação, ou de sociedade simples;</w:t>
      </w:r>
    </w:p>
    <w:p>
      <w:pPr>
        <w:pStyle w:val="Nvel02"/>
        <w:numPr>
          <w:ilvl w:val="1"/>
          <w:numId w:val="2"/>
        </w:numPr>
        <w:ind w:left="0" w:right="0" w:hanging="0"/>
        <w:rPr/>
      </w:pPr>
      <w:r>
        <w:rPr/>
        <w:t>certidão negativa de falência expedida pelo distribuidor da sede do fornecedor;</w:t>
      </w:r>
    </w:p>
    <w:p>
      <w:pPr>
        <w:pStyle w:val="Nvel02"/>
        <w:numPr>
          <w:ilvl w:val="1"/>
          <w:numId w:val="2"/>
        </w:numPr>
        <w:ind w:left="0" w:right="0" w:hanging="0"/>
        <w:rPr/>
      </w:pPr>
      <w:r>
        <w:rPr/>
        <w:t>balanço patrimonial, demonstração de resultado de exercício e demais demonstrações contábeis dos 2 (dois) últimos exercícios sociais, comprovando, índices de Liquidez Geral (LG), Liquidez Corrente (LC), e Solvência Geral (SG) superiores a 1 (um).</w:t>
      </w:r>
    </w:p>
    <w:p>
      <w:pPr>
        <w:pStyle w:val="Nvel02"/>
        <w:numPr>
          <w:ilvl w:val="1"/>
          <w:numId w:val="2"/>
        </w:numPr>
        <w:ind w:left="0" w:right="0" w:hanging="0"/>
        <w:rPr/>
      </w:pPr>
      <w:r>
        <w:rPr/>
        <w:t>Os documentos referidos acima limitar-se-ão ao último exercício no caso de a pessoa jurídica ter sido constituída há menos de 2 (dois) anos;</w:t>
      </w:r>
    </w:p>
    <w:p>
      <w:pPr>
        <w:pStyle w:val="Nvel02"/>
        <w:numPr>
          <w:ilvl w:val="1"/>
          <w:numId w:val="2"/>
        </w:numPr>
        <w:ind w:left="0" w:right="0" w:hanging="0"/>
        <w:rPr/>
      </w:pPr>
      <w:r>
        <w:rPr/>
        <w:t>Os documentos referidos acima deverão ser exigidos com base no limite definido pela Receita Federal do Brasil para transmissão da Escrituração Contábil Digital - ECD ao Sped.</w:t>
      </w:r>
      <w:bookmarkStart w:id="18" w:name="_Hlk169694941"/>
      <w:bookmarkEnd w:id="18"/>
    </w:p>
    <w:p>
      <w:pPr>
        <w:pStyle w:val="Nvel02"/>
        <w:numPr>
          <w:ilvl w:val="1"/>
          <w:numId w:val="2"/>
        </w:numPr>
        <w:ind w:left="0" w:right="0" w:hanging="0"/>
        <w:rPr/>
      </w:pPr>
      <w:r>
        <w:rPr/>
        <w:t>Caso a empresa interessada apresente resultado inferior ou igual a 1 (um) em qualquer dos índices de Liquidez Geral (LG), Solvência Geral (SG) e Liquidez Corrente (LC), será exigido para fins de habilitação patrimônio líquido mínimo de 1% (um por cento) do valor total estimado da contratação.</w:t>
      </w:r>
      <w:bookmarkStart w:id="19" w:name="_Hlk170895502"/>
      <w:bookmarkEnd w:id="19"/>
    </w:p>
    <w:p>
      <w:pPr>
        <w:pStyle w:val="Nvel02"/>
        <w:numPr>
          <w:ilvl w:val="1"/>
          <w:numId w:val="2"/>
        </w:numPr>
        <w:ind w:left="0" w:right="0" w:hanging="0"/>
        <w:rPr/>
      </w:pPr>
      <w:r>
        <w:rPr/>
        <w:t>As empresas criadas no exercício financeiro da licitação/contratação deverão atender a todas as exigências da habilitação e poderão substituir os demonstrativos contábeis pelo balanço de abertura.</w:t>
      </w:r>
    </w:p>
    <w:p>
      <w:pPr>
        <w:pStyle w:val="Nvel1SemNumerao"/>
        <w:rPr/>
      </w:pPr>
      <w:r>
        <w:rPr/>
      </w:r>
    </w:p>
    <w:p>
      <w:pPr>
        <w:pStyle w:val="Nvel1SemNumerao"/>
        <w:rPr/>
      </w:pPr>
      <w:r>
        <w:rPr/>
        <w:t>Qualificação Técnica</w:t>
      </w:r>
    </w:p>
    <w:p>
      <w:pPr>
        <w:pStyle w:val="Nvel2Opcional1"/>
        <w:numPr>
          <w:ilvl w:val="1"/>
          <w:numId w:val="2"/>
        </w:numPr>
        <w:rPr/>
      </w:pPr>
      <w:r>
        <w:rPr>
          <w:i w:val="false"/>
          <w:iCs w:val="false"/>
          <w:color w:val="auto"/>
        </w:rPr>
        <w:t xml:space="preserve">Comprovação de aptidão para o fornecimento de bens similares, de complexidade tecnológica e operacional equivalente ou superior à do objeto desta contratação, ou do item pertinente, por meio da apresentação de certidões ou atestados emitidos por pessoas jurídicas de direito público ou privado, ou pelo conselho profissional competente, </w:t>
      </w:r>
      <w:r>
        <w:rPr>
          <w:b/>
          <w:bCs/>
          <w:i w:val="false"/>
          <w:iCs w:val="false"/>
          <w:color w:val="auto"/>
        </w:rPr>
        <w:t>quando solicitado pelo Agente da Contratação</w:t>
      </w:r>
      <w:r>
        <w:rPr>
          <w:i w:val="false"/>
          <w:iCs w:val="false"/>
          <w:color w:val="auto"/>
        </w:rPr>
        <w:t>.</w:t>
      </w:r>
    </w:p>
    <w:p>
      <w:pPr>
        <w:pStyle w:val="Nvel3Opcional1"/>
        <w:numPr>
          <w:ilvl w:val="2"/>
          <w:numId w:val="89"/>
        </w:numPr>
        <w:ind w:left="284" w:right="0" w:hanging="0"/>
        <w:rPr>
          <w:i w:val="false"/>
          <w:i w:val="false"/>
          <w:color w:val="auto"/>
        </w:rPr>
      </w:pPr>
      <w:r>
        <w:rPr>
          <w:i w:val="false"/>
          <w:color w:val="auto"/>
        </w:rPr>
        <w:t>Para fins da comprovação de que trata este subitem, os atestados deverão dizer respeito a contratos executados com as seguintes características mínimas:</w:t>
      </w:r>
    </w:p>
    <w:p>
      <w:pPr>
        <w:pStyle w:val="Nvel4R"/>
        <w:numPr>
          <w:ilvl w:val="3"/>
          <w:numId w:val="90"/>
        </w:numPr>
        <w:ind w:left="567" w:right="0" w:hanging="0"/>
        <w:rPr/>
      </w:pPr>
      <w:r>
        <w:rPr/>
        <w:t>Complexidade técnica equivalente ou superior;</w:t>
      </w:r>
    </w:p>
    <w:p>
      <w:pPr>
        <w:pStyle w:val="Nvel4R"/>
        <w:numPr>
          <w:ilvl w:val="3"/>
          <w:numId w:val="91"/>
        </w:numPr>
        <w:ind w:left="567" w:right="0" w:hanging="0"/>
        <w:rPr/>
      </w:pPr>
      <w:r>
        <w:rPr/>
        <w:t>Volume de entrega; e</w:t>
      </w:r>
    </w:p>
    <w:p>
      <w:pPr>
        <w:pStyle w:val="Nvel4R"/>
        <w:numPr>
          <w:ilvl w:val="3"/>
          <w:numId w:val="92"/>
        </w:numPr>
        <w:ind w:left="567" w:right="0" w:hanging="0"/>
        <w:rPr/>
      </w:pPr>
      <w:r>
        <w:rPr/>
        <w:t>Período de execução bem sucedido.</w:t>
      </w:r>
    </w:p>
    <w:p>
      <w:pPr>
        <w:pStyle w:val="Nvel3Opcional1"/>
        <w:numPr>
          <w:ilvl w:val="2"/>
          <w:numId w:val="93"/>
        </w:numPr>
        <w:ind w:left="284" w:right="0" w:hanging="0"/>
        <w:rPr>
          <w:i w:val="false"/>
          <w:i w:val="false"/>
          <w:color w:val="auto"/>
        </w:rPr>
      </w:pPr>
      <w:r>
        <w:rPr>
          <w:i w:val="false"/>
          <w:color w:val="auto"/>
        </w:rPr>
        <w:t>Serão admitidos, para fins de comprovação de quantitativo mínimo exigido, a apresentação e o somatório de diferentes atestados relativos a contratos executados de forma concomitante.</w:t>
      </w:r>
    </w:p>
    <w:p>
      <w:pPr>
        <w:pStyle w:val="Nvel3Opcional1"/>
        <w:numPr>
          <w:ilvl w:val="2"/>
          <w:numId w:val="94"/>
        </w:numPr>
        <w:ind w:left="284" w:right="0" w:hanging="0"/>
        <w:rPr>
          <w:i w:val="false"/>
          <w:i w:val="false"/>
          <w:color w:val="auto"/>
        </w:rPr>
      </w:pPr>
      <w:r>
        <w:rPr>
          <w:i w:val="false"/>
          <w:color w:val="auto"/>
        </w:rPr>
        <w:t>Os atestados de capacidade técnica poderão ser apresentados em nome da matriz ou da filial do fornecedor.</w:t>
      </w:r>
    </w:p>
    <w:p>
      <w:pPr>
        <w:pStyle w:val="Nvel3Opcional1"/>
        <w:numPr>
          <w:ilvl w:val="2"/>
          <w:numId w:val="95"/>
        </w:numPr>
        <w:ind w:left="284" w:right="0" w:hanging="0"/>
        <w:rPr>
          <w:i w:val="false"/>
          <w:i w:val="false"/>
          <w:color w:val="auto"/>
        </w:rPr>
      </w:pPr>
      <w:r>
        <w:rPr>
          <w:i w:val="false"/>
          <w:color w:val="auto"/>
        </w:rPr>
        <w:t>O fornecedor disponibilizará todas as informações necessárias à comprovação da legitimidade dos atestados, apresentando, quando solicitado pela Administração, cópia do contrato que deu suporte à contratação, endereço atual do Contratante e local em que foi executado o objeto contratado, dentre outros documentos.</w:t>
      </w:r>
      <w:bookmarkStart w:id="20" w:name="_Hlk171013756"/>
      <w:bookmarkEnd w:id="20"/>
    </w:p>
    <w:p>
      <w:pPr>
        <w:pStyle w:val="Nvel1SemNumerao"/>
        <w:rPr/>
      </w:pPr>
      <w:r>
        <w:rPr/>
      </w:r>
    </w:p>
    <w:p>
      <w:pPr>
        <w:pStyle w:val="Nvel1SemNumerao"/>
        <w:rPr/>
      </w:pPr>
      <w:r>
        <w:rPr/>
        <w:t>Disposições gerais sobre habilitação</w:t>
      </w:r>
    </w:p>
    <w:p>
      <w:pPr>
        <w:pStyle w:val="Nvel02"/>
        <w:numPr>
          <w:ilvl w:val="1"/>
          <w:numId w:val="2"/>
        </w:numPr>
        <w:ind w:left="0" w:right="0" w:hanging="0"/>
        <w:rPr/>
      </w:pPr>
      <w:r>
        <w:rPr/>
        <w:t>Quando permitida a participação de empresas estrangeiras que não funcionem no País, as exigências de habilitação serão atendidas mediante documentos equivalentes, inicialmente apresentados em tradução livre.</w:t>
      </w:r>
    </w:p>
    <w:p>
      <w:pPr>
        <w:pStyle w:val="Nvel02"/>
        <w:numPr>
          <w:ilvl w:val="1"/>
          <w:numId w:val="2"/>
        </w:numPr>
        <w:ind w:left="0" w:right="0" w:hanging="0"/>
        <w:rPr/>
      </w:pPr>
      <w:r>
        <w:rPr/>
        <w:t>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pPr>
        <w:pStyle w:val="Nvel02"/>
        <w:numPr>
          <w:ilvl w:val="1"/>
          <w:numId w:val="2"/>
        </w:numPr>
        <w:ind w:left="0" w:right="0" w:hanging="0"/>
        <w:rPr/>
      </w:pPr>
      <w:r>
        <w:rPr/>
        <w:t>Não serão aceitos documentos de habilitação com indicação de CNPJ/CPF diferentes, salvo aqueles legalmente permitidos.</w:t>
      </w:r>
    </w:p>
    <w:p>
      <w:pPr>
        <w:pStyle w:val="Nvel02"/>
        <w:numPr>
          <w:ilvl w:val="1"/>
          <w:numId w:val="2"/>
        </w:numPr>
        <w:ind w:left="0" w:right="0" w:hanging="0"/>
        <w:rPr/>
      </w:pPr>
      <w:r>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pPr>
        <w:pStyle w:val="Nvel02"/>
        <w:numPr>
          <w:ilvl w:val="1"/>
          <w:numId w:val="2"/>
        </w:numPr>
        <w:ind w:left="0" w:right="0" w:hanging="0"/>
        <w:rPr/>
      </w:pPr>
      <w:r>
        <w:rPr/>
        <w:t>Serão aceitos registros de CNPJ de fornecedor matriz e filial com diferenças de números de documentos pertinentes ao CND e ao CRF/FGTS, quando for comprovada a centralização do recolhimento dessas contribuições.</w:t>
      </w:r>
      <w:bookmarkStart w:id="21" w:name="_Hlk82473550"/>
      <w:bookmarkEnd w:id="21"/>
    </w:p>
    <w:p>
      <w:pPr>
        <w:pStyle w:val="Nivel01"/>
        <w:numPr>
          <w:ilvl w:val="0"/>
          <w:numId w:val="2"/>
        </w:numPr>
        <w:ind w:left="357" w:right="0" w:hanging="357"/>
        <w:rPr/>
      </w:pPr>
      <w:r>
        <w:rPr/>
        <w:t>ESTIMATIVAS DO VALOR DA CONTRATAÇÃO</w:t>
      </w:r>
    </w:p>
    <w:p>
      <w:pPr>
        <w:pStyle w:val="Nvel2Opcional1"/>
        <w:numPr>
          <w:ilvl w:val="1"/>
          <w:numId w:val="2"/>
        </w:numPr>
        <w:rPr>
          <w:color w:val="C9211E"/>
        </w:rPr>
      </w:pPr>
      <w:r>
        <w:rPr>
          <w:b w:val="false"/>
          <w:bCs w:val="false"/>
          <w:i w:val="false"/>
          <w:iCs w:val="false"/>
          <w:color w:val="C9211E"/>
        </w:rPr>
        <w:t>O custo estimado total da contratação, que corresponde ao valor máximo aceitável, é de R$ 3.995,00 (três mil novecentos e noventa e cindo reais) conforme custos unitários apostos na tabela contida no item acima.</w:t>
      </w:r>
    </w:p>
    <w:p>
      <w:pPr>
        <w:pStyle w:val="Nivel01"/>
        <w:numPr>
          <w:ilvl w:val="0"/>
          <w:numId w:val="2"/>
        </w:numPr>
        <w:ind w:left="357" w:right="0" w:hanging="357"/>
        <w:rPr/>
      </w:pPr>
      <w:r>
        <w:rPr/>
        <w:t>ADEQUAÇÃO ORÇAMENTÁRIA</w:t>
      </w:r>
    </w:p>
    <w:p>
      <w:pPr>
        <w:pStyle w:val="Nvel02"/>
        <w:numPr>
          <w:ilvl w:val="1"/>
          <w:numId w:val="2"/>
        </w:numPr>
        <w:ind w:left="0" w:right="0" w:hanging="0"/>
        <w:rPr/>
      </w:pPr>
      <w:r>
        <w:rPr/>
        <w:t>As despesas decorrentes da presente contratação correrão à conta de recursos específicos consignados no Orçamento Geral da União.</w:t>
      </w:r>
    </w:p>
    <w:p>
      <w:pPr>
        <w:pStyle w:val="Nvel02"/>
        <w:numPr>
          <w:ilvl w:val="1"/>
          <w:numId w:val="2"/>
        </w:numPr>
        <w:ind w:left="0" w:right="0" w:hanging="0"/>
        <w:rPr/>
      </w:pPr>
      <w:r>
        <w:rPr/>
        <w:t>A contratação será atendida pela seguinte dotação:</w:t>
      </w:r>
    </w:p>
    <w:p>
      <w:pPr>
        <w:pStyle w:val="ListParagraph"/>
        <w:numPr>
          <w:ilvl w:val="0"/>
          <w:numId w:val="4"/>
        </w:numPr>
        <w:spacing w:before="120" w:after="120"/>
        <w:ind w:left="284" w:right="0" w:hanging="9"/>
        <w:contextualSpacing/>
        <w:jc w:val="both"/>
        <w:rPr/>
      </w:pPr>
      <w:r>
        <w:rPr>
          <w:rFonts w:ascii="Arial" w:hAnsi="Arial"/>
          <w:sz w:val="20"/>
        </w:rPr>
        <w:t>Gestão/</w:t>
      </w:r>
      <w:r>
        <w:rPr>
          <w:rFonts w:eastAsia="Arial" w:cs="Arial" w:ascii="Arial" w:hAnsi="Arial"/>
          <w:sz w:val="20"/>
          <w:szCs w:val="20"/>
        </w:rPr>
        <w:t>u</w:t>
      </w:r>
      <w:r>
        <w:rPr>
          <w:rFonts w:ascii="Arial" w:hAnsi="Arial"/>
          <w:sz w:val="20"/>
        </w:rPr>
        <w:t xml:space="preserve">nidade: </w:t>
      </w:r>
      <w:r>
        <w:rPr>
          <w:rFonts w:ascii="Arial" w:hAnsi="Arial"/>
          <w:color w:val="FF0000"/>
          <w:sz w:val="20"/>
        </w:rPr>
        <w:t>[...]</w:t>
      </w:r>
      <w:r>
        <w:rPr>
          <w:rFonts w:ascii="Arial" w:hAnsi="Arial"/>
          <w:sz w:val="20"/>
        </w:rPr>
        <w:t>;</w:t>
      </w:r>
    </w:p>
    <w:p>
      <w:pPr>
        <w:pStyle w:val="ListParagraph"/>
        <w:numPr>
          <w:ilvl w:val="0"/>
          <w:numId w:val="4"/>
        </w:numPr>
        <w:spacing w:before="120" w:after="120"/>
        <w:ind w:left="284" w:right="0" w:hanging="0"/>
        <w:contextualSpacing/>
        <w:jc w:val="both"/>
        <w:rPr/>
      </w:pPr>
      <w:r>
        <w:rPr>
          <w:rFonts w:ascii="Arial" w:hAnsi="Arial"/>
          <w:sz w:val="20"/>
        </w:rPr>
        <w:t xml:space="preserve">Fonte de </w:t>
      </w:r>
      <w:r>
        <w:rPr>
          <w:rFonts w:eastAsia="Arial" w:cs="Arial" w:ascii="Arial" w:hAnsi="Arial"/>
          <w:sz w:val="20"/>
          <w:szCs w:val="20"/>
        </w:rPr>
        <w:t>r</w:t>
      </w:r>
      <w:r>
        <w:rPr>
          <w:rFonts w:ascii="Arial" w:hAnsi="Arial"/>
          <w:sz w:val="20"/>
        </w:rPr>
        <w:t xml:space="preserve">ecursos: </w:t>
      </w:r>
      <w:r>
        <w:rPr>
          <w:rFonts w:ascii="Arial" w:hAnsi="Arial"/>
          <w:color w:val="FF0000"/>
          <w:sz w:val="20"/>
        </w:rPr>
        <w:t>[...]</w:t>
      </w:r>
      <w:r>
        <w:rPr>
          <w:rFonts w:ascii="Arial" w:hAnsi="Arial"/>
          <w:sz w:val="20"/>
        </w:rPr>
        <w:t>;</w:t>
      </w:r>
    </w:p>
    <w:p>
      <w:pPr>
        <w:pStyle w:val="ListParagraph"/>
        <w:numPr>
          <w:ilvl w:val="0"/>
          <w:numId w:val="4"/>
        </w:numPr>
        <w:spacing w:before="120" w:after="120"/>
        <w:ind w:left="284" w:right="0" w:hanging="0"/>
        <w:contextualSpacing/>
        <w:jc w:val="both"/>
        <w:rPr/>
      </w:pPr>
      <w:r>
        <w:rPr>
          <w:rFonts w:ascii="Arial" w:hAnsi="Arial"/>
          <w:sz w:val="20"/>
        </w:rPr>
        <w:t xml:space="preserve">Programa de </w:t>
      </w:r>
      <w:r>
        <w:rPr>
          <w:rFonts w:eastAsia="Arial" w:cs="Arial" w:ascii="Arial" w:hAnsi="Arial"/>
          <w:sz w:val="20"/>
          <w:szCs w:val="20"/>
        </w:rPr>
        <w:t>t</w:t>
      </w:r>
      <w:r>
        <w:rPr>
          <w:rFonts w:ascii="Arial" w:hAnsi="Arial"/>
          <w:sz w:val="20"/>
        </w:rPr>
        <w:t xml:space="preserve">rabalho: </w:t>
      </w:r>
      <w:r>
        <w:rPr>
          <w:rFonts w:ascii="Arial" w:hAnsi="Arial"/>
          <w:color w:val="FF0000"/>
          <w:sz w:val="20"/>
        </w:rPr>
        <w:t>[...]</w:t>
      </w:r>
      <w:r>
        <w:rPr>
          <w:rFonts w:ascii="Arial" w:hAnsi="Arial"/>
          <w:sz w:val="20"/>
        </w:rPr>
        <w:t>;</w:t>
      </w:r>
    </w:p>
    <w:p>
      <w:pPr>
        <w:pStyle w:val="ListParagraph"/>
        <w:numPr>
          <w:ilvl w:val="0"/>
          <w:numId w:val="4"/>
        </w:numPr>
        <w:spacing w:before="120" w:after="120"/>
        <w:ind w:left="284" w:right="0" w:hanging="0"/>
        <w:contextualSpacing/>
        <w:jc w:val="both"/>
        <w:rPr/>
      </w:pPr>
      <w:r>
        <w:rPr>
          <w:rFonts w:ascii="Arial" w:hAnsi="Arial"/>
          <w:sz w:val="20"/>
        </w:rPr>
        <w:t xml:space="preserve">Elemento de </w:t>
      </w:r>
      <w:r>
        <w:rPr>
          <w:rFonts w:eastAsia="Arial" w:cs="Arial" w:ascii="Arial" w:hAnsi="Arial"/>
          <w:sz w:val="20"/>
          <w:szCs w:val="20"/>
        </w:rPr>
        <w:t>d</w:t>
      </w:r>
      <w:r>
        <w:rPr>
          <w:rFonts w:ascii="Arial" w:hAnsi="Arial"/>
          <w:sz w:val="20"/>
        </w:rPr>
        <w:t xml:space="preserve">espesa: </w:t>
      </w:r>
      <w:r>
        <w:rPr>
          <w:rFonts w:ascii="Arial" w:hAnsi="Arial"/>
          <w:color w:val="FF0000"/>
          <w:sz w:val="20"/>
        </w:rPr>
        <w:t>[...]</w:t>
      </w:r>
      <w:r>
        <w:rPr>
          <w:rFonts w:ascii="Arial" w:hAnsi="Arial"/>
          <w:sz w:val="20"/>
        </w:rPr>
        <w:t>;</w:t>
      </w:r>
      <w:r>
        <w:rPr>
          <w:rFonts w:eastAsia="Arial" w:cs="Arial" w:ascii="Arial" w:hAnsi="Arial"/>
          <w:sz w:val="20"/>
          <w:szCs w:val="20"/>
        </w:rPr>
        <w:t xml:space="preserve"> </w:t>
      </w:r>
      <w:r>
        <w:rPr>
          <w:rFonts w:ascii="Arial" w:hAnsi="Arial"/>
          <w:sz w:val="20"/>
        </w:rPr>
        <w:t>e</w:t>
      </w:r>
    </w:p>
    <w:p>
      <w:pPr>
        <w:pStyle w:val="ListParagraph"/>
        <w:numPr>
          <w:ilvl w:val="0"/>
          <w:numId w:val="4"/>
        </w:numPr>
        <w:spacing w:before="120" w:after="120"/>
        <w:ind w:left="284" w:right="0" w:hanging="0"/>
        <w:contextualSpacing/>
        <w:jc w:val="both"/>
        <w:rPr/>
      </w:pPr>
      <w:r>
        <w:rPr>
          <w:rFonts w:ascii="Arial" w:hAnsi="Arial"/>
          <w:sz w:val="20"/>
        </w:rPr>
        <w:t xml:space="preserve">Plano </w:t>
      </w:r>
      <w:r>
        <w:rPr>
          <w:rFonts w:eastAsia="Arial" w:cs="Arial" w:ascii="Arial" w:hAnsi="Arial"/>
          <w:sz w:val="20"/>
          <w:szCs w:val="20"/>
        </w:rPr>
        <w:t xml:space="preserve">interno: </w:t>
      </w:r>
      <w:r>
        <w:rPr>
          <w:rFonts w:eastAsia="Arial" w:cs="Arial" w:ascii="Arial" w:hAnsi="Arial"/>
          <w:color w:val="FF0000"/>
          <w:sz w:val="20"/>
          <w:szCs w:val="20"/>
        </w:rPr>
        <w:t>[...]</w:t>
      </w:r>
      <w:r>
        <w:rPr>
          <w:rFonts w:eastAsia="Arial" w:cs="Arial" w:ascii="Arial" w:hAnsi="Arial"/>
          <w:sz w:val="20"/>
          <w:szCs w:val="20"/>
        </w:rPr>
        <w:t>.</w:t>
      </w:r>
    </w:p>
    <w:p>
      <w:pPr>
        <w:pStyle w:val="Nvel2Opcional1"/>
        <w:numPr>
          <w:ilvl w:val="1"/>
          <w:numId w:val="2"/>
        </w:numPr>
        <w:rPr>
          <w:i w:val="false"/>
          <w:i w:val="false"/>
          <w:iCs w:val="false"/>
          <w:color w:val="auto"/>
        </w:rPr>
      </w:pPr>
      <w:r>
        <w:rPr>
          <w:i w:val="false"/>
          <w:iCs w:val="false"/>
          <w:color w:val="auto"/>
        </w:rPr>
        <w:t>A dotação relativa aos exercícios financeiros subsequentes será indicada após aprovação da Lei Orçamentária respectiva e liberação dos créditos correspondentes, mediante apostilamento.</w:t>
      </w:r>
    </w:p>
    <w:p>
      <w:pPr>
        <w:pStyle w:val="Nivel01"/>
        <w:ind w:left="357" w:right="0" w:hanging="0"/>
        <w:rPr/>
      </w:pPr>
      <w:r>
        <w:rPr/>
      </w:r>
    </w:p>
    <w:p>
      <w:pPr>
        <w:pStyle w:val="Normal"/>
        <w:ind w:left="357" w:right="0" w:hanging="0"/>
        <w:rPr/>
      </w:pPr>
      <w:r>
        <w:rPr/>
      </w:r>
    </w:p>
    <w:p>
      <w:pPr>
        <w:pStyle w:val="Normal"/>
        <w:ind w:left="357" w:right="0" w:hanging="0"/>
        <w:rPr/>
      </w:pPr>
      <w:r>
        <w:rPr/>
      </w:r>
    </w:p>
    <w:p>
      <w:pPr>
        <w:pStyle w:val="Normal"/>
        <w:ind w:left="357" w:right="0" w:hanging="0"/>
        <w:rPr/>
      </w:pPr>
      <w:r>
        <w:rPr/>
      </w:r>
    </w:p>
    <w:p>
      <w:pPr>
        <w:pStyle w:val="Normal"/>
        <w:ind w:left="357" w:right="0" w:hanging="0"/>
        <w:rPr/>
      </w:pPr>
      <w:r>
        <w:rPr/>
      </w:r>
    </w:p>
    <w:p>
      <w:pPr>
        <w:pStyle w:val="Normal"/>
        <w:ind w:left="357" w:right="0" w:hanging="0"/>
        <w:rPr/>
      </w:pPr>
      <w:r>
        <w:rPr/>
      </w:r>
    </w:p>
    <w:p>
      <w:pPr>
        <w:pStyle w:val="Normal"/>
        <w:ind w:left="357" w:right="0" w:hanging="0"/>
        <w:rPr/>
      </w:pPr>
      <w:r>
        <w:rPr/>
      </w:r>
    </w:p>
    <w:p>
      <w:pPr>
        <w:pStyle w:val="Normal"/>
        <w:ind w:left="357" w:right="0" w:hanging="0"/>
        <w:rPr/>
      </w:pPr>
      <w:r>
        <w:rPr/>
      </w:r>
    </w:p>
    <w:p>
      <w:pPr>
        <w:pStyle w:val="Normal"/>
        <w:ind w:left="357" w:right="0" w:hanging="0"/>
        <w:rPr/>
      </w:pPr>
      <w:r>
        <w:rPr/>
      </w:r>
    </w:p>
    <w:p>
      <w:pPr>
        <w:pStyle w:val="Normal"/>
        <w:ind w:left="357" w:right="0" w:hanging="0"/>
        <w:rPr/>
      </w:pPr>
      <w:r>
        <w:rPr/>
      </w:r>
    </w:p>
    <w:p>
      <w:pPr>
        <w:pStyle w:val="Normal"/>
        <w:ind w:left="357" w:right="0" w:hanging="0"/>
        <w:rPr/>
      </w:pPr>
      <w:r>
        <w:rPr/>
      </w:r>
    </w:p>
    <w:p>
      <w:pPr>
        <w:pStyle w:val="Normal"/>
        <w:ind w:left="357" w:right="0" w:hanging="0"/>
        <w:rPr/>
      </w:pPr>
      <w:r>
        <w:rPr/>
      </w:r>
    </w:p>
    <w:p>
      <w:pPr>
        <w:pStyle w:val="Normal"/>
        <w:ind w:left="357" w:right="0" w:hanging="0"/>
        <w:rPr/>
      </w:pPr>
      <w:r>
        <w:rPr/>
      </w:r>
    </w:p>
    <w:p>
      <w:pPr>
        <w:pStyle w:val="Normal"/>
        <w:ind w:left="0" w:right="0" w:hanging="0"/>
        <w:rPr/>
      </w:pPr>
      <w:r>
        <w:rPr/>
      </w:r>
    </w:p>
    <w:p>
      <w:pPr>
        <w:pStyle w:val="Normal"/>
        <w:ind w:left="0" w:right="0" w:hanging="0"/>
        <w:rPr/>
      </w:pPr>
      <w:r>
        <w:rPr/>
      </w:r>
    </w:p>
    <w:p>
      <w:pPr>
        <w:pStyle w:val="Nivel01"/>
        <w:numPr>
          <w:ilvl w:val="0"/>
          <w:numId w:val="2"/>
        </w:numPr>
        <w:ind w:left="1495" w:right="0" w:hanging="0"/>
        <w:rPr/>
      </w:pPr>
      <w:r>
        <w:rPr/>
        <w:t>DA RESPONSABILIDADE PELO TERMO DE REFERÊNCIA</w:t>
      </w:r>
    </w:p>
    <w:p>
      <w:pPr>
        <w:pStyle w:val="Nvel02"/>
        <w:numPr>
          <w:ilvl w:val="1"/>
          <w:numId w:val="2"/>
        </w:numPr>
        <w:ind w:left="0" w:right="0" w:hanging="0"/>
        <w:rPr/>
      </w:pPr>
      <w:r>
        <w:rPr/>
        <w:t>Este Termo de Referência foi elaborado pelo militar que abaixo assina, no uso das suas atribuições legais e profissionais, estando em consonância com as disposições legais e normativas aplicáveis, sendo objeto de exame e, no caso de concordância, aprovação pelo Ordenador de Despesas do CIAMA.</w:t>
      </w:r>
    </w:p>
    <w:p>
      <w:pPr>
        <w:pStyle w:val="Nivel01"/>
        <w:ind w:left="357" w:right="0" w:hanging="357"/>
        <w:rPr/>
      </w:pPr>
      <w:r>
        <w:rPr/>
        <w:t>REQUISITANTE:</w:t>
      </w:r>
    </w:p>
    <w:p>
      <w:pPr>
        <w:pStyle w:val="Normal"/>
        <w:jc w:val="right"/>
        <w:rPr>
          <w:rFonts w:ascii="Arial" w:hAnsi="Arial"/>
          <w:sz w:val="20"/>
          <w:szCs w:val="20"/>
        </w:rPr>
      </w:pPr>
      <w:r>
        <w:rPr>
          <w:rFonts w:ascii="Arial" w:hAnsi="Arial"/>
          <w:sz w:val="20"/>
          <w:szCs w:val="20"/>
        </w:rPr>
        <w:t>Niterói, RJ, na data da assinatura.</w:t>
      </w:r>
    </w:p>
    <w:p>
      <w:pPr>
        <w:pStyle w:val="Normal"/>
        <w:jc w:val="right"/>
        <w:rPr>
          <w:rFonts w:ascii="Arial" w:hAnsi="Arial"/>
          <w:sz w:val="20"/>
          <w:szCs w:val="20"/>
        </w:rPr>
      </w:pPr>
      <w:r>
        <w:rPr>
          <w:rFonts w:ascii="Arial" w:hAnsi="Arial"/>
          <w:sz w:val="20"/>
          <w:szCs w:val="20"/>
        </w:rPr>
      </w:r>
    </w:p>
    <w:p>
      <w:pPr>
        <w:pStyle w:val="Normal"/>
        <w:jc w:val="right"/>
        <w:rPr>
          <w:rFonts w:ascii="Arial" w:hAnsi="Arial"/>
          <w:sz w:val="20"/>
          <w:szCs w:val="20"/>
        </w:rPr>
      </w:pPr>
      <w:r>
        <w:rPr>
          <w:rFonts w:ascii="Arial" w:hAnsi="Arial"/>
          <w:sz w:val="20"/>
          <w:szCs w:val="20"/>
        </w:rPr>
      </w:r>
    </w:p>
    <w:p>
      <w:pPr>
        <w:pStyle w:val="Normal"/>
        <w:jc w:val="right"/>
        <w:rPr>
          <w:rFonts w:ascii="Arial" w:hAnsi="Arial"/>
          <w:sz w:val="20"/>
          <w:szCs w:val="20"/>
        </w:rPr>
      </w:pPr>
      <w:r>
        <w:rPr>
          <w:rFonts w:ascii="Arial" w:hAnsi="Arial"/>
          <w:sz w:val="20"/>
          <w:szCs w:val="20"/>
        </w:rPr>
      </w:r>
    </w:p>
    <w:p>
      <w:pPr>
        <w:pStyle w:val="Normal"/>
        <w:jc w:val="right"/>
        <w:rPr>
          <w:rFonts w:ascii="Arial" w:hAnsi="Arial"/>
          <w:sz w:val="20"/>
          <w:szCs w:val="20"/>
        </w:rPr>
      </w:pPr>
      <w:r>
        <w:rPr>
          <w:rFonts w:ascii="Arial" w:hAnsi="Arial"/>
          <w:sz w:val="20"/>
          <w:szCs w:val="20"/>
        </w:rPr>
      </w:r>
    </w:p>
    <w:p>
      <w:pPr>
        <w:pStyle w:val="Normal"/>
        <w:jc w:val="right"/>
        <w:rPr>
          <w:rFonts w:ascii="Arial" w:hAnsi="Arial"/>
          <w:sz w:val="20"/>
          <w:szCs w:val="20"/>
        </w:rPr>
      </w:pPr>
      <w:r>
        <w:rPr>
          <w:rFonts w:ascii="Arial" w:hAnsi="Arial"/>
          <w:sz w:val="20"/>
          <w:szCs w:val="20"/>
        </w:rPr>
      </w:r>
    </w:p>
    <w:p>
      <w:pPr>
        <w:pStyle w:val="Normal"/>
        <w:jc w:val="right"/>
        <w:rPr>
          <w:rFonts w:ascii="Arial" w:hAnsi="Arial"/>
          <w:sz w:val="20"/>
          <w:szCs w:val="20"/>
        </w:rPr>
      </w:pPr>
      <w:r>
        <w:rPr>
          <w:rFonts w:ascii="Arial" w:hAnsi="Arial"/>
          <w:sz w:val="20"/>
          <w:szCs w:val="20"/>
        </w:rPr>
      </w:r>
    </w:p>
    <w:p>
      <w:pPr>
        <w:pStyle w:val="Normal"/>
        <w:jc w:val="right"/>
        <w:rPr/>
      </w:pPr>
      <w:r>
        <w:rPr/>
      </w:r>
    </w:p>
    <w:p>
      <w:pPr>
        <w:pStyle w:val="Normal"/>
        <w:jc w:val="center"/>
        <w:rPr/>
      </w:pPr>
      <w:r>
        <w:rPr/>
        <w:t>ALLAN DE SOUZA MARCOLINO DA SILVA</w:t>
      </w:r>
    </w:p>
    <w:p>
      <w:pPr>
        <w:pStyle w:val="Normal"/>
        <w:jc w:val="center"/>
        <w:rPr/>
      </w:pPr>
      <w:r>
        <w:rPr/>
        <w:t>Segundo-Sa</w:t>
      </w:r>
      <w:r>
        <w:rPr/>
        <w:t>r</w:t>
      </w:r>
      <w:r>
        <w:rPr/>
        <w:t>gento (MG)</w:t>
      </w:r>
    </w:p>
    <w:p>
      <w:pPr>
        <w:pStyle w:val="Normal"/>
        <w:jc w:val="center"/>
        <w:rPr/>
      </w:pPr>
      <w:r>
        <w:rPr/>
        <w:t>Responsável do Setor Requisitante</w:t>
      </w:r>
    </w:p>
    <w:p>
      <w:pPr>
        <w:pStyle w:val="Normal"/>
        <w:jc w:val="center"/>
        <w:rPr>
          <w:color w:val="FF0000"/>
        </w:rPr>
      </w:pPr>
      <w:r>
        <w:rPr>
          <w:color w:val="FF0000"/>
        </w:rPr>
      </w:r>
    </w:p>
    <w:p>
      <w:pPr>
        <w:pStyle w:val="Normal"/>
        <w:jc w:val="center"/>
        <w:rPr/>
      </w:pPr>
      <w:r>
        <w:rPr/>
      </w:r>
    </w:p>
    <w:p>
      <w:pPr>
        <w:pStyle w:val="Normal"/>
        <w:jc w:val="center"/>
        <w:rPr/>
      </w:pPr>
      <w:r>
        <w:rPr/>
      </w:r>
    </w:p>
    <w:p>
      <w:pPr>
        <w:pStyle w:val="Normal"/>
        <w:jc w:val="center"/>
        <w:rPr/>
      </w:pPr>
      <w:r>
        <w:rPr/>
      </w:r>
    </w:p>
    <w:p>
      <w:pPr>
        <w:pStyle w:val="Normal"/>
        <w:jc w:val="center"/>
        <w:rPr/>
      </w:pPr>
      <w:r>
        <w:rPr/>
      </w:r>
    </w:p>
    <w:p>
      <w:pPr>
        <w:pStyle w:val="Normal"/>
        <w:jc w:val="center"/>
        <w:rPr/>
      </w:pPr>
      <w:r>
        <w:rPr/>
      </w:r>
    </w:p>
    <w:p>
      <w:pPr>
        <w:pStyle w:val="Normal"/>
        <w:jc w:val="center"/>
        <w:rPr/>
      </w:pPr>
      <w:r>
        <w:rPr/>
        <w:t>RODOLPHO DE SOUZA LEMOS DE OLIVEIRA</w:t>
      </w:r>
    </w:p>
    <w:p>
      <w:pPr>
        <w:pStyle w:val="Normal"/>
        <w:jc w:val="center"/>
        <w:rPr/>
      </w:pPr>
      <w:r>
        <w:rPr/>
        <w:t>Terceiro-Sargento (ES)</w:t>
      </w:r>
    </w:p>
    <w:p>
      <w:pPr>
        <w:pStyle w:val="Normal"/>
        <w:jc w:val="center"/>
        <w:rPr/>
      </w:pPr>
      <w:r>
        <w:rPr/>
        <w:t>Agente da Contratação</w:t>
      </w:r>
    </w:p>
    <w:p>
      <w:pPr>
        <w:pStyle w:val="Normal"/>
        <w:jc w:val="center"/>
        <w:rPr/>
      </w:pPr>
      <w:r>
        <w:rPr/>
      </w:r>
    </w:p>
    <w:p>
      <w:pPr>
        <w:pStyle w:val="Normal"/>
        <w:jc w:val="center"/>
        <w:rPr/>
      </w:pPr>
      <w:r>
        <w:rPr/>
      </w:r>
    </w:p>
    <w:p>
      <w:pPr>
        <w:pStyle w:val="Normal"/>
        <w:jc w:val="center"/>
        <w:rPr/>
      </w:pPr>
      <w:r>
        <w:rPr/>
      </w:r>
    </w:p>
    <w:p>
      <w:pPr>
        <w:pStyle w:val="Normal"/>
        <w:jc w:val="center"/>
        <w:rPr/>
      </w:pPr>
      <w:r>
        <w:rPr/>
      </w:r>
    </w:p>
    <w:p>
      <w:pPr>
        <w:pStyle w:val="Normal"/>
        <w:jc w:val="center"/>
        <w:rPr/>
      </w:pPr>
      <w:r>
        <w:rPr/>
      </w:r>
    </w:p>
    <w:p>
      <w:pPr>
        <w:pStyle w:val="Nivel01"/>
        <w:ind w:left="357" w:right="0" w:hanging="357"/>
        <w:rPr/>
      </w:pPr>
      <w:r>
        <w:rPr/>
        <w:t>APROVO O TERMO DE REFERÊNCIA:</w:t>
      </w:r>
    </w:p>
    <w:p>
      <w:pPr>
        <w:pStyle w:val="Normal"/>
        <w:jc w:val="right"/>
        <w:rPr/>
      </w:pPr>
      <w:r>
        <w:rPr/>
        <w:t>Niterói, RJ, na data da assinatura.</w:t>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jc w:val="center"/>
        <w:rPr/>
      </w:pPr>
      <w:r>
        <w:rPr/>
        <w:t>MARCIO CLAUDIO BOMFIM OLIVEIRA</w:t>
      </w:r>
    </w:p>
    <w:p>
      <w:pPr>
        <w:pStyle w:val="Normal"/>
        <w:jc w:val="center"/>
        <w:rPr/>
      </w:pPr>
      <w:r>
        <w:rPr/>
        <w:t>Capitão de Mar e Guerra</w:t>
      </w:r>
    </w:p>
    <w:p>
      <w:pPr>
        <w:pStyle w:val="Normal"/>
        <w:jc w:val="center"/>
        <w:rPr/>
      </w:pPr>
      <w:bookmarkStart w:id="22" w:name="_Hlk82471863"/>
      <w:r>
        <w:rPr/>
        <w:t>Ordenador de Despesas</w:t>
      </w:r>
      <w:bookmarkEnd w:id="22"/>
    </w:p>
    <w:sectPr>
      <w:footerReference w:type="default" r:id="rId3"/>
      <w:type w:val="nextPage"/>
      <w:pgSz w:w="11906" w:h="16838"/>
      <w:pgMar w:left="1134" w:right="1134" w:gutter="0" w:header="0" w:top="1418" w:footer="709" w:bottom="1418"/>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Times New Roman">
    <w:charset w:val="01"/>
    <w:family w:val="roman"/>
    <w:pitch w:val="variable"/>
  </w:font>
  <w:font w:name="Ecofont_Spranq_eco_Sans">
    <w:charset w:val="01"/>
    <w:family w:val="roman"/>
    <w:pitch w:val="variable"/>
  </w:font>
  <w:font w:name="Arial">
    <w:charset w:val="01"/>
    <w:family w:val="roman"/>
    <w:pitch w:val="variable"/>
  </w:font>
  <w:font w:name="Calibri">
    <w:charset w:val="01"/>
    <w:family w:val="roman"/>
    <w:pitch w:val="variable"/>
  </w:font>
  <w:font w:name="Tahoma">
    <w:charset w:val="01"/>
    <w:family w:val="roman"/>
    <w:pitch w:val="variable"/>
  </w:font>
  <w:font w:name="Segoe UI">
    <w:charset w:val="01"/>
    <w:family w:val="roman"/>
    <w:pitch w:val="variable"/>
  </w:font>
  <w:font w:name="Liberation Sans">
    <w:altName w:val="Arial"/>
    <w:charset w:val="01"/>
    <w:family w:val="roman"/>
    <w:pitch w:val="variable"/>
  </w:font>
  <w:font w:name="Arial">
    <w:charset w:val="01"/>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Rodap"/>
      <w:rPr>
        <w:color w:val="548DD4"/>
        <w:spacing w:val="60"/>
        <w:sz w:val="22"/>
        <w:szCs w:val="22"/>
      </w:rPr>
    </w:pPr>
    <w:r>
      <w:rPr>
        <w:color w:val="548DD4"/>
        <w:spacing w:val="60"/>
        <w:sz w:val="22"/>
        <w:szCs w:val="22"/>
      </w:rPr>
      <w:tab/>
      <w:tab/>
    </w:r>
  </w:p>
  <w:p>
    <w:pPr>
      <w:pStyle w:val="Rodap"/>
      <w:rPr/>
    </w:pPr>
    <w:r>
      <w:rPr>
        <w:color w:val="7F7F7F"/>
        <w:spacing w:val="60"/>
        <w:sz w:val="22"/>
        <w:szCs w:val="22"/>
      </w:rPr>
      <w:tab/>
      <w:tab/>
    </w:r>
    <w:r>
      <w:rPr>
        <w:rFonts w:ascii="Arial" w:hAnsi="Arial"/>
        <w:color w:val="595959"/>
        <w:spacing w:val="60"/>
        <w:sz w:val="18"/>
      </w:rPr>
      <w:t>Página</w:t>
    </w:r>
    <w:r>
      <w:rPr>
        <w:rFonts w:ascii="Arial" w:hAnsi="Arial"/>
        <w:color w:val="595959"/>
        <w:sz w:val="18"/>
      </w:rPr>
      <w:t xml:space="preserve"> </w:t>
    </w:r>
    <w:r>
      <w:rPr>
        <w:rFonts w:ascii="Arial" w:hAnsi="Arial"/>
        <w:color w:val="595959"/>
        <w:sz w:val="18"/>
      </w:rPr>
      <w:fldChar w:fldCharType="begin"/>
    </w:r>
    <w:r>
      <w:rPr>
        <w:sz w:val="18"/>
        <w:rFonts w:ascii="Arial" w:hAnsi="Arial"/>
        <w:color w:val="595959"/>
      </w:rPr>
      <w:instrText xml:space="preserve"> PAGE </w:instrText>
    </w:r>
    <w:r>
      <w:rPr>
        <w:sz w:val="18"/>
        <w:rFonts w:ascii="Arial" w:hAnsi="Arial"/>
        <w:color w:val="595959"/>
      </w:rPr>
      <w:fldChar w:fldCharType="separate"/>
    </w:r>
    <w:r>
      <w:rPr>
        <w:sz w:val="18"/>
        <w:rFonts w:ascii="Arial" w:hAnsi="Arial"/>
        <w:color w:val="595959"/>
      </w:rPr>
      <w:t>15</w:t>
    </w:r>
    <w:r>
      <w:rPr>
        <w:sz w:val="18"/>
        <w:rFonts w:ascii="Arial" w:hAnsi="Arial"/>
        <w:color w:val="595959"/>
      </w:rPr>
      <w:fldChar w:fldCharType="end"/>
    </w:r>
    <w:r>
      <w:rPr>
        <w:rFonts w:ascii="Arial" w:hAnsi="Arial"/>
        <w:color w:val="595959"/>
        <w:sz w:val="18"/>
      </w:rPr>
      <w:t xml:space="preserve"> | </w:t>
    </w:r>
    <w:r>
      <w:rPr>
        <w:rFonts w:ascii="Arial" w:hAnsi="Arial"/>
        <w:color w:val="595959"/>
        <w:sz w:val="18"/>
      </w:rPr>
      <w:fldChar w:fldCharType="begin"/>
    </w:r>
    <w:r>
      <w:rPr>
        <w:sz w:val="18"/>
        <w:rFonts w:ascii="Arial" w:hAnsi="Arial"/>
        <w:color w:val="595959"/>
      </w:rPr>
      <w:instrText xml:space="preserve"> NUMPAGES </w:instrText>
    </w:r>
    <w:r>
      <w:rPr>
        <w:sz w:val="18"/>
        <w:rFonts w:ascii="Arial" w:hAnsi="Arial"/>
        <w:color w:val="595959"/>
      </w:rPr>
      <w:fldChar w:fldCharType="separate"/>
    </w:r>
    <w:r>
      <w:rPr>
        <w:sz w:val="18"/>
        <w:rFonts w:ascii="Arial" w:hAnsi="Arial"/>
        <w:color w:val="595959"/>
      </w:rPr>
      <w:t>15</w:t>
    </w:r>
    <w:r>
      <w:rPr>
        <w:sz w:val="18"/>
        <w:rFonts w:ascii="Arial" w:hAnsi="Arial"/>
        <w:color w:val="595959"/>
      </w:rPr>
      <w:fldChar w:fldCharType="end"/>
    </w:r>
  </w:p>
  <w:p>
    <w:pPr>
      <w:pStyle w:val="Rodap"/>
      <w:rPr>
        <w:rFonts w:ascii="Arial" w:hAnsi="Arial"/>
        <w:sz w:val="14"/>
      </w:rPr>
    </w:pPr>
    <w:r>
      <w:rPr>
        <w:rFonts w:ascii="Arial" w:hAnsi="Arial"/>
        <w:sz w:val="14"/>
      </w:rPr>
      <w:t>Câmara Nacional de Modelos de Licitações e Contratos da Consultoria-Geral da União</w:t>
    </w:r>
  </w:p>
  <w:p>
    <w:pPr>
      <w:pStyle w:val="Rodap"/>
      <w:rPr/>
    </w:pPr>
    <w:r>
      <w:rPr>
        <w:rFonts w:cs="Arial" w:ascii="Arial" w:hAnsi="Arial"/>
        <w:sz w:val="14"/>
        <w:szCs w:val="14"/>
      </w:rPr>
      <w:t xml:space="preserve">Modelo de </w:t>
    </w:r>
    <w:r>
      <w:rPr>
        <w:rFonts w:ascii="Arial" w:hAnsi="Arial"/>
        <w:sz w:val="14"/>
      </w:rPr>
      <w:t xml:space="preserve">Termo de Referência – Aquisições </w:t>
    </w:r>
    <w:r>
      <w:rPr>
        <w:rFonts w:cs="Arial" w:ascii="Arial" w:hAnsi="Arial"/>
        <w:sz w:val="14"/>
        <w:szCs w:val="14"/>
      </w:rPr>
      <w:t>– Lei nº 14.133, de 2021</w:t>
    </w:r>
  </w:p>
  <w:p>
    <w:pPr>
      <w:pStyle w:val="Rodap"/>
      <w:rPr/>
    </w:pPr>
    <w:r>
      <w:rPr>
        <w:rFonts w:ascii="Arial" w:hAnsi="Arial"/>
        <w:sz w:val="14"/>
      </w:rPr>
      <w:t>Aprovado pela Secretaria de Gestão</w:t>
    </w:r>
    <w:r>
      <w:rPr>
        <w:rFonts w:cs="Arial" w:ascii="Arial" w:hAnsi="Arial"/>
        <w:sz w:val="14"/>
        <w:szCs w:val="14"/>
      </w:rPr>
      <w:t xml:space="preserve"> e Inovação</w:t>
    </w:r>
  </w:p>
  <w:p>
    <w:pPr>
      <w:pStyle w:val="Rodap"/>
      <w:rPr/>
    </w:pPr>
    <w:r>
      <w:rPr>
        <w:rFonts w:ascii="Arial" w:hAnsi="Arial"/>
        <w:sz w:val="14"/>
      </w:rPr>
      <w:t xml:space="preserve">Identidade visual pela Secretaria de Gestão </w:t>
    </w:r>
    <w:r>
      <w:rPr>
        <w:rFonts w:cs="Arial" w:ascii="Arial" w:hAnsi="Arial"/>
        <w:sz w:val="14"/>
        <w:szCs w:val="14"/>
      </w:rPr>
      <w:t>e Inovação</w:t>
    </w:r>
  </w:p>
  <w:p>
    <w:pPr>
      <w:pStyle w:val="Rodap"/>
      <w:rPr>
        <w:rFonts w:ascii="Arial" w:hAnsi="Arial" w:cs="Arial"/>
        <w:sz w:val="14"/>
        <w:szCs w:val="14"/>
      </w:rPr>
    </w:pPr>
    <w:r>
      <w:rPr>
        <w:rFonts w:cs="Arial" w:ascii="Arial" w:hAnsi="Arial"/>
        <w:sz w:val="14"/>
        <w:szCs w:val="14"/>
      </w:rPr>
      <w:t>Atualização: NOV/2024</w:t>
    </w:r>
    <w:bookmarkStart w:id="23" w:name="_Hlk175672605"/>
    <w:bookmarkEnd w:id="23"/>
  </w:p>
</w:ft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Ttulo1"/>
      <w:numFmt w:val="decimal"/>
      <w:lvlText w:val="%1."/>
      <w:lvlJc w:val="left"/>
      <w:pPr>
        <w:tabs>
          <w:tab w:val="num" w:pos="0"/>
        </w:tabs>
        <w:ind w:left="360" w:hanging="360"/>
      </w:pPr>
      <w:rPr>
        <w:b/>
      </w:rPr>
    </w:lvl>
    <w:lvl w:ilvl="1">
      <w:start w:val="1"/>
      <w:pStyle w:val="Ttulo2"/>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none"/>
      <w:suff w:val="nothing"/>
      <w:lvlText w:val="%3"/>
      <w:lvlJc w:val="left"/>
      <w:pPr>
        <w:tabs>
          <w:tab w:val="num" w:pos="0"/>
        </w:tabs>
        <w:ind w:left="0" w:hanging="0"/>
      </w:pPr>
      <w:rPr/>
    </w:lvl>
    <w:lvl w:ilvl="3">
      <w:start w:val="1"/>
      <w:numFmt w:val="none"/>
      <w:suff w:val="nothing"/>
      <w:lvlText w:val="%4"/>
      <w:lvlJc w:val="left"/>
      <w:pPr>
        <w:tabs>
          <w:tab w:val="num" w:pos="0"/>
        </w:tabs>
        <w:ind w:left="0" w:hanging="0"/>
      </w:pPr>
      <w:rPr/>
    </w:lvl>
    <w:lvl w:ilvl="4">
      <w:start w:val="1"/>
      <w:numFmt w:val="none"/>
      <w:suff w:val="nothing"/>
      <w:lvlText w:val="%5"/>
      <w:lvlJc w:val="left"/>
      <w:pPr>
        <w:tabs>
          <w:tab w:val="num" w:pos="0"/>
        </w:tabs>
        <w:ind w:left="0" w:hanging="0"/>
      </w:pPr>
      <w:rPr/>
    </w:lvl>
    <w:lvl w:ilvl="5">
      <w:start w:val="1"/>
      <w:numFmt w:val="none"/>
      <w:suff w:val="nothing"/>
      <w:lvlText w:val="%6"/>
      <w:lvlJc w:val="left"/>
      <w:pPr>
        <w:tabs>
          <w:tab w:val="num" w:pos="0"/>
        </w:tabs>
        <w:ind w:left="0" w:hanging="0"/>
      </w:pPr>
      <w:rPr/>
    </w:lvl>
    <w:lvl w:ilvl="6">
      <w:start w:val="1"/>
      <w:numFmt w:val="none"/>
      <w:suff w:val="nothing"/>
      <w:lvlText w:val="%7"/>
      <w:lvlJc w:val="left"/>
      <w:pPr>
        <w:tabs>
          <w:tab w:val="num" w:pos="0"/>
        </w:tabs>
        <w:ind w:left="0" w:hanging="0"/>
      </w:pPr>
      <w:rPr/>
    </w:lvl>
    <w:lvl w:ilvl="7">
      <w:start w:val="1"/>
      <w:numFmt w:val="none"/>
      <w:suff w:val="nothing"/>
      <w:lvlText w:val="%8"/>
      <w:lvlJc w:val="left"/>
      <w:pPr>
        <w:tabs>
          <w:tab w:val="num" w:pos="0"/>
        </w:tabs>
        <w:ind w:left="0" w:hanging="0"/>
      </w:pPr>
      <w:rPr/>
    </w:lvl>
    <w:lvl w:ilvl="8">
      <w:start w:val="1"/>
      <w:numFmt w:val="none"/>
      <w:suff w:val="nothing"/>
      <w:lvlText w:val="%9"/>
      <w:lvlJc w:val="left"/>
      <w:pPr>
        <w:tabs>
          <w:tab w:val="num" w:pos="0"/>
        </w:tabs>
        <w:ind w:left="0" w:hanging="0"/>
      </w:pPr>
      <w:rPr/>
    </w:lvl>
  </w:abstractNum>
  <w:abstractNum w:abstractNumId="2">
    <w:lvl w:ilvl="0">
      <w:start w:val="1"/>
      <w:numFmt w:val="decimal"/>
      <w:lvlText w:val="%1."/>
      <w:lvlJc w:val="left"/>
      <w:pPr>
        <w:tabs>
          <w:tab w:val="num" w:pos="0"/>
        </w:tabs>
        <w:ind w:left="1495" w:hanging="360"/>
      </w:pPr>
      <w:rPr>
        <w:b/>
      </w:rPr>
    </w:lvl>
    <w:lvl w:ilvl="1">
      <w:start w:val="1"/>
      <w:numFmt w:val="decimal"/>
      <w:lvlText w:val="%1.%2."/>
      <w:lvlJc w:val="left"/>
      <w:pPr>
        <w:tabs>
          <w:tab w:val="num" w:pos="0"/>
        </w:tabs>
        <w:ind w:left="1709" w:hanging="432"/>
      </w:pPr>
      <w:rPr>
        <w:dstrike w:val="false"/>
        <w:strike w:val="false"/>
        <w:sz w:val="20"/>
        <w:i w:val="false"/>
        <w:u w:val="none"/>
        <w:b w:val="false"/>
        <w:szCs w:val="20"/>
        <w:color w:val="auto"/>
      </w:rPr>
    </w:lvl>
    <w:lvl w:ilvl="2">
      <w:start w:val="1"/>
      <w:numFmt w:val="decimal"/>
      <w:lvlText w:val="%1.%2.%3"/>
      <w:lvlJc w:val="left"/>
      <w:pPr>
        <w:tabs>
          <w:tab w:val="num" w:pos="0"/>
        </w:tabs>
        <w:ind w:left="3624" w:hanging="504"/>
      </w:pPr>
      <w:rPr>
        <w:dstrike w:val="false"/>
        <w:strike w:val="false"/>
        <w:sz w:val="20"/>
        <w:i w:val="false"/>
        <w:b w:val="false"/>
        <w:szCs w:val="20"/>
        <w:color w:val="000000"/>
      </w:rPr>
    </w:lvl>
    <w:lvl w:ilvl="3">
      <w:start w:val="1"/>
      <w:numFmt w:val="decimal"/>
      <w:lvlText w:val="%1.%2.%3.%4."/>
      <w:lvlJc w:val="left"/>
      <w:pPr>
        <w:tabs>
          <w:tab w:val="num" w:pos="0"/>
        </w:tabs>
        <w:ind w:left="3626" w:hanging="648"/>
      </w:pPr>
      <w:rPr/>
    </w:lvl>
    <w:lvl w:ilvl="4">
      <w:start w:val="1"/>
      <w:numFmt w:val="decimal"/>
      <w:lvlText w:val="%1.%2.%3.%4.%5."/>
      <w:lvlJc w:val="left"/>
      <w:pPr>
        <w:tabs>
          <w:tab w:val="num" w:pos="0"/>
        </w:tabs>
        <w:ind w:left="3367" w:hanging="792"/>
      </w:pPr>
      <w:rPr/>
    </w:lvl>
    <w:lvl w:ilvl="5">
      <w:start w:val="1"/>
      <w:numFmt w:val="decimal"/>
      <w:lvlText w:val="%1.%2.%3.%4.%5.%6."/>
      <w:lvlJc w:val="left"/>
      <w:pPr>
        <w:tabs>
          <w:tab w:val="num" w:pos="0"/>
        </w:tabs>
        <w:ind w:left="3871" w:hanging="936"/>
      </w:pPr>
      <w:rPr/>
    </w:lvl>
    <w:lvl w:ilvl="6">
      <w:start w:val="1"/>
      <w:numFmt w:val="decimal"/>
      <w:lvlText w:val="%1.%2.%3.%4.%5.%6.%7."/>
      <w:lvlJc w:val="left"/>
      <w:pPr>
        <w:tabs>
          <w:tab w:val="num" w:pos="0"/>
        </w:tabs>
        <w:ind w:left="4375" w:hanging="1080"/>
      </w:pPr>
      <w:rPr/>
    </w:lvl>
    <w:lvl w:ilvl="7">
      <w:start w:val="1"/>
      <w:numFmt w:val="decimal"/>
      <w:lvlText w:val="%1.%2.%3.%4.%5.%6.%7.%8."/>
      <w:lvlJc w:val="left"/>
      <w:pPr>
        <w:tabs>
          <w:tab w:val="num" w:pos="0"/>
        </w:tabs>
        <w:ind w:left="4879" w:hanging="1224"/>
      </w:pPr>
      <w:rPr/>
    </w:lvl>
    <w:lvl w:ilvl="8">
      <w:start w:val="1"/>
      <w:numFmt w:val="decimal"/>
      <w:lvlText w:val="%1.%2.%3.%4.%5.%6.%7.%8.%9."/>
      <w:lvlJc w:val="left"/>
      <w:pPr>
        <w:tabs>
          <w:tab w:val="num" w:pos="0"/>
        </w:tabs>
        <w:ind w:left="5455" w:hanging="1440"/>
      </w:pPr>
      <w:rPr/>
    </w:lvl>
  </w:abstractNum>
  <w:abstractNum w:abstractNumId="3">
    <w:lvl w:ilvl="0">
      <w:start w:val="1"/>
      <w:numFmt w:val="lowerLetter"/>
      <w:lvlText w:val="%1)"/>
      <w:lvlJc w:val="left"/>
      <w:pPr>
        <w:tabs>
          <w:tab w:val="num" w:pos="0"/>
        </w:tabs>
        <w:ind w:left="2130" w:hanging="360"/>
      </w:pPr>
      <w:rPr/>
    </w:lvl>
    <w:lvl w:ilvl="1">
      <w:start w:val="1"/>
      <w:numFmt w:val="lowerLetter"/>
      <w:lvlText w:val="%2."/>
      <w:lvlJc w:val="left"/>
      <w:pPr>
        <w:tabs>
          <w:tab w:val="num" w:pos="0"/>
        </w:tabs>
        <w:ind w:left="2850" w:hanging="360"/>
      </w:pPr>
      <w:rPr/>
    </w:lvl>
    <w:lvl w:ilvl="2">
      <w:start w:val="1"/>
      <w:numFmt w:val="lowerRoman"/>
      <w:lvlText w:val="%3."/>
      <w:lvlJc w:val="right"/>
      <w:pPr>
        <w:tabs>
          <w:tab w:val="num" w:pos="0"/>
        </w:tabs>
        <w:ind w:left="3570" w:hanging="180"/>
      </w:pPr>
      <w:rPr/>
    </w:lvl>
    <w:lvl w:ilvl="3">
      <w:start w:val="1"/>
      <w:numFmt w:val="decimal"/>
      <w:lvlText w:val="%4."/>
      <w:lvlJc w:val="left"/>
      <w:pPr>
        <w:tabs>
          <w:tab w:val="num" w:pos="0"/>
        </w:tabs>
        <w:ind w:left="4290" w:hanging="360"/>
      </w:pPr>
      <w:rPr/>
    </w:lvl>
    <w:lvl w:ilvl="4">
      <w:start w:val="1"/>
      <w:numFmt w:val="lowerLetter"/>
      <w:lvlText w:val="%5."/>
      <w:lvlJc w:val="left"/>
      <w:pPr>
        <w:tabs>
          <w:tab w:val="num" w:pos="0"/>
        </w:tabs>
        <w:ind w:left="5010" w:hanging="360"/>
      </w:pPr>
      <w:rPr/>
    </w:lvl>
    <w:lvl w:ilvl="5">
      <w:start w:val="1"/>
      <w:numFmt w:val="lowerRoman"/>
      <w:lvlText w:val="%6."/>
      <w:lvlJc w:val="right"/>
      <w:pPr>
        <w:tabs>
          <w:tab w:val="num" w:pos="0"/>
        </w:tabs>
        <w:ind w:left="5730" w:hanging="180"/>
      </w:pPr>
      <w:rPr/>
    </w:lvl>
    <w:lvl w:ilvl="6">
      <w:start w:val="1"/>
      <w:numFmt w:val="decimal"/>
      <w:lvlText w:val="%7."/>
      <w:lvlJc w:val="left"/>
      <w:pPr>
        <w:tabs>
          <w:tab w:val="num" w:pos="0"/>
        </w:tabs>
        <w:ind w:left="6450" w:hanging="360"/>
      </w:pPr>
      <w:rPr/>
    </w:lvl>
    <w:lvl w:ilvl="7">
      <w:start w:val="1"/>
      <w:numFmt w:val="lowerLetter"/>
      <w:lvlText w:val="%8."/>
      <w:lvlJc w:val="left"/>
      <w:pPr>
        <w:tabs>
          <w:tab w:val="num" w:pos="0"/>
        </w:tabs>
        <w:ind w:left="7170" w:hanging="360"/>
      </w:pPr>
      <w:rPr/>
    </w:lvl>
    <w:lvl w:ilvl="8">
      <w:start w:val="1"/>
      <w:numFmt w:val="lowerRoman"/>
      <w:lvlText w:val="%9."/>
      <w:lvlJc w:val="right"/>
      <w:pPr>
        <w:tabs>
          <w:tab w:val="num" w:pos="0"/>
        </w:tabs>
        <w:ind w:left="7890" w:hanging="180"/>
      </w:pPr>
      <w:rPr/>
    </w:lvl>
  </w:abstractNum>
  <w:abstractNum w:abstractNumId="4">
    <w:lvl w:ilvl="0">
      <w:start w:val="1"/>
      <w:numFmt w:val="upperRoman"/>
      <w:lvlText w:val="%1)"/>
      <w:lvlJc w:val="left"/>
      <w:pPr>
        <w:tabs>
          <w:tab w:val="num" w:pos="0"/>
        </w:tabs>
        <w:ind w:left="2136" w:hanging="720"/>
      </w:pPr>
      <w:rPr/>
    </w:lvl>
    <w:lvl w:ilvl="1">
      <w:start w:val="1"/>
      <w:numFmt w:val="lowerLetter"/>
      <w:lvlText w:val="%2."/>
      <w:lvlJc w:val="left"/>
      <w:pPr>
        <w:tabs>
          <w:tab w:val="num" w:pos="0"/>
        </w:tabs>
        <w:ind w:left="2496" w:hanging="360"/>
      </w:pPr>
      <w:rPr/>
    </w:lvl>
    <w:lvl w:ilvl="2">
      <w:start w:val="1"/>
      <w:numFmt w:val="lowerRoman"/>
      <w:lvlText w:val="%3."/>
      <w:lvlJc w:val="right"/>
      <w:pPr>
        <w:tabs>
          <w:tab w:val="num" w:pos="0"/>
        </w:tabs>
        <w:ind w:left="3216" w:hanging="180"/>
      </w:pPr>
      <w:rPr/>
    </w:lvl>
    <w:lvl w:ilvl="3">
      <w:start w:val="1"/>
      <w:numFmt w:val="decimal"/>
      <w:lvlText w:val="%4."/>
      <w:lvlJc w:val="left"/>
      <w:pPr>
        <w:tabs>
          <w:tab w:val="num" w:pos="0"/>
        </w:tabs>
        <w:ind w:left="3936" w:hanging="360"/>
      </w:pPr>
      <w:rPr/>
    </w:lvl>
    <w:lvl w:ilvl="4">
      <w:start w:val="1"/>
      <w:numFmt w:val="lowerLetter"/>
      <w:lvlText w:val="%5."/>
      <w:lvlJc w:val="left"/>
      <w:pPr>
        <w:tabs>
          <w:tab w:val="num" w:pos="0"/>
        </w:tabs>
        <w:ind w:left="4656" w:hanging="360"/>
      </w:pPr>
      <w:rPr/>
    </w:lvl>
    <w:lvl w:ilvl="5">
      <w:start w:val="1"/>
      <w:numFmt w:val="lowerRoman"/>
      <w:lvlText w:val="%6."/>
      <w:lvlJc w:val="right"/>
      <w:pPr>
        <w:tabs>
          <w:tab w:val="num" w:pos="0"/>
        </w:tabs>
        <w:ind w:left="5376" w:hanging="180"/>
      </w:pPr>
      <w:rPr/>
    </w:lvl>
    <w:lvl w:ilvl="6">
      <w:start w:val="1"/>
      <w:numFmt w:val="decimal"/>
      <w:lvlText w:val="%7."/>
      <w:lvlJc w:val="left"/>
      <w:pPr>
        <w:tabs>
          <w:tab w:val="num" w:pos="0"/>
        </w:tabs>
        <w:ind w:left="6096" w:hanging="360"/>
      </w:pPr>
      <w:rPr/>
    </w:lvl>
    <w:lvl w:ilvl="7">
      <w:start w:val="1"/>
      <w:numFmt w:val="lowerLetter"/>
      <w:lvlText w:val="%8."/>
      <w:lvlJc w:val="left"/>
      <w:pPr>
        <w:tabs>
          <w:tab w:val="num" w:pos="0"/>
        </w:tabs>
        <w:ind w:left="6816" w:hanging="360"/>
      </w:pPr>
      <w:rPr/>
    </w:lvl>
    <w:lvl w:ilvl="8">
      <w:start w:val="1"/>
      <w:numFmt w:val="lowerRoman"/>
      <w:lvlText w:val="%9."/>
      <w:lvlJc w:val="right"/>
      <w:pPr>
        <w:tabs>
          <w:tab w:val="num" w:pos="0"/>
        </w:tabs>
        <w:ind w:left="7536" w:hanging="180"/>
      </w:pPr>
      <w:rPr/>
    </w:lvl>
  </w:abstractNum>
  <w:abstractNum w:abstractNumId="5">
    <w:lvl w:ilvl="0">
      <w:start w:val="7"/>
      <w:numFmt w:val="decimal"/>
      <w:lvlText w:val="%1"/>
      <w:lvlJc w:val="left"/>
      <w:pPr>
        <w:tabs>
          <w:tab w:val="num" w:pos="0"/>
        </w:tabs>
        <w:ind w:left="790" w:hanging="790"/>
      </w:pPr>
      <w:rPr/>
    </w:lvl>
    <w:lvl w:ilvl="1">
      <w:start w:val="2"/>
      <w:numFmt w:val="decimal"/>
      <w:lvlText w:val="%1.%2"/>
      <w:lvlJc w:val="left"/>
      <w:pPr>
        <w:tabs>
          <w:tab w:val="num" w:pos="0"/>
        </w:tabs>
        <w:ind w:left="931" w:hanging="790"/>
      </w:pPr>
      <w:rPr/>
    </w:lvl>
    <w:lvl w:ilvl="2">
      <w:start w:val="4"/>
      <w:numFmt w:val="decimal"/>
      <w:lvlText w:val="%1.%2.%3"/>
      <w:lvlJc w:val="left"/>
      <w:pPr>
        <w:tabs>
          <w:tab w:val="num" w:pos="0"/>
        </w:tabs>
        <w:ind w:left="1072" w:hanging="790"/>
      </w:pPr>
      <w:rPr/>
    </w:lvl>
    <w:lvl w:ilvl="3">
      <w:start w:val="2"/>
      <w:numFmt w:val="decimal"/>
      <w:lvlText w:val="%1.%2.%3.%4"/>
      <w:lvlJc w:val="left"/>
      <w:pPr>
        <w:tabs>
          <w:tab w:val="num" w:pos="0"/>
        </w:tabs>
        <w:ind w:left="1213" w:hanging="790"/>
      </w:pPr>
      <w:rPr/>
    </w:lvl>
    <w:lvl w:ilvl="4">
      <w:start w:val="1"/>
      <w:numFmt w:val="decimal"/>
      <w:lvlText w:val="%1.%2.%3.%4.%5"/>
      <w:lvlJc w:val="left"/>
      <w:pPr>
        <w:tabs>
          <w:tab w:val="num" w:pos="0"/>
        </w:tabs>
        <w:ind w:left="1644" w:hanging="1080"/>
      </w:pPr>
      <w:rPr/>
    </w:lvl>
    <w:lvl w:ilvl="5">
      <w:start w:val="1"/>
      <w:numFmt w:val="decimal"/>
      <w:lvlText w:val="%1.%2.%3.%4.%5.%6"/>
      <w:lvlJc w:val="left"/>
      <w:pPr>
        <w:tabs>
          <w:tab w:val="num" w:pos="0"/>
        </w:tabs>
        <w:ind w:left="1785" w:hanging="1080"/>
      </w:pPr>
      <w:rPr/>
    </w:lvl>
    <w:lvl w:ilvl="6">
      <w:start w:val="1"/>
      <w:numFmt w:val="decimal"/>
      <w:lvlText w:val="%1.%2.%3.%4.%5.%6.%7"/>
      <w:lvlJc w:val="left"/>
      <w:pPr>
        <w:tabs>
          <w:tab w:val="num" w:pos="0"/>
        </w:tabs>
        <w:ind w:left="2286" w:hanging="1440"/>
      </w:pPr>
      <w:rPr/>
    </w:lvl>
    <w:lvl w:ilvl="7">
      <w:start w:val="1"/>
      <w:numFmt w:val="decimal"/>
      <w:lvlText w:val="%1.%2.%3.%4.%5.%6.%7.%8"/>
      <w:lvlJc w:val="left"/>
      <w:pPr>
        <w:tabs>
          <w:tab w:val="num" w:pos="0"/>
        </w:tabs>
        <w:ind w:left="2427" w:hanging="1440"/>
      </w:pPr>
      <w:rPr/>
    </w:lvl>
    <w:lvl w:ilvl="8">
      <w:start w:val="1"/>
      <w:numFmt w:val="decimal"/>
      <w:lvlText w:val="%1.%2.%3.%4.%5.%6.%7.%8.%9"/>
      <w:lvlJc w:val="left"/>
      <w:pPr>
        <w:tabs>
          <w:tab w:val="num" w:pos="0"/>
        </w:tabs>
        <w:ind w:left="2928" w:hanging="1800"/>
      </w:pPr>
      <w:rPr/>
    </w:lvl>
  </w:abstractNum>
  <w:abstractNum w:abstractNumId="6">
    <w:lvl w:ilvl="0">
      <w:start w:val="1"/>
      <w:numFmt w:val="decimal"/>
      <w:lvlText w:val="%1."/>
      <w:lvlJc w:val="left"/>
      <w:pPr>
        <w:tabs>
          <w:tab w:val="num" w:pos="0"/>
        </w:tabs>
        <w:ind w:left="1495" w:hanging="360"/>
      </w:pPr>
      <w:rPr>
        <w:b/>
      </w:rPr>
    </w:lvl>
    <w:lvl w:ilvl="1">
      <w:start w:val="1"/>
      <w:numFmt w:val="decimal"/>
      <w:lvlText w:val="%1.%2."/>
      <w:lvlJc w:val="left"/>
      <w:pPr>
        <w:tabs>
          <w:tab w:val="num" w:pos="0"/>
        </w:tabs>
        <w:ind w:left="1709" w:hanging="432"/>
      </w:pPr>
      <w:rPr>
        <w:dstrike w:val="false"/>
        <w:strike w:val="false"/>
        <w:sz w:val="20"/>
        <w:i w:val="false"/>
        <w:u w:val="none"/>
        <w:b w:val="false"/>
        <w:szCs w:val="20"/>
        <w:color w:val="auto"/>
      </w:rPr>
    </w:lvl>
    <w:lvl w:ilvl="2">
      <w:start w:val="1"/>
      <w:numFmt w:val="decimal"/>
      <w:lvlText w:val="%1.%2.%3"/>
      <w:lvlJc w:val="left"/>
      <w:pPr>
        <w:tabs>
          <w:tab w:val="num" w:pos="0"/>
        </w:tabs>
        <w:ind w:left="3624" w:hanging="504"/>
      </w:pPr>
      <w:rPr>
        <w:dstrike w:val="false"/>
        <w:strike w:val="false"/>
        <w:sz w:val="20"/>
        <w:i w:val="false"/>
        <w:b w:val="false"/>
        <w:szCs w:val="20"/>
        <w:color w:val="000000"/>
      </w:rPr>
    </w:lvl>
    <w:lvl w:ilvl="3">
      <w:start w:val="1"/>
      <w:numFmt w:val="decimal"/>
      <w:lvlText w:val="%1.%2.%3.%4."/>
      <w:lvlJc w:val="left"/>
      <w:pPr>
        <w:tabs>
          <w:tab w:val="num" w:pos="0"/>
        </w:tabs>
        <w:ind w:left="3626" w:hanging="648"/>
      </w:pPr>
      <w:rPr/>
    </w:lvl>
    <w:lvl w:ilvl="4">
      <w:start w:val="1"/>
      <w:numFmt w:val="decimal"/>
      <w:lvlText w:val="%1.%2.%3.%4.%5."/>
      <w:lvlJc w:val="left"/>
      <w:pPr>
        <w:tabs>
          <w:tab w:val="num" w:pos="0"/>
        </w:tabs>
        <w:ind w:left="3367" w:hanging="792"/>
      </w:pPr>
      <w:rPr/>
    </w:lvl>
    <w:lvl w:ilvl="5">
      <w:start w:val="1"/>
      <w:numFmt w:val="decimal"/>
      <w:lvlText w:val="%1.%2.%3.%4.%5.%6."/>
      <w:lvlJc w:val="left"/>
      <w:pPr>
        <w:tabs>
          <w:tab w:val="num" w:pos="0"/>
        </w:tabs>
        <w:ind w:left="3871" w:hanging="936"/>
      </w:pPr>
      <w:rPr/>
    </w:lvl>
    <w:lvl w:ilvl="6">
      <w:start w:val="1"/>
      <w:numFmt w:val="decimal"/>
      <w:lvlText w:val="%1.%2.%3.%4.%5.%6.%7."/>
      <w:lvlJc w:val="left"/>
      <w:pPr>
        <w:tabs>
          <w:tab w:val="num" w:pos="0"/>
        </w:tabs>
        <w:ind w:left="4375" w:hanging="1080"/>
      </w:pPr>
      <w:rPr/>
    </w:lvl>
    <w:lvl w:ilvl="7">
      <w:start w:val="1"/>
      <w:numFmt w:val="decimal"/>
      <w:lvlText w:val="%1.%2.%3.%4.%5.%6.%7.%8."/>
      <w:lvlJc w:val="left"/>
      <w:pPr>
        <w:tabs>
          <w:tab w:val="num" w:pos="0"/>
        </w:tabs>
        <w:ind w:left="4879" w:hanging="1224"/>
      </w:pPr>
      <w:rPr/>
    </w:lvl>
    <w:lvl w:ilvl="8">
      <w:start w:val="1"/>
      <w:numFmt w:val="decimal"/>
      <w:lvlText w:val="%1.%2.%3.%4.%5.%6.%7.%8.%9."/>
      <w:lvlJc w:val="left"/>
      <w:pPr>
        <w:tabs>
          <w:tab w:val="num" w:pos="0"/>
        </w:tabs>
        <w:ind w:left="5455" w:hanging="1440"/>
      </w:pPr>
      <w:rPr/>
    </w:lvl>
  </w:abstractNum>
  <w:abstractNum w:abstractNumId="7">
    <w:lvl w:ilvl="0">
      <w:start w:val="1"/>
      <w:numFmt w:val="decimal"/>
      <w:lvlText w:val="%1."/>
      <w:lvlJc w:val="left"/>
      <w:pPr>
        <w:tabs>
          <w:tab w:val="num" w:pos="0"/>
        </w:tabs>
        <w:ind w:left="1495" w:hanging="360"/>
      </w:pPr>
      <w:rPr>
        <w:b/>
      </w:rPr>
    </w:lvl>
    <w:lvl w:ilvl="1">
      <w:start w:val="1"/>
      <w:numFmt w:val="decimal"/>
      <w:lvlText w:val="%1.%2."/>
      <w:lvlJc w:val="left"/>
      <w:pPr>
        <w:tabs>
          <w:tab w:val="num" w:pos="0"/>
        </w:tabs>
        <w:ind w:left="1709" w:hanging="432"/>
      </w:pPr>
      <w:rPr>
        <w:dstrike w:val="false"/>
        <w:strike w:val="false"/>
        <w:sz w:val="20"/>
        <w:i w:val="false"/>
        <w:u w:val="none"/>
        <w:b w:val="false"/>
        <w:szCs w:val="20"/>
        <w:color w:val="auto"/>
      </w:rPr>
    </w:lvl>
    <w:lvl w:ilvl="2">
      <w:start w:val="1"/>
      <w:numFmt w:val="decimal"/>
      <w:lvlText w:val="%1.%2.%3"/>
      <w:lvlJc w:val="left"/>
      <w:pPr>
        <w:tabs>
          <w:tab w:val="num" w:pos="0"/>
        </w:tabs>
        <w:ind w:left="3624" w:hanging="504"/>
      </w:pPr>
      <w:rPr>
        <w:dstrike w:val="false"/>
        <w:strike w:val="false"/>
        <w:sz w:val="20"/>
        <w:i w:val="false"/>
        <w:b w:val="false"/>
        <w:szCs w:val="20"/>
        <w:color w:val="000000"/>
      </w:rPr>
    </w:lvl>
    <w:lvl w:ilvl="3">
      <w:start w:val="1"/>
      <w:numFmt w:val="decimal"/>
      <w:lvlText w:val="%1.%2.%3.%4."/>
      <w:lvlJc w:val="left"/>
      <w:pPr>
        <w:tabs>
          <w:tab w:val="num" w:pos="0"/>
        </w:tabs>
        <w:ind w:left="3626" w:hanging="648"/>
      </w:pPr>
      <w:rPr/>
    </w:lvl>
    <w:lvl w:ilvl="4">
      <w:start w:val="1"/>
      <w:numFmt w:val="decimal"/>
      <w:lvlText w:val="%1.%2.%3.%4.%5."/>
      <w:lvlJc w:val="left"/>
      <w:pPr>
        <w:tabs>
          <w:tab w:val="num" w:pos="0"/>
        </w:tabs>
        <w:ind w:left="3367" w:hanging="792"/>
      </w:pPr>
      <w:rPr/>
    </w:lvl>
    <w:lvl w:ilvl="5">
      <w:start w:val="1"/>
      <w:numFmt w:val="decimal"/>
      <w:lvlText w:val="%1.%2.%3.%4.%5.%6."/>
      <w:lvlJc w:val="left"/>
      <w:pPr>
        <w:tabs>
          <w:tab w:val="num" w:pos="0"/>
        </w:tabs>
        <w:ind w:left="3871" w:hanging="936"/>
      </w:pPr>
      <w:rPr/>
    </w:lvl>
    <w:lvl w:ilvl="6">
      <w:start w:val="1"/>
      <w:numFmt w:val="decimal"/>
      <w:lvlText w:val="%1.%2.%3.%4.%5.%6.%7."/>
      <w:lvlJc w:val="left"/>
      <w:pPr>
        <w:tabs>
          <w:tab w:val="num" w:pos="0"/>
        </w:tabs>
        <w:ind w:left="4375" w:hanging="1080"/>
      </w:pPr>
      <w:rPr/>
    </w:lvl>
    <w:lvl w:ilvl="7">
      <w:start w:val="1"/>
      <w:numFmt w:val="decimal"/>
      <w:lvlText w:val="%1.%2.%3.%4.%5.%6.%7.%8."/>
      <w:lvlJc w:val="left"/>
      <w:pPr>
        <w:tabs>
          <w:tab w:val="num" w:pos="0"/>
        </w:tabs>
        <w:ind w:left="4879" w:hanging="1224"/>
      </w:pPr>
      <w:rPr/>
    </w:lvl>
    <w:lvl w:ilvl="8">
      <w:start w:val="1"/>
      <w:numFmt w:val="decimal"/>
      <w:lvlText w:val="%1.%2.%3.%4.%5.%6.%7.%8.%9."/>
      <w:lvlJc w:val="left"/>
      <w:pPr>
        <w:tabs>
          <w:tab w:val="num" w:pos="0"/>
        </w:tabs>
        <w:ind w:left="5455" w:hanging="1440"/>
      </w:pPr>
      <w:rPr/>
    </w:lvl>
  </w:abstractNum>
  <w:abstractNum w:abstractNumId="8">
    <w:lvl w:ilvl="0">
      <w:start w:val="1"/>
      <w:numFmt w:val="decimal"/>
      <w:lvlText w:val="%1."/>
      <w:lvlJc w:val="left"/>
      <w:pPr>
        <w:tabs>
          <w:tab w:val="num" w:pos="0"/>
        </w:tabs>
        <w:ind w:left="1495" w:hanging="360"/>
      </w:pPr>
      <w:rPr>
        <w:b/>
      </w:rPr>
    </w:lvl>
    <w:lvl w:ilvl="1">
      <w:start w:val="1"/>
      <w:numFmt w:val="decimal"/>
      <w:lvlText w:val="%1.%2."/>
      <w:lvlJc w:val="left"/>
      <w:pPr>
        <w:tabs>
          <w:tab w:val="num" w:pos="0"/>
        </w:tabs>
        <w:ind w:left="1709" w:hanging="432"/>
      </w:pPr>
      <w:rPr>
        <w:dstrike w:val="false"/>
        <w:strike w:val="false"/>
        <w:sz w:val="20"/>
        <w:i w:val="false"/>
        <w:u w:val="none"/>
        <w:b w:val="false"/>
        <w:szCs w:val="20"/>
        <w:color w:val="auto"/>
      </w:rPr>
    </w:lvl>
    <w:lvl w:ilvl="2">
      <w:start w:val="1"/>
      <w:numFmt w:val="decimal"/>
      <w:lvlText w:val="%1.%2.%3"/>
      <w:lvlJc w:val="left"/>
      <w:pPr>
        <w:tabs>
          <w:tab w:val="num" w:pos="0"/>
        </w:tabs>
        <w:ind w:left="3624" w:hanging="504"/>
      </w:pPr>
      <w:rPr>
        <w:dstrike w:val="false"/>
        <w:strike w:val="false"/>
        <w:sz w:val="20"/>
        <w:i w:val="false"/>
        <w:b w:val="false"/>
        <w:szCs w:val="20"/>
        <w:color w:val="000000"/>
      </w:rPr>
    </w:lvl>
    <w:lvl w:ilvl="3">
      <w:start w:val="1"/>
      <w:numFmt w:val="decimal"/>
      <w:lvlText w:val="%1.%2.%3.%4."/>
      <w:lvlJc w:val="left"/>
      <w:pPr>
        <w:tabs>
          <w:tab w:val="num" w:pos="0"/>
        </w:tabs>
        <w:ind w:left="3626" w:hanging="648"/>
      </w:pPr>
      <w:rPr/>
    </w:lvl>
    <w:lvl w:ilvl="4">
      <w:start w:val="1"/>
      <w:numFmt w:val="decimal"/>
      <w:lvlText w:val="%1.%2.%3.%4.%5."/>
      <w:lvlJc w:val="left"/>
      <w:pPr>
        <w:tabs>
          <w:tab w:val="num" w:pos="0"/>
        </w:tabs>
        <w:ind w:left="3367" w:hanging="792"/>
      </w:pPr>
      <w:rPr/>
    </w:lvl>
    <w:lvl w:ilvl="5">
      <w:start w:val="1"/>
      <w:numFmt w:val="decimal"/>
      <w:lvlText w:val="%1.%2.%3.%4.%5.%6."/>
      <w:lvlJc w:val="left"/>
      <w:pPr>
        <w:tabs>
          <w:tab w:val="num" w:pos="0"/>
        </w:tabs>
        <w:ind w:left="3871" w:hanging="936"/>
      </w:pPr>
      <w:rPr/>
    </w:lvl>
    <w:lvl w:ilvl="6">
      <w:start w:val="1"/>
      <w:numFmt w:val="decimal"/>
      <w:lvlText w:val="%1.%2.%3.%4.%5.%6.%7."/>
      <w:lvlJc w:val="left"/>
      <w:pPr>
        <w:tabs>
          <w:tab w:val="num" w:pos="0"/>
        </w:tabs>
        <w:ind w:left="4375" w:hanging="1080"/>
      </w:pPr>
      <w:rPr/>
    </w:lvl>
    <w:lvl w:ilvl="7">
      <w:start w:val="1"/>
      <w:numFmt w:val="decimal"/>
      <w:lvlText w:val="%1.%2.%3.%4.%5.%6.%7.%8."/>
      <w:lvlJc w:val="left"/>
      <w:pPr>
        <w:tabs>
          <w:tab w:val="num" w:pos="0"/>
        </w:tabs>
        <w:ind w:left="4879" w:hanging="1224"/>
      </w:pPr>
      <w:rPr/>
    </w:lvl>
    <w:lvl w:ilvl="8">
      <w:start w:val="1"/>
      <w:numFmt w:val="decimal"/>
      <w:lvlText w:val="%1.%2.%3.%4.%5.%6.%7.%8.%9."/>
      <w:lvlJc w:val="left"/>
      <w:pPr>
        <w:tabs>
          <w:tab w:val="num" w:pos="0"/>
        </w:tabs>
        <w:ind w:left="5455" w:hanging="1440"/>
      </w:pPr>
      <w:rPr/>
    </w:lvl>
  </w:abstractNum>
  <w:abstractNum w:abstractNumId="9">
    <w:lvl w:ilvl="0">
      <w:start w:val="1"/>
      <w:numFmt w:val="decimal"/>
      <w:lvlText w:val="%1."/>
      <w:lvlJc w:val="left"/>
      <w:pPr>
        <w:tabs>
          <w:tab w:val="num" w:pos="0"/>
        </w:tabs>
        <w:ind w:left="1495" w:hanging="360"/>
      </w:pPr>
      <w:rPr>
        <w:b/>
      </w:rPr>
    </w:lvl>
    <w:lvl w:ilvl="1">
      <w:start w:val="1"/>
      <w:numFmt w:val="decimal"/>
      <w:lvlText w:val="%1.%2."/>
      <w:lvlJc w:val="left"/>
      <w:pPr>
        <w:tabs>
          <w:tab w:val="num" w:pos="0"/>
        </w:tabs>
        <w:ind w:left="1709" w:hanging="432"/>
      </w:pPr>
      <w:rPr>
        <w:dstrike w:val="false"/>
        <w:strike w:val="false"/>
        <w:sz w:val="20"/>
        <w:i w:val="false"/>
        <w:u w:val="none"/>
        <w:b w:val="false"/>
        <w:szCs w:val="20"/>
        <w:color w:val="auto"/>
      </w:rPr>
    </w:lvl>
    <w:lvl w:ilvl="2">
      <w:start w:val="1"/>
      <w:numFmt w:val="decimal"/>
      <w:lvlText w:val="%1.%2.%3"/>
      <w:lvlJc w:val="left"/>
      <w:pPr>
        <w:tabs>
          <w:tab w:val="num" w:pos="0"/>
        </w:tabs>
        <w:ind w:left="3624" w:hanging="504"/>
      </w:pPr>
      <w:rPr>
        <w:dstrike w:val="false"/>
        <w:strike w:val="false"/>
        <w:sz w:val="20"/>
        <w:i w:val="false"/>
        <w:b w:val="false"/>
        <w:szCs w:val="20"/>
        <w:color w:val="000000"/>
      </w:rPr>
    </w:lvl>
    <w:lvl w:ilvl="3">
      <w:start w:val="1"/>
      <w:numFmt w:val="decimal"/>
      <w:lvlText w:val="%1.%2.%3.%4."/>
      <w:lvlJc w:val="left"/>
      <w:pPr>
        <w:tabs>
          <w:tab w:val="num" w:pos="0"/>
        </w:tabs>
        <w:ind w:left="3626" w:hanging="648"/>
      </w:pPr>
      <w:rPr/>
    </w:lvl>
    <w:lvl w:ilvl="4">
      <w:start w:val="1"/>
      <w:numFmt w:val="decimal"/>
      <w:lvlText w:val="%1.%2.%3.%4.%5."/>
      <w:lvlJc w:val="left"/>
      <w:pPr>
        <w:tabs>
          <w:tab w:val="num" w:pos="0"/>
        </w:tabs>
        <w:ind w:left="3367" w:hanging="792"/>
      </w:pPr>
      <w:rPr/>
    </w:lvl>
    <w:lvl w:ilvl="5">
      <w:start w:val="1"/>
      <w:numFmt w:val="decimal"/>
      <w:lvlText w:val="%1.%2.%3.%4.%5.%6."/>
      <w:lvlJc w:val="left"/>
      <w:pPr>
        <w:tabs>
          <w:tab w:val="num" w:pos="0"/>
        </w:tabs>
        <w:ind w:left="3871" w:hanging="936"/>
      </w:pPr>
      <w:rPr/>
    </w:lvl>
    <w:lvl w:ilvl="6">
      <w:start w:val="1"/>
      <w:numFmt w:val="decimal"/>
      <w:lvlText w:val="%1.%2.%3.%4.%5.%6.%7."/>
      <w:lvlJc w:val="left"/>
      <w:pPr>
        <w:tabs>
          <w:tab w:val="num" w:pos="0"/>
        </w:tabs>
        <w:ind w:left="4375" w:hanging="1080"/>
      </w:pPr>
      <w:rPr/>
    </w:lvl>
    <w:lvl w:ilvl="7">
      <w:start w:val="1"/>
      <w:numFmt w:val="decimal"/>
      <w:lvlText w:val="%1.%2.%3.%4.%5.%6.%7.%8."/>
      <w:lvlJc w:val="left"/>
      <w:pPr>
        <w:tabs>
          <w:tab w:val="num" w:pos="0"/>
        </w:tabs>
        <w:ind w:left="4879" w:hanging="1224"/>
      </w:pPr>
      <w:rPr/>
    </w:lvl>
    <w:lvl w:ilvl="8">
      <w:start w:val="1"/>
      <w:numFmt w:val="decimal"/>
      <w:lvlText w:val="%1.%2.%3.%4.%5.%6.%7.%8.%9."/>
      <w:lvlJc w:val="left"/>
      <w:pPr>
        <w:tabs>
          <w:tab w:val="num" w:pos="0"/>
        </w:tabs>
        <w:ind w:left="5455" w:hanging="1440"/>
      </w:pPr>
      <w:rPr/>
    </w:lvl>
  </w:abstractNum>
  <w:abstractNum w:abstractNumId="10">
    <w:lvl w:ilvl="0">
      <w:start w:val="1"/>
      <w:numFmt w:val="decimal"/>
      <w:lvlText w:val="%1."/>
      <w:lvlJc w:val="left"/>
      <w:pPr>
        <w:tabs>
          <w:tab w:val="num" w:pos="0"/>
        </w:tabs>
        <w:ind w:left="1495" w:hanging="360"/>
      </w:pPr>
      <w:rPr>
        <w:b/>
      </w:rPr>
    </w:lvl>
    <w:lvl w:ilvl="1">
      <w:start w:val="1"/>
      <w:numFmt w:val="decimal"/>
      <w:lvlText w:val="%1.%2."/>
      <w:lvlJc w:val="left"/>
      <w:pPr>
        <w:tabs>
          <w:tab w:val="num" w:pos="0"/>
        </w:tabs>
        <w:ind w:left="1709" w:hanging="432"/>
      </w:pPr>
      <w:rPr>
        <w:dstrike w:val="false"/>
        <w:strike w:val="false"/>
        <w:sz w:val="20"/>
        <w:i w:val="false"/>
        <w:u w:val="none"/>
        <w:b w:val="false"/>
        <w:szCs w:val="20"/>
        <w:color w:val="auto"/>
      </w:rPr>
    </w:lvl>
    <w:lvl w:ilvl="2">
      <w:start w:val="1"/>
      <w:numFmt w:val="decimal"/>
      <w:lvlText w:val="%1.%2.%3"/>
      <w:lvlJc w:val="left"/>
      <w:pPr>
        <w:tabs>
          <w:tab w:val="num" w:pos="0"/>
        </w:tabs>
        <w:ind w:left="3624" w:hanging="504"/>
      </w:pPr>
      <w:rPr>
        <w:dstrike w:val="false"/>
        <w:strike w:val="false"/>
        <w:sz w:val="20"/>
        <w:i w:val="false"/>
        <w:b w:val="false"/>
        <w:szCs w:val="20"/>
        <w:color w:val="000000"/>
      </w:rPr>
    </w:lvl>
    <w:lvl w:ilvl="3">
      <w:start w:val="1"/>
      <w:numFmt w:val="decimal"/>
      <w:lvlText w:val="%1.%2.%3.%4."/>
      <w:lvlJc w:val="left"/>
      <w:pPr>
        <w:tabs>
          <w:tab w:val="num" w:pos="0"/>
        </w:tabs>
        <w:ind w:left="3626" w:hanging="648"/>
      </w:pPr>
      <w:rPr/>
    </w:lvl>
    <w:lvl w:ilvl="4">
      <w:start w:val="1"/>
      <w:numFmt w:val="decimal"/>
      <w:lvlText w:val="%1.%2.%3.%4.%5."/>
      <w:lvlJc w:val="left"/>
      <w:pPr>
        <w:tabs>
          <w:tab w:val="num" w:pos="0"/>
        </w:tabs>
        <w:ind w:left="3367" w:hanging="792"/>
      </w:pPr>
      <w:rPr/>
    </w:lvl>
    <w:lvl w:ilvl="5">
      <w:start w:val="1"/>
      <w:numFmt w:val="decimal"/>
      <w:lvlText w:val="%1.%2.%3.%4.%5.%6."/>
      <w:lvlJc w:val="left"/>
      <w:pPr>
        <w:tabs>
          <w:tab w:val="num" w:pos="0"/>
        </w:tabs>
        <w:ind w:left="3871" w:hanging="936"/>
      </w:pPr>
      <w:rPr/>
    </w:lvl>
    <w:lvl w:ilvl="6">
      <w:start w:val="1"/>
      <w:numFmt w:val="decimal"/>
      <w:lvlText w:val="%1.%2.%3.%4.%5.%6.%7."/>
      <w:lvlJc w:val="left"/>
      <w:pPr>
        <w:tabs>
          <w:tab w:val="num" w:pos="0"/>
        </w:tabs>
        <w:ind w:left="4375" w:hanging="1080"/>
      </w:pPr>
      <w:rPr/>
    </w:lvl>
    <w:lvl w:ilvl="7">
      <w:start w:val="1"/>
      <w:numFmt w:val="decimal"/>
      <w:lvlText w:val="%1.%2.%3.%4.%5.%6.%7.%8."/>
      <w:lvlJc w:val="left"/>
      <w:pPr>
        <w:tabs>
          <w:tab w:val="num" w:pos="0"/>
        </w:tabs>
        <w:ind w:left="4879" w:hanging="1224"/>
      </w:pPr>
      <w:rPr/>
    </w:lvl>
    <w:lvl w:ilvl="8">
      <w:start w:val="1"/>
      <w:numFmt w:val="decimal"/>
      <w:lvlText w:val="%1.%2.%3.%4.%5.%6.%7.%8.%9."/>
      <w:lvlJc w:val="left"/>
      <w:pPr>
        <w:tabs>
          <w:tab w:val="num" w:pos="0"/>
        </w:tabs>
        <w:ind w:left="5455" w:hanging="1440"/>
      </w:pPr>
      <w:rPr/>
    </w:lvl>
  </w:abstractNum>
  <w:abstractNum w:abstractNumId="11">
    <w:lvl w:ilvl="0">
      <w:start w:val="1"/>
      <w:numFmt w:val="decimal"/>
      <w:lvlText w:val="%1."/>
      <w:lvlJc w:val="left"/>
      <w:pPr>
        <w:tabs>
          <w:tab w:val="num" w:pos="0"/>
        </w:tabs>
        <w:ind w:left="1495" w:hanging="360"/>
      </w:pPr>
      <w:rPr>
        <w:b/>
      </w:rPr>
    </w:lvl>
    <w:lvl w:ilvl="1">
      <w:start w:val="1"/>
      <w:numFmt w:val="decimal"/>
      <w:lvlText w:val="%1.%2."/>
      <w:lvlJc w:val="left"/>
      <w:pPr>
        <w:tabs>
          <w:tab w:val="num" w:pos="0"/>
        </w:tabs>
        <w:ind w:left="1709" w:hanging="432"/>
      </w:pPr>
      <w:rPr>
        <w:dstrike w:val="false"/>
        <w:strike w:val="false"/>
        <w:sz w:val="20"/>
        <w:i w:val="false"/>
        <w:u w:val="none"/>
        <w:b w:val="false"/>
        <w:szCs w:val="20"/>
        <w:color w:val="auto"/>
      </w:rPr>
    </w:lvl>
    <w:lvl w:ilvl="2">
      <w:start w:val="1"/>
      <w:numFmt w:val="decimal"/>
      <w:lvlText w:val="%1.%2.%3"/>
      <w:lvlJc w:val="left"/>
      <w:pPr>
        <w:tabs>
          <w:tab w:val="num" w:pos="0"/>
        </w:tabs>
        <w:ind w:left="3624" w:hanging="504"/>
      </w:pPr>
      <w:rPr>
        <w:dstrike w:val="false"/>
        <w:strike w:val="false"/>
        <w:sz w:val="20"/>
        <w:i w:val="false"/>
        <w:b w:val="false"/>
        <w:szCs w:val="20"/>
        <w:color w:val="000000"/>
      </w:rPr>
    </w:lvl>
    <w:lvl w:ilvl="3">
      <w:start w:val="1"/>
      <w:numFmt w:val="decimal"/>
      <w:lvlText w:val="%1.%2.%3.%4."/>
      <w:lvlJc w:val="left"/>
      <w:pPr>
        <w:tabs>
          <w:tab w:val="num" w:pos="0"/>
        </w:tabs>
        <w:ind w:left="3626" w:hanging="648"/>
      </w:pPr>
      <w:rPr/>
    </w:lvl>
    <w:lvl w:ilvl="4">
      <w:start w:val="1"/>
      <w:numFmt w:val="decimal"/>
      <w:lvlText w:val="%1.%2.%3.%4.%5."/>
      <w:lvlJc w:val="left"/>
      <w:pPr>
        <w:tabs>
          <w:tab w:val="num" w:pos="0"/>
        </w:tabs>
        <w:ind w:left="3367" w:hanging="792"/>
      </w:pPr>
      <w:rPr/>
    </w:lvl>
    <w:lvl w:ilvl="5">
      <w:start w:val="1"/>
      <w:numFmt w:val="decimal"/>
      <w:lvlText w:val="%1.%2.%3.%4.%5.%6."/>
      <w:lvlJc w:val="left"/>
      <w:pPr>
        <w:tabs>
          <w:tab w:val="num" w:pos="0"/>
        </w:tabs>
        <w:ind w:left="3871" w:hanging="936"/>
      </w:pPr>
      <w:rPr/>
    </w:lvl>
    <w:lvl w:ilvl="6">
      <w:start w:val="1"/>
      <w:numFmt w:val="decimal"/>
      <w:lvlText w:val="%1.%2.%3.%4.%5.%6.%7."/>
      <w:lvlJc w:val="left"/>
      <w:pPr>
        <w:tabs>
          <w:tab w:val="num" w:pos="0"/>
        </w:tabs>
        <w:ind w:left="4375" w:hanging="1080"/>
      </w:pPr>
      <w:rPr/>
    </w:lvl>
    <w:lvl w:ilvl="7">
      <w:start w:val="1"/>
      <w:numFmt w:val="decimal"/>
      <w:lvlText w:val="%1.%2.%3.%4.%5.%6.%7.%8."/>
      <w:lvlJc w:val="left"/>
      <w:pPr>
        <w:tabs>
          <w:tab w:val="num" w:pos="0"/>
        </w:tabs>
        <w:ind w:left="4879" w:hanging="1224"/>
      </w:pPr>
      <w:rPr/>
    </w:lvl>
    <w:lvl w:ilvl="8">
      <w:start w:val="1"/>
      <w:numFmt w:val="decimal"/>
      <w:lvlText w:val="%1.%2.%3.%4.%5.%6.%7.%8.%9."/>
      <w:lvlJc w:val="left"/>
      <w:pPr>
        <w:tabs>
          <w:tab w:val="num" w:pos="0"/>
        </w:tabs>
        <w:ind w:left="5455" w:hanging="1440"/>
      </w:pPr>
      <w:rPr/>
    </w:lvl>
  </w:abstractNum>
  <w:abstractNum w:abstractNumId="12">
    <w:lvl w:ilvl="0">
      <w:start w:val="1"/>
      <w:numFmt w:val="decimal"/>
      <w:lvlText w:val="%1."/>
      <w:lvlJc w:val="left"/>
      <w:pPr>
        <w:tabs>
          <w:tab w:val="num" w:pos="0"/>
        </w:tabs>
        <w:ind w:left="1495" w:hanging="360"/>
      </w:pPr>
      <w:rPr>
        <w:b/>
      </w:rPr>
    </w:lvl>
    <w:lvl w:ilvl="1">
      <w:start w:val="1"/>
      <w:numFmt w:val="decimal"/>
      <w:lvlText w:val="%1.%2."/>
      <w:lvlJc w:val="left"/>
      <w:pPr>
        <w:tabs>
          <w:tab w:val="num" w:pos="0"/>
        </w:tabs>
        <w:ind w:left="1709" w:hanging="432"/>
      </w:pPr>
      <w:rPr>
        <w:dstrike w:val="false"/>
        <w:strike w:val="false"/>
        <w:sz w:val="20"/>
        <w:i w:val="false"/>
        <w:u w:val="none"/>
        <w:b w:val="false"/>
        <w:szCs w:val="20"/>
        <w:color w:val="auto"/>
      </w:rPr>
    </w:lvl>
    <w:lvl w:ilvl="2">
      <w:start w:val="1"/>
      <w:numFmt w:val="decimal"/>
      <w:lvlText w:val="%1.%2.%3"/>
      <w:lvlJc w:val="left"/>
      <w:pPr>
        <w:tabs>
          <w:tab w:val="num" w:pos="0"/>
        </w:tabs>
        <w:ind w:left="3624" w:hanging="504"/>
      </w:pPr>
      <w:rPr>
        <w:dstrike w:val="false"/>
        <w:strike w:val="false"/>
        <w:sz w:val="20"/>
        <w:i w:val="false"/>
        <w:b w:val="false"/>
        <w:szCs w:val="20"/>
        <w:color w:val="000000"/>
      </w:rPr>
    </w:lvl>
    <w:lvl w:ilvl="3">
      <w:start w:val="1"/>
      <w:numFmt w:val="decimal"/>
      <w:lvlText w:val="%1.%2.%3.%4."/>
      <w:lvlJc w:val="left"/>
      <w:pPr>
        <w:tabs>
          <w:tab w:val="num" w:pos="0"/>
        </w:tabs>
        <w:ind w:left="3626" w:hanging="648"/>
      </w:pPr>
      <w:rPr/>
    </w:lvl>
    <w:lvl w:ilvl="4">
      <w:start w:val="1"/>
      <w:numFmt w:val="decimal"/>
      <w:lvlText w:val="%1.%2.%3.%4.%5."/>
      <w:lvlJc w:val="left"/>
      <w:pPr>
        <w:tabs>
          <w:tab w:val="num" w:pos="0"/>
        </w:tabs>
        <w:ind w:left="3367" w:hanging="792"/>
      </w:pPr>
      <w:rPr/>
    </w:lvl>
    <w:lvl w:ilvl="5">
      <w:start w:val="1"/>
      <w:numFmt w:val="decimal"/>
      <w:lvlText w:val="%1.%2.%3.%4.%5.%6."/>
      <w:lvlJc w:val="left"/>
      <w:pPr>
        <w:tabs>
          <w:tab w:val="num" w:pos="0"/>
        </w:tabs>
        <w:ind w:left="3871" w:hanging="936"/>
      </w:pPr>
      <w:rPr/>
    </w:lvl>
    <w:lvl w:ilvl="6">
      <w:start w:val="1"/>
      <w:numFmt w:val="decimal"/>
      <w:lvlText w:val="%1.%2.%3.%4.%5.%6.%7."/>
      <w:lvlJc w:val="left"/>
      <w:pPr>
        <w:tabs>
          <w:tab w:val="num" w:pos="0"/>
        </w:tabs>
        <w:ind w:left="4375" w:hanging="1080"/>
      </w:pPr>
      <w:rPr/>
    </w:lvl>
    <w:lvl w:ilvl="7">
      <w:start w:val="1"/>
      <w:numFmt w:val="decimal"/>
      <w:lvlText w:val="%1.%2.%3.%4.%5.%6.%7.%8."/>
      <w:lvlJc w:val="left"/>
      <w:pPr>
        <w:tabs>
          <w:tab w:val="num" w:pos="0"/>
        </w:tabs>
        <w:ind w:left="4879" w:hanging="1224"/>
      </w:pPr>
      <w:rPr/>
    </w:lvl>
    <w:lvl w:ilvl="8">
      <w:start w:val="1"/>
      <w:numFmt w:val="decimal"/>
      <w:lvlText w:val="%1.%2.%3.%4.%5.%6.%7.%8.%9."/>
      <w:lvlJc w:val="left"/>
      <w:pPr>
        <w:tabs>
          <w:tab w:val="num" w:pos="0"/>
        </w:tabs>
        <w:ind w:left="5455" w:hanging="1440"/>
      </w:pPr>
      <w:rPr/>
    </w:lvl>
  </w:abstractNum>
  <w:abstractNum w:abstractNumId="13">
    <w:lvl w:ilvl="0">
      <w:start w:val="1"/>
      <w:numFmt w:val="decimal"/>
      <w:lvlText w:val="%1."/>
      <w:lvlJc w:val="left"/>
      <w:pPr>
        <w:tabs>
          <w:tab w:val="num" w:pos="0"/>
        </w:tabs>
        <w:ind w:left="1495" w:hanging="360"/>
      </w:pPr>
      <w:rPr>
        <w:b/>
      </w:rPr>
    </w:lvl>
    <w:lvl w:ilvl="1">
      <w:start w:val="1"/>
      <w:numFmt w:val="decimal"/>
      <w:lvlText w:val="%1.%2."/>
      <w:lvlJc w:val="left"/>
      <w:pPr>
        <w:tabs>
          <w:tab w:val="num" w:pos="0"/>
        </w:tabs>
        <w:ind w:left="1709" w:hanging="432"/>
      </w:pPr>
      <w:rPr>
        <w:dstrike w:val="false"/>
        <w:strike w:val="false"/>
        <w:sz w:val="20"/>
        <w:i w:val="false"/>
        <w:u w:val="none"/>
        <w:b w:val="false"/>
        <w:szCs w:val="20"/>
        <w:color w:val="auto"/>
      </w:rPr>
    </w:lvl>
    <w:lvl w:ilvl="2">
      <w:start w:val="1"/>
      <w:numFmt w:val="decimal"/>
      <w:lvlText w:val="%1.%2.%3"/>
      <w:lvlJc w:val="left"/>
      <w:pPr>
        <w:tabs>
          <w:tab w:val="num" w:pos="0"/>
        </w:tabs>
        <w:ind w:left="3624" w:hanging="504"/>
      </w:pPr>
      <w:rPr>
        <w:dstrike w:val="false"/>
        <w:strike w:val="false"/>
        <w:sz w:val="20"/>
        <w:i w:val="false"/>
        <w:b w:val="false"/>
        <w:szCs w:val="20"/>
        <w:color w:val="000000"/>
      </w:rPr>
    </w:lvl>
    <w:lvl w:ilvl="3">
      <w:start w:val="1"/>
      <w:numFmt w:val="decimal"/>
      <w:lvlText w:val="%1.%2.%3.%4."/>
      <w:lvlJc w:val="left"/>
      <w:pPr>
        <w:tabs>
          <w:tab w:val="num" w:pos="0"/>
        </w:tabs>
        <w:ind w:left="3626" w:hanging="648"/>
      </w:pPr>
      <w:rPr/>
    </w:lvl>
    <w:lvl w:ilvl="4">
      <w:start w:val="1"/>
      <w:numFmt w:val="decimal"/>
      <w:lvlText w:val="%1.%2.%3.%4.%5."/>
      <w:lvlJc w:val="left"/>
      <w:pPr>
        <w:tabs>
          <w:tab w:val="num" w:pos="0"/>
        </w:tabs>
        <w:ind w:left="3367" w:hanging="792"/>
      </w:pPr>
      <w:rPr/>
    </w:lvl>
    <w:lvl w:ilvl="5">
      <w:start w:val="1"/>
      <w:numFmt w:val="decimal"/>
      <w:lvlText w:val="%1.%2.%3.%4.%5.%6."/>
      <w:lvlJc w:val="left"/>
      <w:pPr>
        <w:tabs>
          <w:tab w:val="num" w:pos="0"/>
        </w:tabs>
        <w:ind w:left="3871" w:hanging="936"/>
      </w:pPr>
      <w:rPr/>
    </w:lvl>
    <w:lvl w:ilvl="6">
      <w:start w:val="1"/>
      <w:numFmt w:val="decimal"/>
      <w:lvlText w:val="%1.%2.%3.%4.%5.%6.%7."/>
      <w:lvlJc w:val="left"/>
      <w:pPr>
        <w:tabs>
          <w:tab w:val="num" w:pos="0"/>
        </w:tabs>
        <w:ind w:left="4375" w:hanging="1080"/>
      </w:pPr>
      <w:rPr/>
    </w:lvl>
    <w:lvl w:ilvl="7">
      <w:start w:val="1"/>
      <w:numFmt w:val="decimal"/>
      <w:lvlText w:val="%1.%2.%3.%4.%5.%6.%7.%8."/>
      <w:lvlJc w:val="left"/>
      <w:pPr>
        <w:tabs>
          <w:tab w:val="num" w:pos="0"/>
        </w:tabs>
        <w:ind w:left="4879" w:hanging="1224"/>
      </w:pPr>
      <w:rPr/>
    </w:lvl>
    <w:lvl w:ilvl="8">
      <w:start w:val="1"/>
      <w:numFmt w:val="decimal"/>
      <w:lvlText w:val="%1.%2.%3.%4.%5.%6.%7.%8.%9."/>
      <w:lvlJc w:val="left"/>
      <w:pPr>
        <w:tabs>
          <w:tab w:val="num" w:pos="0"/>
        </w:tabs>
        <w:ind w:left="5455" w:hanging="1440"/>
      </w:pPr>
      <w:rPr/>
    </w:lvl>
  </w:abstractNum>
  <w:abstractNum w:abstractNumId="14">
    <w:lvl w:ilvl="0">
      <w:start w:val="1"/>
      <w:numFmt w:val="decimal"/>
      <w:lvlText w:val="%1."/>
      <w:lvlJc w:val="left"/>
      <w:pPr>
        <w:tabs>
          <w:tab w:val="num" w:pos="0"/>
        </w:tabs>
        <w:ind w:left="1495" w:hanging="360"/>
      </w:pPr>
      <w:rPr>
        <w:b/>
      </w:rPr>
    </w:lvl>
    <w:lvl w:ilvl="1">
      <w:start w:val="1"/>
      <w:numFmt w:val="decimal"/>
      <w:lvlText w:val="%1.%2."/>
      <w:lvlJc w:val="left"/>
      <w:pPr>
        <w:tabs>
          <w:tab w:val="num" w:pos="0"/>
        </w:tabs>
        <w:ind w:left="1709" w:hanging="432"/>
      </w:pPr>
      <w:rPr>
        <w:dstrike w:val="false"/>
        <w:strike w:val="false"/>
        <w:sz w:val="20"/>
        <w:i w:val="false"/>
        <w:u w:val="none"/>
        <w:b w:val="false"/>
        <w:szCs w:val="20"/>
        <w:color w:val="auto"/>
      </w:rPr>
    </w:lvl>
    <w:lvl w:ilvl="2">
      <w:start w:val="1"/>
      <w:numFmt w:val="decimal"/>
      <w:lvlText w:val="%1.%2.%3"/>
      <w:lvlJc w:val="left"/>
      <w:pPr>
        <w:tabs>
          <w:tab w:val="num" w:pos="0"/>
        </w:tabs>
        <w:ind w:left="3624" w:hanging="504"/>
      </w:pPr>
      <w:rPr>
        <w:dstrike w:val="false"/>
        <w:strike w:val="false"/>
        <w:sz w:val="20"/>
        <w:i w:val="false"/>
        <w:b w:val="false"/>
        <w:szCs w:val="20"/>
        <w:color w:val="000000"/>
      </w:rPr>
    </w:lvl>
    <w:lvl w:ilvl="3">
      <w:start w:val="1"/>
      <w:numFmt w:val="decimal"/>
      <w:lvlText w:val="%1.%2.%3.%4."/>
      <w:lvlJc w:val="left"/>
      <w:pPr>
        <w:tabs>
          <w:tab w:val="num" w:pos="0"/>
        </w:tabs>
        <w:ind w:left="3626" w:hanging="648"/>
      </w:pPr>
      <w:rPr/>
    </w:lvl>
    <w:lvl w:ilvl="4">
      <w:start w:val="1"/>
      <w:numFmt w:val="decimal"/>
      <w:lvlText w:val="%1.%2.%3.%4.%5."/>
      <w:lvlJc w:val="left"/>
      <w:pPr>
        <w:tabs>
          <w:tab w:val="num" w:pos="0"/>
        </w:tabs>
        <w:ind w:left="3367" w:hanging="792"/>
      </w:pPr>
      <w:rPr/>
    </w:lvl>
    <w:lvl w:ilvl="5">
      <w:start w:val="1"/>
      <w:numFmt w:val="decimal"/>
      <w:lvlText w:val="%1.%2.%3.%4.%5.%6."/>
      <w:lvlJc w:val="left"/>
      <w:pPr>
        <w:tabs>
          <w:tab w:val="num" w:pos="0"/>
        </w:tabs>
        <w:ind w:left="3871" w:hanging="936"/>
      </w:pPr>
      <w:rPr/>
    </w:lvl>
    <w:lvl w:ilvl="6">
      <w:start w:val="1"/>
      <w:numFmt w:val="decimal"/>
      <w:lvlText w:val="%1.%2.%3.%4.%5.%6.%7."/>
      <w:lvlJc w:val="left"/>
      <w:pPr>
        <w:tabs>
          <w:tab w:val="num" w:pos="0"/>
        </w:tabs>
        <w:ind w:left="4375" w:hanging="1080"/>
      </w:pPr>
      <w:rPr/>
    </w:lvl>
    <w:lvl w:ilvl="7">
      <w:start w:val="1"/>
      <w:numFmt w:val="decimal"/>
      <w:lvlText w:val="%1.%2.%3.%4.%5.%6.%7.%8."/>
      <w:lvlJc w:val="left"/>
      <w:pPr>
        <w:tabs>
          <w:tab w:val="num" w:pos="0"/>
        </w:tabs>
        <w:ind w:left="4879" w:hanging="1224"/>
      </w:pPr>
      <w:rPr/>
    </w:lvl>
    <w:lvl w:ilvl="8">
      <w:start w:val="1"/>
      <w:numFmt w:val="decimal"/>
      <w:lvlText w:val="%1.%2.%3.%4.%5.%6.%7.%8.%9."/>
      <w:lvlJc w:val="left"/>
      <w:pPr>
        <w:tabs>
          <w:tab w:val="num" w:pos="0"/>
        </w:tabs>
        <w:ind w:left="5455" w:hanging="1440"/>
      </w:pPr>
      <w:rPr/>
    </w:lvl>
  </w:abstractNum>
  <w:abstractNum w:abstractNumId="15">
    <w:lvl w:ilvl="0">
      <w:start w:val="1"/>
      <w:numFmt w:val="decimal"/>
      <w:lvlText w:val="%1."/>
      <w:lvlJc w:val="left"/>
      <w:pPr>
        <w:tabs>
          <w:tab w:val="num" w:pos="0"/>
        </w:tabs>
        <w:ind w:left="1495" w:hanging="360"/>
      </w:pPr>
      <w:rPr>
        <w:b/>
      </w:rPr>
    </w:lvl>
    <w:lvl w:ilvl="1">
      <w:start w:val="1"/>
      <w:numFmt w:val="decimal"/>
      <w:lvlText w:val="%1.%2."/>
      <w:lvlJc w:val="left"/>
      <w:pPr>
        <w:tabs>
          <w:tab w:val="num" w:pos="0"/>
        </w:tabs>
        <w:ind w:left="1709" w:hanging="432"/>
      </w:pPr>
      <w:rPr>
        <w:dstrike w:val="false"/>
        <w:strike w:val="false"/>
        <w:sz w:val="20"/>
        <w:i w:val="false"/>
        <w:u w:val="none"/>
        <w:b w:val="false"/>
        <w:szCs w:val="20"/>
        <w:color w:val="auto"/>
      </w:rPr>
    </w:lvl>
    <w:lvl w:ilvl="2">
      <w:start w:val="1"/>
      <w:numFmt w:val="decimal"/>
      <w:lvlText w:val="%1.%2.%3"/>
      <w:lvlJc w:val="left"/>
      <w:pPr>
        <w:tabs>
          <w:tab w:val="num" w:pos="0"/>
        </w:tabs>
        <w:ind w:left="3624" w:hanging="504"/>
      </w:pPr>
      <w:rPr>
        <w:dstrike w:val="false"/>
        <w:strike w:val="false"/>
        <w:sz w:val="20"/>
        <w:i w:val="false"/>
        <w:b w:val="false"/>
        <w:szCs w:val="20"/>
        <w:color w:val="000000"/>
      </w:rPr>
    </w:lvl>
    <w:lvl w:ilvl="3">
      <w:start w:val="1"/>
      <w:numFmt w:val="decimal"/>
      <w:lvlText w:val="%1.%2.%3.%4."/>
      <w:lvlJc w:val="left"/>
      <w:pPr>
        <w:tabs>
          <w:tab w:val="num" w:pos="0"/>
        </w:tabs>
        <w:ind w:left="3626" w:hanging="648"/>
      </w:pPr>
      <w:rPr/>
    </w:lvl>
    <w:lvl w:ilvl="4">
      <w:start w:val="1"/>
      <w:numFmt w:val="decimal"/>
      <w:lvlText w:val="%1.%2.%3.%4.%5."/>
      <w:lvlJc w:val="left"/>
      <w:pPr>
        <w:tabs>
          <w:tab w:val="num" w:pos="0"/>
        </w:tabs>
        <w:ind w:left="3367" w:hanging="792"/>
      </w:pPr>
      <w:rPr/>
    </w:lvl>
    <w:lvl w:ilvl="5">
      <w:start w:val="1"/>
      <w:numFmt w:val="decimal"/>
      <w:lvlText w:val="%1.%2.%3.%4.%5.%6."/>
      <w:lvlJc w:val="left"/>
      <w:pPr>
        <w:tabs>
          <w:tab w:val="num" w:pos="0"/>
        </w:tabs>
        <w:ind w:left="3871" w:hanging="936"/>
      </w:pPr>
      <w:rPr/>
    </w:lvl>
    <w:lvl w:ilvl="6">
      <w:start w:val="1"/>
      <w:numFmt w:val="decimal"/>
      <w:lvlText w:val="%1.%2.%3.%4.%5.%6.%7."/>
      <w:lvlJc w:val="left"/>
      <w:pPr>
        <w:tabs>
          <w:tab w:val="num" w:pos="0"/>
        </w:tabs>
        <w:ind w:left="4375" w:hanging="1080"/>
      </w:pPr>
      <w:rPr/>
    </w:lvl>
    <w:lvl w:ilvl="7">
      <w:start w:val="1"/>
      <w:numFmt w:val="decimal"/>
      <w:lvlText w:val="%1.%2.%3.%4.%5.%6.%7.%8."/>
      <w:lvlJc w:val="left"/>
      <w:pPr>
        <w:tabs>
          <w:tab w:val="num" w:pos="0"/>
        </w:tabs>
        <w:ind w:left="4879" w:hanging="1224"/>
      </w:pPr>
      <w:rPr/>
    </w:lvl>
    <w:lvl w:ilvl="8">
      <w:start w:val="1"/>
      <w:numFmt w:val="decimal"/>
      <w:lvlText w:val="%1.%2.%3.%4.%5.%6.%7.%8.%9."/>
      <w:lvlJc w:val="left"/>
      <w:pPr>
        <w:tabs>
          <w:tab w:val="num" w:pos="0"/>
        </w:tabs>
        <w:ind w:left="5455" w:hanging="1440"/>
      </w:pPr>
      <w:rPr/>
    </w:lvl>
  </w:abstractNum>
  <w:abstractNum w:abstractNumId="16">
    <w:lvl w:ilvl="0">
      <w:start w:val="1"/>
      <w:numFmt w:val="decimal"/>
      <w:lvlText w:val="%1."/>
      <w:lvlJc w:val="left"/>
      <w:pPr>
        <w:tabs>
          <w:tab w:val="num" w:pos="0"/>
        </w:tabs>
        <w:ind w:left="1495" w:hanging="360"/>
      </w:pPr>
      <w:rPr>
        <w:b/>
      </w:rPr>
    </w:lvl>
    <w:lvl w:ilvl="1">
      <w:start w:val="1"/>
      <w:numFmt w:val="decimal"/>
      <w:lvlText w:val="%1.%2."/>
      <w:lvlJc w:val="left"/>
      <w:pPr>
        <w:tabs>
          <w:tab w:val="num" w:pos="0"/>
        </w:tabs>
        <w:ind w:left="1709" w:hanging="432"/>
      </w:pPr>
      <w:rPr>
        <w:dstrike w:val="false"/>
        <w:strike w:val="false"/>
        <w:sz w:val="20"/>
        <w:i w:val="false"/>
        <w:u w:val="none"/>
        <w:b w:val="false"/>
        <w:szCs w:val="20"/>
        <w:color w:val="auto"/>
      </w:rPr>
    </w:lvl>
    <w:lvl w:ilvl="2">
      <w:start w:val="1"/>
      <w:numFmt w:val="decimal"/>
      <w:lvlText w:val="%1.%2.%3"/>
      <w:lvlJc w:val="left"/>
      <w:pPr>
        <w:tabs>
          <w:tab w:val="num" w:pos="0"/>
        </w:tabs>
        <w:ind w:left="3624" w:hanging="504"/>
      </w:pPr>
      <w:rPr>
        <w:dstrike w:val="false"/>
        <w:strike w:val="false"/>
        <w:sz w:val="20"/>
        <w:i w:val="false"/>
        <w:b w:val="false"/>
        <w:szCs w:val="20"/>
        <w:color w:val="000000"/>
      </w:rPr>
    </w:lvl>
    <w:lvl w:ilvl="3">
      <w:start w:val="1"/>
      <w:numFmt w:val="decimal"/>
      <w:lvlText w:val="%1.%2.%3.%4."/>
      <w:lvlJc w:val="left"/>
      <w:pPr>
        <w:tabs>
          <w:tab w:val="num" w:pos="0"/>
        </w:tabs>
        <w:ind w:left="3626" w:hanging="648"/>
      </w:pPr>
      <w:rPr/>
    </w:lvl>
    <w:lvl w:ilvl="4">
      <w:start w:val="1"/>
      <w:numFmt w:val="decimal"/>
      <w:lvlText w:val="%1.%2.%3.%4.%5."/>
      <w:lvlJc w:val="left"/>
      <w:pPr>
        <w:tabs>
          <w:tab w:val="num" w:pos="0"/>
        </w:tabs>
        <w:ind w:left="3367" w:hanging="792"/>
      </w:pPr>
      <w:rPr/>
    </w:lvl>
    <w:lvl w:ilvl="5">
      <w:start w:val="1"/>
      <w:numFmt w:val="decimal"/>
      <w:lvlText w:val="%1.%2.%3.%4.%5.%6."/>
      <w:lvlJc w:val="left"/>
      <w:pPr>
        <w:tabs>
          <w:tab w:val="num" w:pos="0"/>
        </w:tabs>
        <w:ind w:left="3871" w:hanging="936"/>
      </w:pPr>
      <w:rPr/>
    </w:lvl>
    <w:lvl w:ilvl="6">
      <w:start w:val="1"/>
      <w:numFmt w:val="decimal"/>
      <w:lvlText w:val="%1.%2.%3.%4.%5.%6.%7."/>
      <w:lvlJc w:val="left"/>
      <w:pPr>
        <w:tabs>
          <w:tab w:val="num" w:pos="0"/>
        </w:tabs>
        <w:ind w:left="4375" w:hanging="1080"/>
      </w:pPr>
      <w:rPr/>
    </w:lvl>
    <w:lvl w:ilvl="7">
      <w:start w:val="1"/>
      <w:numFmt w:val="decimal"/>
      <w:lvlText w:val="%1.%2.%3.%4.%5.%6.%7.%8."/>
      <w:lvlJc w:val="left"/>
      <w:pPr>
        <w:tabs>
          <w:tab w:val="num" w:pos="0"/>
        </w:tabs>
        <w:ind w:left="4879" w:hanging="1224"/>
      </w:pPr>
      <w:rPr/>
    </w:lvl>
    <w:lvl w:ilvl="8">
      <w:start w:val="1"/>
      <w:numFmt w:val="decimal"/>
      <w:lvlText w:val="%1.%2.%3.%4.%5.%6.%7.%8.%9."/>
      <w:lvlJc w:val="left"/>
      <w:pPr>
        <w:tabs>
          <w:tab w:val="num" w:pos="0"/>
        </w:tabs>
        <w:ind w:left="5455" w:hanging="1440"/>
      </w:pPr>
      <w:rPr/>
    </w:lvl>
  </w:abstractNum>
  <w:abstractNum w:abstractNumId="17">
    <w:lvl w:ilvl="0">
      <w:start w:val="1"/>
      <w:numFmt w:val="decimal"/>
      <w:lvlText w:val="%1."/>
      <w:lvlJc w:val="left"/>
      <w:pPr>
        <w:tabs>
          <w:tab w:val="num" w:pos="0"/>
        </w:tabs>
        <w:ind w:left="1495" w:hanging="360"/>
      </w:pPr>
      <w:rPr>
        <w:b/>
      </w:rPr>
    </w:lvl>
    <w:lvl w:ilvl="1">
      <w:start w:val="1"/>
      <w:numFmt w:val="decimal"/>
      <w:lvlText w:val="%1.%2."/>
      <w:lvlJc w:val="left"/>
      <w:pPr>
        <w:tabs>
          <w:tab w:val="num" w:pos="0"/>
        </w:tabs>
        <w:ind w:left="1709" w:hanging="432"/>
      </w:pPr>
      <w:rPr>
        <w:dstrike w:val="false"/>
        <w:strike w:val="false"/>
        <w:sz w:val="20"/>
        <w:i w:val="false"/>
        <w:u w:val="none"/>
        <w:b w:val="false"/>
        <w:szCs w:val="20"/>
        <w:color w:val="auto"/>
      </w:rPr>
    </w:lvl>
    <w:lvl w:ilvl="2">
      <w:start w:val="1"/>
      <w:numFmt w:val="decimal"/>
      <w:lvlText w:val="%1.%2.%3"/>
      <w:lvlJc w:val="left"/>
      <w:pPr>
        <w:tabs>
          <w:tab w:val="num" w:pos="0"/>
        </w:tabs>
        <w:ind w:left="3624" w:hanging="504"/>
      </w:pPr>
      <w:rPr>
        <w:dstrike w:val="false"/>
        <w:strike w:val="false"/>
        <w:sz w:val="20"/>
        <w:i w:val="false"/>
        <w:b w:val="false"/>
        <w:szCs w:val="20"/>
        <w:color w:val="000000"/>
      </w:rPr>
    </w:lvl>
    <w:lvl w:ilvl="3">
      <w:start w:val="1"/>
      <w:numFmt w:val="decimal"/>
      <w:lvlText w:val="%1.%2.%3.%4."/>
      <w:lvlJc w:val="left"/>
      <w:pPr>
        <w:tabs>
          <w:tab w:val="num" w:pos="0"/>
        </w:tabs>
        <w:ind w:left="3626" w:hanging="648"/>
      </w:pPr>
      <w:rPr/>
    </w:lvl>
    <w:lvl w:ilvl="4">
      <w:start w:val="1"/>
      <w:numFmt w:val="decimal"/>
      <w:lvlText w:val="%1.%2.%3.%4.%5."/>
      <w:lvlJc w:val="left"/>
      <w:pPr>
        <w:tabs>
          <w:tab w:val="num" w:pos="0"/>
        </w:tabs>
        <w:ind w:left="3367" w:hanging="792"/>
      </w:pPr>
      <w:rPr/>
    </w:lvl>
    <w:lvl w:ilvl="5">
      <w:start w:val="1"/>
      <w:numFmt w:val="decimal"/>
      <w:lvlText w:val="%1.%2.%3.%4.%5.%6."/>
      <w:lvlJc w:val="left"/>
      <w:pPr>
        <w:tabs>
          <w:tab w:val="num" w:pos="0"/>
        </w:tabs>
        <w:ind w:left="3871" w:hanging="936"/>
      </w:pPr>
      <w:rPr/>
    </w:lvl>
    <w:lvl w:ilvl="6">
      <w:start w:val="1"/>
      <w:numFmt w:val="decimal"/>
      <w:lvlText w:val="%1.%2.%3.%4.%5.%6.%7."/>
      <w:lvlJc w:val="left"/>
      <w:pPr>
        <w:tabs>
          <w:tab w:val="num" w:pos="0"/>
        </w:tabs>
        <w:ind w:left="4375" w:hanging="1080"/>
      </w:pPr>
      <w:rPr/>
    </w:lvl>
    <w:lvl w:ilvl="7">
      <w:start w:val="1"/>
      <w:numFmt w:val="decimal"/>
      <w:lvlText w:val="%1.%2.%3.%4.%5.%6.%7.%8."/>
      <w:lvlJc w:val="left"/>
      <w:pPr>
        <w:tabs>
          <w:tab w:val="num" w:pos="0"/>
        </w:tabs>
        <w:ind w:left="4879" w:hanging="1224"/>
      </w:pPr>
      <w:rPr/>
    </w:lvl>
    <w:lvl w:ilvl="8">
      <w:start w:val="1"/>
      <w:numFmt w:val="decimal"/>
      <w:lvlText w:val="%1.%2.%3.%4.%5.%6.%7.%8.%9."/>
      <w:lvlJc w:val="left"/>
      <w:pPr>
        <w:tabs>
          <w:tab w:val="num" w:pos="0"/>
        </w:tabs>
        <w:ind w:left="5455" w:hanging="1440"/>
      </w:pPr>
      <w:rPr/>
    </w:lvl>
  </w:abstractNum>
  <w:abstractNum w:abstractNumId="18">
    <w:lvl w:ilvl="0">
      <w:start w:val="1"/>
      <w:numFmt w:val="decimal"/>
      <w:lvlText w:val="%1."/>
      <w:lvlJc w:val="left"/>
      <w:pPr>
        <w:tabs>
          <w:tab w:val="num" w:pos="0"/>
        </w:tabs>
        <w:ind w:left="1495" w:hanging="360"/>
      </w:pPr>
      <w:rPr>
        <w:b/>
      </w:rPr>
    </w:lvl>
    <w:lvl w:ilvl="1">
      <w:start w:val="1"/>
      <w:numFmt w:val="decimal"/>
      <w:lvlText w:val="%1.%2."/>
      <w:lvlJc w:val="left"/>
      <w:pPr>
        <w:tabs>
          <w:tab w:val="num" w:pos="0"/>
        </w:tabs>
        <w:ind w:left="1709" w:hanging="432"/>
      </w:pPr>
      <w:rPr>
        <w:dstrike w:val="false"/>
        <w:strike w:val="false"/>
        <w:sz w:val="20"/>
        <w:i w:val="false"/>
        <w:u w:val="none"/>
        <w:b w:val="false"/>
        <w:szCs w:val="20"/>
        <w:color w:val="auto"/>
      </w:rPr>
    </w:lvl>
    <w:lvl w:ilvl="2">
      <w:start w:val="1"/>
      <w:numFmt w:val="decimal"/>
      <w:lvlText w:val="%1.%2.%3"/>
      <w:lvlJc w:val="left"/>
      <w:pPr>
        <w:tabs>
          <w:tab w:val="num" w:pos="0"/>
        </w:tabs>
        <w:ind w:left="3624" w:hanging="504"/>
      </w:pPr>
      <w:rPr>
        <w:dstrike w:val="false"/>
        <w:strike w:val="false"/>
        <w:sz w:val="20"/>
        <w:i w:val="false"/>
        <w:b w:val="false"/>
        <w:szCs w:val="20"/>
        <w:color w:val="000000"/>
      </w:rPr>
    </w:lvl>
    <w:lvl w:ilvl="3">
      <w:start w:val="1"/>
      <w:numFmt w:val="decimal"/>
      <w:lvlText w:val="%1.%2.%3.%4."/>
      <w:lvlJc w:val="left"/>
      <w:pPr>
        <w:tabs>
          <w:tab w:val="num" w:pos="0"/>
        </w:tabs>
        <w:ind w:left="3626" w:hanging="648"/>
      </w:pPr>
      <w:rPr/>
    </w:lvl>
    <w:lvl w:ilvl="4">
      <w:start w:val="1"/>
      <w:numFmt w:val="decimal"/>
      <w:lvlText w:val="%1.%2.%3.%4.%5."/>
      <w:lvlJc w:val="left"/>
      <w:pPr>
        <w:tabs>
          <w:tab w:val="num" w:pos="0"/>
        </w:tabs>
        <w:ind w:left="3367" w:hanging="792"/>
      </w:pPr>
      <w:rPr/>
    </w:lvl>
    <w:lvl w:ilvl="5">
      <w:start w:val="1"/>
      <w:numFmt w:val="decimal"/>
      <w:lvlText w:val="%1.%2.%3.%4.%5.%6."/>
      <w:lvlJc w:val="left"/>
      <w:pPr>
        <w:tabs>
          <w:tab w:val="num" w:pos="0"/>
        </w:tabs>
        <w:ind w:left="3871" w:hanging="936"/>
      </w:pPr>
      <w:rPr/>
    </w:lvl>
    <w:lvl w:ilvl="6">
      <w:start w:val="1"/>
      <w:numFmt w:val="decimal"/>
      <w:lvlText w:val="%1.%2.%3.%4.%5.%6.%7."/>
      <w:lvlJc w:val="left"/>
      <w:pPr>
        <w:tabs>
          <w:tab w:val="num" w:pos="0"/>
        </w:tabs>
        <w:ind w:left="4375" w:hanging="1080"/>
      </w:pPr>
      <w:rPr/>
    </w:lvl>
    <w:lvl w:ilvl="7">
      <w:start w:val="1"/>
      <w:numFmt w:val="decimal"/>
      <w:lvlText w:val="%1.%2.%3.%4.%5.%6.%7.%8."/>
      <w:lvlJc w:val="left"/>
      <w:pPr>
        <w:tabs>
          <w:tab w:val="num" w:pos="0"/>
        </w:tabs>
        <w:ind w:left="4879" w:hanging="1224"/>
      </w:pPr>
      <w:rPr/>
    </w:lvl>
    <w:lvl w:ilvl="8">
      <w:start w:val="1"/>
      <w:numFmt w:val="decimal"/>
      <w:lvlText w:val="%1.%2.%3.%4.%5.%6.%7.%8.%9."/>
      <w:lvlJc w:val="left"/>
      <w:pPr>
        <w:tabs>
          <w:tab w:val="num" w:pos="0"/>
        </w:tabs>
        <w:ind w:left="5455" w:hanging="1440"/>
      </w:pPr>
      <w:rPr/>
    </w:lvl>
  </w:abstractNum>
  <w:abstractNum w:abstractNumId="19">
    <w:lvl w:ilvl="0">
      <w:start w:val="1"/>
      <w:numFmt w:val="decimal"/>
      <w:lvlText w:val="%1."/>
      <w:lvlJc w:val="left"/>
      <w:pPr>
        <w:tabs>
          <w:tab w:val="num" w:pos="0"/>
        </w:tabs>
        <w:ind w:left="1495" w:hanging="360"/>
      </w:pPr>
      <w:rPr>
        <w:b/>
      </w:rPr>
    </w:lvl>
    <w:lvl w:ilvl="1">
      <w:start w:val="1"/>
      <w:numFmt w:val="decimal"/>
      <w:lvlText w:val="%1.%2."/>
      <w:lvlJc w:val="left"/>
      <w:pPr>
        <w:tabs>
          <w:tab w:val="num" w:pos="0"/>
        </w:tabs>
        <w:ind w:left="1709" w:hanging="432"/>
      </w:pPr>
      <w:rPr>
        <w:dstrike w:val="false"/>
        <w:strike w:val="false"/>
        <w:sz w:val="20"/>
        <w:i w:val="false"/>
        <w:u w:val="none"/>
        <w:b w:val="false"/>
        <w:szCs w:val="20"/>
        <w:color w:val="auto"/>
      </w:rPr>
    </w:lvl>
    <w:lvl w:ilvl="2">
      <w:start w:val="1"/>
      <w:numFmt w:val="decimal"/>
      <w:lvlText w:val="%1.%2.%3"/>
      <w:lvlJc w:val="left"/>
      <w:pPr>
        <w:tabs>
          <w:tab w:val="num" w:pos="0"/>
        </w:tabs>
        <w:ind w:left="3624" w:hanging="504"/>
      </w:pPr>
      <w:rPr>
        <w:dstrike w:val="false"/>
        <w:strike w:val="false"/>
        <w:sz w:val="20"/>
        <w:i w:val="false"/>
        <w:b w:val="false"/>
        <w:szCs w:val="20"/>
        <w:color w:val="000000"/>
      </w:rPr>
    </w:lvl>
    <w:lvl w:ilvl="3">
      <w:start w:val="1"/>
      <w:numFmt w:val="decimal"/>
      <w:lvlText w:val="%1.%2.%3.%4."/>
      <w:lvlJc w:val="left"/>
      <w:pPr>
        <w:tabs>
          <w:tab w:val="num" w:pos="0"/>
        </w:tabs>
        <w:ind w:left="3626" w:hanging="648"/>
      </w:pPr>
      <w:rPr/>
    </w:lvl>
    <w:lvl w:ilvl="4">
      <w:start w:val="1"/>
      <w:numFmt w:val="decimal"/>
      <w:lvlText w:val="%1.%2.%3.%4.%5."/>
      <w:lvlJc w:val="left"/>
      <w:pPr>
        <w:tabs>
          <w:tab w:val="num" w:pos="0"/>
        </w:tabs>
        <w:ind w:left="3367" w:hanging="792"/>
      </w:pPr>
      <w:rPr/>
    </w:lvl>
    <w:lvl w:ilvl="5">
      <w:start w:val="1"/>
      <w:numFmt w:val="decimal"/>
      <w:lvlText w:val="%1.%2.%3.%4.%5.%6."/>
      <w:lvlJc w:val="left"/>
      <w:pPr>
        <w:tabs>
          <w:tab w:val="num" w:pos="0"/>
        </w:tabs>
        <w:ind w:left="3871" w:hanging="936"/>
      </w:pPr>
      <w:rPr/>
    </w:lvl>
    <w:lvl w:ilvl="6">
      <w:start w:val="1"/>
      <w:numFmt w:val="decimal"/>
      <w:lvlText w:val="%1.%2.%3.%4.%5.%6.%7."/>
      <w:lvlJc w:val="left"/>
      <w:pPr>
        <w:tabs>
          <w:tab w:val="num" w:pos="0"/>
        </w:tabs>
        <w:ind w:left="4375" w:hanging="1080"/>
      </w:pPr>
      <w:rPr/>
    </w:lvl>
    <w:lvl w:ilvl="7">
      <w:start w:val="1"/>
      <w:numFmt w:val="decimal"/>
      <w:lvlText w:val="%1.%2.%3.%4.%5.%6.%7.%8."/>
      <w:lvlJc w:val="left"/>
      <w:pPr>
        <w:tabs>
          <w:tab w:val="num" w:pos="0"/>
        </w:tabs>
        <w:ind w:left="4879" w:hanging="1224"/>
      </w:pPr>
      <w:rPr/>
    </w:lvl>
    <w:lvl w:ilvl="8">
      <w:start w:val="1"/>
      <w:numFmt w:val="decimal"/>
      <w:lvlText w:val="%1.%2.%3.%4.%5.%6.%7.%8.%9."/>
      <w:lvlJc w:val="left"/>
      <w:pPr>
        <w:tabs>
          <w:tab w:val="num" w:pos="0"/>
        </w:tabs>
        <w:ind w:left="5455" w:hanging="1440"/>
      </w:pPr>
      <w:rPr/>
    </w:lvl>
  </w:abstractNum>
  <w:abstractNum w:abstractNumId="20">
    <w:lvl w:ilvl="0">
      <w:start w:val="1"/>
      <w:numFmt w:val="decimal"/>
      <w:lvlText w:val="%1."/>
      <w:lvlJc w:val="left"/>
      <w:pPr>
        <w:tabs>
          <w:tab w:val="num" w:pos="0"/>
        </w:tabs>
        <w:ind w:left="1495" w:hanging="360"/>
      </w:pPr>
      <w:rPr>
        <w:b/>
      </w:rPr>
    </w:lvl>
    <w:lvl w:ilvl="1">
      <w:start w:val="1"/>
      <w:numFmt w:val="decimal"/>
      <w:lvlText w:val="%1.%2."/>
      <w:lvlJc w:val="left"/>
      <w:pPr>
        <w:tabs>
          <w:tab w:val="num" w:pos="0"/>
        </w:tabs>
        <w:ind w:left="1709" w:hanging="432"/>
      </w:pPr>
      <w:rPr>
        <w:dstrike w:val="false"/>
        <w:strike w:val="false"/>
        <w:sz w:val="20"/>
        <w:i w:val="false"/>
        <w:u w:val="none"/>
        <w:b w:val="false"/>
        <w:szCs w:val="20"/>
        <w:color w:val="auto"/>
      </w:rPr>
    </w:lvl>
    <w:lvl w:ilvl="2">
      <w:start w:val="1"/>
      <w:numFmt w:val="decimal"/>
      <w:lvlText w:val="%1.%2.%3"/>
      <w:lvlJc w:val="left"/>
      <w:pPr>
        <w:tabs>
          <w:tab w:val="num" w:pos="0"/>
        </w:tabs>
        <w:ind w:left="3624" w:hanging="504"/>
      </w:pPr>
      <w:rPr>
        <w:dstrike w:val="false"/>
        <w:strike w:val="false"/>
        <w:sz w:val="20"/>
        <w:i w:val="false"/>
        <w:b w:val="false"/>
        <w:szCs w:val="20"/>
        <w:color w:val="000000"/>
      </w:rPr>
    </w:lvl>
    <w:lvl w:ilvl="3">
      <w:start w:val="1"/>
      <w:numFmt w:val="decimal"/>
      <w:lvlText w:val="%1.%2.%3.%4."/>
      <w:lvlJc w:val="left"/>
      <w:pPr>
        <w:tabs>
          <w:tab w:val="num" w:pos="0"/>
        </w:tabs>
        <w:ind w:left="3626" w:hanging="648"/>
      </w:pPr>
      <w:rPr/>
    </w:lvl>
    <w:lvl w:ilvl="4">
      <w:start w:val="1"/>
      <w:numFmt w:val="decimal"/>
      <w:lvlText w:val="%1.%2.%3.%4.%5."/>
      <w:lvlJc w:val="left"/>
      <w:pPr>
        <w:tabs>
          <w:tab w:val="num" w:pos="0"/>
        </w:tabs>
        <w:ind w:left="3367" w:hanging="792"/>
      </w:pPr>
      <w:rPr/>
    </w:lvl>
    <w:lvl w:ilvl="5">
      <w:start w:val="1"/>
      <w:numFmt w:val="decimal"/>
      <w:lvlText w:val="%1.%2.%3.%4.%5.%6."/>
      <w:lvlJc w:val="left"/>
      <w:pPr>
        <w:tabs>
          <w:tab w:val="num" w:pos="0"/>
        </w:tabs>
        <w:ind w:left="3871" w:hanging="936"/>
      </w:pPr>
      <w:rPr/>
    </w:lvl>
    <w:lvl w:ilvl="6">
      <w:start w:val="1"/>
      <w:numFmt w:val="decimal"/>
      <w:lvlText w:val="%1.%2.%3.%4.%5.%6.%7."/>
      <w:lvlJc w:val="left"/>
      <w:pPr>
        <w:tabs>
          <w:tab w:val="num" w:pos="0"/>
        </w:tabs>
        <w:ind w:left="4375" w:hanging="1080"/>
      </w:pPr>
      <w:rPr/>
    </w:lvl>
    <w:lvl w:ilvl="7">
      <w:start w:val="1"/>
      <w:numFmt w:val="decimal"/>
      <w:lvlText w:val="%1.%2.%3.%4.%5.%6.%7.%8."/>
      <w:lvlJc w:val="left"/>
      <w:pPr>
        <w:tabs>
          <w:tab w:val="num" w:pos="0"/>
        </w:tabs>
        <w:ind w:left="4879" w:hanging="1224"/>
      </w:pPr>
      <w:rPr/>
    </w:lvl>
    <w:lvl w:ilvl="8">
      <w:start w:val="1"/>
      <w:numFmt w:val="decimal"/>
      <w:lvlText w:val="%1.%2.%3.%4.%5.%6.%7.%8.%9."/>
      <w:lvlJc w:val="left"/>
      <w:pPr>
        <w:tabs>
          <w:tab w:val="num" w:pos="0"/>
        </w:tabs>
        <w:ind w:left="5455" w:hanging="1440"/>
      </w:pPr>
      <w:rPr/>
    </w:lvl>
  </w:abstractNum>
  <w:abstractNum w:abstractNumId="21">
    <w:lvl w:ilvl="0">
      <w:start w:val="1"/>
      <w:numFmt w:val="decimal"/>
      <w:lvlText w:val="%1."/>
      <w:lvlJc w:val="left"/>
      <w:pPr>
        <w:tabs>
          <w:tab w:val="num" w:pos="0"/>
        </w:tabs>
        <w:ind w:left="1495" w:hanging="360"/>
      </w:pPr>
      <w:rPr>
        <w:b/>
      </w:rPr>
    </w:lvl>
    <w:lvl w:ilvl="1">
      <w:start w:val="1"/>
      <w:numFmt w:val="decimal"/>
      <w:lvlText w:val="%1.%2."/>
      <w:lvlJc w:val="left"/>
      <w:pPr>
        <w:tabs>
          <w:tab w:val="num" w:pos="0"/>
        </w:tabs>
        <w:ind w:left="1709" w:hanging="432"/>
      </w:pPr>
      <w:rPr>
        <w:dstrike w:val="false"/>
        <w:strike w:val="false"/>
        <w:sz w:val="20"/>
        <w:i w:val="false"/>
        <w:u w:val="none"/>
        <w:b w:val="false"/>
        <w:szCs w:val="20"/>
        <w:color w:val="auto"/>
      </w:rPr>
    </w:lvl>
    <w:lvl w:ilvl="2">
      <w:start w:val="1"/>
      <w:numFmt w:val="decimal"/>
      <w:lvlText w:val="%1.%2.%3"/>
      <w:lvlJc w:val="left"/>
      <w:pPr>
        <w:tabs>
          <w:tab w:val="num" w:pos="0"/>
        </w:tabs>
        <w:ind w:left="3624" w:hanging="504"/>
      </w:pPr>
      <w:rPr>
        <w:dstrike w:val="false"/>
        <w:strike w:val="false"/>
        <w:sz w:val="20"/>
        <w:i w:val="false"/>
        <w:b w:val="false"/>
        <w:szCs w:val="20"/>
        <w:color w:val="000000"/>
      </w:rPr>
    </w:lvl>
    <w:lvl w:ilvl="3">
      <w:start w:val="1"/>
      <w:numFmt w:val="decimal"/>
      <w:lvlText w:val="%1.%2.%3.%4."/>
      <w:lvlJc w:val="left"/>
      <w:pPr>
        <w:tabs>
          <w:tab w:val="num" w:pos="0"/>
        </w:tabs>
        <w:ind w:left="3626" w:hanging="648"/>
      </w:pPr>
      <w:rPr/>
    </w:lvl>
    <w:lvl w:ilvl="4">
      <w:start w:val="1"/>
      <w:numFmt w:val="decimal"/>
      <w:lvlText w:val="%1.%2.%3.%4.%5."/>
      <w:lvlJc w:val="left"/>
      <w:pPr>
        <w:tabs>
          <w:tab w:val="num" w:pos="0"/>
        </w:tabs>
        <w:ind w:left="3367" w:hanging="792"/>
      </w:pPr>
      <w:rPr/>
    </w:lvl>
    <w:lvl w:ilvl="5">
      <w:start w:val="1"/>
      <w:numFmt w:val="decimal"/>
      <w:lvlText w:val="%1.%2.%3.%4.%5.%6."/>
      <w:lvlJc w:val="left"/>
      <w:pPr>
        <w:tabs>
          <w:tab w:val="num" w:pos="0"/>
        </w:tabs>
        <w:ind w:left="3871" w:hanging="936"/>
      </w:pPr>
      <w:rPr/>
    </w:lvl>
    <w:lvl w:ilvl="6">
      <w:start w:val="1"/>
      <w:numFmt w:val="decimal"/>
      <w:lvlText w:val="%1.%2.%3.%4.%5.%6.%7."/>
      <w:lvlJc w:val="left"/>
      <w:pPr>
        <w:tabs>
          <w:tab w:val="num" w:pos="0"/>
        </w:tabs>
        <w:ind w:left="4375" w:hanging="1080"/>
      </w:pPr>
      <w:rPr/>
    </w:lvl>
    <w:lvl w:ilvl="7">
      <w:start w:val="1"/>
      <w:numFmt w:val="decimal"/>
      <w:lvlText w:val="%1.%2.%3.%4.%5.%6.%7.%8."/>
      <w:lvlJc w:val="left"/>
      <w:pPr>
        <w:tabs>
          <w:tab w:val="num" w:pos="0"/>
        </w:tabs>
        <w:ind w:left="4879" w:hanging="1224"/>
      </w:pPr>
      <w:rPr/>
    </w:lvl>
    <w:lvl w:ilvl="8">
      <w:start w:val="1"/>
      <w:numFmt w:val="decimal"/>
      <w:lvlText w:val="%1.%2.%3.%4.%5.%6.%7.%8.%9."/>
      <w:lvlJc w:val="left"/>
      <w:pPr>
        <w:tabs>
          <w:tab w:val="num" w:pos="0"/>
        </w:tabs>
        <w:ind w:left="5455" w:hanging="1440"/>
      </w:pPr>
      <w:rPr/>
    </w:lvl>
  </w:abstractNum>
  <w:abstractNum w:abstractNumId="22">
    <w:lvl w:ilvl="0">
      <w:start w:val="1"/>
      <w:numFmt w:val="decimal"/>
      <w:lvlText w:val="%1."/>
      <w:lvlJc w:val="left"/>
      <w:pPr>
        <w:tabs>
          <w:tab w:val="num" w:pos="0"/>
        </w:tabs>
        <w:ind w:left="1495" w:hanging="360"/>
      </w:pPr>
      <w:rPr>
        <w:b/>
      </w:rPr>
    </w:lvl>
    <w:lvl w:ilvl="1">
      <w:start w:val="1"/>
      <w:numFmt w:val="decimal"/>
      <w:lvlText w:val="%1.%2."/>
      <w:lvlJc w:val="left"/>
      <w:pPr>
        <w:tabs>
          <w:tab w:val="num" w:pos="0"/>
        </w:tabs>
        <w:ind w:left="1709" w:hanging="432"/>
      </w:pPr>
      <w:rPr>
        <w:dstrike w:val="false"/>
        <w:strike w:val="false"/>
        <w:sz w:val="20"/>
        <w:i w:val="false"/>
        <w:u w:val="none"/>
        <w:b w:val="false"/>
        <w:szCs w:val="20"/>
        <w:color w:val="auto"/>
      </w:rPr>
    </w:lvl>
    <w:lvl w:ilvl="2">
      <w:start w:val="1"/>
      <w:numFmt w:val="decimal"/>
      <w:lvlText w:val="%1.%2.%3"/>
      <w:lvlJc w:val="left"/>
      <w:pPr>
        <w:tabs>
          <w:tab w:val="num" w:pos="0"/>
        </w:tabs>
        <w:ind w:left="3624" w:hanging="504"/>
      </w:pPr>
      <w:rPr>
        <w:dstrike w:val="false"/>
        <w:strike w:val="false"/>
        <w:sz w:val="20"/>
        <w:i w:val="false"/>
        <w:b w:val="false"/>
        <w:szCs w:val="20"/>
        <w:color w:val="000000"/>
      </w:rPr>
    </w:lvl>
    <w:lvl w:ilvl="3">
      <w:start w:val="1"/>
      <w:numFmt w:val="decimal"/>
      <w:lvlText w:val="%1.%2.%3.%4."/>
      <w:lvlJc w:val="left"/>
      <w:pPr>
        <w:tabs>
          <w:tab w:val="num" w:pos="0"/>
        </w:tabs>
        <w:ind w:left="3626" w:hanging="648"/>
      </w:pPr>
      <w:rPr/>
    </w:lvl>
    <w:lvl w:ilvl="4">
      <w:start w:val="1"/>
      <w:numFmt w:val="decimal"/>
      <w:lvlText w:val="%1.%2.%3.%4.%5."/>
      <w:lvlJc w:val="left"/>
      <w:pPr>
        <w:tabs>
          <w:tab w:val="num" w:pos="0"/>
        </w:tabs>
        <w:ind w:left="3367" w:hanging="792"/>
      </w:pPr>
      <w:rPr/>
    </w:lvl>
    <w:lvl w:ilvl="5">
      <w:start w:val="1"/>
      <w:numFmt w:val="decimal"/>
      <w:lvlText w:val="%1.%2.%3.%4.%5.%6."/>
      <w:lvlJc w:val="left"/>
      <w:pPr>
        <w:tabs>
          <w:tab w:val="num" w:pos="0"/>
        </w:tabs>
        <w:ind w:left="3871" w:hanging="936"/>
      </w:pPr>
      <w:rPr/>
    </w:lvl>
    <w:lvl w:ilvl="6">
      <w:start w:val="1"/>
      <w:numFmt w:val="decimal"/>
      <w:lvlText w:val="%1.%2.%3.%4.%5.%6.%7."/>
      <w:lvlJc w:val="left"/>
      <w:pPr>
        <w:tabs>
          <w:tab w:val="num" w:pos="0"/>
        </w:tabs>
        <w:ind w:left="4375" w:hanging="1080"/>
      </w:pPr>
      <w:rPr/>
    </w:lvl>
    <w:lvl w:ilvl="7">
      <w:start w:val="1"/>
      <w:numFmt w:val="decimal"/>
      <w:lvlText w:val="%1.%2.%3.%4.%5.%6.%7.%8."/>
      <w:lvlJc w:val="left"/>
      <w:pPr>
        <w:tabs>
          <w:tab w:val="num" w:pos="0"/>
        </w:tabs>
        <w:ind w:left="4879" w:hanging="1224"/>
      </w:pPr>
      <w:rPr/>
    </w:lvl>
    <w:lvl w:ilvl="8">
      <w:start w:val="1"/>
      <w:numFmt w:val="decimal"/>
      <w:lvlText w:val="%1.%2.%3.%4.%5.%6.%7.%8.%9."/>
      <w:lvlJc w:val="left"/>
      <w:pPr>
        <w:tabs>
          <w:tab w:val="num" w:pos="0"/>
        </w:tabs>
        <w:ind w:left="5455" w:hanging="1440"/>
      </w:pPr>
      <w:rPr/>
    </w:lvl>
  </w:abstractNum>
  <w:abstractNum w:abstractNumId="23">
    <w:lvl w:ilvl="0">
      <w:start w:val="1"/>
      <w:numFmt w:val="decimal"/>
      <w:lvlText w:val="%1."/>
      <w:lvlJc w:val="left"/>
      <w:pPr>
        <w:tabs>
          <w:tab w:val="num" w:pos="0"/>
        </w:tabs>
        <w:ind w:left="1495" w:hanging="360"/>
      </w:pPr>
      <w:rPr>
        <w:b/>
      </w:rPr>
    </w:lvl>
    <w:lvl w:ilvl="1">
      <w:start w:val="1"/>
      <w:numFmt w:val="decimal"/>
      <w:lvlText w:val="%1.%2."/>
      <w:lvlJc w:val="left"/>
      <w:pPr>
        <w:tabs>
          <w:tab w:val="num" w:pos="0"/>
        </w:tabs>
        <w:ind w:left="1709" w:hanging="432"/>
      </w:pPr>
      <w:rPr>
        <w:dstrike w:val="false"/>
        <w:strike w:val="false"/>
        <w:sz w:val="20"/>
        <w:i w:val="false"/>
        <w:u w:val="none"/>
        <w:b w:val="false"/>
        <w:szCs w:val="20"/>
        <w:color w:val="auto"/>
      </w:rPr>
    </w:lvl>
    <w:lvl w:ilvl="2">
      <w:start w:val="1"/>
      <w:numFmt w:val="decimal"/>
      <w:lvlText w:val="%1.%2.%3"/>
      <w:lvlJc w:val="left"/>
      <w:pPr>
        <w:tabs>
          <w:tab w:val="num" w:pos="0"/>
        </w:tabs>
        <w:ind w:left="3624" w:hanging="504"/>
      </w:pPr>
      <w:rPr>
        <w:dstrike w:val="false"/>
        <w:strike w:val="false"/>
        <w:sz w:val="20"/>
        <w:i w:val="false"/>
        <w:b w:val="false"/>
        <w:szCs w:val="20"/>
        <w:color w:val="000000"/>
      </w:rPr>
    </w:lvl>
    <w:lvl w:ilvl="3">
      <w:start w:val="1"/>
      <w:numFmt w:val="decimal"/>
      <w:lvlText w:val="%1.%2.%3.%4."/>
      <w:lvlJc w:val="left"/>
      <w:pPr>
        <w:tabs>
          <w:tab w:val="num" w:pos="0"/>
        </w:tabs>
        <w:ind w:left="3626" w:hanging="648"/>
      </w:pPr>
      <w:rPr/>
    </w:lvl>
    <w:lvl w:ilvl="4">
      <w:start w:val="1"/>
      <w:numFmt w:val="decimal"/>
      <w:lvlText w:val="%1.%2.%3.%4.%5."/>
      <w:lvlJc w:val="left"/>
      <w:pPr>
        <w:tabs>
          <w:tab w:val="num" w:pos="0"/>
        </w:tabs>
        <w:ind w:left="3367" w:hanging="792"/>
      </w:pPr>
      <w:rPr/>
    </w:lvl>
    <w:lvl w:ilvl="5">
      <w:start w:val="1"/>
      <w:numFmt w:val="decimal"/>
      <w:lvlText w:val="%1.%2.%3.%4.%5.%6."/>
      <w:lvlJc w:val="left"/>
      <w:pPr>
        <w:tabs>
          <w:tab w:val="num" w:pos="0"/>
        </w:tabs>
        <w:ind w:left="3871" w:hanging="936"/>
      </w:pPr>
      <w:rPr/>
    </w:lvl>
    <w:lvl w:ilvl="6">
      <w:start w:val="1"/>
      <w:numFmt w:val="decimal"/>
      <w:lvlText w:val="%1.%2.%3.%4.%5.%6.%7."/>
      <w:lvlJc w:val="left"/>
      <w:pPr>
        <w:tabs>
          <w:tab w:val="num" w:pos="0"/>
        </w:tabs>
        <w:ind w:left="4375" w:hanging="1080"/>
      </w:pPr>
      <w:rPr/>
    </w:lvl>
    <w:lvl w:ilvl="7">
      <w:start w:val="1"/>
      <w:numFmt w:val="decimal"/>
      <w:lvlText w:val="%1.%2.%3.%4.%5.%6.%7.%8."/>
      <w:lvlJc w:val="left"/>
      <w:pPr>
        <w:tabs>
          <w:tab w:val="num" w:pos="0"/>
        </w:tabs>
        <w:ind w:left="4879" w:hanging="1224"/>
      </w:pPr>
      <w:rPr/>
    </w:lvl>
    <w:lvl w:ilvl="8">
      <w:start w:val="1"/>
      <w:numFmt w:val="decimal"/>
      <w:lvlText w:val="%1.%2.%3.%4.%5.%6.%7.%8.%9."/>
      <w:lvlJc w:val="left"/>
      <w:pPr>
        <w:tabs>
          <w:tab w:val="num" w:pos="0"/>
        </w:tabs>
        <w:ind w:left="5455" w:hanging="1440"/>
      </w:pPr>
      <w:rPr/>
    </w:lvl>
  </w:abstractNum>
  <w:abstractNum w:abstractNumId="24">
    <w:lvl w:ilvl="0">
      <w:start w:val="1"/>
      <w:numFmt w:val="decimal"/>
      <w:lvlText w:val="%1."/>
      <w:lvlJc w:val="left"/>
      <w:pPr>
        <w:tabs>
          <w:tab w:val="num" w:pos="0"/>
        </w:tabs>
        <w:ind w:left="1495" w:hanging="360"/>
      </w:pPr>
      <w:rPr>
        <w:b/>
      </w:rPr>
    </w:lvl>
    <w:lvl w:ilvl="1">
      <w:start w:val="1"/>
      <w:numFmt w:val="decimal"/>
      <w:lvlText w:val="%1.%2."/>
      <w:lvlJc w:val="left"/>
      <w:pPr>
        <w:tabs>
          <w:tab w:val="num" w:pos="0"/>
        </w:tabs>
        <w:ind w:left="1709" w:hanging="432"/>
      </w:pPr>
      <w:rPr>
        <w:dstrike w:val="false"/>
        <w:strike w:val="false"/>
        <w:sz w:val="20"/>
        <w:i w:val="false"/>
        <w:u w:val="none"/>
        <w:b w:val="false"/>
        <w:szCs w:val="20"/>
        <w:color w:val="auto"/>
      </w:rPr>
    </w:lvl>
    <w:lvl w:ilvl="2">
      <w:start w:val="1"/>
      <w:numFmt w:val="decimal"/>
      <w:lvlText w:val="%1.%2.%3"/>
      <w:lvlJc w:val="left"/>
      <w:pPr>
        <w:tabs>
          <w:tab w:val="num" w:pos="0"/>
        </w:tabs>
        <w:ind w:left="3624" w:hanging="504"/>
      </w:pPr>
      <w:rPr>
        <w:dstrike w:val="false"/>
        <w:strike w:val="false"/>
        <w:sz w:val="20"/>
        <w:i w:val="false"/>
        <w:b w:val="false"/>
        <w:szCs w:val="20"/>
        <w:color w:val="000000"/>
      </w:rPr>
    </w:lvl>
    <w:lvl w:ilvl="3">
      <w:start w:val="1"/>
      <w:numFmt w:val="decimal"/>
      <w:lvlText w:val="%1.%2.%3.%4."/>
      <w:lvlJc w:val="left"/>
      <w:pPr>
        <w:tabs>
          <w:tab w:val="num" w:pos="0"/>
        </w:tabs>
        <w:ind w:left="3626" w:hanging="648"/>
      </w:pPr>
      <w:rPr/>
    </w:lvl>
    <w:lvl w:ilvl="4">
      <w:start w:val="1"/>
      <w:numFmt w:val="decimal"/>
      <w:lvlText w:val="%1.%2.%3.%4.%5."/>
      <w:lvlJc w:val="left"/>
      <w:pPr>
        <w:tabs>
          <w:tab w:val="num" w:pos="0"/>
        </w:tabs>
        <w:ind w:left="3367" w:hanging="792"/>
      </w:pPr>
      <w:rPr/>
    </w:lvl>
    <w:lvl w:ilvl="5">
      <w:start w:val="1"/>
      <w:numFmt w:val="decimal"/>
      <w:lvlText w:val="%1.%2.%3.%4.%5.%6."/>
      <w:lvlJc w:val="left"/>
      <w:pPr>
        <w:tabs>
          <w:tab w:val="num" w:pos="0"/>
        </w:tabs>
        <w:ind w:left="3871" w:hanging="936"/>
      </w:pPr>
      <w:rPr/>
    </w:lvl>
    <w:lvl w:ilvl="6">
      <w:start w:val="1"/>
      <w:numFmt w:val="decimal"/>
      <w:lvlText w:val="%1.%2.%3.%4.%5.%6.%7."/>
      <w:lvlJc w:val="left"/>
      <w:pPr>
        <w:tabs>
          <w:tab w:val="num" w:pos="0"/>
        </w:tabs>
        <w:ind w:left="4375" w:hanging="1080"/>
      </w:pPr>
      <w:rPr/>
    </w:lvl>
    <w:lvl w:ilvl="7">
      <w:start w:val="1"/>
      <w:numFmt w:val="decimal"/>
      <w:lvlText w:val="%1.%2.%3.%4.%5.%6.%7.%8."/>
      <w:lvlJc w:val="left"/>
      <w:pPr>
        <w:tabs>
          <w:tab w:val="num" w:pos="0"/>
        </w:tabs>
        <w:ind w:left="4879" w:hanging="1224"/>
      </w:pPr>
      <w:rPr/>
    </w:lvl>
    <w:lvl w:ilvl="8">
      <w:start w:val="1"/>
      <w:numFmt w:val="decimal"/>
      <w:lvlText w:val="%1.%2.%3.%4.%5.%6.%7.%8.%9."/>
      <w:lvlJc w:val="left"/>
      <w:pPr>
        <w:tabs>
          <w:tab w:val="num" w:pos="0"/>
        </w:tabs>
        <w:ind w:left="5455" w:hanging="1440"/>
      </w:pPr>
      <w:rPr/>
    </w:lvl>
  </w:abstractNum>
  <w:abstractNum w:abstractNumId="25">
    <w:lvl w:ilvl="0">
      <w:start w:val="1"/>
      <w:numFmt w:val="decimal"/>
      <w:lvlText w:val="%1."/>
      <w:lvlJc w:val="left"/>
      <w:pPr>
        <w:tabs>
          <w:tab w:val="num" w:pos="0"/>
        </w:tabs>
        <w:ind w:left="1495" w:hanging="360"/>
      </w:pPr>
      <w:rPr>
        <w:b/>
      </w:rPr>
    </w:lvl>
    <w:lvl w:ilvl="1">
      <w:start w:val="1"/>
      <w:numFmt w:val="decimal"/>
      <w:lvlText w:val="%1.%2."/>
      <w:lvlJc w:val="left"/>
      <w:pPr>
        <w:tabs>
          <w:tab w:val="num" w:pos="0"/>
        </w:tabs>
        <w:ind w:left="1709" w:hanging="432"/>
      </w:pPr>
      <w:rPr>
        <w:dstrike w:val="false"/>
        <w:strike w:val="false"/>
        <w:sz w:val="20"/>
        <w:i w:val="false"/>
        <w:u w:val="none"/>
        <w:b w:val="false"/>
        <w:szCs w:val="20"/>
        <w:color w:val="auto"/>
      </w:rPr>
    </w:lvl>
    <w:lvl w:ilvl="2">
      <w:start w:val="1"/>
      <w:numFmt w:val="decimal"/>
      <w:lvlText w:val="%1.%2.%3"/>
      <w:lvlJc w:val="left"/>
      <w:pPr>
        <w:tabs>
          <w:tab w:val="num" w:pos="0"/>
        </w:tabs>
        <w:ind w:left="3624" w:hanging="504"/>
      </w:pPr>
      <w:rPr>
        <w:dstrike w:val="false"/>
        <w:strike w:val="false"/>
        <w:sz w:val="20"/>
        <w:i w:val="false"/>
        <w:b w:val="false"/>
        <w:szCs w:val="20"/>
        <w:color w:val="000000"/>
      </w:rPr>
    </w:lvl>
    <w:lvl w:ilvl="3">
      <w:start w:val="1"/>
      <w:numFmt w:val="decimal"/>
      <w:lvlText w:val="%1.%2.%3.%4."/>
      <w:lvlJc w:val="left"/>
      <w:pPr>
        <w:tabs>
          <w:tab w:val="num" w:pos="0"/>
        </w:tabs>
        <w:ind w:left="3626" w:hanging="648"/>
      </w:pPr>
      <w:rPr/>
    </w:lvl>
    <w:lvl w:ilvl="4">
      <w:start w:val="1"/>
      <w:numFmt w:val="decimal"/>
      <w:lvlText w:val="%1.%2.%3.%4.%5."/>
      <w:lvlJc w:val="left"/>
      <w:pPr>
        <w:tabs>
          <w:tab w:val="num" w:pos="0"/>
        </w:tabs>
        <w:ind w:left="3367" w:hanging="792"/>
      </w:pPr>
      <w:rPr/>
    </w:lvl>
    <w:lvl w:ilvl="5">
      <w:start w:val="1"/>
      <w:numFmt w:val="decimal"/>
      <w:lvlText w:val="%1.%2.%3.%4.%5.%6."/>
      <w:lvlJc w:val="left"/>
      <w:pPr>
        <w:tabs>
          <w:tab w:val="num" w:pos="0"/>
        </w:tabs>
        <w:ind w:left="3871" w:hanging="936"/>
      </w:pPr>
      <w:rPr/>
    </w:lvl>
    <w:lvl w:ilvl="6">
      <w:start w:val="1"/>
      <w:numFmt w:val="decimal"/>
      <w:lvlText w:val="%1.%2.%3.%4.%5.%6.%7."/>
      <w:lvlJc w:val="left"/>
      <w:pPr>
        <w:tabs>
          <w:tab w:val="num" w:pos="0"/>
        </w:tabs>
        <w:ind w:left="4375" w:hanging="1080"/>
      </w:pPr>
      <w:rPr/>
    </w:lvl>
    <w:lvl w:ilvl="7">
      <w:start w:val="1"/>
      <w:numFmt w:val="decimal"/>
      <w:lvlText w:val="%1.%2.%3.%4.%5.%6.%7.%8."/>
      <w:lvlJc w:val="left"/>
      <w:pPr>
        <w:tabs>
          <w:tab w:val="num" w:pos="0"/>
        </w:tabs>
        <w:ind w:left="4879" w:hanging="1224"/>
      </w:pPr>
      <w:rPr/>
    </w:lvl>
    <w:lvl w:ilvl="8">
      <w:start w:val="1"/>
      <w:numFmt w:val="decimal"/>
      <w:lvlText w:val="%1.%2.%3.%4.%5.%6.%7.%8.%9."/>
      <w:lvlJc w:val="left"/>
      <w:pPr>
        <w:tabs>
          <w:tab w:val="num" w:pos="0"/>
        </w:tabs>
        <w:ind w:left="5455" w:hanging="1440"/>
      </w:pPr>
      <w:rPr/>
    </w:lvl>
  </w:abstractNum>
  <w:abstractNum w:abstractNumId="26">
    <w:lvl w:ilvl="0">
      <w:start w:val="1"/>
      <w:numFmt w:val="decimal"/>
      <w:lvlText w:val="%1."/>
      <w:lvlJc w:val="left"/>
      <w:pPr>
        <w:tabs>
          <w:tab w:val="num" w:pos="0"/>
        </w:tabs>
        <w:ind w:left="1495" w:hanging="360"/>
      </w:pPr>
      <w:rPr>
        <w:b/>
      </w:rPr>
    </w:lvl>
    <w:lvl w:ilvl="1">
      <w:start w:val="1"/>
      <w:numFmt w:val="decimal"/>
      <w:lvlText w:val="%1.%2."/>
      <w:lvlJc w:val="left"/>
      <w:pPr>
        <w:tabs>
          <w:tab w:val="num" w:pos="0"/>
        </w:tabs>
        <w:ind w:left="1709" w:hanging="432"/>
      </w:pPr>
      <w:rPr>
        <w:dstrike w:val="false"/>
        <w:strike w:val="false"/>
        <w:sz w:val="20"/>
        <w:i w:val="false"/>
        <w:u w:val="none"/>
        <w:b w:val="false"/>
        <w:szCs w:val="20"/>
        <w:color w:val="auto"/>
      </w:rPr>
    </w:lvl>
    <w:lvl w:ilvl="2">
      <w:start w:val="1"/>
      <w:numFmt w:val="decimal"/>
      <w:lvlText w:val="%1.%2.%3"/>
      <w:lvlJc w:val="left"/>
      <w:pPr>
        <w:tabs>
          <w:tab w:val="num" w:pos="0"/>
        </w:tabs>
        <w:ind w:left="3624" w:hanging="504"/>
      </w:pPr>
      <w:rPr>
        <w:dstrike w:val="false"/>
        <w:strike w:val="false"/>
        <w:sz w:val="20"/>
        <w:i w:val="false"/>
        <w:b w:val="false"/>
        <w:szCs w:val="20"/>
        <w:color w:val="000000"/>
      </w:rPr>
    </w:lvl>
    <w:lvl w:ilvl="3">
      <w:start w:val="1"/>
      <w:numFmt w:val="decimal"/>
      <w:lvlText w:val="%1.%2.%3.%4."/>
      <w:lvlJc w:val="left"/>
      <w:pPr>
        <w:tabs>
          <w:tab w:val="num" w:pos="0"/>
        </w:tabs>
        <w:ind w:left="3626" w:hanging="648"/>
      </w:pPr>
      <w:rPr/>
    </w:lvl>
    <w:lvl w:ilvl="4">
      <w:start w:val="1"/>
      <w:numFmt w:val="decimal"/>
      <w:lvlText w:val="%1.%2.%3.%4.%5."/>
      <w:lvlJc w:val="left"/>
      <w:pPr>
        <w:tabs>
          <w:tab w:val="num" w:pos="0"/>
        </w:tabs>
        <w:ind w:left="3367" w:hanging="792"/>
      </w:pPr>
      <w:rPr/>
    </w:lvl>
    <w:lvl w:ilvl="5">
      <w:start w:val="1"/>
      <w:numFmt w:val="decimal"/>
      <w:lvlText w:val="%1.%2.%3.%4.%5.%6."/>
      <w:lvlJc w:val="left"/>
      <w:pPr>
        <w:tabs>
          <w:tab w:val="num" w:pos="0"/>
        </w:tabs>
        <w:ind w:left="3871" w:hanging="936"/>
      </w:pPr>
      <w:rPr/>
    </w:lvl>
    <w:lvl w:ilvl="6">
      <w:start w:val="1"/>
      <w:numFmt w:val="decimal"/>
      <w:lvlText w:val="%1.%2.%3.%4.%5.%6.%7."/>
      <w:lvlJc w:val="left"/>
      <w:pPr>
        <w:tabs>
          <w:tab w:val="num" w:pos="0"/>
        </w:tabs>
        <w:ind w:left="4375" w:hanging="1080"/>
      </w:pPr>
      <w:rPr/>
    </w:lvl>
    <w:lvl w:ilvl="7">
      <w:start w:val="1"/>
      <w:numFmt w:val="decimal"/>
      <w:lvlText w:val="%1.%2.%3.%4.%5.%6.%7.%8."/>
      <w:lvlJc w:val="left"/>
      <w:pPr>
        <w:tabs>
          <w:tab w:val="num" w:pos="0"/>
        </w:tabs>
        <w:ind w:left="4879" w:hanging="1224"/>
      </w:pPr>
      <w:rPr/>
    </w:lvl>
    <w:lvl w:ilvl="8">
      <w:start w:val="1"/>
      <w:numFmt w:val="decimal"/>
      <w:lvlText w:val="%1.%2.%3.%4.%5.%6.%7.%8.%9."/>
      <w:lvlJc w:val="left"/>
      <w:pPr>
        <w:tabs>
          <w:tab w:val="num" w:pos="0"/>
        </w:tabs>
        <w:ind w:left="5455" w:hanging="1440"/>
      </w:pPr>
      <w:rPr/>
    </w:lvl>
  </w:abstractNum>
  <w:abstractNum w:abstractNumId="27">
    <w:lvl w:ilvl="0">
      <w:start w:val="1"/>
      <w:numFmt w:val="decimal"/>
      <w:lvlText w:val="%1."/>
      <w:lvlJc w:val="left"/>
      <w:pPr>
        <w:tabs>
          <w:tab w:val="num" w:pos="0"/>
        </w:tabs>
        <w:ind w:left="1495" w:hanging="360"/>
      </w:pPr>
      <w:rPr>
        <w:b/>
      </w:rPr>
    </w:lvl>
    <w:lvl w:ilvl="1">
      <w:start w:val="1"/>
      <w:numFmt w:val="decimal"/>
      <w:lvlText w:val="%1.%2."/>
      <w:lvlJc w:val="left"/>
      <w:pPr>
        <w:tabs>
          <w:tab w:val="num" w:pos="0"/>
        </w:tabs>
        <w:ind w:left="1709" w:hanging="432"/>
      </w:pPr>
      <w:rPr>
        <w:dstrike w:val="false"/>
        <w:strike w:val="false"/>
        <w:sz w:val="20"/>
        <w:i w:val="false"/>
        <w:u w:val="none"/>
        <w:b w:val="false"/>
        <w:szCs w:val="20"/>
        <w:color w:val="auto"/>
      </w:rPr>
    </w:lvl>
    <w:lvl w:ilvl="2">
      <w:start w:val="1"/>
      <w:numFmt w:val="decimal"/>
      <w:lvlText w:val="%1.%2.%3"/>
      <w:lvlJc w:val="left"/>
      <w:pPr>
        <w:tabs>
          <w:tab w:val="num" w:pos="0"/>
        </w:tabs>
        <w:ind w:left="3624" w:hanging="504"/>
      </w:pPr>
      <w:rPr>
        <w:dstrike w:val="false"/>
        <w:strike w:val="false"/>
        <w:sz w:val="20"/>
        <w:i w:val="false"/>
        <w:b w:val="false"/>
        <w:szCs w:val="20"/>
        <w:color w:val="000000"/>
      </w:rPr>
    </w:lvl>
    <w:lvl w:ilvl="3">
      <w:start w:val="1"/>
      <w:numFmt w:val="decimal"/>
      <w:lvlText w:val="%1.%2.%3.%4."/>
      <w:lvlJc w:val="left"/>
      <w:pPr>
        <w:tabs>
          <w:tab w:val="num" w:pos="0"/>
        </w:tabs>
        <w:ind w:left="3626" w:hanging="648"/>
      </w:pPr>
      <w:rPr/>
    </w:lvl>
    <w:lvl w:ilvl="4">
      <w:start w:val="1"/>
      <w:numFmt w:val="decimal"/>
      <w:lvlText w:val="%1.%2.%3.%4.%5."/>
      <w:lvlJc w:val="left"/>
      <w:pPr>
        <w:tabs>
          <w:tab w:val="num" w:pos="0"/>
        </w:tabs>
        <w:ind w:left="3367" w:hanging="792"/>
      </w:pPr>
      <w:rPr/>
    </w:lvl>
    <w:lvl w:ilvl="5">
      <w:start w:val="1"/>
      <w:numFmt w:val="decimal"/>
      <w:lvlText w:val="%1.%2.%3.%4.%5.%6."/>
      <w:lvlJc w:val="left"/>
      <w:pPr>
        <w:tabs>
          <w:tab w:val="num" w:pos="0"/>
        </w:tabs>
        <w:ind w:left="3871" w:hanging="936"/>
      </w:pPr>
      <w:rPr/>
    </w:lvl>
    <w:lvl w:ilvl="6">
      <w:start w:val="1"/>
      <w:numFmt w:val="decimal"/>
      <w:lvlText w:val="%1.%2.%3.%4.%5.%6.%7."/>
      <w:lvlJc w:val="left"/>
      <w:pPr>
        <w:tabs>
          <w:tab w:val="num" w:pos="0"/>
        </w:tabs>
        <w:ind w:left="4375" w:hanging="1080"/>
      </w:pPr>
      <w:rPr/>
    </w:lvl>
    <w:lvl w:ilvl="7">
      <w:start w:val="1"/>
      <w:numFmt w:val="decimal"/>
      <w:lvlText w:val="%1.%2.%3.%4.%5.%6.%7.%8."/>
      <w:lvlJc w:val="left"/>
      <w:pPr>
        <w:tabs>
          <w:tab w:val="num" w:pos="0"/>
        </w:tabs>
        <w:ind w:left="4879" w:hanging="1224"/>
      </w:pPr>
      <w:rPr/>
    </w:lvl>
    <w:lvl w:ilvl="8">
      <w:start w:val="1"/>
      <w:numFmt w:val="decimal"/>
      <w:lvlText w:val="%1.%2.%3.%4.%5.%6.%7.%8.%9."/>
      <w:lvlJc w:val="left"/>
      <w:pPr>
        <w:tabs>
          <w:tab w:val="num" w:pos="0"/>
        </w:tabs>
        <w:ind w:left="5455" w:hanging="1440"/>
      </w:pPr>
      <w:rPr/>
    </w:lvl>
  </w:abstractNum>
  <w:abstractNum w:abstractNumId="28">
    <w:lvl w:ilvl="0">
      <w:start w:val="1"/>
      <w:numFmt w:val="decimal"/>
      <w:lvlText w:val="%1."/>
      <w:lvlJc w:val="left"/>
      <w:pPr>
        <w:tabs>
          <w:tab w:val="num" w:pos="0"/>
        </w:tabs>
        <w:ind w:left="1495" w:hanging="360"/>
      </w:pPr>
      <w:rPr>
        <w:b/>
      </w:rPr>
    </w:lvl>
    <w:lvl w:ilvl="1">
      <w:start w:val="1"/>
      <w:numFmt w:val="decimal"/>
      <w:lvlText w:val="%1.%2."/>
      <w:lvlJc w:val="left"/>
      <w:pPr>
        <w:tabs>
          <w:tab w:val="num" w:pos="0"/>
        </w:tabs>
        <w:ind w:left="1709" w:hanging="432"/>
      </w:pPr>
      <w:rPr>
        <w:dstrike w:val="false"/>
        <w:strike w:val="false"/>
        <w:sz w:val="20"/>
        <w:i w:val="false"/>
        <w:u w:val="none"/>
        <w:b w:val="false"/>
        <w:szCs w:val="20"/>
        <w:color w:val="auto"/>
      </w:rPr>
    </w:lvl>
    <w:lvl w:ilvl="2">
      <w:start w:val="1"/>
      <w:numFmt w:val="decimal"/>
      <w:lvlText w:val="%1.%2.%3"/>
      <w:lvlJc w:val="left"/>
      <w:pPr>
        <w:tabs>
          <w:tab w:val="num" w:pos="0"/>
        </w:tabs>
        <w:ind w:left="3624" w:hanging="504"/>
      </w:pPr>
      <w:rPr>
        <w:dstrike w:val="false"/>
        <w:strike w:val="false"/>
        <w:sz w:val="20"/>
        <w:i w:val="false"/>
        <w:b w:val="false"/>
        <w:szCs w:val="20"/>
        <w:color w:val="000000"/>
      </w:rPr>
    </w:lvl>
    <w:lvl w:ilvl="3">
      <w:start w:val="1"/>
      <w:numFmt w:val="decimal"/>
      <w:lvlText w:val="%1.%2.%3.%4."/>
      <w:lvlJc w:val="left"/>
      <w:pPr>
        <w:tabs>
          <w:tab w:val="num" w:pos="0"/>
        </w:tabs>
        <w:ind w:left="3626" w:hanging="648"/>
      </w:pPr>
      <w:rPr/>
    </w:lvl>
    <w:lvl w:ilvl="4">
      <w:start w:val="1"/>
      <w:numFmt w:val="decimal"/>
      <w:lvlText w:val="%1.%2.%3.%4.%5."/>
      <w:lvlJc w:val="left"/>
      <w:pPr>
        <w:tabs>
          <w:tab w:val="num" w:pos="0"/>
        </w:tabs>
        <w:ind w:left="3367" w:hanging="792"/>
      </w:pPr>
      <w:rPr/>
    </w:lvl>
    <w:lvl w:ilvl="5">
      <w:start w:val="1"/>
      <w:numFmt w:val="decimal"/>
      <w:lvlText w:val="%1.%2.%3.%4.%5.%6."/>
      <w:lvlJc w:val="left"/>
      <w:pPr>
        <w:tabs>
          <w:tab w:val="num" w:pos="0"/>
        </w:tabs>
        <w:ind w:left="3871" w:hanging="936"/>
      </w:pPr>
      <w:rPr/>
    </w:lvl>
    <w:lvl w:ilvl="6">
      <w:start w:val="1"/>
      <w:numFmt w:val="decimal"/>
      <w:lvlText w:val="%1.%2.%3.%4.%5.%6.%7."/>
      <w:lvlJc w:val="left"/>
      <w:pPr>
        <w:tabs>
          <w:tab w:val="num" w:pos="0"/>
        </w:tabs>
        <w:ind w:left="4375" w:hanging="1080"/>
      </w:pPr>
      <w:rPr/>
    </w:lvl>
    <w:lvl w:ilvl="7">
      <w:start w:val="1"/>
      <w:numFmt w:val="decimal"/>
      <w:lvlText w:val="%1.%2.%3.%4.%5.%6.%7.%8."/>
      <w:lvlJc w:val="left"/>
      <w:pPr>
        <w:tabs>
          <w:tab w:val="num" w:pos="0"/>
        </w:tabs>
        <w:ind w:left="4879" w:hanging="1224"/>
      </w:pPr>
      <w:rPr/>
    </w:lvl>
    <w:lvl w:ilvl="8">
      <w:start w:val="1"/>
      <w:numFmt w:val="decimal"/>
      <w:lvlText w:val="%1.%2.%3.%4.%5.%6.%7.%8.%9."/>
      <w:lvlJc w:val="left"/>
      <w:pPr>
        <w:tabs>
          <w:tab w:val="num" w:pos="0"/>
        </w:tabs>
        <w:ind w:left="5455" w:hanging="1440"/>
      </w:pPr>
      <w:rPr/>
    </w:lvl>
  </w:abstractNum>
  <w:abstractNum w:abstractNumId="29">
    <w:lvl w:ilvl="0">
      <w:start w:val="1"/>
      <w:numFmt w:val="decimal"/>
      <w:lvlText w:val="%1."/>
      <w:lvlJc w:val="left"/>
      <w:pPr>
        <w:tabs>
          <w:tab w:val="num" w:pos="0"/>
        </w:tabs>
        <w:ind w:left="1495" w:hanging="360"/>
      </w:pPr>
      <w:rPr>
        <w:b/>
      </w:rPr>
    </w:lvl>
    <w:lvl w:ilvl="1">
      <w:start w:val="1"/>
      <w:numFmt w:val="decimal"/>
      <w:lvlText w:val="%1.%2."/>
      <w:lvlJc w:val="left"/>
      <w:pPr>
        <w:tabs>
          <w:tab w:val="num" w:pos="0"/>
        </w:tabs>
        <w:ind w:left="1709" w:hanging="432"/>
      </w:pPr>
      <w:rPr>
        <w:dstrike w:val="false"/>
        <w:strike w:val="false"/>
        <w:sz w:val="20"/>
        <w:i w:val="false"/>
        <w:u w:val="none"/>
        <w:b w:val="false"/>
        <w:szCs w:val="20"/>
        <w:color w:val="auto"/>
      </w:rPr>
    </w:lvl>
    <w:lvl w:ilvl="2">
      <w:start w:val="1"/>
      <w:numFmt w:val="decimal"/>
      <w:lvlText w:val="%1.%2.%3"/>
      <w:lvlJc w:val="left"/>
      <w:pPr>
        <w:tabs>
          <w:tab w:val="num" w:pos="0"/>
        </w:tabs>
        <w:ind w:left="3624" w:hanging="504"/>
      </w:pPr>
      <w:rPr>
        <w:dstrike w:val="false"/>
        <w:strike w:val="false"/>
        <w:sz w:val="20"/>
        <w:i w:val="false"/>
        <w:b w:val="false"/>
        <w:szCs w:val="20"/>
        <w:color w:val="000000"/>
      </w:rPr>
    </w:lvl>
    <w:lvl w:ilvl="3">
      <w:start w:val="1"/>
      <w:numFmt w:val="decimal"/>
      <w:lvlText w:val="%1.%2.%3.%4."/>
      <w:lvlJc w:val="left"/>
      <w:pPr>
        <w:tabs>
          <w:tab w:val="num" w:pos="0"/>
        </w:tabs>
        <w:ind w:left="3626" w:hanging="648"/>
      </w:pPr>
      <w:rPr/>
    </w:lvl>
    <w:lvl w:ilvl="4">
      <w:start w:val="1"/>
      <w:numFmt w:val="decimal"/>
      <w:lvlText w:val="%1.%2.%3.%4.%5."/>
      <w:lvlJc w:val="left"/>
      <w:pPr>
        <w:tabs>
          <w:tab w:val="num" w:pos="0"/>
        </w:tabs>
        <w:ind w:left="3367" w:hanging="792"/>
      </w:pPr>
      <w:rPr/>
    </w:lvl>
    <w:lvl w:ilvl="5">
      <w:start w:val="1"/>
      <w:numFmt w:val="decimal"/>
      <w:lvlText w:val="%1.%2.%3.%4.%5.%6."/>
      <w:lvlJc w:val="left"/>
      <w:pPr>
        <w:tabs>
          <w:tab w:val="num" w:pos="0"/>
        </w:tabs>
        <w:ind w:left="3871" w:hanging="936"/>
      </w:pPr>
      <w:rPr/>
    </w:lvl>
    <w:lvl w:ilvl="6">
      <w:start w:val="1"/>
      <w:numFmt w:val="decimal"/>
      <w:lvlText w:val="%1.%2.%3.%4.%5.%6.%7."/>
      <w:lvlJc w:val="left"/>
      <w:pPr>
        <w:tabs>
          <w:tab w:val="num" w:pos="0"/>
        </w:tabs>
        <w:ind w:left="4375" w:hanging="1080"/>
      </w:pPr>
      <w:rPr/>
    </w:lvl>
    <w:lvl w:ilvl="7">
      <w:start w:val="1"/>
      <w:numFmt w:val="decimal"/>
      <w:lvlText w:val="%1.%2.%3.%4.%5.%6.%7.%8."/>
      <w:lvlJc w:val="left"/>
      <w:pPr>
        <w:tabs>
          <w:tab w:val="num" w:pos="0"/>
        </w:tabs>
        <w:ind w:left="4879" w:hanging="1224"/>
      </w:pPr>
      <w:rPr/>
    </w:lvl>
    <w:lvl w:ilvl="8">
      <w:start w:val="1"/>
      <w:numFmt w:val="decimal"/>
      <w:lvlText w:val="%1.%2.%3.%4.%5.%6.%7.%8.%9."/>
      <w:lvlJc w:val="left"/>
      <w:pPr>
        <w:tabs>
          <w:tab w:val="num" w:pos="0"/>
        </w:tabs>
        <w:ind w:left="5455" w:hanging="1440"/>
      </w:pPr>
      <w:rPr/>
    </w:lvl>
  </w:abstractNum>
  <w:abstractNum w:abstractNumId="30">
    <w:lvl w:ilvl="0">
      <w:start w:val="1"/>
      <w:numFmt w:val="decimal"/>
      <w:lvlText w:val="%1."/>
      <w:lvlJc w:val="left"/>
      <w:pPr>
        <w:tabs>
          <w:tab w:val="num" w:pos="0"/>
        </w:tabs>
        <w:ind w:left="1495" w:hanging="360"/>
      </w:pPr>
      <w:rPr>
        <w:b/>
      </w:rPr>
    </w:lvl>
    <w:lvl w:ilvl="1">
      <w:start w:val="1"/>
      <w:numFmt w:val="decimal"/>
      <w:lvlText w:val="%1.%2."/>
      <w:lvlJc w:val="left"/>
      <w:pPr>
        <w:tabs>
          <w:tab w:val="num" w:pos="0"/>
        </w:tabs>
        <w:ind w:left="1709" w:hanging="432"/>
      </w:pPr>
      <w:rPr>
        <w:dstrike w:val="false"/>
        <w:strike w:val="false"/>
        <w:sz w:val="20"/>
        <w:i w:val="false"/>
        <w:u w:val="none"/>
        <w:b w:val="false"/>
        <w:szCs w:val="20"/>
        <w:color w:val="auto"/>
      </w:rPr>
    </w:lvl>
    <w:lvl w:ilvl="2">
      <w:start w:val="1"/>
      <w:numFmt w:val="decimal"/>
      <w:lvlText w:val="%1.%2.%3"/>
      <w:lvlJc w:val="left"/>
      <w:pPr>
        <w:tabs>
          <w:tab w:val="num" w:pos="0"/>
        </w:tabs>
        <w:ind w:left="3624" w:hanging="504"/>
      </w:pPr>
      <w:rPr>
        <w:dstrike w:val="false"/>
        <w:strike w:val="false"/>
        <w:sz w:val="20"/>
        <w:i w:val="false"/>
        <w:b w:val="false"/>
        <w:szCs w:val="20"/>
        <w:color w:val="000000"/>
      </w:rPr>
    </w:lvl>
    <w:lvl w:ilvl="3">
      <w:start w:val="1"/>
      <w:numFmt w:val="decimal"/>
      <w:lvlText w:val="%1.%2.%3.%4."/>
      <w:lvlJc w:val="left"/>
      <w:pPr>
        <w:tabs>
          <w:tab w:val="num" w:pos="0"/>
        </w:tabs>
        <w:ind w:left="3626" w:hanging="648"/>
      </w:pPr>
      <w:rPr/>
    </w:lvl>
    <w:lvl w:ilvl="4">
      <w:start w:val="1"/>
      <w:numFmt w:val="decimal"/>
      <w:lvlText w:val="%1.%2.%3.%4.%5."/>
      <w:lvlJc w:val="left"/>
      <w:pPr>
        <w:tabs>
          <w:tab w:val="num" w:pos="0"/>
        </w:tabs>
        <w:ind w:left="3367" w:hanging="792"/>
      </w:pPr>
      <w:rPr/>
    </w:lvl>
    <w:lvl w:ilvl="5">
      <w:start w:val="1"/>
      <w:numFmt w:val="decimal"/>
      <w:lvlText w:val="%1.%2.%3.%4.%5.%6."/>
      <w:lvlJc w:val="left"/>
      <w:pPr>
        <w:tabs>
          <w:tab w:val="num" w:pos="0"/>
        </w:tabs>
        <w:ind w:left="3871" w:hanging="936"/>
      </w:pPr>
      <w:rPr/>
    </w:lvl>
    <w:lvl w:ilvl="6">
      <w:start w:val="1"/>
      <w:numFmt w:val="decimal"/>
      <w:lvlText w:val="%1.%2.%3.%4.%5.%6.%7."/>
      <w:lvlJc w:val="left"/>
      <w:pPr>
        <w:tabs>
          <w:tab w:val="num" w:pos="0"/>
        </w:tabs>
        <w:ind w:left="4375" w:hanging="1080"/>
      </w:pPr>
      <w:rPr/>
    </w:lvl>
    <w:lvl w:ilvl="7">
      <w:start w:val="1"/>
      <w:numFmt w:val="decimal"/>
      <w:lvlText w:val="%1.%2.%3.%4.%5.%6.%7.%8."/>
      <w:lvlJc w:val="left"/>
      <w:pPr>
        <w:tabs>
          <w:tab w:val="num" w:pos="0"/>
        </w:tabs>
        <w:ind w:left="4879" w:hanging="1224"/>
      </w:pPr>
      <w:rPr/>
    </w:lvl>
    <w:lvl w:ilvl="8">
      <w:start w:val="1"/>
      <w:numFmt w:val="decimal"/>
      <w:lvlText w:val="%1.%2.%3.%4.%5.%6.%7.%8.%9."/>
      <w:lvlJc w:val="left"/>
      <w:pPr>
        <w:tabs>
          <w:tab w:val="num" w:pos="0"/>
        </w:tabs>
        <w:ind w:left="5455" w:hanging="1440"/>
      </w:pPr>
      <w:rPr/>
    </w:lvl>
  </w:abstractNum>
  <w:abstractNum w:abstractNumId="31">
    <w:lvl w:ilvl="0">
      <w:start w:val="1"/>
      <w:numFmt w:val="decimal"/>
      <w:lvlText w:val="%1."/>
      <w:lvlJc w:val="left"/>
      <w:pPr>
        <w:tabs>
          <w:tab w:val="num" w:pos="0"/>
        </w:tabs>
        <w:ind w:left="1495" w:hanging="360"/>
      </w:pPr>
      <w:rPr>
        <w:b/>
      </w:rPr>
    </w:lvl>
    <w:lvl w:ilvl="1">
      <w:start w:val="1"/>
      <w:numFmt w:val="decimal"/>
      <w:lvlText w:val="%1.%2."/>
      <w:lvlJc w:val="left"/>
      <w:pPr>
        <w:tabs>
          <w:tab w:val="num" w:pos="0"/>
        </w:tabs>
        <w:ind w:left="1709" w:hanging="432"/>
      </w:pPr>
      <w:rPr>
        <w:dstrike w:val="false"/>
        <w:strike w:val="false"/>
        <w:sz w:val="20"/>
        <w:i w:val="false"/>
        <w:u w:val="none"/>
        <w:b w:val="false"/>
        <w:szCs w:val="20"/>
        <w:color w:val="auto"/>
      </w:rPr>
    </w:lvl>
    <w:lvl w:ilvl="2">
      <w:start w:val="1"/>
      <w:numFmt w:val="decimal"/>
      <w:lvlText w:val="%1.%2.%3"/>
      <w:lvlJc w:val="left"/>
      <w:pPr>
        <w:tabs>
          <w:tab w:val="num" w:pos="0"/>
        </w:tabs>
        <w:ind w:left="3624" w:hanging="504"/>
      </w:pPr>
      <w:rPr>
        <w:dstrike w:val="false"/>
        <w:strike w:val="false"/>
        <w:sz w:val="20"/>
        <w:i w:val="false"/>
        <w:b w:val="false"/>
        <w:szCs w:val="20"/>
        <w:color w:val="000000"/>
      </w:rPr>
    </w:lvl>
    <w:lvl w:ilvl="3">
      <w:start w:val="1"/>
      <w:numFmt w:val="decimal"/>
      <w:lvlText w:val="%1.%2.%3.%4."/>
      <w:lvlJc w:val="left"/>
      <w:pPr>
        <w:tabs>
          <w:tab w:val="num" w:pos="0"/>
        </w:tabs>
        <w:ind w:left="3626" w:hanging="648"/>
      </w:pPr>
      <w:rPr/>
    </w:lvl>
    <w:lvl w:ilvl="4">
      <w:start w:val="1"/>
      <w:numFmt w:val="decimal"/>
      <w:lvlText w:val="%1.%2.%3.%4.%5."/>
      <w:lvlJc w:val="left"/>
      <w:pPr>
        <w:tabs>
          <w:tab w:val="num" w:pos="0"/>
        </w:tabs>
        <w:ind w:left="3367" w:hanging="792"/>
      </w:pPr>
      <w:rPr/>
    </w:lvl>
    <w:lvl w:ilvl="5">
      <w:start w:val="1"/>
      <w:numFmt w:val="decimal"/>
      <w:lvlText w:val="%1.%2.%3.%4.%5.%6."/>
      <w:lvlJc w:val="left"/>
      <w:pPr>
        <w:tabs>
          <w:tab w:val="num" w:pos="0"/>
        </w:tabs>
        <w:ind w:left="3871" w:hanging="936"/>
      </w:pPr>
      <w:rPr/>
    </w:lvl>
    <w:lvl w:ilvl="6">
      <w:start w:val="1"/>
      <w:numFmt w:val="decimal"/>
      <w:lvlText w:val="%1.%2.%3.%4.%5.%6.%7."/>
      <w:lvlJc w:val="left"/>
      <w:pPr>
        <w:tabs>
          <w:tab w:val="num" w:pos="0"/>
        </w:tabs>
        <w:ind w:left="4375" w:hanging="1080"/>
      </w:pPr>
      <w:rPr/>
    </w:lvl>
    <w:lvl w:ilvl="7">
      <w:start w:val="1"/>
      <w:numFmt w:val="decimal"/>
      <w:lvlText w:val="%1.%2.%3.%4.%5.%6.%7.%8."/>
      <w:lvlJc w:val="left"/>
      <w:pPr>
        <w:tabs>
          <w:tab w:val="num" w:pos="0"/>
        </w:tabs>
        <w:ind w:left="4879" w:hanging="1224"/>
      </w:pPr>
      <w:rPr/>
    </w:lvl>
    <w:lvl w:ilvl="8">
      <w:start w:val="1"/>
      <w:numFmt w:val="decimal"/>
      <w:lvlText w:val="%1.%2.%3.%4.%5.%6.%7.%8.%9."/>
      <w:lvlJc w:val="left"/>
      <w:pPr>
        <w:tabs>
          <w:tab w:val="num" w:pos="0"/>
        </w:tabs>
        <w:ind w:left="5455" w:hanging="1440"/>
      </w:pPr>
      <w:rPr/>
    </w:lvl>
  </w:abstractNum>
  <w:abstractNum w:abstractNumId="32">
    <w:lvl w:ilvl="0">
      <w:start w:val="1"/>
      <w:numFmt w:val="decimal"/>
      <w:lvlText w:val="%1."/>
      <w:lvlJc w:val="left"/>
      <w:pPr>
        <w:tabs>
          <w:tab w:val="num" w:pos="0"/>
        </w:tabs>
        <w:ind w:left="1495" w:hanging="360"/>
      </w:pPr>
      <w:rPr>
        <w:b/>
      </w:rPr>
    </w:lvl>
    <w:lvl w:ilvl="1">
      <w:start w:val="1"/>
      <w:numFmt w:val="decimal"/>
      <w:lvlText w:val="%1.%2."/>
      <w:lvlJc w:val="left"/>
      <w:pPr>
        <w:tabs>
          <w:tab w:val="num" w:pos="0"/>
        </w:tabs>
        <w:ind w:left="1709" w:hanging="432"/>
      </w:pPr>
      <w:rPr>
        <w:dstrike w:val="false"/>
        <w:strike w:val="false"/>
        <w:sz w:val="20"/>
        <w:i w:val="false"/>
        <w:u w:val="none"/>
        <w:b w:val="false"/>
        <w:szCs w:val="20"/>
        <w:color w:val="auto"/>
      </w:rPr>
    </w:lvl>
    <w:lvl w:ilvl="2">
      <w:start w:val="1"/>
      <w:numFmt w:val="decimal"/>
      <w:lvlText w:val="%1.%2.%3"/>
      <w:lvlJc w:val="left"/>
      <w:pPr>
        <w:tabs>
          <w:tab w:val="num" w:pos="0"/>
        </w:tabs>
        <w:ind w:left="3624" w:hanging="504"/>
      </w:pPr>
      <w:rPr>
        <w:dstrike w:val="false"/>
        <w:strike w:val="false"/>
        <w:sz w:val="20"/>
        <w:i w:val="false"/>
        <w:b w:val="false"/>
        <w:szCs w:val="20"/>
        <w:color w:val="000000"/>
      </w:rPr>
    </w:lvl>
    <w:lvl w:ilvl="3">
      <w:start w:val="1"/>
      <w:numFmt w:val="decimal"/>
      <w:lvlText w:val="%1.%2.%3.%4."/>
      <w:lvlJc w:val="left"/>
      <w:pPr>
        <w:tabs>
          <w:tab w:val="num" w:pos="0"/>
        </w:tabs>
        <w:ind w:left="3626" w:hanging="648"/>
      </w:pPr>
      <w:rPr/>
    </w:lvl>
    <w:lvl w:ilvl="4">
      <w:start w:val="1"/>
      <w:numFmt w:val="decimal"/>
      <w:lvlText w:val="%1.%2.%3.%4.%5."/>
      <w:lvlJc w:val="left"/>
      <w:pPr>
        <w:tabs>
          <w:tab w:val="num" w:pos="0"/>
        </w:tabs>
        <w:ind w:left="3367" w:hanging="792"/>
      </w:pPr>
      <w:rPr/>
    </w:lvl>
    <w:lvl w:ilvl="5">
      <w:start w:val="1"/>
      <w:numFmt w:val="decimal"/>
      <w:lvlText w:val="%1.%2.%3.%4.%5.%6."/>
      <w:lvlJc w:val="left"/>
      <w:pPr>
        <w:tabs>
          <w:tab w:val="num" w:pos="0"/>
        </w:tabs>
        <w:ind w:left="3871" w:hanging="936"/>
      </w:pPr>
      <w:rPr/>
    </w:lvl>
    <w:lvl w:ilvl="6">
      <w:start w:val="1"/>
      <w:numFmt w:val="decimal"/>
      <w:lvlText w:val="%1.%2.%3.%4.%5.%6.%7."/>
      <w:lvlJc w:val="left"/>
      <w:pPr>
        <w:tabs>
          <w:tab w:val="num" w:pos="0"/>
        </w:tabs>
        <w:ind w:left="4375" w:hanging="1080"/>
      </w:pPr>
      <w:rPr/>
    </w:lvl>
    <w:lvl w:ilvl="7">
      <w:start w:val="1"/>
      <w:numFmt w:val="decimal"/>
      <w:lvlText w:val="%1.%2.%3.%4.%5.%6.%7.%8."/>
      <w:lvlJc w:val="left"/>
      <w:pPr>
        <w:tabs>
          <w:tab w:val="num" w:pos="0"/>
        </w:tabs>
        <w:ind w:left="4879" w:hanging="1224"/>
      </w:pPr>
      <w:rPr/>
    </w:lvl>
    <w:lvl w:ilvl="8">
      <w:start w:val="1"/>
      <w:numFmt w:val="decimal"/>
      <w:lvlText w:val="%1.%2.%3.%4.%5.%6.%7.%8.%9."/>
      <w:lvlJc w:val="left"/>
      <w:pPr>
        <w:tabs>
          <w:tab w:val="num" w:pos="0"/>
        </w:tabs>
        <w:ind w:left="5455" w:hanging="1440"/>
      </w:pPr>
      <w:rPr/>
    </w:lvl>
  </w:abstractNum>
  <w:abstractNum w:abstractNumId="33">
    <w:lvl w:ilvl="0">
      <w:start w:val="1"/>
      <w:numFmt w:val="decimal"/>
      <w:lvlText w:val="%1."/>
      <w:lvlJc w:val="left"/>
      <w:pPr>
        <w:tabs>
          <w:tab w:val="num" w:pos="0"/>
        </w:tabs>
        <w:ind w:left="1495" w:hanging="360"/>
      </w:pPr>
      <w:rPr>
        <w:b/>
      </w:rPr>
    </w:lvl>
    <w:lvl w:ilvl="1">
      <w:start w:val="1"/>
      <w:numFmt w:val="decimal"/>
      <w:lvlText w:val="%1.%2."/>
      <w:lvlJc w:val="left"/>
      <w:pPr>
        <w:tabs>
          <w:tab w:val="num" w:pos="0"/>
        </w:tabs>
        <w:ind w:left="1709" w:hanging="432"/>
      </w:pPr>
      <w:rPr>
        <w:dstrike w:val="false"/>
        <w:strike w:val="false"/>
        <w:sz w:val="20"/>
        <w:i w:val="false"/>
        <w:u w:val="none"/>
        <w:b w:val="false"/>
        <w:szCs w:val="20"/>
        <w:color w:val="auto"/>
      </w:rPr>
    </w:lvl>
    <w:lvl w:ilvl="2">
      <w:start w:val="1"/>
      <w:numFmt w:val="decimal"/>
      <w:lvlText w:val="%1.%2.%3"/>
      <w:lvlJc w:val="left"/>
      <w:pPr>
        <w:tabs>
          <w:tab w:val="num" w:pos="0"/>
        </w:tabs>
        <w:ind w:left="3624" w:hanging="504"/>
      </w:pPr>
      <w:rPr>
        <w:dstrike w:val="false"/>
        <w:strike w:val="false"/>
        <w:sz w:val="20"/>
        <w:i w:val="false"/>
        <w:b w:val="false"/>
        <w:szCs w:val="20"/>
        <w:color w:val="000000"/>
      </w:rPr>
    </w:lvl>
    <w:lvl w:ilvl="3">
      <w:start w:val="1"/>
      <w:numFmt w:val="decimal"/>
      <w:lvlText w:val="%1.%2.%3.%4."/>
      <w:lvlJc w:val="left"/>
      <w:pPr>
        <w:tabs>
          <w:tab w:val="num" w:pos="0"/>
        </w:tabs>
        <w:ind w:left="3626" w:hanging="648"/>
      </w:pPr>
      <w:rPr/>
    </w:lvl>
    <w:lvl w:ilvl="4">
      <w:start w:val="1"/>
      <w:numFmt w:val="decimal"/>
      <w:lvlText w:val="%1.%2.%3.%4.%5."/>
      <w:lvlJc w:val="left"/>
      <w:pPr>
        <w:tabs>
          <w:tab w:val="num" w:pos="0"/>
        </w:tabs>
        <w:ind w:left="3367" w:hanging="792"/>
      </w:pPr>
      <w:rPr/>
    </w:lvl>
    <w:lvl w:ilvl="5">
      <w:start w:val="1"/>
      <w:numFmt w:val="decimal"/>
      <w:lvlText w:val="%1.%2.%3.%4.%5.%6."/>
      <w:lvlJc w:val="left"/>
      <w:pPr>
        <w:tabs>
          <w:tab w:val="num" w:pos="0"/>
        </w:tabs>
        <w:ind w:left="3871" w:hanging="936"/>
      </w:pPr>
      <w:rPr/>
    </w:lvl>
    <w:lvl w:ilvl="6">
      <w:start w:val="1"/>
      <w:numFmt w:val="decimal"/>
      <w:lvlText w:val="%1.%2.%3.%4.%5.%6.%7."/>
      <w:lvlJc w:val="left"/>
      <w:pPr>
        <w:tabs>
          <w:tab w:val="num" w:pos="0"/>
        </w:tabs>
        <w:ind w:left="4375" w:hanging="1080"/>
      </w:pPr>
      <w:rPr/>
    </w:lvl>
    <w:lvl w:ilvl="7">
      <w:start w:val="1"/>
      <w:numFmt w:val="decimal"/>
      <w:lvlText w:val="%1.%2.%3.%4.%5.%6.%7.%8."/>
      <w:lvlJc w:val="left"/>
      <w:pPr>
        <w:tabs>
          <w:tab w:val="num" w:pos="0"/>
        </w:tabs>
        <w:ind w:left="4879" w:hanging="1224"/>
      </w:pPr>
      <w:rPr/>
    </w:lvl>
    <w:lvl w:ilvl="8">
      <w:start w:val="1"/>
      <w:numFmt w:val="decimal"/>
      <w:lvlText w:val="%1.%2.%3.%4.%5.%6.%7.%8.%9."/>
      <w:lvlJc w:val="left"/>
      <w:pPr>
        <w:tabs>
          <w:tab w:val="num" w:pos="0"/>
        </w:tabs>
        <w:ind w:left="5455" w:hanging="1440"/>
      </w:pPr>
      <w:rPr/>
    </w:lvl>
  </w:abstractNum>
  <w:abstractNum w:abstractNumId="34">
    <w:lvl w:ilvl="0">
      <w:start w:val="1"/>
      <w:numFmt w:val="decimal"/>
      <w:lvlText w:val="%1."/>
      <w:lvlJc w:val="left"/>
      <w:pPr>
        <w:tabs>
          <w:tab w:val="num" w:pos="0"/>
        </w:tabs>
        <w:ind w:left="1495" w:hanging="360"/>
      </w:pPr>
      <w:rPr>
        <w:b/>
      </w:rPr>
    </w:lvl>
    <w:lvl w:ilvl="1">
      <w:start w:val="1"/>
      <w:numFmt w:val="decimal"/>
      <w:lvlText w:val="%1.%2."/>
      <w:lvlJc w:val="left"/>
      <w:pPr>
        <w:tabs>
          <w:tab w:val="num" w:pos="0"/>
        </w:tabs>
        <w:ind w:left="1709" w:hanging="432"/>
      </w:pPr>
      <w:rPr>
        <w:dstrike w:val="false"/>
        <w:strike w:val="false"/>
        <w:sz w:val="20"/>
        <w:i w:val="false"/>
        <w:u w:val="none"/>
        <w:b w:val="false"/>
        <w:szCs w:val="20"/>
        <w:color w:val="auto"/>
      </w:rPr>
    </w:lvl>
    <w:lvl w:ilvl="2">
      <w:start w:val="1"/>
      <w:numFmt w:val="decimal"/>
      <w:lvlText w:val="%1.%2.%3"/>
      <w:lvlJc w:val="left"/>
      <w:pPr>
        <w:tabs>
          <w:tab w:val="num" w:pos="0"/>
        </w:tabs>
        <w:ind w:left="3624" w:hanging="504"/>
      </w:pPr>
      <w:rPr>
        <w:dstrike w:val="false"/>
        <w:strike w:val="false"/>
        <w:sz w:val="20"/>
        <w:i w:val="false"/>
        <w:b w:val="false"/>
        <w:szCs w:val="20"/>
        <w:color w:val="000000"/>
      </w:rPr>
    </w:lvl>
    <w:lvl w:ilvl="3">
      <w:start w:val="1"/>
      <w:numFmt w:val="decimal"/>
      <w:lvlText w:val="%1.%2.%3.%4."/>
      <w:lvlJc w:val="left"/>
      <w:pPr>
        <w:tabs>
          <w:tab w:val="num" w:pos="0"/>
        </w:tabs>
        <w:ind w:left="3626" w:hanging="648"/>
      </w:pPr>
      <w:rPr/>
    </w:lvl>
    <w:lvl w:ilvl="4">
      <w:start w:val="1"/>
      <w:numFmt w:val="decimal"/>
      <w:lvlText w:val="%1.%2.%3.%4.%5."/>
      <w:lvlJc w:val="left"/>
      <w:pPr>
        <w:tabs>
          <w:tab w:val="num" w:pos="0"/>
        </w:tabs>
        <w:ind w:left="3367" w:hanging="792"/>
      </w:pPr>
      <w:rPr/>
    </w:lvl>
    <w:lvl w:ilvl="5">
      <w:start w:val="1"/>
      <w:numFmt w:val="decimal"/>
      <w:lvlText w:val="%1.%2.%3.%4.%5.%6."/>
      <w:lvlJc w:val="left"/>
      <w:pPr>
        <w:tabs>
          <w:tab w:val="num" w:pos="0"/>
        </w:tabs>
        <w:ind w:left="3871" w:hanging="936"/>
      </w:pPr>
      <w:rPr/>
    </w:lvl>
    <w:lvl w:ilvl="6">
      <w:start w:val="1"/>
      <w:numFmt w:val="decimal"/>
      <w:lvlText w:val="%1.%2.%3.%4.%5.%6.%7."/>
      <w:lvlJc w:val="left"/>
      <w:pPr>
        <w:tabs>
          <w:tab w:val="num" w:pos="0"/>
        </w:tabs>
        <w:ind w:left="4375" w:hanging="1080"/>
      </w:pPr>
      <w:rPr/>
    </w:lvl>
    <w:lvl w:ilvl="7">
      <w:start w:val="1"/>
      <w:numFmt w:val="decimal"/>
      <w:lvlText w:val="%1.%2.%3.%4.%5.%6.%7.%8."/>
      <w:lvlJc w:val="left"/>
      <w:pPr>
        <w:tabs>
          <w:tab w:val="num" w:pos="0"/>
        </w:tabs>
        <w:ind w:left="4879" w:hanging="1224"/>
      </w:pPr>
      <w:rPr/>
    </w:lvl>
    <w:lvl w:ilvl="8">
      <w:start w:val="1"/>
      <w:numFmt w:val="decimal"/>
      <w:lvlText w:val="%1.%2.%3.%4.%5.%6.%7.%8.%9."/>
      <w:lvlJc w:val="left"/>
      <w:pPr>
        <w:tabs>
          <w:tab w:val="num" w:pos="0"/>
        </w:tabs>
        <w:ind w:left="5455" w:hanging="1440"/>
      </w:pPr>
      <w:rPr/>
    </w:lvl>
  </w:abstractNum>
  <w:abstractNum w:abstractNumId="35">
    <w:lvl w:ilvl="0">
      <w:start w:val="1"/>
      <w:numFmt w:val="decimal"/>
      <w:lvlText w:val="%1."/>
      <w:lvlJc w:val="left"/>
      <w:pPr>
        <w:tabs>
          <w:tab w:val="num" w:pos="0"/>
        </w:tabs>
        <w:ind w:left="1495" w:hanging="360"/>
      </w:pPr>
      <w:rPr>
        <w:b/>
      </w:rPr>
    </w:lvl>
    <w:lvl w:ilvl="1">
      <w:start w:val="1"/>
      <w:numFmt w:val="decimal"/>
      <w:lvlText w:val="%1.%2."/>
      <w:lvlJc w:val="left"/>
      <w:pPr>
        <w:tabs>
          <w:tab w:val="num" w:pos="0"/>
        </w:tabs>
        <w:ind w:left="1709" w:hanging="432"/>
      </w:pPr>
      <w:rPr>
        <w:dstrike w:val="false"/>
        <w:strike w:val="false"/>
        <w:sz w:val="20"/>
        <w:i w:val="false"/>
        <w:u w:val="none"/>
        <w:b w:val="false"/>
        <w:szCs w:val="20"/>
        <w:color w:val="auto"/>
      </w:rPr>
    </w:lvl>
    <w:lvl w:ilvl="2">
      <w:start w:val="1"/>
      <w:numFmt w:val="decimal"/>
      <w:lvlText w:val="%1.%2.%3"/>
      <w:lvlJc w:val="left"/>
      <w:pPr>
        <w:tabs>
          <w:tab w:val="num" w:pos="0"/>
        </w:tabs>
        <w:ind w:left="3624" w:hanging="504"/>
      </w:pPr>
      <w:rPr>
        <w:dstrike w:val="false"/>
        <w:strike w:val="false"/>
        <w:sz w:val="20"/>
        <w:i w:val="false"/>
        <w:b w:val="false"/>
        <w:szCs w:val="20"/>
        <w:color w:val="000000"/>
      </w:rPr>
    </w:lvl>
    <w:lvl w:ilvl="3">
      <w:start w:val="1"/>
      <w:numFmt w:val="decimal"/>
      <w:lvlText w:val="%1.%2.%3.%4."/>
      <w:lvlJc w:val="left"/>
      <w:pPr>
        <w:tabs>
          <w:tab w:val="num" w:pos="0"/>
        </w:tabs>
        <w:ind w:left="3626" w:hanging="648"/>
      </w:pPr>
      <w:rPr/>
    </w:lvl>
    <w:lvl w:ilvl="4">
      <w:start w:val="1"/>
      <w:numFmt w:val="decimal"/>
      <w:lvlText w:val="%1.%2.%3.%4.%5."/>
      <w:lvlJc w:val="left"/>
      <w:pPr>
        <w:tabs>
          <w:tab w:val="num" w:pos="0"/>
        </w:tabs>
        <w:ind w:left="3367" w:hanging="792"/>
      </w:pPr>
      <w:rPr/>
    </w:lvl>
    <w:lvl w:ilvl="5">
      <w:start w:val="1"/>
      <w:numFmt w:val="decimal"/>
      <w:lvlText w:val="%1.%2.%3.%4.%5.%6."/>
      <w:lvlJc w:val="left"/>
      <w:pPr>
        <w:tabs>
          <w:tab w:val="num" w:pos="0"/>
        </w:tabs>
        <w:ind w:left="3871" w:hanging="936"/>
      </w:pPr>
      <w:rPr/>
    </w:lvl>
    <w:lvl w:ilvl="6">
      <w:start w:val="1"/>
      <w:numFmt w:val="decimal"/>
      <w:lvlText w:val="%1.%2.%3.%4.%5.%6.%7."/>
      <w:lvlJc w:val="left"/>
      <w:pPr>
        <w:tabs>
          <w:tab w:val="num" w:pos="0"/>
        </w:tabs>
        <w:ind w:left="4375" w:hanging="1080"/>
      </w:pPr>
      <w:rPr/>
    </w:lvl>
    <w:lvl w:ilvl="7">
      <w:start w:val="1"/>
      <w:numFmt w:val="decimal"/>
      <w:lvlText w:val="%1.%2.%3.%4.%5.%6.%7.%8."/>
      <w:lvlJc w:val="left"/>
      <w:pPr>
        <w:tabs>
          <w:tab w:val="num" w:pos="0"/>
        </w:tabs>
        <w:ind w:left="4879" w:hanging="1224"/>
      </w:pPr>
      <w:rPr/>
    </w:lvl>
    <w:lvl w:ilvl="8">
      <w:start w:val="1"/>
      <w:numFmt w:val="decimal"/>
      <w:lvlText w:val="%1.%2.%3.%4.%5.%6.%7.%8.%9."/>
      <w:lvlJc w:val="left"/>
      <w:pPr>
        <w:tabs>
          <w:tab w:val="num" w:pos="0"/>
        </w:tabs>
        <w:ind w:left="5455" w:hanging="1440"/>
      </w:pPr>
      <w:rPr/>
    </w:lvl>
  </w:abstractNum>
  <w:abstractNum w:abstractNumId="36">
    <w:lvl w:ilvl="0">
      <w:start w:val="1"/>
      <w:numFmt w:val="decimal"/>
      <w:lvlText w:val="%1."/>
      <w:lvlJc w:val="left"/>
      <w:pPr>
        <w:tabs>
          <w:tab w:val="num" w:pos="0"/>
        </w:tabs>
        <w:ind w:left="1495" w:hanging="360"/>
      </w:pPr>
      <w:rPr>
        <w:b/>
      </w:rPr>
    </w:lvl>
    <w:lvl w:ilvl="1">
      <w:start w:val="1"/>
      <w:numFmt w:val="decimal"/>
      <w:lvlText w:val="%1.%2."/>
      <w:lvlJc w:val="left"/>
      <w:pPr>
        <w:tabs>
          <w:tab w:val="num" w:pos="0"/>
        </w:tabs>
        <w:ind w:left="1709" w:hanging="432"/>
      </w:pPr>
      <w:rPr>
        <w:dstrike w:val="false"/>
        <w:strike w:val="false"/>
        <w:sz w:val="20"/>
        <w:i w:val="false"/>
        <w:u w:val="none"/>
        <w:b w:val="false"/>
        <w:szCs w:val="20"/>
        <w:color w:val="auto"/>
      </w:rPr>
    </w:lvl>
    <w:lvl w:ilvl="2">
      <w:start w:val="1"/>
      <w:numFmt w:val="decimal"/>
      <w:lvlText w:val="%1.%2.%3"/>
      <w:lvlJc w:val="left"/>
      <w:pPr>
        <w:tabs>
          <w:tab w:val="num" w:pos="0"/>
        </w:tabs>
        <w:ind w:left="3624" w:hanging="504"/>
      </w:pPr>
      <w:rPr>
        <w:dstrike w:val="false"/>
        <w:strike w:val="false"/>
        <w:sz w:val="20"/>
        <w:i w:val="false"/>
        <w:b w:val="false"/>
        <w:szCs w:val="20"/>
        <w:color w:val="000000"/>
      </w:rPr>
    </w:lvl>
    <w:lvl w:ilvl="3">
      <w:start w:val="1"/>
      <w:numFmt w:val="decimal"/>
      <w:lvlText w:val="%1.%2.%3.%4."/>
      <w:lvlJc w:val="left"/>
      <w:pPr>
        <w:tabs>
          <w:tab w:val="num" w:pos="0"/>
        </w:tabs>
        <w:ind w:left="3626" w:hanging="648"/>
      </w:pPr>
      <w:rPr/>
    </w:lvl>
    <w:lvl w:ilvl="4">
      <w:start w:val="1"/>
      <w:numFmt w:val="decimal"/>
      <w:lvlText w:val="%1.%2.%3.%4.%5."/>
      <w:lvlJc w:val="left"/>
      <w:pPr>
        <w:tabs>
          <w:tab w:val="num" w:pos="0"/>
        </w:tabs>
        <w:ind w:left="3367" w:hanging="792"/>
      </w:pPr>
      <w:rPr/>
    </w:lvl>
    <w:lvl w:ilvl="5">
      <w:start w:val="1"/>
      <w:numFmt w:val="decimal"/>
      <w:lvlText w:val="%1.%2.%3.%4.%5.%6."/>
      <w:lvlJc w:val="left"/>
      <w:pPr>
        <w:tabs>
          <w:tab w:val="num" w:pos="0"/>
        </w:tabs>
        <w:ind w:left="3871" w:hanging="936"/>
      </w:pPr>
      <w:rPr/>
    </w:lvl>
    <w:lvl w:ilvl="6">
      <w:start w:val="1"/>
      <w:numFmt w:val="decimal"/>
      <w:lvlText w:val="%1.%2.%3.%4.%5.%6.%7."/>
      <w:lvlJc w:val="left"/>
      <w:pPr>
        <w:tabs>
          <w:tab w:val="num" w:pos="0"/>
        </w:tabs>
        <w:ind w:left="4375" w:hanging="1080"/>
      </w:pPr>
      <w:rPr/>
    </w:lvl>
    <w:lvl w:ilvl="7">
      <w:start w:val="1"/>
      <w:numFmt w:val="decimal"/>
      <w:lvlText w:val="%1.%2.%3.%4.%5.%6.%7.%8."/>
      <w:lvlJc w:val="left"/>
      <w:pPr>
        <w:tabs>
          <w:tab w:val="num" w:pos="0"/>
        </w:tabs>
        <w:ind w:left="4879" w:hanging="1224"/>
      </w:pPr>
      <w:rPr/>
    </w:lvl>
    <w:lvl w:ilvl="8">
      <w:start w:val="1"/>
      <w:numFmt w:val="decimal"/>
      <w:lvlText w:val="%1.%2.%3.%4.%5.%6.%7.%8.%9."/>
      <w:lvlJc w:val="left"/>
      <w:pPr>
        <w:tabs>
          <w:tab w:val="num" w:pos="0"/>
        </w:tabs>
        <w:ind w:left="5455" w:hanging="1440"/>
      </w:pPr>
      <w:rPr/>
    </w:lvl>
  </w:abstractNum>
  <w:abstractNum w:abstractNumId="37">
    <w:lvl w:ilvl="0">
      <w:start w:val="1"/>
      <w:numFmt w:val="decimal"/>
      <w:lvlText w:val="%1."/>
      <w:lvlJc w:val="left"/>
      <w:pPr>
        <w:tabs>
          <w:tab w:val="num" w:pos="0"/>
        </w:tabs>
        <w:ind w:left="1495" w:hanging="360"/>
      </w:pPr>
      <w:rPr>
        <w:b/>
      </w:rPr>
    </w:lvl>
    <w:lvl w:ilvl="1">
      <w:start w:val="1"/>
      <w:numFmt w:val="decimal"/>
      <w:lvlText w:val="%1.%2."/>
      <w:lvlJc w:val="left"/>
      <w:pPr>
        <w:tabs>
          <w:tab w:val="num" w:pos="0"/>
        </w:tabs>
        <w:ind w:left="1709" w:hanging="432"/>
      </w:pPr>
      <w:rPr>
        <w:dstrike w:val="false"/>
        <w:strike w:val="false"/>
        <w:sz w:val="20"/>
        <w:i w:val="false"/>
        <w:u w:val="none"/>
        <w:b w:val="false"/>
        <w:szCs w:val="20"/>
        <w:color w:val="auto"/>
      </w:rPr>
    </w:lvl>
    <w:lvl w:ilvl="2">
      <w:start w:val="1"/>
      <w:numFmt w:val="decimal"/>
      <w:lvlText w:val="%1.%2.%3"/>
      <w:lvlJc w:val="left"/>
      <w:pPr>
        <w:tabs>
          <w:tab w:val="num" w:pos="0"/>
        </w:tabs>
        <w:ind w:left="3624" w:hanging="504"/>
      </w:pPr>
      <w:rPr>
        <w:dstrike w:val="false"/>
        <w:strike w:val="false"/>
        <w:sz w:val="20"/>
        <w:i w:val="false"/>
        <w:b w:val="false"/>
        <w:szCs w:val="20"/>
        <w:color w:val="000000"/>
      </w:rPr>
    </w:lvl>
    <w:lvl w:ilvl="3">
      <w:start w:val="1"/>
      <w:numFmt w:val="decimal"/>
      <w:lvlText w:val="%1.%2.%3.%4."/>
      <w:lvlJc w:val="left"/>
      <w:pPr>
        <w:tabs>
          <w:tab w:val="num" w:pos="0"/>
        </w:tabs>
        <w:ind w:left="3626" w:hanging="648"/>
      </w:pPr>
      <w:rPr/>
    </w:lvl>
    <w:lvl w:ilvl="4">
      <w:start w:val="1"/>
      <w:numFmt w:val="decimal"/>
      <w:lvlText w:val="%1.%2.%3.%4.%5."/>
      <w:lvlJc w:val="left"/>
      <w:pPr>
        <w:tabs>
          <w:tab w:val="num" w:pos="0"/>
        </w:tabs>
        <w:ind w:left="3367" w:hanging="792"/>
      </w:pPr>
      <w:rPr/>
    </w:lvl>
    <w:lvl w:ilvl="5">
      <w:start w:val="1"/>
      <w:numFmt w:val="decimal"/>
      <w:lvlText w:val="%1.%2.%3.%4.%5.%6."/>
      <w:lvlJc w:val="left"/>
      <w:pPr>
        <w:tabs>
          <w:tab w:val="num" w:pos="0"/>
        </w:tabs>
        <w:ind w:left="3871" w:hanging="936"/>
      </w:pPr>
      <w:rPr/>
    </w:lvl>
    <w:lvl w:ilvl="6">
      <w:start w:val="1"/>
      <w:numFmt w:val="decimal"/>
      <w:lvlText w:val="%1.%2.%3.%4.%5.%6.%7."/>
      <w:lvlJc w:val="left"/>
      <w:pPr>
        <w:tabs>
          <w:tab w:val="num" w:pos="0"/>
        </w:tabs>
        <w:ind w:left="4375" w:hanging="1080"/>
      </w:pPr>
      <w:rPr/>
    </w:lvl>
    <w:lvl w:ilvl="7">
      <w:start w:val="1"/>
      <w:numFmt w:val="decimal"/>
      <w:lvlText w:val="%1.%2.%3.%4.%5.%6.%7.%8."/>
      <w:lvlJc w:val="left"/>
      <w:pPr>
        <w:tabs>
          <w:tab w:val="num" w:pos="0"/>
        </w:tabs>
        <w:ind w:left="4879" w:hanging="1224"/>
      </w:pPr>
      <w:rPr/>
    </w:lvl>
    <w:lvl w:ilvl="8">
      <w:start w:val="1"/>
      <w:numFmt w:val="decimal"/>
      <w:lvlText w:val="%1.%2.%3.%4.%5.%6.%7.%8.%9."/>
      <w:lvlJc w:val="left"/>
      <w:pPr>
        <w:tabs>
          <w:tab w:val="num" w:pos="0"/>
        </w:tabs>
        <w:ind w:left="5455" w:hanging="1440"/>
      </w:pPr>
      <w:rPr/>
    </w:lvl>
  </w:abstractNum>
  <w:abstractNum w:abstractNumId="38">
    <w:lvl w:ilvl="0">
      <w:start w:val="1"/>
      <w:numFmt w:val="decimal"/>
      <w:lvlText w:val="%1."/>
      <w:lvlJc w:val="left"/>
      <w:pPr>
        <w:tabs>
          <w:tab w:val="num" w:pos="0"/>
        </w:tabs>
        <w:ind w:left="1495" w:hanging="360"/>
      </w:pPr>
      <w:rPr>
        <w:b/>
      </w:rPr>
    </w:lvl>
    <w:lvl w:ilvl="1">
      <w:start w:val="1"/>
      <w:numFmt w:val="decimal"/>
      <w:lvlText w:val="%1.%2."/>
      <w:lvlJc w:val="left"/>
      <w:pPr>
        <w:tabs>
          <w:tab w:val="num" w:pos="0"/>
        </w:tabs>
        <w:ind w:left="1709" w:hanging="432"/>
      </w:pPr>
      <w:rPr>
        <w:dstrike w:val="false"/>
        <w:strike w:val="false"/>
        <w:sz w:val="20"/>
        <w:i w:val="false"/>
        <w:u w:val="none"/>
        <w:b w:val="false"/>
        <w:szCs w:val="20"/>
        <w:color w:val="auto"/>
      </w:rPr>
    </w:lvl>
    <w:lvl w:ilvl="2">
      <w:start w:val="1"/>
      <w:numFmt w:val="decimal"/>
      <w:lvlText w:val="%1.%2.%3"/>
      <w:lvlJc w:val="left"/>
      <w:pPr>
        <w:tabs>
          <w:tab w:val="num" w:pos="0"/>
        </w:tabs>
        <w:ind w:left="3624" w:hanging="504"/>
      </w:pPr>
      <w:rPr>
        <w:dstrike w:val="false"/>
        <w:strike w:val="false"/>
        <w:sz w:val="20"/>
        <w:i w:val="false"/>
        <w:b w:val="false"/>
        <w:szCs w:val="20"/>
        <w:color w:val="000000"/>
      </w:rPr>
    </w:lvl>
    <w:lvl w:ilvl="3">
      <w:start w:val="1"/>
      <w:numFmt w:val="decimal"/>
      <w:lvlText w:val="%1.%2.%3.%4."/>
      <w:lvlJc w:val="left"/>
      <w:pPr>
        <w:tabs>
          <w:tab w:val="num" w:pos="0"/>
        </w:tabs>
        <w:ind w:left="3626" w:hanging="648"/>
      </w:pPr>
      <w:rPr/>
    </w:lvl>
    <w:lvl w:ilvl="4">
      <w:start w:val="1"/>
      <w:numFmt w:val="decimal"/>
      <w:lvlText w:val="%1.%2.%3.%4.%5."/>
      <w:lvlJc w:val="left"/>
      <w:pPr>
        <w:tabs>
          <w:tab w:val="num" w:pos="0"/>
        </w:tabs>
        <w:ind w:left="3367" w:hanging="792"/>
      </w:pPr>
      <w:rPr/>
    </w:lvl>
    <w:lvl w:ilvl="5">
      <w:start w:val="1"/>
      <w:numFmt w:val="decimal"/>
      <w:lvlText w:val="%1.%2.%3.%4.%5.%6."/>
      <w:lvlJc w:val="left"/>
      <w:pPr>
        <w:tabs>
          <w:tab w:val="num" w:pos="0"/>
        </w:tabs>
        <w:ind w:left="3871" w:hanging="936"/>
      </w:pPr>
      <w:rPr/>
    </w:lvl>
    <w:lvl w:ilvl="6">
      <w:start w:val="1"/>
      <w:numFmt w:val="decimal"/>
      <w:lvlText w:val="%1.%2.%3.%4.%5.%6.%7."/>
      <w:lvlJc w:val="left"/>
      <w:pPr>
        <w:tabs>
          <w:tab w:val="num" w:pos="0"/>
        </w:tabs>
        <w:ind w:left="4375" w:hanging="1080"/>
      </w:pPr>
      <w:rPr/>
    </w:lvl>
    <w:lvl w:ilvl="7">
      <w:start w:val="1"/>
      <w:numFmt w:val="decimal"/>
      <w:lvlText w:val="%1.%2.%3.%4.%5.%6.%7.%8."/>
      <w:lvlJc w:val="left"/>
      <w:pPr>
        <w:tabs>
          <w:tab w:val="num" w:pos="0"/>
        </w:tabs>
        <w:ind w:left="4879" w:hanging="1224"/>
      </w:pPr>
      <w:rPr/>
    </w:lvl>
    <w:lvl w:ilvl="8">
      <w:start w:val="1"/>
      <w:numFmt w:val="decimal"/>
      <w:lvlText w:val="%1.%2.%3.%4.%5.%6.%7.%8.%9."/>
      <w:lvlJc w:val="left"/>
      <w:pPr>
        <w:tabs>
          <w:tab w:val="num" w:pos="0"/>
        </w:tabs>
        <w:ind w:left="5455" w:hanging="1440"/>
      </w:pPr>
      <w:rPr/>
    </w:lvl>
  </w:abstractNum>
  <w:abstractNum w:abstractNumId="39">
    <w:lvl w:ilvl="0">
      <w:start w:val="1"/>
      <w:numFmt w:val="decimal"/>
      <w:lvlText w:val="%1."/>
      <w:lvlJc w:val="left"/>
      <w:pPr>
        <w:tabs>
          <w:tab w:val="num" w:pos="0"/>
        </w:tabs>
        <w:ind w:left="1495" w:hanging="360"/>
      </w:pPr>
      <w:rPr>
        <w:b/>
      </w:rPr>
    </w:lvl>
    <w:lvl w:ilvl="1">
      <w:start w:val="1"/>
      <w:numFmt w:val="decimal"/>
      <w:lvlText w:val="%1.%2."/>
      <w:lvlJc w:val="left"/>
      <w:pPr>
        <w:tabs>
          <w:tab w:val="num" w:pos="0"/>
        </w:tabs>
        <w:ind w:left="1709" w:hanging="432"/>
      </w:pPr>
      <w:rPr>
        <w:dstrike w:val="false"/>
        <w:strike w:val="false"/>
        <w:sz w:val="20"/>
        <w:i w:val="false"/>
        <w:u w:val="none"/>
        <w:b w:val="false"/>
        <w:szCs w:val="20"/>
        <w:color w:val="auto"/>
      </w:rPr>
    </w:lvl>
    <w:lvl w:ilvl="2">
      <w:start w:val="1"/>
      <w:numFmt w:val="decimal"/>
      <w:lvlText w:val="%1.%2.%3"/>
      <w:lvlJc w:val="left"/>
      <w:pPr>
        <w:tabs>
          <w:tab w:val="num" w:pos="0"/>
        </w:tabs>
        <w:ind w:left="3624" w:hanging="504"/>
      </w:pPr>
      <w:rPr>
        <w:dstrike w:val="false"/>
        <w:strike w:val="false"/>
        <w:sz w:val="20"/>
        <w:i w:val="false"/>
        <w:b w:val="false"/>
        <w:szCs w:val="20"/>
        <w:color w:val="000000"/>
      </w:rPr>
    </w:lvl>
    <w:lvl w:ilvl="3">
      <w:start w:val="1"/>
      <w:numFmt w:val="decimal"/>
      <w:lvlText w:val="%1.%2.%3.%4."/>
      <w:lvlJc w:val="left"/>
      <w:pPr>
        <w:tabs>
          <w:tab w:val="num" w:pos="0"/>
        </w:tabs>
        <w:ind w:left="3626" w:hanging="648"/>
      </w:pPr>
      <w:rPr/>
    </w:lvl>
    <w:lvl w:ilvl="4">
      <w:start w:val="1"/>
      <w:numFmt w:val="decimal"/>
      <w:lvlText w:val="%1.%2.%3.%4.%5."/>
      <w:lvlJc w:val="left"/>
      <w:pPr>
        <w:tabs>
          <w:tab w:val="num" w:pos="0"/>
        </w:tabs>
        <w:ind w:left="3367" w:hanging="792"/>
      </w:pPr>
      <w:rPr/>
    </w:lvl>
    <w:lvl w:ilvl="5">
      <w:start w:val="1"/>
      <w:numFmt w:val="decimal"/>
      <w:lvlText w:val="%1.%2.%3.%4.%5.%6."/>
      <w:lvlJc w:val="left"/>
      <w:pPr>
        <w:tabs>
          <w:tab w:val="num" w:pos="0"/>
        </w:tabs>
        <w:ind w:left="3871" w:hanging="936"/>
      </w:pPr>
      <w:rPr/>
    </w:lvl>
    <w:lvl w:ilvl="6">
      <w:start w:val="1"/>
      <w:numFmt w:val="decimal"/>
      <w:lvlText w:val="%1.%2.%3.%4.%5.%6.%7."/>
      <w:lvlJc w:val="left"/>
      <w:pPr>
        <w:tabs>
          <w:tab w:val="num" w:pos="0"/>
        </w:tabs>
        <w:ind w:left="4375" w:hanging="1080"/>
      </w:pPr>
      <w:rPr/>
    </w:lvl>
    <w:lvl w:ilvl="7">
      <w:start w:val="1"/>
      <w:numFmt w:val="decimal"/>
      <w:lvlText w:val="%1.%2.%3.%4.%5.%6.%7.%8."/>
      <w:lvlJc w:val="left"/>
      <w:pPr>
        <w:tabs>
          <w:tab w:val="num" w:pos="0"/>
        </w:tabs>
        <w:ind w:left="4879" w:hanging="1224"/>
      </w:pPr>
      <w:rPr/>
    </w:lvl>
    <w:lvl w:ilvl="8">
      <w:start w:val="1"/>
      <w:numFmt w:val="decimal"/>
      <w:lvlText w:val="%1.%2.%3.%4.%5.%6.%7.%8.%9."/>
      <w:lvlJc w:val="left"/>
      <w:pPr>
        <w:tabs>
          <w:tab w:val="num" w:pos="0"/>
        </w:tabs>
        <w:ind w:left="5455" w:hanging="1440"/>
      </w:pPr>
      <w:rPr/>
    </w:lvl>
  </w:abstractNum>
  <w:abstractNum w:abstractNumId="40">
    <w:lvl w:ilvl="0">
      <w:start w:val="1"/>
      <w:numFmt w:val="decimal"/>
      <w:lvlText w:val="%1."/>
      <w:lvlJc w:val="left"/>
      <w:pPr>
        <w:tabs>
          <w:tab w:val="num" w:pos="0"/>
        </w:tabs>
        <w:ind w:left="1495" w:hanging="360"/>
      </w:pPr>
      <w:rPr>
        <w:b/>
      </w:rPr>
    </w:lvl>
    <w:lvl w:ilvl="1">
      <w:start w:val="1"/>
      <w:numFmt w:val="decimal"/>
      <w:lvlText w:val="%1.%2."/>
      <w:lvlJc w:val="left"/>
      <w:pPr>
        <w:tabs>
          <w:tab w:val="num" w:pos="0"/>
        </w:tabs>
        <w:ind w:left="1709" w:hanging="432"/>
      </w:pPr>
      <w:rPr>
        <w:dstrike w:val="false"/>
        <w:strike w:val="false"/>
        <w:sz w:val="20"/>
        <w:i w:val="false"/>
        <w:u w:val="none"/>
        <w:b w:val="false"/>
        <w:szCs w:val="20"/>
        <w:color w:val="auto"/>
      </w:rPr>
    </w:lvl>
    <w:lvl w:ilvl="2">
      <w:start w:val="1"/>
      <w:numFmt w:val="decimal"/>
      <w:lvlText w:val="%1.%2.%3"/>
      <w:lvlJc w:val="left"/>
      <w:pPr>
        <w:tabs>
          <w:tab w:val="num" w:pos="0"/>
        </w:tabs>
        <w:ind w:left="3624" w:hanging="504"/>
      </w:pPr>
      <w:rPr>
        <w:dstrike w:val="false"/>
        <w:strike w:val="false"/>
        <w:sz w:val="20"/>
        <w:i w:val="false"/>
        <w:b w:val="false"/>
        <w:szCs w:val="20"/>
        <w:color w:val="000000"/>
      </w:rPr>
    </w:lvl>
    <w:lvl w:ilvl="3">
      <w:start w:val="1"/>
      <w:numFmt w:val="decimal"/>
      <w:lvlText w:val="%1.%2.%3.%4."/>
      <w:lvlJc w:val="left"/>
      <w:pPr>
        <w:tabs>
          <w:tab w:val="num" w:pos="0"/>
        </w:tabs>
        <w:ind w:left="3626" w:hanging="648"/>
      </w:pPr>
      <w:rPr/>
    </w:lvl>
    <w:lvl w:ilvl="4">
      <w:start w:val="1"/>
      <w:numFmt w:val="decimal"/>
      <w:lvlText w:val="%1.%2.%3.%4.%5."/>
      <w:lvlJc w:val="left"/>
      <w:pPr>
        <w:tabs>
          <w:tab w:val="num" w:pos="0"/>
        </w:tabs>
        <w:ind w:left="3367" w:hanging="792"/>
      </w:pPr>
      <w:rPr/>
    </w:lvl>
    <w:lvl w:ilvl="5">
      <w:start w:val="1"/>
      <w:numFmt w:val="decimal"/>
      <w:lvlText w:val="%1.%2.%3.%4.%5.%6."/>
      <w:lvlJc w:val="left"/>
      <w:pPr>
        <w:tabs>
          <w:tab w:val="num" w:pos="0"/>
        </w:tabs>
        <w:ind w:left="3871" w:hanging="936"/>
      </w:pPr>
      <w:rPr/>
    </w:lvl>
    <w:lvl w:ilvl="6">
      <w:start w:val="1"/>
      <w:numFmt w:val="decimal"/>
      <w:lvlText w:val="%1.%2.%3.%4.%5.%6.%7."/>
      <w:lvlJc w:val="left"/>
      <w:pPr>
        <w:tabs>
          <w:tab w:val="num" w:pos="0"/>
        </w:tabs>
        <w:ind w:left="4375" w:hanging="1080"/>
      </w:pPr>
      <w:rPr/>
    </w:lvl>
    <w:lvl w:ilvl="7">
      <w:start w:val="1"/>
      <w:numFmt w:val="decimal"/>
      <w:lvlText w:val="%1.%2.%3.%4.%5.%6.%7.%8."/>
      <w:lvlJc w:val="left"/>
      <w:pPr>
        <w:tabs>
          <w:tab w:val="num" w:pos="0"/>
        </w:tabs>
        <w:ind w:left="4879" w:hanging="1224"/>
      </w:pPr>
      <w:rPr/>
    </w:lvl>
    <w:lvl w:ilvl="8">
      <w:start w:val="1"/>
      <w:numFmt w:val="decimal"/>
      <w:lvlText w:val="%1.%2.%3.%4.%5.%6.%7.%8.%9."/>
      <w:lvlJc w:val="left"/>
      <w:pPr>
        <w:tabs>
          <w:tab w:val="num" w:pos="0"/>
        </w:tabs>
        <w:ind w:left="5455" w:hanging="1440"/>
      </w:pPr>
      <w:rPr/>
    </w:lvl>
  </w:abstractNum>
  <w:abstractNum w:abstractNumId="41">
    <w:lvl w:ilvl="0">
      <w:start w:val="1"/>
      <w:numFmt w:val="decimal"/>
      <w:lvlText w:val="%1."/>
      <w:lvlJc w:val="left"/>
      <w:pPr>
        <w:tabs>
          <w:tab w:val="num" w:pos="0"/>
        </w:tabs>
        <w:ind w:left="1495" w:hanging="360"/>
      </w:pPr>
      <w:rPr>
        <w:b/>
      </w:rPr>
    </w:lvl>
    <w:lvl w:ilvl="1">
      <w:start w:val="1"/>
      <w:numFmt w:val="decimal"/>
      <w:lvlText w:val="%1.%2."/>
      <w:lvlJc w:val="left"/>
      <w:pPr>
        <w:tabs>
          <w:tab w:val="num" w:pos="0"/>
        </w:tabs>
        <w:ind w:left="1709" w:hanging="432"/>
      </w:pPr>
      <w:rPr>
        <w:dstrike w:val="false"/>
        <w:strike w:val="false"/>
        <w:sz w:val="20"/>
        <w:i w:val="false"/>
        <w:u w:val="none"/>
        <w:b w:val="false"/>
        <w:szCs w:val="20"/>
        <w:color w:val="auto"/>
      </w:rPr>
    </w:lvl>
    <w:lvl w:ilvl="2">
      <w:start w:val="1"/>
      <w:numFmt w:val="decimal"/>
      <w:lvlText w:val="%1.%2.%3"/>
      <w:lvlJc w:val="left"/>
      <w:pPr>
        <w:tabs>
          <w:tab w:val="num" w:pos="0"/>
        </w:tabs>
        <w:ind w:left="3624" w:hanging="504"/>
      </w:pPr>
      <w:rPr>
        <w:dstrike w:val="false"/>
        <w:strike w:val="false"/>
        <w:sz w:val="20"/>
        <w:i w:val="false"/>
        <w:b w:val="false"/>
        <w:szCs w:val="20"/>
        <w:color w:val="000000"/>
      </w:rPr>
    </w:lvl>
    <w:lvl w:ilvl="3">
      <w:start w:val="1"/>
      <w:numFmt w:val="decimal"/>
      <w:lvlText w:val="%1.%2.%3.%4."/>
      <w:lvlJc w:val="left"/>
      <w:pPr>
        <w:tabs>
          <w:tab w:val="num" w:pos="0"/>
        </w:tabs>
        <w:ind w:left="3626" w:hanging="648"/>
      </w:pPr>
      <w:rPr/>
    </w:lvl>
    <w:lvl w:ilvl="4">
      <w:start w:val="1"/>
      <w:numFmt w:val="decimal"/>
      <w:lvlText w:val="%1.%2.%3.%4.%5."/>
      <w:lvlJc w:val="left"/>
      <w:pPr>
        <w:tabs>
          <w:tab w:val="num" w:pos="0"/>
        </w:tabs>
        <w:ind w:left="3367" w:hanging="792"/>
      </w:pPr>
      <w:rPr/>
    </w:lvl>
    <w:lvl w:ilvl="5">
      <w:start w:val="1"/>
      <w:numFmt w:val="decimal"/>
      <w:lvlText w:val="%1.%2.%3.%4.%5.%6."/>
      <w:lvlJc w:val="left"/>
      <w:pPr>
        <w:tabs>
          <w:tab w:val="num" w:pos="0"/>
        </w:tabs>
        <w:ind w:left="3871" w:hanging="936"/>
      </w:pPr>
      <w:rPr/>
    </w:lvl>
    <w:lvl w:ilvl="6">
      <w:start w:val="1"/>
      <w:numFmt w:val="decimal"/>
      <w:lvlText w:val="%1.%2.%3.%4.%5.%6.%7."/>
      <w:lvlJc w:val="left"/>
      <w:pPr>
        <w:tabs>
          <w:tab w:val="num" w:pos="0"/>
        </w:tabs>
        <w:ind w:left="4375" w:hanging="1080"/>
      </w:pPr>
      <w:rPr/>
    </w:lvl>
    <w:lvl w:ilvl="7">
      <w:start w:val="1"/>
      <w:numFmt w:val="decimal"/>
      <w:lvlText w:val="%1.%2.%3.%4.%5.%6.%7.%8."/>
      <w:lvlJc w:val="left"/>
      <w:pPr>
        <w:tabs>
          <w:tab w:val="num" w:pos="0"/>
        </w:tabs>
        <w:ind w:left="4879" w:hanging="1224"/>
      </w:pPr>
      <w:rPr/>
    </w:lvl>
    <w:lvl w:ilvl="8">
      <w:start w:val="1"/>
      <w:numFmt w:val="decimal"/>
      <w:lvlText w:val="%1.%2.%3.%4.%5.%6.%7.%8.%9."/>
      <w:lvlJc w:val="left"/>
      <w:pPr>
        <w:tabs>
          <w:tab w:val="num" w:pos="0"/>
        </w:tabs>
        <w:ind w:left="5455" w:hanging="1440"/>
      </w:pPr>
      <w:rPr/>
    </w:lvl>
  </w:abstractNum>
  <w:abstractNum w:abstractNumId="42">
    <w:lvl w:ilvl="0">
      <w:start w:val="1"/>
      <w:numFmt w:val="decimal"/>
      <w:lvlText w:val="%1."/>
      <w:lvlJc w:val="left"/>
      <w:pPr>
        <w:tabs>
          <w:tab w:val="num" w:pos="0"/>
        </w:tabs>
        <w:ind w:left="1495" w:hanging="360"/>
      </w:pPr>
      <w:rPr>
        <w:b/>
      </w:rPr>
    </w:lvl>
    <w:lvl w:ilvl="1">
      <w:start w:val="1"/>
      <w:numFmt w:val="decimal"/>
      <w:lvlText w:val="%1.%2."/>
      <w:lvlJc w:val="left"/>
      <w:pPr>
        <w:tabs>
          <w:tab w:val="num" w:pos="0"/>
        </w:tabs>
        <w:ind w:left="1709" w:hanging="432"/>
      </w:pPr>
      <w:rPr>
        <w:dstrike w:val="false"/>
        <w:strike w:val="false"/>
        <w:sz w:val="20"/>
        <w:i w:val="false"/>
        <w:u w:val="none"/>
        <w:b w:val="false"/>
        <w:szCs w:val="20"/>
        <w:color w:val="auto"/>
      </w:rPr>
    </w:lvl>
    <w:lvl w:ilvl="2">
      <w:start w:val="1"/>
      <w:numFmt w:val="decimal"/>
      <w:lvlText w:val="%1.%2.%3"/>
      <w:lvlJc w:val="left"/>
      <w:pPr>
        <w:tabs>
          <w:tab w:val="num" w:pos="0"/>
        </w:tabs>
        <w:ind w:left="3624" w:hanging="504"/>
      </w:pPr>
      <w:rPr>
        <w:dstrike w:val="false"/>
        <w:strike w:val="false"/>
        <w:sz w:val="20"/>
        <w:i w:val="false"/>
        <w:b w:val="false"/>
        <w:szCs w:val="20"/>
        <w:color w:val="000000"/>
      </w:rPr>
    </w:lvl>
    <w:lvl w:ilvl="3">
      <w:start w:val="1"/>
      <w:numFmt w:val="decimal"/>
      <w:lvlText w:val="%1.%2.%3.%4."/>
      <w:lvlJc w:val="left"/>
      <w:pPr>
        <w:tabs>
          <w:tab w:val="num" w:pos="0"/>
        </w:tabs>
        <w:ind w:left="3626" w:hanging="648"/>
      </w:pPr>
      <w:rPr/>
    </w:lvl>
    <w:lvl w:ilvl="4">
      <w:start w:val="1"/>
      <w:numFmt w:val="decimal"/>
      <w:lvlText w:val="%1.%2.%3.%4.%5."/>
      <w:lvlJc w:val="left"/>
      <w:pPr>
        <w:tabs>
          <w:tab w:val="num" w:pos="0"/>
        </w:tabs>
        <w:ind w:left="3367" w:hanging="792"/>
      </w:pPr>
      <w:rPr/>
    </w:lvl>
    <w:lvl w:ilvl="5">
      <w:start w:val="1"/>
      <w:numFmt w:val="decimal"/>
      <w:lvlText w:val="%1.%2.%3.%4.%5.%6."/>
      <w:lvlJc w:val="left"/>
      <w:pPr>
        <w:tabs>
          <w:tab w:val="num" w:pos="0"/>
        </w:tabs>
        <w:ind w:left="3871" w:hanging="936"/>
      </w:pPr>
      <w:rPr/>
    </w:lvl>
    <w:lvl w:ilvl="6">
      <w:start w:val="1"/>
      <w:numFmt w:val="decimal"/>
      <w:lvlText w:val="%1.%2.%3.%4.%5.%6.%7."/>
      <w:lvlJc w:val="left"/>
      <w:pPr>
        <w:tabs>
          <w:tab w:val="num" w:pos="0"/>
        </w:tabs>
        <w:ind w:left="4375" w:hanging="1080"/>
      </w:pPr>
      <w:rPr/>
    </w:lvl>
    <w:lvl w:ilvl="7">
      <w:start w:val="1"/>
      <w:numFmt w:val="decimal"/>
      <w:lvlText w:val="%1.%2.%3.%4.%5.%6.%7.%8."/>
      <w:lvlJc w:val="left"/>
      <w:pPr>
        <w:tabs>
          <w:tab w:val="num" w:pos="0"/>
        </w:tabs>
        <w:ind w:left="4879" w:hanging="1224"/>
      </w:pPr>
      <w:rPr/>
    </w:lvl>
    <w:lvl w:ilvl="8">
      <w:start w:val="1"/>
      <w:numFmt w:val="decimal"/>
      <w:lvlText w:val="%1.%2.%3.%4.%5.%6.%7.%8.%9."/>
      <w:lvlJc w:val="left"/>
      <w:pPr>
        <w:tabs>
          <w:tab w:val="num" w:pos="0"/>
        </w:tabs>
        <w:ind w:left="5455" w:hanging="1440"/>
      </w:pPr>
      <w:rPr/>
    </w:lvl>
  </w:abstractNum>
  <w:abstractNum w:abstractNumId="43">
    <w:lvl w:ilvl="0">
      <w:start w:val="1"/>
      <w:numFmt w:val="decimal"/>
      <w:lvlText w:val="%1."/>
      <w:lvlJc w:val="left"/>
      <w:pPr>
        <w:tabs>
          <w:tab w:val="num" w:pos="0"/>
        </w:tabs>
        <w:ind w:left="1495" w:hanging="360"/>
      </w:pPr>
      <w:rPr>
        <w:b/>
      </w:rPr>
    </w:lvl>
    <w:lvl w:ilvl="1">
      <w:start w:val="1"/>
      <w:numFmt w:val="decimal"/>
      <w:lvlText w:val="%1.%2."/>
      <w:lvlJc w:val="left"/>
      <w:pPr>
        <w:tabs>
          <w:tab w:val="num" w:pos="0"/>
        </w:tabs>
        <w:ind w:left="1709" w:hanging="432"/>
      </w:pPr>
      <w:rPr>
        <w:dstrike w:val="false"/>
        <w:strike w:val="false"/>
        <w:sz w:val="20"/>
        <w:i w:val="false"/>
        <w:u w:val="none"/>
        <w:b w:val="false"/>
        <w:szCs w:val="20"/>
        <w:color w:val="auto"/>
      </w:rPr>
    </w:lvl>
    <w:lvl w:ilvl="2">
      <w:start w:val="1"/>
      <w:numFmt w:val="decimal"/>
      <w:lvlText w:val="%1.%2.%3"/>
      <w:lvlJc w:val="left"/>
      <w:pPr>
        <w:tabs>
          <w:tab w:val="num" w:pos="0"/>
        </w:tabs>
        <w:ind w:left="3624" w:hanging="504"/>
      </w:pPr>
      <w:rPr>
        <w:dstrike w:val="false"/>
        <w:strike w:val="false"/>
        <w:sz w:val="20"/>
        <w:i w:val="false"/>
        <w:b w:val="false"/>
        <w:szCs w:val="20"/>
        <w:color w:val="000000"/>
      </w:rPr>
    </w:lvl>
    <w:lvl w:ilvl="3">
      <w:start w:val="1"/>
      <w:numFmt w:val="decimal"/>
      <w:lvlText w:val="%1.%2.%3.%4."/>
      <w:lvlJc w:val="left"/>
      <w:pPr>
        <w:tabs>
          <w:tab w:val="num" w:pos="0"/>
        </w:tabs>
        <w:ind w:left="3626" w:hanging="648"/>
      </w:pPr>
      <w:rPr/>
    </w:lvl>
    <w:lvl w:ilvl="4">
      <w:start w:val="1"/>
      <w:numFmt w:val="decimal"/>
      <w:lvlText w:val="%1.%2.%3.%4.%5."/>
      <w:lvlJc w:val="left"/>
      <w:pPr>
        <w:tabs>
          <w:tab w:val="num" w:pos="0"/>
        </w:tabs>
        <w:ind w:left="3367" w:hanging="792"/>
      </w:pPr>
      <w:rPr/>
    </w:lvl>
    <w:lvl w:ilvl="5">
      <w:start w:val="1"/>
      <w:numFmt w:val="decimal"/>
      <w:lvlText w:val="%1.%2.%3.%4.%5.%6."/>
      <w:lvlJc w:val="left"/>
      <w:pPr>
        <w:tabs>
          <w:tab w:val="num" w:pos="0"/>
        </w:tabs>
        <w:ind w:left="3871" w:hanging="936"/>
      </w:pPr>
      <w:rPr/>
    </w:lvl>
    <w:lvl w:ilvl="6">
      <w:start w:val="1"/>
      <w:numFmt w:val="decimal"/>
      <w:lvlText w:val="%1.%2.%3.%4.%5.%6.%7."/>
      <w:lvlJc w:val="left"/>
      <w:pPr>
        <w:tabs>
          <w:tab w:val="num" w:pos="0"/>
        </w:tabs>
        <w:ind w:left="4375" w:hanging="1080"/>
      </w:pPr>
      <w:rPr/>
    </w:lvl>
    <w:lvl w:ilvl="7">
      <w:start w:val="1"/>
      <w:numFmt w:val="decimal"/>
      <w:lvlText w:val="%1.%2.%3.%4.%5.%6.%7.%8."/>
      <w:lvlJc w:val="left"/>
      <w:pPr>
        <w:tabs>
          <w:tab w:val="num" w:pos="0"/>
        </w:tabs>
        <w:ind w:left="4879" w:hanging="1224"/>
      </w:pPr>
      <w:rPr/>
    </w:lvl>
    <w:lvl w:ilvl="8">
      <w:start w:val="1"/>
      <w:numFmt w:val="decimal"/>
      <w:lvlText w:val="%1.%2.%3.%4.%5.%6.%7.%8.%9."/>
      <w:lvlJc w:val="left"/>
      <w:pPr>
        <w:tabs>
          <w:tab w:val="num" w:pos="0"/>
        </w:tabs>
        <w:ind w:left="5455" w:hanging="1440"/>
      </w:pPr>
      <w:rPr/>
    </w:lvl>
  </w:abstractNum>
  <w:abstractNum w:abstractNumId="44">
    <w:lvl w:ilvl="0">
      <w:start w:val="1"/>
      <w:numFmt w:val="decimal"/>
      <w:lvlText w:val="%1."/>
      <w:lvlJc w:val="left"/>
      <w:pPr>
        <w:tabs>
          <w:tab w:val="num" w:pos="0"/>
        </w:tabs>
        <w:ind w:left="1495" w:hanging="360"/>
      </w:pPr>
      <w:rPr>
        <w:b/>
      </w:rPr>
    </w:lvl>
    <w:lvl w:ilvl="1">
      <w:start w:val="1"/>
      <w:numFmt w:val="decimal"/>
      <w:lvlText w:val="%1.%2."/>
      <w:lvlJc w:val="left"/>
      <w:pPr>
        <w:tabs>
          <w:tab w:val="num" w:pos="0"/>
        </w:tabs>
        <w:ind w:left="1709" w:hanging="432"/>
      </w:pPr>
      <w:rPr>
        <w:dstrike w:val="false"/>
        <w:strike w:val="false"/>
        <w:sz w:val="20"/>
        <w:i w:val="false"/>
        <w:u w:val="none"/>
        <w:b w:val="false"/>
        <w:szCs w:val="20"/>
        <w:color w:val="auto"/>
      </w:rPr>
    </w:lvl>
    <w:lvl w:ilvl="2">
      <w:start w:val="1"/>
      <w:numFmt w:val="decimal"/>
      <w:lvlText w:val="%1.%2.%3"/>
      <w:lvlJc w:val="left"/>
      <w:pPr>
        <w:tabs>
          <w:tab w:val="num" w:pos="0"/>
        </w:tabs>
        <w:ind w:left="3624" w:hanging="504"/>
      </w:pPr>
      <w:rPr>
        <w:dstrike w:val="false"/>
        <w:strike w:val="false"/>
        <w:sz w:val="20"/>
        <w:i w:val="false"/>
        <w:b w:val="false"/>
        <w:szCs w:val="20"/>
        <w:color w:val="000000"/>
      </w:rPr>
    </w:lvl>
    <w:lvl w:ilvl="3">
      <w:start w:val="1"/>
      <w:numFmt w:val="decimal"/>
      <w:lvlText w:val="%1.%2.%3.%4."/>
      <w:lvlJc w:val="left"/>
      <w:pPr>
        <w:tabs>
          <w:tab w:val="num" w:pos="0"/>
        </w:tabs>
        <w:ind w:left="3626" w:hanging="648"/>
      </w:pPr>
      <w:rPr/>
    </w:lvl>
    <w:lvl w:ilvl="4">
      <w:start w:val="1"/>
      <w:numFmt w:val="decimal"/>
      <w:lvlText w:val="%1.%2.%3.%4.%5."/>
      <w:lvlJc w:val="left"/>
      <w:pPr>
        <w:tabs>
          <w:tab w:val="num" w:pos="0"/>
        </w:tabs>
        <w:ind w:left="3367" w:hanging="792"/>
      </w:pPr>
      <w:rPr/>
    </w:lvl>
    <w:lvl w:ilvl="5">
      <w:start w:val="1"/>
      <w:numFmt w:val="decimal"/>
      <w:lvlText w:val="%1.%2.%3.%4.%5.%6."/>
      <w:lvlJc w:val="left"/>
      <w:pPr>
        <w:tabs>
          <w:tab w:val="num" w:pos="0"/>
        </w:tabs>
        <w:ind w:left="3871" w:hanging="936"/>
      </w:pPr>
      <w:rPr/>
    </w:lvl>
    <w:lvl w:ilvl="6">
      <w:start w:val="1"/>
      <w:numFmt w:val="decimal"/>
      <w:lvlText w:val="%1.%2.%3.%4.%5.%6.%7."/>
      <w:lvlJc w:val="left"/>
      <w:pPr>
        <w:tabs>
          <w:tab w:val="num" w:pos="0"/>
        </w:tabs>
        <w:ind w:left="4375" w:hanging="1080"/>
      </w:pPr>
      <w:rPr/>
    </w:lvl>
    <w:lvl w:ilvl="7">
      <w:start w:val="1"/>
      <w:numFmt w:val="decimal"/>
      <w:lvlText w:val="%1.%2.%3.%4.%5.%6.%7.%8."/>
      <w:lvlJc w:val="left"/>
      <w:pPr>
        <w:tabs>
          <w:tab w:val="num" w:pos="0"/>
        </w:tabs>
        <w:ind w:left="4879" w:hanging="1224"/>
      </w:pPr>
      <w:rPr/>
    </w:lvl>
    <w:lvl w:ilvl="8">
      <w:start w:val="1"/>
      <w:numFmt w:val="decimal"/>
      <w:lvlText w:val="%1.%2.%3.%4.%5.%6.%7.%8.%9."/>
      <w:lvlJc w:val="left"/>
      <w:pPr>
        <w:tabs>
          <w:tab w:val="num" w:pos="0"/>
        </w:tabs>
        <w:ind w:left="5455" w:hanging="1440"/>
      </w:pPr>
      <w:rPr/>
    </w:lvl>
  </w:abstractNum>
  <w:abstractNum w:abstractNumId="45">
    <w:lvl w:ilvl="0">
      <w:start w:val="1"/>
      <w:numFmt w:val="decimal"/>
      <w:lvlText w:val="%1."/>
      <w:lvlJc w:val="left"/>
      <w:pPr>
        <w:tabs>
          <w:tab w:val="num" w:pos="0"/>
        </w:tabs>
        <w:ind w:left="1495" w:hanging="360"/>
      </w:pPr>
      <w:rPr>
        <w:b/>
      </w:rPr>
    </w:lvl>
    <w:lvl w:ilvl="1">
      <w:start w:val="1"/>
      <w:numFmt w:val="decimal"/>
      <w:lvlText w:val="%1.%2."/>
      <w:lvlJc w:val="left"/>
      <w:pPr>
        <w:tabs>
          <w:tab w:val="num" w:pos="0"/>
        </w:tabs>
        <w:ind w:left="1709" w:hanging="432"/>
      </w:pPr>
      <w:rPr>
        <w:dstrike w:val="false"/>
        <w:strike w:val="false"/>
        <w:sz w:val="20"/>
        <w:i w:val="false"/>
        <w:u w:val="none"/>
        <w:b w:val="false"/>
        <w:szCs w:val="20"/>
        <w:color w:val="auto"/>
      </w:rPr>
    </w:lvl>
    <w:lvl w:ilvl="2">
      <w:start w:val="1"/>
      <w:numFmt w:val="decimal"/>
      <w:lvlText w:val="%1.%2.%3"/>
      <w:lvlJc w:val="left"/>
      <w:pPr>
        <w:tabs>
          <w:tab w:val="num" w:pos="0"/>
        </w:tabs>
        <w:ind w:left="3624" w:hanging="504"/>
      </w:pPr>
      <w:rPr>
        <w:dstrike w:val="false"/>
        <w:strike w:val="false"/>
        <w:sz w:val="20"/>
        <w:i w:val="false"/>
        <w:b w:val="false"/>
        <w:szCs w:val="20"/>
        <w:color w:val="000000"/>
      </w:rPr>
    </w:lvl>
    <w:lvl w:ilvl="3">
      <w:start w:val="1"/>
      <w:numFmt w:val="decimal"/>
      <w:lvlText w:val="%1.%2.%3.%4."/>
      <w:lvlJc w:val="left"/>
      <w:pPr>
        <w:tabs>
          <w:tab w:val="num" w:pos="0"/>
        </w:tabs>
        <w:ind w:left="3626" w:hanging="648"/>
      </w:pPr>
      <w:rPr/>
    </w:lvl>
    <w:lvl w:ilvl="4">
      <w:start w:val="1"/>
      <w:numFmt w:val="decimal"/>
      <w:lvlText w:val="%1.%2.%3.%4.%5."/>
      <w:lvlJc w:val="left"/>
      <w:pPr>
        <w:tabs>
          <w:tab w:val="num" w:pos="0"/>
        </w:tabs>
        <w:ind w:left="3367" w:hanging="792"/>
      </w:pPr>
      <w:rPr/>
    </w:lvl>
    <w:lvl w:ilvl="5">
      <w:start w:val="1"/>
      <w:numFmt w:val="decimal"/>
      <w:lvlText w:val="%1.%2.%3.%4.%5.%6."/>
      <w:lvlJc w:val="left"/>
      <w:pPr>
        <w:tabs>
          <w:tab w:val="num" w:pos="0"/>
        </w:tabs>
        <w:ind w:left="3871" w:hanging="936"/>
      </w:pPr>
      <w:rPr/>
    </w:lvl>
    <w:lvl w:ilvl="6">
      <w:start w:val="1"/>
      <w:numFmt w:val="decimal"/>
      <w:lvlText w:val="%1.%2.%3.%4.%5.%6.%7."/>
      <w:lvlJc w:val="left"/>
      <w:pPr>
        <w:tabs>
          <w:tab w:val="num" w:pos="0"/>
        </w:tabs>
        <w:ind w:left="4375" w:hanging="1080"/>
      </w:pPr>
      <w:rPr/>
    </w:lvl>
    <w:lvl w:ilvl="7">
      <w:start w:val="1"/>
      <w:numFmt w:val="decimal"/>
      <w:lvlText w:val="%1.%2.%3.%4.%5.%6.%7.%8."/>
      <w:lvlJc w:val="left"/>
      <w:pPr>
        <w:tabs>
          <w:tab w:val="num" w:pos="0"/>
        </w:tabs>
        <w:ind w:left="4879" w:hanging="1224"/>
      </w:pPr>
      <w:rPr/>
    </w:lvl>
    <w:lvl w:ilvl="8">
      <w:start w:val="1"/>
      <w:numFmt w:val="decimal"/>
      <w:lvlText w:val="%1.%2.%3.%4.%5.%6.%7.%8.%9."/>
      <w:lvlJc w:val="left"/>
      <w:pPr>
        <w:tabs>
          <w:tab w:val="num" w:pos="0"/>
        </w:tabs>
        <w:ind w:left="5455" w:hanging="1440"/>
      </w:pPr>
      <w:rPr/>
    </w:lvl>
  </w:abstractNum>
  <w:abstractNum w:abstractNumId="46">
    <w:lvl w:ilvl="0">
      <w:start w:val="1"/>
      <w:numFmt w:val="decimal"/>
      <w:lvlText w:val="%1."/>
      <w:lvlJc w:val="left"/>
      <w:pPr>
        <w:tabs>
          <w:tab w:val="num" w:pos="0"/>
        </w:tabs>
        <w:ind w:left="1495" w:hanging="360"/>
      </w:pPr>
      <w:rPr>
        <w:b/>
      </w:rPr>
    </w:lvl>
    <w:lvl w:ilvl="1">
      <w:start w:val="1"/>
      <w:numFmt w:val="decimal"/>
      <w:lvlText w:val="%1.%2."/>
      <w:lvlJc w:val="left"/>
      <w:pPr>
        <w:tabs>
          <w:tab w:val="num" w:pos="0"/>
        </w:tabs>
        <w:ind w:left="1709" w:hanging="432"/>
      </w:pPr>
      <w:rPr>
        <w:dstrike w:val="false"/>
        <w:strike w:val="false"/>
        <w:sz w:val="20"/>
        <w:i w:val="false"/>
        <w:u w:val="none"/>
        <w:b w:val="false"/>
        <w:szCs w:val="20"/>
        <w:color w:val="auto"/>
      </w:rPr>
    </w:lvl>
    <w:lvl w:ilvl="2">
      <w:start w:val="1"/>
      <w:numFmt w:val="decimal"/>
      <w:lvlText w:val="%1.%2.%3"/>
      <w:lvlJc w:val="left"/>
      <w:pPr>
        <w:tabs>
          <w:tab w:val="num" w:pos="0"/>
        </w:tabs>
        <w:ind w:left="3624" w:hanging="504"/>
      </w:pPr>
      <w:rPr>
        <w:dstrike w:val="false"/>
        <w:strike w:val="false"/>
        <w:sz w:val="20"/>
        <w:i w:val="false"/>
        <w:b w:val="false"/>
        <w:szCs w:val="20"/>
        <w:color w:val="000000"/>
      </w:rPr>
    </w:lvl>
    <w:lvl w:ilvl="3">
      <w:start w:val="1"/>
      <w:numFmt w:val="decimal"/>
      <w:lvlText w:val="%1.%2.%3.%4."/>
      <w:lvlJc w:val="left"/>
      <w:pPr>
        <w:tabs>
          <w:tab w:val="num" w:pos="0"/>
        </w:tabs>
        <w:ind w:left="3626" w:hanging="648"/>
      </w:pPr>
      <w:rPr/>
    </w:lvl>
    <w:lvl w:ilvl="4">
      <w:start w:val="1"/>
      <w:numFmt w:val="decimal"/>
      <w:lvlText w:val="%1.%2.%3.%4.%5."/>
      <w:lvlJc w:val="left"/>
      <w:pPr>
        <w:tabs>
          <w:tab w:val="num" w:pos="0"/>
        </w:tabs>
        <w:ind w:left="3367" w:hanging="792"/>
      </w:pPr>
      <w:rPr/>
    </w:lvl>
    <w:lvl w:ilvl="5">
      <w:start w:val="1"/>
      <w:numFmt w:val="decimal"/>
      <w:lvlText w:val="%1.%2.%3.%4.%5.%6."/>
      <w:lvlJc w:val="left"/>
      <w:pPr>
        <w:tabs>
          <w:tab w:val="num" w:pos="0"/>
        </w:tabs>
        <w:ind w:left="3871" w:hanging="936"/>
      </w:pPr>
      <w:rPr/>
    </w:lvl>
    <w:lvl w:ilvl="6">
      <w:start w:val="1"/>
      <w:numFmt w:val="decimal"/>
      <w:lvlText w:val="%1.%2.%3.%4.%5.%6.%7."/>
      <w:lvlJc w:val="left"/>
      <w:pPr>
        <w:tabs>
          <w:tab w:val="num" w:pos="0"/>
        </w:tabs>
        <w:ind w:left="4375" w:hanging="1080"/>
      </w:pPr>
      <w:rPr/>
    </w:lvl>
    <w:lvl w:ilvl="7">
      <w:start w:val="1"/>
      <w:numFmt w:val="decimal"/>
      <w:lvlText w:val="%1.%2.%3.%4.%5.%6.%7.%8."/>
      <w:lvlJc w:val="left"/>
      <w:pPr>
        <w:tabs>
          <w:tab w:val="num" w:pos="0"/>
        </w:tabs>
        <w:ind w:left="4879" w:hanging="1224"/>
      </w:pPr>
      <w:rPr/>
    </w:lvl>
    <w:lvl w:ilvl="8">
      <w:start w:val="1"/>
      <w:numFmt w:val="decimal"/>
      <w:lvlText w:val="%1.%2.%3.%4.%5.%6.%7.%8.%9."/>
      <w:lvlJc w:val="left"/>
      <w:pPr>
        <w:tabs>
          <w:tab w:val="num" w:pos="0"/>
        </w:tabs>
        <w:ind w:left="5455" w:hanging="1440"/>
      </w:pPr>
      <w:rPr/>
    </w:lvl>
  </w:abstractNum>
  <w:abstractNum w:abstractNumId="47">
    <w:lvl w:ilvl="0">
      <w:start w:val="1"/>
      <w:numFmt w:val="decimal"/>
      <w:lvlText w:val="%1."/>
      <w:lvlJc w:val="left"/>
      <w:pPr>
        <w:tabs>
          <w:tab w:val="num" w:pos="0"/>
        </w:tabs>
        <w:ind w:left="1495" w:hanging="360"/>
      </w:pPr>
      <w:rPr>
        <w:b/>
      </w:rPr>
    </w:lvl>
    <w:lvl w:ilvl="1">
      <w:start w:val="1"/>
      <w:numFmt w:val="decimal"/>
      <w:lvlText w:val="%1.%2."/>
      <w:lvlJc w:val="left"/>
      <w:pPr>
        <w:tabs>
          <w:tab w:val="num" w:pos="0"/>
        </w:tabs>
        <w:ind w:left="1709" w:hanging="432"/>
      </w:pPr>
      <w:rPr>
        <w:dstrike w:val="false"/>
        <w:strike w:val="false"/>
        <w:sz w:val="20"/>
        <w:i w:val="false"/>
        <w:u w:val="none"/>
        <w:b w:val="false"/>
        <w:szCs w:val="20"/>
        <w:color w:val="auto"/>
      </w:rPr>
    </w:lvl>
    <w:lvl w:ilvl="2">
      <w:start w:val="1"/>
      <w:numFmt w:val="decimal"/>
      <w:lvlText w:val="%1.%2.%3"/>
      <w:lvlJc w:val="left"/>
      <w:pPr>
        <w:tabs>
          <w:tab w:val="num" w:pos="0"/>
        </w:tabs>
        <w:ind w:left="3624" w:hanging="504"/>
      </w:pPr>
      <w:rPr>
        <w:dstrike w:val="false"/>
        <w:strike w:val="false"/>
        <w:sz w:val="20"/>
        <w:i w:val="false"/>
        <w:b w:val="false"/>
        <w:szCs w:val="20"/>
        <w:color w:val="000000"/>
      </w:rPr>
    </w:lvl>
    <w:lvl w:ilvl="3">
      <w:start w:val="1"/>
      <w:numFmt w:val="decimal"/>
      <w:lvlText w:val="%1.%2.%3.%4."/>
      <w:lvlJc w:val="left"/>
      <w:pPr>
        <w:tabs>
          <w:tab w:val="num" w:pos="0"/>
        </w:tabs>
        <w:ind w:left="3626" w:hanging="648"/>
      </w:pPr>
      <w:rPr/>
    </w:lvl>
    <w:lvl w:ilvl="4">
      <w:start w:val="1"/>
      <w:numFmt w:val="decimal"/>
      <w:lvlText w:val="%1.%2.%3.%4.%5."/>
      <w:lvlJc w:val="left"/>
      <w:pPr>
        <w:tabs>
          <w:tab w:val="num" w:pos="0"/>
        </w:tabs>
        <w:ind w:left="3367" w:hanging="792"/>
      </w:pPr>
      <w:rPr/>
    </w:lvl>
    <w:lvl w:ilvl="5">
      <w:start w:val="1"/>
      <w:numFmt w:val="decimal"/>
      <w:lvlText w:val="%1.%2.%3.%4.%5.%6."/>
      <w:lvlJc w:val="left"/>
      <w:pPr>
        <w:tabs>
          <w:tab w:val="num" w:pos="0"/>
        </w:tabs>
        <w:ind w:left="3871" w:hanging="936"/>
      </w:pPr>
      <w:rPr/>
    </w:lvl>
    <w:lvl w:ilvl="6">
      <w:start w:val="1"/>
      <w:numFmt w:val="decimal"/>
      <w:lvlText w:val="%1.%2.%3.%4.%5.%6.%7."/>
      <w:lvlJc w:val="left"/>
      <w:pPr>
        <w:tabs>
          <w:tab w:val="num" w:pos="0"/>
        </w:tabs>
        <w:ind w:left="4375" w:hanging="1080"/>
      </w:pPr>
      <w:rPr/>
    </w:lvl>
    <w:lvl w:ilvl="7">
      <w:start w:val="1"/>
      <w:numFmt w:val="decimal"/>
      <w:lvlText w:val="%1.%2.%3.%4.%5.%6.%7.%8."/>
      <w:lvlJc w:val="left"/>
      <w:pPr>
        <w:tabs>
          <w:tab w:val="num" w:pos="0"/>
        </w:tabs>
        <w:ind w:left="4879" w:hanging="1224"/>
      </w:pPr>
      <w:rPr/>
    </w:lvl>
    <w:lvl w:ilvl="8">
      <w:start w:val="1"/>
      <w:numFmt w:val="decimal"/>
      <w:lvlText w:val="%1.%2.%3.%4.%5.%6.%7.%8.%9."/>
      <w:lvlJc w:val="left"/>
      <w:pPr>
        <w:tabs>
          <w:tab w:val="num" w:pos="0"/>
        </w:tabs>
        <w:ind w:left="5455" w:hanging="1440"/>
      </w:pPr>
      <w:rPr/>
    </w:lvl>
  </w:abstractNum>
  <w:abstractNum w:abstractNumId="48">
    <w:lvl w:ilvl="0">
      <w:start w:val="1"/>
      <w:numFmt w:val="decimal"/>
      <w:lvlText w:val="%1."/>
      <w:lvlJc w:val="left"/>
      <w:pPr>
        <w:tabs>
          <w:tab w:val="num" w:pos="0"/>
        </w:tabs>
        <w:ind w:left="1495" w:hanging="360"/>
      </w:pPr>
      <w:rPr>
        <w:b/>
      </w:rPr>
    </w:lvl>
    <w:lvl w:ilvl="1">
      <w:start w:val="1"/>
      <w:numFmt w:val="decimal"/>
      <w:lvlText w:val="%1.%2."/>
      <w:lvlJc w:val="left"/>
      <w:pPr>
        <w:tabs>
          <w:tab w:val="num" w:pos="0"/>
        </w:tabs>
        <w:ind w:left="1709" w:hanging="432"/>
      </w:pPr>
      <w:rPr>
        <w:dstrike w:val="false"/>
        <w:strike w:val="false"/>
        <w:sz w:val="20"/>
        <w:i w:val="false"/>
        <w:u w:val="none"/>
        <w:b w:val="false"/>
        <w:szCs w:val="20"/>
        <w:color w:val="auto"/>
      </w:rPr>
    </w:lvl>
    <w:lvl w:ilvl="2">
      <w:start w:val="1"/>
      <w:numFmt w:val="decimal"/>
      <w:lvlText w:val="%1.%2.%3"/>
      <w:lvlJc w:val="left"/>
      <w:pPr>
        <w:tabs>
          <w:tab w:val="num" w:pos="0"/>
        </w:tabs>
        <w:ind w:left="3624" w:hanging="504"/>
      </w:pPr>
      <w:rPr>
        <w:dstrike w:val="false"/>
        <w:strike w:val="false"/>
        <w:sz w:val="20"/>
        <w:i w:val="false"/>
        <w:b w:val="false"/>
        <w:szCs w:val="20"/>
        <w:color w:val="000000"/>
      </w:rPr>
    </w:lvl>
    <w:lvl w:ilvl="3">
      <w:start w:val="1"/>
      <w:numFmt w:val="decimal"/>
      <w:lvlText w:val="%1.%2.%3.%4."/>
      <w:lvlJc w:val="left"/>
      <w:pPr>
        <w:tabs>
          <w:tab w:val="num" w:pos="0"/>
        </w:tabs>
        <w:ind w:left="3626" w:hanging="648"/>
      </w:pPr>
      <w:rPr/>
    </w:lvl>
    <w:lvl w:ilvl="4">
      <w:start w:val="1"/>
      <w:numFmt w:val="decimal"/>
      <w:lvlText w:val="%1.%2.%3.%4.%5."/>
      <w:lvlJc w:val="left"/>
      <w:pPr>
        <w:tabs>
          <w:tab w:val="num" w:pos="0"/>
        </w:tabs>
        <w:ind w:left="3367" w:hanging="792"/>
      </w:pPr>
      <w:rPr/>
    </w:lvl>
    <w:lvl w:ilvl="5">
      <w:start w:val="1"/>
      <w:numFmt w:val="decimal"/>
      <w:lvlText w:val="%1.%2.%3.%4.%5.%6."/>
      <w:lvlJc w:val="left"/>
      <w:pPr>
        <w:tabs>
          <w:tab w:val="num" w:pos="0"/>
        </w:tabs>
        <w:ind w:left="3871" w:hanging="936"/>
      </w:pPr>
      <w:rPr/>
    </w:lvl>
    <w:lvl w:ilvl="6">
      <w:start w:val="1"/>
      <w:numFmt w:val="decimal"/>
      <w:lvlText w:val="%1.%2.%3.%4.%5.%6.%7."/>
      <w:lvlJc w:val="left"/>
      <w:pPr>
        <w:tabs>
          <w:tab w:val="num" w:pos="0"/>
        </w:tabs>
        <w:ind w:left="4375" w:hanging="1080"/>
      </w:pPr>
      <w:rPr/>
    </w:lvl>
    <w:lvl w:ilvl="7">
      <w:start w:val="1"/>
      <w:numFmt w:val="decimal"/>
      <w:lvlText w:val="%1.%2.%3.%4.%5.%6.%7.%8."/>
      <w:lvlJc w:val="left"/>
      <w:pPr>
        <w:tabs>
          <w:tab w:val="num" w:pos="0"/>
        </w:tabs>
        <w:ind w:left="4879" w:hanging="1224"/>
      </w:pPr>
      <w:rPr/>
    </w:lvl>
    <w:lvl w:ilvl="8">
      <w:start w:val="1"/>
      <w:numFmt w:val="decimal"/>
      <w:lvlText w:val="%1.%2.%3.%4.%5.%6.%7.%8.%9."/>
      <w:lvlJc w:val="left"/>
      <w:pPr>
        <w:tabs>
          <w:tab w:val="num" w:pos="0"/>
        </w:tabs>
        <w:ind w:left="5455" w:hanging="1440"/>
      </w:pPr>
      <w:rPr/>
    </w:lvl>
  </w:abstractNum>
  <w:abstractNum w:abstractNumId="49">
    <w:lvl w:ilvl="0">
      <w:start w:val="1"/>
      <w:numFmt w:val="decimal"/>
      <w:lvlText w:val="%1."/>
      <w:lvlJc w:val="left"/>
      <w:pPr>
        <w:tabs>
          <w:tab w:val="num" w:pos="0"/>
        </w:tabs>
        <w:ind w:left="1495" w:hanging="360"/>
      </w:pPr>
      <w:rPr>
        <w:b/>
      </w:rPr>
    </w:lvl>
    <w:lvl w:ilvl="1">
      <w:start w:val="1"/>
      <w:numFmt w:val="decimal"/>
      <w:lvlText w:val="%1.%2."/>
      <w:lvlJc w:val="left"/>
      <w:pPr>
        <w:tabs>
          <w:tab w:val="num" w:pos="0"/>
        </w:tabs>
        <w:ind w:left="1709" w:hanging="432"/>
      </w:pPr>
      <w:rPr>
        <w:dstrike w:val="false"/>
        <w:strike w:val="false"/>
        <w:sz w:val="20"/>
        <w:i w:val="false"/>
        <w:u w:val="none"/>
        <w:b w:val="false"/>
        <w:szCs w:val="20"/>
        <w:color w:val="auto"/>
      </w:rPr>
    </w:lvl>
    <w:lvl w:ilvl="2">
      <w:start w:val="1"/>
      <w:numFmt w:val="decimal"/>
      <w:lvlText w:val="%1.%2.%3"/>
      <w:lvlJc w:val="left"/>
      <w:pPr>
        <w:tabs>
          <w:tab w:val="num" w:pos="0"/>
        </w:tabs>
        <w:ind w:left="3624" w:hanging="504"/>
      </w:pPr>
      <w:rPr>
        <w:dstrike w:val="false"/>
        <w:strike w:val="false"/>
        <w:sz w:val="20"/>
        <w:i w:val="false"/>
        <w:b w:val="false"/>
        <w:szCs w:val="20"/>
        <w:color w:val="000000"/>
      </w:rPr>
    </w:lvl>
    <w:lvl w:ilvl="3">
      <w:start w:val="1"/>
      <w:numFmt w:val="decimal"/>
      <w:lvlText w:val="%1.%2.%3.%4."/>
      <w:lvlJc w:val="left"/>
      <w:pPr>
        <w:tabs>
          <w:tab w:val="num" w:pos="0"/>
        </w:tabs>
        <w:ind w:left="3626" w:hanging="648"/>
      </w:pPr>
      <w:rPr/>
    </w:lvl>
    <w:lvl w:ilvl="4">
      <w:start w:val="1"/>
      <w:numFmt w:val="decimal"/>
      <w:lvlText w:val="%1.%2.%3.%4.%5."/>
      <w:lvlJc w:val="left"/>
      <w:pPr>
        <w:tabs>
          <w:tab w:val="num" w:pos="0"/>
        </w:tabs>
        <w:ind w:left="3367" w:hanging="792"/>
      </w:pPr>
      <w:rPr/>
    </w:lvl>
    <w:lvl w:ilvl="5">
      <w:start w:val="1"/>
      <w:numFmt w:val="decimal"/>
      <w:lvlText w:val="%1.%2.%3.%4.%5.%6."/>
      <w:lvlJc w:val="left"/>
      <w:pPr>
        <w:tabs>
          <w:tab w:val="num" w:pos="0"/>
        </w:tabs>
        <w:ind w:left="3871" w:hanging="936"/>
      </w:pPr>
      <w:rPr/>
    </w:lvl>
    <w:lvl w:ilvl="6">
      <w:start w:val="1"/>
      <w:numFmt w:val="decimal"/>
      <w:lvlText w:val="%1.%2.%3.%4.%5.%6.%7."/>
      <w:lvlJc w:val="left"/>
      <w:pPr>
        <w:tabs>
          <w:tab w:val="num" w:pos="0"/>
        </w:tabs>
        <w:ind w:left="4375" w:hanging="1080"/>
      </w:pPr>
      <w:rPr/>
    </w:lvl>
    <w:lvl w:ilvl="7">
      <w:start w:val="1"/>
      <w:numFmt w:val="decimal"/>
      <w:lvlText w:val="%1.%2.%3.%4.%5.%6.%7.%8."/>
      <w:lvlJc w:val="left"/>
      <w:pPr>
        <w:tabs>
          <w:tab w:val="num" w:pos="0"/>
        </w:tabs>
        <w:ind w:left="4879" w:hanging="1224"/>
      </w:pPr>
      <w:rPr/>
    </w:lvl>
    <w:lvl w:ilvl="8">
      <w:start w:val="1"/>
      <w:numFmt w:val="decimal"/>
      <w:lvlText w:val="%1.%2.%3.%4.%5.%6.%7.%8.%9."/>
      <w:lvlJc w:val="left"/>
      <w:pPr>
        <w:tabs>
          <w:tab w:val="num" w:pos="0"/>
        </w:tabs>
        <w:ind w:left="5455" w:hanging="1440"/>
      </w:pPr>
      <w:rPr/>
    </w:lvl>
  </w:abstractNum>
  <w:abstractNum w:abstractNumId="50">
    <w:lvl w:ilvl="0">
      <w:start w:val="1"/>
      <w:numFmt w:val="decimal"/>
      <w:lvlText w:val="%1."/>
      <w:lvlJc w:val="left"/>
      <w:pPr>
        <w:tabs>
          <w:tab w:val="num" w:pos="0"/>
        </w:tabs>
        <w:ind w:left="1495" w:hanging="360"/>
      </w:pPr>
      <w:rPr>
        <w:b/>
      </w:rPr>
    </w:lvl>
    <w:lvl w:ilvl="1">
      <w:start w:val="1"/>
      <w:numFmt w:val="decimal"/>
      <w:lvlText w:val="%1.%2."/>
      <w:lvlJc w:val="left"/>
      <w:pPr>
        <w:tabs>
          <w:tab w:val="num" w:pos="0"/>
        </w:tabs>
        <w:ind w:left="1709" w:hanging="432"/>
      </w:pPr>
      <w:rPr>
        <w:dstrike w:val="false"/>
        <w:strike w:val="false"/>
        <w:sz w:val="20"/>
        <w:i w:val="false"/>
        <w:u w:val="none"/>
        <w:b w:val="false"/>
        <w:szCs w:val="20"/>
        <w:color w:val="auto"/>
      </w:rPr>
    </w:lvl>
    <w:lvl w:ilvl="2">
      <w:start w:val="1"/>
      <w:numFmt w:val="decimal"/>
      <w:lvlText w:val="%1.%2.%3"/>
      <w:lvlJc w:val="left"/>
      <w:pPr>
        <w:tabs>
          <w:tab w:val="num" w:pos="0"/>
        </w:tabs>
        <w:ind w:left="3624" w:hanging="504"/>
      </w:pPr>
      <w:rPr>
        <w:dstrike w:val="false"/>
        <w:strike w:val="false"/>
        <w:sz w:val="20"/>
        <w:i w:val="false"/>
        <w:b w:val="false"/>
        <w:szCs w:val="20"/>
        <w:color w:val="000000"/>
      </w:rPr>
    </w:lvl>
    <w:lvl w:ilvl="3">
      <w:start w:val="1"/>
      <w:numFmt w:val="decimal"/>
      <w:lvlText w:val="%1.%2.%3.%4."/>
      <w:lvlJc w:val="left"/>
      <w:pPr>
        <w:tabs>
          <w:tab w:val="num" w:pos="0"/>
        </w:tabs>
        <w:ind w:left="3626" w:hanging="648"/>
      </w:pPr>
      <w:rPr/>
    </w:lvl>
    <w:lvl w:ilvl="4">
      <w:start w:val="1"/>
      <w:numFmt w:val="decimal"/>
      <w:lvlText w:val="%1.%2.%3.%4.%5."/>
      <w:lvlJc w:val="left"/>
      <w:pPr>
        <w:tabs>
          <w:tab w:val="num" w:pos="0"/>
        </w:tabs>
        <w:ind w:left="3367" w:hanging="792"/>
      </w:pPr>
      <w:rPr/>
    </w:lvl>
    <w:lvl w:ilvl="5">
      <w:start w:val="1"/>
      <w:numFmt w:val="decimal"/>
      <w:lvlText w:val="%1.%2.%3.%4.%5.%6."/>
      <w:lvlJc w:val="left"/>
      <w:pPr>
        <w:tabs>
          <w:tab w:val="num" w:pos="0"/>
        </w:tabs>
        <w:ind w:left="3871" w:hanging="936"/>
      </w:pPr>
      <w:rPr/>
    </w:lvl>
    <w:lvl w:ilvl="6">
      <w:start w:val="1"/>
      <w:numFmt w:val="decimal"/>
      <w:lvlText w:val="%1.%2.%3.%4.%5.%6.%7."/>
      <w:lvlJc w:val="left"/>
      <w:pPr>
        <w:tabs>
          <w:tab w:val="num" w:pos="0"/>
        </w:tabs>
        <w:ind w:left="4375" w:hanging="1080"/>
      </w:pPr>
      <w:rPr/>
    </w:lvl>
    <w:lvl w:ilvl="7">
      <w:start w:val="1"/>
      <w:numFmt w:val="decimal"/>
      <w:lvlText w:val="%1.%2.%3.%4.%5.%6.%7.%8."/>
      <w:lvlJc w:val="left"/>
      <w:pPr>
        <w:tabs>
          <w:tab w:val="num" w:pos="0"/>
        </w:tabs>
        <w:ind w:left="4879" w:hanging="1224"/>
      </w:pPr>
      <w:rPr/>
    </w:lvl>
    <w:lvl w:ilvl="8">
      <w:start w:val="1"/>
      <w:numFmt w:val="decimal"/>
      <w:lvlText w:val="%1.%2.%3.%4.%5.%6.%7.%8.%9."/>
      <w:lvlJc w:val="left"/>
      <w:pPr>
        <w:tabs>
          <w:tab w:val="num" w:pos="0"/>
        </w:tabs>
        <w:ind w:left="5455" w:hanging="144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2"/>
  </w:num>
  <w:num w:numId="52">
    <w:abstractNumId w:val="2"/>
  </w:num>
  <w:num w:numId="53">
    <w:abstractNumId w:val="2"/>
  </w:num>
  <w:num w:numId="54">
    <w:abstractNumId w:val="2"/>
  </w:num>
  <w:num w:numId="55">
    <w:abstractNumId w:val="2"/>
  </w:num>
  <w:num w:numId="56">
    <w:abstractNumId w:val="2"/>
  </w:num>
  <w:num w:numId="57">
    <w:abstractNumId w:val="2"/>
  </w:num>
  <w:num w:numId="58">
    <w:abstractNumId w:val="2"/>
  </w:num>
  <w:num w:numId="59">
    <w:abstractNumId w:val="2"/>
  </w:num>
  <w:num w:numId="60">
    <w:abstractNumId w:val="2"/>
  </w:num>
  <w:num w:numId="61">
    <w:abstractNumId w:val="2"/>
  </w:num>
  <w:num w:numId="62">
    <w:abstractNumId w:val="2"/>
  </w:num>
  <w:num w:numId="63">
    <w:abstractNumId w:val="2"/>
  </w:num>
  <w:num w:numId="64">
    <w:abstractNumId w:val="2"/>
  </w:num>
  <w:num w:numId="65">
    <w:abstractNumId w:val="2"/>
  </w:num>
  <w:num w:numId="66">
    <w:abstractNumId w:val="2"/>
  </w:num>
  <w:num w:numId="67">
    <w:abstractNumId w:val="2"/>
  </w:num>
  <w:num w:numId="68">
    <w:abstractNumId w:val="2"/>
  </w:num>
  <w:num w:numId="69">
    <w:abstractNumId w:val="2"/>
  </w:num>
  <w:num w:numId="70">
    <w:abstractNumId w:val="2"/>
  </w:num>
  <w:num w:numId="71">
    <w:abstractNumId w:val="2"/>
  </w:num>
  <w:num w:numId="72">
    <w:abstractNumId w:val="2"/>
  </w:num>
  <w:num w:numId="73">
    <w:abstractNumId w:val="2"/>
  </w:num>
  <w:num w:numId="74">
    <w:abstractNumId w:val="2"/>
  </w:num>
  <w:num w:numId="75">
    <w:abstractNumId w:val="2"/>
  </w:num>
  <w:num w:numId="76">
    <w:abstractNumId w:val="2"/>
  </w:num>
  <w:num w:numId="77">
    <w:abstractNumId w:val="2"/>
  </w:num>
  <w:num w:numId="78">
    <w:abstractNumId w:val="2"/>
  </w:num>
  <w:num w:numId="79">
    <w:abstractNumId w:val="2"/>
  </w:num>
  <w:num w:numId="80">
    <w:abstractNumId w:val="2"/>
  </w:num>
  <w:num w:numId="81">
    <w:abstractNumId w:val="2"/>
  </w:num>
  <w:num w:numId="82">
    <w:abstractNumId w:val="2"/>
  </w:num>
  <w:num w:numId="83">
    <w:abstractNumId w:val="2"/>
  </w:num>
  <w:num w:numId="84">
    <w:abstractNumId w:val="2"/>
  </w:num>
  <w:num w:numId="85">
    <w:abstractNumId w:val="2"/>
  </w:num>
  <w:num w:numId="86">
    <w:abstractNumId w:val="2"/>
  </w:num>
  <w:num w:numId="87">
    <w:abstractNumId w:val="2"/>
  </w:num>
  <w:num w:numId="88">
    <w:abstractNumId w:val="2"/>
  </w:num>
  <w:num w:numId="89">
    <w:abstractNumId w:val="2"/>
  </w:num>
  <w:num w:numId="90">
    <w:abstractNumId w:val="2"/>
  </w:num>
  <w:num w:numId="91">
    <w:abstractNumId w:val="2"/>
  </w:num>
  <w:num w:numId="92">
    <w:abstractNumId w:val="2"/>
  </w:num>
  <w:num w:numId="93">
    <w:abstractNumId w:val="2"/>
  </w:num>
  <w:num w:numId="94">
    <w:abstractNumId w:val="2"/>
  </w:num>
  <w:num w:numId="95">
    <w:abstractNumId w:val="2"/>
  </w:num>
</w:numbering>
</file>

<file path=word/settings.xml><?xml version="1.0" encoding="utf-8"?>
<w:settings xmlns:w="http://schemas.openxmlformats.org/wordprocessingml/2006/main">
  <w:zoom w:percent="100"/>
  <w:mirrorMargins/>
  <w:defaultTabStop w:val="709"/>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ＭＳ 明朝" w:cs="Times New Roman"/>
        <w:lang w:val="pt-BR" w:eastAsia="en-US" w:bidi="ar-SA"/>
      </w:rPr>
    </w:rPrDefault>
    <w:pPrDefault>
      <w:pPr>
        <w:suppressAutoHyphens w:val="true"/>
      </w:pPr>
    </w:pPrDefault>
  </w:docDefaults>
  <w:style w:type="paragraph" w:styleId="Normal">
    <w:name w:val="Normal"/>
    <w:qFormat/>
    <w:pPr>
      <w:widowControl/>
      <w:suppressAutoHyphens w:val="true"/>
      <w:kinsoku w:val="true"/>
      <w:overflowPunct w:val="true"/>
      <w:autoSpaceDE w:val="true"/>
      <w:bidi w:val="0"/>
      <w:spacing w:before="0" w:after="0"/>
      <w:jc w:val="left"/>
    </w:pPr>
    <w:rPr>
      <w:rFonts w:ascii="Ecofont_Spranq_eco_Sans" w:hAnsi="Ecofont_Spranq_eco_Sans" w:eastAsia="ＭＳ 明朝" w:cs="Tahoma"/>
      <w:color w:val="auto"/>
      <w:kern w:val="0"/>
      <w:sz w:val="24"/>
      <w:szCs w:val="24"/>
      <w:lang w:val="pt-BR" w:eastAsia="pt-BR" w:bidi="ar-SA"/>
    </w:rPr>
  </w:style>
  <w:style w:type="paragraph" w:styleId="Ttulo1">
    <w:name w:val="Heading 1"/>
    <w:basedOn w:val="Normal"/>
    <w:next w:val="Normal"/>
    <w:link w:val="Ttulo1Char"/>
    <w:qFormat/>
    <w:pPr>
      <w:keepNext w:val="true"/>
      <w:keepLines/>
      <w:numPr>
        <w:ilvl w:val="0"/>
        <w:numId w:val="1"/>
      </w:numPr>
      <w:spacing w:before="480" w:after="0"/>
      <w:outlineLvl w:val="0"/>
    </w:pPr>
    <w:rPr>
      <w:rFonts w:ascii="Arial" w:hAnsi="Arial" w:eastAsia="ＭＳ ゴシック" w:cs="Times New Roman"/>
      <w:b/>
      <w:bCs/>
      <w:sz w:val="20"/>
      <w:szCs w:val="28"/>
    </w:rPr>
  </w:style>
  <w:style w:type="paragraph" w:styleId="Ttulo2">
    <w:name w:val="Heading 2"/>
    <w:basedOn w:val="Normal"/>
    <w:next w:val="Normal"/>
    <w:link w:val="Ttulo2Char"/>
    <w:qFormat/>
    <w:pPr>
      <w:keepNext w:val="true"/>
      <w:numPr>
        <w:ilvl w:val="1"/>
        <w:numId w:val="1"/>
      </w:numPr>
      <w:spacing w:lineRule="auto" w:line="276" w:before="120" w:after="120"/>
      <w:ind w:left="0" w:right="0" w:hanging="0"/>
      <w:jc w:val="both"/>
      <w:outlineLvl w:val="1"/>
    </w:pPr>
    <w:rPr>
      <w:rFonts w:ascii="Arial" w:hAnsi="Arial" w:cs="Times New Roman"/>
      <w:sz w:val="20"/>
      <w:szCs w:val="20"/>
    </w:rPr>
  </w:style>
  <w:style w:type="paragraph" w:styleId="Ttulo3">
    <w:name w:val="Heading 3"/>
    <w:basedOn w:val="Normal"/>
    <w:next w:val="Normal"/>
    <w:link w:val="Ttulo3Char"/>
    <w:qFormat/>
    <w:pPr>
      <w:keepNext w:val="true"/>
      <w:keepLines/>
      <w:numPr>
        <w:ilvl w:val="0"/>
        <w:numId w:val="0"/>
      </w:numPr>
      <w:spacing w:lineRule="auto" w:line="259" w:before="40" w:after="0"/>
      <w:outlineLvl w:val="2"/>
    </w:pPr>
    <w:rPr>
      <w:rFonts w:ascii="Calibri" w:hAnsi="Calibri" w:eastAsia="ＭＳ ゴシック" w:cs="Times New Roman"/>
      <w:color w:val="243F60"/>
      <w:lang w:eastAsia="en-US"/>
    </w:rPr>
  </w:style>
  <w:style w:type="paragraph" w:styleId="Ttulo4">
    <w:name w:val="Heading 4"/>
    <w:basedOn w:val="Normal"/>
    <w:next w:val="Normal"/>
    <w:link w:val="Ttulo4Char"/>
    <w:qFormat/>
    <w:pPr>
      <w:keepNext w:val="true"/>
      <w:keepLines/>
      <w:numPr>
        <w:ilvl w:val="0"/>
        <w:numId w:val="0"/>
      </w:numPr>
      <w:spacing w:before="40" w:after="0"/>
      <w:outlineLvl w:val="3"/>
    </w:pPr>
    <w:rPr>
      <w:rFonts w:ascii="Calibri" w:hAnsi="Calibri" w:eastAsia="ＭＳ ゴシック" w:cs="Times New Roman"/>
      <w:i/>
      <w:iCs/>
      <w:color w:val="365F91"/>
    </w:rPr>
  </w:style>
  <w:style w:type="paragraph" w:styleId="Ttulo6">
    <w:name w:val="Heading 6"/>
    <w:basedOn w:val="Normal"/>
    <w:next w:val="Normal"/>
    <w:link w:val="Ttulo6Char"/>
    <w:qFormat/>
    <w:pPr>
      <w:keepNext w:val="true"/>
      <w:keepLines/>
      <w:numPr>
        <w:ilvl w:val="0"/>
        <w:numId w:val="0"/>
      </w:numPr>
      <w:spacing w:lineRule="auto" w:line="259" w:before="40" w:after="0"/>
      <w:outlineLvl w:val="5"/>
    </w:pPr>
    <w:rPr>
      <w:rFonts w:ascii="Calibri" w:hAnsi="Calibri" w:eastAsia="ＭＳ ゴシック" w:cs="Times New Roman"/>
      <w:color w:val="243F60"/>
      <w:sz w:val="22"/>
      <w:szCs w:val="22"/>
      <w:lang w:eastAsia="en-US"/>
    </w:rPr>
  </w:style>
  <w:style w:type="character" w:styleId="DefaultParagraphFont">
    <w:name w:val="Default Paragraph Font"/>
    <w:qFormat/>
    <w:rPr/>
  </w:style>
  <w:style w:type="character" w:styleId="TextodebaloChar">
    <w:name w:val="Texto de balão Char"/>
    <w:qFormat/>
    <w:rPr>
      <w:rFonts w:ascii="Tahoma" w:hAnsi="Tahoma" w:cs="Tahoma"/>
      <w:sz w:val="16"/>
      <w:szCs w:val="16"/>
    </w:rPr>
  </w:style>
  <w:style w:type="character" w:styleId="Ttulo2Char">
    <w:name w:val="Título 2 Char"/>
    <w:qFormat/>
    <w:rPr>
      <w:rFonts w:ascii="Arial" w:hAnsi="Arial"/>
      <w:lang w:eastAsia="pt-BR"/>
    </w:rPr>
  </w:style>
  <w:style w:type="character" w:styleId="Normalchar1">
    <w:name w:val="normal__char1"/>
    <w:qFormat/>
    <w:rPr>
      <w:rFonts w:ascii="Arial" w:hAnsi="Arial" w:cs="Arial"/>
      <w:strike w:val="false"/>
      <w:dstrike w:val="false"/>
      <w:sz w:val="24"/>
      <w:szCs w:val="24"/>
      <w:u w:val="none"/>
      <w:effect w:val="none"/>
    </w:rPr>
  </w:style>
  <w:style w:type="character" w:styleId="Applestylespan">
    <w:name w:val="apple-style-span"/>
    <w:basedOn w:val="DefaultParagraphFont"/>
    <w:qFormat/>
    <w:rPr/>
  </w:style>
  <w:style w:type="character" w:styleId="LinkdaInternet">
    <w:name w:val="Link da Internet"/>
    <w:basedOn w:val="DefaultParagraphFont"/>
    <w:rPr>
      <w:color w:val="0000FF"/>
      <w:u w:val="single"/>
    </w:rPr>
  </w:style>
  <w:style w:type="character" w:styleId="CitaoChar">
    <w:name w:val="Citação Char"/>
    <w:qFormat/>
    <w:rPr>
      <w:rFonts w:ascii="Arial" w:hAnsi="Arial" w:eastAsia="Calibri" w:cs="Tahoma"/>
      <w:i/>
      <w:iCs/>
      <w:color w:val="000000"/>
      <w:szCs w:val="24"/>
      <w:shd w:fill="FFFFCC" w:val="clear"/>
    </w:rPr>
  </w:style>
  <w:style w:type="character" w:styleId="NotaexplicativaChar">
    <w:name w:val="Nota explicativa Char"/>
    <w:basedOn w:val="CitaoChar"/>
    <w:link w:val="Notaexplicativa"/>
    <w:qFormat/>
    <w:rPr>
      <w:rFonts w:ascii="Arial" w:hAnsi="Arial" w:eastAsia="Calibri" w:cs="Tahoma"/>
      <w:i/>
      <w:iCs/>
      <w:color w:val="000000"/>
      <w:szCs w:val="24"/>
      <w:shd w:fill="FFFFCC" w:val="clear"/>
    </w:rPr>
  </w:style>
  <w:style w:type="character" w:styleId="CabealhoChar">
    <w:name w:val="Cabeçalho Char"/>
    <w:qFormat/>
    <w:rPr>
      <w:rFonts w:ascii="Ecofont_Spranq_eco_Sans" w:hAnsi="Ecofont_Spranq_eco_Sans" w:cs="Tahoma"/>
      <w:sz w:val="24"/>
      <w:szCs w:val="24"/>
    </w:rPr>
  </w:style>
  <w:style w:type="character" w:styleId="RodapChar">
    <w:name w:val="Rodapé Char"/>
    <w:qFormat/>
    <w:rPr>
      <w:rFonts w:ascii="Ecofont_Spranq_eco_Sans" w:hAnsi="Ecofont_Spranq_eco_Sans" w:cs="Tahoma"/>
      <w:sz w:val="24"/>
      <w:szCs w:val="24"/>
    </w:rPr>
  </w:style>
  <w:style w:type="character" w:styleId="Annotationreference">
    <w:name w:val="annotation reference"/>
    <w:basedOn w:val="DefaultParagraphFont"/>
    <w:qFormat/>
    <w:rPr>
      <w:sz w:val="16"/>
      <w:szCs w:val="16"/>
    </w:rPr>
  </w:style>
  <w:style w:type="character" w:styleId="TextodecomentrioChar">
    <w:name w:val="Texto de comentário Char"/>
    <w:basedOn w:val="DefaultParagraphFont"/>
    <w:qFormat/>
    <w:rPr>
      <w:rFonts w:ascii="Ecofont_Spranq_eco_Sans" w:hAnsi="Ecofont_Spranq_eco_Sans" w:cs="Tahoma"/>
      <w:lang w:eastAsia="pt-BR"/>
    </w:rPr>
  </w:style>
  <w:style w:type="character" w:styleId="AssuntodocomentrioChar">
    <w:name w:val="Assunto do comentário Char"/>
    <w:basedOn w:val="TextodecomentrioChar"/>
    <w:qFormat/>
    <w:rPr>
      <w:rFonts w:ascii="Ecofont_Spranq_eco_Sans" w:hAnsi="Ecofont_Spranq_eco_Sans" w:cs="Tahoma"/>
      <w:b/>
      <w:bCs/>
      <w:lang w:eastAsia="pt-BR"/>
    </w:rPr>
  </w:style>
  <w:style w:type="character" w:styleId="Ttulo4Char">
    <w:name w:val="Título 4 Char"/>
    <w:basedOn w:val="DefaultParagraphFont"/>
    <w:qFormat/>
    <w:rPr>
      <w:rFonts w:ascii="Calibri" w:hAnsi="Calibri" w:eastAsia="ＭＳ ゴシック" w:cs="Times New Roman"/>
      <w:i/>
      <w:iCs/>
      <w:color w:val="365F91"/>
      <w:sz w:val="24"/>
      <w:szCs w:val="24"/>
      <w:lang w:eastAsia="pt-BR"/>
    </w:rPr>
  </w:style>
  <w:style w:type="character" w:styleId="TtuloChar">
    <w:name w:val="Título Char"/>
    <w:basedOn w:val="DefaultParagraphFont"/>
    <w:link w:val="Ttulo"/>
    <w:qFormat/>
    <w:rPr>
      <w:rFonts w:ascii="Calibri" w:hAnsi="Calibri" w:eastAsia="ＭＳ ゴシック" w:cs="Times New Roman"/>
      <w:color w:val="17365D"/>
      <w:spacing w:val="5"/>
      <w:kern w:val="2"/>
      <w:sz w:val="52"/>
      <w:szCs w:val="52"/>
      <w:lang w:eastAsia="pt-BR"/>
    </w:rPr>
  </w:style>
  <w:style w:type="character" w:styleId="Nivel01Char">
    <w:name w:val="Nivel 01 Char"/>
    <w:basedOn w:val="TtuloChar"/>
    <w:link w:val="Nivel01"/>
    <w:qFormat/>
    <w:rPr>
      <w:rFonts w:ascii="Arial" w:hAnsi="Arial" w:eastAsia="Arial" w:cs="Arial"/>
      <w:b/>
      <w:iCs/>
      <w:color w:val="17365D"/>
      <w:spacing w:val="5"/>
      <w:kern w:val="2"/>
      <w:sz w:val="52"/>
      <w:szCs w:val="52"/>
      <w:lang w:eastAsia="pt-BR"/>
    </w:rPr>
  </w:style>
  <w:style w:type="character" w:styleId="Ttulo1Char">
    <w:name w:val="Título 1 Char"/>
    <w:basedOn w:val="DefaultParagraphFont"/>
    <w:qFormat/>
    <w:rPr>
      <w:rFonts w:ascii="Arial" w:hAnsi="Arial" w:eastAsia="ＭＳ ゴシック" w:cs="Times New Roman"/>
      <w:b/>
      <w:bCs/>
      <w:szCs w:val="28"/>
      <w:lang w:eastAsia="pt-BR"/>
    </w:rPr>
  </w:style>
  <w:style w:type="character" w:styleId="Nivel01TituloChar">
    <w:name w:val="Nivel_01_Titulo Char"/>
    <w:basedOn w:val="Nivel01Char"/>
    <w:link w:val="Nivel01Titulo"/>
    <w:qFormat/>
    <w:rPr>
      <w:rFonts w:ascii="Arial" w:hAnsi="Arial" w:eastAsia="Arial" w:cs="Times New Roman"/>
      <w:b/>
      <w:i w:val="false"/>
      <w:iCs/>
      <w:color w:val="000000"/>
      <w:spacing w:val="5"/>
      <w:kern w:val="2"/>
      <w:sz w:val="52"/>
      <w:szCs w:val="52"/>
      <w:lang w:eastAsia="pt-BR"/>
    </w:rPr>
  </w:style>
  <w:style w:type="character" w:styleId="QuoteChar">
    <w:name w:val="Quote Char"/>
    <w:basedOn w:val="DefaultParagraphFont"/>
    <w:link w:val="Citao1"/>
    <w:qFormat/>
    <w:rPr>
      <w:rFonts w:ascii="Ecofont_Spranq_eco_Sans" w:hAnsi="Ecofont_Spranq_eco_Sans" w:eastAsia="Calibri" w:cs="Tahoma"/>
      <w:i/>
      <w:iCs/>
      <w:color w:val="000000"/>
      <w:shd w:fill="FFFFCC" w:val="clear"/>
    </w:rPr>
  </w:style>
  <w:style w:type="character" w:styleId="Normaltextrun">
    <w:name w:val="normaltextrun"/>
    <w:basedOn w:val="DefaultParagraphFont"/>
    <w:qFormat/>
    <w:rPr/>
  </w:style>
  <w:style w:type="character" w:styleId="Eop">
    <w:name w:val="eop"/>
    <w:basedOn w:val="DefaultParagraphFont"/>
    <w:qFormat/>
    <w:rPr/>
  </w:style>
  <w:style w:type="character" w:styleId="Spellingerror">
    <w:name w:val="spellingerror"/>
    <w:basedOn w:val="DefaultParagraphFont"/>
    <w:qFormat/>
    <w:rPr/>
  </w:style>
  <w:style w:type="character" w:styleId="CorpodetextoChar">
    <w:name w:val="Corpo de texto Char"/>
    <w:basedOn w:val="DefaultParagraphFont"/>
    <w:qFormat/>
    <w:rPr>
      <w:rFonts w:eastAsia="Times New Roman"/>
      <w:sz w:val="24"/>
      <w:szCs w:val="24"/>
      <w:lang w:eastAsia="pt-BR"/>
    </w:rPr>
  </w:style>
  <w:style w:type="character" w:styleId="Nivel1Char">
    <w:name w:val="Nivel1 Char"/>
    <w:basedOn w:val="Ttulo1Char"/>
    <w:link w:val="Nivel1"/>
    <w:qFormat/>
    <w:rPr>
      <w:rFonts w:ascii="Arial" w:hAnsi="Arial" w:eastAsia="ＭＳ ゴシック" w:cs="Arial"/>
      <w:b/>
      <w:bCs w:val="false"/>
      <w:color w:val="000000"/>
      <w:szCs w:val="28"/>
      <w:lang w:eastAsia="pt-BR"/>
    </w:rPr>
  </w:style>
  <w:style w:type="character" w:styleId="Nivel4Char">
    <w:name w:val="Nivel 4 Char"/>
    <w:basedOn w:val="DefaultParagraphFont"/>
    <w:link w:val="Nivel4"/>
    <w:qFormat/>
    <w:rPr>
      <w:rFonts w:ascii="Arial" w:hAnsi="Arial" w:cs="Arial"/>
      <w:bCs/>
      <w:lang w:eastAsia="pt-BR"/>
    </w:rPr>
  </w:style>
  <w:style w:type="character" w:styleId="Cp0020corpodespachochar1">
    <w:name w:val="cp_0020corpodespacho__char1"/>
    <w:qFormat/>
    <w:rPr>
      <w:rFonts w:ascii="Times New Roman" w:hAnsi="Times New Roman" w:cs="Times New Roman"/>
      <w:strike w:val="false"/>
      <w:dstrike w:val="false"/>
      <w:sz w:val="26"/>
      <w:szCs w:val="26"/>
      <w:u w:val="none"/>
      <w:effect w:val="none"/>
    </w:rPr>
  </w:style>
  <w:style w:type="character" w:styleId="Em0020ementachar1">
    <w:name w:val="em_0020ementa__char1"/>
    <w:qFormat/>
    <w:rPr>
      <w:rFonts w:ascii="Times New Roman" w:hAnsi="Times New Roman" w:cs="Times New Roman"/>
      <w:strike w:val="false"/>
      <w:dstrike w:val="false"/>
      <w:sz w:val="28"/>
      <w:szCs w:val="28"/>
      <w:u w:val="none"/>
      <w:effect w:val="none"/>
    </w:rPr>
  </w:style>
  <w:style w:type="character" w:styleId="Strong">
    <w:name w:val="Strong"/>
    <w:basedOn w:val="DefaultParagraphFont"/>
    <w:qFormat/>
    <w:rPr>
      <w:b/>
      <w:bCs/>
    </w:rPr>
  </w:style>
  <w:style w:type="character" w:styleId="Nfase">
    <w:name w:val="Ênfase"/>
    <w:basedOn w:val="DefaultParagraphFont"/>
    <w:qFormat/>
    <w:rPr>
      <w:i/>
      <w:iCs/>
    </w:rPr>
  </w:style>
  <w:style w:type="character" w:styleId="Manoel">
    <w:name w:val="Manoel"/>
    <w:qFormat/>
    <w:rPr>
      <w:rFonts w:ascii="Arial" w:hAnsi="Arial" w:cs="Arial"/>
      <w:color w:val="7030A0"/>
      <w:sz w:val="20"/>
    </w:rPr>
  </w:style>
  <w:style w:type="character" w:styleId="GradeColoridanfase1Char">
    <w:name w:val="Grade Colorida - Ênfase 1 Char"/>
    <w:qFormat/>
    <w:rPr>
      <w:rFonts w:ascii="Arial" w:hAnsi="Arial" w:eastAsia="Calibri"/>
      <w:i/>
      <w:iCs/>
      <w:color w:val="000000"/>
      <w:szCs w:val="24"/>
      <w:shd w:fill="FFFFCC" w:val="clear"/>
    </w:rPr>
  </w:style>
  <w:style w:type="character" w:styleId="Highlight">
    <w:name w:val="highlight"/>
    <w:basedOn w:val="DefaultParagraphFont"/>
    <w:qFormat/>
    <w:rPr/>
  </w:style>
  <w:style w:type="character" w:styleId="Linkdainternetvisitado">
    <w:name w:val="Link da internet visitado"/>
    <w:basedOn w:val="DefaultParagraphFont"/>
    <w:rPr>
      <w:color w:val="800080"/>
      <w:u w:val="single"/>
    </w:rPr>
  </w:style>
  <w:style w:type="character" w:styleId="MenoPendente1">
    <w:name w:val="Menção Pendente1"/>
    <w:basedOn w:val="DefaultParagraphFont"/>
    <w:qFormat/>
    <w:rPr>
      <w:color w:val="605E5C"/>
      <w:shd w:fill="E1DFDD" w:val="clear"/>
    </w:rPr>
  </w:style>
  <w:style w:type="character" w:styleId="MenoPendente2">
    <w:name w:val="Menção Pendente2"/>
    <w:basedOn w:val="DefaultParagraphFont"/>
    <w:qFormat/>
    <w:rPr>
      <w:color w:val="605E5C"/>
      <w:shd w:fill="E1DFDD" w:val="clear"/>
    </w:rPr>
  </w:style>
  <w:style w:type="character" w:styleId="Nivel2OpcionalChar">
    <w:name w:val="Nivel 2-Opcional Char"/>
    <w:basedOn w:val="DefaultParagraphFont"/>
    <w:qFormat/>
    <w:rPr>
      <w:rFonts w:ascii="Arial" w:hAnsi="Arial" w:eastAsia="Arial" w:cs="Arial"/>
      <w:i/>
      <w:color w:val="FF0000"/>
      <w:shd w:fill="76923C" w:val="clear"/>
      <w:lang w:eastAsia="pt-BR"/>
    </w:rPr>
  </w:style>
  <w:style w:type="character" w:styleId="Nvel2OpcionalChar">
    <w:name w:val="Nível 2 Opcional Char"/>
    <w:basedOn w:val="DefaultParagraphFont"/>
    <w:link w:val="Nvel2Opcional"/>
    <w:qFormat/>
    <w:rPr>
      <w:rFonts w:ascii="Arial" w:hAnsi="Arial" w:eastAsia="Times New Roman" w:cs="Arial"/>
      <w:color w:val="FF0000"/>
      <w:shd w:fill="76923C" w:val="clear"/>
      <w:lang w:eastAsia="pt-BR"/>
    </w:rPr>
  </w:style>
  <w:style w:type="character" w:styleId="Nvel3OpcionalChar">
    <w:name w:val="Nível 3 Opcional Char"/>
    <w:basedOn w:val="DefaultParagraphFont"/>
    <w:link w:val="Nvel3Opcional"/>
    <w:qFormat/>
    <w:rPr>
      <w:rFonts w:ascii="Arial" w:hAnsi="Arial" w:eastAsia="Times New Roman" w:cs="Tahoma"/>
      <w:i/>
      <w:iCs/>
      <w:color w:val="FF0000"/>
      <w:szCs w:val="24"/>
      <w:lang w:eastAsia="pt-BR"/>
    </w:rPr>
  </w:style>
  <w:style w:type="character" w:styleId="PlaceholderText">
    <w:name w:val="Placeholder Text"/>
    <w:basedOn w:val="DefaultParagraphFont"/>
    <w:qFormat/>
    <w:rPr>
      <w:color w:val="808080"/>
    </w:rPr>
  </w:style>
  <w:style w:type="character" w:styleId="PargrafodaListaChar">
    <w:name w:val="Parágrafo da Lista Char"/>
    <w:basedOn w:val="DefaultParagraphFont"/>
    <w:qFormat/>
    <w:rPr>
      <w:rFonts w:ascii="Ecofont_Spranq_eco_Sans" w:hAnsi="Ecofont_Spranq_eco_Sans" w:cs="Tahoma"/>
      <w:sz w:val="24"/>
      <w:szCs w:val="24"/>
      <w:lang w:eastAsia="pt-BR"/>
    </w:rPr>
  </w:style>
  <w:style w:type="character" w:styleId="Ttulo3Char">
    <w:name w:val="Título 3 Char"/>
    <w:basedOn w:val="DefaultParagraphFont"/>
    <w:qFormat/>
    <w:rPr>
      <w:rFonts w:ascii="Calibri" w:hAnsi="Calibri" w:eastAsia="ＭＳ ゴシック" w:cs="Times New Roman"/>
      <w:color w:val="243F60"/>
      <w:sz w:val="24"/>
      <w:szCs w:val="24"/>
    </w:rPr>
  </w:style>
  <w:style w:type="character" w:styleId="Ttulo6Char">
    <w:name w:val="Título 6 Char"/>
    <w:basedOn w:val="DefaultParagraphFont"/>
    <w:qFormat/>
    <w:rPr>
      <w:rFonts w:ascii="Calibri" w:hAnsi="Calibri" w:eastAsia="ＭＳ ゴシック" w:cs="Times New Roman"/>
      <w:color w:val="243F60"/>
      <w:sz w:val="22"/>
      <w:szCs w:val="22"/>
    </w:rPr>
  </w:style>
  <w:style w:type="character" w:styleId="Markedcontent">
    <w:name w:val="markedcontent"/>
    <w:basedOn w:val="DefaultParagraphFont"/>
    <w:qFormat/>
    <w:rPr/>
  </w:style>
  <w:style w:type="character" w:styleId="MenoPendente3">
    <w:name w:val="Menção Pendente3"/>
    <w:basedOn w:val="DefaultParagraphFont"/>
    <w:qFormat/>
    <w:rPr>
      <w:color w:val="605E5C"/>
      <w:shd w:fill="E1DFDD" w:val="clear"/>
    </w:rPr>
  </w:style>
  <w:style w:type="character" w:styleId="MenoPendente4">
    <w:name w:val="Menção Pendente4"/>
    <w:basedOn w:val="DefaultParagraphFont"/>
    <w:qFormat/>
    <w:rPr>
      <w:color w:val="605E5C"/>
      <w:shd w:fill="E1DFDD" w:val="clear"/>
    </w:rPr>
  </w:style>
  <w:style w:type="character" w:styleId="OuChar">
    <w:name w:val="ou Char"/>
    <w:basedOn w:val="PargrafodaListaChar"/>
    <w:qFormat/>
    <w:rPr>
      <w:rFonts w:ascii="Arial" w:hAnsi="Arial" w:eastAsia="Cambria" w:cs="Arial"/>
      <w:b/>
      <w:bCs/>
      <w:i/>
      <w:iCs/>
      <w:color w:val="FF0000"/>
      <w:sz w:val="24"/>
      <w:szCs w:val="24"/>
      <w:lang w:eastAsia="pt-BR"/>
    </w:rPr>
  </w:style>
  <w:style w:type="character" w:styleId="Nvel02Char">
    <w:name w:val="Nível 02 Char"/>
    <w:basedOn w:val="Nivel2OpcionalChar"/>
    <w:link w:val="Nvel02"/>
    <w:qFormat/>
    <w:rPr>
      <w:rFonts w:ascii="Arial" w:hAnsi="Arial" w:eastAsia="Arial" w:cs="Arial"/>
      <w:i w:val="false"/>
      <w:iCs/>
      <w:color w:val="FF0000"/>
      <w:shd w:fill="76923C" w:val="clear"/>
      <w:lang w:eastAsia="pt-BR"/>
    </w:rPr>
  </w:style>
  <w:style w:type="character" w:styleId="Nivel3erroChar">
    <w:name w:val="Nivel 3-erro Char"/>
    <w:basedOn w:val="DefaultParagraphFont"/>
    <w:qFormat/>
    <w:rPr>
      <w:rFonts w:ascii="Arial" w:hAnsi="Arial" w:cs="Tahoma"/>
      <w:szCs w:val="24"/>
      <w:lang w:eastAsia="pt-BR"/>
    </w:rPr>
  </w:style>
  <w:style w:type="character" w:styleId="Nvel3RChar">
    <w:name w:val="Nível 3-R Char"/>
    <w:basedOn w:val="Nivel3erroChar"/>
    <w:qFormat/>
    <w:rPr>
      <w:rFonts w:ascii="Arial" w:hAnsi="Arial" w:cs="Arial"/>
      <w:i/>
      <w:iCs/>
      <w:color w:val="FF0000"/>
      <w:szCs w:val="24"/>
      <w:lang w:eastAsia="pt-BR"/>
    </w:rPr>
  </w:style>
  <w:style w:type="character" w:styleId="Nvel4RChar">
    <w:name w:val="Nível 4-R Char"/>
    <w:basedOn w:val="Nivel4Char"/>
    <w:qFormat/>
    <w:rPr>
      <w:rFonts w:ascii="Arial" w:hAnsi="Arial" w:cs="Arial"/>
      <w:bCs w:val="false"/>
      <w:iCs/>
      <w:lang w:eastAsia="pt-BR"/>
    </w:rPr>
  </w:style>
  <w:style w:type="character" w:styleId="Nvel1SemNumChar">
    <w:name w:val="Nível 1-Sem Num Char"/>
    <w:basedOn w:val="Nivel01Char"/>
    <w:qFormat/>
    <w:rPr>
      <w:rFonts w:ascii="Arial" w:hAnsi="Arial" w:eastAsia="Arial" w:cs="Arial"/>
      <w:b/>
      <w:i/>
      <w:iCs w:val="false"/>
      <w:color w:val="FF0000"/>
      <w:spacing w:val="5"/>
      <w:kern w:val="2"/>
      <w:sz w:val="52"/>
      <w:szCs w:val="52"/>
      <w:lang w:eastAsia="pt-BR"/>
    </w:rPr>
  </w:style>
  <w:style w:type="character" w:styleId="PrembuloChar">
    <w:name w:val="Preâmbulo Char"/>
    <w:basedOn w:val="DefaultParagraphFont"/>
    <w:link w:val="Prembulo"/>
    <w:qFormat/>
    <w:rPr>
      <w:rFonts w:ascii="Arial" w:hAnsi="Arial" w:eastAsia="Arial" w:cs="Arial"/>
      <w:bCs/>
      <w:lang w:eastAsia="pt-BR"/>
    </w:rPr>
  </w:style>
  <w:style w:type="character" w:styleId="MenoPendente5">
    <w:name w:val="Menção Pendente5"/>
    <w:basedOn w:val="DefaultParagraphFont"/>
    <w:qFormat/>
    <w:rPr>
      <w:color w:val="605E5C"/>
      <w:shd w:fill="E1DFDD" w:val="clear"/>
    </w:rPr>
  </w:style>
  <w:style w:type="character" w:styleId="Citao2Char">
    <w:name w:val="citação 2 Char"/>
    <w:basedOn w:val="CitaoChar"/>
    <w:qFormat/>
    <w:rPr>
      <w:rFonts w:ascii="Arial" w:hAnsi="Arial" w:eastAsia="Calibri" w:cs="Tahoma"/>
      <w:i/>
      <w:iCs/>
      <w:color w:val="000000"/>
      <w:szCs w:val="24"/>
      <w:shd w:fill="FFFFCC" w:val="clear"/>
    </w:rPr>
  </w:style>
  <w:style w:type="character" w:styleId="Nvel1SemNumeraoChar">
    <w:name w:val="Nível 1-Sem Numeração Char"/>
    <w:basedOn w:val="Nvel1SemNumChar"/>
    <w:qFormat/>
    <w:rPr>
      <w:rFonts w:ascii="Arial" w:hAnsi="Arial" w:eastAsia="Arial" w:cs="Arial"/>
      <w:b/>
      <w:i w:val="false"/>
      <w:iCs w:val="false"/>
      <w:color w:val="FF0000"/>
      <w:spacing w:val="5"/>
      <w:kern w:val="2"/>
      <w:sz w:val="52"/>
      <w:szCs w:val="52"/>
      <w:lang w:eastAsia="pt-BR"/>
    </w:rPr>
  </w:style>
  <w:style w:type="character" w:styleId="MenoPendente6">
    <w:name w:val="Menção Pendente6"/>
    <w:basedOn w:val="DefaultParagraphFont"/>
    <w:qFormat/>
    <w:rPr>
      <w:color w:val="605E5C"/>
      <w:shd w:fill="E1DFDD" w:val="clear"/>
    </w:rPr>
  </w:style>
  <w:style w:type="character" w:styleId="AlteraesChar">
    <w:name w:val="Alterações Char"/>
    <w:basedOn w:val="Nvel02Char"/>
    <w:link w:val="Alteraes"/>
    <w:qFormat/>
    <w:rPr>
      <w:rFonts w:ascii="Arial" w:hAnsi="Arial" w:eastAsia="Arial" w:cs="Arial"/>
      <w:i w:val="false"/>
      <w:iCs/>
      <w:color w:val="0000FF"/>
      <w:shd w:fill="76923C" w:val="clear"/>
      <w:lang w:eastAsia="pt-BR"/>
    </w:rPr>
  </w:style>
  <w:style w:type="character" w:styleId="Nivel3Char">
    <w:name w:val="Nivel 3 Char"/>
    <w:basedOn w:val="DefaultParagraphFont"/>
    <w:link w:val="Nivel3"/>
    <w:qFormat/>
    <w:rPr>
      <w:rFonts w:ascii="Arial" w:hAnsi="Arial" w:cs="Tahoma"/>
      <w:szCs w:val="24"/>
      <w:lang w:eastAsia="pt-BR"/>
    </w:rPr>
  </w:style>
  <w:style w:type="character" w:styleId="UnresolvedMention">
    <w:name w:val="Unresolved Mention"/>
    <w:basedOn w:val="DefaultParagraphFont"/>
    <w:qFormat/>
    <w:rPr>
      <w:color w:val="605E5C"/>
      <w:shd w:fill="E1DFDD" w:val="clear"/>
    </w:rPr>
  </w:style>
  <w:style w:type="character" w:styleId="Nvel2OpcionalChar1">
    <w:name w:val="Nível 2-Opcional Char"/>
    <w:basedOn w:val="Nvel02Char"/>
    <w:qFormat/>
    <w:rPr>
      <w:rFonts w:ascii="Arial" w:hAnsi="Arial" w:eastAsia="Arial" w:cs="Arial"/>
      <w:i/>
      <w:iCs/>
      <w:color w:val="FF0000"/>
      <w:shd w:fill="76923C" w:val="clear"/>
      <w:lang w:eastAsia="pt-BR"/>
    </w:rPr>
  </w:style>
  <w:style w:type="character" w:styleId="Nvel3OpcionalChar1">
    <w:name w:val="Nível 3-Opcional Char"/>
    <w:basedOn w:val="Nivel3Char"/>
    <w:qFormat/>
    <w:rPr>
      <w:rFonts w:ascii="Arial" w:hAnsi="Arial" w:cs="Tahoma"/>
      <w:i/>
      <w:color w:val="FF0000"/>
      <w:szCs w:val="24"/>
      <w:lang w:eastAsia="pt-BR"/>
    </w:rPr>
  </w:style>
  <w:style w:type="character" w:styleId="Nvel1SemBlackChar">
    <w:name w:val="Nível 1-Sem Black Char"/>
    <w:basedOn w:val="DefaultParagraphFont"/>
    <w:qFormat/>
    <w:rPr>
      <w:rFonts w:ascii="Arial" w:hAnsi="Arial" w:eastAsia="ＭＳ ゴシック" w:cs="Arial"/>
      <w:b/>
      <w:bCs/>
      <w:lang w:eastAsia="pt-BR"/>
    </w:rPr>
  </w:style>
  <w:style w:type="character" w:styleId="Nivel2Char">
    <w:name w:val="Nivel 2 Char"/>
    <w:basedOn w:val="DefaultParagraphFont"/>
    <w:link w:val="Nivel2"/>
    <w:qFormat/>
    <w:rPr>
      <w:rFonts w:ascii="Arial" w:hAnsi="Arial" w:eastAsia="Arial" w:cs="Arial"/>
      <w:lang w:eastAsia="pt-BR"/>
    </w:rPr>
  </w:style>
  <w:style w:type="character" w:styleId="Nvel2RedChar">
    <w:name w:val="Nível 2 -Red Char"/>
    <w:basedOn w:val="Nivel2Char"/>
    <w:qFormat/>
    <w:rPr>
      <w:rFonts w:ascii="Arial" w:hAnsi="Arial" w:eastAsia="Arial" w:cs="Arial"/>
      <w:i/>
      <w:iCs/>
      <w:color w:val="FF0000"/>
      <w:lang w:eastAsia="pt-BR"/>
    </w:rPr>
  </w:style>
  <w:style w:type="character" w:styleId="Mentionnonrsolue1">
    <w:name w:val="Mention non résolue1"/>
    <w:basedOn w:val="DefaultParagraphFont"/>
    <w:qFormat/>
    <w:rPr>
      <w:color w:val="605E5C"/>
      <w:shd w:fill="E1DFDD" w:val="clear"/>
    </w:rPr>
  </w:style>
  <w:style w:type="character" w:styleId="Findhit">
    <w:name w:val="findhit"/>
    <w:basedOn w:val="DefaultParagraphFont"/>
    <w:qFormat/>
    <w:rPr/>
  </w:style>
  <w:style w:type="character" w:styleId="Meno1">
    <w:name w:val="Menção1"/>
    <w:basedOn w:val="DefaultParagraphFont"/>
    <w:qFormat/>
    <w:rPr>
      <w:color w:val="2B579A"/>
      <w:shd w:fill="E6E6E6" w:val="clear"/>
    </w:rPr>
  </w:style>
  <w:style w:type="character" w:styleId="Nvel1SemNumPretoChar">
    <w:name w:val="Nível 1-Sem Num Preto Char"/>
    <w:basedOn w:val="Nvel1SemNumChar"/>
    <w:qFormat/>
    <w:rPr>
      <w:rFonts w:ascii="Arial" w:hAnsi="Arial" w:eastAsia="ＭＳ ゴシック" w:cs="Arial"/>
      <w:b/>
      <w:bCs/>
      <w:i w:val="false"/>
      <w:iCs/>
      <w:color w:val="FF0000"/>
      <w:spacing w:val="5"/>
      <w:kern w:val="2"/>
      <w:sz w:val="52"/>
      <w:szCs w:val="52"/>
      <w:lang w:eastAsia="zh-CN" w:bidi="hi-IN"/>
    </w:rPr>
  </w:style>
  <w:style w:type="character" w:styleId="Cf01">
    <w:name w:val="cf01"/>
    <w:basedOn w:val="DefaultParagraphFont"/>
    <w:qFormat/>
    <w:rPr>
      <w:rFonts w:ascii="Segoe UI" w:hAnsi="Segoe UI" w:cs="Segoe UI"/>
      <w:b/>
      <w:bCs/>
      <w:i/>
      <w:iCs/>
      <w:sz w:val="18"/>
      <w:szCs w:val="18"/>
    </w:rPr>
  </w:style>
  <w:style w:type="character" w:styleId="TextodecomentrioChar1">
    <w:name w:val="Texto de comentário Char1"/>
    <w:basedOn w:val="DefaultParagraphFont"/>
    <w:qFormat/>
    <w:rPr>
      <w:rFonts w:ascii="Ecofont_Spranq_eco_Sans" w:hAnsi="Ecofont_Spranq_eco_Sans" w:cs="Tahoma"/>
      <w:lang w:eastAsia="pt-BR"/>
    </w:rPr>
  </w:style>
  <w:style w:type="character" w:styleId="Nvel4RedChar">
    <w:name w:val="Nível 4-Red Char"/>
    <w:basedOn w:val="DefaultParagraphFont"/>
    <w:qFormat/>
    <w:rPr>
      <w:rFonts w:ascii="Arial" w:hAnsi="Arial" w:eastAsia="MS Mincho" w:cs="Arial"/>
      <w:iCs/>
      <w:color w:val="FF0000"/>
    </w:rPr>
  </w:style>
  <w:style w:type="character" w:styleId="Nivel4Char1">
    <w:name w:val="Nivel 4 Char1"/>
    <w:basedOn w:val="DefaultParagraphFont"/>
    <w:qFormat/>
    <w:rPr>
      <w:rFonts w:ascii="Arial" w:hAnsi="Arial" w:cs="Arial"/>
      <w:color w:val="000000"/>
      <w:lang w:eastAsia="pt-BR"/>
    </w:rPr>
  </w:style>
  <w:style w:type="character" w:styleId="Estilo7Char">
    <w:name w:val="Estilo7 Char"/>
    <w:basedOn w:val="Nivel2Char"/>
    <w:link w:val="Estilo7"/>
    <w:qFormat/>
    <w:rPr>
      <w:rFonts w:ascii="Arial" w:hAnsi="Arial" w:eastAsia="Arial" w:cs="Arial"/>
      <w:i/>
      <w:color w:val="FF0000"/>
      <w:lang w:eastAsia="pt-BR"/>
    </w:rPr>
  </w:style>
  <w:style w:type="character" w:styleId="Estilo8Char">
    <w:name w:val="Estilo8 Char"/>
    <w:basedOn w:val="Nivel3Char"/>
    <w:link w:val="Estilo8"/>
    <w:qFormat/>
    <w:rPr>
      <w:rFonts w:ascii="Arial" w:hAnsi="Arial" w:cs="Arial"/>
      <w:i/>
      <w:color w:val="FF0000"/>
      <w:szCs w:val="24"/>
      <w:lang w:eastAsia="pt-BR"/>
    </w:rPr>
  </w:style>
  <w:style w:type="character" w:styleId="Nivel5Char">
    <w:name w:val="Nivel 5 Char"/>
    <w:basedOn w:val="Nivel4Char"/>
    <w:link w:val="Nivel5"/>
    <w:qFormat/>
    <w:rPr>
      <w:rFonts w:ascii="Arial" w:hAnsi="Arial" w:cs="Arial"/>
      <w:bCs/>
      <w:i/>
      <w:color w:val="FF0000"/>
      <w:lang w:eastAsia="pt-BR"/>
    </w:rPr>
  </w:style>
  <w:style w:type="character" w:styleId="Estilo9Char">
    <w:name w:val="Estilo9 Char"/>
    <w:basedOn w:val="Nivel5Char"/>
    <w:link w:val="Estilo9"/>
    <w:qFormat/>
    <w:rPr>
      <w:rFonts w:ascii="Arial" w:hAnsi="Arial" w:cs="Arial"/>
      <w:bCs/>
      <w:i w:val="false"/>
      <w:color w:val="FF0000"/>
      <w:szCs w:val="24"/>
      <w:lang w:eastAsia="pt-BR"/>
    </w:rPr>
  </w:style>
  <w:style w:type="character" w:styleId="Smbolosdenumerao">
    <w:name w:val="Símbolos de numeração"/>
    <w:qFormat/>
    <w:rPr/>
  </w:style>
  <w:style w:type="paragraph" w:styleId="Ttulo">
    <w:name w:val="Título"/>
    <w:basedOn w:val="Normal"/>
    <w:next w:val="Corpodotexto"/>
    <w:qFormat/>
    <w:pPr>
      <w:keepNext w:val="true"/>
      <w:spacing w:before="240" w:after="120"/>
    </w:pPr>
    <w:rPr>
      <w:rFonts w:ascii="Liberation Sans" w:hAnsi="Liberation Sans" w:eastAsia="Noto Sans CJK SC" w:cs="Lohit Devanagari"/>
      <w:sz w:val="28"/>
      <w:szCs w:val="28"/>
    </w:rPr>
  </w:style>
  <w:style w:type="paragraph" w:styleId="Corpodotexto">
    <w:name w:val="Body Text"/>
    <w:basedOn w:val="Normal"/>
    <w:link w:val="CorpodetextoChar"/>
    <w:pPr>
      <w:spacing w:before="280" w:after="280"/>
    </w:pPr>
    <w:rPr>
      <w:rFonts w:ascii="Times New Roman" w:hAnsi="Times New Roman" w:eastAsia="Times New Roman" w:cs="Times New Roman"/>
    </w:rPr>
  </w:style>
  <w:style w:type="paragraph" w:styleId="Lista">
    <w:name w:val="List"/>
    <w:basedOn w:val="Corpodotexto"/>
    <w:pPr/>
    <w:rPr>
      <w:rFonts w:cs="Lohit Devanagari"/>
    </w:rPr>
  </w:style>
  <w:style w:type="paragraph" w:styleId="Legenda">
    <w:name w:val="Caption"/>
    <w:basedOn w:val="Normal"/>
    <w:qFormat/>
    <w:pPr>
      <w:suppressLineNumbers/>
      <w:spacing w:before="120" w:after="120"/>
    </w:pPr>
    <w:rPr>
      <w:rFonts w:cs="Lohit Devanagari"/>
      <w:i/>
      <w:iCs/>
      <w:sz w:val="24"/>
      <w:szCs w:val="24"/>
    </w:rPr>
  </w:style>
  <w:style w:type="paragraph" w:styleId="Ndice">
    <w:name w:val="Índice"/>
    <w:basedOn w:val="Normal"/>
    <w:qFormat/>
    <w:pPr>
      <w:suppressLineNumbers/>
    </w:pPr>
    <w:rPr>
      <w:rFonts w:cs="Lohit Devanagari"/>
    </w:rPr>
  </w:style>
  <w:style w:type="paragraph" w:styleId="ListParagraph">
    <w:name w:val="List Paragraph"/>
    <w:basedOn w:val="Normal"/>
    <w:link w:val="PargrafodaListaChar"/>
    <w:qFormat/>
    <w:pPr>
      <w:spacing w:before="0" w:after="0"/>
      <w:ind w:left="720" w:right="0" w:hanging="0"/>
      <w:contextualSpacing/>
    </w:pPr>
    <w:rPr/>
  </w:style>
  <w:style w:type="paragraph" w:styleId="NormalWeb">
    <w:name w:val="Normal (Web)"/>
    <w:basedOn w:val="Normal"/>
    <w:qFormat/>
    <w:pPr>
      <w:spacing w:before="280" w:after="280"/>
    </w:pPr>
    <w:rPr>
      <w:rFonts w:ascii="Times New Roman" w:hAnsi="Times New Roman" w:cs="Times New Roman"/>
    </w:rPr>
  </w:style>
  <w:style w:type="paragraph" w:styleId="BalloonText">
    <w:name w:val="Balloon Text"/>
    <w:basedOn w:val="Normal"/>
    <w:link w:val="TextodebaloChar"/>
    <w:qFormat/>
    <w:pPr/>
    <w:rPr>
      <w:rFonts w:ascii="Tahoma" w:hAnsi="Tahoma"/>
      <w:sz w:val="16"/>
      <w:szCs w:val="16"/>
    </w:rPr>
  </w:style>
  <w:style w:type="paragraph" w:styleId="Nvel2">
    <w:name w:val="Nível 2"/>
    <w:basedOn w:val="Normal"/>
    <w:next w:val="Normal"/>
    <w:qFormat/>
    <w:pPr>
      <w:spacing w:before="0" w:after="120"/>
      <w:jc w:val="both"/>
    </w:pPr>
    <w:rPr>
      <w:rFonts w:ascii="Arial" w:hAnsi="Arial" w:cs="Times New Roman"/>
      <w:b/>
      <w:szCs w:val="20"/>
    </w:rPr>
  </w:style>
  <w:style w:type="paragraph" w:styleId="Quote">
    <w:name w:val="Quote"/>
    <w:basedOn w:val="Normal"/>
    <w:next w:val="Normal"/>
    <w:link w:val="CitaoChar"/>
    <w:qFormat/>
    <w:pPr>
      <w:pBdr>
        <w:top w:val="single" w:sz="4" w:space="1" w:color="1F497D"/>
        <w:left w:val="single" w:sz="4" w:space="4" w:color="1F497D"/>
        <w:bottom w:val="single" w:sz="4" w:space="1" w:color="1F497D"/>
        <w:right w:val="single" w:sz="4" w:space="4" w:color="1F497D"/>
      </w:pBdr>
      <w:shd w:fill="FFFFCC" w:val="clear"/>
      <w:spacing w:before="120" w:after="0"/>
      <w:jc w:val="both"/>
    </w:pPr>
    <w:rPr>
      <w:rFonts w:ascii="Arial" w:hAnsi="Arial" w:eastAsia="Calibri"/>
      <w:i/>
      <w:iCs/>
      <w:color w:val="000000"/>
      <w:sz w:val="20"/>
      <w:lang w:eastAsia="en-US"/>
    </w:rPr>
  </w:style>
  <w:style w:type="paragraph" w:styleId="ListBullet5">
    <w:name w:val="List Bullet 5"/>
    <w:basedOn w:val="Normal"/>
    <w:qFormat/>
    <w:pPr>
      <w:spacing w:before="0" w:after="0"/>
      <w:contextualSpacing/>
    </w:pPr>
    <w:rPr/>
  </w:style>
  <w:style w:type="paragraph" w:styleId="Notaexplicativa">
    <w:name w:val="Nota explicativa"/>
    <w:basedOn w:val="Quote"/>
    <w:link w:val="NotaexplicativaChar"/>
    <w:qFormat/>
    <w:pPr>
      <w:shd w:fill="FFFFCC" w:val="clear"/>
    </w:pPr>
    <w:rPr>
      <w:szCs w:val="20"/>
    </w:rPr>
  </w:style>
  <w:style w:type="paragraph" w:styleId="CabealhoeRodap">
    <w:name w:val="Cabeçalho e Rodapé"/>
    <w:basedOn w:val="Normal"/>
    <w:qFormat/>
    <w:pPr/>
    <w:rPr/>
  </w:style>
  <w:style w:type="paragraph" w:styleId="Cabealho">
    <w:name w:val="Header"/>
    <w:basedOn w:val="Normal"/>
    <w:link w:val="CabealhoChar"/>
    <w:pPr>
      <w:tabs>
        <w:tab w:val="clear" w:pos="709"/>
        <w:tab w:val="center" w:pos="4252" w:leader="none"/>
        <w:tab w:val="right" w:pos="8504" w:leader="none"/>
      </w:tabs>
    </w:pPr>
    <w:rPr/>
  </w:style>
  <w:style w:type="paragraph" w:styleId="Rodap">
    <w:name w:val="Footer"/>
    <w:basedOn w:val="Normal"/>
    <w:link w:val="RodapChar"/>
    <w:pPr>
      <w:tabs>
        <w:tab w:val="clear" w:pos="709"/>
        <w:tab w:val="center" w:pos="4252" w:leader="none"/>
        <w:tab w:val="right" w:pos="8504" w:leader="none"/>
      </w:tabs>
    </w:pPr>
    <w:rPr/>
  </w:style>
  <w:style w:type="paragraph" w:styleId="Annotationtext">
    <w:name w:val="annotation text"/>
    <w:basedOn w:val="Normal"/>
    <w:link w:val="TextodecomentrioChar"/>
    <w:qFormat/>
    <w:pPr/>
    <w:rPr>
      <w:sz w:val="20"/>
      <w:szCs w:val="20"/>
    </w:rPr>
  </w:style>
  <w:style w:type="paragraph" w:styleId="Annotationsubject">
    <w:name w:val="annotation subject"/>
    <w:basedOn w:val="Annotationtext"/>
    <w:next w:val="Annotationtext"/>
    <w:link w:val="AssuntodocomentrioChar"/>
    <w:qFormat/>
    <w:pPr/>
    <w:rPr>
      <w:b/>
      <w:bCs/>
    </w:rPr>
  </w:style>
  <w:style w:type="paragraph" w:styleId="Nivel01">
    <w:name w:val="Nivel 01"/>
    <w:basedOn w:val="ListParagraph"/>
    <w:next w:val="Normal"/>
    <w:link w:val="Nivel01Char"/>
    <w:autoRedefine/>
    <w:qFormat/>
    <w:pPr>
      <w:numPr>
        <w:ilvl w:val="0"/>
        <w:numId w:val="0"/>
      </w:numPr>
      <w:spacing w:lineRule="auto" w:line="276" w:before="360" w:after="120"/>
      <w:ind w:left="357" w:right="0" w:hanging="357"/>
      <w:contextualSpacing/>
      <w:jc w:val="both"/>
      <w:outlineLvl w:val="0"/>
    </w:pPr>
    <w:rPr>
      <w:rFonts w:ascii="Arial" w:hAnsi="Arial" w:eastAsia="Arial" w:cs="Arial"/>
      <w:b/>
      <w:iCs/>
      <w:sz w:val="20"/>
      <w:szCs w:val="20"/>
    </w:rPr>
  </w:style>
  <w:style w:type="paragraph" w:styleId="Nivel01Titulo">
    <w:name w:val="Nivel_01_Titulo"/>
    <w:basedOn w:val="Nivel01"/>
    <w:link w:val="Nivel01TituloChar"/>
    <w:qFormat/>
    <w:pPr>
      <w:jc w:val="left"/>
    </w:pPr>
    <w:rPr>
      <w:rFonts w:cs="Times New Roman"/>
      <w:spacing w:val="5"/>
      <w:kern w:val="2"/>
      <w:sz w:val="52"/>
      <w:szCs w:val="52"/>
    </w:rPr>
  </w:style>
  <w:style w:type="paragraph" w:styleId="Ttulododocumento">
    <w:name w:val="Title"/>
    <w:basedOn w:val="Normal"/>
    <w:next w:val="Normal"/>
    <w:link w:val="TtuloChar"/>
    <w:qFormat/>
    <w:pPr>
      <w:pBdr>
        <w:bottom w:val="single" w:sz="8" w:space="4" w:color="4F81BD"/>
      </w:pBdr>
      <w:spacing w:before="0" w:after="300"/>
      <w:contextualSpacing/>
    </w:pPr>
    <w:rPr>
      <w:rFonts w:ascii="Calibri" w:hAnsi="Calibri" w:eastAsia="ＭＳ ゴシック" w:cs="Times New Roman"/>
      <w:color w:val="17365D"/>
      <w:spacing w:val="5"/>
      <w:kern w:val="2"/>
      <w:sz w:val="52"/>
      <w:szCs w:val="52"/>
    </w:rPr>
  </w:style>
  <w:style w:type="paragraph" w:styleId="PADRO">
    <w:name w:val="PADRÃO"/>
    <w:qFormat/>
    <w:pPr>
      <w:keepNext w:val="true"/>
      <w:widowControl w:val="false"/>
      <w:shd w:fill="FFFFFF" w:val="clear"/>
      <w:suppressAutoHyphens w:val="true"/>
      <w:kinsoku w:val="true"/>
      <w:overflowPunct w:val="true"/>
      <w:autoSpaceDE w:val="true"/>
      <w:bidi w:val="0"/>
      <w:spacing w:lineRule="auto" w:line="276" w:before="119" w:after="119"/>
      <w:ind w:left="0" w:right="0" w:firstLine="567"/>
      <w:jc w:val="both"/>
      <w:textAlignment w:val="baseline"/>
    </w:pPr>
    <w:rPr>
      <w:rFonts w:ascii="Ecofont_Spranq_eco_Sans" w:hAnsi="Ecofont_Spranq_eco_Sans" w:eastAsia="WenQuanYi Micro Hei" w:cs="Lohit Hindi"/>
      <w:color w:val="auto"/>
      <w:kern w:val="0"/>
      <w:sz w:val="24"/>
      <w:szCs w:val="24"/>
      <w:lang w:val="pt-BR" w:eastAsia="zh-CN" w:bidi="hi-IN"/>
    </w:rPr>
  </w:style>
  <w:style w:type="paragraph" w:styleId="Citao1">
    <w:name w:val="Citação1"/>
    <w:basedOn w:val="Normal"/>
    <w:next w:val="Normal"/>
    <w:link w:val="QuoteChar"/>
    <w:qFormat/>
    <w:pPr>
      <w:pBdr>
        <w:top w:val="single" w:sz="4" w:space="1" w:color="1F497D"/>
        <w:left w:val="single" w:sz="4" w:space="4" w:color="1F497D"/>
        <w:bottom w:val="single" w:sz="4" w:space="1" w:color="1F497D"/>
        <w:right w:val="single" w:sz="4" w:space="4" w:color="1F497D"/>
      </w:pBdr>
      <w:shd w:fill="FFFFCC" w:val="clear"/>
      <w:spacing w:before="120" w:after="0"/>
      <w:jc w:val="both"/>
    </w:pPr>
    <w:rPr>
      <w:rFonts w:eastAsia="Calibri"/>
      <w:i/>
      <w:iCs/>
      <w:color w:val="000000"/>
      <w:sz w:val="20"/>
      <w:szCs w:val="20"/>
      <w:lang w:eastAsia="en-US"/>
    </w:rPr>
  </w:style>
  <w:style w:type="paragraph" w:styleId="Paragraph">
    <w:name w:val="paragraph"/>
    <w:basedOn w:val="Normal"/>
    <w:qFormat/>
    <w:pPr>
      <w:spacing w:before="280" w:after="280"/>
    </w:pPr>
    <w:rPr>
      <w:rFonts w:ascii="Times New Roman" w:hAnsi="Times New Roman" w:eastAsia="Times New Roman" w:cs="Times New Roman"/>
    </w:rPr>
  </w:style>
  <w:style w:type="paragraph" w:styleId="Nivel1">
    <w:name w:val="Nivel1"/>
    <w:basedOn w:val="Ttulo1"/>
    <w:link w:val="Nivel1Char"/>
    <w:qFormat/>
    <w:pPr>
      <w:numPr>
        <w:ilvl w:val="0"/>
        <w:numId w:val="0"/>
      </w:numPr>
      <w:spacing w:lineRule="auto" w:line="276"/>
      <w:ind w:left="357" w:right="0" w:hanging="357"/>
      <w:jc w:val="both"/>
    </w:pPr>
    <w:rPr>
      <w:rFonts w:cs="Arial"/>
      <w:bCs w:val="false"/>
      <w:color w:val="000000"/>
    </w:rPr>
  </w:style>
  <w:style w:type="paragraph" w:styleId="PargrafodaLista1">
    <w:name w:val="Parágrafo da Lista1"/>
    <w:basedOn w:val="Normal"/>
    <w:qFormat/>
    <w:pPr>
      <w:ind w:left="720" w:right="0" w:hanging="0"/>
    </w:pPr>
    <w:rPr>
      <w:rFonts w:eastAsia="Times New Roman" w:cs="Ecofont_Spranq_eco_Sans"/>
    </w:rPr>
  </w:style>
  <w:style w:type="paragraph" w:styleId="Nivel2Opcional">
    <w:name w:val="Nivel 2-Opcional"/>
    <w:basedOn w:val="Normal"/>
    <w:autoRedefine/>
    <w:qFormat/>
    <w:pPr>
      <w:shd w:fill="76923C" w:val="clear"/>
      <w:spacing w:lineRule="auto" w:line="276" w:before="120" w:after="120"/>
      <w:ind w:left="0" w:right="0" w:hanging="0"/>
      <w:jc w:val="both"/>
    </w:pPr>
    <w:rPr>
      <w:rFonts w:ascii="Arial" w:hAnsi="Arial" w:eastAsia="Arial" w:cs="Arial"/>
      <w:i/>
      <w:color w:val="FF0000"/>
      <w:sz w:val="20"/>
      <w:szCs w:val="20"/>
    </w:rPr>
  </w:style>
  <w:style w:type="paragraph" w:styleId="Nivel11">
    <w:name w:val="Nivel 1"/>
    <w:basedOn w:val="Nivel2Opcional"/>
    <w:next w:val="Nivel2Opcional"/>
    <w:qFormat/>
    <w:pPr>
      <w:shd w:fill="76923C" w:val="clear"/>
      <w:ind w:left="360" w:right="0" w:hanging="360"/>
    </w:pPr>
    <w:rPr>
      <w:b/>
    </w:rPr>
  </w:style>
  <w:style w:type="paragraph" w:styleId="Nivel3erro">
    <w:name w:val="Nivel 3-erro"/>
    <w:basedOn w:val="Nivel3"/>
    <w:autoRedefine/>
    <w:qFormat/>
    <w:pPr>
      <w:ind w:left="993" w:right="0" w:hanging="0"/>
    </w:pPr>
    <w:rPr/>
  </w:style>
  <w:style w:type="paragraph" w:styleId="Nivel4">
    <w:name w:val="Nivel 4"/>
    <w:basedOn w:val="Nvel4R"/>
    <w:link w:val="Nivel4Char"/>
    <w:autoRedefine/>
    <w:qFormat/>
    <w:pPr/>
    <w:rPr>
      <w:i/>
    </w:rPr>
  </w:style>
  <w:style w:type="paragraph" w:styleId="Nivel5">
    <w:name w:val="Nivel 5"/>
    <w:basedOn w:val="Nvel4R"/>
    <w:link w:val="Nivel5Char"/>
    <w:autoRedefine/>
    <w:qFormat/>
    <w:pPr>
      <w:ind w:left="851" w:right="0" w:hanging="0"/>
    </w:pPr>
    <w:rPr/>
  </w:style>
  <w:style w:type="paragraph" w:styleId="Textbody">
    <w:name w:val="textbody"/>
    <w:basedOn w:val="Normal"/>
    <w:qFormat/>
    <w:pPr>
      <w:spacing w:before="280" w:after="280"/>
    </w:pPr>
    <w:rPr>
      <w:rFonts w:ascii="Times New Roman" w:hAnsi="Times New Roman" w:eastAsia="Times New Roman" w:cs="Times New Roman"/>
    </w:rPr>
  </w:style>
  <w:style w:type="paragraph" w:styleId="Em0020ementa">
    <w:name w:val="em_0020ementa"/>
    <w:basedOn w:val="Normal"/>
    <w:qFormat/>
    <w:pPr>
      <w:ind w:left="4160" w:right="0" w:hanging="0"/>
      <w:jc w:val="both"/>
    </w:pPr>
    <w:rPr>
      <w:rFonts w:ascii="Times New Roman" w:hAnsi="Times New Roman" w:eastAsia="Times New Roman" w:cs="Times New Roman"/>
      <w:sz w:val="28"/>
      <w:szCs w:val="28"/>
    </w:rPr>
  </w:style>
  <w:style w:type="paragraph" w:styleId="Revision">
    <w:name w:val="Revision"/>
    <w:qFormat/>
    <w:pPr>
      <w:widowControl/>
      <w:suppressAutoHyphens w:val="true"/>
      <w:kinsoku w:val="true"/>
      <w:overflowPunct w:val="true"/>
      <w:autoSpaceDE w:val="true"/>
      <w:bidi w:val="0"/>
      <w:spacing w:before="0" w:after="0"/>
      <w:jc w:val="left"/>
    </w:pPr>
    <w:rPr>
      <w:rFonts w:ascii="Ecofont_Spranq_eco_Sans" w:hAnsi="Ecofont_Spranq_eco_Sans" w:eastAsia="Times New Roman" w:cs="Tahoma"/>
      <w:color w:val="auto"/>
      <w:kern w:val="0"/>
      <w:sz w:val="24"/>
      <w:szCs w:val="24"/>
      <w:lang w:val="pt-BR" w:eastAsia="pt-BR" w:bidi="ar-SA"/>
    </w:rPr>
  </w:style>
  <w:style w:type="paragraph" w:styleId="Texto1">
    <w:name w:val="texto1"/>
    <w:basedOn w:val="Normal"/>
    <w:qFormat/>
    <w:pPr>
      <w:spacing w:before="280" w:after="280"/>
    </w:pPr>
    <w:rPr>
      <w:rFonts w:ascii="Times New Roman" w:hAnsi="Times New Roman" w:eastAsia="Times New Roman" w:cs="Times New Roman"/>
    </w:rPr>
  </w:style>
  <w:style w:type="paragraph" w:styleId="GradeColoridanfase11">
    <w:name w:val="Grade Colorida - Ênfase 11"/>
    <w:basedOn w:val="Normal"/>
    <w:next w:val="Normal"/>
    <w:qFormat/>
    <w:pPr>
      <w:pBdr>
        <w:top w:val="single" w:sz="4" w:space="1" w:color="1F497D"/>
        <w:left w:val="single" w:sz="4" w:space="4" w:color="1F497D"/>
        <w:bottom w:val="single" w:sz="4" w:space="1" w:color="1F497D"/>
        <w:right w:val="single" w:sz="4" w:space="4" w:color="1F497D"/>
      </w:pBdr>
      <w:shd w:fill="FFFFCC" w:val="clear"/>
      <w:spacing w:before="120" w:after="0"/>
      <w:jc w:val="both"/>
    </w:pPr>
    <w:rPr>
      <w:rFonts w:ascii="Arial" w:hAnsi="Arial" w:eastAsia="Calibri" w:cs="Times New Roman"/>
      <w:i/>
      <w:iCs/>
      <w:color w:val="000000"/>
      <w:sz w:val="20"/>
      <w:lang w:eastAsia="en-US"/>
    </w:rPr>
  </w:style>
  <w:style w:type="paragraph" w:styleId="Xwestern">
    <w:name w:val="x_western"/>
    <w:basedOn w:val="Normal"/>
    <w:qFormat/>
    <w:pPr>
      <w:spacing w:before="280" w:after="280"/>
    </w:pPr>
    <w:rPr>
      <w:rFonts w:ascii="Times New Roman" w:hAnsi="Times New Roman" w:eastAsia="Times New Roman" w:cs="Times New Roman"/>
    </w:rPr>
  </w:style>
  <w:style w:type="paragraph" w:styleId="TCUAcitem90">
    <w:name w:val="TCU - Ac - item 9 - §§_0"/>
    <w:basedOn w:val="Normal"/>
    <w:qFormat/>
    <w:pPr>
      <w:ind w:left="0" w:right="0" w:firstLine="1134"/>
      <w:jc w:val="both"/>
    </w:pPr>
    <w:rPr>
      <w:rFonts w:ascii="Times New Roman" w:hAnsi="Times New Roman" w:eastAsia="Times New Roman" w:cs="Times New Roman"/>
      <w:szCs w:val="22"/>
      <w:lang w:eastAsia="en-US"/>
    </w:rPr>
  </w:style>
  <w:style w:type="paragraph" w:styleId="Normal1">
    <w:name w:val="Normal_1"/>
    <w:qFormat/>
    <w:pPr>
      <w:widowControl/>
      <w:suppressAutoHyphens w:val="true"/>
      <w:kinsoku w:val="true"/>
      <w:overflowPunct w:val="true"/>
      <w:autoSpaceDE w:val="true"/>
      <w:bidi w:val="0"/>
      <w:spacing w:before="0" w:after="0"/>
      <w:jc w:val="left"/>
    </w:pPr>
    <w:rPr>
      <w:rFonts w:ascii="Times New Roman" w:hAnsi="Times New Roman" w:eastAsia="Times New Roman" w:cs="Times New Roman"/>
      <w:color w:val="auto"/>
      <w:kern w:val="0"/>
      <w:sz w:val="24"/>
      <w:szCs w:val="22"/>
      <w:lang w:val="pt-BR" w:eastAsia="en-US" w:bidi="ar-SA"/>
    </w:rPr>
  </w:style>
  <w:style w:type="paragraph" w:styleId="Tcuacitem91linha">
    <w:name w:val="tcu_-__ac_-_item_9_-_1ª_linha"/>
    <w:basedOn w:val="Normal"/>
    <w:qFormat/>
    <w:pPr>
      <w:spacing w:before="280" w:after="280"/>
    </w:pPr>
    <w:rPr>
      <w:rFonts w:ascii="Times New Roman" w:hAnsi="Times New Roman" w:eastAsia="Times New Roman" w:cs="Times New Roman"/>
    </w:rPr>
  </w:style>
  <w:style w:type="paragraph" w:styleId="Textojustificadorecuoprimeiralinha">
    <w:name w:val="texto_justificado_recuo_primeira_linha"/>
    <w:basedOn w:val="Normal"/>
    <w:qFormat/>
    <w:pPr>
      <w:spacing w:before="280" w:after="280"/>
    </w:pPr>
    <w:rPr>
      <w:rFonts w:ascii="Times New Roman" w:hAnsi="Times New Roman" w:eastAsia="Times New Roman" w:cs="Times New Roman"/>
    </w:rPr>
  </w:style>
  <w:style w:type="paragraph" w:styleId="Textojustificado">
    <w:name w:val="texto_justificado"/>
    <w:basedOn w:val="Normal"/>
    <w:qFormat/>
    <w:pPr>
      <w:spacing w:before="280" w:after="280"/>
    </w:pPr>
    <w:rPr>
      <w:rFonts w:ascii="Times New Roman" w:hAnsi="Times New Roman" w:eastAsia="Times New Roman" w:cs="Times New Roman"/>
    </w:rPr>
  </w:style>
  <w:style w:type="paragraph" w:styleId="Nvel2Opcional">
    <w:name w:val="Nível 2 Opcional"/>
    <w:basedOn w:val="Nivel2Opcional"/>
    <w:link w:val="Nvel2OpcionalChar"/>
    <w:qFormat/>
    <w:pPr>
      <w:shd w:fill="76923C" w:val="clear"/>
      <w:ind w:left="432" w:right="0" w:hanging="432"/>
    </w:pPr>
    <w:rPr>
      <w:rFonts w:eastAsia="Times New Roman"/>
      <w:i w:val="false"/>
    </w:rPr>
  </w:style>
  <w:style w:type="paragraph" w:styleId="Nvel3Opcional">
    <w:name w:val="Nível 3 Opcional"/>
    <w:basedOn w:val="Nivel3erro"/>
    <w:link w:val="Nvel3OpcionalChar"/>
    <w:qFormat/>
    <w:pPr>
      <w:ind w:left="1072" w:right="0" w:hanging="504"/>
    </w:pPr>
    <w:rPr>
      <w:rFonts w:eastAsia="Times New Roman"/>
      <w:i/>
      <w:iCs/>
      <w:color w:val="FF0000"/>
    </w:rPr>
  </w:style>
  <w:style w:type="paragraph" w:styleId="SombreamentoMdio1nfase31">
    <w:name w:val="Sombreamento Médio 1 - Ênfase 31"/>
    <w:basedOn w:val="Normal"/>
    <w:next w:val="Normal"/>
    <w:qFormat/>
    <w:pPr>
      <w:pBdr>
        <w:top w:val="single" w:sz="4" w:space="1" w:color="000080"/>
        <w:left w:val="single" w:sz="4" w:space="4" w:color="000080"/>
        <w:bottom w:val="single" w:sz="4" w:space="1" w:color="000080"/>
        <w:right w:val="single" w:sz="4" w:space="4" w:color="000080"/>
      </w:pBdr>
      <w:shd w:fill="FFFFCC" w:val="clear"/>
      <w:suppressAutoHyphens w:val="true"/>
      <w:spacing w:before="120" w:after="0"/>
      <w:jc w:val="both"/>
    </w:pPr>
    <w:rPr>
      <w:rFonts w:eastAsia="Calibri"/>
      <w:i/>
      <w:iCs/>
      <w:color w:val="000000"/>
      <w:sz w:val="20"/>
      <w:lang w:eastAsia="zh-CN"/>
    </w:rPr>
  </w:style>
  <w:style w:type="paragraph" w:styleId="Corpo">
    <w:name w:val="corpo"/>
    <w:basedOn w:val="Normal"/>
    <w:qFormat/>
    <w:pPr>
      <w:spacing w:before="280" w:after="280"/>
    </w:pPr>
    <w:rPr>
      <w:rFonts w:ascii="Times New Roman" w:hAnsi="Times New Roman" w:eastAsia="Times New Roman" w:cs="Times New Roman"/>
    </w:rPr>
  </w:style>
  <w:style w:type="paragraph" w:styleId="Itemnivel2">
    <w:name w:val="item_nivel2"/>
    <w:basedOn w:val="Normal"/>
    <w:qFormat/>
    <w:pPr>
      <w:spacing w:before="280" w:after="280"/>
    </w:pPr>
    <w:rPr>
      <w:rFonts w:ascii="Times New Roman" w:hAnsi="Times New Roman" w:eastAsia="Times New Roman" w:cs="Times New Roman"/>
    </w:rPr>
  </w:style>
  <w:style w:type="paragraph" w:styleId="Itemnivel1">
    <w:name w:val="item_nivel1"/>
    <w:basedOn w:val="Normal"/>
    <w:qFormat/>
    <w:pPr>
      <w:spacing w:before="280" w:after="280"/>
    </w:pPr>
    <w:rPr>
      <w:rFonts w:ascii="Times New Roman" w:hAnsi="Times New Roman" w:eastAsia="Times New Roman" w:cs="Times New Roman"/>
    </w:rPr>
  </w:style>
  <w:style w:type="paragraph" w:styleId="Itemalinealetra">
    <w:name w:val="item_alinea_letra"/>
    <w:basedOn w:val="Normal"/>
    <w:qFormat/>
    <w:pPr>
      <w:spacing w:before="280" w:after="280"/>
    </w:pPr>
    <w:rPr>
      <w:rFonts w:ascii="Times New Roman" w:hAnsi="Times New Roman" w:eastAsia="Times New Roman" w:cs="Times New Roman"/>
    </w:rPr>
  </w:style>
  <w:style w:type="paragraph" w:styleId="Standard">
    <w:name w:val="Standard"/>
    <w:qFormat/>
    <w:pPr>
      <w:widowControl/>
      <w:suppressAutoHyphens w:val="true"/>
      <w:kinsoku w:val="true"/>
      <w:overflowPunct w:val="true"/>
      <w:autoSpaceDE w:val="true"/>
      <w:bidi w:val="0"/>
      <w:spacing w:before="0" w:after="0"/>
      <w:jc w:val="left"/>
    </w:pPr>
    <w:rPr>
      <w:rFonts w:ascii="Liberation Serif" w:hAnsi="Liberation Serif" w:eastAsia="NSimSun" w:cs="Lucida Sans"/>
      <w:color w:val="auto"/>
      <w:kern w:val="2"/>
      <w:sz w:val="24"/>
      <w:szCs w:val="24"/>
      <w:lang w:val="pt-BR" w:eastAsia="zh-CN" w:bidi="hi-IN"/>
    </w:rPr>
  </w:style>
  <w:style w:type="paragraph" w:styleId="Textbody1">
    <w:name w:val="Text body"/>
    <w:basedOn w:val="Standard"/>
    <w:qFormat/>
    <w:pPr>
      <w:spacing w:lineRule="auto" w:line="276" w:before="0" w:after="140"/>
    </w:pPr>
    <w:rPr/>
  </w:style>
  <w:style w:type="paragraph" w:styleId="Ou">
    <w:name w:val="ou"/>
    <w:basedOn w:val="ListParagraph"/>
    <w:autoRedefine/>
    <w:qFormat/>
    <w:pPr>
      <w:spacing w:lineRule="auto" w:line="259" w:before="60" w:after="60"/>
      <w:ind w:left="0" w:right="0" w:hanging="0"/>
      <w:contextualSpacing/>
      <w:jc w:val="center"/>
    </w:pPr>
    <w:rPr>
      <w:rFonts w:ascii="Arial" w:hAnsi="Arial" w:eastAsia="Cambria" w:cs="Arial"/>
      <w:b/>
      <w:bCs/>
      <w:i/>
      <w:iCs/>
      <w:color w:val="FF0000"/>
      <w:sz w:val="20"/>
    </w:rPr>
  </w:style>
  <w:style w:type="paragraph" w:styleId="Douparagraph">
    <w:name w:val="dou-paragraph"/>
    <w:basedOn w:val="Normal"/>
    <w:qFormat/>
    <w:pPr>
      <w:spacing w:before="280" w:after="280"/>
    </w:pPr>
    <w:rPr>
      <w:rFonts w:ascii="Times New Roman" w:hAnsi="Times New Roman" w:eastAsia="Times New Roman" w:cs="Times New Roman"/>
    </w:rPr>
  </w:style>
  <w:style w:type="paragraph" w:styleId="Nvel02">
    <w:name w:val="Nível 02"/>
    <w:basedOn w:val="Nivel2Opcional"/>
    <w:link w:val="Nvel02Char"/>
    <w:autoRedefine/>
    <w:qFormat/>
    <w:pPr>
      <w:shd w:fill="auto" w:val="clear"/>
    </w:pPr>
    <w:rPr>
      <w:i w:val="false"/>
      <w:iCs/>
      <w:color w:val="auto"/>
    </w:rPr>
  </w:style>
  <w:style w:type="paragraph" w:styleId="Nvel3R">
    <w:name w:val="Nível 3-R"/>
    <w:basedOn w:val="Nivel3erro"/>
    <w:autoRedefine/>
    <w:qFormat/>
    <w:pPr>
      <w:ind w:left="1638" w:right="0" w:hanging="504"/>
    </w:pPr>
    <w:rPr>
      <w:rFonts w:cs="Arial"/>
      <w:i/>
      <w:iCs/>
      <w:color w:val="FF0000"/>
    </w:rPr>
  </w:style>
  <w:style w:type="paragraph" w:styleId="Nvel4R">
    <w:name w:val="Nível 4-R"/>
    <w:basedOn w:val="Nvel3Opcional1"/>
    <w:autoRedefine/>
    <w:qFormat/>
    <w:pPr>
      <w:ind w:left="567" w:right="0" w:hanging="0"/>
    </w:pPr>
    <w:rPr>
      <w:rFonts w:cs="Arial"/>
      <w:i w:val="false"/>
      <w:iCs/>
      <w:color w:val="auto"/>
      <w:szCs w:val="20"/>
    </w:rPr>
  </w:style>
  <w:style w:type="paragraph" w:styleId="Nvel1SemNum">
    <w:name w:val="Nível 1-Sem Num"/>
    <w:basedOn w:val="Nivel01"/>
    <w:autoRedefine/>
    <w:qFormat/>
    <w:pPr>
      <w:numPr>
        <w:ilvl w:val="0"/>
        <w:numId w:val="0"/>
      </w:numPr>
      <w:spacing w:before="120" w:after="120"/>
      <w:ind w:left="357" w:right="0" w:hanging="357"/>
      <w:contextualSpacing/>
      <w:outlineLvl w:val="1"/>
    </w:pPr>
    <w:rPr>
      <w:i/>
      <w:iCs w:val="false"/>
      <w:color w:val="FF0000"/>
    </w:rPr>
  </w:style>
  <w:style w:type="paragraph" w:styleId="Citao2">
    <w:name w:val="citação 2"/>
    <w:basedOn w:val="Quote"/>
    <w:qFormat/>
    <w:pPr>
      <w:shd w:fill="FFFFCC" w:val="clear"/>
      <w:overflowPunct w:val="true"/>
    </w:pPr>
    <w:rPr>
      <w:szCs w:val="20"/>
    </w:rPr>
  </w:style>
  <w:style w:type="paragraph" w:styleId="Prembulo">
    <w:name w:val="Preâmbulo"/>
    <w:basedOn w:val="Normal"/>
    <w:link w:val="PrembuloChar"/>
    <w:qFormat/>
    <w:pPr>
      <w:spacing w:lineRule="auto" w:line="360" w:before="480" w:after="120"/>
      <w:ind w:left="4253" w:right="-17" w:hanging="0"/>
      <w:jc w:val="both"/>
    </w:pPr>
    <w:rPr>
      <w:rFonts w:ascii="Arial" w:hAnsi="Arial" w:eastAsia="Arial" w:cs="Arial"/>
      <w:bCs/>
      <w:sz w:val="20"/>
      <w:szCs w:val="20"/>
    </w:rPr>
  </w:style>
  <w:style w:type="paragraph" w:styleId="Nvel1SemNumerao">
    <w:name w:val="Nível 1-Sem Numeração"/>
    <w:basedOn w:val="Nvel1SemNum"/>
    <w:autoRedefine/>
    <w:qFormat/>
    <w:pPr/>
    <w:rPr>
      <w:i w:val="false"/>
      <w:color w:val="auto"/>
    </w:rPr>
  </w:style>
  <w:style w:type="paragraph" w:styleId="Nivel3">
    <w:name w:val="Nivel 3"/>
    <w:basedOn w:val="Normal"/>
    <w:link w:val="Nivel3Char"/>
    <w:qFormat/>
    <w:pPr>
      <w:spacing w:lineRule="auto" w:line="276" w:before="120" w:after="120"/>
      <w:ind w:left="284" w:right="0" w:hanging="0"/>
      <w:jc w:val="both"/>
    </w:pPr>
    <w:rPr>
      <w:rFonts w:ascii="Arial" w:hAnsi="Arial"/>
      <w:sz w:val="20"/>
    </w:rPr>
  </w:style>
  <w:style w:type="paragraph" w:styleId="Alteraes">
    <w:name w:val="Alterações"/>
    <w:basedOn w:val="Nvel02"/>
    <w:link w:val="AlteraesChar"/>
    <w:qFormat/>
    <w:pPr/>
    <w:rPr>
      <w:color w:val="0000FF"/>
    </w:rPr>
  </w:style>
  <w:style w:type="paragraph" w:styleId="Contedodatabela">
    <w:name w:val="Conteúdo da tabela"/>
    <w:basedOn w:val="Normal"/>
    <w:qFormat/>
    <w:pPr>
      <w:widowControl w:val="false"/>
      <w:suppressLineNumbers/>
      <w:suppressAutoHyphens w:val="true"/>
      <w:textAlignment w:val="baseline"/>
    </w:pPr>
    <w:rPr>
      <w:rFonts w:ascii="Times New Roman" w:hAnsi="Times New Roman" w:eastAsia="SimSun"/>
      <w:kern w:val="2"/>
      <w:lang w:eastAsia="zh-CN" w:bidi="hi-IN"/>
    </w:rPr>
  </w:style>
  <w:style w:type="paragraph" w:styleId="Nivel21">
    <w:name w:val="Nivel 21"/>
    <w:basedOn w:val="Normal"/>
    <w:next w:val="Nivel2Opcional"/>
    <w:autoRedefine/>
    <w:qFormat/>
    <w:pPr>
      <w:shd w:fill="948A54" w:val="clear"/>
      <w:spacing w:lineRule="auto" w:line="276" w:before="120" w:after="120"/>
      <w:ind w:left="999" w:right="0" w:hanging="432"/>
      <w:jc w:val="both"/>
    </w:pPr>
    <w:rPr>
      <w:rFonts w:ascii="Arial" w:hAnsi="Arial" w:eastAsia="Arial" w:cs="Arial"/>
      <w:color w:val="000000"/>
      <w:sz w:val="20"/>
      <w:szCs w:val="20"/>
    </w:rPr>
  </w:style>
  <w:style w:type="paragraph" w:styleId="Nvel2Opcional1">
    <w:name w:val="Nível 2-Opcional"/>
    <w:basedOn w:val="Nvel02"/>
    <w:qFormat/>
    <w:pPr/>
    <w:rPr>
      <w:i/>
      <w:color w:val="FF0000"/>
    </w:rPr>
  </w:style>
  <w:style w:type="paragraph" w:styleId="Nvel3Opcional1">
    <w:name w:val="Nível 3-Opcional"/>
    <w:basedOn w:val="Nivel3"/>
    <w:qFormat/>
    <w:pPr/>
    <w:rPr>
      <w:i/>
      <w:color w:val="FF0000"/>
    </w:rPr>
  </w:style>
  <w:style w:type="paragraph" w:styleId="Nvel1SemBlack">
    <w:name w:val="Nível 1-Sem Black"/>
    <w:basedOn w:val="Normal"/>
    <w:qFormat/>
    <w:pPr>
      <w:keepNext w:val="true"/>
      <w:keepLines/>
      <w:numPr>
        <w:ilvl w:val="0"/>
        <w:numId w:val="0"/>
      </w:numPr>
      <w:tabs>
        <w:tab w:val="clear" w:pos="709"/>
        <w:tab w:val="left" w:pos="567" w:leader="none"/>
      </w:tabs>
      <w:spacing w:lineRule="auto" w:line="276" w:before="240" w:after="120"/>
      <w:jc w:val="both"/>
      <w:outlineLvl w:val="1"/>
    </w:pPr>
    <w:rPr>
      <w:rFonts w:ascii="Arial" w:hAnsi="Arial" w:eastAsia="ＭＳ ゴシック" w:cs="Arial"/>
      <w:b/>
      <w:bCs/>
      <w:sz w:val="20"/>
      <w:szCs w:val="20"/>
    </w:rPr>
  </w:style>
  <w:style w:type="paragraph" w:styleId="Nivel2">
    <w:name w:val="Nivel 2"/>
    <w:basedOn w:val="Normal"/>
    <w:link w:val="Nivel2Char"/>
    <w:autoRedefine/>
    <w:qFormat/>
    <w:pPr>
      <w:spacing w:lineRule="auto" w:line="288" w:before="120" w:after="120"/>
      <w:jc w:val="both"/>
    </w:pPr>
    <w:rPr>
      <w:rFonts w:ascii="Arial" w:hAnsi="Arial" w:eastAsia="Arial" w:cs="Arial"/>
      <w:sz w:val="20"/>
      <w:szCs w:val="20"/>
    </w:rPr>
  </w:style>
  <w:style w:type="paragraph" w:styleId="Nvel2Red">
    <w:name w:val="Nível 2 -Red"/>
    <w:basedOn w:val="Nivel2"/>
    <w:qFormat/>
    <w:pPr>
      <w:ind w:left="2558" w:right="0" w:hanging="0"/>
    </w:pPr>
    <w:rPr>
      <w:i/>
      <w:iCs/>
      <w:color w:val="FF0000"/>
    </w:rPr>
  </w:style>
  <w:style w:type="paragraph" w:styleId="Nvel1SemNumPreto">
    <w:name w:val="Nível 1-Sem Num Preto"/>
    <w:basedOn w:val="Nvel1SemNum"/>
    <w:qFormat/>
    <w:pPr>
      <w:keepNext w:val="true"/>
      <w:keepLines/>
      <w:tabs>
        <w:tab w:val="clear" w:pos="709"/>
        <w:tab w:val="left" w:pos="567" w:leader="none"/>
      </w:tabs>
      <w:spacing w:before="240" w:after="120"/>
      <w:ind w:left="720" w:right="0" w:hanging="357"/>
      <w:contextualSpacing/>
    </w:pPr>
    <w:rPr>
      <w:rFonts w:eastAsia="ＭＳ ゴシック"/>
      <w:bCs/>
      <w:i w:val="false"/>
      <w:iCs/>
      <w:spacing w:val="5"/>
      <w:kern w:val="2"/>
      <w:sz w:val="52"/>
      <w:szCs w:val="52"/>
      <w:lang w:eastAsia="zh-CN" w:bidi="hi-IN"/>
    </w:rPr>
  </w:style>
  <w:style w:type="paragraph" w:styleId="Nvel4Red">
    <w:name w:val="Nível 4-Red"/>
    <w:basedOn w:val="Nivel4"/>
    <w:autoRedefine/>
    <w:qFormat/>
    <w:pPr>
      <w:suppressAutoHyphens w:val="true"/>
    </w:pPr>
    <w:rPr>
      <w:rFonts w:eastAsia="MS Mincho"/>
      <w:bCs/>
      <w:iCs w:val="false"/>
      <w:color w:val="FF0000"/>
      <w:lang w:eastAsia="en-US"/>
    </w:rPr>
  </w:style>
  <w:style w:type="paragraph" w:styleId="Estilo7">
    <w:name w:val="Estilo7"/>
    <w:basedOn w:val="Nivel2"/>
    <w:link w:val="Estilo7Char"/>
    <w:qFormat/>
    <w:pPr/>
    <w:rPr>
      <w:i/>
      <w:color w:val="FF0000"/>
    </w:rPr>
  </w:style>
  <w:style w:type="paragraph" w:styleId="Estilo8">
    <w:name w:val="Estilo8"/>
    <w:basedOn w:val="Nivel3"/>
    <w:link w:val="Estilo8Char"/>
    <w:qFormat/>
    <w:pPr>
      <w:ind w:left="1276" w:right="0" w:hanging="0"/>
    </w:pPr>
    <w:rPr>
      <w:rFonts w:cs="Arial"/>
      <w:i/>
      <w:color w:val="FF0000"/>
    </w:rPr>
  </w:style>
  <w:style w:type="paragraph" w:styleId="Estilo9">
    <w:name w:val="Estilo9"/>
    <w:basedOn w:val="Nivel5"/>
    <w:link w:val="Estilo9Char"/>
    <w:qFormat/>
    <w:pPr>
      <w:ind w:left="1276" w:right="0" w:hanging="360"/>
    </w:pPr>
    <w:rPr>
      <w:i/>
      <w:szCs w:val="24"/>
    </w:rPr>
  </w:style>
  <w:style w:type="paragraph" w:styleId="EstiloNvel2Redesquerda176cmPrimeiralinha0cm">
    <w:name w:val="Estilo Nível 2 -Red + À esquerda:  176 cm Primeira linha:  0 cm"/>
    <w:basedOn w:val="Nvel2Red"/>
    <w:qFormat/>
    <w:pPr>
      <w:ind w:left="999" w:right="0" w:hanging="0"/>
    </w:pPr>
    <w:rPr>
      <w:rFonts w:eastAsia="Times New Roman" w:cs="Times New Roman"/>
    </w:rPr>
  </w:style>
  <w:style w:type="paragraph" w:styleId="Textodecomentrio1">
    <w:name w:val="Texto de comentário1"/>
    <w:basedOn w:val="Normal"/>
    <w:next w:val="Annotationtext"/>
    <w:qFormat/>
    <w:pPr/>
    <w:rPr>
      <w:rFonts w:eastAsia="Calibri"/>
      <w:kern w:val="2"/>
      <w:sz w:val="22"/>
      <w:szCs w:val="22"/>
    </w:rPr>
  </w:style>
  <w:style w:type="paragraph" w:styleId="Subttulo">
    <w:name w:val="Subtitle"/>
    <w:basedOn w:val="Normal"/>
    <w:qFormat/>
    <w:pPr>
      <w:jc w:val="center"/>
    </w:pPr>
    <w:rPr>
      <w:rFonts w:ascii="Times New Roman" w:hAnsi="Times New Roman" w:cs="Times New Roman"/>
      <w:sz w:val="28"/>
      <w:szCs w:val="20"/>
    </w:rPr>
  </w:style>
  <w:style w:type="paragraph" w:styleId="Ttulodetabela">
    <w:name w:val="Título de tabela"/>
    <w:basedOn w:val="Contedodatabela"/>
    <w:qFormat/>
    <w:pPr>
      <w:suppressLineNumbers/>
      <w:jc w:val="center"/>
    </w:pPr>
    <w:rPr>
      <w:b/>
      <w:bCs/>
    </w:rPr>
  </w:style>
  <w:style w:type="numbering" w:styleId="Estilo1">
    <w:name w:val="Estilo1"/>
    <w:qFormat/>
  </w:style>
  <w:style w:type="numbering" w:styleId="Estilo2">
    <w:name w:val="Estilo2"/>
    <w:qFormat/>
  </w:style>
  <w:style w:type="numbering" w:styleId="Estilo3">
    <w:name w:val="Estilo3"/>
    <w:qFormat/>
  </w:style>
  <w:style w:type="numbering" w:styleId="Estilo4">
    <w:name w:val="Estilo4"/>
    <w:qFormat/>
  </w:style>
  <w:style w:type="numbering" w:styleId="Estilo5">
    <w:name w:val="Estilo5"/>
    <w:qFormat/>
  </w:style>
  <w:style w:type="numbering" w:styleId="Estilo6">
    <w:name w:val="Estilo6"/>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wmf"/><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1342</TotalTime>
  <Application>LibreOffice/7.3.7.2$Linux_X86_64 LibreOffice_project/30$Build-2</Application>
  <AppVersion>15.0000</AppVersion>
  <Pages>15</Pages>
  <Words>5895</Words>
  <Characters>33192</Characters>
  <CharactersWithSpaces>38656</CharactersWithSpaces>
  <Paragraphs>269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2025-03-27T15:26:00Z</dcterms:created>
  <dc:creator/>
  <dc:description/>
  <dc:language>pt-BR</dc:language>
  <cp:lastModifiedBy/>
  <dcterms:modified xsi:type="dcterms:W3CDTF">2026-04-16T08:22:48Z</dcterms:modified>
  <cp:revision>14</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