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media/image1.wmf" ContentType="image/x-wmf"/>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settings.xml" ContentType="application/vnd.openxmlformats-officedocument.wordprocessingml.settings+xml"/>
  <Override PartName="/word/numbering.xml" ContentType="application/vnd.openxmlformats-officedocument.wordprocessingml.numbering+xml"/>
  <Override PartName="/word/fontTable.xml" ContentType="application/vnd.openxmlformats-officedocument.wordprocessingml.fontTabl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spacing w:lineRule="auto" w:line="312" w:before="0" w:after="288"/>
        <w:contextualSpacing/>
        <w:jc w:val="center"/>
        <w:rPr>
          <w:rFonts w:ascii="Arial" w:hAnsi="Arial" w:cs="Arial"/>
          <w:b/>
          <w:b/>
          <w:bCs/>
          <w:color w:val="000000"/>
          <w:sz w:val="20"/>
          <w:szCs w:val="20"/>
        </w:rPr>
      </w:pPr>
      <w:r>
        <w:rPr>
          <w:rFonts w:cs="Arial" w:ascii="Arial" w:hAnsi="Arial"/>
          <w:b/>
          <w:bCs/>
          <w:color w:val="000000"/>
          <w:sz w:val="20"/>
          <w:szCs w:val="20"/>
        </w:rPr>
        <w:drawing>
          <wp:anchor behindDoc="0" distT="0" distB="0" distL="114300" distR="119380" simplePos="0" locked="0" layoutInCell="0" allowOverlap="1" relativeHeight="2">
            <wp:simplePos x="0" y="0"/>
            <wp:positionH relativeFrom="column">
              <wp:posOffset>2818130</wp:posOffset>
            </wp:positionH>
            <wp:positionV relativeFrom="paragraph">
              <wp:posOffset>8255</wp:posOffset>
            </wp:positionV>
            <wp:extent cx="737870" cy="805815"/>
            <wp:effectExtent l="0" t="0" r="0" b="0"/>
            <wp:wrapTopAndBottom/>
            <wp:docPr id="1" name="Imagem 18669637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866963775" descr=""/>
                    <pic:cNvPicPr>
                      <a:picLocks noChangeAspect="1" noChangeArrowheads="1"/>
                    </pic:cNvPicPr>
                  </pic:nvPicPr>
                  <pic:blipFill>
                    <a:blip r:embed="rId2"/>
                    <a:stretch>
                      <a:fillRect/>
                    </a:stretch>
                  </pic:blipFill>
                  <pic:spPr bwMode="auto">
                    <a:xfrm>
                      <a:off x="0" y="0"/>
                      <a:ext cx="737870" cy="805815"/>
                    </a:xfrm>
                    <a:prstGeom prst="rect">
                      <a:avLst/>
                    </a:prstGeom>
                  </pic:spPr>
                </pic:pic>
              </a:graphicData>
            </a:graphic>
          </wp:anchor>
        </w:drawing>
      </w:r>
    </w:p>
    <w:p>
      <w:pPr>
        <w:pStyle w:val="Normal"/>
        <w:spacing w:lineRule="auto" w:line="312" w:before="360" w:after="288"/>
        <w:jc w:val="center"/>
        <w:rPr>
          <w:rFonts w:ascii="Calibri" w:hAnsi="Calibri" w:cs="Arial"/>
          <w:b/>
          <w:b/>
          <w:bCs/>
          <w:i w:val="false"/>
          <w:i w:val="false"/>
          <w:iCs w:val="false"/>
          <w:color w:val="000000"/>
          <w:sz w:val="24"/>
          <w:szCs w:val="24"/>
        </w:rPr>
      </w:pPr>
      <w:r>
        <w:rPr>
          <w:rFonts w:cs="Arial" w:ascii="Calibri" w:hAnsi="Calibri"/>
          <w:b/>
          <w:bCs/>
          <w:i w:val="false"/>
          <w:iCs w:val="false"/>
          <w:color w:val="000000"/>
          <w:sz w:val="24"/>
          <w:szCs w:val="24"/>
        </w:rPr>
        <w:t>MINISTÉRIO DA DEFESA</w:t>
      </w:r>
    </w:p>
    <w:p>
      <w:pPr>
        <w:pStyle w:val="Default"/>
        <w:bidi w:val="0"/>
        <w:jc w:val="center"/>
        <w:rPr>
          <w:rFonts w:ascii="Calibri" w:hAnsi="Calibri"/>
          <w:b/>
          <w:b/>
          <w:bCs/>
          <w:i w:val="false"/>
          <w:i w:val="false"/>
          <w:iCs w:val="false"/>
          <w:sz w:val="24"/>
          <w:szCs w:val="24"/>
        </w:rPr>
      </w:pPr>
      <w:r>
        <w:rPr>
          <w:rFonts w:ascii="Calibri" w:hAnsi="Calibri"/>
          <w:b/>
          <w:bCs/>
          <w:i w:val="false"/>
          <w:iCs w:val="false"/>
          <w:sz w:val="24"/>
          <w:szCs w:val="24"/>
        </w:rPr>
        <w:t>MARINHA DO BRASIL</w:t>
      </w:r>
    </w:p>
    <w:p>
      <w:pPr>
        <w:pStyle w:val="Default"/>
        <w:widowControl/>
        <w:suppressAutoHyphens w:val="true"/>
        <w:overflowPunct w:val="true"/>
        <w:bidi w:val="0"/>
        <w:spacing w:lineRule="auto" w:line="312" w:before="0" w:after="60"/>
        <w:ind w:left="0" w:right="0" w:hanging="0"/>
        <w:jc w:val="center"/>
        <w:rPr>
          <w:rFonts w:ascii="Calibri" w:hAnsi="Calibri" w:eastAsia="Times New Roman" w:cs="Arial"/>
          <w:b/>
          <w:b/>
          <w:bCs/>
          <w:i w:val="false"/>
          <w:i w:val="false"/>
          <w:iCs w:val="false"/>
          <w:color w:val="000000"/>
          <w:sz w:val="24"/>
          <w:szCs w:val="24"/>
        </w:rPr>
      </w:pPr>
      <w:r>
        <w:rPr>
          <w:rFonts w:eastAsia="Times New Roman" w:cs="Arial" w:ascii="Calibri" w:hAnsi="Calibri"/>
          <w:b/>
          <w:bCs/>
          <w:i w:val="false"/>
          <w:iCs w:val="false"/>
          <w:color w:val="000000"/>
          <w:sz w:val="24"/>
          <w:szCs w:val="24"/>
        </w:rPr>
        <w:t>ESTAÇÃO RÁDIO DA MARINHA NO RIO DE JANEIRO</w:t>
      </w:r>
    </w:p>
    <w:p>
      <w:pPr>
        <w:pStyle w:val="Normal"/>
        <w:spacing w:lineRule="auto" w:line="312" w:before="189" w:after="117"/>
        <w:jc w:val="center"/>
        <w:rPr/>
      </w:pPr>
      <w:r>
        <w:rPr>
          <w:rFonts w:eastAsia="ＭＳ 明朝" w:cs="Arial" w:ascii="Arial" w:hAnsi="Arial"/>
          <w:b/>
          <w:bCs/>
          <w:i w:val="false"/>
          <w:iCs w:val="false"/>
          <w:color w:val="000000"/>
          <w:kern w:val="0"/>
          <w:sz w:val="20"/>
          <w:szCs w:val="20"/>
          <w:lang w:val="pt-BR" w:eastAsia="pt-BR" w:bidi="ar-SA"/>
        </w:rPr>
        <w:t>Processo Administrativo n</w:t>
      </w:r>
      <w:r>
        <w:rPr>
          <w:rFonts w:cs="Arial" w:ascii="Arial" w:hAnsi="Arial"/>
          <w:b/>
          <w:bCs/>
          <w:i w:val="false"/>
          <w:iCs w:val="false"/>
          <w:color w:val="000000"/>
          <w:sz w:val="20"/>
          <w:szCs w:val="20"/>
        </w:rPr>
        <w:t>°</w:t>
      </w:r>
      <w:r>
        <w:rPr>
          <w:rStyle w:val="Nfaseforte"/>
          <w:rFonts w:eastAsia="Times New Roman" w:cs="Arial" w:ascii="Carlito" w:hAnsi="Carlito"/>
          <w:b w:val="false"/>
          <w:bCs w:val="false"/>
          <w:i w:val="false"/>
          <w:iCs w:val="false"/>
          <w:color w:val="000000"/>
          <w:kern w:val="0"/>
          <w:sz w:val="20"/>
          <w:szCs w:val="20"/>
          <w:lang w:val="pt-BR" w:eastAsia="pt-BR" w:bidi="ar-SA"/>
        </w:rPr>
        <w:t>63078.000308/2026-19</w:t>
      </w:r>
    </w:p>
    <w:p>
      <w:pPr>
        <w:pStyle w:val="Normal"/>
        <w:spacing w:lineRule="auto" w:line="312" w:before="0" w:after="288"/>
        <w:jc w:val="center"/>
        <w:rPr>
          <w:rFonts w:ascii="Arial" w:hAnsi="Arial" w:cs="Arial"/>
          <w:b/>
          <w:b/>
          <w:bCs/>
          <w:color w:val="000000"/>
          <w:sz w:val="20"/>
          <w:szCs w:val="20"/>
        </w:rPr>
      </w:pPr>
      <w:r>
        <w:rPr>
          <w:rFonts w:cs="Arial" w:ascii="Arial" w:hAnsi="Arial"/>
          <w:b/>
          <w:bCs/>
          <w:color w:val="000000"/>
          <w:sz w:val="20"/>
          <w:szCs w:val="20"/>
        </w:rPr>
        <w:t>TERMO DE REFERÊNCIA</w:t>
      </w:r>
    </w:p>
    <w:p>
      <w:pPr>
        <w:pStyle w:val="Nivel01"/>
        <w:numPr>
          <w:ilvl w:val="0"/>
          <w:numId w:val="2"/>
        </w:numPr>
        <w:shd w:val="clear" w:fill="FFFFFF"/>
        <w:ind w:left="357" w:right="0" w:hanging="357"/>
        <w:rPr/>
      </w:pPr>
      <w:r>
        <w:rPr/>
        <w:t>CONDIÇÕES GERAIS DA CONTRATAÇÃO</w:t>
      </w:r>
    </w:p>
    <w:p>
      <w:pPr>
        <w:pStyle w:val="Nivel01"/>
        <w:numPr>
          <w:ilvl w:val="1"/>
          <w:numId w:val="2"/>
        </w:numPr>
        <w:shd w:val="clear" w:fill="FFFFFF"/>
        <w:ind w:left="357" w:right="0" w:hanging="357"/>
        <w:rPr/>
      </w:pPr>
      <w:r>
        <w:rPr/>
        <w:t>Contratação de serviços de Manutenção de Gerador e Teste Hidrostático de Extintores, conforme condições a serem estabelecidas no termo de referência.</w:t>
      </w:r>
    </w:p>
    <w:tbl>
      <w:tblPr>
        <w:tblW w:w="10144" w:type="dxa"/>
        <w:jc w:val="left"/>
        <w:tblInd w:w="-239" w:type="dxa"/>
        <w:tblLayout w:type="fixed"/>
        <w:tblCellMar>
          <w:top w:w="0" w:type="dxa"/>
          <w:left w:w="108" w:type="dxa"/>
          <w:bottom w:w="0" w:type="dxa"/>
          <w:right w:w="108" w:type="dxa"/>
        </w:tblCellMar>
      </w:tblPr>
      <w:tblGrid>
        <w:gridCol w:w="731"/>
        <w:gridCol w:w="4873"/>
        <w:gridCol w:w="977"/>
        <w:gridCol w:w="563"/>
        <w:gridCol w:w="622"/>
        <w:gridCol w:w="1256"/>
        <w:gridCol w:w="1121"/>
      </w:tblGrid>
      <w:tr>
        <w:trPr>
          <w:trHeight w:val="851" w:hRule="exact"/>
        </w:trPr>
        <w:tc>
          <w:tcPr>
            <w:tcW w:w="73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bidi w:val="0"/>
              <w:spacing w:lineRule="auto" w:line="312" w:before="120" w:after="288"/>
              <w:ind w:left="0" w:right="0" w:hanging="0"/>
              <w:jc w:val="center"/>
              <w:rPr>
                <w:rFonts w:ascii="Arial" w:hAnsi="Arial" w:cs="Arial"/>
                <w:b/>
                <w:b/>
                <w:bCs/>
                <w:color w:val="000000"/>
                <w:spacing w:val="-16"/>
                <w:sz w:val="20"/>
                <w:szCs w:val="20"/>
              </w:rPr>
            </w:pPr>
            <w:r>
              <w:rPr>
                <w:rFonts w:cs="Arial" w:ascii="Arial" w:hAnsi="Arial"/>
                <w:b/>
                <w:bCs/>
                <w:color w:val="000000"/>
                <w:spacing w:val="-16"/>
                <w:sz w:val="20"/>
                <w:szCs w:val="20"/>
              </w:rPr>
              <w:t>ITEM</w:t>
            </w:r>
          </w:p>
        </w:tc>
        <w:tc>
          <w:tcPr>
            <w:tcW w:w="487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bidi w:val="0"/>
              <w:spacing w:lineRule="auto" w:line="312" w:before="120" w:after="288"/>
              <w:ind w:left="0" w:right="0" w:hanging="0"/>
              <w:jc w:val="center"/>
              <w:rPr>
                <w:rFonts w:ascii="Arial" w:hAnsi="Arial" w:cs="Arial"/>
                <w:b/>
                <w:b/>
                <w:bCs/>
                <w:color w:val="000000"/>
                <w:spacing w:val="-16"/>
                <w:sz w:val="20"/>
                <w:szCs w:val="20"/>
              </w:rPr>
            </w:pPr>
            <w:r>
              <w:rPr>
                <w:rFonts w:cs="Arial" w:ascii="Arial" w:hAnsi="Arial"/>
                <w:b/>
                <w:bCs/>
                <w:color w:val="000000"/>
                <w:spacing w:val="-16"/>
                <w:sz w:val="20"/>
                <w:szCs w:val="20"/>
              </w:rPr>
              <w:t>ESPECIFICAÇÃO</w:t>
            </w:r>
          </w:p>
        </w:tc>
        <w:tc>
          <w:tcPr>
            <w:tcW w:w="97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bidi w:val="0"/>
              <w:spacing w:lineRule="auto" w:line="312" w:before="120" w:after="288"/>
              <w:ind w:left="0" w:right="0" w:hanging="0"/>
              <w:jc w:val="center"/>
              <w:rPr>
                <w:rFonts w:ascii="Arial" w:hAnsi="Arial" w:cs="Arial"/>
                <w:b/>
                <w:b/>
                <w:bCs/>
                <w:color w:val="000000"/>
                <w:spacing w:val="-16"/>
                <w:sz w:val="20"/>
                <w:szCs w:val="20"/>
              </w:rPr>
            </w:pPr>
            <w:r>
              <w:rPr>
                <w:rFonts w:cs="Arial" w:ascii="Arial" w:hAnsi="Arial"/>
                <w:b/>
                <w:bCs/>
                <w:color w:val="000000"/>
                <w:spacing w:val="-16"/>
                <w:sz w:val="20"/>
                <w:szCs w:val="20"/>
              </w:rPr>
              <w:t>CATSER</w:t>
            </w:r>
          </w:p>
        </w:tc>
        <w:tc>
          <w:tcPr>
            <w:tcW w:w="56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bidi w:val="0"/>
              <w:spacing w:lineRule="auto" w:line="312" w:before="120" w:after="288"/>
              <w:ind w:left="0" w:right="0" w:hanging="0"/>
              <w:jc w:val="center"/>
              <w:rPr>
                <w:rFonts w:ascii="Arial" w:hAnsi="Arial" w:cs="Arial"/>
                <w:b/>
                <w:b/>
                <w:bCs/>
                <w:color w:val="000000"/>
                <w:spacing w:val="-16"/>
                <w:sz w:val="20"/>
                <w:szCs w:val="20"/>
              </w:rPr>
            </w:pPr>
            <w:r>
              <w:rPr>
                <w:rFonts w:cs="Arial" w:ascii="Arial" w:hAnsi="Arial"/>
                <w:b/>
                <w:bCs/>
                <w:color w:val="000000"/>
                <w:spacing w:val="-16"/>
                <w:sz w:val="20"/>
                <w:szCs w:val="20"/>
              </w:rPr>
              <w:t>UF</w:t>
            </w:r>
          </w:p>
        </w:tc>
        <w:tc>
          <w:tcPr>
            <w:tcW w:w="62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bidi w:val="0"/>
              <w:spacing w:lineRule="auto" w:line="312" w:before="120" w:after="288"/>
              <w:ind w:left="0" w:right="0" w:hanging="0"/>
              <w:jc w:val="center"/>
              <w:rPr>
                <w:rFonts w:ascii="Arial" w:hAnsi="Arial" w:cs="Arial"/>
                <w:b/>
                <w:b/>
                <w:bCs/>
                <w:spacing w:val="-16"/>
                <w:sz w:val="20"/>
                <w:szCs w:val="20"/>
              </w:rPr>
            </w:pPr>
            <w:r>
              <w:rPr>
                <w:rFonts w:cs="Arial" w:ascii="Arial" w:hAnsi="Arial"/>
                <w:b/>
                <w:bCs/>
                <w:spacing w:val="-16"/>
                <w:sz w:val="20"/>
                <w:szCs w:val="20"/>
              </w:rPr>
              <w:t>QNT</w:t>
            </w:r>
          </w:p>
        </w:tc>
        <w:tc>
          <w:tcPr>
            <w:tcW w:w="125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bidi w:val="0"/>
              <w:spacing w:lineRule="auto" w:line="312" w:before="120" w:after="288"/>
              <w:ind w:left="0" w:right="0" w:hanging="0"/>
              <w:jc w:val="center"/>
              <w:rPr>
                <w:rFonts w:ascii="Arial" w:hAnsi="Arial" w:cs="Arial"/>
                <w:b/>
                <w:b/>
                <w:bCs/>
                <w:spacing w:val="-16"/>
                <w:sz w:val="20"/>
                <w:szCs w:val="20"/>
              </w:rPr>
            </w:pPr>
            <w:r>
              <w:rPr>
                <w:rFonts w:cs="Arial" w:ascii="Arial" w:hAnsi="Arial"/>
                <w:b/>
                <w:bCs/>
                <w:spacing w:val="-16"/>
                <w:sz w:val="20"/>
                <w:szCs w:val="20"/>
              </w:rPr>
              <w:t>VALOR UNITÁRIO</w:t>
            </w:r>
          </w:p>
        </w:tc>
        <w:tc>
          <w:tcPr>
            <w:tcW w:w="112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bidi w:val="0"/>
              <w:spacing w:lineRule="auto" w:line="312" w:before="120" w:after="288"/>
              <w:ind w:left="0" w:right="0" w:hanging="0"/>
              <w:jc w:val="center"/>
              <w:rPr>
                <w:rFonts w:ascii="Arial" w:hAnsi="Arial" w:cs="Arial"/>
                <w:b/>
                <w:b/>
                <w:bCs/>
                <w:spacing w:val="-16"/>
                <w:sz w:val="20"/>
                <w:szCs w:val="20"/>
              </w:rPr>
            </w:pPr>
            <w:r>
              <w:rPr>
                <w:rFonts w:cs="Arial" w:ascii="Arial" w:hAnsi="Arial"/>
                <w:b/>
                <w:bCs/>
                <w:spacing w:val="-16"/>
                <w:sz w:val="20"/>
                <w:szCs w:val="20"/>
              </w:rPr>
              <w:t>VALOR TOTAL</w:t>
            </w:r>
          </w:p>
        </w:tc>
      </w:tr>
      <w:tr>
        <w:trPr>
          <w:trHeight w:val="1193" w:hRule="atLeast"/>
        </w:trPr>
        <w:tc>
          <w:tcPr>
            <w:tcW w:w="73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bidi w:val="0"/>
              <w:spacing w:lineRule="auto" w:line="312" w:before="120" w:after="288"/>
              <w:ind w:left="0" w:right="737" w:hanging="0"/>
              <w:jc w:val="right"/>
              <w:rPr>
                <w:rFonts w:ascii="Calibri" w:hAnsi="Calibri" w:cs="Arial"/>
                <w:b/>
                <w:b/>
                <w:bCs/>
                <w:i w:val="false"/>
                <w:i w:val="false"/>
                <w:iCs w:val="false"/>
                <w:color w:val="000000"/>
                <w:sz w:val="20"/>
                <w:szCs w:val="20"/>
              </w:rPr>
            </w:pPr>
            <w:r>
              <w:rPr>
                <w:rFonts w:cs="Arial" w:ascii="Calibri" w:hAnsi="Calibri"/>
                <w:b/>
                <w:bCs/>
                <w:i w:val="false"/>
                <w:iCs w:val="false"/>
                <w:color w:val="000000"/>
                <w:sz w:val="20"/>
                <w:szCs w:val="20"/>
              </w:rPr>
              <w:t>1</w:t>
            </w:r>
          </w:p>
        </w:tc>
        <w:tc>
          <w:tcPr>
            <w:tcW w:w="4873"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bidi w:val="0"/>
              <w:spacing w:lineRule="auto" w:line="312" w:before="0" w:after="60"/>
              <w:ind w:left="0" w:right="0" w:hanging="0"/>
              <w:jc w:val="center"/>
              <w:rPr>
                <w:rFonts w:ascii="Calibri" w:hAnsi="Calibri" w:cs="Arial"/>
                <w:color w:val="000000"/>
                <w:sz w:val="22"/>
                <w:szCs w:val="22"/>
              </w:rPr>
            </w:pPr>
            <w:r>
              <w:rPr>
                <w:rFonts w:cs="Arial" w:ascii="Calibri" w:hAnsi="Calibri"/>
                <w:color w:val="000000"/>
                <w:sz w:val="22"/>
                <w:szCs w:val="22"/>
              </w:rPr>
              <w:t>GERADOR MOTOR CUMMUNS 6LTAA78-G2</w:t>
            </w:r>
          </w:p>
          <w:p>
            <w:pPr>
              <w:pStyle w:val="Normal"/>
              <w:widowControl w:val="false"/>
              <w:suppressAutoHyphens w:val="true"/>
              <w:bidi w:val="0"/>
              <w:spacing w:lineRule="auto" w:line="312" w:before="0" w:after="60"/>
              <w:ind w:left="0" w:right="0" w:hanging="0"/>
              <w:jc w:val="center"/>
              <w:rPr>
                <w:rFonts w:ascii="Calibri" w:hAnsi="Calibri" w:cs="Arial"/>
                <w:color w:val="000000"/>
                <w:sz w:val="22"/>
                <w:szCs w:val="22"/>
              </w:rPr>
            </w:pPr>
            <w:r>
              <w:rPr>
                <w:rFonts w:cs="Arial" w:ascii="Calibri" w:hAnsi="Calibri"/>
                <w:color w:val="000000"/>
                <w:sz w:val="22"/>
                <w:szCs w:val="22"/>
              </w:rPr>
              <w:t>TESTE DOS BICOS INJETORES</w:t>
            </w:r>
          </w:p>
          <w:p>
            <w:pPr>
              <w:pStyle w:val="Normal"/>
              <w:widowControl w:val="false"/>
              <w:suppressAutoHyphens w:val="true"/>
              <w:bidi w:val="0"/>
              <w:spacing w:lineRule="auto" w:line="312" w:before="0" w:after="60"/>
              <w:ind w:left="0" w:right="0" w:hanging="0"/>
              <w:jc w:val="center"/>
              <w:rPr>
                <w:rFonts w:ascii="Calibri" w:hAnsi="Calibri" w:cs="Arial"/>
                <w:color w:val="000000"/>
                <w:sz w:val="22"/>
                <w:szCs w:val="22"/>
              </w:rPr>
            </w:pPr>
            <w:r>
              <w:rPr>
                <w:rFonts w:cs="Arial" w:ascii="Calibri" w:hAnsi="Calibri"/>
                <w:color w:val="000000"/>
                <w:sz w:val="22"/>
                <w:szCs w:val="22"/>
              </w:rPr>
              <w:t>REVISÃO DA BOMBA INJETORA</w:t>
            </w:r>
          </w:p>
          <w:p>
            <w:pPr>
              <w:pStyle w:val="Normal"/>
              <w:widowControl w:val="false"/>
              <w:suppressAutoHyphens w:val="true"/>
              <w:bidi w:val="0"/>
              <w:spacing w:lineRule="auto" w:line="312" w:before="0" w:after="60"/>
              <w:ind w:left="0" w:right="0" w:hanging="0"/>
              <w:jc w:val="center"/>
              <w:rPr>
                <w:rFonts w:ascii="Calibri" w:hAnsi="Calibri" w:cs="Arial"/>
                <w:color w:val="000000"/>
                <w:sz w:val="22"/>
                <w:szCs w:val="22"/>
              </w:rPr>
            </w:pPr>
            <w:r>
              <w:rPr>
                <w:rFonts w:cs="Arial" w:ascii="Calibri" w:hAnsi="Calibri"/>
                <w:color w:val="000000"/>
                <w:sz w:val="22"/>
                <w:szCs w:val="22"/>
              </w:rPr>
              <w:t>REVISÃO PREVENTIVA QGBT</w:t>
            </w:r>
          </w:p>
          <w:p>
            <w:pPr>
              <w:pStyle w:val="Normal"/>
              <w:widowControl w:val="false"/>
              <w:suppressAutoHyphens w:val="true"/>
              <w:bidi w:val="0"/>
              <w:spacing w:lineRule="auto" w:line="312" w:before="0" w:after="60"/>
              <w:ind w:left="0" w:right="0" w:hanging="0"/>
              <w:jc w:val="center"/>
              <w:rPr>
                <w:rFonts w:ascii="Calibri" w:hAnsi="Calibri" w:cs="Arial"/>
                <w:color w:val="000000"/>
                <w:sz w:val="22"/>
                <w:szCs w:val="22"/>
              </w:rPr>
            </w:pPr>
            <w:r>
              <w:rPr>
                <w:rFonts w:cs="Arial" w:ascii="Calibri" w:hAnsi="Calibri"/>
                <w:color w:val="000000"/>
                <w:sz w:val="22"/>
                <w:szCs w:val="22"/>
              </w:rPr>
              <w:t>REVISÃO CABINE DE ALTA TENSÃO 13.8KV</w:t>
            </w:r>
          </w:p>
          <w:p>
            <w:pPr>
              <w:pStyle w:val="Normal"/>
              <w:widowControl w:val="false"/>
              <w:suppressAutoHyphens w:val="true"/>
              <w:bidi w:val="0"/>
              <w:spacing w:lineRule="auto" w:line="312" w:before="0" w:after="60"/>
              <w:ind w:left="0" w:right="0" w:hanging="0"/>
              <w:jc w:val="center"/>
              <w:rPr>
                <w:rFonts w:ascii="Calibri" w:hAnsi="Calibri" w:cs="Arial"/>
                <w:color w:val="000000"/>
                <w:sz w:val="22"/>
                <w:szCs w:val="22"/>
              </w:rPr>
            </w:pPr>
            <w:r>
              <w:rPr>
                <w:rFonts w:cs="Arial" w:ascii="Calibri" w:hAnsi="Calibri"/>
                <w:color w:val="000000"/>
                <w:sz w:val="22"/>
                <w:szCs w:val="22"/>
              </w:rPr>
              <w:t xml:space="preserve"> </w:t>
            </w:r>
            <w:r>
              <w:rPr>
                <w:rFonts w:cs="Arial" w:ascii="Calibri" w:hAnsi="Calibri"/>
                <w:color w:val="000000"/>
                <w:sz w:val="22"/>
                <w:szCs w:val="22"/>
              </w:rPr>
              <w:t>TROCA DOS FILTROS, ÓLEO, FLUIDO, CORREIA, MANGUEIRA DO TUBO REGULADOR DE VÁLVULAS E INSTALAÇÃO TANQUE DE COMBUSTÍVEL</w:t>
            </w:r>
          </w:p>
          <w:p>
            <w:pPr>
              <w:pStyle w:val="Normal"/>
              <w:widowControl w:val="false"/>
              <w:suppressAutoHyphens w:val="true"/>
              <w:bidi w:val="0"/>
              <w:spacing w:lineRule="auto" w:line="312" w:before="0" w:after="60"/>
              <w:ind w:left="0" w:right="0" w:hanging="0"/>
              <w:jc w:val="center"/>
              <w:rPr>
                <w:rFonts w:ascii="Calibri" w:hAnsi="Calibri" w:cs="Arial"/>
                <w:color w:val="000000"/>
                <w:sz w:val="22"/>
                <w:szCs w:val="22"/>
              </w:rPr>
            </w:pPr>
            <w:r>
              <w:rPr>
                <w:rFonts w:cs="Arial" w:ascii="Calibri" w:hAnsi="Calibri"/>
                <w:color w:val="000000"/>
                <w:sz w:val="22"/>
                <w:szCs w:val="22"/>
              </w:rPr>
            </w:r>
          </w:p>
        </w:tc>
        <w:tc>
          <w:tcPr>
            <w:tcW w:w="97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40" w:before="0" w:after="0"/>
              <w:ind w:left="0" w:right="0" w:hanging="0"/>
              <w:jc w:val="center"/>
              <w:rPr>
                <w:rFonts w:ascii="Calibri" w:hAnsi="Calibri" w:eastAsia="Calibri" w:cs="DejaVu Sans"/>
                <w:b w:val="false"/>
                <w:b w:val="false"/>
                <w:i w:val="false"/>
                <w:i w:val="false"/>
                <w:strike w:val="false"/>
                <w:dstrike w:val="false"/>
                <w:outline w:val="false"/>
                <w:shadow w:val="false"/>
                <w:color w:val="000000"/>
                <w:kern w:val="0"/>
                <w:sz w:val="20"/>
                <w:szCs w:val="20"/>
                <w:u w:val="none"/>
                <w:em w:val="none"/>
                <w:lang w:val="pt-BR" w:eastAsia="en-US" w:bidi="ar-SA"/>
              </w:rPr>
            </w:pPr>
            <w:r>
              <w:rPr>
                <w:rFonts w:eastAsia="Calibri" w:cs="DejaVu Sans" w:ascii="Calibri" w:hAnsi="Calibri"/>
                <w:b w:val="false"/>
                <w:i w:val="false"/>
                <w:strike w:val="false"/>
                <w:dstrike w:val="false"/>
                <w:outline w:val="false"/>
                <w:shadow w:val="false"/>
                <w:color w:val="000000"/>
                <w:kern w:val="0"/>
                <w:sz w:val="20"/>
                <w:szCs w:val="20"/>
                <w:u w:val="none"/>
                <w:em w:val="none"/>
                <w:lang w:val="pt-BR" w:eastAsia="en-US" w:bidi="ar-SA"/>
              </w:rPr>
              <w:t>2356</w:t>
            </w:r>
          </w:p>
        </w:tc>
        <w:tc>
          <w:tcPr>
            <w:tcW w:w="563" w:type="dxa"/>
            <w:tcBorders>
              <w:top w:val="single" w:sz="4" w:space="0" w:color="000000"/>
              <w:left w:val="single" w:sz="4" w:space="0" w:color="000000"/>
              <w:bottom w:val="single" w:sz="4" w:space="0" w:color="000000"/>
              <w:right w:val="single" w:sz="4" w:space="0" w:color="000000"/>
            </w:tcBorders>
            <w:vAlign w:val="center"/>
          </w:tcPr>
          <w:p>
            <w:pPr>
              <w:pStyle w:val="Contedodatabela"/>
              <w:widowControl w:val="false"/>
              <w:jc w:val="center"/>
              <w:rPr>
                <w:rFonts w:ascii="Calibri" w:hAnsi="Calibri"/>
                <w:sz w:val="22"/>
                <w:szCs w:val="22"/>
              </w:rPr>
            </w:pPr>
            <w:r>
              <w:rPr>
                <w:rFonts w:ascii="Calibri" w:hAnsi="Calibri"/>
                <w:sz w:val="22"/>
                <w:szCs w:val="22"/>
              </w:rPr>
              <w:t>SV</w:t>
            </w:r>
          </w:p>
        </w:tc>
        <w:tc>
          <w:tcPr>
            <w:tcW w:w="622" w:type="dxa"/>
            <w:tcBorders>
              <w:top w:val="single" w:sz="4" w:space="0" w:color="000000"/>
              <w:left w:val="single" w:sz="4" w:space="0" w:color="000000"/>
              <w:bottom w:val="single" w:sz="4" w:space="0" w:color="000000"/>
              <w:right w:val="single" w:sz="4" w:space="0" w:color="000000"/>
            </w:tcBorders>
            <w:vAlign w:val="center"/>
          </w:tcPr>
          <w:p>
            <w:pPr>
              <w:pStyle w:val="Contedodatabela"/>
              <w:widowControl w:val="false"/>
              <w:jc w:val="center"/>
              <w:rPr>
                <w:rFonts w:ascii="Calibri" w:hAnsi="Calibri"/>
                <w:sz w:val="22"/>
                <w:szCs w:val="22"/>
              </w:rPr>
            </w:pPr>
            <w:r>
              <w:rPr>
                <w:rFonts w:ascii="Calibri" w:hAnsi="Calibri"/>
                <w:sz w:val="22"/>
                <w:szCs w:val="22"/>
              </w:rPr>
              <w:t>1</w:t>
            </w:r>
          </w:p>
        </w:tc>
        <w:tc>
          <w:tcPr>
            <w:tcW w:w="125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ind w:left="0" w:right="0" w:hanging="0"/>
              <w:jc w:val="center"/>
              <w:rPr>
                <w:rFonts w:ascii="CALIBRI" w:hAnsi="CALIBRI"/>
                <w:spacing w:val="-24"/>
                <w:sz w:val="20"/>
                <w:szCs w:val="20"/>
              </w:rPr>
            </w:pPr>
            <w:r>
              <w:rPr>
                <w:rFonts w:ascii="CALIBRI" w:hAnsi="CALIBRI"/>
                <w:spacing w:val="-24"/>
                <w:sz w:val="20"/>
                <w:szCs w:val="20"/>
              </w:rPr>
              <w:t>R$ 11.250,00</w:t>
            </w:r>
          </w:p>
        </w:tc>
        <w:tc>
          <w:tcPr>
            <w:tcW w:w="112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ind w:left="0" w:right="0" w:hanging="0"/>
              <w:jc w:val="center"/>
              <w:rPr>
                <w:rFonts w:ascii="CALIBRI" w:hAnsi="CALIBRI"/>
                <w:spacing w:val="-24"/>
                <w:sz w:val="20"/>
                <w:szCs w:val="20"/>
              </w:rPr>
            </w:pPr>
            <w:r>
              <w:rPr>
                <w:rFonts w:ascii="CALIBRI" w:hAnsi="CALIBRI"/>
                <w:spacing w:val="-24"/>
                <w:sz w:val="20"/>
                <w:szCs w:val="20"/>
              </w:rPr>
              <w:t>R$ 11.250,00</w:t>
            </w:r>
          </w:p>
        </w:tc>
      </w:tr>
      <w:tr>
        <w:trPr>
          <w:trHeight w:val="1193" w:hRule="atLeast"/>
        </w:trPr>
        <w:tc>
          <w:tcPr>
            <w:tcW w:w="731" w:type="dxa"/>
            <w:tcBorders>
              <w:left w:val="single" w:sz="4" w:space="0" w:color="000000"/>
              <w:bottom w:val="single" w:sz="4" w:space="0" w:color="000000"/>
              <w:right w:val="single" w:sz="4" w:space="0" w:color="000000"/>
            </w:tcBorders>
            <w:vAlign w:val="center"/>
          </w:tcPr>
          <w:p>
            <w:pPr>
              <w:pStyle w:val="Normal"/>
              <w:widowControl w:val="false"/>
              <w:suppressAutoHyphens w:val="true"/>
              <w:bidi w:val="0"/>
              <w:spacing w:lineRule="auto" w:line="312" w:before="120" w:after="288"/>
              <w:ind w:left="0" w:right="737" w:hanging="0"/>
              <w:jc w:val="right"/>
              <w:rPr>
                <w:rFonts w:ascii="Calibri" w:hAnsi="Calibri" w:cs="Arial"/>
                <w:b/>
                <w:b/>
                <w:bCs/>
                <w:i w:val="false"/>
                <w:i w:val="false"/>
                <w:iCs w:val="false"/>
                <w:color w:val="000000"/>
                <w:sz w:val="20"/>
                <w:szCs w:val="20"/>
              </w:rPr>
            </w:pPr>
            <w:r>
              <w:rPr>
                <w:rFonts w:cs="Arial" w:ascii="Calibri" w:hAnsi="Calibri"/>
                <w:b/>
                <w:bCs/>
                <w:i w:val="false"/>
                <w:iCs w:val="false"/>
                <w:color w:val="000000"/>
                <w:sz w:val="20"/>
                <w:szCs w:val="20"/>
              </w:rPr>
              <w:t>2</w:t>
            </w:r>
          </w:p>
        </w:tc>
        <w:tc>
          <w:tcPr>
            <w:tcW w:w="4873" w:type="dxa"/>
            <w:tcBorders>
              <w:left w:val="single" w:sz="4" w:space="0" w:color="000000"/>
              <w:bottom w:val="single" w:sz="4" w:space="0" w:color="000000"/>
              <w:right w:val="single" w:sz="4" w:space="0" w:color="000000"/>
            </w:tcBorders>
          </w:tcPr>
          <w:p>
            <w:pPr>
              <w:pStyle w:val="Normal"/>
              <w:widowControl w:val="false"/>
              <w:suppressAutoHyphens w:val="true"/>
              <w:bidi w:val="0"/>
              <w:spacing w:lineRule="auto" w:line="312" w:before="0" w:after="60"/>
              <w:ind w:left="0" w:right="0" w:hanging="0"/>
              <w:jc w:val="center"/>
              <w:rPr>
                <w:rFonts w:ascii="Calibri" w:hAnsi="Calibri" w:cs="Arial"/>
                <w:color w:val="000000"/>
                <w:sz w:val="22"/>
                <w:szCs w:val="22"/>
              </w:rPr>
            </w:pPr>
            <w:r>
              <w:rPr>
                <w:rFonts w:cs="Arial" w:ascii="Calibri" w:hAnsi="Calibri"/>
                <w:color w:val="000000"/>
                <w:sz w:val="22"/>
                <w:szCs w:val="22"/>
              </w:rPr>
              <w:t>Teste Hidrostático de extintores</w:t>
            </w:r>
          </w:p>
          <w:p>
            <w:pPr>
              <w:pStyle w:val="Normal"/>
              <w:widowControl w:val="false"/>
              <w:suppressAutoHyphens w:val="true"/>
              <w:bidi w:val="0"/>
              <w:spacing w:lineRule="auto" w:line="312" w:before="0" w:after="60"/>
              <w:ind w:left="0" w:right="0" w:hanging="0"/>
              <w:jc w:val="center"/>
              <w:rPr>
                <w:rFonts w:ascii="Calibri" w:hAnsi="Calibri" w:cs="Arial"/>
                <w:color w:val="000000"/>
                <w:sz w:val="22"/>
                <w:szCs w:val="22"/>
              </w:rPr>
            </w:pPr>
            <w:r>
              <w:rPr>
                <w:rFonts w:cs="Arial" w:ascii="Calibri" w:hAnsi="Calibri"/>
                <w:color w:val="000000"/>
                <w:sz w:val="22"/>
                <w:szCs w:val="22"/>
              </w:rPr>
              <w:t>Água, PQS e CO₂</w:t>
            </w:r>
          </w:p>
        </w:tc>
        <w:tc>
          <w:tcPr>
            <w:tcW w:w="977" w:type="dxa"/>
            <w:tcBorders>
              <w:left w:val="single" w:sz="4" w:space="0" w:color="000000"/>
              <w:bottom w:val="single" w:sz="4" w:space="0" w:color="000000"/>
              <w:right w:val="single" w:sz="4" w:space="0" w:color="000000"/>
            </w:tcBorders>
            <w:vAlign w:val="center"/>
          </w:tcPr>
          <w:p>
            <w:pPr>
              <w:pStyle w:val="Normal"/>
              <w:widowControl w:val="false"/>
              <w:bidi w:val="0"/>
              <w:spacing w:lineRule="auto" w:line="240" w:before="0" w:after="0"/>
              <w:ind w:left="0" w:right="0" w:hanging="0"/>
              <w:jc w:val="center"/>
              <w:rPr>
                <w:rFonts w:ascii="Calibri" w:hAnsi="Calibri" w:eastAsia="Calibri" w:cs="DejaVu Sans"/>
                <w:b w:val="false"/>
                <w:b w:val="false"/>
                <w:i w:val="false"/>
                <w:i w:val="false"/>
                <w:strike w:val="false"/>
                <w:dstrike w:val="false"/>
                <w:outline w:val="false"/>
                <w:shadow w:val="false"/>
                <w:color w:val="000000"/>
                <w:kern w:val="0"/>
                <w:sz w:val="20"/>
                <w:szCs w:val="20"/>
                <w:u w:val="none"/>
                <w:em w:val="none"/>
                <w:lang w:val="pt-BR" w:eastAsia="en-US" w:bidi="ar-SA"/>
              </w:rPr>
            </w:pPr>
            <w:r>
              <w:rPr>
                <w:rFonts w:eastAsia="Calibri" w:cs="DejaVu Sans" w:ascii="Calibri" w:hAnsi="Calibri"/>
                <w:b w:val="false"/>
                <w:i w:val="false"/>
                <w:strike w:val="false"/>
                <w:dstrike w:val="false"/>
                <w:outline w:val="false"/>
                <w:shadow w:val="false"/>
                <w:color w:val="000000"/>
                <w:kern w:val="0"/>
                <w:sz w:val="20"/>
                <w:szCs w:val="20"/>
                <w:u w:val="none"/>
                <w:em w:val="none"/>
                <w:lang w:val="pt-BR" w:eastAsia="en-US" w:bidi="ar-SA"/>
              </w:rPr>
              <w:t>18074</w:t>
            </w:r>
          </w:p>
        </w:tc>
        <w:tc>
          <w:tcPr>
            <w:tcW w:w="563" w:type="dxa"/>
            <w:tcBorders>
              <w:left w:val="single" w:sz="4" w:space="0" w:color="000000"/>
              <w:bottom w:val="single" w:sz="4" w:space="0" w:color="000000"/>
              <w:right w:val="single" w:sz="4" w:space="0" w:color="000000"/>
            </w:tcBorders>
            <w:vAlign w:val="center"/>
          </w:tcPr>
          <w:p>
            <w:pPr>
              <w:pStyle w:val="Contedodatabela"/>
              <w:widowControl w:val="false"/>
              <w:jc w:val="center"/>
              <w:rPr>
                <w:rFonts w:ascii="Calibri" w:hAnsi="Calibri"/>
                <w:sz w:val="22"/>
                <w:szCs w:val="22"/>
              </w:rPr>
            </w:pPr>
            <w:r>
              <w:rPr>
                <w:rFonts w:ascii="Calibri" w:hAnsi="Calibri"/>
                <w:sz w:val="22"/>
                <w:szCs w:val="22"/>
              </w:rPr>
              <w:t>SV</w:t>
            </w:r>
          </w:p>
        </w:tc>
        <w:tc>
          <w:tcPr>
            <w:tcW w:w="622" w:type="dxa"/>
            <w:tcBorders>
              <w:left w:val="single" w:sz="4" w:space="0" w:color="000000"/>
              <w:bottom w:val="single" w:sz="4" w:space="0" w:color="000000"/>
              <w:right w:val="single" w:sz="4" w:space="0" w:color="000000"/>
            </w:tcBorders>
            <w:vAlign w:val="center"/>
          </w:tcPr>
          <w:p>
            <w:pPr>
              <w:pStyle w:val="Contedodatabela"/>
              <w:widowControl w:val="false"/>
              <w:jc w:val="center"/>
              <w:rPr>
                <w:rFonts w:ascii="Calibri" w:hAnsi="Calibri"/>
                <w:sz w:val="22"/>
                <w:szCs w:val="22"/>
              </w:rPr>
            </w:pPr>
            <w:r>
              <w:rPr>
                <w:rFonts w:ascii="Calibri" w:hAnsi="Calibri"/>
                <w:sz w:val="22"/>
                <w:szCs w:val="22"/>
              </w:rPr>
              <w:t>50</w:t>
            </w:r>
          </w:p>
        </w:tc>
        <w:tc>
          <w:tcPr>
            <w:tcW w:w="1256" w:type="dxa"/>
            <w:tcBorders>
              <w:left w:val="single" w:sz="4" w:space="0" w:color="000000"/>
              <w:bottom w:val="single" w:sz="4" w:space="0" w:color="000000"/>
              <w:right w:val="single" w:sz="4" w:space="0" w:color="000000"/>
            </w:tcBorders>
            <w:vAlign w:val="center"/>
          </w:tcPr>
          <w:p>
            <w:pPr>
              <w:pStyle w:val="Normal"/>
              <w:widowControl w:val="false"/>
              <w:bidi w:val="0"/>
              <w:ind w:left="0" w:right="0" w:hanging="0"/>
              <w:jc w:val="center"/>
              <w:rPr>
                <w:rFonts w:ascii="CALIBRI" w:hAnsi="CALIBRI"/>
                <w:spacing w:val="4"/>
                <w:sz w:val="20"/>
                <w:szCs w:val="20"/>
              </w:rPr>
            </w:pPr>
            <w:r>
              <w:rPr>
                <w:rFonts w:ascii="CALIBRI" w:hAnsi="CALIBRI"/>
                <w:spacing w:val="4"/>
                <w:sz w:val="20"/>
                <w:szCs w:val="20"/>
              </w:rPr>
              <w:t>R$ 45,00</w:t>
            </w:r>
          </w:p>
        </w:tc>
        <w:tc>
          <w:tcPr>
            <w:tcW w:w="1121" w:type="dxa"/>
            <w:tcBorders>
              <w:left w:val="single" w:sz="4" w:space="0" w:color="000000"/>
              <w:bottom w:val="single" w:sz="4" w:space="0" w:color="000000"/>
              <w:right w:val="single" w:sz="4" w:space="0" w:color="000000"/>
            </w:tcBorders>
            <w:vAlign w:val="center"/>
          </w:tcPr>
          <w:p>
            <w:pPr>
              <w:pStyle w:val="Normal"/>
              <w:widowControl w:val="false"/>
              <w:bidi w:val="0"/>
              <w:ind w:left="0" w:right="0" w:hanging="0"/>
              <w:jc w:val="center"/>
              <w:rPr>
                <w:rFonts w:ascii="CALIBRI" w:hAnsi="CALIBRI"/>
                <w:spacing w:val="-24"/>
                <w:sz w:val="20"/>
                <w:szCs w:val="20"/>
              </w:rPr>
            </w:pPr>
            <w:r>
              <w:rPr>
                <w:rFonts w:ascii="CALIBRI" w:hAnsi="CALIBRI"/>
                <w:spacing w:val="-24"/>
                <w:sz w:val="20"/>
                <w:szCs w:val="20"/>
              </w:rPr>
              <w:fldChar w:fldCharType="begin"/>
            </w:r>
            <w:r>
              <w:rPr>
                <w:sz w:val="20"/>
                <w:spacing w:val="-24"/>
                <w:szCs w:val="20"/>
                <w:rFonts w:ascii="CALIBRI" w:hAnsi="CALIBRI"/>
              </w:rPr>
              <w:instrText xml:space="preserve"> =E3*F3</w:instrText>
            </w:r>
            <w:r>
              <w:rPr>
                <w:sz w:val="20"/>
                <w:spacing w:val="-24"/>
                <w:szCs w:val="20"/>
                <w:rFonts w:ascii="CALIBRI" w:hAnsi="CALIBRI"/>
              </w:rPr>
              <w:fldChar w:fldCharType="separate"/>
            </w:r>
            <w:r>
              <w:rPr>
                <w:sz w:val="20"/>
                <w:spacing w:val="-24"/>
                <w:szCs w:val="20"/>
                <w:rFonts w:ascii="CALIBRI" w:hAnsi="CALIBRI"/>
              </w:rPr>
              <w:t>2250</w:t>
            </w:r>
            <w:r>
              <w:rPr>
                <w:sz w:val="20"/>
                <w:spacing w:val="-24"/>
                <w:szCs w:val="20"/>
                <w:rFonts w:ascii="CALIBRI" w:hAnsi="CALIBRI"/>
              </w:rPr>
              <w:fldChar w:fldCharType="end"/>
            </w:r>
          </w:p>
        </w:tc>
      </w:tr>
    </w:tbl>
    <w:p>
      <w:pPr>
        <w:pStyle w:val="Nvel2Opcional1"/>
        <w:numPr>
          <w:ilvl w:val="1"/>
          <w:numId w:val="2"/>
        </w:numPr>
        <w:shd w:val="clear" w:fill="FFFFFF"/>
        <w:ind w:left="473" w:right="0" w:hanging="0"/>
        <w:rPr/>
      </w:pPr>
      <w:r>
        <w:rPr>
          <w:color w:val="000000"/>
        </w:rPr>
        <w:t xml:space="preserve">O(s) serviço(s) objeto desta contratação são caracterizados como </w:t>
      </w:r>
      <w:r>
        <w:rPr>
          <w:b/>
          <w:bCs/>
          <w:color w:val="000000"/>
        </w:rPr>
        <w:t>comuns.</w:t>
      </w:r>
    </w:p>
    <w:p>
      <w:pPr>
        <w:pStyle w:val="Nvel2Opcional1"/>
        <w:numPr>
          <w:ilvl w:val="1"/>
          <w:numId w:val="2"/>
        </w:numPr>
        <w:shd w:val="clear" w:fill="FFFFFF"/>
        <w:ind w:left="473" w:right="0" w:hanging="0"/>
        <w:rPr/>
      </w:pPr>
      <w:r>
        <w:rPr>
          <w:color w:val="000000"/>
        </w:rPr>
        <w:t xml:space="preserve">O prazo de vigência da contratação é de </w:t>
      </w:r>
      <w:r>
        <w:rPr>
          <w:b/>
          <w:bCs/>
          <w:color w:val="000000"/>
        </w:rPr>
        <w:t>30 dias</w:t>
      </w:r>
      <w:r>
        <w:rPr>
          <w:color w:val="000000"/>
        </w:rPr>
        <w:t xml:space="preserve"> contados do(a) </w:t>
      </w:r>
      <w:r>
        <w:rPr>
          <w:b/>
          <w:bCs/>
          <w:color w:val="000000"/>
        </w:rPr>
        <w:t>assinatura do contrato</w:t>
      </w:r>
      <w:r>
        <w:rPr>
          <w:color w:val="000000"/>
        </w:rPr>
        <w:t xml:space="preserve">, na forma do artigo </w:t>
      </w:r>
      <w:bookmarkStart w:id="0" w:name="__DdeLink__5149_3526926466"/>
      <w:r>
        <w:rPr>
          <w:color w:val="000000"/>
        </w:rPr>
        <w:t>105 da Lei n° 14.133, de 2021</w:t>
      </w:r>
      <w:bookmarkEnd w:id="0"/>
      <w:r>
        <w:rPr>
          <w:color w:val="000000"/>
        </w:rPr>
        <w:t>.</w:t>
      </w:r>
    </w:p>
    <w:p>
      <w:pPr>
        <w:pStyle w:val="Nvel02"/>
        <w:numPr>
          <w:ilvl w:val="1"/>
          <w:numId w:val="2"/>
        </w:numPr>
        <w:shd w:val="clear" w:fill="FFFFFF"/>
        <w:ind w:left="473" w:right="0" w:hanging="0"/>
        <w:rPr/>
      </w:pPr>
      <w:r>
        <w:rPr/>
        <w:t>O contrato ou outro instrumento hábil que o substitua oferece maior detalhamento das regras que serão aplicadas em relação à vigência da contratação.</w:t>
      </w:r>
    </w:p>
    <w:p>
      <w:pPr>
        <w:pStyle w:val="Nivel01"/>
        <w:numPr>
          <w:ilvl w:val="0"/>
          <w:numId w:val="2"/>
        </w:numPr>
        <w:shd w:val="clear" w:fill="FFFFFF"/>
        <w:ind w:left="357" w:right="0" w:hanging="357"/>
        <w:rPr/>
      </w:pPr>
      <w:r>
        <w:rPr/>
        <w:t>FUNDAMENTAÇÃO E DESCRIÇÃO DA NECESSIDADE DA CONTRATAÇÃO</w:t>
      </w:r>
    </w:p>
    <w:p>
      <w:pPr>
        <w:pStyle w:val="Nvel2Opcional1"/>
        <w:numPr>
          <w:ilvl w:val="1"/>
          <w:numId w:val="2"/>
        </w:numPr>
        <w:shd w:val="clear" w:fill="FFFFFF"/>
        <w:ind w:left="473" w:right="0" w:hanging="0"/>
        <w:rPr>
          <w:color w:val="000000"/>
        </w:rPr>
      </w:pPr>
      <w:r>
        <w:rPr>
          <w:color w:val="000000"/>
        </w:rPr>
        <w:t>A Fundamentação da Contratação e de seus quantitativos encontra-se pormenorizada neste Termo de Referência.</w:t>
      </w:r>
    </w:p>
    <w:p>
      <w:pPr>
        <w:pStyle w:val="Nvel2Opcional1"/>
        <w:numPr>
          <w:ilvl w:val="1"/>
          <w:numId w:val="2"/>
        </w:numPr>
        <w:shd w:val="clear" w:fill="FFFFFF"/>
        <w:spacing w:before="0" w:after="0"/>
        <w:ind w:left="473" w:right="0" w:hanging="0"/>
        <w:rPr>
          <w:color w:val="000000"/>
        </w:rPr>
      </w:pPr>
      <w:r>
        <w:rPr>
          <w:color w:val="000000"/>
        </w:rPr>
        <w:t>O objeto da contratação está previsto no Plano de Contratações Anual, conforme consta das informações básicas neste Termo de Referência.</w:t>
      </w:r>
    </w:p>
    <w:p>
      <w:pPr>
        <w:pStyle w:val="Nvel2Opcional1"/>
        <w:shd w:val="clear" w:fill="FFFFFF"/>
        <w:spacing w:before="0" w:after="0"/>
        <w:ind w:left="1553" w:right="0" w:hanging="0"/>
        <w:rPr>
          <w:color w:val="000000"/>
        </w:rPr>
      </w:pPr>
      <w:r>
        <w:rPr>
          <w:color w:val="000000"/>
        </w:rPr>
      </w:r>
    </w:p>
    <w:p>
      <w:pPr>
        <w:pStyle w:val="Nivel01"/>
        <w:numPr>
          <w:ilvl w:val="0"/>
          <w:numId w:val="2"/>
        </w:numPr>
        <w:shd w:val="clear" w:fill="FFFFFF"/>
        <w:ind w:left="357" w:right="0" w:hanging="357"/>
        <w:rPr/>
      </w:pPr>
      <w:r>
        <w:rPr/>
        <w:t>DESCRIÇÃO DA SOLUÇÃO COMO UM TODO CONSIDERADO O CICLO DE VIDA DO OBJETO</w:t>
      </w:r>
    </w:p>
    <w:p>
      <w:pPr>
        <w:pStyle w:val="Nvel2Opcional1"/>
        <w:numPr>
          <w:ilvl w:val="1"/>
          <w:numId w:val="2"/>
        </w:numPr>
        <w:shd w:val="clear" w:fill="FFFFFF"/>
        <w:ind w:left="473" w:right="0" w:hanging="0"/>
        <w:rPr>
          <w:color w:val="000000"/>
        </w:rPr>
      </w:pPr>
      <w:bookmarkStart w:id="1" w:name="_Ref121236534"/>
      <w:r>
        <w:rPr>
          <w:color w:val="000000"/>
        </w:rPr>
        <w:t>A descrição da solução como um todo encontra-se pormenorizada neste Termo de Referência.</w:t>
      </w:r>
      <w:bookmarkEnd w:id="1"/>
    </w:p>
    <w:p>
      <w:pPr>
        <w:pStyle w:val="Nivel01"/>
        <w:numPr>
          <w:ilvl w:val="0"/>
          <w:numId w:val="2"/>
        </w:numPr>
        <w:shd w:val="clear" w:fill="FFFFFF"/>
        <w:ind w:left="357" w:right="0" w:hanging="357"/>
        <w:rPr/>
      </w:pPr>
      <w:r>
        <w:rPr/>
        <w:t>REQUISITOS DA CONTRATAÇÃO</w:t>
      </w:r>
    </w:p>
    <w:p>
      <w:pPr>
        <w:pStyle w:val="Nvel2Red"/>
        <w:widowControl/>
        <w:numPr>
          <w:ilvl w:val="1"/>
          <w:numId w:val="2"/>
        </w:numPr>
        <w:bidi w:val="0"/>
        <w:spacing w:lineRule="auto" w:line="276" w:before="0" w:after="0"/>
        <w:ind w:left="567" w:right="0" w:hanging="0"/>
        <w:jc w:val="both"/>
        <w:rPr>
          <w:rFonts w:ascii="Ecofont_Spranq_eco_Sans" w:hAnsi="Ecofont_Spranq_eco_Sans" w:eastAsia="Arial" w:cs="Arial"/>
          <w:b w:val="false"/>
          <w:b w:val="false"/>
          <w:bCs w:val="false"/>
          <w:i w:val="false"/>
          <w:i w:val="false"/>
          <w:iCs w:val="false"/>
          <w:color w:val="000000"/>
          <w:sz w:val="20"/>
          <w:szCs w:val="20"/>
          <w:lang w:eastAsia="pt-BR"/>
        </w:rPr>
      </w:pPr>
      <w:r>
        <w:rPr>
          <w:rFonts w:eastAsia="Arial" w:cs="Arial" w:ascii="Ecofont_Spranq_eco_Sans" w:hAnsi="Ecofont_Spranq_eco_Sans"/>
          <w:b w:val="false"/>
          <w:bCs w:val="false"/>
          <w:i w:val="false"/>
          <w:iCs w:val="false"/>
          <w:color w:val="000000"/>
          <w:sz w:val="20"/>
          <w:szCs w:val="20"/>
          <w:lang w:eastAsia="pt-BR"/>
        </w:rPr>
        <w:t>O prazo de vigência da contratação é de 30 dias contados do(a) entrega da nota de empenho, na forma do artigo 105 da Lei n° 14.133, de 2021.</w:t>
      </w:r>
    </w:p>
    <w:p>
      <w:pPr>
        <w:pStyle w:val="Nivel01"/>
        <w:numPr>
          <w:ilvl w:val="0"/>
          <w:numId w:val="2"/>
        </w:numPr>
        <w:shd w:val="clear" w:fill="FFFFFF"/>
        <w:ind w:left="357" w:right="0" w:hanging="357"/>
        <w:rPr/>
      </w:pPr>
      <w:r>
        <w:rPr/>
        <w:t>Subcontratação</w:t>
      </w:r>
    </w:p>
    <w:p>
      <w:pPr>
        <w:pStyle w:val="Nvel2Opcional1"/>
        <w:numPr>
          <w:ilvl w:val="1"/>
          <w:numId w:val="2"/>
        </w:numPr>
        <w:shd w:val="clear" w:fill="FFFFFF"/>
        <w:ind w:left="473" w:right="0" w:hanging="0"/>
        <w:rPr>
          <w:color w:val="000000"/>
        </w:rPr>
      </w:pPr>
      <w:r>
        <w:rPr>
          <w:color w:val="000000"/>
        </w:rPr>
        <w:t>Não será admitida a subcontratação do objeto contratual.</w:t>
      </w:r>
    </w:p>
    <w:p>
      <w:pPr>
        <w:pStyle w:val="Ou"/>
        <w:widowControl/>
        <w:bidi w:val="0"/>
        <w:spacing w:lineRule="auto" w:line="259"/>
        <w:ind w:left="720" w:right="0" w:hanging="0"/>
        <w:jc w:val="center"/>
        <w:rPr>
          <w:rFonts w:ascii="Arial" w:hAnsi="Arial" w:eastAsia="Cambria" w:cs="Arial"/>
          <w:b/>
          <w:b/>
          <w:bCs/>
          <w:i/>
          <w:i/>
          <w:iCs/>
          <w:color w:val="FF0000"/>
          <w:kern w:val="0"/>
          <w:sz w:val="20"/>
          <w:szCs w:val="24"/>
          <w:shd w:fill="C0C0C0" w:val="clear"/>
          <w:lang w:val="pt-BR" w:eastAsia="zh-CN" w:bidi="hi-IN"/>
        </w:rPr>
      </w:pPr>
      <w:r>
        <w:rPr>
          <w:rFonts w:eastAsia="Cambria" w:cs="Arial"/>
          <w:b/>
          <w:bCs/>
          <w:i/>
          <w:iCs/>
          <w:color w:val="FF0000"/>
          <w:kern w:val="0"/>
          <w:sz w:val="20"/>
          <w:szCs w:val="24"/>
          <w:shd w:fill="C0C0C0" w:val="clear"/>
          <w:lang w:val="pt-BR" w:eastAsia="zh-CN" w:bidi="hi-IN"/>
        </w:rPr>
      </w:r>
    </w:p>
    <w:p>
      <w:pPr>
        <w:pStyle w:val="Nvel1SemNumerao"/>
        <w:shd w:val="clear" w:fill="FFFFFF"/>
        <w:ind w:left="833" w:right="0" w:hanging="0"/>
        <w:rPr/>
      </w:pPr>
      <w:r>
        <w:rPr/>
        <w:t>Garantia da contratação</w:t>
      </w:r>
    </w:p>
    <w:p>
      <w:pPr>
        <w:pStyle w:val="Nvel2Opcional1"/>
        <w:numPr>
          <w:ilvl w:val="1"/>
          <w:numId w:val="2"/>
        </w:numPr>
        <w:shd w:val="clear" w:fill="FFFFFF"/>
        <w:ind w:left="473" w:right="0" w:hanging="0"/>
        <w:rPr>
          <w:color w:val="000000"/>
        </w:rPr>
      </w:pPr>
      <w:r>
        <w:rPr>
          <w:color w:val="000000"/>
        </w:rPr>
        <w:t>Não haverá exigência da garantia da contratação dos art. 96 e seguintes da Lei nº 14.133, de 2021.</w:t>
      </w:r>
    </w:p>
    <w:p>
      <w:pPr>
        <w:pStyle w:val="Ou"/>
        <w:ind w:left="720" w:right="0" w:hanging="0"/>
        <w:rPr/>
      </w:pPr>
      <w:r>
        <w:rPr/>
      </w:r>
    </w:p>
    <w:p>
      <w:pPr>
        <w:pStyle w:val="Nvel1SemNumerao"/>
        <w:widowControl/>
        <w:shd w:val="clear" w:fill="FFFFFF"/>
        <w:bidi w:val="0"/>
        <w:spacing w:lineRule="auto" w:line="276"/>
        <w:ind w:left="1080" w:right="0" w:hanging="0"/>
        <w:jc w:val="left"/>
        <w:rPr/>
      </w:pPr>
      <w:r>
        <w:rPr/>
        <w:t>Vistoria</w:t>
      </w:r>
    </w:p>
    <w:p>
      <w:pPr>
        <w:pStyle w:val="Nvel2Opcional1"/>
        <w:numPr>
          <w:ilvl w:val="1"/>
          <w:numId w:val="2"/>
        </w:numPr>
        <w:shd w:val="clear" w:fill="FFFFFF"/>
        <w:ind w:left="473" w:right="0" w:hanging="0"/>
        <w:rPr>
          <w:color w:val="000000"/>
          <w:lang w:eastAsia="en-US"/>
        </w:rPr>
      </w:pPr>
      <w:r>
        <w:rPr>
          <w:color w:val="000000"/>
          <w:lang w:eastAsia="en-US"/>
        </w:rPr>
        <w:t xml:space="preserve"> </w:t>
      </w:r>
      <w:r>
        <w:rPr>
          <w:color w:val="000000"/>
          <w:lang w:eastAsia="en-US"/>
        </w:rPr>
        <w:t>A vistoria é imprescindível para o conhecimento pleno das condições e peculiaridades do objeto a ser contratado, sendo assegurado ao interessado o direito de realização de vistoria prévia, acompanhado por servidor designado para esse fim, de segunda à sexta-feira, das 09:00 horas às 15:00 horas.</w:t>
      </w:r>
    </w:p>
    <w:p>
      <w:pPr>
        <w:pStyle w:val="Nvel2Opcional1"/>
        <w:numPr>
          <w:ilvl w:val="1"/>
          <w:numId w:val="2"/>
        </w:numPr>
        <w:shd w:val="clear" w:fill="FFFFFF"/>
        <w:ind w:left="473" w:right="0" w:hanging="0"/>
        <w:rPr>
          <w:color w:val="000000"/>
          <w:lang w:eastAsia="en-US"/>
        </w:rPr>
      </w:pPr>
      <w:r>
        <w:rPr>
          <w:color w:val="000000"/>
          <w:lang w:eastAsia="en-US"/>
        </w:rPr>
        <w:t xml:space="preserve"> </w:t>
      </w:r>
      <w:r>
        <w:rPr>
          <w:color w:val="000000"/>
          <w:lang w:eastAsia="en-US"/>
        </w:rPr>
        <w:t>Serão disponibilizados data e horário diferentes aos interessados em realizar a vistoria prévia. </w:t>
      </w:r>
    </w:p>
    <w:p>
      <w:pPr>
        <w:pStyle w:val="Nvel2Opcional1"/>
        <w:numPr>
          <w:ilvl w:val="1"/>
          <w:numId w:val="2"/>
        </w:numPr>
        <w:shd w:val="clear" w:fill="FFFFFF"/>
        <w:ind w:left="473" w:right="0" w:hanging="0"/>
        <w:rPr>
          <w:color w:val="000000"/>
          <w:lang w:eastAsia="en-US"/>
        </w:rPr>
      </w:pPr>
      <w:r>
        <w:rPr>
          <w:color w:val="000000"/>
          <w:lang w:eastAsia="en-US"/>
        </w:rPr>
        <w:t xml:space="preserve"> </w:t>
      </w:r>
      <w:r>
        <w:rPr>
          <w:color w:val="000000"/>
          <w:lang w:eastAsia="en-US"/>
        </w:rPr>
        <w:t xml:space="preserve">Para a vistoria, o representante legal da empresa ou responsável técnico deverá estar devidamente identificado, apresentando documento de identidade civil e documento expedido pela empresa comprovando sua habilitação para a realização da vistoria. </w:t>
      </w:r>
    </w:p>
    <w:p>
      <w:pPr>
        <w:pStyle w:val="Nvel2Opcional1"/>
        <w:numPr>
          <w:ilvl w:val="1"/>
          <w:numId w:val="2"/>
        </w:numPr>
        <w:shd w:val="clear" w:fill="FFFFFF"/>
        <w:ind w:left="473" w:right="0" w:hanging="0"/>
        <w:rPr>
          <w:color w:val="000000"/>
          <w:lang w:eastAsia="en-US"/>
        </w:rPr>
      </w:pPr>
      <w:r>
        <w:rPr>
          <w:color w:val="000000"/>
          <w:lang w:eastAsia="en-US"/>
        </w:rPr>
        <w:t xml:space="preserve"> </w:t>
      </w:r>
      <w:r>
        <w:rPr>
          <w:color w:val="000000"/>
          <w:lang w:eastAsia="en-US"/>
        </w:rPr>
        <w:t xml:space="preserve">Caso o interessado opte por não realizar a vistoria, deverá prestar declaração formal assinada por seu responsável técnico acerca do conhecimento pleno das condições e peculiaridades da contratação. </w:t>
      </w:r>
    </w:p>
    <w:p>
      <w:pPr>
        <w:pStyle w:val="Nvel2Opcional1"/>
        <w:numPr>
          <w:ilvl w:val="1"/>
          <w:numId w:val="2"/>
        </w:numPr>
        <w:shd w:val="clear" w:fill="FFFFFF"/>
        <w:spacing w:before="6" w:after="6"/>
        <w:ind w:left="473" w:right="0" w:hanging="0"/>
        <w:rPr>
          <w:color w:val="000000"/>
          <w:lang w:eastAsia="en-US"/>
        </w:rPr>
      </w:pPr>
      <w:r>
        <w:rPr>
          <w:color w:val="000000"/>
          <w:lang w:eastAsia="en-US"/>
        </w:rPr>
        <w:t xml:space="preserve"> </w:t>
      </w:r>
      <w:r>
        <w:rPr>
          <w:color w:val="000000"/>
          <w:lang w:eastAsia="en-US"/>
        </w:rPr>
        <w:t>A não realização da vistoria não poderá embasar posteriores alegações de desconhecimento das instalações, dúvidas ou esquecimentos de quaisquer detalhes das viaturas da prestação dos serviços, devendo o contratado assumir os ônus dos serviços decorrentes</w:t>
      </w:r>
    </w:p>
    <w:p>
      <w:pPr>
        <w:pStyle w:val="Nivel01"/>
        <w:numPr>
          <w:ilvl w:val="0"/>
          <w:numId w:val="2"/>
        </w:numPr>
        <w:shd w:val="clear" w:fill="FFFFFF"/>
        <w:ind w:left="357" w:right="0" w:hanging="357"/>
        <w:rPr/>
      </w:pPr>
      <w:r>
        <w:rPr/>
        <w:t>MODELO DE EXECUÇÃO DO OBJETO</w:t>
      </w:r>
    </w:p>
    <w:p>
      <w:pPr>
        <w:pStyle w:val="Nvel1SemNumerao"/>
        <w:shd w:val="clear" w:fill="FFFFFF"/>
        <w:ind w:left="360" w:right="0" w:hanging="0"/>
        <w:rPr/>
      </w:pPr>
      <w:r>
        <w:rPr/>
        <w:t>Condições de execução</w:t>
      </w:r>
    </w:p>
    <w:p>
      <w:pPr>
        <w:pStyle w:val="Nvel1SemNumerao"/>
        <w:shd w:val="clear" w:fill="FFFFFF"/>
        <w:ind w:left="360" w:right="0" w:hanging="0"/>
        <w:rPr/>
      </w:pPr>
      <w:r>
        <w:rPr/>
        <w:t>A execução do serviço seguirá a seguinte dinâmica:</w:t>
      </w:r>
    </w:p>
    <w:p>
      <w:pPr>
        <w:pStyle w:val="Nvel1SemNumerao"/>
        <w:numPr>
          <w:ilvl w:val="1"/>
          <w:numId w:val="2"/>
        </w:numPr>
        <w:shd w:val="clear" w:fill="FFFFFF"/>
        <w:ind w:left="360" w:right="0" w:hanging="0"/>
        <w:rPr/>
      </w:pPr>
      <w:r>
        <w:rPr/>
        <w:t>Os serviços do item (1) serão prestados no seguinte endereço e horário: Rodovia Washington Luís KM 7,5, Sarapuí, Duque de Caxias – RJ, CEP: 25085-000 no seguinte horário: em dias úteis, das 08:00 h às 15:00h, de segunda a sexta-feira.</w:t>
      </w:r>
    </w:p>
    <w:p>
      <w:pPr>
        <w:pStyle w:val="Nvel1SemNumerao"/>
        <w:shd w:val="clear" w:fill="FFFFFF"/>
        <w:ind w:left="360" w:right="0" w:hanging="0"/>
        <w:rPr/>
      </w:pPr>
      <w:r>
        <w:rPr/>
      </w:r>
    </w:p>
    <w:p>
      <w:pPr>
        <w:pStyle w:val="Nvel1SemNumerao"/>
        <w:numPr>
          <w:ilvl w:val="1"/>
          <w:numId w:val="2"/>
        </w:numPr>
        <w:shd w:val="clear" w:fill="FFFFFF"/>
        <w:ind w:left="360" w:right="0" w:hanging="0"/>
        <w:rPr/>
      </w:pPr>
      <w:r>
        <w:rPr/>
        <w:t>Os serviços do item (2) serão prestados no seguinte endereço e horário: Estrada do Rio Jequiá, s/n°, Ribeira, Ilha do Governador, Rio de Janeiro/RJ, CEP: 21930-007, no seguinte horário: em dias úteis, das 08:00h às 15:00h, de segunda a sexta-feira.</w:t>
      </w:r>
    </w:p>
    <w:p>
      <w:pPr>
        <w:pStyle w:val="Nvel1SemNumerao"/>
        <w:shd w:val="clear" w:fill="FFFFFF"/>
        <w:ind w:left="1080" w:right="0" w:hanging="0"/>
        <w:rPr/>
      </w:pPr>
      <w:r>
        <w:rPr/>
      </w:r>
    </w:p>
    <w:p>
      <w:pPr>
        <w:pStyle w:val="Nvel1SemNumerao"/>
        <w:shd w:val="clear" w:fill="FFFFFF"/>
        <w:ind w:left="1080" w:right="0" w:hanging="0"/>
        <w:rPr/>
      </w:pPr>
      <w:r>
        <w:rPr/>
        <w:t>Materiais a serem disponibilizados</w:t>
      </w:r>
    </w:p>
    <w:p>
      <w:pPr>
        <w:pStyle w:val="Nvel1SemNumerao"/>
        <w:numPr>
          <w:ilvl w:val="1"/>
          <w:numId w:val="2"/>
        </w:numPr>
        <w:shd w:val="clear" w:fill="FFFFFF"/>
        <w:ind w:left="360" w:right="0" w:hanging="0"/>
        <w:rPr/>
      </w:pPr>
      <w:r>
        <w:rPr/>
        <w:t>Para a perfeita execução dos serviços, a Contratada deverá disponibilizar os materiais, equipamentos, ferramentas e utensílios necessários, nas quantidades estimadas e qualidades a seguir estabelecidas, promovendo sua substituição quando necessário:</w:t>
      </w:r>
    </w:p>
    <w:p>
      <w:pPr>
        <w:pStyle w:val="Nvel1SemNumerao"/>
        <w:shd w:val="clear" w:fill="FFFFFF"/>
        <w:ind w:left="1440" w:right="0" w:hanging="0"/>
        <w:rPr/>
      </w:pPr>
      <w:r>
        <w:rPr/>
      </w:r>
    </w:p>
    <w:p>
      <w:pPr>
        <w:pStyle w:val="Nvel1SemNumerao"/>
        <w:shd w:val="clear" w:fill="FFFFFF"/>
        <w:ind w:left="1080" w:right="0" w:hanging="0"/>
        <w:rPr/>
      </w:pPr>
      <w:r>
        <w:rPr/>
        <w:t>Especificação da garantia do serviço</w:t>
      </w:r>
    </w:p>
    <w:p>
      <w:pPr>
        <w:pStyle w:val="Nvel2Opcional1"/>
        <w:numPr>
          <w:ilvl w:val="1"/>
          <w:numId w:val="2"/>
        </w:numPr>
        <w:shd w:val="clear" w:fill="FFFFFF"/>
        <w:ind w:left="473" w:right="0" w:hanging="0"/>
        <w:rPr>
          <w:color w:val="000000"/>
        </w:rPr>
      </w:pPr>
      <w:r>
        <w:rPr>
          <w:color w:val="000000"/>
        </w:rPr>
        <w:t>O prazo de garantia contratual dos serviços é aquele estabelecido na Lei nº 8.078, de 11 de setembro de 1990 (Código de Defesa do Consumidor).</w:t>
      </w:r>
    </w:p>
    <w:p>
      <w:pPr>
        <w:pStyle w:val="Ou"/>
        <w:ind w:left="720" w:right="0" w:hanging="0"/>
        <w:rPr>
          <w:shd w:fill="C0C0C0" w:val="clear"/>
        </w:rPr>
      </w:pPr>
      <w:r>
        <w:rPr>
          <w:shd w:fill="C0C0C0" w:val="clear"/>
        </w:rPr>
      </w:r>
    </w:p>
    <w:p>
      <w:pPr>
        <w:pStyle w:val="Nvel1SemNum"/>
        <w:shd w:val="clear" w:fill="FFFFFF"/>
        <w:ind w:left="1080" w:right="0" w:hanging="0"/>
        <w:rPr>
          <w:color w:val="000000"/>
        </w:rPr>
      </w:pPr>
      <w:r>
        <w:rPr>
          <w:color w:val="000000"/>
        </w:rPr>
        <w:t>Procedimentos de transição e finalização do contrato</w:t>
      </w:r>
    </w:p>
    <w:p>
      <w:pPr>
        <w:pStyle w:val="Nvel2Opcional1"/>
        <w:numPr>
          <w:ilvl w:val="1"/>
          <w:numId w:val="2"/>
        </w:numPr>
        <w:shd w:val="clear" w:fill="FFFFFF"/>
        <w:spacing w:before="0" w:after="0"/>
        <w:ind w:left="473" w:right="0" w:hanging="0"/>
        <w:rPr>
          <w:color w:val="000000"/>
        </w:rPr>
      </w:pPr>
      <w:r>
        <w:rPr>
          <w:color w:val="000000"/>
        </w:rPr>
        <w:t>Não serão necessários procedimentos de transição e finalização do contrato devido às características do objeto.</w:t>
      </w:r>
    </w:p>
    <w:p>
      <w:pPr>
        <w:pStyle w:val="Nivel01"/>
        <w:numPr>
          <w:ilvl w:val="0"/>
          <w:numId w:val="2"/>
        </w:numPr>
        <w:shd w:val="clear" w:fill="FFFFFF"/>
        <w:ind w:left="357" w:right="0" w:hanging="357"/>
        <w:rPr/>
      </w:pPr>
      <w:r>
        <w:rPr/>
        <w:t>MODELO DE GESTÃO DO CONTRATO</w:t>
      </w:r>
    </w:p>
    <w:p>
      <w:pPr>
        <w:pStyle w:val="Estilo7"/>
        <w:numPr>
          <w:ilvl w:val="1"/>
          <w:numId w:val="2"/>
        </w:numPr>
        <w:shd w:val="clear" w:fill="FFFFFF"/>
        <w:ind w:left="473" w:right="0" w:hanging="0"/>
        <w:rPr/>
      </w:pPr>
      <w:r>
        <w:rPr/>
        <w:t>O contrato deverá ser executado fielmente pelas partes, de acordo com as cláusulas avençadas e as normas da Lei nº 14.133, de 2021, e cada parte responderá pelas consequências de sua inexecução total ou parcial.</w:t>
      </w:r>
    </w:p>
    <w:p>
      <w:pPr>
        <w:pStyle w:val="Nvel02"/>
        <w:numPr>
          <w:ilvl w:val="1"/>
          <w:numId w:val="2"/>
        </w:numPr>
        <w:shd w:val="clear" w:fill="FFFFFF"/>
        <w:ind w:left="473" w:right="0" w:hanging="0"/>
        <w:rPr/>
      </w:pPr>
      <w:r>
        <w:rPr/>
        <w:t>Em caso de impedimento, ordem de paralisação ou suspensão do contrato, o cronograma de execução será prorrogado automaticamente pelo tempo correspondente, anotadas tais circunstâncias mediante simples apostila.</w:t>
      </w:r>
    </w:p>
    <w:p>
      <w:pPr>
        <w:pStyle w:val="Nvel02"/>
        <w:numPr>
          <w:ilvl w:val="1"/>
          <w:numId w:val="2"/>
        </w:numPr>
        <w:shd w:val="clear" w:fill="FFFFFF"/>
        <w:ind w:left="473" w:right="0" w:hanging="0"/>
        <w:rPr/>
      </w:pPr>
      <w:r>
        <w:rPr/>
        <w:t>As comunicações entre o órgão ou entidade e o Contratado devem ser realizadas por escrito sempre que o ato exigir tal formalidade, admitindo-se o uso de mensagem eletrônica para esse fim.</w:t>
      </w:r>
    </w:p>
    <w:p>
      <w:pPr>
        <w:pStyle w:val="Nvel02"/>
        <w:widowControl/>
        <w:numPr>
          <w:ilvl w:val="1"/>
          <w:numId w:val="2"/>
        </w:numPr>
        <w:shd w:val="clear" w:fill="FFFFFF"/>
        <w:bidi w:val="0"/>
        <w:spacing w:lineRule="auto" w:line="276"/>
        <w:ind w:left="473" w:right="0" w:hanging="0"/>
        <w:jc w:val="both"/>
        <w:rPr/>
      </w:pPr>
      <w:r>
        <w:rPr/>
        <w:t>O órgão ou entidade poderá convocar o preposto da empresa para adoção de providências que devam ser cumpridas de imediato.</w:t>
      </w:r>
    </w:p>
    <w:p>
      <w:pPr>
        <w:pStyle w:val="Nvel2Opcional1"/>
        <w:numPr>
          <w:ilvl w:val="1"/>
          <w:numId w:val="2"/>
        </w:numPr>
        <w:shd w:val="clear" w:fill="FFFFFF"/>
        <w:ind w:left="473" w:right="0" w:hanging="0"/>
        <w:rPr>
          <w:color w:val="000000"/>
        </w:rPr>
      </w:pPr>
      <w:r>
        <w:rPr>
          <w:color w:val="000000"/>
        </w:rP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do Contratado, quando houver, do método de aferição dos resultados e das sanções aplicáveis, dentre outros.</w:t>
      </w:r>
    </w:p>
    <w:p>
      <w:pPr>
        <w:pStyle w:val="Nvel1SemNumerao"/>
        <w:shd w:val="clear" w:fill="FFFFFF"/>
        <w:ind w:left="833" w:right="0" w:hanging="0"/>
        <w:rPr/>
      </w:pPr>
      <w:r>
        <w:rPr/>
        <w:t>Preposto</w:t>
      </w:r>
    </w:p>
    <w:p>
      <w:pPr>
        <w:pStyle w:val="Nvel02"/>
        <w:numPr>
          <w:ilvl w:val="1"/>
          <w:numId w:val="2"/>
        </w:numPr>
        <w:shd w:val="clear" w:fill="FFFFFF"/>
        <w:ind w:left="473" w:right="0" w:hanging="0"/>
        <w:rPr/>
      </w:pPr>
      <w:r>
        <w:rPr/>
        <w:t>O Contratado designará formalmente o preposto da empresa, antes do início da prestação dos serviços, indicando no instrumento os poderes e deveres em relação à execução do objeto Contratado.</w:t>
      </w:r>
    </w:p>
    <w:p>
      <w:pPr>
        <w:pStyle w:val="Nvel02"/>
        <w:numPr>
          <w:ilvl w:val="1"/>
          <w:numId w:val="2"/>
        </w:numPr>
        <w:shd w:val="clear" w:fill="FFFFFF"/>
        <w:ind w:left="473" w:right="0" w:hanging="0"/>
        <w:rPr/>
      </w:pPr>
      <w:r>
        <w:rPr/>
        <w:t>O Contratado</w:t>
      </w:r>
      <w:r>
        <w:rPr>
          <w:color w:val="000000"/>
        </w:rPr>
        <w:t xml:space="preserve"> </w:t>
      </w:r>
      <w:r>
        <w:rPr>
          <w:i/>
          <w:color w:val="000000"/>
        </w:rPr>
        <w:t>não necessitará</w:t>
      </w:r>
      <w:r>
        <w:rPr>
          <w:color w:val="000000"/>
        </w:rPr>
        <w:t xml:space="preserve"> </w:t>
      </w:r>
      <w:r>
        <w:rPr/>
        <w:t xml:space="preserve">manter preposto da empresa no local da execução do objeto </w:t>
      </w:r>
      <w:r>
        <w:rPr>
          <w:i/>
          <w:color w:val="000000"/>
        </w:rPr>
        <w:t>durante o período.</w:t>
      </w:r>
    </w:p>
    <w:p>
      <w:pPr>
        <w:pStyle w:val="Nvel02"/>
        <w:numPr>
          <w:ilvl w:val="1"/>
          <w:numId w:val="2"/>
        </w:numPr>
        <w:shd w:val="clear" w:fill="FFFFFF"/>
        <w:ind w:left="473" w:right="0" w:hanging="0"/>
        <w:rPr/>
      </w:pPr>
      <w:r>
        <w:rPr>
          <w:color w:val="000000"/>
        </w:rPr>
        <w:t>O Contratante poderá recusar, desde que justificadamente, a indicação ou a manutenção do p</w:t>
      </w:r>
      <w:r>
        <w:rPr/>
        <w:t>reposto da empresa, hipótese em que o Contratado designará outro para o exercício da atividade.</w:t>
      </w:r>
    </w:p>
    <w:p>
      <w:pPr>
        <w:pStyle w:val="Nvel1SemNumerao"/>
        <w:shd w:val="clear" w:fill="FFFFFF"/>
        <w:ind w:left="1080" w:right="0" w:hanging="0"/>
        <w:rPr/>
      </w:pPr>
      <w:r>
        <w:rPr/>
        <w:t>Rotinas de Fiscalização</w:t>
      </w:r>
    </w:p>
    <w:p>
      <w:pPr>
        <w:pStyle w:val="Nvel02"/>
        <w:numPr>
          <w:ilvl w:val="1"/>
          <w:numId w:val="2"/>
        </w:numPr>
        <w:shd w:val="clear" w:fill="FFFFFF"/>
        <w:ind w:left="473" w:right="0" w:hanging="0"/>
        <w:rPr/>
      </w:pPr>
      <w:r>
        <w:rPr/>
        <w:t>A execução do contrato deverá ser acompanhada e fiscalizada pelo(s) fiscal(is) do contrato, ou pelos respectivos substitutos.</w:t>
      </w:r>
    </w:p>
    <w:p>
      <w:pPr>
        <w:pStyle w:val="Nvel1SemNumerao"/>
        <w:shd w:val="clear" w:fill="FFFFFF"/>
        <w:ind w:left="1080" w:right="0" w:hanging="0"/>
        <w:rPr/>
      </w:pPr>
      <w:r>
        <w:rPr/>
        <w:t>Fiscalização Técnica</w:t>
      </w:r>
    </w:p>
    <w:p>
      <w:pPr>
        <w:pStyle w:val="Nvel02"/>
        <w:numPr>
          <w:ilvl w:val="1"/>
          <w:numId w:val="2"/>
        </w:numPr>
        <w:shd w:val="clear" w:fill="FFFFFF"/>
        <w:ind w:left="473" w:right="0" w:hanging="0"/>
        <w:rPr/>
      </w:pPr>
      <w:r>
        <w:rPr/>
        <w:t>O fiscal técnico do contrato acompanhará a execução do contrato, para que sejam cumpridas todas as condições estabelecidas no contrato, de modo a assegurar os melhores resultados para a Administração.</w:t>
      </w:r>
    </w:p>
    <w:p>
      <w:pPr>
        <w:pStyle w:val="Nvel02"/>
        <w:numPr>
          <w:ilvl w:val="1"/>
          <w:numId w:val="2"/>
        </w:numPr>
        <w:shd w:val="clear" w:fill="FFFFFF"/>
        <w:ind w:left="473" w:right="0" w:hanging="0"/>
        <w:rPr/>
      </w:pPr>
      <w:r>
        <w:rPr/>
        <w:t>O fiscal técnico do contrato anotará no histórico de gerenciamento do contrato todas as ocorrências relacionadas à execução do contrato, com a descrição do que for necessário para a regularização das faltas ou dos defeitos observados.</w:t>
      </w:r>
    </w:p>
    <w:p>
      <w:pPr>
        <w:pStyle w:val="Nvel02"/>
        <w:numPr>
          <w:ilvl w:val="1"/>
          <w:numId w:val="2"/>
        </w:numPr>
        <w:shd w:val="clear" w:fill="FFFFFF"/>
        <w:ind w:left="473" w:right="0" w:hanging="0"/>
        <w:rPr/>
      </w:pPr>
      <w:r>
        <w:rPr/>
        <w:t>Identificada qualquer inexatidão ou irregularidade, o fiscal técnico do contrato emitirá notificações para a correção da execução do contrato, determinando prazo para a correção.</w:t>
      </w:r>
    </w:p>
    <w:p>
      <w:pPr>
        <w:pStyle w:val="Nvel02"/>
        <w:numPr>
          <w:ilvl w:val="1"/>
          <w:numId w:val="2"/>
        </w:numPr>
        <w:shd w:val="clear" w:fill="FFFFFF"/>
        <w:ind w:left="473" w:right="0" w:hanging="0"/>
        <w:rPr/>
      </w:pPr>
      <w:r>
        <w:rPr/>
        <w:t>O fiscal técnico do contrato informará ao gestor do contato, em tempo hábil, a situação que demandar decisão ou adoção de medidas que ultrapassem sua competência, para que adote as medidas necessárias e saneadoras, se for o caso.</w:t>
      </w:r>
    </w:p>
    <w:p>
      <w:pPr>
        <w:pStyle w:val="Nvel02"/>
        <w:numPr>
          <w:ilvl w:val="1"/>
          <w:numId w:val="2"/>
        </w:numPr>
        <w:shd w:val="clear" w:fill="FFFFFF"/>
        <w:ind w:left="473" w:right="0" w:hanging="0"/>
        <w:rPr/>
      </w:pPr>
      <w:r>
        <w:rPr/>
        <w:t>No caso de ocorrências que possam inviabilizar a execução do contrato nas datas aprazadas, o fiscal técnico do contrato comunicará o fato imediatamente ao gestor do contrato.</w:t>
      </w:r>
    </w:p>
    <w:p>
      <w:pPr>
        <w:pStyle w:val="Nvel02"/>
        <w:numPr>
          <w:ilvl w:val="1"/>
          <w:numId w:val="2"/>
        </w:numPr>
        <w:shd w:val="clear" w:fill="FFFFFF"/>
        <w:ind w:left="473" w:right="0" w:hanging="0"/>
        <w:rPr/>
      </w:pPr>
      <w:r>
        <w:rPr/>
        <w:t xml:space="preserve">O fiscal técnico do contrato comunicará ao gestor do contrato, em tempo hábil, o término do contrato sob sua responsabilidade, com vistas à tempestiva </w:t>
      </w:r>
      <w:r>
        <w:rPr>
          <w:rFonts w:eastAsia="Times New Roman"/>
        </w:rPr>
        <w:t xml:space="preserve">renovação </w:t>
      </w:r>
      <w:r>
        <w:rPr/>
        <w:t>ou à prorrogação contratual.</w:t>
      </w:r>
    </w:p>
    <w:p>
      <w:pPr>
        <w:pStyle w:val="Nvel02"/>
        <w:numPr>
          <w:ilvl w:val="1"/>
          <w:numId w:val="2"/>
        </w:numPr>
        <w:shd w:val="clear" w:fill="FFFFFF"/>
        <w:ind w:left="473" w:right="0" w:hanging="0"/>
        <w:rPr/>
      </w:pPr>
      <w:r>
        <w:rPr/>
        <w:t xml:space="preserve">A fiscalização de que trata esta cláusula não exclui nem reduz a responsabilidade do Contratado, inclusive perante terceiros, por qualquer irregularidade, ainda que resultante de imperfeições técnicas, vícios redibitórios, ou emprego de material inadequado ou de qualidade inferior e, na ocorrência desta, não implica corresponsabilidade do Contratante ou de seus agentes, gestores e fiscais, de conformidade. </w:t>
      </w:r>
    </w:p>
    <w:p>
      <w:pPr>
        <w:pStyle w:val="Nvel02"/>
        <w:numPr>
          <w:ilvl w:val="1"/>
          <w:numId w:val="2"/>
        </w:numPr>
        <w:shd w:val="clear" w:fill="FFFFFF"/>
        <w:ind w:left="473" w:right="0" w:hanging="0"/>
        <w:rPr/>
      </w:pPr>
      <w:r>
        <w:rPr/>
        <w:t>As disposições previstas neste Termo de Referência não excluem o disposto no Anexo VIII da Instrução Normativa SEGES/MP nº 05, de 2017, aplicável no que for pertinente à contratação, por força da Instrução Normativa Seges/ME nº 98, de 26 de dezembro de 2022.</w:t>
      </w:r>
    </w:p>
    <w:p>
      <w:pPr>
        <w:pStyle w:val="Nvel2Opcional1"/>
        <w:shd w:val="clear" w:fill="FFFFFF"/>
        <w:ind w:left="1193" w:right="0" w:hanging="0"/>
        <w:rPr>
          <w:shd w:fill="C0C0C0" w:val="clear"/>
        </w:rPr>
      </w:pPr>
      <w:r>
        <w:rPr>
          <w:shd w:fill="C0C0C0" w:val="clear"/>
        </w:rPr>
      </w:r>
    </w:p>
    <w:p>
      <w:pPr>
        <w:pStyle w:val="Nvel1SemNumerao"/>
        <w:shd w:val="clear" w:fill="FFFFFF"/>
        <w:ind w:left="1080" w:right="0" w:hanging="0"/>
        <w:rPr/>
      </w:pPr>
      <w:r>
        <w:rPr/>
        <w:t>Fiscalização Administrativa</w:t>
      </w:r>
    </w:p>
    <w:p>
      <w:pPr>
        <w:pStyle w:val="Nvel02"/>
        <w:numPr>
          <w:ilvl w:val="1"/>
          <w:numId w:val="2"/>
        </w:numPr>
        <w:shd w:val="clear" w:fill="FFFFFF"/>
        <w:ind w:left="473" w:right="0" w:hanging="0"/>
        <w:rPr/>
      </w:pPr>
      <w:r>
        <w:rPr/>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pPr>
        <w:pStyle w:val="Nvel02"/>
        <w:numPr>
          <w:ilvl w:val="1"/>
          <w:numId w:val="2"/>
        </w:numPr>
        <w:shd w:val="clear" w:fill="FFFFFF"/>
        <w:ind w:left="473" w:right="0" w:hanging="0"/>
        <w:rPr/>
      </w:pPr>
      <w:r>
        <w:rPr/>
        <w:t>Caso ocorra descumprimento das obrigações contratuais, o fiscal administrativo do contrato atuará tempestivamente na solução do problema, reportando ao gestor do contrato para que tome as providências cabíveis, quando ultrapassar a sua competência.</w:t>
      </w:r>
    </w:p>
    <w:p>
      <w:pPr>
        <w:pStyle w:val="Nvel2Opcional1"/>
        <w:shd w:val="clear" w:fill="FFFFFF"/>
        <w:ind w:left="1193" w:right="0" w:hanging="0"/>
        <w:rPr/>
      </w:pPr>
      <w:r>
        <w:rPr/>
      </w:r>
    </w:p>
    <w:p>
      <w:pPr>
        <w:pStyle w:val="Nvel02"/>
        <w:shd w:val="clear" w:fill="FFFFFF"/>
        <w:ind w:left="1193" w:right="0" w:hanging="0"/>
        <w:rPr>
          <w:rFonts w:eastAsia="Arial" w:cs="Arial"/>
          <w:b/>
          <w:b/>
          <w:i w:val="false"/>
          <w:i w:val="false"/>
          <w:iCs w:val="false"/>
          <w:color w:val="auto"/>
          <w:kern w:val="0"/>
          <w:sz w:val="20"/>
          <w:szCs w:val="20"/>
          <w:lang w:val="pt-BR" w:eastAsia="en-US" w:bidi="ar-SA"/>
        </w:rPr>
      </w:pPr>
      <w:r>
        <w:rPr>
          <w:rFonts w:eastAsia="Arial" w:cs="Arial"/>
          <w:b/>
          <w:i w:val="false"/>
          <w:iCs w:val="false"/>
          <w:color w:val="auto"/>
          <w:kern w:val="0"/>
          <w:sz w:val="20"/>
          <w:szCs w:val="20"/>
          <w:lang w:val="pt-BR" w:eastAsia="en-US" w:bidi="ar-SA"/>
        </w:rPr>
        <w:t>Cabe ao gestor do contrato:</w:t>
      </w:r>
    </w:p>
    <w:p>
      <w:pPr>
        <w:pStyle w:val="Nivel3"/>
        <w:numPr>
          <w:ilvl w:val="1"/>
          <w:numId w:val="2"/>
        </w:numPr>
        <w:ind w:left="284" w:right="0" w:hanging="0"/>
        <w:rPr/>
      </w:pPr>
      <w:r>
        <w:rPr/>
        <w:t>coordenar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pPr>
        <w:pStyle w:val="Nivel3"/>
        <w:numPr>
          <w:ilvl w:val="1"/>
          <w:numId w:val="2"/>
        </w:numPr>
        <w:ind w:left="284" w:right="0" w:hanging="0"/>
        <w:rPr/>
      </w:pPr>
      <w:r>
        <w:rPr/>
        <w:t>acompanhar os registros realizados pelos fiscais do contrato, de todas as ocorrências relacionadas à execução do contrato e as medidas adotadas, informando, se for o caso, à autoridade superior àquelas que ultrapassarem a sua competência.</w:t>
      </w:r>
    </w:p>
    <w:p>
      <w:pPr>
        <w:pStyle w:val="Nivel3"/>
        <w:numPr>
          <w:ilvl w:val="1"/>
          <w:numId w:val="2"/>
        </w:numPr>
        <w:ind w:left="284" w:right="0" w:hanging="0"/>
        <w:rPr/>
      </w:pPr>
      <w:r>
        <w:rPr/>
        <w:t>acompanhar a manutenção das condições de habilitação da contratada, para fins de empenho de despesa e pagamento, e anotará os problemas que obstem o fluxo normal da liquidação e do pagamento da despesa no relatório de riscos eventuais.</w:t>
      </w:r>
    </w:p>
    <w:p>
      <w:pPr>
        <w:pStyle w:val="Nivel3"/>
        <w:numPr>
          <w:ilvl w:val="1"/>
          <w:numId w:val="2"/>
        </w:numPr>
        <w:ind w:left="284" w:right="0" w:hanging="0"/>
        <w:rPr/>
      </w:pPr>
      <w:r>
        <w:rPr/>
        <w:t>emitir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w:t>
      </w:r>
    </w:p>
    <w:p>
      <w:pPr>
        <w:pStyle w:val="Nivel3"/>
        <w:numPr>
          <w:ilvl w:val="1"/>
          <w:numId w:val="2"/>
        </w:numPr>
        <w:ind w:left="284" w:right="0" w:hanging="0"/>
        <w:rPr/>
      </w:pPr>
      <w:r>
        <w:rPr/>
        <w:t>tomar providências para a formalização de processo administrativo de responsabilização para fins de aplicação de sanções, a ser conduzido pela comissão de que trata o art. 158 da Lei nº 14.133, de 2021, ou pelo agente ou pelo setor com competência para tal, conforme o caso.</w:t>
      </w:r>
    </w:p>
    <w:p>
      <w:pPr>
        <w:pStyle w:val="Nivel3"/>
        <w:numPr>
          <w:ilvl w:val="1"/>
          <w:numId w:val="2"/>
        </w:numPr>
        <w:ind w:left="284" w:right="0" w:hanging="0"/>
        <w:rPr/>
      </w:pPr>
      <w:r>
        <w:rPr/>
        <w:t>elaborar relatório final com informações sobre a consecução dos objetivos que tenham justificado a contratação e eventuais condutas a serem adotadas para o aprimoramento das atividades da Administração.</w:t>
      </w:r>
    </w:p>
    <w:p>
      <w:pPr>
        <w:pStyle w:val="Nivel3"/>
        <w:numPr>
          <w:ilvl w:val="1"/>
          <w:numId w:val="2"/>
        </w:numPr>
        <w:ind w:left="284" w:right="0" w:hanging="0"/>
        <w:rPr/>
      </w:pPr>
      <w:r>
        <w:rPr/>
        <w:t>enviar a documentação pertinente ao setor de contratos para a formalização dos procedimentos de liquidação e pagamento, no valor dimensionado pela fiscalização e gestão nos termos do contrato.</w:t>
      </w:r>
    </w:p>
    <w:p>
      <w:pPr>
        <w:pStyle w:val="Nivel3"/>
        <w:numPr>
          <w:ilvl w:val="1"/>
          <w:numId w:val="2"/>
        </w:numPr>
        <w:ind w:left="284" w:right="0" w:hanging="0"/>
        <w:rPr>
          <w:color w:val="000000"/>
        </w:rPr>
      </w:pPr>
      <w:r>
        <w:rPr>
          <w:color w:val="000000"/>
        </w:rPr>
        <w:t>receber e dar encaminhamento imediato:</w:t>
      </w:r>
    </w:p>
    <w:p>
      <w:pPr>
        <w:pStyle w:val="Nivel4"/>
        <w:numPr>
          <w:ilvl w:val="2"/>
          <w:numId w:val="2"/>
        </w:numPr>
        <w:ind w:left="927" w:right="0" w:hanging="0"/>
        <w:rPr>
          <w:color w:val="000000"/>
        </w:rPr>
      </w:pPr>
      <w:r>
        <w:rPr>
          <w:color w:val="000000"/>
        </w:rPr>
        <w:t xml:space="preserve">às denúncias de discriminação, violência e assédio no ambiente de trabalho, conforme o art. 2º, inciso III, do Decreto n.º 12.174/2024; </w:t>
      </w:r>
    </w:p>
    <w:p>
      <w:pPr>
        <w:pStyle w:val="Nivel4"/>
        <w:numPr>
          <w:ilvl w:val="2"/>
          <w:numId w:val="2"/>
        </w:numPr>
        <w:ind w:left="927" w:right="0" w:hanging="0"/>
        <w:rPr>
          <w:color w:val="000000"/>
        </w:rPr>
      </w:pPr>
      <w:r>
        <w:rPr>
          <w:color w:val="000000"/>
        </w:rPr>
        <w:t>à notificação formal de que a empresa contratada está descumprindo suas obrigações trabalhistas, enviada pelo trabalhador, sindicato, Ministério do Trabalho, Ministério Público, Defensoria Pública ou por qualquer outro meio idôneo.</w:t>
      </w:r>
    </w:p>
    <w:p>
      <w:pPr>
        <w:pStyle w:val="Nvel2Opcional1"/>
        <w:shd w:val="clear" w:fill="FFFFFF"/>
        <w:ind w:left="1193" w:right="0" w:hanging="0"/>
        <w:rPr>
          <w:shd w:fill="C0C0C0" w:val="clear"/>
        </w:rPr>
      </w:pPr>
      <w:r>
        <w:rPr>
          <w:shd w:fill="C0C0C0" w:val="clear"/>
        </w:rPr>
      </w:r>
    </w:p>
    <w:p>
      <w:pPr>
        <w:pStyle w:val="Nivel01"/>
        <w:numPr>
          <w:ilvl w:val="0"/>
          <w:numId w:val="2"/>
        </w:numPr>
        <w:shd w:val="clear" w:fill="FFFFFF"/>
        <w:ind w:left="357" w:right="0" w:hanging="357"/>
        <w:rPr/>
      </w:pPr>
      <w:r>
        <w:rPr/>
        <w:t>CRITÉRIOS DE MEDIÇÃO E PAGAMENTO</w:t>
      </w:r>
    </w:p>
    <w:p>
      <w:pPr>
        <w:pStyle w:val="Nvel2Opcional1"/>
        <w:numPr>
          <w:ilvl w:val="1"/>
          <w:numId w:val="2"/>
        </w:numPr>
        <w:shd w:val="clear" w:fill="FFFFFF"/>
        <w:ind w:left="473" w:right="0" w:hanging="0"/>
        <w:rPr>
          <w:color w:val="000000"/>
        </w:rPr>
      </w:pPr>
      <w:r>
        <w:rPr>
          <w:color w:val="000000"/>
        </w:rPr>
        <w:t>A avaliação da execução do serviço utilizará o disposto neste item.</w:t>
      </w:r>
    </w:p>
    <w:p>
      <w:pPr>
        <w:pStyle w:val="Nvel02"/>
        <w:numPr>
          <w:ilvl w:val="1"/>
          <w:numId w:val="2"/>
        </w:numPr>
        <w:shd w:val="clear" w:fill="FFFFFF"/>
        <w:ind w:left="473" w:right="0" w:hanging="0"/>
        <w:rPr/>
      </w:pPr>
      <w:r>
        <w:rPr/>
        <w:t>Será indicada a retenção ou glosa no pagamento, proporcional à irregularidade verificada, sem prejuízo das sanções cabíveis, caso se constate que o Contratado:</w:t>
      </w:r>
    </w:p>
    <w:p>
      <w:pPr>
        <w:pStyle w:val="Nivel3"/>
        <w:widowControl/>
        <w:numPr>
          <w:ilvl w:val="1"/>
          <w:numId w:val="2"/>
        </w:numPr>
        <w:bidi w:val="0"/>
        <w:spacing w:lineRule="auto" w:line="276" w:before="120" w:after="120"/>
        <w:ind w:left="510" w:right="0" w:hanging="0"/>
        <w:jc w:val="both"/>
        <w:rPr/>
      </w:pPr>
      <w:r>
        <w:rPr/>
        <w:t>não produziu os resultados acordados,</w:t>
      </w:r>
    </w:p>
    <w:p>
      <w:pPr>
        <w:pStyle w:val="Nivel3"/>
        <w:numPr>
          <w:ilvl w:val="2"/>
          <w:numId w:val="2"/>
        </w:numPr>
        <w:ind w:left="284" w:right="0" w:hanging="0"/>
        <w:rPr/>
      </w:pPr>
      <w:r>
        <w:rPr/>
        <w:t>deixou de executar, ou não executou com a qualidade mínima exigida as atividades contratadas; ou</w:t>
      </w:r>
    </w:p>
    <w:p>
      <w:pPr>
        <w:pStyle w:val="Nivel3"/>
        <w:numPr>
          <w:ilvl w:val="2"/>
          <w:numId w:val="2"/>
        </w:numPr>
        <w:ind w:left="284" w:right="0" w:hanging="0"/>
        <w:rPr/>
      </w:pPr>
      <w:r>
        <w:rPr/>
        <w:t>deixou de utilizar materiais e recursos humanos exigidos para a execução do serviço, ou os utilizou com qualidade ou quantidade inferior à demandada.</w:t>
      </w:r>
    </w:p>
    <w:p>
      <w:pPr>
        <w:pStyle w:val="Nvel2Opcional1"/>
        <w:numPr>
          <w:ilvl w:val="1"/>
          <w:numId w:val="2"/>
        </w:numPr>
        <w:shd w:val="clear" w:fill="FFFFFF"/>
        <w:ind w:left="473" w:right="0" w:hanging="0"/>
        <w:rPr>
          <w:color w:val="000000"/>
        </w:rPr>
      </w:pPr>
      <w:r>
        <w:rPr>
          <w:color w:val="000000"/>
        </w:rPr>
        <w:t>A utilização do IMR não impede a aplicação concomitante de outros mecanismos para a avaliação da prestação dos serviços.</w:t>
      </w:r>
    </w:p>
    <w:p>
      <w:pPr>
        <w:pStyle w:val="Nvel2Opcional1"/>
        <w:shd w:val="clear" w:fill="FFFFFF"/>
        <w:ind w:left="1193" w:right="0" w:hanging="0"/>
        <w:rPr/>
      </w:pPr>
      <w:r>
        <w:rPr/>
      </w:r>
    </w:p>
    <w:p>
      <w:pPr>
        <w:pStyle w:val="Nvel1SemNumerao"/>
        <w:shd w:val="clear" w:fill="FFFFFF"/>
        <w:ind w:left="1080" w:right="0" w:hanging="0"/>
        <w:rPr/>
      </w:pPr>
      <w:r>
        <w:rPr/>
        <w:t>Do recebimento</w:t>
      </w:r>
    </w:p>
    <w:p>
      <w:pPr>
        <w:pStyle w:val="Nvel02"/>
        <w:numPr>
          <w:ilvl w:val="1"/>
          <w:numId w:val="2"/>
        </w:numPr>
        <w:shd w:val="clear" w:fill="FFFFFF"/>
        <w:ind w:left="473" w:right="0" w:hanging="0"/>
        <w:rPr/>
      </w:pPr>
      <w:r>
        <w:rPr/>
        <w:t>O</w:t>
      </w:r>
      <w:r>
        <w:rPr>
          <w:lang w:eastAsia="en-US"/>
        </w:rPr>
        <w:t>s serviços serão recebidos provisoriamente, no prazo de 10</w:t>
      </w:r>
      <w:r>
        <w:rPr>
          <w:i/>
          <w:color w:val="FF0000"/>
          <w:lang w:eastAsia="en-US"/>
        </w:rPr>
        <w:t xml:space="preserve"> </w:t>
      </w:r>
      <w:r>
        <w:rPr>
          <w:i/>
          <w:color w:val="000000"/>
          <w:lang w:eastAsia="en-US"/>
        </w:rPr>
        <w:t>(dez)</w:t>
      </w:r>
      <w:r>
        <w:rPr>
          <w:i/>
          <w:color w:val="FF0000"/>
          <w:lang w:eastAsia="en-US"/>
        </w:rPr>
        <w:t xml:space="preserve"> </w:t>
      </w:r>
      <w:r>
        <w:rPr>
          <w:lang w:eastAsia="en-US"/>
        </w:rPr>
        <w:t>dias, pelos fiscais técnico e administrativo, mediante termos detalhados, quando verificado o cumprimento das exigências de caráter técnico e administrativo.</w:t>
      </w:r>
    </w:p>
    <w:p>
      <w:pPr>
        <w:pStyle w:val="Nvel02"/>
        <w:numPr>
          <w:ilvl w:val="1"/>
          <w:numId w:val="2"/>
        </w:numPr>
        <w:shd w:val="clear" w:fill="FFFFFF"/>
        <w:ind w:left="473" w:right="0" w:hanging="0"/>
        <w:rPr>
          <w:lang w:eastAsia="en-US"/>
        </w:rPr>
      </w:pPr>
      <w:r>
        <w:rPr>
          <w:lang w:eastAsia="en-US"/>
        </w:rPr>
        <w:t>O prazo para recebimento provisório será contado do recebimento de comunicação de cobrança oriunda do Contratado com a comprovação da prestação dos serviços a que se referem a parcela a ser paga.</w:t>
      </w:r>
    </w:p>
    <w:p>
      <w:pPr>
        <w:pStyle w:val="Nvel02"/>
        <w:numPr>
          <w:ilvl w:val="1"/>
          <w:numId w:val="2"/>
        </w:numPr>
        <w:shd w:val="clear" w:fill="FFFFFF"/>
        <w:ind w:left="473" w:right="0" w:hanging="0"/>
        <w:rPr>
          <w:lang w:eastAsia="en-US"/>
        </w:rPr>
      </w:pPr>
      <w:r>
        <w:rPr>
          <w:lang w:eastAsia="en-US"/>
        </w:rPr>
        <w:t>O fiscal técnico do contrato realizará o recebimento provisório do objeto do contrato mediante termo detalhado que comprove o cumprimento das exigências de caráter técnico.</w:t>
      </w:r>
    </w:p>
    <w:p>
      <w:pPr>
        <w:pStyle w:val="Nvel02"/>
        <w:numPr>
          <w:ilvl w:val="1"/>
          <w:numId w:val="2"/>
        </w:numPr>
        <w:shd w:val="clear" w:fill="FFFFFF"/>
        <w:ind w:left="473" w:right="0" w:hanging="0"/>
        <w:rPr>
          <w:lang w:eastAsia="en-US"/>
        </w:rPr>
      </w:pPr>
      <w:r>
        <w:rPr>
          <w:lang w:eastAsia="en-US"/>
        </w:rPr>
        <w:t>O fiscal administrativo do contrato realizará o recebimento provisório do objeto do contrato mediante termo detalhado que comprove o cumprimento das exigências de caráter administrativo.</w:t>
      </w:r>
    </w:p>
    <w:p>
      <w:pPr>
        <w:pStyle w:val="Nvel02"/>
        <w:numPr>
          <w:ilvl w:val="1"/>
          <w:numId w:val="2"/>
        </w:numPr>
        <w:shd w:val="clear" w:fill="FFFFFF"/>
        <w:ind w:left="473" w:right="0" w:hanging="0"/>
        <w:rPr>
          <w:lang w:eastAsia="en-US"/>
        </w:rPr>
      </w:pPr>
      <w:r>
        <w:rPr>
          <w:lang w:eastAsia="en-US"/>
        </w:rPr>
        <w:t>O fiscal setorial do contrato, quando houver, realizará o recebimento provisório sob o ponto de vista técnico e administrativo.</w:t>
      </w:r>
    </w:p>
    <w:p>
      <w:pPr>
        <w:pStyle w:val="Nvel02"/>
        <w:numPr>
          <w:ilvl w:val="1"/>
          <w:numId w:val="2"/>
        </w:numPr>
        <w:shd w:val="clear" w:fill="FFFFFF"/>
        <w:ind w:left="473" w:right="0" w:hanging="0"/>
        <w:rPr/>
      </w:pPr>
      <w:r>
        <w:rPr/>
        <w:t>Para efeito de recebimento provisório, será considerado para fins de faturamento o período a ser apurado:</w:t>
      </w:r>
    </w:p>
    <w:p>
      <w:pPr>
        <w:pStyle w:val="Nvel02"/>
        <w:numPr>
          <w:ilvl w:val="1"/>
          <w:numId w:val="2"/>
        </w:numPr>
        <w:shd w:val="clear" w:fill="FFFFFF"/>
        <w:ind w:left="473" w:right="0" w:hanging="0"/>
        <w:rPr/>
      </w:pPr>
      <w:r>
        <w:rPr/>
        <w:t>Ao final de cada período/evento de faturamento:</w:t>
      </w:r>
    </w:p>
    <w:p>
      <w:pPr>
        <w:pStyle w:val="Nivel3"/>
        <w:numPr>
          <w:ilvl w:val="2"/>
          <w:numId w:val="2"/>
        </w:numPr>
        <w:ind w:left="284" w:right="0" w:hanging="0"/>
        <w:rPr/>
      </w:pPr>
      <w:r>
        <w:rPr/>
        <w:t>o fiscal técnico do contrato deverá apurar o resultado das avaliações da execução do objeto e, se for o caso, a análise do desempenho e qualidade da prestação dos serviços realizados em consonância com os indicadores previstos no ato convocatório, que poderá resultar no redimensionamento de valores a serem pagos à contratada, registrando em relatório a ser encaminhado ao gestor do contrato;</w:t>
      </w:r>
    </w:p>
    <w:p>
      <w:pPr>
        <w:pStyle w:val="Nivel3"/>
        <w:ind w:left="284" w:right="0" w:hanging="0"/>
        <w:rPr>
          <w:shd w:fill="C0C0C0" w:val="clear"/>
        </w:rPr>
      </w:pPr>
      <w:r>
        <w:rPr>
          <w:shd w:fill="C0C0C0" w:val="clear"/>
        </w:rPr>
      </w:r>
    </w:p>
    <w:p>
      <w:pPr>
        <w:pStyle w:val="Nvel02"/>
        <w:numPr>
          <w:ilvl w:val="2"/>
          <w:numId w:val="2"/>
        </w:numPr>
        <w:shd w:val="clear" w:fill="FFFFFF"/>
        <w:ind w:left="473" w:right="0" w:hanging="0"/>
        <w:rPr/>
      </w:pPr>
      <w:r>
        <w:rPr/>
        <w:t>Será considerado como ocorrido o recebimento provisório com a entrega do termo detalhado ou, em havendo mais de um a ser feito, com a entrega do último.</w:t>
      </w:r>
    </w:p>
    <w:p>
      <w:pPr>
        <w:pStyle w:val="Nvel02"/>
        <w:numPr>
          <w:ilvl w:val="2"/>
          <w:numId w:val="2"/>
        </w:numPr>
        <w:shd w:val="clear" w:fill="FFFFFF"/>
        <w:ind w:left="473" w:right="0" w:hanging="0"/>
        <w:rPr>
          <w:lang w:eastAsia="en-US"/>
        </w:rPr>
      </w:pPr>
      <w:r>
        <w:rPr>
          <w:lang w:eastAsia="en-US"/>
        </w:rPr>
        <w:t>O Contratado fica obrigado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w:t>
      </w:r>
    </w:p>
    <w:p>
      <w:pPr>
        <w:pStyle w:val="Nvel02"/>
        <w:numPr>
          <w:ilvl w:val="2"/>
          <w:numId w:val="2"/>
        </w:numPr>
        <w:shd w:val="clear" w:fill="FFFFFF"/>
        <w:ind w:left="473" w:right="0" w:hanging="0"/>
        <w:rPr>
          <w:lang w:eastAsia="en-US"/>
        </w:rPr>
      </w:pPr>
      <w:r>
        <w:rPr>
          <w:lang w:eastAsia="en-US"/>
        </w:rPr>
        <w:t>A fiscalização não efetuará o ateste da última e/ou única medição de serviços até que sejam sanadas todas as eventuais pendências que possam vir a ser apontadas no recebimento provisório.</w:t>
      </w:r>
    </w:p>
    <w:p>
      <w:pPr>
        <w:pStyle w:val="Nvel02"/>
        <w:widowControl/>
        <w:numPr>
          <w:ilvl w:val="2"/>
          <w:numId w:val="2"/>
        </w:numPr>
        <w:shd w:val="clear" w:fill="FFFFFF"/>
        <w:bidi w:val="0"/>
        <w:spacing w:lineRule="auto" w:line="276"/>
        <w:ind w:left="473" w:right="0" w:hanging="0"/>
        <w:jc w:val="both"/>
        <w:rPr>
          <w:lang w:eastAsia="en-US"/>
        </w:rPr>
      </w:pPr>
      <w:r>
        <w:rPr>
          <w:lang w:eastAsia="en-US"/>
        </w:rPr>
        <w:t>O recebimento provisório também ficará sujeito, quando cabível, à conclusão de todos os testes de campo e à entrega dos Manuais e Instruções exigíveis.</w:t>
      </w:r>
    </w:p>
    <w:p>
      <w:pPr>
        <w:pStyle w:val="Nvel02"/>
        <w:numPr>
          <w:ilvl w:val="2"/>
          <w:numId w:val="2"/>
        </w:numPr>
        <w:shd w:val="clear" w:fill="FFFFFF"/>
        <w:ind w:left="473" w:right="0" w:hanging="0"/>
        <w:rPr>
          <w:lang w:eastAsia="en-US"/>
        </w:rPr>
      </w:pPr>
      <w:r>
        <w:rPr>
          <w:lang w:eastAsia="en-US"/>
        </w:rPr>
        <w:t>Os serviços poderão ser rejeitados, no todo ou em parte, quando em desacordo com as especificações constantes neste Termo de Referência e na proposta, sem prejuízo da aplicação das penalidades.</w:t>
      </w:r>
    </w:p>
    <w:p>
      <w:pPr>
        <w:pStyle w:val="Nvel02"/>
        <w:numPr>
          <w:ilvl w:val="2"/>
          <w:numId w:val="2"/>
        </w:numPr>
        <w:shd w:val="clear" w:fill="FFFFFF"/>
        <w:ind w:left="473" w:right="0" w:hanging="0"/>
        <w:rPr>
          <w:lang w:eastAsia="en-US"/>
        </w:rPr>
      </w:pPr>
      <w:r>
        <w:rPr>
          <w:lang w:eastAsia="en-US"/>
        </w:rPr>
        <w:t>Quando a fiscalização for exercida por um único servidor, o Termo Detalhado deverá conter o registro, a análise e a conclusão acerca das ocorrências na execução do contrato, em relação à fiscalização técnica e administrativa e demais documentos que julgar necessários, devendo encaminhá-los ao gestor do contrato para recebimento definitivo.</w:t>
      </w:r>
    </w:p>
    <w:p>
      <w:pPr>
        <w:pStyle w:val="Nvel02"/>
        <w:numPr>
          <w:ilvl w:val="2"/>
          <w:numId w:val="2"/>
        </w:numPr>
        <w:shd w:val="clear" w:fill="FFFFFF"/>
        <w:ind w:left="473" w:right="0" w:hanging="0"/>
        <w:rPr/>
      </w:pPr>
      <w:r>
        <w:rPr>
          <w:lang w:eastAsia="en-US"/>
        </w:rPr>
        <w:t>Os serviços serão recebidos definitivamente no prazo de</w:t>
      </w:r>
      <w:r>
        <w:rPr>
          <w:color w:val="000000"/>
          <w:lang w:eastAsia="en-US"/>
        </w:rPr>
        <w:t xml:space="preserve"> </w:t>
      </w:r>
      <w:r>
        <w:rPr>
          <w:i/>
          <w:color w:val="000000"/>
          <w:lang w:eastAsia="en-US"/>
        </w:rPr>
        <w:t>10</w:t>
      </w:r>
      <w:r>
        <w:rPr>
          <w:color w:val="000000"/>
          <w:lang w:eastAsia="en-US"/>
        </w:rPr>
        <w:t xml:space="preserve"> (</w:t>
      </w:r>
      <w:r>
        <w:rPr>
          <w:i/>
          <w:color w:val="000000"/>
          <w:lang w:eastAsia="en-US"/>
        </w:rPr>
        <w:t>dez</w:t>
      </w:r>
      <w:r>
        <w:rPr>
          <w:color w:val="000000"/>
          <w:lang w:eastAsia="en-US"/>
        </w:rPr>
        <w:t xml:space="preserve">) </w:t>
      </w:r>
      <w:r>
        <w:rPr>
          <w:lang w:eastAsia="en-US"/>
        </w:rPr>
        <w:t>dias, contados do recebimento provisório, por servidor ou comissão designada pela autoridade competente, após a verificação da qualidade e quantidade do serviço e consequente aceitação mediante termo detalhado, obedecendo os seguintes procedimentos:</w:t>
      </w:r>
    </w:p>
    <w:p>
      <w:pPr>
        <w:pStyle w:val="Nivel3"/>
        <w:numPr>
          <w:ilvl w:val="1"/>
          <w:numId w:val="2"/>
        </w:numPr>
        <w:ind w:left="284" w:right="0" w:hanging="0"/>
        <w:rPr/>
      </w:pPr>
      <w:r>
        <w:rPr/>
        <w:t>Emitir documento comprobatório da avaliação realizada pelos fiscais técnico, administrativo e setorial, quando houver, no cumprimento de obrigações assumidas pelo Contratado, com menção ao seu desempenho na execução contratual, baseado em indicadores objetivamente definidos e aferidos, e a eventuais penalidades aplicadas, devendo constar do cadastro de atesto de cumprimento de obrigações, conforme regulamento.</w:t>
      </w:r>
    </w:p>
    <w:p>
      <w:pPr>
        <w:pStyle w:val="Nivel3"/>
        <w:numPr>
          <w:ilvl w:val="1"/>
          <w:numId w:val="2"/>
        </w:numPr>
        <w:ind w:left="284" w:right="0" w:hanging="0"/>
        <w:rPr/>
      </w:pPr>
      <w:r>
        <w:rPr/>
        <w:t>Realizar a análise dos relatórios e de toda a documentação apresentada pela fiscalização e, caso haja irregularidades que impeçam a liquidação e o pagamento da despesa, indicar as cláusulas contratuais pertinentes, solicitando ao Contratado, por escrito, as respectivas correções;</w:t>
      </w:r>
    </w:p>
    <w:p>
      <w:pPr>
        <w:pStyle w:val="Nivel3"/>
        <w:numPr>
          <w:ilvl w:val="1"/>
          <w:numId w:val="2"/>
        </w:numPr>
        <w:ind w:left="284" w:right="0" w:hanging="0"/>
        <w:rPr/>
      </w:pPr>
      <w:r>
        <w:rPr/>
        <w:t>Emitir Termo Detalhado para efeito de recebimento definitivo dos serviços prestados, com base nos relatórios e documentações apresentadas; e</w:t>
      </w:r>
    </w:p>
    <w:p>
      <w:pPr>
        <w:pStyle w:val="Nivel3"/>
        <w:numPr>
          <w:ilvl w:val="1"/>
          <w:numId w:val="2"/>
        </w:numPr>
        <w:ind w:left="284" w:right="0" w:hanging="0"/>
        <w:rPr/>
      </w:pPr>
      <w:r>
        <w:rPr/>
        <w:t>Comunicar a empresa para que emita a Nota Fiscal ou Fatura, com o valor exato dimensionado pela fiscalização.</w:t>
      </w:r>
    </w:p>
    <w:p>
      <w:pPr>
        <w:pStyle w:val="Nivel3"/>
        <w:numPr>
          <w:ilvl w:val="1"/>
          <w:numId w:val="2"/>
        </w:numPr>
        <w:ind w:left="284" w:right="0" w:hanging="0"/>
        <w:rPr/>
      </w:pPr>
      <w:r>
        <w:rPr/>
        <w:t>Enviar a documentação pertinente ao setor de contratos para a formalização dos procedimentos de liquidação e pagamento, no valor dimensionado pela fiscalização e gestão.</w:t>
      </w:r>
    </w:p>
    <w:p>
      <w:pPr>
        <w:pStyle w:val="Nvel02"/>
        <w:numPr>
          <w:ilvl w:val="1"/>
          <w:numId w:val="2"/>
        </w:numPr>
        <w:shd w:val="clear" w:fill="FFFFFF"/>
        <w:ind w:left="473" w:right="0" w:hanging="0"/>
        <w:rPr>
          <w:lang w:eastAsia="en-US"/>
        </w:rPr>
      </w:pPr>
      <w:r>
        <w:rPr>
          <w:lang w:eastAsia="en-US"/>
        </w:rPr>
        <w:t>No caso de controvérsia sobre a execução do objeto, quanto à dimensão, qualidade e quantidade, deverá ser observado o teor do art. 143 da Lei nº 14.133, de 2021, comunicando-se à empresa para emissão de Nota Fiscal quanto à parcela incontroversa da execução do objeto, para efeito de liquidação e pagamento.</w:t>
      </w:r>
    </w:p>
    <w:p>
      <w:pPr>
        <w:pStyle w:val="Nvel02"/>
        <w:numPr>
          <w:ilvl w:val="1"/>
          <w:numId w:val="2"/>
        </w:numPr>
        <w:shd w:val="clear" w:fill="FFFFFF"/>
        <w:ind w:left="473" w:right="0" w:hanging="0"/>
        <w:rPr>
          <w:lang w:eastAsia="en-US"/>
        </w:rPr>
      </w:pPr>
      <w:r>
        <w:rPr>
          <w:lang w:eastAsia="en-US"/>
        </w:rPr>
        <w:t>Nenhum prazo de recebimento ocorrerá enquanto pendente a solução, pelo Contratado, de inconsistências verificadas na execução do objeto ou no instrumento de cobrança.</w:t>
      </w:r>
    </w:p>
    <w:p>
      <w:pPr>
        <w:pStyle w:val="Nvel02"/>
        <w:numPr>
          <w:ilvl w:val="1"/>
          <w:numId w:val="2"/>
        </w:numPr>
        <w:shd w:val="clear" w:fill="FFFFFF"/>
        <w:ind w:left="473" w:right="0" w:hanging="0"/>
        <w:rPr>
          <w:lang w:eastAsia="en-US"/>
        </w:rPr>
      </w:pPr>
      <w:r>
        <w:rPr>
          <w:lang w:eastAsia="en-US"/>
        </w:rPr>
        <w:t>O recebimento provisório ou definitivo não excluirá a responsabilidade civil pela solidez e pela segurança do serviço nem a responsabilidade ético-profissional pela perfeita execução do contrato.</w:t>
      </w:r>
    </w:p>
    <w:p>
      <w:pPr>
        <w:pStyle w:val="Nvel1SemNumerao"/>
        <w:shd w:val="clear" w:fill="FFFFFF"/>
        <w:ind w:left="1080" w:right="0" w:hanging="0"/>
        <w:rPr/>
      </w:pPr>
      <w:r>
        <w:rPr/>
        <w:t>Liquidação</w:t>
      </w:r>
    </w:p>
    <w:p>
      <w:pPr>
        <w:pStyle w:val="Nvel02"/>
        <w:numPr>
          <w:ilvl w:val="1"/>
          <w:numId w:val="2"/>
        </w:numPr>
        <w:shd w:val="clear" w:fill="FFFFFF"/>
        <w:ind w:left="473" w:right="0" w:hanging="0"/>
        <w:rPr/>
      </w:pPr>
      <w:r>
        <w:rPr/>
        <w:t>Recebida a Nota Fiscal ou documento de cobrança equivalente, correrá o prazo de dez dias úteis para fins de liquidação, na forma desta seção, prorrogáveis por igual período, nos termos do art. 7º, §3º da Instrução Normativa SEGES/ME nº 77/2022.</w:t>
      </w:r>
    </w:p>
    <w:p>
      <w:pPr>
        <w:pStyle w:val="Nvel02"/>
        <w:numPr>
          <w:ilvl w:val="1"/>
          <w:numId w:val="2"/>
        </w:numPr>
        <w:shd w:val="clear" w:fill="FFFFFF"/>
        <w:ind w:left="473" w:right="0" w:hanging="0"/>
        <w:rPr/>
      </w:pPr>
      <w:r>
        <w:rPr/>
        <w:t>O prazo de que trata o item anterior será reduzido à metade, mantendo-se a possibilidade de prorrogação, nos casos de contratações decorrentes de despesas cujos valores não ultrapassem o limite de que trata o inciso II do art. 75 da Lei nº 14.133, de 2021</w:t>
      </w:r>
    </w:p>
    <w:p>
      <w:pPr>
        <w:pStyle w:val="Nvel02"/>
        <w:numPr>
          <w:ilvl w:val="1"/>
          <w:numId w:val="2"/>
        </w:numPr>
        <w:shd w:val="clear" w:fill="FFFFFF"/>
        <w:ind w:left="473" w:right="0" w:hanging="0"/>
        <w:rPr/>
      </w:pPr>
      <w:r>
        <w:rPr/>
        <w:t>Para fins de liquidação, o setor competente deve verificar se a Nota Fiscal ou Fatura apresentada expressa os elementos necessários e essenciais do documento, tais como:</w:t>
      </w:r>
    </w:p>
    <w:p>
      <w:pPr>
        <w:pStyle w:val="ListParagraph"/>
        <w:numPr>
          <w:ilvl w:val="2"/>
          <w:numId w:val="2"/>
        </w:numPr>
        <w:spacing w:before="120" w:after="120"/>
        <w:ind w:left="284" w:right="0" w:hanging="0"/>
        <w:contextualSpacing/>
        <w:jc w:val="both"/>
        <w:rPr>
          <w:rFonts w:ascii="Arial" w:hAnsi="Arial" w:cs="Arial"/>
          <w:sz w:val="20"/>
          <w:szCs w:val="20"/>
        </w:rPr>
      </w:pPr>
      <w:r>
        <w:rPr>
          <w:rFonts w:cs="Arial" w:ascii="Arial" w:hAnsi="Arial"/>
          <w:sz w:val="20"/>
          <w:szCs w:val="20"/>
        </w:rPr>
        <w:t>o prazo de validade;</w:t>
      </w:r>
    </w:p>
    <w:p>
      <w:pPr>
        <w:pStyle w:val="ListParagraph"/>
        <w:numPr>
          <w:ilvl w:val="2"/>
          <w:numId w:val="2"/>
        </w:numPr>
        <w:spacing w:before="120" w:after="120"/>
        <w:ind w:left="284" w:right="0" w:hanging="0"/>
        <w:contextualSpacing/>
        <w:jc w:val="both"/>
        <w:rPr>
          <w:rFonts w:ascii="Arial" w:hAnsi="Arial" w:cs="Arial"/>
          <w:sz w:val="20"/>
          <w:szCs w:val="20"/>
        </w:rPr>
      </w:pPr>
      <w:r>
        <w:rPr>
          <w:rFonts w:cs="Arial" w:ascii="Arial" w:hAnsi="Arial"/>
          <w:sz w:val="20"/>
          <w:szCs w:val="20"/>
        </w:rPr>
        <w:t>a data da emissão;</w:t>
      </w:r>
    </w:p>
    <w:p>
      <w:pPr>
        <w:pStyle w:val="ListParagraph"/>
        <w:numPr>
          <w:ilvl w:val="2"/>
          <w:numId w:val="2"/>
        </w:numPr>
        <w:spacing w:before="120" w:after="120"/>
        <w:ind w:left="284" w:right="0" w:hanging="0"/>
        <w:contextualSpacing/>
        <w:jc w:val="both"/>
        <w:rPr>
          <w:rFonts w:ascii="Arial" w:hAnsi="Arial" w:cs="Arial"/>
          <w:sz w:val="20"/>
          <w:szCs w:val="20"/>
        </w:rPr>
      </w:pPr>
      <w:r>
        <w:rPr>
          <w:rFonts w:cs="Arial" w:ascii="Arial" w:hAnsi="Arial"/>
          <w:sz w:val="20"/>
          <w:szCs w:val="20"/>
        </w:rPr>
        <w:t>os dados do contrato e do órgão contratante;</w:t>
      </w:r>
    </w:p>
    <w:p>
      <w:pPr>
        <w:pStyle w:val="ListParagraph"/>
        <w:numPr>
          <w:ilvl w:val="2"/>
          <w:numId w:val="2"/>
        </w:numPr>
        <w:spacing w:before="120" w:after="120"/>
        <w:ind w:left="284" w:right="0" w:hanging="0"/>
        <w:contextualSpacing/>
        <w:jc w:val="both"/>
        <w:rPr>
          <w:rFonts w:ascii="Arial" w:hAnsi="Arial" w:cs="Arial"/>
          <w:sz w:val="20"/>
          <w:szCs w:val="20"/>
        </w:rPr>
      </w:pPr>
      <w:r>
        <w:rPr>
          <w:rFonts w:cs="Arial" w:ascii="Arial" w:hAnsi="Arial"/>
          <w:sz w:val="20"/>
          <w:szCs w:val="20"/>
        </w:rPr>
        <w:t>o período respectivo de execução do contrato;</w:t>
      </w:r>
    </w:p>
    <w:p>
      <w:pPr>
        <w:pStyle w:val="ListParagraph"/>
        <w:numPr>
          <w:ilvl w:val="2"/>
          <w:numId w:val="2"/>
        </w:numPr>
        <w:spacing w:before="120" w:after="120"/>
        <w:ind w:left="284" w:right="0" w:hanging="0"/>
        <w:contextualSpacing/>
        <w:jc w:val="both"/>
        <w:rPr>
          <w:rFonts w:ascii="Arial" w:hAnsi="Arial" w:cs="Arial"/>
          <w:sz w:val="20"/>
          <w:szCs w:val="20"/>
        </w:rPr>
      </w:pPr>
      <w:r>
        <w:rPr>
          <w:rFonts w:cs="Arial" w:ascii="Arial" w:hAnsi="Arial"/>
          <w:sz w:val="20"/>
          <w:szCs w:val="20"/>
        </w:rPr>
        <w:t>o valor a pagar; e</w:t>
      </w:r>
    </w:p>
    <w:p>
      <w:pPr>
        <w:pStyle w:val="ListParagraph"/>
        <w:numPr>
          <w:ilvl w:val="2"/>
          <w:numId w:val="2"/>
        </w:numPr>
        <w:spacing w:before="120" w:after="120"/>
        <w:ind w:left="284" w:right="0" w:hanging="0"/>
        <w:contextualSpacing/>
        <w:jc w:val="both"/>
        <w:rPr>
          <w:rFonts w:ascii="Arial" w:hAnsi="Arial" w:cs="Arial"/>
          <w:sz w:val="20"/>
          <w:szCs w:val="20"/>
        </w:rPr>
      </w:pPr>
      <w:r>
        <w:rPr>
          <w:rFonts w:cs="Arial" w:ascii="Arial" w:hAnsi="Arial"/>
          <w:sz w:val="20"/>
          <w:szCs w:val="20"/>
        </w:rPr>
        <w:t>eventual destaque do valor de retenções tributárias cabíveis.</w:t>
      </w:r>
    </w:p>
    <w:p>
      <w:pPr>
        <w:pStyle w:val="Nvel02"/>
        <w:numPr>
          <w:ilvl w:val="1"/>
          <w:numId w:val="2"/>
        </w:numPr>
        <w:shd w:val="clear" w:fill="FFFFFF"/>
        <w:ind w:left="473" w:right="0" w:hanging="0"/>
        <w:rPr/>
      </w:pPr>
      <w:r>
        <w:rPr/>
        <w:t>Havendo erro na apresentação da Nota Fiscal/Fatura, ou circunstância que impeça a liquidação da despesa, esta ficará sobrestada até que o Contratado providencie as medidas saneadoras, reiniciando-se o prazo após a comprovação da regularização da situação, sem ônus ao Contratante.</w:t>
      </w:r>
    </w:p>
    <w:p>
      <w:pPr>
        <w:pStyle w:val="Nvel02"/>
        <w:numPr>
          <w:ilvl w:val="1"/>
          <w:numId w:val="2"/>
        </w:numPr>
        <w:shd w:val="clear" w:fill="FFFFFF"/>
        <w:ind w:left="473" w:right="0" w:hanging="0"/>
        <w:rPr/>
      </w:pPr>
      <w:r>
        <w:rPr/>
        <w:t>A Nota Fiscal ou Fatura deverá ser obrigatoriamente acompanhada da comprovação da regularidade fiscal, constatada por meio de consulta on-line ao SICAF ou, na impossibilidade de acesso ao referido Sistema, mediante consulta aos sítios eletrônicos oficiais ou à documentação mencionada no art. 68 da Lei nº 14.133/2021.</w:t>
      </w:r>
    </w:p>
    <w:p>
      <w:pPr>
        <w:pStyle w:val="Nvel02"/>
        <w:numPr>
          <w:ilvl w:val="1"/>
          <w:numId w:val="2"/>
        </w:numPr>
        <w:shd w:val="clear" w:fill="FFFFFF"/>
        <w:ind w:left="473" w:right="0" w:hanging="0"/>
        <w:rPr/>
      </w:pPr>
      <w:r>
        <w:rPr/>
        <w:t>A Administração deverá realizar consulta ao SICAF para:</w:t>
      </w:r>
    </w:p>
    <w:p>
      <w:pPr>
        <w:pStyle w:val="Nivel3"/>
        <w:numPr>
          <w:ilvl w:val="1"/>
          <w:numId w:val="2"/>
        </w:numPr>
        <w:ind w:left="284" w:right="0" w:hanging="0"/>
        <w:rPr/>
      </w:pPr>
      <w:r>
        <w:rPr/>
        <w:t>verificar a manutenção das condições de habilitação exigidas;</w:t>
      </w:r>
    </w:p>
    <w:p>
      <w:pPr>
        <w:pStyle w:val="Nivel3"/>
        <w:numPr>
          <w:ilvl w:val="1"/>
          <w:numId w:val="2"/>
        </w:numPr>
        <w:ind w:left="284" w:right="0" w:hanging="0"/>
        <w:rPr/>
      </w:pPr>
      <w:r>
        <w:rPr/>
        <w:t>identificar possível razão que impeça a participação em licitação/contratação no âmbito do órgão ou entidade, tais como a proibição de contratar com a Administração ou com o Poder Público, bem como ocorrências impeditivas indiretas</w:t>
      </w:r>
      <w:bookmarkStart w:id="2" w:name="_Int_T4XqlsQA"/>
      <w:r>
        <w:rPr/>
        <w:t>.</w:t>
      </w:r>
      <w:bookmarkEnd w:id="2"/>
    </w:p>
    <w:p>
      <w:pPr>
        <w:pStyle w:val="Nvel02"/>
        <w:numPr>
          <w:ilvl w:val="1"/>
          <w:numId w:val="2"/>
        </w:numPr>
        <w:shd w:val="clear" w:fill="FFFFFF"/>
        <w:ind w:left="473" w:right="0" w:hanging="0"/>
        <w:rPr/>
      </w:pPr>
      <w:r>
        <w:rPr/>
        <w:t>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pPr>
        <w:pStyle w:val="Nvel02"/>
        <w:numPr>
          <w:ilvl w:val="1"/>
          <w:numId w:val="2"/>
        </w:numPr>
        <w:shd w:val="clear" w:fill="FFFFFF"/>
        <w:ind w:left="473" w:right="0" w:hanging="0"/>
        <w:rPr/>
      </w:pPr>
      <w:r>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pPr>
        <w:pStyle w:val="Nvel02"/>
        <w:numPr>
          <w:ilvl w:val="1"/>
          <w:numId w:val="2"/>
        </w:numPr>
        <w:shd w:val="clear" w:fill="FFFFFF"/>
        <w:ind w:left="473" w:right="0" w:hanging="0"/>
        <w:rPr/>
      </w:pPr>
      <w:r>
        <w:rPr/>
        <w:t>Persistindo a irregularidade, o Contratante deverá adotar as medidas necessárias à rescisão contratual nos autos do processo administrativo correspondente, assegurada ao Contratado a ampla defesa.</w:t>
      </w:r>
    </w:p>
    <w:p>
      <w:pPr>
        <w:pStyle w:val="Nvel02"/>
        <w:numPr>
          <w:ilvl w:val="1"/>
          <w:numId w:val="2"/>
        </w:numPr>
        <w:shd w:val="clear" w:fill="FFFFFF"/>
        <w:ind w:left="473" w:right="0" w:hanging="0"/>
        <w:rPr/>
      </w:pPr>
      <w:r>
        <w:rPr/>
        <w:t>Havendo a efetiva execução do objeto, os pagamentos serão realizados normalmente, até que se decida pela rescisão do contrato, caso o Contratado não regularize sua situação junto ao SICAF.</w:t>
      </w:r>
    </w:p>
    <w:p>
      <w:pPr>
        <w:pStyle w:val="Nvel1SemNumerao"/>
        <w:shd w:val="clear" w:fill="FFFFFF"/>
        <w:ind w:left="1080" w:right="0" w:hanging="0"/>
        <w:rPr/>
      </w:pPr>
      <w:r>
        <w:rPr/>
        <w:t>Prazo de pagamento</w:t>
      </w:r>
    </w:p>
    <w:p>
      <w:pPr>
        <w:pStyle w:val="Nvel02"/>
        <w:numPr>
          <w:ilvl w:val="1"/>
          <w:numId w:val="2"/>
        </w:numPr>
        <w:shd w:val="clear" w:fill="FFFFFF"/>
        <w:ind w:left="473" w:right="0" w:hanging="0"/>
        <w:rPr/>
      </w:pPr>
      <w:r>
        <w:rPr/>
        <w:t>O pagamento será efetuado no prazo máximo de até dez dias úteis, contados da finalização da liquidação da despesa, conforme seção anterior, nos termos da Instrução Normativa SEGES/ME nº 77, de 2022.</w:t>
      </w:r>
    </w:p>
    <w:p>
      <w:pPr>
        <w:pStyle w:val="Nvel02"/>
        <w:numPr>
          <w:ilvl w:val="1"/>
          <w:numId w:val="2"/>
        </w:numPr>
        <w:shd w:val="clear" w:fill="FFFFFF"/>
        <w:ind w:left="473" w:right="0" w:hanging="0"/>
        <w:rPr/>
      </w:pPr>
      <w:r>
        <w:rPr/>
        <w:t>No caso de atraso pelo Contratante, os valores devidos ao Contratado serão atualizados monetariamente entre o termo final do prazo de pagamento até a data de sua efetiva realização, mediante aplicação do índic</w:t>
      </w:r>
      <w:r>
        <w:rPr>
          <w:color w:val="000000"/>
        </w:rPr>
        <w:t>e</w:t>
      </w:r>
      <w:r>
        <w:rPr>
          <w:i/>
          <w:color w:val="000000"/>
        </w:rPr>
        <w:t xml:space="preserve"> 10%</w:t>
      </w:r>
      <w:r>
        <w:rPr>
          <w:color w:val="000000"/>
        </w:rPr>
        <w:t xml:space="preserve"> d</w:t>
      </w:r>
      <w:r>
        <w:rPr/>
        <w:t>e correção monetária.</w:t>
      </w:r>
    </w:p>
    <w:p>
      <w:pPr>
        <w:pStyle w:val="Nvel1SemNumerao"/>
        <w:shd w:val="clear" w:fill="FFFFFF"/>
        <w:ind w:left="1080" w:right="0" w:hanging="0"/>
        <w:rPr/>
      </w:pPr>
      <w:r>
        <w:rPr/>
        <w:t>Forma de pagamento</w:t>
      </w:r>
    </w:p>
    <w:p>
      <w:pPr>
        <w:pStyle w:val="Nvel02"/>
        <w:numPr>
          <w:ilvl w:val="1"/>
          <w:numId w:val="2"/>
        </w:numPr>
        <w:shd w:val="clear" w:fill="FFFFFF"/>
        <w:ind w:left="473" w:right="0" w:hanging="0"/>
        <w:rPr/>
      </w:pPr>
      <w:r>
        <w:rPr/>
        <w:t>O pagamento será realizado por meio de ordem bancária, para crédito em banco, agência e conta corrente indicados pelo Contratado.</w:t>
      </w:r>
    </w:p>
    <w:p>
      <w:pPr>
        <w:pStyle w:val="Nvel02"/>
        <w:numPr>
          <w:ilvl w:val="1"/>
          <w:numId w:val="2"/>
        </w:numPr>
        <w:shd w:val="clear" w:fill="FFFFFF"/>
        <w:ind w:left="473" w:right="0" w:hanging="0"/>
        <w:rPr/>
      </w:pPr>
      <w:r>
        <w:rPr/>
        <w:t>Será considerada data do pagamento o dia em que constar como emitida a ordem bancária para pagamento.</w:t>
      </w:r>
    </w:p>
    <w:p>
      <w:pPr>
        <w:pStyle w:val="Nvel02"/>
        <w:numPr>
          <w:ilvl w:val="1"/>
          <w:numId w:val="2"/>
        </w:numPr>
        <w:shd w:val="clear" w:fill="FFFFFF"/>
        <w:ind w:left="473" w:right="0" w:hanging="0"/>
        <w:rPr>
          <w:lang w:eastAsia="en-US"/>
        </w:rPr>
      </w:pPr>
      <w:r>
        <w:rPr>
          <w:lang w:eastAsia="en-US"/>
        </w:rPr>
        <w:t>Quando do pagamento, será efetuada a retenção tributária prevista na legislação aplicável.</w:t>
      </w:r>
    </w:p>
    <w:p>
      <w:pPr>
        <w:pStyle w:val="Nivel3"/>
        <w:numPr>
          <w:ilvl w:val="1"/>
          <w:numId w:val="2"/>
        </w:numPr>
        <w:ind w:left="284" w:right="0" w:hanging="0"/>
        <w:rPr/>
      </w:pPr>
      <w:r>
        <w:rPr/>
        <w:t>Independentemente</w:t>
      </w:r>
      <w:r>
        <w:rPr>
          <w:lang w:eastAsia="en-US"/>
        </w:rPr>
        <w:t xml:space="preserve"> do percentual de tributo inserido na planilha, quando houver, serão retidos na fonte, quando da realização do pagamento, os percentuais estabelecidos na legislação vigente.</w:t>
      </w:r>
    </w:p>
    <w:p>
      <w:pPr>
        <w:pStyle w:val="Nvel02"/>
        <w:numPr>
          <w:ilvl w:val="1"/>
          <w:numId w:val="2"/>
        </w:numPr>
        <w:shd w:val="clear" w:fill="FFFFFF"/>
        <w:ind w:left="473" w:right="0" w:hanging="0"/>
        <w:rPr>
          <w:lang w:eastAsia="en-US"/>
        </w:rPr>
      </w:pPr>
      <w:r>
        <w:rPr>
          <w:lang w:eastAsia="en-US"/>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pPr>
        <w:pStyle w:val="Nvel1SemNum"/>
        <w:shd w:val="clear" w:fill="FFFFFF"/>
        <w:ind w:left="1080" w:right="0" w:hanging="0"/>
        <w:rPr>
          <w:shd w:fill="FFFF00" w:val="clear"/>
        </w:rPr>
      </w:pPr>
      <w:r>
        <w:rPr>
          <w:shd w:fill="FFFF00" w:val="clear"/>
        </w:rPr>
      </w:r>
    </w:p>
    <w:p>
      <w:pPr>
        <w:pStyle w:val="Nvel1SemNumerao"/>
        <w:shd w:val="clear" w:fill="FFFFFF"/>
        <w:ind w:left="1080" w:right="0" w:hanging="0"/>
        <w:rPr/>
      </w:pPr>
      <w:r>
        <w:rPr/>
        <w:t>Cessão de Crédito</w:t>
      </w:r>
    </w:p>
    <w:p>
      <w:pPr>
        <w:pStyle w:val="Nvel02"/>
        <w:numPr>
          <w:ilvl w:val="1"/>
          <w:numId w:val="2"/>
        </w:numPr>
        <w:shd w:val="clear" w:fill="FFFFFF"/>
        <w:ind w:left="473" w:right="0" w:hanging="0"/>
        <w:rPr>
          <w:lang w:eastAsia="en-US"/>
        </w:rPr>
      </w:pPr>
      <w:r>
        <w:rPr>
          <w:lang w:eastAsia="en-US"/>
        </w:rPr>
        <w:t>As cessões de crédito dependerão de prévia aprovação do Contratante.</w:t>
      </w:r>
    </w:p>
    <w:p>
      <w:pPr>
        <w:pStyle w:val="Nivel3"/>
        <w:numPr>
          <w:ilvl w:val="1"/>
          <w:numId w:val="2"/>
        </w:numPr>
        <w:ind w:left="284" w:right="0" w:hanging="0"/>
        <w:rPr>
          <w:lang w:eastAsia="en-US"/>
        </w:rPr>
      </w:pPr>
      <w:r>
        <w:rPr>
          <w:lang w:eastAsia="en-US"/>
        </w:rPr>
        <w:t>A eficácia da cessão de crédito, em relação à Administração, está condicionada à celebração de termo aditivo ao contrato administrativo.</w:t>
      </w:r>
    </w:p>
    <w:p>
      <w:pPr>
        <w:pStyle w:val="Nivel3"/>
        <w:numPr>
          <w:ilvl w:val="1"/>
          <w:numId w:val="2"/>
        </w:numPr>
        <w:ind w:left="284" w:right="0" w:hanging="0"/>
        <w:rPr>
          <w:lang w:eastAsia="en-US"/>
        </w:rPr>
      </w:pPr>
      <w:r>
        <w:rPr>
          <w:lang w:eastAsia="en-US"/>
        </w:rPr>
        <w:t>Sem prejuízo do regular atendimento da obrigação contratual de cumprimento de todas as condições de habilitação por parte do Contratado (cedente), a celebração do aditamento de cessão de crédito e a realização dos pagamentos respectivos também se condicionam à regularidade fiscal e trabalhista do cessionário, bem como à certificação de que o cessionário não se encontra impedido de licitar e contratar com o Poder Público, conforme a legislação em vigor, ou de receber benefícios ou incentivos fiscais ou creditícios, direta ou indiretamente, conforme o art. 12 da Lei nº 8.429, de 1992, nos termos do Parecer JL-01, de 18 de maio de 2020.</w:t>
      </w:r>
    </w:p>
    <w:p>
      <w:pPr>
        <w:pStyle w:val="Nivel3"/>
        <w:numPr>
          <w:ilvl w:val="1"/>
          <w:numId w:val="2"/>
        </w:numPr>
        <w:ind w:left="284" w:right="0" w:hanging="0"/>
        <w:rPr>
          <w:lang w:eastAsia="en-US"/>
        </w:rPr>
      </w:pPr>
      <w:r>
        <w:rPr>
          <w:lang w:eastAsia="en-US"/>
        </w:rPr>
        <w:t>O crédito a ser pago à cessionária é exatamente aquele que seria destinado à cedente (Contratado) pela execução do objeto contratual, restando absolutamente incólumes todas as defesas e exceções ao pagamento e todas as demais cláusulas exorbitantes ao direito comum aplicáveis no regime jurídico de direito público incidente sobre os contratos administrativos, incluindo a possibilidade de pagamento em conta vinculada ou de pagamento pela efetiva comprovação do fato gerador, quando for o caso, e o desconto de multas, glosas e prejuízos causados à Administração.</w:t>
      </w:r>
    </w:p>
    <w:p>
      <w:pPr>
        <w:pStyle w:val="Nivel3"/>
        <w:numPr>
          <w:ilvl w:val="1"/>
          <w:numId w:val="2"/>
        </w:numPr>
        <w:ind w:left="284" w:right="0" w:hanging="0"/>
        <w:rPr>
          <w:lang w:eastAsia="en-US"/>
        </w:rPr>
      </w:pPr>
      <w:r>
        <w:rPr>
          <w:lang w:eastAsia="en-US"/>
        </w:rPr>
        <w:t>A cessão de crédito não afetará a execução do objeto contratado, que continuará sob a integral responsabilidade do Contratado.</w:t>
      </w:r>
    </w:p>
    <w:p>
      <w:pPr>
        <w:pStyle w:val="Nvel02"/>
        <w:numPr>
          <w:ilvl w:val="1"/>
          <w:numId w:val="2"/>
        </w:numPr>
        <w:shd w:val="clear" w:fill="FFFFFF"/>
        <w:ind w:left="473" w:right="0" w:hanging="0"/>
        <w:rPr>
          <w:lang w:eastAsia="en-US"/>
        </w:rPr>
      </w:pPr>
      <w:r>
        <w:rPr>
          <w:lang w:eastAsia="en-US"/>
        </w:rPr>
        <w:t>O disposto nesta seção não afeta as operações de crédito de que trata a Instrução Normativa SEGES/MGI nº 82, de 21 de fevereiro de 2025, as quais ficam por esta regidas.</w:t>
      </w:r>
    </w:p>
    <w:p>
      <w:pPr>
        <w:pStyle w:val="Nvel1SemNumerao"/>
        <w:shd w:val="clear" w:fill="FFFFFF"/>
        <w:ind w:left="1080" w:right="0" w:hanging="0"/>
        <w:rPr>
          <w:shd w:fill="C0C0C0" w:val="clear"/>
        </w:rPr>
      </w:pPr>
      <w:r>
        <w:rPr>
          <w:shd w:fill="C0C0C0" w:val="clear"/>
        </w:rPr>
      </w:r>
    </w:p>
    <w:p>
      <w:pPr>
        <w:pStyle w:val="Nivel01"/>
        <w:shd w:val="clear" w:fill="FFFFFF"/>
        <w:ind w:left="1080" w:right="0" w:hanging="0"/>
        <w:rPr/>
      </w:pPr>
      <w:r>
        <w:rPr/>
        <w:t>INFRAÇÕES E SANÇÕES ADMINISTRATIVAS</w:t>
      </w:r>
    </w:p>
    <w:p>
      <w:pPr>
        <w:pStyle w:val="Nvel02"/>
        <w:numPr>
          <w:ilvl w:val="1"/>
          <w:numId w:val="2"/>
        </w:numPr>
        <w:shd w:val="clear" w:fill="FFFFFF"/>
        <w:ind w:left="473" w:right="0" w:hanging="0"/>
        <w:rPr/>
      </w:pPr>
      <w:r>
        <w:rPr>
          <w:rStyle w:val="Normaltextrun"/>
          <w:color w:val="000000"/>
        </w:rPr>
        <w:t xml:space="preserve">Comete </w:t>
      </w:r>
      <w:r>
        <w:rPr/>
        <w:t>infração</w:t>
      </w:r>
      <w:r>
        <w:rPr>
          <w:rStyle w:val="Normaltextrun"/>
          <w:color w:val="000000"/>
        </w:rPr>
        <w:t xml:space="preserve"> administrativa, nos termos da </w:t>
      </w:r>
      <w:r>
        <w:rPr>
          <w:rStyle w:val="Normaltextrun"/>
        </w:rPr>
        <w:t>Lei nº 14.133, de 2021</w:t>
      </w:r>
      <w:r>
        <w:rPr>
          <w:rStyle w:val="Normaltextrun"/>
          <w:color w:val="000000"/>
        </w:rPr>
        <w:t>, o Contratado que:</w:t>
      </w:r>
    </w:p>
    <w:p>
      <w:pPr>
        <w:pStyle w:val="Paragraph"/>
        <w:numPr>
          <w:ilvl w:val="2"/>
          <w:numId w:val="2"/>
        </w:numPr>
        <w:spacing w:lineRule="auto" w:line="276" w:before="120" w:after="0"/>
        <w:ind w:left="284" w:right="0" w:hanging="0"/>
        <w:jc w:val="both"/>
        <w:textAlignment w:val="baseline"/>
        <w:rPr/>
      </w:pPr>
      <w:r>
        <w:rPr>
          <w:rStyle w:val="Normaltextrun"/>
          <w:rFonts w:cs="Arial" w:ascii="Arial" w:hAnsi="Arial"/>
          <w:sz w:val="20"/>
          <w:szCs w:val="20"/>
        </w:rPr>
        <w:t>der causa à inexecução parcial do contrato;</w:t>
      </w:r>
    </w:p>
    <w:p>
      <w:pPr>
        <w:pStyle w:val="Paragraph"/>
        <w:numPr>
          <w:ilvl w:val="2"/>
          <w:numId w:val="2"/>
        </w:numPr>
        <w:spacing w:lineRule="auto" w:line="276" w:before="0" w:after="0"/>
        <w:ind w:left="284" w:right="0" w:hanging="0"/>
        <w:jc w:val="both"/>
        <w:textAlignment w:val="baseline"/>
        <w:rPr/>
      </w:pPr>
      <w:r>
        <w:rPr>
          <w:rStyle w:val="Normaltextrun"/>
          <w:rFonts w:cs="Arial" w:ascii="Arial" w:hAnsi="Arial"/>
          <w:sz w:val="20"/>
          <w:szCs w:val="20"/>
        </w:rPr>
        <w:t>der causa à inexecução parcial do contrato que cause grave dano à Administração ou ao funcionamento dos serviços públicos ou ao interesse coletivo;</w:t>
      </w:r>
    </w:p>
    <w:p>
      <w:pPr>
        <w:pStyle w:val="Paragraph"/>
        <w:numPr>
          <w:ilvl w:val="2"/>
          <w:numId w:val="2"/>
        </w:numPr>
        <w:spacing w:lineRule="auto" w:line="276" w:before="0" w:after="0"/>
        <w:ind w:left="284" w:right="0" w:hanging="0"/>
        <w:jc w:val="both"/>
        <w:textAlignment w:val="baseline"/>
        <w:rPr/>
      </w:pPr>
      <w:r>
        <w:rPr>
          <w:rStyle w:val="Normaltextrun"/>
          <w:rFonts w:cs="Arial" w:ascii="Arial" w:hAnsi="Arial"/>
          <w:sz w:val="20"/>
          <w:szCs w:val="20"/>
        </w:rPr>
        <w:t>der causa à inexecução total do contrato;</w:t>
      </w:r>
    </w:p>
    <w:p>
      <w:pPr>
        <w:pStyle w:val="Paragraph"/>
        <w:numPr>
          <w:ilvl w:val="2"/>
          <w:numId w:val="2"/>
        </w:numPr>
        <w:spacing w:lineRule="auto" w:line="276" w:before="0" w:after="0"/>
        <w:ind w:left="284" w:right="0" w:hanging="0"/>
        <w:jc w:val="both"/>
        <w:textAlignment w:val="baseline"/>
        <w:rPr/>
      </w:pPr>
      <w:r>
        <w:rPr>
          <w:rStyle w:val="Normaltextrun"/>
          <w:rFonts w:cs="Arial" w:ascii="Arial" w:hAnsi="Arial"/>
          <w:sz w:val="20"/>
          <w:szCs w:val="20"/>
        </w:rPr>
        <w:t>ensejar o retardamento da execução ou da entrega do objeto da contratação sem motivo justificado;</w:t>
      </w:r>
    </w:p>
    <w:p>
      <w:pPr>
        <w:pStyle w:val="Paragraph"/>
        <w:numPr>
          <w:ilvl w:val="2"/>
          <w:numId w:val="2"/>
        </w:numPr>
        <w:spacing w:lineRule="auto" w:line="276" w:before="0" w:after="0"/>
        <w:ind w:left="284" w:right="0" w:hanging="0"/>
        <w:jc w:val="both"/>
        <w:textAlignment w:val="baseline"/>
        <w:rPr/>
      </w:pPr>
      <w:r>
        <w:rPr>
          <w:rStyle w:val="Normaltextrun"/>
          <w:rFonts w:cs="Arial" w:ascii="Arial" w:hAnsi="Arial"/>
          <w:sz w:val="20"/>
          <w:szCs w:val="20"/>
        </w:rPr>
        <w:t>apresentar documentação falsa ou prestar declaração falsa durante a execução do contrato;</w:t>
      </w:r>
    </w:p>
    <w:p>
      <w:pPr>
        <w:pStyle w:val="Paragraph"/>
        <w:numPr>
          <w:ilvl w:val="2"/>
          <w:numId w:val="2"/>
        </w:numPr>
        <w:spacing w:lineRule="auto" w:line="276" w:before="0" w:after="0"/>
        <w:ind w:left="284" w:right="0" w:hanging="0"/>
        <w:jc w:val="both"/>
        <w:textAlignment w:val="baseline"/>
        <w:rPr/>
      </w:pPr>
      <w:r>
        <w:rPr>
          <w:rStyle w:val="Normaltextrun"/>
          <w:rFonts w:cs="Arial" w:ascii="Arial" w:hAnsi="Arial"/>
          <w:sz w:val="20"/>
          <w:szCs w:val="20"/>
        </w:rPr>
        <w:t>praticar ato fraudulento na execução do contrato;</w:t>
      </w:r>
    </w:p>
    <w:p>
      <w:pPr>
        <w:pStyle w:val="Paragraph"/>
        <w:numPr>
          <w:ilvl w:val="2"/>
          <w:numId w:val="2"/>
        </w:numPr>
        <w:spacing w:lineRule="auto" w:line="276" w:before="0" w:after="0"/>
        <w:ind w:left="284" w:right="0" w:hanging="0"/>
        <w:jc w:val="both"/>
        <w:textAlignment w:val="baseline"/>
        <w:rPr/>
      </w:pPr>
      <w:r>
        <w:rPr>
          <w:rStyle w:val="Normaltextrun"/>
          <w:rFonts w:cs="Arial" w:ascii="Arial" w:hAnsi="Arial"/>
          <w:sz w:val="20"/>
          <w:szCs w:val="20"/>
        </w:rPr>
        <w:t>comportar-se de modo inidôneo ou cometer fraude de qualquer natureza;</w:t>
      </w:r>
    </w:p>
    <w:p>
      <w:pPr>
        <w:pStyle w:val="Paragraph"/>
        <w:numPr>
          <w:ilvl w:val="2"/>
          <w:numId w:val="2"/>
        </w:numPr>
        <w:spacing w:lineRule="auto" w:line="276" w:before="0" w:after="0"/>
        <w:ind w:left="284" w:right="0" w:hanging="0"/>
        <w:jc w:val="both"/>
        <w:textAlignment w:val="baseline"/>
        <w:rPr/>
      </w:pPr>
      <w:r>
        <w:rPr>
          <w:rStyle w:val="Normaltextrun"/>
          <w:rFonts w:cs="Arial" w:ascii="Arial" w:hAnsi="Arial"/>
          <w:sz w:val="20"/>
          <w:szCs w:val="20"/>
        </w:rPr>
        <w:t>praticar ato lesivo previsto no art. 5º da Lei nº 12.846, de 1º de agosto de 2013.</w:t>
      </w:r>
    </w:p>
    <w:p>
      <w:pPr>
        <w:pStyle w:val="Nvel02"/>
        <w:numPr>
          <w:ilvl w:val="1"/>
          <w:numId w:val="2"/>
        </w:numPr>
        <w:shd w:val="clear" w:fill="FFFFFF"/>
        <w:ind w:left="473" w:right="0" w:hanging="0"/>
        <w:rPr/>
      </w:pPr>
      <w:r>
        <w:rPr>
          <w:rStyle w:val="Normaltextrun"/>
          <w:color w:val="000000"/>
        </w:rPr>
        <w:t xml:space="preserve">Serão </w:t>
      </w:r>
      <w:r>
        <w:rPr/>
        <w:t>aplicadas</w:t>
      </w:r>
      <w:r>
        <w:rPr>
          <w:rStyle w:val="Normaltextrun"/>
          <w:color w:val="000000"/>
        </w:rPr>
        <w:t xml:space="preserve"> ao Contratado que incorrer nas infrações acima descritas as seguintes sanções:</w:t>
      </w:r>
    </w:p>
    <w:p>
      <w:pPr>
        <w:pStyle w:val="Nivel3"/>
        <w:numPr>
          <w:ilvl w:val="2"/>
          <w:numId w:val="2"/>
        </w:numPr>
        <w:ind w:left="284" w:right="0" w:hanging="0"/>
        <w:rPr/>
      </w:pPr>
      <w:r>
        <w:rPr>
          <w:rStyle w:val="Normaltextrun"/>
          <w:rFonts w:cs="Arial"/>
          <w:color w:val="000000"/>
          <w:szCs w:val="20"/>
        </w:rPr>
        <w:t>Advertência, quando o Contratado der causa à inexecução parcial do contrato, sempre que não se justificar a imposição de penalidade mais grave;</w:t>
      </w:r>
    </w:p>
    <w:p>
      <w:pPr>
        <w:pStyle w:val="Nivel3"/>
        <w:numPr>
          <w:ilvl w:val="2"/>
          <w:numId w:val="2"/>
        </w:numPr>
        <w:ind w:left="284" w:right="0" w:hanging="0"/>
        <w:rPr/>
      </w:pPr>
      <w:r>
        <w:rPr>
          <w:rStyle w:val="Normaltextrun"/>
          <w:rFonts w:cs="Arial"/>
          <w:color w:val="000000"/>
          <w:szCs w:val="20"/>
        </w:rPr>
        <w:t>Impedimento de licitar e contratar, quando praticadas as condutas descritas nas alíneas “b”, “c” e “d” do subitem acima, sempre que não se justificar a imposição de penalidade mais grave;</w:t>
      </w:r>
    </w:p>
    <w:p>
      <w:pPr>
        <w:pStyle w:val="Nivel3"/>
        <w:numPr>
          <w:ilvl w:val="2"/>
          <w:numId w:val="2"/>
        </w:numPr>
        <w:ind w:left="284" w:right="0" w:hanging="0"/>
        <w:rPr/>
      </w:pPr>
      <w:r>
        <w:rPr>
          <w:rStyle w:val="Normaltextrun"/>
          <w:rFonts w:cs="Arial"/>
          <w:color w:val="000000"/>
          <w:szCs w:val="20"/>
        </w:rPr>
        <w:t>Declaração de inidoneidade para licitar e contratar, quando praticadas as condutas descritas nas alíneas “e”, “f”, “g” e “h” do subitem acima, bem como nas alíneas “b”, “c” e “d”, que justifiquem a imposição de penalidade mais grave.</w:t>
      </w:r>
    </w:p>
    <w:p>
      <w:pPr>
        <w:pStyle w:val="Nivel3"/>
        <w:ind w:left="1004" w:right="0" w:hanging="0"/>
        <w:rPr/>
      </w:pPr>
      <w:r>
        <w:rPr>
          <w:rStyle w:val="Normaltextrun"/>
          <w:rFonts w:eastAsia="Arial" w:cs="Arial"/>
          <w:b/>
          <w:i w:val="false"/>
          <w:iCs/>
          <w:color w:val="000000"/>
          <w:kern w:val="0"/>
          <w:sz w:val="20"/>
          <w:szCs w:val="20"/>
          <w:lang w:val="pt-BR" w:eastAsia="pt-BR" w:bidi="ar-SA"/>
        </w:rPr>
        <w:t>Multa:</w:t>
      </w:r>
    </w:p>
    <w:p>
      <w:pPr>
        <w:pStyle w:val="Nvel02"/>
        <w:numPr>
          <w:ilvl w:val="1"/>
          <w:numId w:val="2"/>
        </w:numPr>
        <w:shd w:val="clear" w:fill="FFFFFF"/>
        <w:ind w:left="473" w:right="0" w:hanging="0"/>
        <w:rPr/>
      </w:pPr>
      <w:r>
        <w:rPr>
          <w:rStyle w:val="Normaltextrun"/>
          <w:color w:val="000000"/>
        </w:rPr>
        <w:t xml:space="preserve">A aplicação das sanções previstas neste </w:t>
      </w:r>
      <w:r>
        <w:rPr/>
        <w:t xml:space="preserve">Termo de Referência </w:t>
      </w:r>
      <w:r>
        <w:rPr>
          <w:rStyle w:val="Normaltextrun"/>
          <w:color w:val="000000"/>
        </w:rPr>
        <w:t>não exclui, em hipótese alguma, a obrigação de reparação integral do dano causado ao Contratante</w:t>
      </w:r>
      <w:r>
        <w:rPr>
          <w:rStyle w:val="Normaltextrun"/>
        </w:rPr>
        <w:t>.</w:t>
      </w:r>
    </w:p>
    <w:p>
      <w:pPr>
        <w:pStyle w:val="Nvel02"/>
        <w:numPr>
          <w:ilvl w:val="1"/>
          <w:numId w:val="2"/>
        </w:numPr>
        <w:shd w:val="clear" w:fill="FFFFFF"/>
        <w:ind w:left="473" w:right="0" w:hanging="0"/>
        <w:rPr/>
      </w:pPr>
      <w:r>
        <w:rPr>
          <w:rStyle w:val="Normaltextrun"/>
          <w:color w:val="000000"/>
        </w:rPr>
        <w:t xml:space="preserve">Todas as sanções previstas neste </w:t>
      </w:r>
      <w:r>
        <w:rPr/>
        <w:t>Termo de Referência</w:t>
      </w:r>
      <w:r>
        <w:rPr>
          <w:rStyle w:val="Normaltextrun"/>
          <w:color w:val="000000"/>
        </w:rPr>
        <w:t xml:space="preserve"> poderão ser aplicadas cumulativamente com a multa</w:t>
      </w:r>
      <w:r>
        <w:rPr>
          <w:rStyle w:val="Normaltextrun"/>
        </w:rPr>
        <w:t>.</w:t>
      </w:r>
    </w:p>
    <w:p>
      <w:pPr>
        <w:pStyle w:val="Nvel02"/>
        <w:numPr>
          <w:ilvl w:val="1"/>
          <w:numId w:val="2"/>
        </w:numPr>
        <w:shd w:val="clear" w:fill="FFFFFF"/>
        <w:ind w:left="473" w:right="0" w:hanging="0"/>
        <w:rPr/>
      </w:pPr>
      <w:r>
        <w:rPr/>
        <w:t xml:space="preserve">Antes da aplicação da </w:t>
      </w:r>
      <w:r>
        <w:rPr>
          <w:rStyle w:val="Normaltextrun"/>
        </w:rPr>
        <w:t>multa</w:t>
      </w:r>
      <w:r>
        <w:rPr/>
        <w:t xml:space="preserve"> será facultada a defesa do interessado no prazo de 15 (quinze) dias úteis, contado da data de sua intimação</w:t>
      </w:r>
      <w:r>
        <w:rPr>
          <w:rStyle w:val="Normaltextrun"/>
        </w:rPr>
        <w:t>.</w:t>
      </w:r>
    </w:p>
    <w:p>
      <w:pPr>
        <w:pStyle w:val="Nvel02"/>
        <w:numPr>
          <w:ilvl w:val="1"/>
          <w:numId w:val="2"/>
        </w:numPr>
        <w:shd w:val="clear" w:fill="FFFFFF"/>
        <w:ind w:left="473" w:right="0" w:hanging="0"/>
        <w:rPr/>
      </w:pPr>
      <w:r>
        <w:rPr>
          <w:rStyle w:val="Normaltextrun"/>
          <w:color w:val="000000"/>
        </w:rPr>
        <w:t xml:space="preserve">Se a multa aplicada e as indenizações cabíveis forem superiores ao valor do pagamento </w:t>
      </w:r>
      <w:r>
        <w:rPr/>
        <w:t>eventualmente</w:t>
      </w:r>
      <w:r>
        <w:rPr>
          <w:rStyle w:val="Normaltextrun"/>
          <w:color w:val="000000"/>
        </w:rPr>
        <w:t xml:space="preserve"> devido pelo Contratante ao Contratado, além da perda desse valor, a diferença será descontada da garantia prestada ou será cobrada judicialmente.</w:t>
      </w:r>
    </w:p>
    <w:p>
      <w:pPr>
        <w:pStyle w:val="Nvel02"/>
        <w:numPr>
          <w:ilvl w:val="1"/>
          <w:numId w:val="2"/>
        </w:numPr>
        <w:shd w:val="clear" w:fill="FFFFFF"/>
        <w:ind w:left="473" w:right="0" w:hanging="0"/>
        <w:rPr/>
      </w:pPr>
      <w:r>
        <w:rPr>
          <w:rStyle w:val="Normaltextrun"/>
          <w:color w:val="000000"/>
        </w:rPr>
        <w:t xml:space="preserve">A multa poderá ser recolhida </w:t>
      </w:r>
      <w:r>
        <w:rPr/>
        <w:t>administrativamente</w:t>
      </w:r>
      <w:r>
        <w:rPr>
          <w:rStyle w:val="Normaltextrun"/>
          <w:color w:val="000000"/>
        </w:rPr>
        <w:t xml:space="preserve"> no prazo máximo de 60 </w:t>
      </w:r>
      <w:r>
        <w:rPr>
          <w:rStyle w:val="Normaltextrun"/>
        </w:rPr>
        <w:t>(</w:t>
      </w:r>
      <w:r>
        <w:rPr>
          <w:rStyle w:val="Normaltextrun"/>
          <w:i/>
          <w:iCs w:val="false"/>
          <w:color w:val="000000"/>
        </w:rPr>
        <w:t>sessenta</w:t>
      </w:r>
      <w:r>
        <w:rPr>
          <w:rStyle w:val="Normaltextrun"/>
        </w:rPr>
        <w:t xml:space="preserve">) </w:t>
      </w:r>
      <w:r>
        <w:rPr>
          <w:rStyle w:val="Normaltextrun"/>
          <w:color w:val="000000"/>
        </w:rPr>
        <w:t>dias, a contar da data do recebimento da comunicação enviada pela autoridade competente.</w:t>
      </w:r>
    </w:p>
    <w:p>
      <w:pPr>
        <w:pStyle w:val="Nvel02"/>
        <w:numPr>
          <w:ilvl w:val="1"/>
          <w:numId w:val="2"/>
        </w:numPr>
        <w:shd w:val="clear" w:fill="FFFFFF"/>
        <w:ind w:left="473" w:right="0" w:hanging="0"/>
        <w:rPr/>
      </w:pPr>
      <w:r>
        <w:rPr>
          <w:rStyle w:val="Normaltextrun"/>
          <w:color w:val="000000"/>
        </w:rPr>
        <w:t xml:space="preserve">A aplicação das sanções realizar-se-á em processo administrativo que assegure o contraditório e a ampla defesa ao Contratado, observando-se o procedimento previsto no caput e </w:t>
      </w:r>
      <w:r>
        <w:rPr>
          <w:rStyle w:val="Normaltextrun"/>
        </w:rPr>
        <w:t>parágrafos do art. 158 da Lei nº 14.133, de 2021, para as penalidades de impedimento de licitar e contratar e de</w:t>
      </w:r>
      <w:r>
        <w:rPr>
          <w:rStyle w:val="Normaltextrun"/>
          <w:color w:val="000000"/>
        </w:rPr>
        <w:t xml:space="preserve"> declaração de inidoneidade para licitar ou contratar.</w:t>
      </w:r>
    </w:p>
    <w:p>
      <w:pPr>
        <w:pStyle w:val="Nivel3"/>
        <w:numPr>
          <w:ilvl w:val="1"/>
          <w:numId w:val="2"/>
        </w:numPr>
        <w:ind w:left="284" w:right="0" w:hanging="0"/>
        <w:rPr/>
      </w:pPr>
      <w:r>
        <w:rPr>
          <w:rStyle w:val="Normaltextrun"/>
        </w:rPr>
        <w:t>Para a garantia da ampla defesa e contraditório, as notificações serão enviadas eletronicamente para os endereços de e-mail informados na proposta comercial, bem como os cadastrados pela empresa no SICAF.</w:t>
      </w:r>
    </w:p>
    <w:p>
      <w:pPr>
        <w:pStyle w:val="Nivel3"/>
        <w:numPr>
          <w:ilvl w:val="1"/>
          <w:numId w:val="2"/>
        </w:numPr>
        <w:ind w:left="284" w:right="0" w:hanging="0"/>
        <w:rPr/>
      </w:pPr>
      <w:r>
        <w:rPr>
          <w:rStyle w:val="Normaltextrun"/>
        </w:rPr>
        <w:t>Os endereços de e-mail informados na proposta comercial e/ou cadastrados no SICAF serão considerados de uso contínuo da empresa, não cabendo alegação de desconhecimento das comunicações a eles comprovadamente enviadas.</w:t>
      </w:r>
    </w:p>
    <w:p>
      <w:pPr>
        <w:pStyle w:val="Nvel02"/>
        <w:numPr>
          <w:ilvl w:val="1"/>
          <w:numId w:val="2"/>
        </w:numPr>
        <w:shd w:val="clear" w:fill="FFFFFF"/>
        <w:ind w:left="473" w:right="0" w:hanging="0"/>
        <w:rPr/>
      </w:pPr>
      <w:r>
        <w:rPr>
          <w:rStyle w:val="Normaltextrun"/>
          <w:color w:val="000000"/>
        </w:rPr>
        <w:t xml:space="preserve">Na aplicação </w:t>
      </w:r>
      <w:r>
        <w:rPr/>
        <w:t>das</w:t>
      </w:r>
      <w:r>
        <w:rPr>
          <w:rStyle w:val="Normaltextrun"/>
          <w:color w:val="000000"/>
        </w:rPr>
        <w:t xml:space="preserve"> sanções serão considerados:</w:t>
      </w:r>
    </w:p>
    <w:p>
      <w:pPr>
        <w:pStyle w:val="Nivel3"/>
        <w:numPr>
          <w:ilvl w:val="2"/>
          <w:numId w:val="2"/>
        </w:numPr>
        <w:ind w:left="284" w:right="0" w:hanging="0"/>
        <w:rPr/>
      </w:pPr>
      <w:r>
        <w:rPr>
          <w:rStyle w:val="Normaltextrun"/>
          <w:rFonts w:cs="Arial"/>
          <w:szCs w:val="20"/>
        </w:rPr>
        <w:t>a natureza e a gravidade da infração cometida;</w:t>
      </w:r>
    </w:p>
    <w:p>
      <w:pPr>
        <w:pStyle w:val="Nivel3"/>
        <w:numPr>
          <w:ilvl w:val="2"/>
          <w:numId w:val="2"/>
        </w:numPr>
        <w:ind w:left="284" w:right="0" w:hanging="0"/>
        <w:rPr/>
      </w:pPr>
      <w:r>
        <w:rPr>
          <w:rStyle w:val="Normaltextrun"/>
          <w:rFonts w:cs="Arial"/>
          <w:szCs w:val="20"/>
        </w:rPr>
        <w:t>as peculiaridades do caso concreto;</w:t>
      </w:r>
    </w:p>
    <w:p>
      <w:pPr>
        <w:pStyle w:val="Nivel3"/>
        <w:numPr>
          <w:ilvl w:val="2"/>
          <w:numId w:val="2"/>
        </w:numPr>
        <w:ind w:left="284" w:right="0" w:hanging="0"/>
        <w:rPr/>
      </w:pPr>
      <w:r>
        <w:rPr>
          <w:rStyle w:val="Normaltextrun"/>
          <w:rFonts w:cs="Arial"/>
          <w:szCs w:val="20"/>
        </w:rPr>
        <w:t>as circunstâncias agravantes ou atenuantes;</w:t>
      </w:r>
    </w:p>
    <w:p>
      <w:pPr>
        <w:pStyle w:val="Nivel3"/>
        <w:numPr>
          <w:ilvl w:val="2"/>
          <w:numId w:val="2"/>
        </w:numPr>
        <w:ind w:left="284" w:right="0" w:hanging="0"/>
        <w:rPr/>
      </w:pPr>
      <w:r>
        <w:rPr>
          <w:rStyle w:val="Normaltextrun"/>
          <w:rFonts w:cs="Arial"/>
          <w:szCs w:val="20"/>
        </w:rPr>
        <w:t>os danos que dela provierem para o Contratante; e</w:t>
      </w:r>
    </w:p>
    <w:p>
      <w:pPr>
        <w:pStyle w:val="Nivel3"/>
        <w:numPr>
          <w:ilvl w:val="2"/>
          <w:numId w:val="2"/>
        </w:numPr>
        <w:ind w:left="284" w:right="0" w:hanging="0"/>
        <w:rPr/>
      </w:pPr>
      <w:r>
        <w:rPr>
          <w:rStyle w:val="Normaltextrun"/>
          <w:rFonts w:cs="Arial"/>
          <w:szCs w:val="20"/>
        </w:rPr>
        <w:t>a implantação ou o aperfeiçoamento de programa de integridade, conforme normas e orientações dos órgãos de controle.</w:t>
      </w:r>
    </w:p>
    <w:p>
      <w:pPr>
        <w:pStyle w:val="Nvel02"/>
        <w:numPr>
          <w:ilvl w:val="1"/>
          <w:numId w:val="2"/>
        </w:numPr>
        <w:shd w:val="clear" w:fill="FFFFFF"/>
        <w:ind w:left="473" w:right="0" w:hanging="0"/>
        <w:rPr/>
      </w:pPr>
      <w:r>
        <w:rPr>
          <w:rStyle w:val="Normaltextrun"/>
          <w:color w:val="000000"/>
        </w:rPr>
        <w:t xml:space="preserve">Os atos previstos como infrações </w:t>
      </w:r>
      <w:r>
        <w:rPr>
          <w:rStyle w:val="Normaltextrun"/>
        </w:rPr>
        <w:t xml:space="preserve">administrativas na Lei nº 14.133, de 2021, ou em outras leis de licitações e contratos da </w:t>
      </w:r>
      <w:r>
        <w:rPr/>
        <w:t>Administração</w:t>
      </w:r>
      <w:r>
        <w:rPr>
          <w:rStyle w:val="Normaltextrun"/>
        </w:rPr>
        <w:t xml:space="preserve"> Pública que também sejam tipificados como atos lesivos na Lei nº 12.846, de 2013, serão apurados e julgados conj</w:t>
      </w:r>
      <w:r>
        <w:rPr>
          <w:rStyle w:val="Normaltextrun"/>
          <w:color w:val="000000"/>
        </w:rPr>
        <w:t xml:space="preserve">untamente, nos mesmos autos, observados o rito procedimental e autoridade competente definidos na </w:t>
      </w:r>
      <w:r>
        <w:rPr>
          <w:rStyle w:val="Normaltextrun"/>
        </w:rPr>
        <w:t>referida Lei.</w:t>
      </w:r>
    </w:p>
    <w:p>
      <w:pPr>
        <w:pStyle w:val="Nvel02"/>
        <w:numPr>
          <w:ilvl w:val="1"/>
          <w:numId w:val="2"/>
        </w:numPr>
        <w:shd w:val="clear" w:fill="FFFFFF"/>
        <w:ind w:left="473" w:right="0" w:hanging="0"/>
        <w:rPr/>
      </w:pPr>
      <w:r>
        <w:rPr>
          <w:rStyle w:val="Normaltextrun"/>
          <w:color w:val="000000"/>
        </w:rPr>
        <w:t xml:space="preserve">A personalidade jurídica do Contratado poderá ser desconsiderada sempre que utilizada com abuso do direito para facilitar, encobrir ou dissimular a prática dos atos ilícitos previstos </w:t>
      </w:r>
      <w:r>
        <w:rPr/>
        <w:t>neste Termo de Referência</w:t>
      </w:r>
      <w:r>
        <w:rPr>
          <w:rStyle w:val="Normaltextrun"/>
          <w:color w:val="000000"/>
        </w:rPr>
        <w:t xml:space="preserve">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pPr>
        <w:pStyle w:val="Nvel02"/>
        <w:numPr>
          <w:ilvl w:val="1"/>
          <w:numId w:val="2"/>
        </w:numPr>
        <w:shd w:val="clear" w:fill="FFFFFF"/>
        <w:ind w:left="473" w:right="0" w:hanging="0"/>
        <w:rPr/>
      </w:pPr>
      <w:r>
        <w:rPr>
          <w:rStyle w:val="Normaltextrun"/>
          <w:color w:val="000000"/>
        </w:rPr>
        <w:t xml:space="preserve">O Contratante deverá, no prazo máximo </w:t>
      </w:r>
      <w:r>
        <w:rPr>
          <w:rStyle w:val="Normaltextrun"/>
        </w:rPr>
        <w:t>de</w:t>
      </w:r>
      <w:r>
        <w:rPr>
          <w:rStyle w:val="Normaltextrun"/>
          <w:color w:val="000000"/>
        </w:rPr>
        <w:t xml:space="preserve"> 15 (quinze) dias úteis, contado da data de aplicação da sanção, </w:t>
      </w:r>
      <w:r>
        <w:rPr/>
        <w:t>informar</w:t>
      </w:r>
      <w:r>
        <w:rPr>
          <w:rStyle w:val="Normaltextrun"/>
          <w:color w:val="000000"/>
        </w:rPr>
        <w:t xml:space="preserve"> e manter atualizados os dados relativos às sanções por ela aplicadas, para fins de publicidade no Cadastro Nacional de Empresas Inidôneas e Suspensas (CEIS) e no Cadastro Nacional de Empresas Punidas (CNEP), instituídos no âmbito do Poder Executivo Federal.</w:t>
      </w:r>
    </w:p>
    <w:p>
      <w:pPr>
        <w:pStyle w:val="Nivel3"/>
        <w:numPr>
          <w:ilvl w:val="1"/>
          <w:numId w:val="2"/>
        </w:numPr>
        <w:ind w:left="284" w:right="0" w:hanging="0"/>
        <w:rPr>
          <w:rFonts w:eastAsia="ＭＳ 明朝"/>
        </w:rPr>
      </w:pPr>
      <w:r>
        <w:rPr>
          <w:rFonts w:eastAsia="ＭＳ 明朝"/>
        </w:rPr>
        <w:t>As penalidades serão obrigatoriamente registradas no SICAF.</w:t>
      </w:r>
    </w:p>
    <w:p>
      <w:pPr>
        <w:pStyle w:val="Nvel02"/>
        <w:numPr>
          <w:ilvl w:val="2"/>
          <w:numId w:val="2"/>
        </w:numPr>
        <w:shd w:val="clear" w:fill="FFFFFF"/>
        <w:ind w:left="473" w:right="0" w:hanging="0"/>
        <w:rPr/>
      </w:pPr>
      <w:r>
        <w:rPr>
          <w:rStyle w:val="Normaltextrun"/>
        </w:rPr>
        <w:t xml:space="preserve">As sanções de impedimento de licitar e contratar e declaração de inidoneidade para licitar ou contratar são passíveis </w:t>
      </w:r>
      <w:r>
        <w:rPr/>
        <w:t>de</w:t>
      </w:r>
      <w:r>
        <w:rPr>
          <w:rStyle w:val="Normaltextrun"/>
        </w:rPr>
        <w:t xml:space="preserve"> reabilitação na forma do art. 163 da Lei nº 14.133, de 2021.</w:t>
      </w:r>
    </w:p>
    <w:p>
      <w:pPr>
        <w:pStyle w:val="Nvel02"/>
        <w:numPr>
          <w:ilvl w:val="2"/>
          <w:numId w:val="2"/>
        </w:numPr>
        <w:shd w:val="clear" w:fill="FFFFFF"/>
        <w:ind w:left="473" w:right="0" w:hanging="0"/>
        <w:rPr/>
      </w:pPr>
      <w:r>
        <w:rPr/>
        <w:t>Os</w:t>
      </w:r>
      <w:r>
        <w:rPr>
          <w:rStyle w:val="Normaltextrun"/>
          <w:color w:val="000000"/>
        </w:rPr>
        <w:t xml:space="preserve">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w:t>
      </w:r>
      <w:r>
        <w:rPr>
          <w:rStyle w:val="Normaltextrun"/>
        </w:rPr>
        <w:t>da Instrução Normativa SEGES/ME nº 26, de 13 de abril de 2022.</w:t>
      </w:r>
    </w:p>
    <w:p>
      <w:pPr>
        <w:pStyle w:val="Nvel02"/>
        <w:shd w:val="clear" w:fill="FFFFFF"/>
        <w:ind w:left="1913" w:right="0" w:hanging="0"/>
        <w:rPr>
          <w:rStyle w:val="Normaltextrun"/>
        </w:rPr>
      </w:pPr>
      <w:r>
        <w:rPr/>
      </w:r>
    </w:p>
    <w:p>
      <w:pPr>
        <w:pStyle w:val="Nivel01"/>
        <w:numPr>
          <w:ilvl w:val="0"/>
          <w:numId w:val="2"/>
        </w:numPr>
        <w:shd w:val="clear" w:fill="FFFFFF"/>
        <w:ind w:left="357" w:right="0" w:hanging="357"/>
        <w:rPr/>
      </w:pPr>
      <w:r>
        <w:rPr/>
        <w:t>FORMA E CRITÉRIOS DE SELEÇÃO DO FORNECEDOR E REGIME DE EXECUÇÃO</w:t>
      </w:r>
    </w:p>
    <w:p>
      <w:pPr>
        <w:pStyle w:val="Nvel1SemNumerao"/>
        <w:shd w:val="clear" w:fill="FFFFFF"/>
        <w:ind w:left="833" w:right="0" w:hanging="0"/>
        <w:rPr/>
      </w:pPr>
      <w:r>
        <w:rPr/>
        <w:t>Forma de seleção e critério de julgamento da proposta</w:t>
      </w:r>
    </w:p>
    <w:p>
      <w:pPr>
        <w:pStyle w:val="Nvel2Opcional1"/>
        <w:numPr>
          <w:ilvl w:val="1"/>
          <w:numId w:val="2"/>
        </w:numPr>
        <w:shd w:val="clear" w:fill="FFFFFF"/>
        <w:ind w:left="473" w:right="0" w:hanging="0"/>
        <w:rPr>
          <w:color w:val="000000"/>
        </w:rPr>
      </w:pPr>
      <w:r>
        <w:rPr>
          <w:color w:val="000000"/>
        </w:rPr>
        <w:t>O fornecedor será selecionado por meio de dispensa de licitação, nos termos do art. 75, inciso II, da Lei nº 14.133, de 2021, com adoção do critério de julgamento pelo menor preço.</w:t>
      </w:r>
    </w:p>
    <w:p>
      <w:pPr>
        <w:pStyle w:val="Nvel2Opcional1"/>
        <w:shd w:val="clear" w:fill="FFFFFF"/>
        <w:ind w:left="1193" w:right="0" w:hanging="0"/>
        <w:rPr>
          <w:shd w:fill="00FFFF" w:val="clear"/>
        </w:rPr>
      </w:pPr>
      <w:r>
        <w:rPr>
          <w:shd w:fill="00FFFF" w:val="clear"/>
        </w:rPr>
      </w:r>
      <w:bookmarkStart w:id="3" w:name="_Hlk170893696"/>
      <w:bookmarkStart w:id="4" w:name="_Hlk190336520"/>
      <w:bookmarkStart w:id="5" w:name="_Hlk170893696"/>
      <w:bookmarkStart w:id="6" w:name="_Hlk190336520"/>
      <w:bookmarkEnd w:id="5"/>
      <w:bookmarkEnd w:id="6"/>
    </w:p>
    <w:p>
      <w:pPr>
        <w:pStyle w:val="Nvel1SemNumerao"/>
        <w:widowControl/>
        <w:shd w:val="clear" w:fill="FFFFFF"/>
        <w:suppressAutoHyphens w:val="true"/>
        <w:bidi w:val="0"/>
        <w:spacing w:lineRule="auto" w:line="276"/>
        <w:ind w:left="833" w:right="0" w:hanging="0"/>
        <w:jc w:val="left"/>
        <w:rPr/>
      </w:pPr>
      <w:r>
        <w:rPr/>
        <w:t>Exigências de habilitação</w:t>
      </w:r>
    </w:p>
    <w:p>
      <w:pPr>
        <w:pStyle w:val="Nvel02"/>
        <w:numPr>
          <w:ilvl w:val="1"/>
          <w:numId w:val="2"/>
        </w:numPr>
        <w:shd w:val="clear" w:fill="FFFFFF"/>
        <w:ind w:left="473" w:right="0" w:hanging="0"/>
        <w:rPr/>
      </w:pPr>
      <w:r>
        <w:rPr/>
        <w:t>Para fins de habilitação, deverá o interessado comprovar os seguintes requisitos:</w:t>
      </w:r>
    </w:p>
    <w:p>
      <w:pPr>
        <w:pStyle w:val="Nvel1SemNumerao"/>
        <w:shd w:val="clear" w:fill="FFFFFF"/>
        <w:ind w:left="833" w:right="0" w:hanging="0"/>
        <w:rPr/>
      </w:pPr>
      <w:r>
        <w:rPr/>
        <w:t>Habilitação jurídica</w:t>
      </w:r>
    </w:p>
    <w:p>
      <w:pPr>
        <w:pStyle w:val="Nvel02"/>
        <w:numPr>
          <w:ilvl w:val="1"/>
          <w:numId w:val="2"/>
        </w:numPr>
        <w:shd w:val="clear" w:fill="FFFFFF"/>
        <w:ind w:left="473" w:right="0" w:hanging="0"/>
        <w:rPr/>
      </w:pPr>
      <w:r>
        <w:rPr/>
        <w:t>P</w:t>
      </w:r>
      <w:bookmarkStart w:id="7" w:name="_Ref115800561"/>
      <w:r>
        <w:rPr/>
        <w:t>essoa física: cédula de identidade (RG) ou documento equivalente que, por força de lei, tenha validade para fins de identificação em todo o território nacional;</w:t>
      </w:r>
      <w:bookmarkEnd w:id="7"/>
    </w:p>
    <w:p>
      <w:pPr>
        <w:pStyle w:val="Nvel02"/>
        <w:numPr>
          <w:ilvl w:val="1"/>
          <w:numId w:val="2"/>
        </w:numPr>
        <w:shd w:val="clear" w:fill="FFFFFF"/>
        <w:ind w:left="473" w:right="0" w:hanging="0"/>
        <w:rPr/>
      </w:pPr>
      <w:r>
        <w:rPr/>
        <w:t>Empresário individual: inscrição no Registro Público de Empresas Mercantis, a cargo da Junta Comercial da respectiva sede;</w:t>
      </w:r>
    </w:p>
    <w:p>
      <w:pPr>
        <w:pStyle w:val="Nvel02"/>
        <w:widowControl/>
        <w:numPr>
          <w:ilvl w:val="1"/>
          <w:numId w:val="2"/>
        </w:numPr>
        <w:shd w:val="clear" w:fill="FFFFFF"/>
        <w:suppressAutoHyphens w:val="true"/>
        <w:bidi w:val="0"/>
        <w:spacing w:lineRule="auto" w:line="276"/>
        <w:ind w:left="473" w:right="0" w:hanging="0"/>
        <w:jc w:val="both"/>
        <w:rPr/>
      </w:pPr>
      <w:r>
        <w:rPr/>
        <w:t>Microempreendedor Individual - MEI: Certificado da Condição de Microempreendedor Individual - CCMEI, cuja aceitação ficará condicionada à verificação da autenticidade no sítio https://www.gov.br/empresas-e-negocios/pt-br/empreendedor;</w:t>
      </w:r>
    </w:p>
    <w:p>
      <w:pPr>
        <w:pStyle w:val="Nvel02"/>
        <w:numPr>
          <w:ilvl w:val="1"/>
          <w:numId w:val="2"/>
        </w:numPr>
        <w:shd w:val="clear" w:fill="FFFFFF"/>
        <w:ind w:left="473" w:right="0" w:hanging="0"/>
        <w:rPr/>
      </w:pPr>
      <w:r>
        <w:rPr/>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pPr>
        <w:pStyle w:val="Nvel02"/>
        <w:numPr>
          <w:ilvl w:val="1"/>
          <w:numId w:val="2"/>
        </w:numPr>
        <w:shd w:val="clear" w:fill="FFFFFF"/>
        <w:ind w:left="1080" w:right="0" w:hanging="360"/>
        <w:rPr/>
      </w:pPr>
      <w:r>
        <w:rPr/>
        <w:t>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pPr>
        <w:pStyle w:val="Nvel02"/>
        <w:numPr>
          <w:ilvl w:val="1"/>
          <w:numId w:val="2"/>
        </w:numPr>
        <w:shd w:val="clear" w:fill="FFFFFF"/>
        <w:ind w:left="113" w:right="0" w:hanging="0"/>
        <w:rPr/>
      </w:pPr>
      <w:r>
        <w:rPr/>
        <w:t>Sociedade simples: inscrição do ato constitutivo no Registro Civil de Pessoas Jurídicas do local de sua sede, acompanhada de documento comprobatório de seus administradores;</w:t>
      </w:r>
    </w:p>
    <w:p>
      <w:pPr>
        <w:pStyle w:val="Nvel02"/>
        <w:numPr>
          <w:ilvl w:val="2"/>
          <w:numId w:val="2"/>
        </w:numPr>
        <w:shd w:val="clear" w:fill="FFFFFF"/>
        <w:ind w:left="1440" w:right="0" w:hanging="360"/>
        <w:rPr/>
      </w:pPr>
      <w:r>
        <w:rPr/>
        <w:t xml:space="preserve">Filial, sucursal ou agência de sociedade simples ou empresária: inscrição do ato constitutivo da filial, sucursal ou agência da sociedade simples ou empresária, respectivamente, no Registro Civil das Pessoas Jurídicas ou no Registro Público de Empresas </w:t>
      </w:r>
      <w:bookmarkStart w:id="8" w:name="_Int_ySfCXwr4"/>
      <w:r>
        <w:rPr/>
        <w:t>Mercantis onde</w:t>
      </w:r>
      <w:bookmarkEnd w:id="8"/>
      <w:r>
        <w:rPr/>
        <w:t xml:space="preserve"> opera, com averbação no Registro onde tem sede a matriz;</w:t>
      </w:r>
    </w:p>
    <w:p>
      <w:pPr>
        <w:pStyle w:val="Nvel02"/>
        <w:numPr>
          <w:ilvl w:val="2"/>
          <w:numId w:val="2"/>
        </w:numPr>
        <w:shd w:val="clear" w:fill="FFFFFF"/>
        <w:ind w:left="1440" w:right="0" w:hanging="360"/>
        <w:rPr/>
      </w:pPr>
      <w:r>
        <w:rPr/>
        <w:t>Sociedade cooperativa: ata de fundação e estatuto social, com a ata da assembleia que o aprovou, devidamente arquivado na Junta Comercial ou inscrito no Registro Civil das Pessoas Jurídicas da respectiva sede, além do registro de que trata o art. 107 da Lei nº 5.764, de 16 de dezembro 1971.</w:t>
      </w:r>
    </w:p>
    <w:p>
      <w:pPr>
        <w:pStyle w:val="Nvel02"/>
        <w:numPr>
          <w:ilvl w:val="2"/>
          <w:numId w:val="2"/>
        </w:numPr>
        <w:shd w:val="clear" w:fill="FFFFFF"/>
        <w:ind w:left="1440" w:right="0" w:hanging="360"/>
        <w:rPr/>
      </w:pPr>
      <w:r>
        <w:rPr/>
        <w:t>Consórcio de empresas: contrato de consórcio devidamente arquivado no Registro Civil das Pessoas Jurídicas ou no Registro Público de Empresas Mercantis (art. 279 da Lei nº 6.404, de 15 de dezembro de 1976) ou compromisso público ou particular de constituição, subscrito pelos consorciados, com a indicação da empresa líder, responsável por sua representação perante a Administração (art. 15, caput, I e II, da Lei nº 14.133, de 2021).</w:t>
      </w:r>
    </w:p>
    <w:p>
      <w:pPr>
        <w:pStyle w:val="Nvel02"/>
        <w:numPr>
          <w:ilvl w:val="2"/>
          <w:numId w:val="2"/>
        </w:numPr>
        <w:shd w:val="clear" w:fill="FFFFFF"/>
        <w:ind w:left="1440" w:right="0" w:hanging="360"/>
        <w:rPr/>
      </w:pPr>
      <w:r>
        <w:rPr/>
        <w:t>Os documentos apresentados deverão estar acompanhados de todas as alterações ou da consolidação respectiva.</w:t>
      </w:r>
    </w:p>
    <w:p>
      <w:pPr>
        <w:pStyle w:val="Nvel1SemNumerao"/>
        <w:numPr>
          <w:ilvl w:val="0"/>
          <w:numId w:val="2"/>
        </w:numPr>
        <w:shd w:val="clear" w:fill="FFFFFF"/>
        <w:ind w:left="720" w:right="0" w:hanging="360"/>
        <w:rPr/>
      </w:pPr>
      <w:r>
        <w:rPr/>
        <w:t>Habilitação fiscal, social e trabalhista</w:t>
      </w:r>
    </w:p>
    <w:p>
      <w:pPr>
        <w:pStyle w:val="Nvel02"/>
        <w:numPr>
          <w:ilvl w:val="1"/>
          <w:numId w:val="2"/>
        </w:numPr>
        <w:shd w:val="clear" w:fill="FFFFFF"/>
        <w:ind w:left="1080" w:right="0" w:hanging="360"/>
        <w:rPr/>
      </w:pPr>
      <w:r>
        <w:rPr/>
        <w:t>Prova de inscrição no Cadastro Nacional de Pessoas Jurídicas ou no Cadastro de Pessoas Físicas, conforme o caso;</w:t>
      </w:r>
    </w:p>
    <w:p>
      <w:pPr>
        <w:pStyle w:val="Nvel02"/>
        <w:numPr>
          <w:ilvl w:val="1"/>
          <w:numId w:val="2"/>
        </w:numPr>
        <w:shd w:val="clear" w:fill="FFFFFF"/>
        <w:ind w:left="1080" w:right="0" w:hanging="360"/>
        <w:rPr/>
      </w:pPr>
      <w:r>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pPr>
        <w:pStyle w:val="Nvel02"/>
        <w:numPr>
          <w:ilvl w:val="1"/>
          <w:numId w:val="2"/>
        </w:numPr>
        <w:shd w:val="clear" w:fill="FFFFFF"/>
        <w:ind w:left="1080" w:right="0" w:hanging="360"/>
        <w:rPr/>
      </w:pPr>
      <w:r>
        <w:rPr/>
        <w:t>Prova de regularidade com o Fundo de Garantia do Tempo de Serviço (FGTS);</w:t>
      </w:r>
    </w:p>
    <w:p>
      <w:pPr>
        <w:pStyle w:val="Nvel02"/>
        <w:numPr>
          <w:ilvl w:val="1"/>
          <w:numId w:val="2"/>
        </w:numPr>
        <w:shd w:val="clear" w:fill="FFFFFF"/>
        <w:ind w:left="1080" w:right="0" w:hanging="360"/>
        <w:rPr/>
      </w:pPr>
      <w:r>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pPr>
        <w:pStyle w:val="Nvel02"/>
        <w:numPr>
          <w:ilvl w:val="1"/>
          <w:numId w:val="2"/>
        </w:numPr>
        <w:shd w:val="clear" w:fill="FFFFFF"/>
        <w:ind w:left="1080" w:right="0" w:hanging="360"/>
        <w:rPr/>
      </w:pPr>
      <w:r>
        <w:rPr/>
        <w:t>Prova de inscrição no cadastro de contribuintes Distrital ou Municipal</w:t>
      </w:r>
      <w:r>
        <w:rPr>
          <w:color w:val="FF0000"/>
        </w:rPr>
        <w:t xml:space="preserve"> </w:t>
      </w:r>
      <w:r>
        <w:rPr/>
        <w:t>relativo ao domicílio ou sede do fornecedor, pertinente ao seu ramo de atividade e compatível com o objeto contratual;</w:t>
      </w:r>
    </w:p>
    <w:p>
      <w:pPr>
        <w:pStyle w:val="Nvel02"/>
        <w:numPr>
          <w:ilvl w:val="1"/>
          <w:numId w:val="2"/>
        </w:numPr>
        <w:shd w:val="clear" w:fill="FFFFFF"/>
        <w:ind w:left="1080" w:right="0" w:hanging="360"/>
        <w:rPr/>
      </w:pPr>
      <w:r>
        <w:rPr/>
        <w:t>Prova de regularidade com a Fazenda Distrital ou Municipal do domicílio ou sede do fornecedor, relativa à atividade em cujo exercício contrata ou concorre;</w:t>
      </w:r>
    </w:p>
    <w:p>
      <w:pPr>
        <w:pStyle w:val="Nvel02"/>
        <w:numPr>
          <w:ilvl w:val="1"/>
          <w:numId w:val="2"/>
        </w:numPr>
        <w:shd w:val="clear" w:fill="FFFFFF"/>
        <w:ind w:left="1080" w:right="0" w:hanging="360"/>
        <w:rPr/>
      </w:pPr>
      <w:r>
        <w:rPr/>
        <w:t>Caso o fornecedor seja considerado isento dos tributos relacionados ao objeto contratual, deverá comprovar tal condição mediante a apresentação de declaração da Fazenda respectiva do seu domicílio ou sede, ou outra equivalente, na forma da lei.</w:t>
      </w:r>
    </w:p>
    <w:p>
      <w:pPr>
        <w:pStyle w:val="Nvel02"/>
        <w:numPr>
          <w:ilvl w:val="1"/>
          <w:numId w:val="2"/>
        </w:numPr>
        <w:shd w:val="clear" w:fill="FFFFFF"/>
        <w:ind w:left="1080" w:right="0" w:hanging="360"/>
        <w:rPr/>
      </w:pPr>
      <w:r>
        <w:rPr/>
        <w:t>O fornecedor enquadrado como microempreendedor individual que pretenda auferir os benefícios do tratamento diferenciado previstos na Lei Complementar n. 123, de 2006, estará dispensado da prova de inscrição nos cadastros de contribuintes estadual e municipal.</w:t>
      </w:r>
    </w:p>
    <w:p>
      <w:pPr>
        <w:pStyle w:val="Nvel1SemNumerao"/>
        <w:numPr>
          <w:ilvl w:val="0"/>
          <w:numId w:val="2"/>
        </w:numPr>
        <w:shd w:val="clear" w:fill="FFFFFF"/>
        <w:ind w:left="720" w:right="0" w:hanging="360"/>
        <w:rPr/>
      </w:pPr>
      <w:r>
        <w:rPr/>
        <w:t>Qualificação Econômico-Financeira</w:t>
      </w:r>
    </w:p>
    <w:p>
      <w:pPr>
        <w:pStyle w:val="Nvel02"/>
        <w:numPr>
          <w:ilvl w:val="1"/>
          <w:numId w:val="2"/>
        </w:numPr>
        <w:shd w:val="clear" w:fill="FFFFFF"/>
        <w:ind w:left="1080" w:right="0" w:hanging="360"/>
        <w:rPr/>
      </w:pPr>
      <w:r>
        <w:rPr/>
        <w:t>Dispensada, por se tratar de contratação de baixo valor e baixo risco.</w:t>
      </w:r>
    </w:p>
    <w:p>
      <w:pPr>
        <w:pStyle w:val="Nvel1SemNumerao"/>
        <w:shd w:val="clear" w:fill="FFFFFF"/>
        <w:ind w:left="1080" w:right="0" w:hanging="0"/>
        <w:rPr/>
      </w:pPr>
      <w:r>
        <w:rPr/>
        <w:t>Qualificação Técnica</w:t>
      </w:r>
    </w:p>
    <w:p>
      <w:pPr>
        <w:pStyle w:val="Nvel2Opcional1"/>
        <w:numPr>
          <w:ilvl w:val="1"/>
          <w:numId w:val="2"/>
        </w:numPr>
        <w:shd w:val="clear" w:fill="FFFFFF"/>
        <w:ind w:left="473" w:right="0" w:hanging="0"/>
        <w:rPr/>
      </w:pPr>
      <w:bookmarkStart w:id="9" w:name="_Ref123202723"/>
      <w:r>
        <w:rPr>
          <w:color w:val="000000"/>
        </w:rPr>
        <w:t xml:space="preserve">Declaração de que o fornecedor tomou conhecimento de todas as informações e das condições locais para o cumprimento das obrigações objeto da </w:t>
      </w:r>
      <w:bookmarkEnd w:id="9"/>
      <w:r>
        <w:rPr>
          <w:color w:val="000000"/>
        </w:rPr>
        <w:t>contratação.</w:t>
      </w:r>
    </w:p>
    <w:p>
      <w:pPr>
        <w:pStyle w:val="Nvel3Opcional1"/>
        <w:numPr>
          <w:ilvl w:val="1"/>
          <w:numId w:val="2"/>
        </w:numPr>
        <w:ind w:left="644" w:right="0" w:hanging="0"/>
        <w:rPr>
          <w:color w:val="000000"/>
        </w:rPr>
      </w:pPr>
      <w:r>
        <w:rPr>
          <w:color w:val="000000"/>
        </w:rPr>
        <w:t>Essa declaração poderá ser substituída por declaração formal assinada pelo responsável técnico do interessado acerca do conhecimento pleno das condições e peculiaridades da contratação.</w:t>
      </w:r>
    </w:p>
    <w:p>
      <w:pPr>
        <w:pStyle w:val="Nvel3Opcional1"/>
        <w:ind w:left="1724" w:right="0" w:hanging="0"/>
        <w:rPr>
          <w:color w:val="000000"/>
        </w:rPr>
      </w:pPr>
      <w:r>
        <w:rPr>
          <w:color w:val="000000"/>
        </w:rPr>
      </w:r>
    </w:p>
    <w:p>
      <w:pPr>
        <w:pStyle w:val="Nvel1SemNumerao"/>
        <w:widowControl/>
        <w:shd w:val="clear" w:fill="FFFFFF"/>
        <w:bidi w:val="0"/>
        <w:spacing w:lineRule="auto" w:line="276"/>
        <w:ind w:left="1080" w:right="0" w:hanging="0"/>
        <w:jc w:val="left"/>
        <w:rPr/>
      </w:pPr>
      <w:bookmarkStart w:id="10" w:name="_Hlk171013756"/>
      <w:bookmarkEnd w:id="10"/>
      <w:r>
        <w:rPr/>
        <w:t>Qualificação Técnico-Operacional</w:t>
      </w:r>
    </w:p>
    <w:p>
      <w:pPr>
        <w:pStyle w:val="Nvel02"/>
        <w:numPr>
          <w:ilvl w:val="1"/>
          <w:numId w:val="2"/>
        </w:numPr>
        <w:shd w:val="clear" w:fill="FFFFFF"/>
        <w:ind w:left="473" w:right="0" w:hanging="0"/>
        <w:rPr/>
      </w:pPr>
      <w:r>
        <w:rPr/>
        <w:t>Comprovação de aptidão para execução de serviço similar, de complexidade tecnológica e operacional equivalente ou superior à do objeto desta contratação, ou do item pertinente, por meio da apresentação de certidões ou atestados emitidos por pessoas jurídicas de direito público ou privado.</w:t>
      </w:r>
    </w:p>
    <w:p>
      <w:pPr>
        <w:pStyle w:val="Nivel3"/>
        <w:numPr>
          <w:ilvl w:val="2"/>
          <w:numId w:val="2"/>
        </w:numPr>
        <w:ind w:left="284" w:right="0" w:hanging="0"/>
        <w:rPr/>
      </w:pPr>
      <w:r>
        <w:rPr/>
        <w:t>Para fins da comprovação de que trata este subitem, os atestados deverão dizer respeito a contrato(s) executado(s).</w:t>
      </w:r>
    </w:p>
    <w:p>
      <w:pPr>
        <w:pStyle w:val="Nivel3"/>
        <w:numPr>
          <w:ilvl w:val="2"/>
          <w:numId w:val="2"/>
        </w:numPr>
        <w:spacing w:before="6" w:after="6"/>
        <w:ind w:left="284" w:right="0" w:hanging="0"/>
        <w:rPr/>
      </w:pPr>
      <w:r>
        <w:rPr/>
        <w:t>Os atestados de capacidade técnica poderão ser apresentados em nome da matriz ou da filial do fornecedor.</w:t>
      </w:r>
    </w:p>
    <w:p>
      <w:pPr>
        <w:pStyle w:val="Nivel3"/>
        <w:numPr>
          <w:ilvl w:val="2"/>
          <w:numId w:val="2"/>
        </w:numPr>
        <w:ind w:left="284" w:right="0" w:hanging="0"/>
        <w:rPr/>
      </w:pPr>
      <w:r>
        <w:rPr/>
        <w:t>O fornecedor disponibilizará todas as informações necessárias à comprovação da legitimidade dos atestados, apresentando, quando solicitado pela Administração, cópia do contrato que deu suporte à contratação, endereço atual do Contratante e local em que foram prestados os serviços, entre outros documentos.</w:t>
      </w:r>
    </w:p>
    <w:p>
      <w:pPr>
        <w:pStyle w:val="Nivel3"/>
        <w:numPr>
          <w:ilvl w:val="2"/>
          <w:numId w:val="2"/>
        </w:numPr>
        <w:ind w:left="284" w:right="0" w:hanging="0"/>
        <w:rPr/>
      </w:pPr>
      <w:r>
        <w:rPr/>
        <w:t>Os atestados deverão referir-se a serviços prestados no âmbito de sua atividade econômica principal ou secundária especificadas no contrato social vigente.</w:t>
      </w:r>
    </w:p>
    <w:p>
      <w:pPr>
        <w:pStyle w:val="Nvel02"/>
        <w:numPr>
          <w:ilvl w:val="2"/>
          <w:numId w:val="2"/>
        </w:numPr>
        <w:shd w:val="clear" w:fill="FFFFFF"/>
        <w:ind w:left="473" w:right="0" w:hanging="0"/>
        <w:rPr/>
      </w:pPr>
      <w:r>
        <w:rPr/>
        <w:t>Serão aceitos atestados ou outros documentos hábeis emitidos por entidades estrangeiras quando acompanhados de tradução para o português, salvo se comprovada a inidoneidade da entidade emissora.</w:t>
      </w:r>
    </w:p>
    <w:p>
      <w:pPr>
        <w:pStyle w:val="Nvel02"/>
        <w:numPr>
          <w:ilvl w:val="2"/>
          <w:numId w:val="2"/>
        </w:numPr>
        <w:shd w:val="clear" w:fill="FFFFFF"/>
        <w:ind w:left="473" w:right="0" w:hanging="0"/>
        <w:rPr/>
      </w:pPr>
      <w:r>
        <w:rPr/>
        <w:t>A apresentação, pelo fornecedor, de certidões ou atestados de desempenho anterior emitido em favor de consórcio do qual tenha feito parte será admitida, desde que atendidos os requisitos do art. 67, §§ 10 e 11, da Lei nº 14.133/2021 e regulamentos sobre o tema.</w:t>
      </w:r>
    </w:p>
    <w:p>
      <w:pPr>
        <w:pStyle w:val="Nvel1SemNumerao"/>
        <w:shd w:val="clear" w:fill="FFFFFF"/>
        <w:ind w:left="1080" w:right="0" w:hanging="0"/>
        <w:rPr/>
      </w:pPr>
      <w:r>
        <w:rPr/>
        <w:t>Qualificação Técnico-Profissional</w:t>
      </w:r>
    </w:p>
    <w:p>
      <w:pPr>
        <w:pStyle w:val="Nvel02"/>
        <w:numPr>
          <w:ilvl w:val="1"/>
          <w:numId w:val="2"/>
        </w:numPr>
        <w:shd w:val="clear" w:fill="FFFFFF"/>
        <w:ind w:left="473" w:right="0" w:hanging="0"/>
        <w:rPr/>
      </w:pPr>
      <w:r>
        <w:rPr/>
        <w:t xml:space="preserve"> </w:t>
      </w:r>
      <w:r>
        <w:rPr/>
        <w:t>Apresentação do(s) profissional(is), devidamente registrado(s) no conselho profissional competente, detentor(es) de atestado de responsabilidade técnica por execução de serviço de características semelhantes.</w:t>
      </w:r>
    </w:p>
    <w:p>
      <w:pPr>
        <w:pStyle w:val="Nvel02"/>
        <w:numPr>
          <w:ilvl w:val="0"/>
          <w:numId w:val="0"/>
        </w:numPr>
        <w:shd w:val="clear" w:fill="FFFFFF"/>
        <w:ind w:left="473" w:right="0" w:hanging="0"/>
        <w:rPr/>
      </w:pPr>
      <w:r>
        <w:rPr/>
        <w:t>a) O(s) profissional(is) deverá(ão) participar do serviço objeto do contrato, e será admitida a sua substituição por profissionais de experiência equivalente ou superior, desde que aprovada pela Administração (§ 6º do art. 67 da Lei nº 14.133, de 2021)</w:t>
      </w:r>
    </w:p>
    <w:p>
      <w:pPr>
        <w:pStyle w:val="Nvel02"/>
        <w:numPr>
          <w:ilvl w:val="0"/>
          <w:numId w:val="0"/>
        </w:numPr>
        <w:shd w:val="clear" w:fill="FFFFFF"/>
        <w:ind w:left="473" w:right="0" w:hanging="0"/>
        <w:rPr/>
      </w:pPr>
      <w:r>
        <w:rPr/>
        <w:t xml:space="preserve"> </w:t>
      </w:r>
      <w:r>
        <w:rPr/>
        <w:t>b) Não serão admitidos atestados de responsabilidade técnica de profissionais que, na forma de regulamento, tenham dado causa à aplicação das sanções previstas nos incisos III e IV do caput do art. 156 da Lei n.º 14.133, de 2021, em decorrência de orientação proposta, de prescrição técnica ou de qualquer ato profissional de sua responsabilidade.</w:t>
      </w:r>
    </w:p>
    <w:p>
      <w:pPr>
        <w:pStyle w:val="Nvel02"/>
        <w:numPr>
          <w:ilvl w:val="0"/>
          <w:numId w:val="0"/>
        </w:numPr>
        <w:shd w:val="clear" w:fill="FFFFFF"/>
        <w:ind w:left="473" w:right="0" w:hanging="0"/>
        <w:rPr/>
      </w:pPr>
      <w:r>
        <w:rPr/>
        <w:t>c) Os atestados de capacidade técnica poderão ser apresentados em nome da matriz ou da filial do fornecedor.ispensada, por não se tratar de serviço que exija profissional específico.</w:t>
      </w:r>
    </w:p>
    <w:p>
      <w:pPr>
        <w:pStyle w:val="Nvel02"/>
        <w:numPr>
          <w:ilvl w:val="0"/>
          <w:numId w:val="0"/>
        </w:numPr>
        <w:shd w:val="clear" w:fill="FFFFFF"/>
        <w:ind w:left="473" w:right="0" w:hanging="0"/>
        <w:rPr/>
      </w:pPr>
      <w:r>
        <w:rPr/>
        <w:t>d) Empresa credenciada pelo INMETRO para teste hidrostático de extintores.</w:t>
      </w:r>
    </w:p>
    <w:p>
      <w:pPr>
        <w:pStyle w:val="Nvel1SemNumerao"/>
        <w:shd w:val="clear" w:fill="FFFFFF"/>
        <w:ind w:left="1080" w:right="0" w:hanging="0"/>
        <w:rPr/>
      </w:pPr>
      <w:r>
        <w:rPr/>
        <w:t>Disposições gerais sobre habilitação</w:t>
      </w:r>
    </w:p>
    <w:p>
      <w:pPr>
        <w:pStyle w:val="Nvel02"/>
        <w:widowControl/>
        <w:numPr>
          <w:ilvl w:val="1"/>
          <w:numId w:val="2"/>
        </w:numPr>
        <w:shd w:val="clear" w:fill="FFFFFF"/>
        <w:suppressAutoHyphens w:val="true"/>
        <w:bidi w:val="0"/>
        <w:spacing w:lineRule="auto" w:line="276"/>
        <w:ind w:left="473" w:right="0" w:hanging="0"/>
        <w:jc w:val="both"/>
        <w:rPr/>
      </w:pPr>
      <w:r>
        <w:rPr/>
        <w:t>Quando permitida a participação na licitação/contratação de empresas estrangeiras que não funcionem no País, as exigências de habilitação serão atendidas mediante documentos equivalentes, inicialmente apresentados em tradução livre.</w:t>
      </w:r>
    </w:p>
    <w:p>
      <w:pPr>
        <w:pStyle w:val="Nvel02"/>
        <w:numPr>
          <w:ilvl w:val="1"/>
          <w:numId w:val="2"/>
        </w:numPr>
        <w:shd w:val="clear" w:fill="FFFFFF"/>
        <w:ind w:left="473" w:right="0" w:hanging="0"/>
        <w:rPr/>
      </w:pPr>
      <w:r>
        <w:rPr/>
        <w:t>Na hipótese de o fornecedor ser empresa estrangeira que não funcione no País, para assinatura do contrato ou da ata de registro de preços ou do aceite do instrumento equivalente, os documentos exigidos para a habilitação serão traduzidos por tradutor juramentado no País e apostilados nos termos do disposto no Decreto nº 8.660, de 29 de janeiro de 2016, ou de outro que venha a substituí-lo, ou consularizados pelos respectivos consulados ou embaixadas.</w:t>
      </w:r>
    </w:p>
    <w:p>
      <w:pPr>
        <w:pStyle w:val="Nvel02"/>
        <w:numPr>
          <w:ilvl w:val="1"/>
          <w:numId w:val="2"/>
        </w:numPr>
        <w:shd w:val="clear" w:fill="FFFFFF"/>
        <w:ind w:left="473" w:right="0" w:hanging="0"/>
        <w:rPr/>
      </w:pPr>
      <w:r>
        <w:rPr/>
        <w:t>Não serão aceitos documentos de habilitação com indicação de CNPJ/CPF diferentes, salvo aqueles legalmente permitidos.</w:t>
      </w:r>
    </w:p>
    <w:p>
      <w:pPr>
        <w:pStyle w:val="Nvel02"/>
        <w:numPr>
          <w:ilvl w:val="1"/>
          <w:numId w:val="2"/>
        </w:numPr>
        <w:shd w:val="clear" w:fill="FFFFFF"/>
        <w:ind w:left="473" w:right="0" w:hanging="0"/>
        <w:rPr/>
      </w:pPr>
      <w:r>
        <w:rPr/>
        <w:t>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pPr>
        <w:pStyle w:val="Nvel02"/>
        <w:numPr>
          <w:ilvl w:val="1"/>
          <w:numId w:val="2"/>
        </w:numPr>
        <w:shd w:val="clear" w:fill="FFFFFF"/>
        <w:ind w:left="473" w:right="0" w:hanging="0"/>
        <w:rPr/>
      </w:pPr>
      <w:r>
        <w:rPr/>
        <w:t>Serão aceitos registros de CNPJ de fornecedor matriz e filial com diferenças de números de documentos pertinentes ao CND e ao CRF/FGTS, quando for comprovada a centralização do recolhimento dessas contribuições.</w:t>
      </w:r>
    </w:p>
    <w:p>
      <w:pPr>
        <w:pStyle w:val="Nvel1SemNumerao"/>
        <w:shd w:val="clear" w:fill="FFFFFF"/>
        <w:ind w:left="1080" w:right="0" w:hanging="0"/>
        <w:rPr/>
      </w:pPr>
      <w:r>
        <w:rPr/>
        <w:t>Documentação complementar para cooperativas</w:t>
      </w:r>
    </w:p>
    <w:p>
      <w:pPr>
        <w:pStyle w:val="Nvel02"/>
        <w:numPr>
          <w:ilvl w:val="1"/>
          <w:numId w:val="2"/>
        </w:numPr>
        <w:shd w:val="clear" w:fill="FFFFFF"/>
        <w:ind w:left="473" w:right="0" w:hanging="0"/>
        <w:rPr/>
      </w:pPr>
      <w:r>
        <w:rPr/>
        <w:t>Caso admitida a participação de cooperativas, será exigida a seguinte documentação complementar:</w:t>
      </w:r>
    </w:p>
    <w:p>
      <w:pPr>
        <w:pStyle w:val="Nivel3"/>
        <w:numPr>
          <w:ilvl w:val="2"/>
          <w:numId w:val="2"/>
        </w:numPr>
        <w:ind w:left="284" w:right="0" w:hanging="0"/>
        <w:rPr/>
      </w:pPr>
      <w:r>
        <w:rPr/>
        <w:t>A relação dos cooperados que atendem aos requisitos técnicos exigidos para a contratação e que executarão o contrato, com as respectivas atas de inscrição e a comprovação de que estão domiciliados na localidade da sede da cooperativa, respeitado o disposto nos arts. 4º, inciso XI, 21, inciso I e 42, §§2º a 6º da Lei n. 5.764, de 1971;</w:t>
      </w:r>
    </w:p>
    <w:p>
      <w:pPr>
        <w:pStyle w:val="Nivel3"/>
        <w:numPr>
          <w:ilvl w:val="2"/>
          <w:numId w:val="2"/>
        </w:numPr>
        <w:ind w:left="284" w:right="0" w:hanging="0"/>
        <w:rPr/>
      </w:pPr>
      <w:r>
        <w:rPr/>
        <w:t>A declaração de regularidade de situação do contribuinte individual – DRSCI, para cada um dos cooperados indicados;</w:t>
      </w:r>
    </w:p>
    <w:p>
      <w:pPr>
        <w:pStyle w:val="Nivel3"/>
        <w:numPr>
          <w:ilvl w:val="2"/>
          <w:numId w:val="2"/>
        </w:numPr>
        <w:ind w:left="284" w:right="0" w:hanging="0"/>
        <w:rPr/>
      </w:pPr>
      <w:r>
        <w:rPr/>
        <w:t xml:space="preserve">A comprovação do capital social proporcional ao número de cooperados necessários à prestação do serviço; </w:t>
      </w:r>
    </w:p>
    <w:p>
      <w:pPr>
        <w:pStyle w:val="Nivel3"/>
        <w:numPr>
          <w:ilvl w:val="2"/>
          <w:numId w:val="2"/>
        </w:numPr>
        <w:ind w:left="284" w:right="0" w:hanging="0"/>
        <w:rPr/>
      </w:pPr>
      <w:r>
        <w:rPr/>
        <w:t>O registro previsto na Lei n. 5.764, de 1971, art. 107;</w:t>
      </w:r>
    </w:p>
    <w:p>
      <w:pPr>
        <w:pStyle w:val="Nivel3"/>
        <w:numPr>
          <w:ilvl w:val="2"/>
          <w:numId w:val="2"/>
        </w:numPr>
        <w:ind w:left="284" w:right="0" w:hanging="0"/>
        <w:rPr/>
      </w:pPr>
      <w:r>
        <w:rPr/>
        <w:t>A comprovação de integração das respectivas quotas-partes por parte dos cooperados que executarão o contrato;</w:t>
      </w:r>
    </w:p>
    <w:p>
      <w:pPr>
        <w:pStyle w:val="Nivel3"/>
        <w:numPr>
          <w:ilvl w:val="2"/>
          <w:numId w:val="2"/>
        </w:numPr>
        <w:ind w:left="284" w:right="0" w:hanging="0"/>
        <w:rPr/>
      </w:pPr>
      <w:r>
        <w:rPr/>
        <w:t>Os seguintes documentos para a comprovação da regularidade jurídica da cooperativa:</w:t>
      </w:r>
    </w:p>
    <w:p>
      <w:pPr>
        <w:pStyle w:val="Nivel4"/>
        <w:numPr>
          <w:ilvl w:val="3"/>
          <w:numId w:val="2"/>
        </w:numPr>
        <w:ind w:left="927" w:right="0" w:hanging="0"/>
        <w:rPr/>
      </w:pPr>
      <w:r>
        <w:rPr/>
        <w:t>ata de fundação;</w:t>
      </w:r>
    </w:p>
    <w:p>
      <w:pPr>
        <w:pStyle w:val="Nivel4"/>
        <w:numPr>
          <w:ilvl w:val="3"/>
          <w:numId w:val="2"/>
        </w:numPr>
        <w:ind w:left="927" w:right="0" w:hanging="0"/>
        <w:rPr/>
      </w:pPr>
      <w:r>
        <w:rPr/>
        <w:t>estatuto social com a ata da assembleia que o aprovou;</w:t>
      </w:r>
    </w:p>
    <w:p>
      <w:pPr>
        <w:pStyle w:val="Nivel4"/>
        <w:numPr>
          <w:ilvl w:val="3"/>
          <w:numId w:val="2"/>
        </w:numPr>
        <w:ind w:left="927" w:right="0" w:hanging="0"/>
        <w:rPr/>
      </w:pPr>
      <w:r>
        <w:rPr/>
        <w:t>regimento dos fundos instituídos pelos cooperados, com a ata da assembleia;</w:t>
      </w:r>
    </w:p>
    <w:p>
      <w:pPr>
        <w:pStyle w:val="Nivel4"/>
        <w:numPr>
          <w:ilvl w:val="3"/>
          <w:numId w:val="2"/>
        </w:numPr>
        <w:ind w:left="927" w:right="0" w:hanging="0"/>
        <w:rPr/>
      </w:pPr>
      <w:r>
        <w:rPr/>
        <w:t>editais de convocação das três últimas assembleias gerais extraordinárias;</w:t>
      </w:r>
    </w:p>
    <w:p>
      <w:pPr>
        <w:pStyle w:val="Nivel4"/>
        <w:numPr>
          <w:ilvl w:val="3"/>
          <w:numId w:val="2"/>
        </w:numPr>
        <w:ind w:left="927" w:right="0" w:hanging="0"/>
        <w:rPr/>
      </w:pPr>
      <w:r>
        <w:rPr/>
        <w:t>três registros de presença dos cooperados que executarão o contrato em assembleias gerais ou nas reuniões seccionais;</w:t>
      </w:r>
    </w:p>
    <w:p>
      <w:pPr>
        <w:pStyle w:val="Nivel4"/>
        <w:numPr>
          <w:ilvl w:val="3"/>
          <w:numId w:val="2"/>
        </w:numPr>
        <w:ind w:left="927" w:right="0" w:hanging="0"/>
        <w:rPr/>
      </w:pPr>
      <w:r>
        <w:rPr/>
        <w:t>ata da sessão que os cooperados autorizaram a cooperativa a contratar o objeto da contratação; e</w:t>
      </w:r>
    </w:p>
    <w:p>
      <w:pPr>
        <w:pStyle w:val="Nivel4"/>
        <w:numPr>
          <w:ilvl w:val="3"/>
          <w:numId w:val="2"/>
        </w:numPr>
        <w:ind w:left="927" w:right="0" w:hanging="0"/>
        <w:rPr/>
      </w:pPr>
      <w:r>
        <w:rPr/>
        <w:t>última auditoria contábil-financeira da cooperativa, conforme dispõe o art. 112 da Lei n. 5.764, de 1971, ou uma declaração, sob as penas da lei, de que tal auditoria não foi exigida pelo órgão fiscalizador.</w:t>
      </w:r>
    </w:p>
    <w:p>
      <w:pPr>
        <w:pStyle w:val="Nivel01"/>
        <w:numPr>
          <w:ilvl w:val="0"/>
          <w:numId w:val="2"/>
        </w:numPr>
        <w:shd w:val="clear" w:fill="FFFFFF"/>
        <w:ind w:left="357" w:right="0" w:hanging="357"/>
        <w:rPr/>
      </w:pPr>
      <w:r>
        <w:rPr/>
        <w:t>ESTIMATIVAS DO VALOR DA CONTRATAÇÃO</w:t>
      </w:r>
    </w:p>
    <w:p>
      <w:pPr>
        <w:pStyle w:val="Nvel2Opcional1"/>
        <w:numPr>
          <w:ilvl w:val="1"/>
          <w:numId w:val="2"/>
        </w:numPr>
        <w:shd w:val="clear" w:fill="FFFFFF"/>
        <w:ind w:left="473" w:right="0" w:hanging="0"/>
        <w:rPr/>
      </w:pPr>
      <w:r>
        <w:rPr>
          <w:i/>
          <w:color w:val="000000"/>
        </w:rPr>
        <w:t>O custo estimado total da contratação é de</w:t>
      </w:r>
      <w:r>
        <w:rPr>
          <w:i/>
          <w:color w:val="ED1C24"/>
        </w:rPr>
        <w:t xml:space="preserve"> </w:t>
      </w:r>
      <w:r>
        <w:rPr>
          <w:i/>
          <w:color w:val="000000"/>
        </w:rPr>
        <w:t>R$ 13.250,00 (treze mil duzentos e cinquenta reais ), conforme custos unitários apostos na tabela acima</w:t>
      </w:r>
    </w:p>
    <w:p>
      <w:pPr>
        <w:pStyle w:val="Nvel2Opcional1"/>
        <w:shd w:val="clear" w:fill="FFFFFF"/>
        <w:ind w:left="473" w:right="0" w:hanging="0"/>
        <w:rPr>
          <w:i/>
          <w:i/>
          <w:color w:val="000000"/>
        </w:rPr>
      </w:pPr>
      <w:r>
        <w:rPr>
          <w:i/>
          <w:color w:val="000000"/>
        </w:rPr>
      </w:r>
    </w:p>
    <w:p>
      <w:pPr>
        <w:pStyle w:val="Nivel01"/>
        <w:widowControl/>
        <w:shd w:val="clear" w:fill="FFFFFF"/>
        <w:bidi w:val="0"/>
        <w:spacing w:lineRule="auto" w:line="276" w:before="120" w:after="120"/>
        <w:ind w:left="720" w:right="0" w:hanging="0"/>
        <w:jc w:val="both"/>
        <w:rPr>
          <w:rFonts w:ascii="Calibri" w:hAnsi="Calibri" w:eastAsia="Arial" w:cs="Arial"/>
          <w:i w:val="false"/>
          <w:i w:val="false"/>
          <w:iCs w:val="false"/>
          <w:color w:val="000000"/>
          <w:kern w:val="0"/>
          <w:sz w:val="24"/>
          <w:szCs w:val="24"/>
          <w:lang w:val="pt-BR" w:eastAsia="pt-BR" w:bidi="ar-SA"/>
        </w:rPr>
      </w:pPr>
      <w:r>
        <w:rPr>
          <w:rFonts w:eastAsia="Arial" w:cs="Arial" w:ascii="Calibri" w:hAnsi="Calibri"/>
          <w:i w:val="false"/>
          <w:iCs w:val="false"/>
          <w:color w:val="000000"/>
          <w:kern w:val="0"/>
          <w:sz w:val="24"/>
          <w:szCs w:val="24"/>
          <w:lang w:val="pt-BR" w:eastAsia="pt-BR" w:bidi="ar-SA"/>
        </w:rPr>
        <w:t>ADEQUAÇÃO ORÇAMENTÁRIA</w:t>
      </w:r>
    </w:p>
    <w:p>
      <w:pPr>
        <w:pStyle w:val="Normal"/>
        <w:widowControl/>
        <w:numPr>
          <w:ilvl w:val="0"/>
          <w:numId w:val="0"/>
        </w:numPr>
        <w:shd w:val="clear" w:fill="FFFFFF"/>
        <w:bidi w:val="0"/>
        <w:spacing w:lineRule="auto" w:line="276" w:before="120" w:after="120"/>
        <w:ind w:left="360" w:right="0" w:hanging="0"/>
        <w:jc w:val="both"/>
        <w:outlineLvl w:val="0"/>
        <w:rPr>
          <w:rFonts w:ascii="Arial" w:hAnsi="Arial" w:eastAsia="Arial" w:cs="Arial"/>
          <w:i w:val="false"/>
          <w:i w:val="false"/>
          <w:iCs/>
          <w:color w:val="000000"/>
          <w:kern w:val="0"/>
          <w:sz w:val="20"/>
          <w:szCs w:val="20"/>
          <w:lang w:val="pt-BR" w:eastAsia="pt-BR" w:bidi="ar-SA"/>
        </w:rPr>
      </w:pPr>
      <w:r>
        <w:rPr>
          <w:rFonts w:eastAsia="Arial" w:cs="Arial" w:ascii="Arial" w:hAnsi="Arial"/>
          <w:i w:val="false"/>
          <w:iCs/>
          <w:color w:val="000000"/>
          <w:kern w:val="0"/>
          <w:sz w:val="20"/>
          <w:szCs w:val="20"/>
          <w:lang w:val="pt-BR" w:eastAsia="pt-BR" w:bidi="ar-SA"/>
        </w:rPr>
      </w:r>
    </w:p>
    <w:p>
      <w:pPr>
        <w:pStyle w:val="Nivel01"/>
        <w:widowControl/>
        <w:shd w:val="clear" w:fill="FFFFFF"/>
        <w:bidi w:val="0"/>
        <w:spacing w:lineRule="auto" w:line="276" w:before="120" w:after="120"/>
        <w:ind w:left="1080" w:right="0" w:hanging="0"/>
        <w:jc w:val="both"/>
        <w:rPr>
          <w:rFonts w:ascii="Calibri" w:hAnsi="Calibri" w:eastAsia="Arial" w:cs="Arial"/>
          <w:i w:val="false"/>
          <w:i w:val="false"/>
          <w:iCs w:val="false"/>
          <w:color w:val="000000"/>
          <w:kern w:val="0"/>
          <w:sz w:val="24"/>
          <w:szCs w:val="24"/>
          <w:lang w:val="pt-BR" w:eastAsia="pt-BR" w:bidi="ar-SA"/>
        </w:rPr>
      </w:pPr>
      <w:r>
        <w:rPr>
          <w:rFonts w:eastAsia="Arial" w:cs="Arial" w:ascii="Calibri" w:hAnsi="Calibri"/>
          <w:i w:val="false"/>
          <w:iCs w:val="false"/>
          <w:color w:val="000000"/>
          <w:kern w:val="0"/>
          <w:sz w:val="24"/>
          <w:szCs w:val="24"/>
          <w:lang w:val="pt-BR" w:eastAsia="pt-BR" w:bidi="ar-SA"/>
        </w:rPr>
        <w:t>As despesas decorrentes da presente contratação correrão à conta de recursos específicos consignados no Orçamento Geral da União.</w:t>
      </w:r>
    </w:p>
    <w:p>
      <w:pPr>
        <w:pStyle w:val="Nivel01"/>
        <w:widowControl/>
        <w:numPr>
          <w:ilvl w:val="1"/>
          <w:numId w:val="2"/>
        </w:numPr>
        <w:shd w:val="clear" w:fill="FFFFFF"/>
        <w:suppressAutoHyphens w:val="true"/>
        <w:bidi w:val="0"/>
        <w:spacing w:lineRule="auto" w:line="276"/>
        <w:ind w:left="360" w:right="0" w:hanging="0"/>
        <w:jc w:val="both"/>
        <w:rPr>
          <w:rFonts w:ascii="Calibri" w:hAnsi="Calibri" w:eastAsia="Arial" w:cs="Arial"/>
          <w:i w:val="false"/>
          <w:i w:val="false"/>
          <w:iCs w:val="false"/>
          <w:color w:val="000000"/>
          <w:kern w:val="0"/>
          <w:sz w:val="24"/>
          <w:szCs w:val="24"/>
          <w:lang w:val="pt-BR" w:eastAsia="pt-BR" w:bidi="ar-SA"/>
        </w:rPr>
      </w:pPr>
      <w:r>
        <w:rPr>
          <w:rFonts w:eastAsia="Arial" w:cs="Arial" w:ascii="Calibri" w:hAnsi="Calibri"/>
          <w:i w:val="false"/>
          <w:iCs w:val="false"/>
          <w:color w:val="000000"/>
          <w:kern w:val="0"/>
          <w:sz w:val="24"/>
          <w:szCs w:val="24"/>
          <w:lang w:val="pt-BR" w:eastAsia="pt-BR" w:bidi="ar-SA"/>
        </w:rPr>
        <w:t>A contratação será atendida pela seguinte dotação:</w:t>
      </w:r>
    </w:p>
    <w:p>
      <w:pPr>
        <w:pStyle w:val="ListParagraph"/>
        <w:numPr>
          <w:ilvl w:val="2"/>
          <w:numId w:val="2"/>
        </w:numPr>
        <w:spacing w:lineRule="auto" w:line="276" w:before="57" w:after="57"/>
        <w:ind w:left="1080" w:right="0" w:hanging="0"/>
        <w:contextualSpacing/>
        <w:jc w:val="both"/>
        <w:rPr>
          <w:rFonts w:ascii="Calibri" w:hAnsi="Calibri" w:eastAsia="Arial" w:cs="Arial"/>
          <w:i w:val="false"/>
          <w:i w:val="false"/>
          <w:iCs w:val="false"/>
          <w:sz w:val="24"/>
          <w:szCs w:val="24"/>
        </w:rPr>
      </w:pPr>
      <w:r>
        <w:rPr>
          <w:rFonts w:eastAsia="Arial" w:cs="Arial" w:ascii="Calibri" w:hAnsi="Calibri"/>
          <w:i w:val="false"/>
          <w:iCs w:val="false"/>
          <w:sz w:val="24"/>
          <w:szCs w:val="24"/>
        </w:rPr>
        <w:t>Gestão/Unidade: 781402;</w:t>
      </w:r>
    </w:p>
    <w:p>
      <w:pPr>
        <w:pStyle w:val="ListParagraph"/>
        <w:numPr>
          <w:ilvl w:val="2"/>
          <w:numId w:val="2"/>
        </w:numPr>
        <w:spacing w:lineRule="auto" w:line="276" w:before="120" w:after="120"/>
        <w:ind w:left="1080" w:right="0" w:hanging="0"/>
        <w:contextualSpacing/>
        <w:jc w:val="both"/>
        <w:rPr/>
      </w:pPr>
      <w:r>
        <w:rPr>
          <w:rFonts w:eastAsia="Arial" w:cs="Arial" w:ascii="Calibri" w:hAnsi="Calibri"/>
          <w:i w:val="false"/>
          <w:iCs w:val="false"/>
          <w:sz w:val="24"/>
          <w:szCs w:val="24"/>
        </w:rPr>
        <w:t xml:space="preserve">Fonte de Recursos: </w:t>
      </w:r>
      <w:bookmarkStart w:id="11" w:name="manterPage%25252525252525252525252525252"/>
      <w:bookmarkStart w:id="12" w:name="manterPage%25252525252525252525252525252"/>
      <w:bookmarkEnd w:id="11"/>
      <w:bookmarkEnd w:id="12"/>
      <w:r>
        <w:rPr>
          <w:i w:val="false"/>
          <w:iCs w:val="false"/>
          <w:color w:val="auto"/>
        </w:rPr>
        <w:t xml:space="preserve">1000000000 </w:t>
      </w:r>
      <w:r>
        <w:rPr>
          <w:rFonts w:eastAsia="Arial" w:cs="Arial" w:ascii="Calibri" w:hAnsi="Calibri"/>
          <w:i w:val="false"/>
          <w:iCs w:val="false"/>
          <w:color w:val="auto"/>
          <w:sz w:val="24"/>
          <w:szCs w:val="24"/>
        </w:rPr>
        <w:t>;</w:t>
      </w:r>
    </w:p>
    <w:p>
      <w:pPr>
        <w:pStyle w:val="ListParagraph"/>
        <w:numPr>
          <w:ilvl w:val="2"/>
          <w:numId w:val="2"/>
        </w:numPr>
        <w:spacing w:lineRule="auto" w:line="276" w:before="120" w:after="120"/>
        <w:ind w:left="1080" w:right="0" w:hanging="0"/>
        <w:contextualSpacing/>
        <w:jc w:val="both"/>
        <w:rPr/>
      </w:pPr>
      <w:r>
        <w:rPr>
          <w:rFonts w:eastAsia="Arial" w:cs="Arial" w:ascii="Calibri" w:hAnsi="Calibri"/>
          <w:i w:val="false"/>
          <w:iCs w:val="false"/>
          <w:sz w:val="24"/>
          <w:szCs w:val="24"/>
        </w:rPr>
        <w:t xml:space="preserve">Programa de Trabalho: </w:t>
      </w:r>
      <w:bookmarkStart w:id="13" w:name="manterPage%25252525252525252525252525252"/>
      <w:bookmarkStart w:id="14" w:name="manterPage%25252525252525252525252525252"/>
      <w:bookmarkEnd w:id="13"/>
      <w:bookmarkEnd w:id="14"/>
      <w:r>
        <w:rPr>
          <w:i w:val="false"/>
          <w:iCs w:val="false"/>
          <w:color w:val="auto"/>
        </w:rPr>
        <w:t>228653</w:t>
      </w:r>
      <w:r>
        <w:rPr>
          <w:rFonts w:eastAsia="Arial" w:cs="Arial" w:ascii="Calibri" w:hAnsi="Calibri"/>
          <w:i w:val="false"/>
          <w:iCs w:val="false"/>
          <w:color w:val="auto"/>
          <w:sz w:val="24"/>
          <w:szCs w:val="24"/>
        </w:rPr>
        <w:t>;</w:t>
      </w:r>
    </w:p>
    <w:p>
      <w:pPr>
        <w:pStyle w:val="ListParagraph"/>
        <w:numPr>
          <w:ilvl w:val="2"/>
          <w:numId w:val="2"/>
        </w:numPr>
        <w:spacing w:lineRule="auto" w:line="276" w:before="120" w:after="120"/>
        <w:ind w:left="1080" w:right="0" w:hanging="0"/>
        <w:contextualSpacing/>
        <w:jc w:val="both"/>
        <w:rPr>
          <w:rFonts w:ascii="Calibri" w:hAnsi="Calibri" w:eastAsia="Arial" w:cs="Arial"/>
          <w:i w:val="false"/>
          <w:i w:val="false"/>
          <w:iCs w:val="false"/>
          <w:sz w:val="24"/>
          <w:szCs w:val="24"/>
        </w:rPr>
      </w:pPr>
      <w:r>
        <w:rPr>
          <w:rFonts w:eastAsia="Arial" w:cs="Arial" w:ascii="Calibri" w:hAnsi="Calibri"/>
          <w:i w:val="false"/>
          <w:iCs w:val="false"/>
          <w:sz w:val="24"/>
          <w:szCs w:val="24"/>
        </w:rPr>
        <w:t>Elemento de Despesa: 339039;</w:t>
      </w:r>
    </w:p>
    <w:p>
      <w:pPr>
        <w:pStyle w:val="ListParagraph"/>
        <w:numPr>
          <w:ilvl w:val="2"/>
          <w:numId w:val="2"/>
        </w:numPr>
        <w:shd w:val="clear" w:fill="FFFFFF"/>
        <w:spacing w:lineRule="auto" w:line="276" w:before="120" w:after="120"/>
        <w:ind w:left="1080" w:right="0" w:hanging="0"/>
        <w:contextualSpacing/>
        <w:jc w:val="both"/>
        <w:rPr/>
      </w:pPr>
      <w:r>
        <w:rPr>
          <w:rFonts w:eastAsia="Arial" w:cs="Arial" w:ascii="Calibri" w:hAnsi="Calibri"/>
          <w:i/>
          <w:iCs/>
          <w:color w:val="000000"/>
          <w:sz w:val="24"/>
          <w:szCs w:val="24"/>
        </w:rPr>
        <w:t xml:space="preserve">Plano Interno: </w:t>
      </w:r>
      <w:r>
        <w:rPr>
          <w:rFonts w:eastAsia="Arial" w:cs="Arial" w:ascii="Calibri" w:hAnsi="Calibri"/>
          <w:i w:val="false"/>
          <w:iCs w:val="false"/>
          <w:color w:val="000000"/>
          <w:kern w:val="0"/>
          <w:sz w:val="24"/>
          <w:szCs w:val="24"/>
          <w:lang w:val="pt-BR" w:eastAsia="pt-BR" w:bidi="ar-SA"/>
        </w:rPr>
        <w:t>P01169200</w:t>
      </w:r>
    </w:p>
    <w:p>
      <w:pPr>
        <w:pStyle w:val="Nvel2Opcional1"/>
        <w:numPr>
          <w:ilvl w:val="1"/>
          <w:numId w:val="2"/>
        </w:numPr>
        <w:shd w:val="clear" w:fill="FFFFFF"/>
        <w:spacing w:before="63" w:after="63"/>
        <w:ind w:left="473" w:right="0" w:hanging="0"/>
        <w:rPr>
          <w:color w:val="000000"/>
        </w:rPr>
      </w:pPr>
      <w:r>
        <w:rPr>
          <w:color w:val="000000"/>
        </w:rPr>
        <w:t>A dotação relativa aos exercícios financeiros subsequentes será indicada após aprovação da Lei Orçamentária respectiva e liberação dos créditos correspondentes, mediante apostilamento.</w:t>
      </w:r>
    </w:p>
    <w:p>
      <w:pPr>
        <w:pStyle w:val="Nvel2Opcional1"/>
        <w:shd w:val="clear" w:fill="FFFFFF"/>
        <w:ind w:left="1193" w:right="0" w:hanging="0"/>
        <w:rPr>
          <w:shd w:fill="00FFFF" w:val="clear"/>
        </w:rPr>
      </w:pPr>
      <w:r>
        <w:rPr>
          <w:shd w:fill="00FFFF" w:val="clear"/>
        </w:rPr>
      </w:r>
    </w:p>
    <w:p>
      <w:pPr>
        <w:pStyle w:val="Nivel01"/>
        <w:widowControl/>
        <w:numPr>
          <w:ilvl w:val="0"/>
          <w:numId w:val="2"/>
        </w:numPr>
        <w:shd w:val="clear" w:fill="FFFFFF"/>
        <w:bidi w:val="0"/>
        <w:spacing w:lineRule="auto" w:line="276"/>
        <w:ind w:left="360" w:right="0" w:hanging="0"/>
        <w:jc w:val="both"/>
        <w:rPr/>
      </w:pPr>
      <w:r>
        <w:rPr/>
        <w:t>DISPOSIÇÕES FINAIS</w:t>
      </w:r>
    </w:p>
    <w:p>
      <w:pPr>
        <w:pStyle w:val="Nvel02"/>
        <w:numPr>
          <w:ilvl w:val="1"/>
          <w:numId w:val="2"/>
        </w:numPr>
        <w:shd w:val="clear" w:fill="FFFFFF"/>
        <w:ind w:left="473" w:right="0" w:hanging="0"/>
        <w:rPr/>
      </w:pPr>
      <w:r>
        <w:rPr/>
        <w:t>As informações contidas neste Termo de Referência não são classificadas como sigilosas [exceto o custo estimado da contratação, que possui caráter sigiloso até o julgamento das propostas].</w:t>
      </w:r>
    </w:p>
    <w:p>
      <w:pPr>
        <w:pStyle w:val="Nvel02"/>
        <w:shd w:val="clear" w:fill="FFFFFF"/>
        <w:ind w:left="1193" w:right="0" w:hanging="0"/>
        <w:rPr/>
      </w:pPr>
      <w:r>
        <w:rPr/>
      </w:r>
    </w:p>
    <w:p>
      <w:pPr>
        <w:pStyle w:val="Normal"/>
        <w:ind w:left="709" w:right="0" w:hanging="0"/>
        <w:jc w:val="left"/>
        <w:rPr>
          <w:rFonts w:ascii="Calibri" w:hAnsi="Calibri"/>
          <w:b w:val="false"/>
          <w:b w:val="false"/>
          <w:bCs w:val="false"/>
          <w:i w:val="false"/>
          <w:i w:val="false"/>
          <w:iCs w:val="false"/>
          <w:sz w:val="24"/>
          <w:szCs w:val="24"/>
        </w:rPr>
      </w:pPr>
      <w:r>
        <w:rPr>
          <w:rFonts w:ascii="Calibri" w:hAnsi="Calibri"/>
          <w:b w:val="false"/>
          <w:bCs w:val="false"/>
          <w:i w:val="false"/>
          <w:iCs w:val="false"/>
          <w:sz w:val="24"/>
          <w:szCs w:val="24"/>
        </w:rPr>
        <w:t>Rio de Janeiro, RJ, em  26  de maio    de 2026.</w:t>
      </w:r>
    </w:p>
    <w:p>
      <w:pPr>
        <w:pStyle w:val="Normal"/>
        <w:ind w:left="357" w:right="0" w:hanging="0"/>
        <w:jc w:val="center"/>
        <w:rPr>
          <w:rFonts w:ascii="Arial" w:hAnsi="Arial" w:eastAsia="Arial" w:cs="Arial"/>
          <w:i w:val="false"/>
          <w:i w:val="false"/>
          <w:iCs w:val="false"/>
          <w:sz w:val="24"/>
          <w:szCs w:val="24"/>
        </w:rPr>
      </w:pPr>
      <w:r>
        <w:rPr>
          <w:rFonts w:eastAsia="Arial" w:cs="Arial" w:ascii="Arial" w:hAnsi="Arial"/>
          <w:i w:val="false"/>
          <w:iCs w:val="false"/>
          <w:sz w:val="24"/>
          <w:szCs w:val="24"/>
        </w:rPr>
      </w:r>
    </w:p>
    <w:p>
      <w:pPr>
        <w:pStyle w:val="Normal"/>
        <w:ind w:left="357" w:right="0" w:hanging="0"/>
        <w:jc w:val="center"/>
        <w:rPr>
          <w:rFonts w:ascii="Arial" w:hAnsi="Arial" w:eastAsia="Arial" w:cs="Arial"/>
          <w:i w:val="false"/>
          <w:i w:val="false"/>
          <w:iCs w:val="false"/>
          <w:sz w:val="24"/>
          <w:szCs w:val="24"/>
        </w:rPr>
      </w:pPr>
      <w:r>
        <w:rPr>
          <w:rFonts w:eastAsia="Arial" w:cs="Arial" w:ascii="Arial" w:hAnsi="Arial"/>
          <w:i w:val="false"/>
          <w:iCs w:val="false"/>
          <w:sz w:val="24"/>
          <w:szCs w:val="24"/>
        </w:rPr>
        <w:t xml:space="preserve"> </w:t>
      </w:r>
    </w:p>
    <w:p>
      <w:pPr>
        <w:pStyle w:val="Normal"/>
        <w:ind w:left="357" w:right="0" w:hanging="0"/>
        <w:jc w:val="center"/>
        <w:rPr>
          <w:rFonts w:ascii="Arial" w:hAnsi="Arial" w:eastAsia="Arial" w:cs="Arial"/>
          <w:i w:val="false"/>
          <w:i w:val="false"/>
          <w:iCs w:val="false"/>
          <w:sz w:val="24"/>
          <w:szCs w:val="24"/>
        </w:rPr>
      </w:pPr>
      <w:r>
        <w:rPr>
          <w:rFonts w:eastAsia="Arial" w:cs="Arial" w:ascii="Arial" w:hAnsi="Arial"/>
          <w:i w:val="false"/>
          <w:iCs w:val="false"/>
          <w:sz w:val="24"/>
          <w:szCs w:val="24"/>
        </w:rPr>
      </w:r>
    </w:p>
    <w:p>
      <w:pPr>
        <w:pStyle w:val="Normal"/>
        <w:ind w:left="357" w:right="0" w:hanging="0"/>
        <w:jc w:val="center"/>
        <w:rPr>
          <w:rFonts w:ascii="Arial" w:hAnsi="Arial" w:eastAsia="Arial" w:cs="Arial"/>
          <w:i w:val="false"/>
          <w:i w:val="false"/>
          <w:iCs w:val="false"/>
          <w:sz w:val="24"/>
          <w:szCs w:val="24"/>
        </w:rPr>
      </w:pPr>
      <w:r>
        <w:rPr>
          <w:rFonts w:eastAsia="Arial" w:cs="Arial" w:ascii="Arial" w:hAnsi="Arial"/>
          <w:i w:val="false"/>
          <w:iCs w:val="false"/>
          <w:sz w:val="24"/>
          <w:szCs w:val="24"/>
        </w:rPr>
      </w:r>
    </w:p>
    <w:p>
      <w:pPr>
        <w:pStyle w:val="Normal"/>
        <w:spacing w:before="0" w:after="0"/>
        <w:ind w:left="357" w:right="0" w:hanging="0"/>
        <w:jc w:val="center"/>
        <w:rPr>
          <w:rFonts w:ascii="Arial" w:hAnsi="Arial" w:eastAsia="Arial" w:cs="Arial"/>
          <w:i w:val="false"/>
          <w:i w:val="false"/>
          <w:iCs w:val="false"/>
          <w:sz w:val="24"/>
          <w:szCs w:val="24"/>
        </w:rPr>
      </w:pPr>
      <w:r>
        <w:rPr>
          <w:rFonts w:eastAsia="Arial" w:cs="Arial" w:ascii="Arial" w:hAnsi="Arial"/>
          <w:i w:val="false"/>
          <w:iCs w:val="false"/>
          <w:sz w:val="24"/>
          <w:szCs w:val="24"/>
        </w:rPr>
        <w:t>______________________________________________</w:t>
      </w:r>
    </w:p>
    <w:p>
      <w:pPr>
        <w:pStyle w:val="Normal"/>
        <w:spacing w:before="0" w:after="0"/>
        <w:ind w:left="357" w:right="0" w:hanging="0"/>
        <w:jc w:val="center"/>
        <w:rPr/>
      </w:pPr>
      <w:r>
        <w:rPr>
          <w:rFonts w:eastAsia="Arial" w:cs="Arial" w:ascii="Arial" w:hAnsi="Arial"/>
          <w:i w:val="false"/>
          <w:iCs w:val="false"/>
          <w:sz w:val="24"/>
          <w:szCs w:val="24"/>
        </w:rPr>
        <w:br/>
      </w:r>
      <w:r>
        <w:rPr>
          <w:rStyle w:val="Fontepargpadro"/>
          <w:rFonts w:eastAsia="Times New Roman" w:cs="Times New Roman" w:ascii="Arial" w:hAnsi="Arial"/>
          <w:b w:val="false"/>
          <w:bCs w:val="false"/>
          <w:i w:val="false"/>
          <w:iCs w:val="false"/>
          <w:color w:val="000000"/>
          <w:kern w:val="0"/>
          <w:sz w:val="24"/>
          <w:szCs w:val="24"/>
          <w:shd w:fill="FFFFFF" w:val="clear"/>
          <w:lang w:val="pt-BR" w:eastAsia="zh-CN" w:bidi="ar-SA"/>
        </w:rPr>
        <w:t>RAPHAEL BRUNO LOREIRO</w:t>
      </w:r>
    </w:p>
    <w:p>
      <w:pPr>
        <w:pStyle w:val="Normal"/>
        <w:spacing w:before="0" w:after="0"/>
        <w:ind w:left="357" w:right="0" w:hanging="0"/>
        <w:jc w:val="center"/>
        <w:rPr/>
      </w:pPr>
      <w:r>
        <w:rPr>
          <w:rStyle w:val="Fontepargpadro"/>
          <w:rFonts w:eastAsia="Times New Roman" w:cs="Times New Roman" w:ascii="Arial" w:hAnsi="Arial"/>
          <w:b w:val="false"/>
          <w:bCs w:val="false"/>
          <w:i w:val="false"/>
          <w:iCs w:val="false"/>
          <w:color w:val="000000"/>
          <w:kern w:val="0"/>
          <w:sz w:val="24"/>
          <w:szCs w:val="24"/>
          <w:shd w:fill="FFFFFF" w:val="clear"/>
          <w:lang w:val="pt-BR" w:eastAsia="zh-CN" w:bidi="ar-SA"/>
        </w:rPr>
        <w:t>Capitão de Corveta</w:t>
      </w:r>
    </w:p>
    <w:p>
      <w:pPr>
        <w:pStyle w:val="Normal"/>
        <w:spacing w:before="0" w:after="0"/>
        <w:ind w:left="357" w:right="0" w:hanging="0"/>
        <w:jc w:val="center"/>
        <w:rPr/>
      </w:pPr>
      <w:r>
        <w:rPr>
          <w:rStyle w:val="Fontepargpadro"/>
          <w:rFonts w:eastAsia="Times New Roman" w:cs="Times New Roman" w:ascii="Arial" w:hAnsi="Arial"/>
          <w:b w:val="false"/>
          <w:bCs w:val="false"/>
          <w:i w:val="false"/>
          <w:iCs w:val="false"/>
          <w:color w:val="000000"/>
          <w:kern w:val="0"/>
          <w:sz w:val="24"/>
          <w:szCs w:val="24"/>
          <w:shd w:fill="FFFFFF" w:val="clear"/>
          <w:lang w:val="pt-BR" w:eastAsia="zh-CN" w:bidi="ar-SA"/>
        </w:rPr>
        <w:t>Encarregado da Divisão de Manutenção e Suporte</w:t>
      </w:r>
    </w:p>
    <w:p>
      <w:pPr>
        <w:pStyle w:val="Normal"/>
        <w:shd w:val="clear" w:fill="FFFFFF"/>
        <w:spacing w:before="0" w:after="0"/>
        <w:ind w:left="0" w:right="0" w:hanging="0"/>
        <w:jc w:val="center"/>
        <w:rPr>
          <w:rStyle w:val="Fontepargpadro"/>
          <w:rFonts w:ascii="Arial" w:hAnsi="Arial" w:eastAsia="Times New Roman" w:cs="Times New Roman"/>
          <w:b w:val="false"/>
          <w:b w:val="false"/>
          <w:bCs w:val="false"/>
          <w:i w:val="false"/>
          <w:i w:val="false"/>
          <w:iCs w:val="false"/>
          <w:color w:val="000000"/>
          <w:kern w:val="0"/>
          <w:sz w:val="24"/>
          <w:szCs w:val="24"/>
          <w:lang w:val="pt-BR" w:eastAsia="zh-CN" w:bidi="ar-SA"/>
        </w:rPr>
      </w:pPr>
      <w:r>
        <w:rPr>
          <w:rFonts w:eastAsia="Times New Roman" w:cs="Times New Roman" w:ascii="Arial" w:hAnsi="Arial"/>
          <w:b w:val="false"/>
          <w:bCs w:val="false"/>
          <w:i w:val="false"/>
          <w:iCs w:val="false"/>
          <w:color w:val="000000"/>
          <w:kern w:val="0"/>
          <w:sz w:val="24"/>
          <w:szCs w:val="24"/>
          <w:lang w:val="pt-BR" w:eastAsia="zh-CN" w:bidi="ar-SA"/>
        </w:rPr>
      </w:r>
    </w:p>
    <w:p>
      <w:pPr>
        <w:pStyle w:val="Normal"/>
        <w:ind w:left="709" w:right="0" w:hanging="0"/>
        <w:jc w:val="left"/>
        <w:rPr>
          <w:rFonts w:ascii="Calibri" w:hAnsi="Calibri"/>
          <w:b w:val="false"/>
          <w:b w:val="false"/>
          <w:bCs w:val="false"/>
          <w:i w:val="false"/>
          <w:i w:val="false"/>
          <w:iCs w:val="false"/>
          <w:sz w:val="24"/>
          <w:szCs w:val="24"/>
        </w:rPr>
      </w:pPr>
      <w:r>
        <w:rPr>
          <w:rFonts w:ascii="Calibri" w:hAnsi="Calibri"/>
          <w:b w:val="false"/>
          <w:bCs w:val="false"/>
          <w:i w:val="false"/>
          <w:iCs w:val="false"/>
          <w:sz w:val="24"/>
          <w:szCs w:val="24"/>
        </w:rPr>
        <w:t xml:space="preserve">Rio de Janeiro, RJ, em  </w:t>
      </w:r>
      <w:r>
        <w:rPr>
          <w:rFonts w:ascii="Calibri" w:hAnsi="Calibri"/>
          <w:b w:val="false"/>
          <w:bCs w:val="false"/>
          <w:i w:val="false"/>
          <w:iCs w:val="false"/>
          <w:sz w:val="24"/>
          <w:szCs w:val="24"/>
        </w:rPr>
        <w:t>27</w:t>
      </w:r>
      <w:r>
        <w:rPr>
          <w:rFonts w:ascii="Calibri" w:hAnsi="Calibri"/>
          <w:b w:val="false"/>
          <w:bCs w:val="false"/>
          <w:i w:val="false"/>
          <w:iCs w:val="false"/>
          <w:sz w:val="24"/>
          <w:szCs w:val="24"/>
        </w:rPr>
        <w:t xml:space="preserve"> de maio  de 2026.</w:t>
      </w:r>
    </w:p>
    <w:p>
      <w:pPr>
        <w:pStyle w:val="Normal"/>
        <w:shd w:val="clear" w:fill="FFFFFF"/>
        <w:spacing w:before="0" w:after="0"/>
        <w:ind w:left="357" w:right="0" w:hanging="0"/>
        <w:jc w:val="center"/>
        <w:rPr>
          <w:rFonts w:ascii="Arial" w:hAnsi="Arial" w:eastAsia="Arial" w:cs="Arial"/>
          <w:i w:val="false"/>
          <w:i w:val="false"/>
          <w:iCs w:val="false"/>
          <w:sz w:val="24"/>
          <w:szCs w:val="24"/>
        </w:rPr>
      </w:pPr>
      <w:r>
        <w:rPr>
          <w:rFonts w:eastAsia="Arial" w:cs="Arial" w:ascii="Arial" w:hAnsi="Arial"/>
          <w:i w:val="false"/>
          <w:iCs w:val="false"/>
          <w:sz w:val="24"/>
          <w:szCs w:val="24"/>
        </w:rPr>
      </w:r>
    </w:p>
    <w:p>
      <w:pPr>
        <w:pStyle w:val="Normal"/>
        <w:shd w:val="clear" w:fill="FFFFFF"/>
        <w:spacing w:before="0" w:after="0"/>
        <w:ind w:left="709" w:right="0" w:hanging="0"/>
        <w:jc w:val="left"/>
        <w:rPr/>
      </w:pPr>
      <w:r>
        <w:rPr>
          <w:rStyle w:val="Fontepargpadro"/>
          <w:rFonts w:eastAsia="Times New Roman" w:cs="Times New Roman" w:ascii="Arial" w:hAnsi="Arial"/>
          <w:b w:val="false"/>
          <w:bCs w:val="false"/>
          <w:i w:val="false"/>
          <w:iCs w:val="false"/>
          <w:color w:val="000000"/>
          <w:kern w:val="0"/>
          <w:sz w:val="24"/>
          <w:szCs w:val="24"/>
          <w:lang w:val="pt-BR" w:eastAsia="zh-CN" w:bidi="ar-SA"/>
        </w:rPr>
        <w:t xml:space="preserve"> </w:t>
      </w:r>
    </w:p>
    <w:p>
      <w:pPr>
        <w:pStyle w:val="Normal"/>
        <w:shd w:val="clear" w:fill="FFFFFF"/>
        <w:spacing w:before="0" w:after="0"/>
        <w:ind w:left="709" w:right="0" w:hanging="0"/>
        <w:jc w:val="left"/>
        <w:rPr>
          <w:rStyle w:val="Fontepargpadro"/>
          <w:rFonts w:ascii="Arial" w:hAnsi="Arial" w:eastAsia="Times New Roman" w:cs="Times New Roman"/>
          <w:b w:val="false"/>
          <w:b w:val="false"/>
          <w:bCs w:val="false"/>
          <w:i w:val="false"/>
          <w:i w:val="false"/>
          <w:iCs w:val="false"/>
          <w:color w:val="000000"/>
          <w:kern w:val="0"/>
          <w:sz w:val="24"/>
          <w:szCs w:val="24"/>
          <w:lang w:val="pt-BR" w:eastAsia="zh-CN" w:bidi="ar-SA"/>
        </w:rPr>
      </w:pPr>
      <w:r>
        <w:rPr>
          <w:rFonts w:eastAsia="Times New Roman" w:cs="Times New Roman" w:ascii="Arial" w:hAnsi="Arial"/>
          <w:b w:val="false"/>
          <w:bCs w:val="false"/>
          <w:i w:val="false"/>
          <w:iCs w:val="false"/>
          <w:color w:val="000000"/>
          <w:kern w:val="0"/>
          <w:sz w:val="24"/>
          <w:szCs w:val="24"/>
          <w:lang w:val="pt-BR" w:eastAsia="zh-CN" w:bidi="ar-SA"/>
        </w:rPr>
      </w:r>
    </w:p>
    <w:p>
      <w:pPr>
        <w:pStyle w:val="Normal"/>
        <w:shd w:val="clear" w:fill="FFFFFF"/>
        <w:spacing w:before="0" w:after="0"/>
        <w:ind w:left="0" w:right="0" w:hanging="0"/>
        <w:jc w:val="center"/>
        <w:rPr>
          <w:rStyle w:val="Fontepargpadro"/>
          <w:rFonts w:ascii="Arial" w:hAnsi="Arial" w:eastAsia="Times New Roman" w:cs="Times New Roman"/>
          <w:b w:val="false"/>
          <w:b w:val="false"/>
          <w:bCs w:val="false"/>
          <w:i w:val="false"/>
          <w:i w:val="false"/>
          <w:iCs w:val="false"/>
          <w:color w:val="000000"/>
          <w:kern w:val="0"/>
          <w:sz w:val="24"/>
          <w:szCs w:val="24"/>
          <w:lang w:val="pt-BR" w:eastAsia="zh-CN" w:bidi="ar-SA"/>
        </w:rPr>
      </w:pPr>
      <w:r>
        <w:rPr>
          <w:rFonts w:eastAsia="Times New Roman" w:cs="Times New Roman" w:ascii="Arial" w:hAnsi="Arial"/>
          <w:b w:val="false"/>
          <w:bCs w:val="false"/>
          <w:i w:val="false"/>
          <w:iCs w:val="false"/>
          <w:color w:val="000000"/>
          <w:kern w:val="0"/>
          <w:sz w:val="24"/>
          <w:szCs w:val="24"/>
          <w:lang w:val="pt-BR" w:eastAsia="zh-CN" w:bidi="ar-SA"/>
        </w:rPr>
      </w:r>
    </w:p>
    <w:p>
      <w:pPr>
        <w:pStyle w:val="Normal"/>
        <w:shd w:val="clear" w:fill="FFFFFF"/>
        <w:spacing w:before="0" w:after="0"/>
        <w:ind w:left="0" w:right="0" w:hanging="0"/>
        <w:jc w:val="center"/>
        <w:rPr>
          <w:rStyle w:val="Fontepargpadro"/>
          <w:rFonts w:ascii="Arial" w:hAnsi="Arial" w:eastAsia="Times New Roman" w:cs="Times New Roman"/>
          <w:b w:val="false"/>
          <w:b w:val="false"/>
          <w:bCs w:val="false"/>
          <w:i w:val="false"/>
          <w:i w:val="false"/>
          <w:iCs w:val="false"/>
          <w:color w:val="000000"/>
          <w:kern w:val="0"/>
          <w:sz w:val="24"/>
          <w:szCs w:val="24"/>
          <w:lang w:val="pt-BR" w:eastAsia="zh-CN" w:bidi="ar-SA"/>
        </w:rPr>
      </w:pPr>
      <w:r>
        <w:rPr>
          <w:rFonts w:eastAsia="Times New Roman" w:cs="Times New Roman" w:ascii="Arial" w:hAnsi="Arial"/>
          <w:b w:val="false"/>
          <w:bCs w:val="false"/>
          <w:i w:val="false"/>
          <w:iCs w:val="false"/>
          <w:color w:val="000000"/>
          <w:kern w:val="0"/>
          <w:sz w:val="24"/>
          <w:szCs w:val="24"/>
          <w:lang w:val="pt-BR" w:eastAsia="zh-CN" w:bidi="ar-SA"/>
        </w:rPr>
      </w:r>
    </w:p>
    <w:p>
      <w:pPr>
        <w:pStyle w:val="Normal"/>
        <w:spacing w:before="0" w:after="0"/>
        <w:ind w:left="357" w:right="0" w:hanging="0"/>
        <w:jc w:val="center"/>
        <w:rPr>
          <w:rFonts w:ascii="Arial" w:hAnsi="Arial" w:eastAsia="Arial" w:cs="Arial"/>
          <w:i w:val="false"/>
          <w:i w:val="false"/>
          <w:iCs w:val="false"/>
          <w:sz w:val="24"/>
          <w:szCs w:val="24"/>
        </w:rPr>
      </w:pPr>
      <w:r>
        <w:rPr>
          <w:rFonts w:eastAsia="Arial" w:cs="Arial" w:ascii="Arial" w:hAnsi="Arial"/>
          <w:i w:val="false"/>
          <w:iCs w:val="false"/>
          <w:sz w:val="24"/>
          <w:szCs w:val="24"/>
        </w:rPr>
        <w:t>______________________________________________</w:t>
      </w:r>
    </w:p>
    <w:p>
      <w:pPr>
        <w:pStyle w:val="Normal"/>
        <w:spacing w:before="0" w:after="0"/>
        <w:ind w:left="357" w:right="0" w:hanging="0"/>
        <w:jc w:val="center"/>
        <w:rPr/>
      </w:pPr>
      <w:r>
        <w:rPr>
          <w:rFonts w:eastAsia="Arial" w:cs="Arial" w:ascii="Arial" w:hAnsi="Arial"/>
          <w:i w:val="false"/>
          <w:iCs w:val="false"/>
          <w:sz w:val="24"/>
          <w:szCs w:val="24"/>
        </w:rPr>
        <w:br/>
      </w:r>
      <w:r>
        <w:rPr>
          <w:rFonts w:eastAsia="Arial" w:cs="Arial" w:ascii="Calibri" w:hAnsi="Calibri"/>
          <w:b w:val="false"/>
          <w:bCs w:val="false"/>
          <w:i w:val="false"/>
          <w:iCs w:val="false"/>
          <w:sz w:val="24"/>
          <w:szCs w:val="24"/>
        </w:rPr>
        <w:t>HÉLIO CANCIAN NETO</w:t>
      </w:r>
    </w:p>
    <w:p>
      <w:pPr>
        <w:pStyle w:val="Normal"/>
        <w:widowControl/>
        <w:suppressAutoHyphens w:val="true"/>
        <w:overflowPunct w:val="false"/>
        <w:bidi w:val="0"/>
        <w:ind w:left="0" w:right="0" w:hanging="0"/>
        <w:jc w:val="center"/>
        <w:rPr>
          <w:rFonts w:ascii="Calibri" w:hAnsi="Calibri"/>
          <w:b w:val="false"/>
          <w:b w:val="false"/>
          <w:bCs w:val="false"/>
          <w:sz w:val="24"/>
          <w:szCs w:val="24"/>
        </w:rPr>
      </w:pPr>
      <w:r>
        <w:rPr>
          <w:rFonts w:ascii="Calibri" w:hAnsi="Calibri"/>
          <w:b w:val="false"/>
          <w:bCs w:val="false"/>
          <w:sz w:val="24"/>
          <w:szCs w:val="24"/>
        </w:rPr>
        <w:t xml:space="preserve"> </w:t>
      </w:r>
      <w:r>
        <w:rPr>
          <w:rFonts w:ascii="Calibri" w:hAnsi="Calibri"/>
          <w:b w:val="false"/>
          <w:bCs w:val="false"/>
          <w:sz w:val="24"/>
          <w:szCs w:val="24"/>
        </w:rPr>
        <w:t xml:space="preserve">Capitão de Fragata </w:t>
      </w:r>
    </w:p>
    <w:p>
      <w:pPr>
        <w:pStyle w:val="Normal"/>
        <w:spacing w:before="0" w:after="0"/>
        <w:ind w:left="357" w:right="0" w:hanging="0"/>
        <w:jc w:val="center"/>
        <w:rPr/>
      </w:pPr>
      <w:r>
        <w:rPr>
          <w:rStyle w:val="Fontepargpadro"/>
          <w:rFonts w:eastAsia="Times New Roman" w:cs="Times New Roman" w:ascii="Calibri" w:hAnsi="Calibri"/>
          <w:b w:val="false"/>
          <w:bCs w:val="false"/>
          <w:i w:val="false"/>
          <w:iCs w:val="false"/>
          <w:color w:val="000000"/>
          <w:kern w:val="0"/>
          <w:sz w:val="24"/>
          <w:szCs w:val="24"/>
          <w:lang w:val="pt-BR" w:eastAsia="zh-CN" w:bidi="ar-SA"/>
        </w:rPr>
        <w:t>Ordenador de Despesas</w:t>
      </w:r>
    </w:p>
    <w:sectPr>
      <w:headerReference w:type="default" r:id="rId3"/>
      <w:footerReference w:type="default" r:id="rId4"/>
      <w:type w:val="nextPage"/>
      <w:pgSz w:w="11906" w:h="16838"/>
      <w:pgMar w:left="1134" w:right="1134" w:gutter="0" w:header="709" w:top="1418" w:footer="709" w:bottom="1418"/>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Times New Roman">
    <w:charset w:val="01"/>
    <w:family w:val="roman"/>
    <w:pitch w:val="variable"/>
  </w:font>
  <w:font w:name="Ecofont_Spranq_eco_Sans">
    <w:charset w:val="01"/>
    <w:family w:val="roman"/>
    <w:pitch w:val="variable"/>
  </w:font>
  <w:font w:name="Arial">
    <w:charset w:val="01"/>
    <w:family w:val="roman"/>
    <w:pitch w:val="variable"/>
  </w:font>
  <w:font w:name="Calibri">
    <w:charset w:val="01"/>
    <w:family w:val="roman"/>
    <w:pitch w:val="variable"/>
  </w:font>
  <w:font w:name="Tahoma">
    <w:charset w:val="01"/>
    <w:family w:val="roman"/>
    <w:pitch w:val="variable"/>
  </w:font>
  <w:font w:name="Liberation Mono">
    <w:altName w:val="Courier New"/>
    <w:charset w:val="01"/>
    <w:family w:val="roman"/>
    <w:pitch w:val="variable"/>
  </w:font>
  <w:font w:name="Liberation Sans">
    <w:altName w:val="Arial"/>
    <w:charset w:val="01"/>
    <w:family w:val="roman"/>
    <w:pitch w:val="variable"/>
  </w:font>
  <w:font w:name="Carlito">
    <w:altName w:val="Calibri"/>
    <w:charset w:val="01"/>
    <w:family w:val="roman"/>
    <w:pitch w:val="variable"/>
  </w:font>
  <w:font w:name="CALIBRI">
    <w:charset w:val="01"/>
    <w:family w:val="roman"/>
    <w:pitch w:val="variable"/>
  </w:font>
  <w:font w:name="Symbol">
    <w:charset w:val="02"/>
    <w:family w:val="auto"/>
    <w:pitch w:val="default"/>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Rodap"/>
      <w:rPr>
        <w:color w:val="548DD4"/>
        <w:spacing w:val="60"/>
        <w:sz w:val="22"/>
        <w:szCs w:val="22"/>
      </w:rPr>
    </w:pPr>
    <w:r>
      <w:rPr>
        <w:color w:val="548DD4"/>
        <w:spacing w:val="60"/>
        <w:sz w:val="22"/>
        <w:szCs w:val="22"/>
      </w:rPr>
      <w:tab/>
      <w:tab/>
    </w:r>
  </w:p>
  <w:p>
    <w:pPr>
      <w:pStyle w:val="Rodap"/>
      <w:rPr/>
    </w:pPr>
    <w:r>
      <w:rPr>
        <w:color w:val="7F7F7F"/>
        <w:spacing w:val="60"/>
        <w:sz w:val="22"/>
        <w:szCs w:val="22"/>
      </w:rPr>
      <w:tab/>
      <w:tab/>
    </w:r>
    <w:r>
      <w:rPr>
        <w:rFonts w:cs="Arial" w:ascii="Arial" w:hAnsi="Arial"/>
        <w:color w:val="595959"/>
        <w:spacing w:val="60"/>
        <w:sz w:val="18"/>
        <w:szCs w:val="18"/>
      </w:rPr>
      <w:t>Página</w:t>
    </w:r>
    <w:r>
      <w:rPr>
        <w:rFonts w:cs="Arial" w:ascii="Arial" w:hAnsi="Arial"/>
        <w:color w:val="595959"/>
        <w:sz w:val="18"/>
        <w:szCs w:val="18"/>
      </w:rPr>
      <w:t xml:space="preserve"> </w:t>
    </w:r>
    <w:r>
      <w:rPr>
        <w:rFonts w:cs="Arial" w:ascii="Arial" w:hAnsi="Arial"/>
        <w:sz w:val="18"/>
        <w:szCs w:val="18"/>
      </w:rPr>
      <w:fldChar w:fldCharType="begin"/>
    </w:r>
    <w:r>
      <w:rPr>
        <w:sz w:val="18"/>
        <w:szCs w:val="18"/>
        <w:rFonts w:cs="Arial" w:ascii="Arial" w:hAnsi="Arial"/>
      </w:rPr>
      <w:instrText xml:space="preserve"> PAGE </w:instrText>
    </w:r>
    <w:r>
      <w:rPr>
        <w:sz w:val="18"/>
        <w:szCs w:val="18"/>
        <w:rFonts w:cs="Arial" w:ascii="Arial" w:hAnsi="Arial"/>
      </w:rPr>
      <w:fldChar w:fldCharType="separate"/>
    </w:r>
    <w:r>
      <w:rPr>
        <w:sz w:val="18"/>
        <w:szCs w:val="18"/>
        <w:rFonts w:cs="Arial" w:ascii="Arial" w:hAnsi="Arial"/>
      </w:rPr>
      <w:t>16</w:t>
    </w:r>
    <w:r>
      <w:rPr>
        <w:sz w:val="18"/>
        <w:szCs w:val="18"/>
        <w:rFonts w:cs="Arial" w:ascii="Arial" w:hAnsi="Arial"/>
      </w:rPr>
      <w:fldChar w:fldCharType="end"/>
    </w:r>
    <w:r>
      <w:rPr>
        <w:rFonts w:cs="Arial" w:ascii="Arial" w:hAnsi="Arial"/>
        <w:color w:val="595959"/>
        <w:sz w:val="18"/>
        <w:szCs w:val="18"/>
      </w:rPr>
      <w:t xml:space="preserve"> | </w:t>
    </w:r>
    <w:r>
      <w:rPr>
        <w:rFonts w:cs="Arial" w:ascii="Arial" w:hAnsi="Arial"/>
        <w:sz w:val="18"/>
        <w:szCs w:val="18"/>
      </w:rPr>
      <w:fldChar w:fldCharType="begin"/>
    </w:r>
    <w:r>
      <w:rPr>
        <w:sz w:val="18"/>
        <w:szCs w:val="18"/>
        <w:rFonts w:cs="Arial" w:ascii="Arial" w:hAnsi="Arial"/>
      </w:rPr>
      <w:instrText xml:space="preserve"> NUMPAGES </w:instrText>
    </w:r>
    <w:r>
      <w:rPr>
        <w:sz w:val="18"/>
        <w:szCs w:val="18"/>
        <w:rFonts w:cs="Arial" w:ascii="Arial" w:hAnsi="Arial"/>
      </w:rPr>
      <w:fldChar w:fldCharType="separate"/>
    </w:r>
    <w:r>
      <w:rPr>
        <w:sz w:val="18"/>
        <w:szCs w:val="18"/>
        <w:rFonts w:cs="Arial" w:ascii="Arial" w:hAnsi="Arial"/>
      </w:rPr>
      <w:t>16</w:t>
    </w:r>
    <w:r>
      <w:rPr>
        <w:sz w:val="18"/>
        <w:szCs w:val="18"/>
        <w:rFonts w:cs="Arial" w:ascii="Arial" w:hAnsi="Arial"/>
      </w:rPr>
      <w:fldChar w:fldCharType="end"/>
    </w:r>
  </w:p>
  <w:p>
    <w:pPr>
      <w:pStyle w:val="Rodap"/>
      <w:rPr>
        <w:rFonts w:ascii="Arial" w:hAnsi="Arial" w:cs="Arial"/>
        <w:sz w:val="14"/>
        <w:szCs w:val="14"/>
      </w:rPr>
    </w:pPr>
    <w:r>
      <w:rPr>
        <w:rFonts w:cs="Arial" w:ascii="Arial" w:hAnsi="Arial"/>
        <w:sz w:val="14"/>
        <w:szCs w:val="14"/>
      </w:rPr>
      <w:t>Câmara Nacional de Modelos de Licitações e Contratos da Consultoria-Geral da União</w:t>
    </w:r>
  </w:p>
  <w:p>
    <w:pPr>
      <w:pStyle w:val="Rodap"/>
      <w:rPr>
        <w:rFonts w:ascii="Arial" w:hAnsi="Arial" w:cs="Arial"/>
        <w:sz w:val="14"/>
        <w:szCs w:val="14"/>
      </w:rPr>
    </w:pPr>
    <w:r>
      <w:rPr>
        <w:rFonts w:cs="Arial" w:ascii="Arial" w:hAnsi="Arial"/>
        <w:sz w:val="14"/>
        <w:szCs w:val="14"/>
      </w:rPr>
      <w:t>Modelo de Termo de Referência para Obras e Serviços, exceto TIC – Licitação e Contratação Direta - Lei nº 14.133, de 2021</w:t>
    </w:r>
  </w:p>
  <w:p>
    <w:pPr>
      <w:pStyle w:val="Rodap"/>
      <w:rPr>
        <w:rFonts w:ascii="Arial" w:hAnsi="Arial" w:cs="Arial"/>
        <w:sz w:val="14"/>
        <w:szCs w:val="14"/>
      </w:rPr>
    </w:pPr>
    <w:r>
      <w:rPr>
        <w:rFonts w:cs="Arial" w:ascii="Arial" w:hAnsi="Arial"/>
        <w:sz w:val="14"/>
        <w:szCs w:val="14"/>
      </w:rPr>
      <w:t>Aprovado pela Secretaria de Gestão e Inovação</w:t>
    </w:r>
  </w:p>
  <w:p>
    <w:pPr>
      <w:pStyle w:val="Rodap"/>
      <w:rPr>
        <w:rFonts w:ascii="Arial" w:hAnsi="Arial" w:cs="Arial"/>
        <w:sz w:val="14"/>
        <w:szCs w:val="14"/>
      </w:rPr>
    </w:pPr>
    <w:r>
      <w:rPr>
        <w:rFonts w:cs="Arial" w:ascii="Arial" w:hAnsi="Arial"/>
        <w:sz w:val="14"/>
        <w:szCs w:val="14"/>
      </w:rPr>
      <w:t>Identidade visual pela Secretaria de Gestão e Inovação</w:t>
    </w:r>
  </w:p>
  <w:p>
    <w:pPr>
      <w:pStyle w:val="Rodap"/>
      <w:rPr>
        <w:rFonts w:ascii="Arial" w:hAnsi="Arial" w:cs="Arial"/>
        <w:sz w:val="14"/>
        <w:szCs w:val="14"/>
      </w:rPr>
    </w:pPr>
    <w:r>
      <w:rPr>
        <w:rFonts w:cs="Arial" w:ascii="Arial" w:hAnsi="Arial"/>
        <w:sz w:val="14"/>
        <w:szCs w:val="14"/>
      </w:rPr>
      <w:t>Atualização: ABR/2025</w:t>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Cabealho"/>
      <w:rPr/>
    </w:pPr>
    <w:r>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Ttulo1"/>
      <w:numFmt w:val="decimal"/>
      <w:lvlText w:val="%1."/>
      <w:lvlJc w:val="left"/>
      <w:pPr>
        <w:tabs>
          <w:tab w:val="num" w:pos="0"/>
        </w:tabs>
        <w:ind w:left="360" w:hanging="360"/>
      </w:pPr>
      <w:rPr>
        <w:b/>
      </w:rPr>
    </w:lvl>
    <w:lvl w:ilvl="1">
      <w:start w:val="1"/>
      <w:pStyle w:val="Ttulo2"/>
      <w:numFmt w:val="decimal"/>
      <w:lvlText w:val="%1.%2."/>
      <w:lvlJc w:val="left"/>
      <w:pPr>
        <w:tabs>
          <w:tab w:val="num" w:pos="0"/>
        </w:tabs>
        <w:ind w:left="999" w:hanging="432"/>
      </w:pPr>
      <w:rPr>
        <w:dstrike w:val="false"/>
        <w:strike w:val="false"/>
        <w:sz w:val="20"/>
        <w:i w:val="false"/>
        <w:u w:val="none"/>
        <w:b w:val="false"/>
        <w:szCs w:val="20"/>
        <w:color w:val="auto"/>
      </w:rPr>
    </w:lvl>
    <w:lvl w:ilvl="2">
      <w:start w:val="1"/>
      <w:numFmt w:val="none"/>
      <w:suff w:val="nothing"/>
      <w:lvlText w:val="%3"/>
      <w:lvlJc w:val="left"/>
      <w:pPr>
        <w:tabs>
          <w:tab w:val="num" w:pos="0"/>
        </w:tabs>
        <w:ind w:left="0" w:hanging="0"/>
      </w:pPr>
      <w:rPr/>
    </w:lvl>
    <w:lvl w:ilvl="3">
      <w:start w:val="1"/>
      <w:numFmt w:val="none"/>
      <w:suff w:val="nothing"/>
      <w:lvlText w:val="%4"/>
      <w:lvlJc w:val="left"/>
      <w:pPr>
        <w:tabs>
          <w:tab w:val="num" w:pos="0"/>
        </w:tabs>
        <w:ind w:left="0" w:hanging="0"/>
      </w:pPr>
      <w:rPr/>
    </w:lvl>
    <w:lvl w:ilvl="4">
      <w:start w:val="1"/>
      <w:numFmt w:val="none"/>
      <w:suff w:val="nothing"/>
      <w:lvlText w:val="%5"/>
      <w:lvlJc w:val="left"/>
      <w:pPr>
        <w:tabs>
          <w:tab w:val="num" w:pos="0"/>
        </w:tabs>
        <w:ind w:left="0" w:hanging="0"/>
      </w:pPr>
      <w:rPr/>
    </w:lvl>
    <w:lvl w:ilvl="5">
      <w:start w:val="1"/>
      <w:numFmt w:val="none"/>
      <w:suff w:val="nothing"/>
      <w:lvlText w:val="%6"/>
      <w:lvlJc w:val="left"/>
      <w:pPr>
        <w:tabs>
          <w:tab w:val="num" w:pos="0"/>
        </w:tabs>
        <w:ind w:left="0" w:hanging="0"/>
      </w:pPr>
      <w:rPr/>
    </w:lvl>
    <w:lvl w:ilvl="6">
      <w:start w:val="1"/>
      <w:numFmt w:val="none"/>
      <w:suff w:val="nothing"/>
      <w:lvlText w:val="%7"/>
      <w:lvlJc w:val="left"/>
      <w:pPr>
        <w:tabs>
          <w:tab w:val="num" w:pos="0"/>
        </w:tabs>
        <w:ind w:left="0" w:hanging="0"/>
      </w:pPr>
      <w:rPr/>
    </w:lvl>
    <w:lvl w:ilvl="7">
      <w:start w:val="1"/>
      <w:numFmt w:val="none"/>
      <w:suff w:val="nothing"/>
      <w:lvlText w:val="%8"/>
      <w:lvlJc w:val="left"/>
      <w:pPr>
        <w:tabs>
          <w:tab w:val="num" w:pos="0"/>
        </w:tabs>
        <w:ind w:left="0" w:hanging="0"/>
      </w:pPr>
      <w:rPr/>
    </w:lvl>
    <w:lvl w:ilvl="8">
      <w:start w:val="1"/>
      <w:numFmt w:val="none"/>
      <w:suff w:val="nothing"/>
      <w:lvlText w:val="%9"/>
      <w:lvlJc w:val="left"/>
      <w:pPr>
        <w:tabs>
          <w:tab w:val="num" w:pos="0"/>
        </w:tabs>
        <w:ind w:left="0" w:hanging="0"/>
      </w:pPr>
      <w:rPr/>
    </w:lvl>
  </w:abstractNum>
  <w:abstractNum w:abstractNumId="2">
    <w:lvl w:ilvl="0">
      <w:start w:val="1"/>
      <w:numFmt w:val="decimal"/>
      <w:lvlText w:val=" %1."/>
      <w:lvlJc w:val="left"/>
      <w:pPr>
        <w:tabs>
          <w:tab w:val="num" w:pos="720"/>
        </w:tabs>
        <w:ind w:left="720" w:hanging="360"/>
      </w:pPr>
      <w:rPr/>
    </w:lvl>
    <w:lvl w:ilvl="1">
      <w:start w:val="1"/>
      <w:numFmt w:val="decimal"/>
      <w:lvlText w:val=" %1.%2."/>
      <w:lvlJc w:val="left"/>
      <w:pPr>
        <w:tabs>
          <w:tab w:val="num" w:pos="1080"/>
        </w:tabs>
        <w:ind w:left="1080" w:hanging="360"/>
      </w:pPr>
      <w:rPr/>
    </w:lvl>
    <w:lvl w:ilvl="2">
      <w:start w:val="1"/>
      <w:numFmt w:val="lowerLetter"/>
      <w:lvlText w:val=" %3)"/>
      <w:lvlJc w:val="left"/>
      <w:pPr>
        <w:tabs>
          <w:tab w:val="num" w:pos="1440"/>
        </w:tabs>
        <w:ind w:left="1440" w:hanging="360"/>
      </w:pPr>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Symbol" w:hAnsi="Symbol" w:cs="Symbol" w:hint="default"/>
      </w:rPr>
    </w:lvl>
    <w:lvl w:ilvl="5">
      <w:start w:val="1"/>
      <w:numFmt w:val="bullet"/>
      <w:lvlText w:val=""/>
      <w:lvlJc w:val="left"/>
      <w:pPr>
        <w:tabs>
          <w:tab w:val="num" w:pos="2520"/>
        </w:tabs>
        <w:ind w:left="2520" w:hanging="360"/>
      </w:pPr>
      <w:rPr>
        <w:rFonts w:ascii="Symbol" w:hAnsi="Symbol" w:cs="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Symbol" w:hAnsi="Symbol" w:cs="Symbol" w:hint="default"/>
      </w:rPr>
    </w:lvl>
    <w:lvl w:ilvl="8">
      <w:start w:val="1"/>
      <w:numFmt w:val="bullet"/>
      <w:lvlText w:val=""/>
      <w:lvlJc w:val="left"/>
      <w:pPr>
        <w:tabs>
          <w:tab w:val="num" w:pos="3600"/>
        </w:tabs>
        <w:ind w:left="3600" w:hanging="360"/>
      </w:pPr>
      <w:rPr>
        <w:rFonts w:ascii="Symbol" w:hAnsi="Symbol" w:cs="Symbol" w:hint="default"/>
      </w:rPr>
    </w:lvl>
  </w:abstractNum>
  <w:num w:numId="1">
    <w:abstractNumId w:val="1"/>
  </w:num>
  <w:num w:numId="2">
    <w:abstractNumId w:val="2"/>
  </w:num>
</w:numbering>
</file>

<file path=word/settings.xml><?xml version="1.0" encoding="utf-8"?>
<w:settings xmlns:w="http://schemas.openxmlformats.org/wordprocessingml/2006/main">
  <w:zoom w:percent="80"/>
  <w:mirrorMargins/>
  <w:defaultTabStop w:val="709"/>
  <w:autoHyphenation w:val="true"/>
  <w:compat>
    <w:compatSetting w:name="compatibilityMode" w:uri="http://schemas.microsoft.com/office/word" w:val="15"/>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ＭＳ 明朝" w:cs="Times New Roman"/>
        <w:lang w:val="pt-BR" w:eastAsia="en-US" w:bidi="ar-SA"/>
      </w:rPr>
    </w:rPrDefault>
    <w:pPrDefault>
      <w:pPr>
        <w:suppressAutoHyphens w:val="true"/>
      </w:pPr>
    </w:pPrDefault>
  </w:docDefaults>
  <w:style w:type="paragraph" w:styleId="Normal">
    <w:name w:val="Normal"/>
    <w:qFormat/>
    <w:pPr>
      <w:widowControl/>
      <w:suppressAutoHyphens w:val="true"/>
      <w:overflowPunct w:val="false"/>
      <w:bidi w:val="0"/>
      <w:spacing w:before="0" w:after="0"/>
      <w:jc w:val="left"/>
    </w:pPr>
    <w:rPr>
      <w:rFonts w:ascii="Ecofont_Spranq_eco_Sans" w:hAnsi="Ecofont_Spranq_eco_Sans" w:eastAsia="ＭＳ 明朝" w:cs="Tahoma"/>
      <w:color w:val="auto"/>
      <w:kern w:val="0"/>
      <w:sz w:val="24"/>
      <w:szCs w:val="24"/>
      <w:lang w:val="pt-BR" w:eastAsia="pt-BR" w:bidi="ar-SA"/>
    </w:rPr>
  </w:style>
  <w:style w:type="paragraph" w:styleId="Ttulo1">
    <w:name w:val="Heading 1"/>
    <w:basedOn w:val="Normal"/>
    <w:next w:val="Normal"/>
    <w:link w:val="Ttulo1Char"/>
    <w:qFormat/>
    <w:pPr>
      <w:keepNext w:val="true"/>
      <w:keepLines/>
      <w:numPr>
        <w:ilvl w:val="0"/>
        <w:numId w:val="1"/>
      </w:numPr>
      <w:spacing w:before="480" w:after="0"/>
      <w:outlineLvl w:val="0"/>
    </w:pPr>
    <w:rPr>
      <w:rFonts w:ascii="Arial" w:hAnsi="Arial" w:eastAsia="ＭＳ ゴシック" w:cs="Times New Roman"/>
      <w:b/>
      <w:bCs/>
      <w:sz w:val="20"/>
      <w:szCs w:val="28"/>
    </w:rPr>
  </w:style>
  <w:style w:type="paragraph" w:styleId="Ttulo2">
    <w:name w:val="Heading 2"/>
    <w:basedOn w:val="Normal"/>
    <w:next w:val="Normal"/>
    <w:link w:val="Ttulo2Char"/>
    <w:qFormat/>
    <w:pPr>
      <w:keepNext w:val="true"/>
      <w:numPr>
        <w:ilvl w:val="1"/>
        <w:numId w:val="1"/>
      </w:numPr>
      <w:spacing w:lineRule="auto" w:line="276" w:before="120" w:after="120"/>
      <w:ind w:left="0" w:right="0" w:hanging="0"/>
      <w:jc w:val="both"/>
      <w:outlineLvl w:val="1"/>
    </w:pPr>
    <w:rPr>
      <w:rFonts w:ascii="Arial" w:hAnsi="Arial" w:cs="Times New Roman"/>
      <w:sz w:val="20"/>
      <w:szCs w:val="20"/>
    </w:rPr>
  </w:style>
  <w:style w:type="paragraph" w:styleId="Ttulo3">
    <w:name w:val="Heading 3"/>
    <w:basedOn w:val="Normal"/>
    <w:next w:val="Normal"/>
    <w:link w:val="Ttulo3Char"/>
    <w:qFormat/>
    <w:pPr>
      <w:keepNext w:val="true"/>
      <w:keepLines/>
      <w:numPr>
        <w:ilvl w:val="0"/>
        <w:numId w:val="0"/>
      </w:numPr>
      <w:spacing w:lineRule="auto" w:line="259" w:before="40" w:after="0"/>
      <w:outlineLvl w:val="2"/>
    </w:pPr>
    <w:rPr>
      <w:rFonts w:ascii="Calibri" w:hAnsi="Calibri" w:eastAsia="ＭＳ ゴシック" w:cs="Times New Roman"/>
      <w:color w:val="243F60"/>
      <w:lang w:eastAsia="en-US"/>
    </w:rPr>
  </w:style>
  <w:style w:type="paragraph" w:styleId="Ttulo4">
    <w:name w:val="Heading 4"/>
    <w:basedOn w:val="Normal"/>
    <w:next w:val="Normal"/>
    <w:link w:val="Ttulo4Char"/>
    <w:qFormat/>
    <w:pPr>
      <w:keepNext w:val="true"/>
      <w:keepLines/>
      <w:numPr>
        <w:ilvl w:val="0"/>
        <w:numId w:val="0"/>
      </w:numPr>
      <w:spacing w:before="40" w:after="0"/>
      <w:outlineLvl w:val="3"/>
    </w:pPr>
    <w:rPr>
      <w:rFonts w:ascii="Calibri" w:hAnsi="Calibri" w:eastAsia="ＭＳ ゴシック" w:cs="Times New Roman"/>
      <w:i/>
      <w:iCs/>
      <w:color w:val="365F91"/>
    </w:rPr>
  </w:style>
  <w:style w:type="paragraph" w:styleId="Ttulo6">
    <w:name w:val="Heading 6"/>
    <w:basedOn w:val="Normal"/>
    <w:next w:val="Normal"/>
    <w:link w:val="Ttulo6Char"/>
    <w:qFormat/>
    <w:pPr>
      <w:keepNext w:val="true"/>
      <w:keepLines/>
      <w:numPr>
        <w:ilvl w:val="0"/>
        <w:numId w:val="0"/>
      </w:numPr>
      <w:spacing w:lineRule="auto" w:line="259" w:before="40" w:after="0"/>
      <w:outlineLvl w:val="5"/>
    </w:pPr>
    <w:rPr>
      <w:rFonts w:ascii="Calibri" w:hAnsi="Calibri" w:eastAsia="ＭＳ ゴシック" w:cs="Times New Roman"/>
      <w:color w:val="243F60"/>
      <w:sz w:val="22"/>
      <w:szCs w:val="22"/>
      <w:lang w:eastAsia="en-US"/>
    </w:rPr>
  </w:style>
  <w:style w:type="character" w:styleId="DefaultParagraphFont">
    <w:name w:val="Default Paragraph Font"/>
    <w:qFormat/>
    <w:rPr/>
  </w:style>
  <w:style w:type="character" w:styleId="TextodebaloChar">
    <w:name w:val="Texto de balão Char"/>
    <w:qFormat/>
    <w:rPr>
      <w:rFonts w:ascii="Tahoma" w:hAnsi="Tahoma" w:cs="Tahoma"/>
      <w:sz w:val="16"/>
      <w:szCs w:val="16"/>
    </w:rPr>
  </w:style>
  <w:style w:type="character" w:styleId="Ttulo2Char">
    <w:name w:val="Título 2 Char"/>
    <w:qFormat/>
    <w:rPr>
      <w:rFonts w:ascii="Arial" w:hAnsi="Arial"/>
      <w:lang w:eastAsia="pt-BR"/>
    </w:rPr>
  </w:style>
  <w:style w:type="character" w:styleId="Normalchar1">
    <w:name w:val="normal__char1"/>
    <w:qFormat/>
    <w:rPr>
      <w:rFonts w:ascii="Arial" w:hAnsi="Arial" w:cs="Arial"/>
      <w:strike w:val="false"/>
      <w:dstrike w:val="false"/>
      <w:sz w:val="24"/>
      <w:szCs w:val="24"/>
      <w:u w:val="none"/>
      <w:effect w:val="none"/>
    </w:rPr>
  </w:style>
  <w:style w:type="character" w:styleId="Applestylespan">
    <w:name w:val="apple-style-span"/>
    <w:basedOn w:val="DefaultParagraphFont"/>
    <w:qFormat/>
    <w:rPr/>
  </w:style>
  <w:style w:type="character" w:styleId="LinkdaInternet">
    <w:name w:val="Link da Internet"/>
    <w:basedOn w:val="DefaultParagraphFont"/>
    <w:rPr>
      <w:color w:val="0000FF"/>
      <w:u w:val="single"/>
    </w:rPr>
  </w:style>
  <w:style w:type="character" w:styleId="CitaoChar">
    <w:name w:val="Citação Char"/>
    <w:qFormat/>
    <w:rPr>
      <w:rFonts w:ascii="Arial" w:hAnsi="Arial" w:eastAsia="Calibri" w:cs="Tahoma"/>
      <w:i/>
      <w:iCs/>
      <w:color w:val="000000"/>
      <w:szCs w:val="24"/>
      <w:shd w:fill="FFFFCC" w:val="clear"/>
    </w:rPr>
  </w:style>
  <w:style w:type="character" w:styleId="NotaexplicativaChar">
    <w:name w:val="Nota explicativa Char"/>
    <w:basedOn w:val="CitaoChar"/>
    <w:link w:val="Notaexplicativa"/>
    <w:qFormat/>
    <w:rPr>
      <w:rFonts w:ascii="Arial" w:hAnsi="Arial" w:eastAsia="Calibri" w:cs="Tahoma"/>
      <w:i/>
      <w:iCs/>
      <w:color w:val="000000"/>
      <w:szCs w:val="24"/>
      <w:shd w:fill="FFFFCC" w:val="clear"/>
    </w:rPr>
  </w:style>
  <w:style w:type="character" w:styleId="CabealhoChar">
    <w:name w:val="Cabeçalho Char"/>
    <w:qFormat/>
    <w:rPr>
      <w:rFonts w:ascii="Ecofont_Spranq_eco_Sans" w:hAnsi="Ecofont_Spranq_eco_Sans" w:cs="Tahoma"/>
      <w:sz w:val="24"/>
      <w:szCs w:val="24"/>
    </w:rPr>
  </w:style>
  <w:style w:type="character" w:styleId="RodapChar">
    <w:name w:val="Rodapé Char"/>
    <w:qFormat/>
    <w:rPr>
      <w:rFonts w:ascii="Ecofont_Spranq_eco_Sans" w:hAnsi="Ecofont_Spranq_eco_Sans" w:cs="Tahoma"/>
      <w:sz w:val="24"/>
      <w:szCs w:val="24"/>
    </w:rPr>
  </w:style>
  <w:style w:type="character" w:styleId="Annotationreference">
    <w:name w:val="annotation reference"/>
    <w:basedOn w:val="DefaultParagraphFont"/>
    <w:qFormat/>
    <w:rPr>
      <w:sz w:val="16"/>
      <w:szCs w:val="16"/>
    </w:rPr>
  </w:style>
  <w:style w:type="character" w:styleId="TextodecomentrioChar">
    <w:name w:val="Texto de comentário Char"/>
    <w:basedOn w:val="DefaultParagraphFont"/>
    <w:qFormat/>
    <w:rPr>
      <w:rFonts w:ascii="Ecofont_Spranq_eco_Sans" w:hAnsi="Ecofont_Spranq_eco_Sans" w:cs="Tahoma"/>
      <w:lang w:eastAsia="pt-BR"/>
    </w:rPr>
  </w:style>
  <w:style w:type="character" w:styleId="AssuntodocomentrioChar">
    <w:name w:val="Assunto do comentário Char"/>
    <w:basedOn w:val="TextodecomentrioChar"/>
    <w:qFormat/>
    <w:rPr>
      <w:rFonts w:ascii="Ecofont_Spranq_eco_Sans" w:hAnsi="Ecofont_Spranq_eco_Sans" w:cs="Tahoma"/>
      <w:b/>
      <w:bCs/>
      <w:lang w:eastAsia="pt-BR"/>
    </w:rPr>
  </w:style>
  <w:style w:type="character" w:styleId="Ttulo4Char">
    <w:name w:val="Título 4 Char"/>
    <w:basedOn w:val="DefaultParagraphFont"/>
    <w:qFormat/>
    <w:rPr>
      <w:rFonts w:ascii="Calibri" w:hAnsi="Calibri" w:eastAsia="ＭＳ ゴシック" w:cs="Times New Roman"/>
      <w:i/>
      <w:iCs/>
      <w:color w:val="365F91"/>
      <w:sz w:val="24"/>
      <w:szCs w:val="24"/>
      <w:lang w:eastAsia="pt-BR"/>
    </w:rPr>
  </w:style>
  <w:style w:type="character" w:styleId="TtuloChar">
    <w:name w:val="Título Char"/>
    <w:basedOn w:val="DefaultParagraphFont"/>
    <w:link w:val="Ttulo"/>
    <w:qFormat/>
    <w:rPr>
      <w:rFonts w:ascii="Calibri" w:hAnsi="Calibri" w:eastAsia="ＭＳ ゴシック" w:cs="Times New Roman"/>
      <w:color w:val="17365D"/>
      <w:spacing w:val="5"/>
      <w:kern w:val="2"/>
      <w:sz w:val="52"/>
      <w:szCs w:val="52"/>
      <w:lang w:eastAsia="pt-BR"/>
    </w:rPr>
  </w:style>
  <w:style w:type="character" w:styleId="Nivel01Char">
    <w:name w:val="Nivel 01 Char"/>
    <w:basedOn w:val="TtuloChar"/>
    <w:link w:val="Nivel01"/>
    <w:qFormat/>
    <w:rPr>
      <w:rFonts w:ascii="Arial" w:hAnsi="Arial" w:eastAsia="Arial" w:cs="Arial"/>
      <w:b/>
      <w:iCs/>
      <w:color w:val="17365D"/>
      <w:spacing w:val="5"/>
      <w:kern w:val="2"/>
      <w:sz w:val="52"/>
      <w:szCs w:val="52"/>
      <w:lang w:eastAsia="pt-BR"/>
    </w:rPr>
  </w:style>
  <w:style w:type="character" w:styleId="Ttulo1Char">
    <w:name w:val="Título 1 Char"/>
    <w:basedOn w:val="DefaultParagraphFont"/>
    <w:qFormat/>
    <w:rPr>
      <w:rFonts w:ascii="Arial" w:hAnsi="Arial" w:eastAsia="ＭＳ ゴシック" w:cs="Times New Roman"/>
      <w:b/>
      <w:bCs/>
      <w:szCs w:val="28"/>
      <w:lang w:eastAsia="pt-BR"/>
    </w:rPr>
  </w:style>
  <w:style w:type="character" w:styleId="Nivel01TituloChar">
    <w:name w:val="Nivel_01_Titulo Char"/>
    <w:basedOn w:val="Nivel01Char"/>
    <w:link w:val="Nivel01Titulo"/>
    <w:qFormat/>
    <w:rPr>
      <w:rFonts w:ascii="Arial" w:hAnsi="Arial" w:eastAsia="ＭＳ ゴシック" w:cs="Times New Roman"/>
      <w:b/>
      <w:bCs w:val="false"/>
      <w:iCs/>
      <w:vanish w:val="false"/>
      <w:color w:val="000000"/>
      <w:spacing w:val="5"/>
      <w:kern w:val="2"/>
      <w:sz w:val="52"/>
      <w:szCs w:val="52"/>
      <w:lang w:eastAsia="pt-BR"/>
    </w:rPr>
  </w:style>
  <w:style w:type="character" w:styleId="QuoteChar">
    <w:name w:val="Quote Char"/>
    <w:basedOn w:val="DefaultParagraphFont"/>
    <w:link w:val="Citao1"/>
    <w:qFormat/>
    <w:rPr>
      <w:rFonts w:ascii="Ecofont_Spranq_eco_Sans" w:hAnsi="Ecofont_Spranq_eco_Sans" w:eastAsia="Calibri" w:cs="Tahoma"/>
      <w:i/>
      <w:iCs/>
      <w:color w:val="000000"/>
      <w:shd w:fill="FFFFCC" w:val="clear"/>
    </w:rPr>
  </w:style>
  <w:style w:type="character" w:styleId="Normaltextrun">
    <w:name w:val="normaltextrun"/>
    <w:basedOn w:val="DefaultParagraphFont"/>
    <w:qFormat/>
    <w:rPr/>
  </w:style>
  <w:style w:type="character" w:styleId="Eop">
    <w:name w:val="eop"/>
    <w:basedOn w:val="DefaultParagraphFont"/>
    <w:qFormat/>
    <w:rPr/>
  </w:style>
  <w:style w:type="character" w:styleId="Spellingerror">
    <w:name w:val="spellingerror"/>
    <w:basedOn w:val="DefaultParagraphFont"/>
    <w:qFormat/>
    <w:rPr/>
  </w:style>
  <w:style w:type="character" w:styleId="CorpodetextoChar">
    <w:name w:val="Corpo de texto Char"/>
    <w:basedOn w:val="DefaultParagraphFont"/>
    <w:qFormat/>
    <w:rPr>
      <w:rFonts w:eastAsia="Times New Roman"/>
      <w:sz w:val="24"/>
      <w:szCs w:val="24"/>
      <w:lang w:eastAsia="pt-BR"/>
    </w:rPr>
  </w:style>
  <w:style w:type="character" w:styleId="Nivel1Char">
    <w:name w:val="Nivel1 Char"/>
    <w:basedOn w:val="Ttulo1Char"/>
    <w:link w:val="Nivel1"/>
    <w:qFormat/>
    <w:rPr>
      <w:rFonts w:ascii="Arial" w:hAnsi="Arial" w:eastAsia="ＭＳ ゴシック" w:cs="Arial"/>
      <w:b/>
      <w:bCs w:val="false"/>
      <w:color w:val="000000"/>
      <w:szCs w:val="28"/>
      <w:lang w:eastAsia="pt-BR"/>
    </w:rPr>
  </w:style>
  <w:style w:type="character" w:styleId="Nivel4Char">
    <w:name w:val="Nivel 4 Char"/>
    <w:basedOn w:val="DefaultParagraphFont"/>
    <w:link w:val="Nivel4"/>
    <w:qFormat/>
    <w:rPr>
      <w:rFonts w:ascii="Arial" w:hAnsi="Arial" w:cs="Arial"/>
      <w:bCs/>
      <w:lang w:eastAsia="pt-BR"/>
    </w:rPr>
  </w:style>
  <w:style w:type="character" w:styleId="Cp0020corpodespachochar1">
    <w:name w:val="cp_0020corpodespacho__char1"/>
    <w:qFormat/>
    <w:rPr>
      <w:rFonts w:ascii="Times New Roman" w:hAnsi="Times New Roman" w:cs="Times New Roman"/>
      <w:strike w:val="false"/>
      <w:dstrike w:val="false"/>
      <w:sz w:val="26"/>
      <w:szCs w:val="26"/>
      <w:u w:val="none"/>
      <w:effect w:val="none"/>
    </w:rPr>
  </w:style>
  <w:style w:type="character" w:styleId="Em0020ementachar1">
    <w:name w:val="em_0020ementa__char1"/>
    <w:qFormat/>
    <w:rPr>
      <w:rFonts w:ascii="Times New Roman" w:hAnsi="Times New Roman" w:cs="Times New Roman"/>
      <w:strike w:val="false"/>
      <w:dstrike w:val="false"/>
      <w:sz w:val="28"/>
      <w:szCs w:val="28"/>
      <w:u w:val="none"/>
      <w:effect w:val="none"/>
    </w:rPr>
  </w:style>
  <w:style w:type="character" w:styleId="Strong">
    <w:name w:val="Strong"/>
    <w:basedOn w:val="DefaultParagraphFont"/>
    <w:qFormat/>
    <w:rPr>
      <w:b/>
      <w:bCs/>
    </w:rPr>
  </w:style>
  <w:style w:type="character" w:styleId="Nfase">
    <w:name w:val="Ênfase"/>
    <w:basedOn w:val="DefaultParagraphFont"/>
    <w:qFormat/>
    <w:rPr>
      <w:i/>
      <w:iCs/>
    </w:rPr>
  </w:style>
  <w:style w:type="character" w:styleId="Manoel">
    <w:name w:val="Manoel"/>
    <w:qFormat/>
    <w:rPr>
      <w:rFonts w:ascii="Arial" w:hAnsi="Arial" w:cs="Arial"/>
      <w:color w:val="7030A0"/>
      <w:sz w:val="20"/>
    </w:rPr>
  </w:style>
  <w:style w:type="character" w:styleId="GradeColoridanfase1Char">
    <w:name w:val="Grade Colorida - Ênfase 1 Char"/>
    <w:qFormat/>
    <w:rPr>
      <w:rFonts w:ascii="Arial" w:hAnsi="Arial" w:eastAsia="Calibri"/>
      <w:i/>
      <w:iCs/>
      <w:color w:val="000000"/>
      <w:szCs w:val="24"/>
      <w:shd w:fill="FFFFCC" w:val="clear"/>
    </w:rPr>
  </w:style>
  <w:style w:type="character" w:styleId="Highlight">
    <w:name w:val="highlight"/>
    <w:basedOn w:val="DefaultParagraphFont"/>
    <w:qFormat/>
    <w:rPr/>
  </w:style>
  <w:style w:type="character" w:styleId="Linkdainternetvisitado">
    <w:name w:val="Link da internet visitado"/>
    <w:basedOn w:val="DefaultParagraphFont"/>
    <w:rPr>
      <w:color w:val="800080"/>
      <w:u w:val="single"/>
    </w:rPr>
  </w:style>
  <w:style w:type="character" w:styleId="MenoPendente1">
    <w:name w:val="Menção Pendente1"/>
    <w:basedOn w:val="DefaultParagraphFont"/>
    <w:qFormat/>
    <w:rPr>
      <w:color w:val="605E5C"/>
      <w:shd w:fill="E1DFDD" w:val="clear"/>
    </w:rPr>
  </w:style>
  <w:style w:type="character" w:styleId="MenoPendente2">
    <w:name w:val="Menção Pendente2"/>
    <w:basedOn w:val="DefaultParagraphFont"/>
    <w:qFormat/>
    <w:rPr>
      <w:color w:val="605E5C"/>
      <w:shd w:fill="E1DFDD" w:val="clear"/>
    </w:rPr>
  </w:style>
  <w:style w:type="character" w:styleId="Nivel2OpcionalChar">
    <w:name w:val="Nivel 2-Opcional Char"/>
    <w:basedOn w:val="DefaultParagraphFont"/>
    <w:qFormat/>
    <w:rPr>
      <w:rFonts w:ascii="Arial" w:hAnsi="Arial" w:eastAsia="Arial" w:cs="Arial"/>
      <w:i/>
      <w:color w:val="FF0000"/>
      <w:shd w:fill="76923C" w:val="clear"/>
      <w:lang w:eastAsia="pt-BR"/>
    </w:rPr>
  </w:style>
  <w:style w:type="character" w:styleId="Nvel2OpcionalChar">
    <w:name w:val="Nível 2 Opcional Char"/>
    <w:basedOn w:val="DefaultParagraphFont"/>
    <w:link w:val="Nvel2Opcional"/>
    <w:qFormat/>
    <w:rPr>
      <w:rFonts w:ascii="Arial" w:hAnsi="Arial" w:eastAsia="Times New Roman" w:cs="Arial"/>
      <w:i/>
      <w:color w:val="FF0000"/>
      <w:lang w:eastAsia="pt-BR"/>
    </w:rPr>
  </w:style>
  <w:style w:type="character" w:styleId="Nvel3OpcionalChar">
    <w:name w:val="Nível 3 Opcional Char"/>
    <w:basedOn w:val="DefaultParagraphFont"/>
    <w:link w:val="Nvel3Opcional"/>
    <w:qFormat/>
    <w:rPr>
      <w:rFonts w:ascii="Arial" w:hAnsi="Arial" w:eastAsia="Times New Roman" w:cs="Arial"/>
      <w:i/>
      <w:iCs/>
      <w:color w:val="FF0000"/>
      <w:lang w:eastAsia="pt-BR"/>
    </w:rPr>
  </w:style>
  <w:style w:type="character" w:styleId="PlaceholderText">
    <w:name w:val="Placeholder Text"/>
    <w:basedOn w:val="DefaultParagraphFont"/>
    <w:qFormat/>
    <w:rPr>
      <w:color w:val="808080"/>
    </w:rPr>
  </w:style>
  <w:style w:type="character" w:styleId="PargrafodaListaChar">
    <w:name w:val="Parágrafo da Lista Char"/>
    <w:basedOn w:val="DefaultParagraphFont"/>
    <w:qFormat/>
    <w:rPr>
      <w:rFonts w:ascii="Ecofont_Spranq_eco_Sans" w:hAnsi="Ecofont_Spranq_eco_Sans" w:cs="Tahoma"/>
      <w:sz w:val="24"/>
      <w:szCs w:val="24"/>
      <w:lang w:eastAsia="pt-BR"/>
    </w:rPr>
  </w:style>
  <w:style w:type="character" w:styleId="Ttulo3Char">
    <w:name w:val="Título 3 Char"/>
    <w:basedOn w:val="DefaultParagraphFont"/>
    <w:qFormat/>
    <w:rPr>
      <w:rFonts w:ascii="Calibri" w:hAnsi="Calibri" w:eastAsia="ＭＳ ゴシック" w:cs="Times New Roman"/>
      <w:color w:val="243F60"/>
      <w:sz w:val="24"/>
      <w:szCs w:val="24"/>
    </w:rPr>
  </w:style>
  <w:style w:type="character" w:styleId="Ttulo6Char">
    <w:name w:val="Título 6 Char"/>
    <w:basedOn w:val="DefaultParagraphFont"/>
    <w:qFormat/>
    <w:rPr>
      <w:rFonts w:ascii="Calibri" w:hAnsi="Calibri" w:eastAsia="ＭＳ ゴシック" w:cs="Times New Roman"/>
      <w:color w:val="243F60"/>
      <w:sz w:val="22"/>
      <w:szCs w:val="22"/>
    </w:rPr>
  </w:style>
  <w:style w:type="character" w:styleId="Markedcontent">
    <w:name w:val="markedcontent"/>
    <w:basedOn w:val="DefaultParagraphFont"/>
    <w:qFormat/>
    <w:rPr/>
  </w:style>
  <w:style w:type="character" w:styleId="MenoPendente3">
    <w:name w:val="Menção Pendente3"/>
    <w:basedOn w:val="DefaultParagraphFont"/>
    <w:qFormat/>
    <w:rPr>
      <w:color w:val="605E5C"/>
      <w:shd w:fill="E1DFDD" w:val="clear"/>
    </w:rPr>
  </w:style>
  <w:style w:type="character" w:styleId="MenoPendente4">
    <w:name w:val="Menção Pendente4"/>
    <w:basedOn w:val="DefaultParagraphFont"/>
    <w:qFormat/>
    <w:rPr>
      <w:color w:val="605E5C"/>
      <w:shd w:fill="E1DFDD" w:val="clear"/>
    </w:rPr>
  </w:style>
  <w:style w:type="character" w:styleId="OuChar">
    <w:name w:val="ou Char"/>
    <w:basedOn w:val="PargrafodaListaChar"/>
    <w:qFormat/>
    <w:rPr>
      <w:rFonts w:ascii="Arial" w:hAnsi="Arial" w:eastAsia="Cambria" w:cs="Arial"/>
      <w:b/>
      <w:bCs/>
      <w:i/>
      <w:iCs/>
      <w:color w:val="FF0000"/>
      <w:sz w:val="24"/>
      <w:szCs w:val="24"/>
      <w:lang w:eastAsia="pt-BR"/>
    </w:rPr>
  </w:style>
  <w:style w:type="character" w:styleId="Nvel02Char">
    <w:name w:val="Nível 02 Char"/>
    <w:basedOn w:val="Nivel2OpcionalChar"/>
    <w:link w:val="Nvel02"/>
    <w:qFormat/>
    <w:rPr>
      <w:rFonts w:ascii="Arial" w:hAnsi="Arial" w:eastAsia="Arial" w:cs="Arial"/>
      <w:i w:val="false"/>
      <w:iCs/>
      <w:color w:val="FF0000"/>
      <w:shd w:fill="76923C" w:val="clear"/>
      <w:lang w:eastAsia="pt-BR"/>
    </w:rPr>
  </w:style>
  <w:style w:type="character" w:styleId="Nivel3erroChar">
    <w:name w:val="Nivel 3-erro Char"/>
    <w:basedOn w:val="DefaultParagraphFont"/>
    <w:qFormat/>
    <w:rPr>
      <w:rFonts w:ascii="Arial" w:hAnsi="Arial" w:cs="Tahoma"/>
      <w:szCs w:val="24"/>
      <w:lang w:eastAsia="pt-BR"/>
    </w:rPr>
  </w:style>
  <w:style w:type="character" w:styleId="Nvel3RChar">
    <w:name w:val="Nível 3-R Char"/>
    <w:basedOn w:val="Nivel3erroChar"/>
    <w:qFormat/>
    <w:rPr>
      <w:rFonts w:ascii="Arial" w:hAnsi="Arial" w:cs="Arial"/>
      <w:i/>
      <w:iCs/>
      <w:color w:val="FF0000"/>
      <w:szCs w:val="24"/>
      <w:lang w:eastAsia="pt-BR"/>
    </w:rPr>
  </w:style>
  <w:style w:type="character" w:styleId="Nvel4RChar">
    <w:name w:val="Nível 4-R Char"/>
    <w:basedOn w:val="Nivel4Char"/>
    <w:qFormat/>
    <w:rPr>
      <w:rFonts w:ascii="Arial" w:hAnsi="Arial" w:cs="Arial"/>
      <w:bCs/>
      <w:i/>
      <w:color w:val="FF0000"/>
      <w:lang w:eastAsia="pt-BR"/>
    </w:rPr>
  </w:style>
  <w:style w:type="character" w:styleId="Nvel1SemNumChar">
    <w:name w:val="Nível 1-Sem Num Char"/>
    <w:basedOn w:val="Nivel01Char"/>
    <w:qFormat/>
    <w:rPr>
      <w:rFonts w:ascii="Arial" w:hAnsi="Arial" w:eastAsia="Arial" w:cs="Arial"/>
      <w:b/>
      <w:i/>
      <w:iCs w:val="false"/>
      <w:color w:val="FF0000"/>
      <w:spacing w:val="5"/>
      <w:kern w:val="2"/>
      <w:sz w:val="52"/>
      <w:szCs w:val="52"/>
      <w:lang w:eastAsia="pt-BR"/>
    </w:rPr>
  </w:style>
  <w:style w:type="character" w:styleId="PrembuloChar">
    <w:name w:val="Preâmbulo Char"/>
    <w:basedOn w:val="DefaultParagraphFont"/>
    <w:link w:val="Prembulo"/>
    <w:qFormat/>
    <w:rPr>
      <w:rFonts w:ascii="Arial" w:hAnsi="Arial" w:eastAsia="Arial" w:cs="Arial"/>
      <w:bCs/>
      <w:lang w:eastAsia="pt-BR"/>
    </w:rPr>
  </w:style>
  <w:style w:type="character" w:styleId="MenoPendente5">
    <w:name w:val="Menção Pendente5"/>
    <w:basedOn w:val="DefaultParagraphFont"/>
    <w:qFormat/>
    <w:rPr>
      <w:color w:val="605E5C"/>
      <w:shd w:fill="E1DFDD" w:val="clear"/>
    </w:rPr>
  </w:style>
  <w:style w:type="character" w:styleId="Citao2Char">
    <w:name w:val="citação 2 Char"/>
    <w:basedOn w:val="CitaoChar"/>
    <w:qFormat/>
    <w:rPr>
      <w:rFonts w:ascii="Arial" w:hAnsi="Arial" w:eastAsia="Calibri" w:cs="Tahoma"/>
      <w:i/>
      <w:iCs/>
      <w:color w:val="000000"/>
      <w:szCs w:val="24"/>
      <w:shd w:fill="FFFFCC" w:val="clear"/>
    </w:rPr>
  </w:style>
  <w:style w:type="character" w:styleId="Nvel1SemNumeraoChar">
    <w:name w:val="Nível 1-Sem Numeração Char"/>
    <w:basedOn w:val="Nvel1SemNumChar"/>
    <w:qFormat/>
    <w:rPr>
      <w:rFonts w:ascii="Arial" w:hAnsi="Arial" w:eastAsia="Arial" w:cs="Arial"/>
      <w:b/>
      <w:i w:val="false"/>
      <w:iCs w:val="false"/>
      <w:color w:val="FF0000"/>
      <w:spacing w:val="5"/>
      <w:kern w:val="2"/>
      <w:sz w:val="52"/>
      <w:szCs w:val="52"/>
      <w:lang w:eastAsia="pt-BR"/>
    </w:rPr>
  </w:style>
  <w:style w:type="character" w:styleId="MenoPendente6">
    <w:name w:val="Menção Pendente6"/>
    <w:basedOn w:val="DefaultParagraphFont"/>
    <w:qFormat/>
    <w:rPr>
      <w:color w:val="605E5C"/>
      <w:shd w:fill="E1DFDD" w:val="clear"/>
    </w:rPr>
  </w:style>
  <w:style w:type="character" w:styleId="AlteraesChar">
    <w:name w:val="Alterações Char"/>
    <w:basedOn w:val="Nvel02Char"/>
    <w:link w:val="Alteraes"/>
    <w:qFormat/>
    <w:rPr>
      <w:rFonts w:ascii="Arial" w:hAnsi="Arial" w:eastAsia="Arial" w:cs="Arial"/>
      <w:i w:val="false"/>
      <w:iCs/>
      <w:color w:val="0000FF"/>
      <w:shd w:fill="76923C" w:val="clear"/>
      <w:lang w:eastAsia="pt-BR"/>
    </w:rPr>
  </w:style>
  <w:style w:type="character" w:styleId="Nivel3Char">
    <w:name w:val="Nivel 3 Char"/>
    <w:basedOn w:val="DefaultParagraphFont"/>
    <w:link w:val="Nivel3"/>
    <w:qFormat/>
    <w:rPr>
      <w:rFonts w:ascii="Arial" w:hAnsi="Arial" w:cs="Tahoma"/>
      <w:szCs w:val="24"/>
      <w:lang w:eastAsia="pt-BR"/>
    </w:rPr>
  </w:style>
  <w:style w:type="character" w:styleId="UnresolvedMention">
    <w:name w:val="Unresolved Mention"/>
    <w:basedOn w:val="DefaultParagraphFont"/>
    <w:qFormat/>
    <w:rPr>
      <w:color w:val="605E5C"/>
      <w:shd w:fill="E1DFDD" w:val="clear"/>
    </w:rPr>
  </w:style>
  <w:style w:type="character" w:styleId="Nvel2OpcionalChar1">
    <w:name w:val="Nível 2-Opcional Char"/>
    <w:basedOn w:val="Nvel02Char"/>
    <w:qFormat/>
    <w:rPr>
      <w:rFonts w:ascii="Arial" w:hAnsi="Arial" w:eastAsia="Arial" w:cs="Arial"/>
      <w:i/>
      <w:iCs/>
      <w:color w:val="FF0000"/>
      <w:shd w:fill="76923C" w:val="clear"/>
      <w:lang w:eastAsia="pt-BR"/>
    </w:rPr>
  </w:style>
  <w:style w:type="character" w:styleId="Nvel3OpcionalChar1">
    <w:name w:val="Nível 3-Opcional Char"/>
    <w:basedOn w:val="Nivel3Char"/>
    <w:qFormat/>
    <w:rPr>
      <w:rFonts w:ascii="Arial" w:hAnsi="Arial" w:cs="Tahoma"/>
      <w:i/>
      <w:color w:val="FF0000"/>
      <w:szCs w:val="24"/>
      <w:lang w:eastAsia="pt-BR"/>
    </w:rPr>
  </w:style>
  <w:style w:type="character" w:styleId="Nvel1SemBlackChar">
    <w:name w:val="Nível 1-Sem Black Char"/>
    <w:basedOn w:val="DefaultParagraphFont"/>
    <w:qFormat/>
    <w:rPr>
      <w:rFonts w:ascii="Arial" w:hAnsi="Arial" w:eastAsia="ＭＳ ゴシック" w:cs="Arial"/>
      <w:b/>
      <w:bCs/>
      <w:lang w:eastAsia="pt-BR"/>
    </w:rPr>
  </w:style>
  <w:style w:type="character" w:styleId="Nivel2Char">
    <w:name w:val="Nivel 2 Char"/>
    <w:basedOn w:val="DefaultParagraphFont"/>
    <w:link w:val="Nivel2"/>
    <w:qFormat/>
    <w:rPr>
      <w:rFonts w:ascii="Arial" w:hAnsi="Arial" w:eastAsia="Arial" w:cs="Arial"/>
      <w:color w:val="000000"/>
      <w:lang w:eastAsia="pt-BR"/>
    </w:rPr>
  </w:style>
  <w:style w:type="character" w:styleId="Nfaseforte">
    <w:name w:val="Ênfase forte"/>
    <w:qFormat/>
    <w:rPr>
      <w:b/>
      <w:bCs/>
    </w:rPr>
  </w:style>
  <w:style w:type="character" w:styleId="Smbolosdenumerao">
    <w:name w:val="Símbolos de numeração"/>
    <w:qFormat/>
    <w:rPr/>
  </w:style>
  <w:style w:type="character" w:styleId="Fontepargpadro">
    <w:name w:val="Fonte parág. padrão"/>
    <w:qFormat/>
    <w:rPr/>
  </w:style>
  <w:style w:type="character" w:styleId="Cdigofonte">
    <w:name w:val="Código-fonte"/>
    <w:qFormat/>
    <w:rPr>
      <w:rFonts w:ascii="Liberation Mono" w:hAnsi="Liberation Mono" w:eastAsia="Liberation Mono" w:cs="Liberation Mono"/>
    </w:rPr>
  </w:style>
  <w:style w:type="paragraph" w:styleId="Ttulo">
    <w:name w:val="Título"/>
    <w:basedOn w:val="Normal"/>
    <w:next w:val="Corpodotexto"/>
    <w:qFormat/>
    <w:pPr>
      <w:keepNext w:val="true"/>
      <w:spacing w:before="240" w:after="120"/>
    </w:pPr>
    <w:rPr>
      <w:rFonts w:ascii="Liberation Sans" w:hAnsi="Liberation Sans" w:eastAsia="Noto Sans CJK SC" w:cs="Lohit Devanagari"/>
      <w:sz w:val="28"/>
      <w:szCs w:val="28"/>
    </w:rPr>
  </w:style>
  <w:style w:type="paragraph" w:styleId="Corpodotexto">
    <w:name w:val="Body Text"/>
    <w:basedOn w:val="Normal"/>
    <w:link w:val="CorpodetextoChar"/>
    <w:pPr>
      <w:spacing w:before="280" w:after="280"/>
    </w:pPr>
    <w:rPr>
      <w:rFonts w:ascii="Times New Roman" w:hAnsi="Times New Roman" w:eastAsia="Times New Roman" w:cs="Times New Roman"/>
    </w:rPr>
  </w:style>
  <w:style w:type="paragraph" w:styleId="Lista">
    <w:name w:val="List"/>
    <w:basedOn w:val="Corpodotexto"/>
    <w:pPr/>
    <w:rPr>
      <w:rFonts w:cs="Lohit Devanagari"/>
    </w:rPr>
  </w:style>
  <w:style w:type="paragraph" w:styleId="Legenda">
    <w:name w:val="Caption"/>
    <w:basedOn w:val="Normal"/>
    <w:qFormat/>
    <w:pPr>
      <w:suppressLineNumbers/>
      <w:spacing w:before="120" w:after="120"/>
    </w:pPr>
    <w:rPr>
      <w:rFonts w:cs="Lohit Devanagari"/>
      <w:i/>
      <w:iCs/>
      <w:sz w:val="24"/>
      <w:szCs w:val="24"/>
    </w:rPr>
  </w:style>
  <w:style w:type="paragraph" w:styleId="Ndice">
    <w:name w:val="Índice"/>
    <w:basedOn w:val="Normal"/>
    <w:qFormat/>
    <w:pPr>
      <w:suppressLineNumbers/>
    </w:pPr>
    <w:rPr>
      <w:rFonts w:cs="Lohit Devanagari"/>
    </w:rPr>
  </w:style>
  <w:style w:type="paragraph" w:styleId="ListParagraph">
    <w:name w:val="List Paragraph"/>
    <w:basedOn w:val="Normal"/>
    <w:link w:val="PargrafodaListaChar"/>
    <w:qFormat/>
    <w:pPr>
      <w:spacing w:before="0" w:after="0"/>
      <w:ind w:left="720" w:right="0" w:hanging="0"/>
      <w:contextualSpacing/>
    </w:pPr>
    <w:rPr/>
  </w:style>
  <w:style w:type="paragraph" w:styleId="NormalWeb">
    <w:name w:val="Normal (Web)"/>
    <w:basedOn w:val="Normal"/>
    <w:qFormat/>
    <w:pPr>
      <w:spacing w:before="280" w:after="280"/>
    </w:pPr>
    <w:rPr>
      <w:rFonts w:ascii="Times New Roman" w:hAnsi="Times New Roman" w:cs="Times New Roman"/>
    </w:rPr>
  </w:style>
  <w:style w:type="paragraph" w:styleId="BalloonText">
    <w:name w:val="Balloon Text"/>
    <w:basedOn w:val="Normal"/>
    <w:link w:val="TextodebaloChar"/>
    <w:qFormat/>
    <w:pPr/>
    <w:rPr>
      <w:rFonts w:ascii="Tahoma" w:hAnsi="Tahoma"/>
      <w:sz w:val="16"/>
      <w:szCs w:val="16"/>
    </w:rPr>
  </w:style>
  <w:style w:type="paragraph" w:styleId="Nvel2">
    <w:name w:val="Nível 2"/>
    <w:basedOn w:val="Normal"/>
    <w:next w:val="Normal"/>
    <w:qFormat/>
    <w:pPr>
      <w:spacing w:before="0" w:after="120"/>
      <w:jc w:val="both"/>
    </w:pPr>
    <w:rPr>
      <w:rFonts w:ascii="Arial" w:hAnsi="Arial" w:cs="Times New Roman"/>
      <w:b/>
      <w:szCs w:val="20"/>
    </w:rPr>
  </w:style>
  <w:style w:type="paragraph" w:styleId="Quote">
    <w:name w:val="Quote"/>
    <w:basedOn w:val="Normal"/>
    <w:next w:val="Normal"/>
    <w:link w:val="CitaoChar"/>
    <w:qFormat/>
    <w:pPr>
      <w:pBdr>
        <w:top w:val="single" w:sz="4" w:space="1" w:color="1F497D"/>
        <w:left w:val="single" w:sz="4" w:space="4" w:color="1F497D"/>
        <w:bottom w:val="single" w:sz="4" w:space="1" w:color="1F497D"/>
        <w:right w:val="single" w:sz="4" w:space="4" w:color="1F497D"/>
      </w:pBdr>
      <w:shd w:val="clear" w:fill="FFFFCC"/>
      <w:spacing w:before="120" w:after="0"/>
      <w:jc w:val="both"/>
    </w:pPr>
    <w:rPr>
      <w:rFonts w:ascii="Arial" w:hAnsi="Arial" w:eastAsia="Calibri"/>
      <w:i/>
      <w:iCs/>
      <w:color w:val="000000"/>
      <w:sz w:val="20"/>
      <w:lang w:eastAsia="en-US"/>
    </w:rPr>
  </w:style>
  <w:style w:type="paragraph" w:styleId="ListBullet5">
    <w:name w:val="List Bullet 5"/>
    <w:basedOn w:val="Normal"/>
    <w:qFormat/>
    <w:pPr>
      <w:spacing w:before="0" w:after="0"/>
      <w:contextualSpacing/>
    </w:pPr>
    <w:rPr/>
  </w:style>
  <w:style w:type="paragraph" w:styleId="Notaexplicativa">
    <w:name w:val="Nota explicativa"/>
    <w:basedOn w:val="Quote"/>
    <w:link w:val="NotaexplicativaChar"/>
    <w:qFormat/>
    <w:pPr>
      <w:shd w:val="clear" w:fill="FFFFCC"/>
    </w:pPr>
    <w:rPr>
      <w:szCs w:val="20"/>
    </w:rPr>
  </w:style>
  <w:style w:type="paragraph" w:styleId="CabealhoeRodap">
    <w:name w:val="Cabeçalho e Rodapé"/>
    <w:basedOn w:val="Normal"/>
    <w:qFormat/>
    <w:pPr/>
    <w:rPr/>
  </w:style>
  <w:style w:type="paragraph" w:styleId="Cabealho">
    <w:name w:val="Header"/>
    <w:basedOn w:val="Normal"/>
    <w:link w:val="CabealhoChar"/>
    <w:pPr>
      <w:tabs>
        <w:tab w:val="clear" w:pos="709"/>
        <w:tab w:val="center" w:pos="4252" w:leader="none"/>
        <w:tab w:val="right" w:pos="8504" w:leader="none"/>
      </w:tabs>
    </w:pPr>
    <w:rPr/>
  </w:style>
  <w:style w:type="paragraph" w:styleId="Rodap">
    <w:name w:val="Footer"/>
    <w:basedOn w:val="Normal"/>
    <w:link w:val="RodapChar"/>
    <w:pPr>
      <w:tabs>
        <w:tab w:val="clear" w:pos="709"/>
        <w:tab w:val="center" w:pos="4252" w:leader="none"/>
        <w:tab w:val="right" w:pos="8504" w:leader="none"/>
      </w:tabs>
    </w:pPr>
    <w:rPr/>
  </w:style>
  <w:style w:type="paragraph" w:styleId="Annotationtext">
    <w:name w:val="annotation text"/>
    <w:basedOn w:val="Normal"/>
    <w:link w:val="TextodecomentrioChar"/>
    <w:qFormat/>
    <w:pPr/>
    <w:rPr>
      <w:sz w:val="20"/>
      <w:szCs w:val="20"/>
    </w:rPr>
  </w:style>
  <w:style w:type="paragraph" w:styleId="Annotationsubject">
    <w:name w:val="annotation subject"/>
    <w:basedOn w:val="Annotationtext"/>
    <w:link w:val="AssuntodocomentrioChar"/>
    <w:qFormat/>
    <w:pPr/>
    <w:rPr>
      <w:b/>
      <w:bCs/>
    </w:rPr>
  </w:style>
  <w:style w:type="paragraph" w:styleId="Nivel01">
    <w:name w:val="Nivel 01"/>
    <w:basedOn w:val="Nvel02"/>
    <w:next w:val="Normal"/>
    <w:link w:val="Nivel01Char"/>
    <w:autoRedefine/>
    <w:qFormat/>
    <w:pPr>
      <w:numPr>
        <w:ilvl w:val="0"/>
        <w:numId w:val="0"/>
      </w:numPr>
      <w:shd w:val="clear" w:fill="FFFFFF"/>
      <w:spacing w:before="177" w:after="177"/>
      <w:ind w:left="357" w:right="0" w:hanging="357"/>
      <w:outlineLvl w:val="0"/>
    </w:pPr>
    <w:rPr>
      <w:b/>
      <w:bCs/>
    </w:rPr>
  </w:style>
  <w:style w:type="paragraph" w:styleId="Nivel01Titulo">
    <w:name w:val="Nivel_01_Titulo"/>
    <w:basedOn w:val="Nivel01"/>
    <w:link w:val="Nivel01TituloChar"/>
    <w:qFormat/>
    <w:pPr>
      <w:shd w:val="clear" w:fill="FFFFFF"/>
      <w:jc w:val="left"/>
    </w:pPr>
    <w:rPr>
      <w:rFonts w:cs="Times New Roman"/>
      <w:spacing w:val="5"/>
      <w:kern w:val="2"/>
      <w:sz w:val="52"/>
      <w:szCs w:val="52"/>
    </w:rPr>
  </w:style>
  <w:style w:type="paragraph" w:styleId="Ttulododocumento">
    <w:name w:val="Title"/>
    <w:basedOn w:val="Normal"/>
    <w:next w:val="Normal"/>
    <w:link w:val="TtuloChar"/>
    <w:qFormat/>
    <w:pPr>
      <w:pBdr>
        <w:bottom w:val="single" w:sz="8" w:space="4" w:color="4F81BD"/>
      </w:pBdr>
      <w:spacing w:before="0" w:after="300"/>
      <w:contextualSpacing/>
    </w:pPr>
    <w:rPr>
      <w:rFonts w:ascii="Calibri" w:hAnsi="Calibri" w:eastAsia="ＭＳ ゴシック" w:cs="Times New Roman"/>
      <w:color w:val="17365D"/>
      <w:spacing w:val="5"/>
      <w:kern w:val="2"/>
      <w:sz w:val="52"/>
      <w:szCs w:val="52"/>
    </w:rPr>
  </w:style>
  <w:style w:type="paragraph" w:styleId="PADRO">
    <w:name w:val="PADRÃO"/>
    <w:qFormat/>
    <w:pPr>
      <w:keepNext w:val="true"/>
      <w:widowControl w:val="false"/>
      <w:shd w:val="clear" w:fill="FFFFFF"/>
      <w:suppressAutoHyphens w:val="true"/>
      <w:overflowPunct w:val="false"/>
      <w:bidi w:val="0"/>
      <w:spacing w:lineRule="auto" w:line="276" w:before="119" w:after="119"/>
      <w:ind w:left="0" w:right="0" w:firstLine="567"/>
      <w:jc w:val="both"/>
      <w:textAlignment w:val="baseline"/>
    </w:pPr>
    <w:rPr>
      <w:rFonts w:ascii="Ecofont_Spranq_eco_Sans" w:hAnsi="Ecofont_Spranq_eco_Sans" w:eastAsia="WenQuanYi Micro Hei" w:cs="Lohit Hindi"/>
      <w:color w:val="auto"/>
      <w:kern w:val="0"/>
      <w:sz w:val="24"/>
      <w:szCs w:val="24"/>
      <w:lang w:val="pt-BR" w:eastAsia="zh-CN" w:bidi="hi-IN"/>
    </w:rPr>
  </w:style>
  <w:style w:type="paragraph" w:styleId="Citao1">
    <w:name w:val="Citação1"/>
    <w:basedOn w:val="Normal"/>
    <w:next w:val="Normal"/>
    <w:link w:val="QuoteChar"/>
    <w:qFormat/>
    <w:pPr>
      <w:pBdr>
        <w:top w:val="single" w:sz="4" w:space="1" w:color="1F497D"/>
        <w:left w:val="single" w:sz="4" w:space="4" w:color="1F497D"/>
        <w:bottom w:val="single" w:sz="4" w:space="1" w:color="1F497D"/>
        <w:right w:val="single" w:sz="4" w:space="4" w:color="1F497D"/>
      </w:pBdr>
      <w:shd w:val="clear" w:fill="FFFFCC"/>
      <w:spacing w:before="120" w:after="0"/>
      <w:jc w:val="both"/>
    </w:pPr>
    <w:rPr>
      <w:rFonts w:eastAsia="Calibri"/>
      <w:i/>
      <w:iCs/>
      <w:color w:val="000000"/>
      <w:sz w:val="20"/>
      <w:szCs w:val="20"/>
      <w:lang w:eastAsia="en-US"/>
    </w:rPr>
  </w:style>
  <w:style w:type="paragraph" w:styleId="Paragraph">
    <w:name w:val="paragraph"/>
    <w:basedOn w:val="Normal"/>
    <w:qFormat/>
    <w:pPr>
      <w:spacing w:before="280" w:after="280"/>
    </w:pPr>
    <w:rPr>
      <w:rFonts w:ascii="Times New Roman" w:hAnsi="Times New Roman" w:eastAsia="Times New Roman" w:cs="Times New Roman"/>
    </w:rPr>
  </w:style>
  <w:style w:type="paragraph" w:styleId="Nivel1">
    <w:name w:val="Nivel1"/>
    <w:basedOn w:val="Ttulo1"/>
    <w:link w:val="Nivel1Char"/>
    <w:qFormat/>
    <w:pPr>
      <w:numPr>
        <w:ilvl w:val="0"/>
        <w:numId w:val="0"/>
      </w:numPr>
      <w:spacing w:lineRule="auto" w:line="276"/>
      <w:ind w:left="357" w:right="0" w:hanging="357"/>
      <w:jc w:val="both"/>
    </w:pPr>
    <w:rPr>
      <w:rFonts w:cs="Arial"/>
      <w:bCs w:val="false"/>
      <w:color w:val="000000"/>
    </w:rPr>
  </w:style>
  <w:style w:type="paragraph" w:styleId="PargrafodaLista1">
    <w:name w:val="Parágrafo da Lista1"/>
    <w:basedOn w:val="Normal"/>
    <w:qFormat/>
    <w:pPr>
      <w:ind w:left="720" w:right="0" w:hanging="0"/>
    </w:pPr>
    <w:rPr>
      <w:rFonts w:eastAsia="Times New Roman" w:cs="Ecofont_Spranq_eco_Sans"/>
    </w:rPr>
  </w:style>
  <w:style w:type="paragraph" w:styleId="Nivel2Opcional">
    <w:name w:val="Nivel 2-Opcional"/>
    <w:basedOn w:val="Normal"/>
    <w:autoRedefine/>
    <w:qFormat/>
    <w:pPr>
      <w:shd w:val="clear" w:fill="76923C"/>
      <w:spacing w:lineRule="auto" w:line="276" w:before="120" w:after="120"/>
      <w:ind w:left="0" w:right="0" w:hanging="0"/>
      <w:jc w:val="both"/>
    </w:pPr>
    <w:rPr>
      <w:rFonts w:ascii="Arial" w:hAnsi="Arial" w:eastAsia="Arial" w:cs="Arial"/>
      <w:i/>
      <w:color w:val="FF0000"/>
      <w:sz w:val="20"/>
      <w:szCs w:val="20"/>
    </w:rPr>
  </w:style>
  <w:style w:type="paragraph" w:styleId="Nivel11">
    <w:name w:val="Nivel 1"/>
    <w:basedOn w:val="Nivel2Opcional"/>
    <w:qFormat/>
    <w:pPr>
      <w:shd w:val="clear" w:fill="76923C"/>
      <w:ind w:left="360" w:right="0" w:hanging="360"/>
    </w:pPr>
    <w:rPr>
      <w:b/>
    </w:rPr>
  </w:style>
  <w:style w:type="paragraph" w:styleId="Nivel3erro">
    <w:name w:val="Nivel 3-erro"/>
    <w:basedOn w:val="Nivel3"/>
    <w:autoRedefine/>
    <w:qFormat/>
    <w:pPr>
      <w:ind w:left="993" w:right="0" w:hanging="0"/>
    </w:pPr>
    <w:rPr/>
  </w:style>
  <w:style w:type="paragraph" w:styleId="Nivel4">
    <w:name w:val="Nivel 4"/>
    <w:basedOn w:val="Nvel4R"/>
    <w:link w:val="Nivel4Char"/>
    <w:autoRedefine/>
    <w:qFormat/>
    <w:pPr/>
    <w:rPr>
      <w:i w:val="false"/>
      <w:color w:val="auto"/>
    </w:rPr>
  </w:style>
  <w:style w:type="paragraph" w:styleId="Nivel5">
    <w:name w:val="Nivel 5"/>
    <w:basedOn w:val="Nvel4R"/>
    <w:autoRedefine/>
    <w:qFormat/>
    <w:pPr>
      <w:ind w:left="851" w:right="0" w:hanging="0"/>
    </w:pPr>
    <w:rPr/>
  </w:style>
  <w:style w:type="paragraph" w:styleId="Textbody">
    <w:name w:val="textbody"/>
    <w:basedOn w:val="Normal"/>
    <w:qFormat/>
    <w:pPr>
      <w:spacing w:before="280" w:after="280"/>
    </w:pPr>
    <w:rPr>
      <w:rFonts w:ascii="Times New Roman" w:hAnsi="Times New Roman" w:eastAsia="Times New Roman" w:cs="Times New Roman"/>
    </w:rPr>
  </w:style>
  <w:style w:type="paragraph" w:styleId="Em0020ementa">
    <w:name w:val="em_0020ementa"/>
    <w:basedOn w:val="Normal"/>
    <w:qFormat/>
    <w:pPr>
      <w:ind w:left="4160" w:right="0" w:hanging="0"/>
      <w:jc w:val="both"/>
    </w:pPr>
    <w:rPr>
      <w:rFonts w:ascii="Times New Roman" w:hAnsi="Times New Roman" w:eastAsia="Times New Roman" w:cs="Times New Roman"/>
      <w:sz w:val="28"/>
      <w:szCs w:val="28"/>
    </w:rPr>
  </w:style>
  <w:style w:type="paragraph" w:styleId="Revision">
    <w:name w:val="Revision"/>
    <w:qFormat/>
    <w:pPr>
      <w:widowControl/>
      <w:suppressAutoHyphens w:val="true"/>
      <w:overflowPunct w:val="false"/>
      <w:bidi w:val="0"/>
      <w:spacing w:before="0" w:after="0"/>
      <w:jc w:val="left"/>
    </w:pPr>
    <w:rPr>
      <w:rFonts w:ascii="Ecofont_Spranq_eco_Sans" w:hAnsi="Ecofont_Spranq_eco_Sans" w:eastAsia="Times New Roman" w:cs="Tahoma"/>
      <w:color w:val="auto"/>
      <w:kern w:val="0"/>
      <w:sz w:val="24"/>
      <w:szCs w:val="24"/>
      <w:lang w:val="pt-BR" w:eastAsia="pt-BR" w:bidi="ar-SA"/>
    </w:rPr>
  </w:style>
  <w:style w:type="paragraph" w:styleId="Texto1">
    <w:name w:val="texto1"/>
    <w:basedOn w:val="Normal"/>
    <w:qFormat/>
    <w:pPr>
      <w:spacing w:before="280" w:after="280"/>
    </w:pPr>
    <w:rPr>
      <w:rFonts w:ascii="Times New Roman" w:hAnsi="Times New Roman" w:eastAsia="Times New Roman" w:cs="Times New Roman"/>
    </w:rPr>
  </w:style>
  <w:style w:type="paragraph" w:styleId="GradeColoridanfase11">
    <w:name w:val="Grade Colorida - Ênfase 11"/>
    <w:basedOn w:val="Normal"/>
    <w:next w:val="Normal"/>
    <w:qFormat/>
    <w:pPr>
      <w:pBdr>
        <w:top w:val="single" w:sz="4" w:space="1" w:color="1F497D"/>
        <w:left w:val="single" w:sz="4" w:space="4" w:color="1F497D"/>
        <w:bottom w:val="single" w:sz="4" w:space="1" w:color="1F497D"/>
        <w:right w:val="single" w:sz="4" w:space="4" w:color="1F497D"/>
      </w:pBdr>
      <w:shd w:val="clear" w:fill="FFFFCC"/>
      <w:spacing w:before="120" w:after="0"/>
      <w:jc w:val="both"/>
    </w:pPr>
    <w:rPr>
      <w:rFonts w:ascii="Arial" w:hAnsi="Arial" w:eastAsia="Calibri" w:cs="Times New Roman"/>
      <w:i/>
      <w:iCs/>
      <w:color w:val="000000"/>
      <w:sz w:val="20"/>
      <w:lang w:eastAsia="en-US"/>
    </w:rPr>
  </w:style>
  <w:style w:type="paragraph" w:styleId="Xwestern">
    <w:name w:val="x_western"/>
    <w:basedOn w:val="Normal"/>
    <w:qFormat/>
    <w:pPr>
      <w:spacing w:before="280" w:after="280"/>
    </w:pPr>
    <w:rPr>
      <w:rFonts w:ascii="Times New Roman" w:hAnsi="Times New Roman" w:eastAsia="Times New Roman" w:cs="Times New Roman"/>
    </w:rPr>
  </w:style>
  <w:style w:type="paragraph" w:styleId="TCUAcitem90">
    <w:name w:val="TCU - Ac - item 9 - §§_0"/>
    <w:basedOn w:val="Normal"/>
    <w:qFormat/>
    <w:pPr>
      <w:ind w:left="0" w:right="0" w:firstLine="1134"/>
      <w:jc w:val="both"/>
    </w:pPr>
    <w:rPr>
      <w:rFonts w:ascii="Times New Roman" w:hAnsi="Times New Roman" w:eastAsia="Times New Roman" w:cs="Times New Roman"/>
      <w:szCs w:val="22"/>
      <w:lang w:eastAsia="en-US"/>
    </w:rPr>
  </w:style>
  <w:style w:type="paragraph" w:styleId="Normal1">
    <w:name w:val="Normal_1"/>
    <w:qFormat/>
    <w:pPr>
      <w:widowControl/>
      <w:suppressAutoHyphens w:val="true"/>
      <w:overflowPunct w:val="false"/>
      <w:bidi w:val="0"/>
      <w:spacing w:before="0" w:after="0"/>
      <w:jc w:val="left"/>
    </w:pPr>
    <w:rPr>
      <w:rFonts w:ascii="Times New Roman" w:hAnsi="Times New Roman" w:eastAsia="Times New Roman" w:cs="Times New Roman"/>
      <w:color w:val="auto"/>
      <w:kern w:val="0"/>
      <w:sz w:val="24"/>
      <w:szCs w:val="22"/>
      <w:lang w:val="pt-BR" w:eastAsia="en-US" w:bidi="ar-SA"/>
    </w:rPr>
  </w:style>
  <w:style w:type="paragraph" w:styleId="Tcuacitem91linha">
    <w:name w:val="tcu_-__ac_-_item_9_-_1ª_linha"/>
    <w:basedOn w:val="Normal"/>
    <w:qFormat/>
    <w:pPr>
      <w:spacing w:before="280" w:after="280"/>
    </w:pPr>
    <w:rPr>
      <w:rFonts w:ascii="Times New Roman" w:hAnsi="Times New Roman" w:eastAsia="Times New Roman" w:cs="Times New Roman"/>
    </w:rPr>
  </w:style>
  <w:style w:type="paragraph" w:styleId="Textojustificadorecuoprimeiralinha">
    <w:name w:val="texto_justificado_recuo_primeira_linha"/>
    <w:basedOn w:val="Normal"/>
    <w:qFormat/>
    <w:pPr>
      <w:spacing w:before="280" w:after="280"/>
    </w:pPr>
    <w:rPr>
      <w:rFonts w:ascii="Times New Roman" w:hAnsi="Times New Roman" w:eastAsia="Times New Roman" w:cs="Times New Roman"/>
    </w:rPr>
  </w:style>
  <w:style w:type="paragraph" w:styleId="Textojustificado">
    <w:name w:val="texto_justificado"/>
    <w:basedOn w:val="Normal"/>
    <w:qFormat/>
    <w:pPr>
      <w:spacing w:before="280" w:after="280"/>
    </w:pPr>
    <w:rPr>
      <w:rFonts w:ascii="Times New Roman" w:hAnsi="Times New Roman" w:eastAsia="Times New Roman" w:cs="Times New Roman"/>
    </w:rPr>
  </w:style>
  <w:style w:type="paragraph" w:styleId="Nvel2Opcional">
    <w:name w:val="Nível 2 Opcional"/>
    <w:basedOn w:val="Nivel2Opcional"/>
    <w:link w:val="Nvel2OpcionalChar"/>
    <w:qFormat/>
    <w:pPr>
      <w:shd w:val="clear" w:fill="76923C"/>
      <w:ind w:left="432" w:right="0" w:hanging="432"/>
    </w:pPr>
    <w:rPr>
      <w:rFonts w:eastAsia="Times New Roman"/>
      <w:i w:val="false"/>
    </w:rPr>
  </w:style>
  <w:style w:type="paragraph" w:styleId="Nvel3Opcional">
    <w:name w:val="Nível 3 Opcional"/>
    <w:basedOn w:val="Nivel3erro"/>
    <w:link w:val="Nvel3OpcionalChar"/>
    <w:qFormat/>
    <w:pPr>
      <w:ind w:left="1072" w:right="0" w:hanging="504"/>
    </w:pPr>
    <w:rPr>
      <w:rFonts w:eastAsia="Times New Roman"/>
      <w:i/>
      <w:iCs/>
      <w:color w:val="FF0000"/>
    </w:rPr>
  </w:style>
  <w:style w:type="paragraph" w:styleId="SombreamentoMdio1nfase31">
    <w:name w:val="Sombreamento Médio 1 - Ênfase 31"/>
    <w:basedOn w:val="Normal"/>
    <w:next w:val="Normal"/>
    <w:qFormat/>
    <w:pPr>
      <w:pBdr>
        <w:top w:val="single" w:sz="4" w:space="1" w:color="000080"/>
        <w:left w:val="single" w:sz="4" w:space="4" w:color="000080"/>
        <w:bottom w:val="single" w:sz="4" w:space="1" w:color="000080"/>
        <w:right w:val="single" w:sz="4" w:space="4" w:color="000080"/>
      </w:pBdr>
      <w:shd w:val="clear" w:fill="FFFFCC"/>
      <w:suppressAutoHyphens w:val="true"/>
      <w:spacing w:before="120" w:after="0"/>
      <w:jc w:val="both"/>
    </w:pPr>
    <w:rPr>
      <w:rFonts w:eastAsia="Calibri"/>
      <w:i/>
      <w:iCs/>
      <w:color w:val="000000"/>
      <w:sz w:val="20"/>
      <w:lang w:eastAsia="zh-CN"/>
    </w:rPr>
  </w:style>
  <w:style w:type="paragraph" w:styleId="Corpo">
    <w:name w:val="corpo"/>
    <w:basedOn w:val="Normal"/>
    <w:qFormat/>
    <w:pPr>
      <w:spacing w:before="280" w:after="280"/>
    </w:pPr>
    <w:rPr>
      <w:rFonts w:ascii="Times New Roman" w:hAnsi="Times New Roman" w:eastAsia="Times New Roman" w:cs="Times New Roman"/>
    </w:rPr>
  </w:style>
  <w:style w:type="paragraph" w:styleId="Itemnivel2">
    <w:name w:val="item_nivel2"/>
    <w:basedOn w:val="Normal"/>
    <w:qFormat/>
    <w:pPr>
      <w:spacing w:before="280" w:after="280"/>
    </w:pPr>
    <w:rPr>
      <w:rFonts w:ascii="Times New Roman" w:hAnsi="Times New Roman" w:eastAsia="Times New Roman" w:cs="Times New Roman"/>
    </w:rPr>
  </w:style>
  <w:style w:type="paragraph" w:styleId="Itemnivel1">
    <w:name w:val="item_nivel1"/>
    <w:basedOn w:val="Normal"/>
    <w:qFormat/>
    <w:pPr>
      <w:spacing w:before="280" w:after="280"/>
    </w:pPr>
    <w:rPr>
      <w:rFonts w:ascii="Times New Roman" w:hAnsi="Times New Roman" w:eastAsia="Times New Roman" w:cs="Times New Roman"/>
    </w:rPr>
  </w:style>
  <w:style w:type="paragraph" w:styleId="Itemalinealetra">
    <w:name w:val="item_alinea_letra"/>
    <w:basedOn w:val="Normal"/>
    <w:qFormat/>
    <w:pPr>
      <w:spacing w:before="280" w:after="280"/>
    </w:pPr>
    <w:rPr>
      <w:rFonts w:ascii="Times New Roman" w:hAnsi="Times New Roman" w:eastAsia="Times New Roman" w:cs="Times New Roman"/>
    </w:rPr>
  </w:style>
  <w:style w:type="paragraph" w:styleId="Standard">
    <w:name w:val="Standard"/>
    <w:qFormat/>
    <w:pPr>
      <w:widowControl/>
      <w:suppressAutoHyphens w:val="true"/>
      <w:overflowPunct w:val="false"/>
      <w:bidi w:val="0"/>
      <w:spacing w:before="0" w:after="0"/>
      <w:jc w:val="left"/>
    </w:pPr>
    <w:rPr>
      <w:rFonts w:ascii="Liberation Serif" w:hAnsi="Liberation Serif" w:eastAsia="NSimSun" w:cs="Lucida Sans"/>
      <w:color w:val="auto"/>
      <w:kern w:val="2"/>
      <w:sz w:val="24"/>
      <w:szCs w:val="24"/>
      <w:lang w:val="pt-BR" w:eastAsia="zh-CN" w:bidi="hi-IN"/>
    </w:rPr>
  </w:style>
  <w:style w:type="paragraph" w:styleId="Textbody1">
    <w:name w:val="Text body"/>
    <w:basedOn w:val="Standard"/>
    <w:qFormat/>
    <w:pPr>
      <w:spacing w:lineRule="auto" w:line="276" w:before="0" w:after="140"/>
    </w:pPr>
    <w:rPr/>
  </w:style>
  <w:style w:type="paragraph" w:styleId="Ou">
    <w:name w:val="ou"/>
    <w:basedOn w:val="ListParagraph"/>
    <w:autoRedefine/>
    <w:qFormat/>
    <w:pPr>
      <w:spacing w:lineRule="auto" w:line="259" w:before="0" w:after="0"/>
      <w:ind w:left="0" w:right="0" w:hanging="0"/>
      <w:contextualSpacing/>
      <w:jc w:val="center"/>
    </w:pPr>
    <w:rPr>
      <w:rFonts w:ascii="Arial" w:hAnsi="Arial" w:eastAsia="Cambria" w:cs="Arial"/>
      <w:b/>
      <w:bCs/>
      <w:i/>
      <w:iCs/>
      <w:color w:val="FF0000"/>
      <w:sz w:val="20"/>
    </w:rPr>
  </w:style>
  <w:style w:type="paragraph" w:styleId="Douparagraph">
    <w:name w:val="dou-paragraph"/>
    <w:basedOn w:val="Normal"/>
    <w:qFormat/>
    <w:pPr>
      <w:spacing w:before="280" w:after="280"/>
    </w:pPr>
    <w:rPr>
      <w:rFonts w:ascii="Times New Roman" w:hAnsi="Times New Roman" w:eastAsia="Times New Roman" w:cs="Times New Roman"/>
    </w:rPr>
  </w:style>
  <w:style w:type="paragraph" w:styleId="Nvel02">
    <w:name w:val="Nível 02"/>
    <w:basedOn w:val="Nivel2Opcional"/>
    <w:link w:val="Nvel02Char"/>
    <w:autoRedefine/>
    <w:qFormat/>
    <w:pPr>
      <w:widowControl/>
      <w:shd w:val="clear" w:fill="auto"/>
      <w:bidi w:val="0"/>
      <w:spacing w:lineRule="auto" w:line="276" w:before="171" w:after="171"/>
      <w:ind w:left="113" w:right="0" w:hanging="0"/>
      <w:jc w:val="both"/>
    </w:pPr>
    <w:rPr>
      <w:i w:val="false"/>
      <w:iCs/>
      <w:color w:val="000000"/>
    </w:rPr>
  </w:style>
  <w:style w:type="paragraph" w:styleId="Nvel3R">
    <w:name w:val="Nível 3-R"/>
    <w:basedOn w:val="Nivel3erro"/>
    <w:autoRedefine/>
    <w:qFormat/>
    <w:pPr>
      <w:ind w:left="1638" w:right="0" w:hanging="504"/>
    </w:pPr>
    <w:rPr>
      <w:rFonts w:cs="Arial"/>
      <w:i/>
      <w:iCs/>
      <w:color w:val="FF0000"/>
    </w:rPr>
  </w:style>
  <w:style w:type="paragraph" w:styleId="Nvel4R">
    <w:name w:val="Nível 4-R"/>
    <w:basedOn w:val="Nvel3Opcional1"/>
    <w:autoRedefine/>
    <w:qFormat/>
    <w:pPr>
      <w:ind w:left="567" w:right="0" w:hanging="0"/>
    </w:pPr>
    <w:rPr>
      <w:rFonts w:cs="Arial"/>
      <w:bCs/>
      <w:color w:val="000000"/>
      <w:szCs w:val="20"/>
    </w:rPr>
  </w:style>
  <w:style w:type="paragraph" w:styleId="Nvel1SemNum">
    <w:name w:val="Nível 1-Sem Num"/>
    <w:basedOn w:val="Nivel01"/>
    <w:autoRedefine/>
    <w:qFormat/>
    <w:pPr>
      <w:numPr>
        <w:ilvl w:val="0"/>
        <w:numId w:val="0"/>
      </w:numPr>
      <w:shd w:val="clear" w:fill="FFFFFF"/>
      <w:ind w:left="357" w:right="0" w:hanging="357"/>
      <w:jc w:val="left"/>
      <w:outlineLvl w:val="1"/>
    </w:pPr>
    <w:rPr>
      <w:i/>
      <w:iCs w:val="false"/>
      <w:color w:val="FF0000"/>
    </w:rPr>
  </w:style>
  <w:style w:type="paragraph" w:styleId="Citao2">
    <w:name w:val="citação 2"/>
    <w:basedOn w:val="Quote"/>
    <w:qFormat/>
    <w:pPr>
      <w:shd w:val="clear" w:fill="FFFFCC"/>
      <w:overflowPunct w:val="true"/>
    </w:pPr>
    <w:rPr>
      <w:szCs w:val="20"/>
    </w:rPr>
  </w:style>
  <w:style w:type="paragraph" w:styleId="Prembulo">
    <w:name w:val="Preâmbulo"/>
    <w:basedOn w:val="Normal"/>
    <w:link w:val="PrembuloChar"/>
    <w:qFormat/>
    <w:pPr>
      <w:spacing w:lineRule="auto" w:line="360" w:before="480" w:after="120"/>
      <w:ind w:left="4253" w:right="-17" w:hanging="0"/>
      <w:jc w:val="both"/>
    </w:pPr>
    <w:rPr>
      <w:rFonts w:ascii="Arial" w:hAnsi="Arial" w:eastAsia="Arial" w:cs="Arial"/>
      <w:bCs/>
      <w:sz w:val="20"/>
      <w:szCs w:val="20"/>
    </w:rPr>
  </w:style>
  <w:style w:type="paragraph" w:styleId="Nvel1SemNumerao">
    <w:name w:val="Nível 1-Sem Numeração"/>
    <w:basedOn w:val="Nvel1SemNum"/>
    <w:autoRedefine/>
    <w:qFormat/>
    <w:pPr>
      <w:widowControl/>
      <w:shd w:val="clear" w:fill="FFFFFF"/>
      <w:bidi w:val="0"/>
      <w:spacing w:lineRule="auto" w:line="276" w:before="57" w:after="57"/>
      <w:ind w:left="113" w:right="0" w:hanging="0"/>
      <w:jc w:val="left"/>
    </w:pPr>
    <w:rPr>
      <w:i w:val="false"/>
      <w:color w:val="auto"/>
      <w:lang w:eastAsia="en-US"/>
    </w:rPr>
  </w:style>
  <w:style w:type="paragraph" w:styleId="Nivel3">
    <w:name w:val="Nivel 3"/>
    <w:basedOn w:val="Normal"/>
    <w:link w:val="Nivel3Char"/>
    <w:qFormat/>
    <w:pPr>
      <w:spacing w:lineRule="auto" w:line="276" w:before="120" w:after="120"/>
      <w:ind w:left="284" w:right="0" w:hanging="0"/>
      <w:jc w:val="both"/>
    </w:pPr>
    <w:rPr>
      <w:rFonts w:ascii="Arial" w:hAnsi="Arial"/>
      <w:sz w:val="20"/>
    </w:rPr>
  </w:style>
  <w:style w:type="paragraph" w:styleId="Alteraes">
    <w:name w:val="Alterações"/>
    <w:basedOn w:val="Nvel02"/>
    <w:link w:val="AlteraesChar"/>
    <w:qFormat/>
    <w:pPr>
      <w:shd w:val="clear" w:fill="FFFFFF"/>
    </w:pPr>
    <w:rPr>
      <w:color w:val="0000FF"/>
    </w:rPr>
  </w:style>
  <w:style w:type="paragraph" w:styleId="Contedodatabela">
    <w:name w:val="Conteúdo da tabela"/>
    <w:basedOn w:val="Normal"/>
    <w:qFormat/>
    <w:pPr>
      <w:widowControl w:val="false"/>
      <w:suppressLineNumbers/>
      <w:suppressAutoHyphens w:val="true"/>
      <w:textAlignment w:val="baseline"/>
    </w:pPr>
    <w:rPr>
      <w:rFonts w:ascii="Times New Roman" w:hAnsi="Times New Roman" w:eastAsia="SimSun"/>
      <w:kern w:val="2"/>
      <w:lang w:eastAsia="zh-CN" w:bidi="hi-IN"/>
    </w:rPr>
  </w:style>
  <w:style w:type="paragraph" w:styleId="Nivel21">
    <w:name w:val="Nivel 21"/>
    <w:basedOn w:val="Normal"/>
    <w:autoRedefine/>
    <w:qFormat/>
    <w:pPr>
      <w:shd w:val="clear" w:fill="948A54"/>
      <w:spacing w:lineRule="auto" w:line="276" w:before="120" w:after="120"/>
      <w:ind w:left="999" w:right="0" w:hanging="432"/>
      <w:jc w:val="both"/>
    </w:pPr>
    <w:rPr>
      <w:rFonts w:ascii="Arial" w:hAnsi="Arial" w:eastAsia="Arial" w:cs="Arial"/>
      <w:color w:val="000000"/>
      <w:sz w:val="20"/>
      <w:szCs w:val="20"/>
    </w:rPr>
  </w:style>
  <w:style w:type="paragraph" w:styleId="Nvel2Opcional1">
    <w:name w:val="Nível 2-Opcional"/>
    <w:basedOn w:val="Nvel02"/>
    <w:qFormat/>
    <w:pPr>
      <w:shd w:val="clear" w:fill="FFFFFF"/>
    </w:pPr>
    <w:rPr>
      <w:i/>
      <w:color w:val="FF0000"/>
    </w:rPr>
  </w:style>
  <w:style w:type="paragraph" w:styleId="Nvel3Opcional1">
    <w:name w:val="Nível 3-Opcional"/>
    <w:basedOn w:val="Nivel3"/>
    <w:qFormat/>
    <w:pPr/>
    <w:rPr>
      <w:i/>
      <w:color w:val="FF0000"/>
    </w:rPr>
  </w:style>
  <w:style w:type="paragraph" w:styleId="Nvel1SemBlack">
    <w:name w:val="Nível 1-Sem Black"/>
    <w:basedOn w:val="Normal"/>
    <w:qFormat/>
    <w:pPr>
      <w:keepNext w:val="true"/>
      <w:keepLines/>
      <w:numPr>
        <w:ilvl w:val="0"/>
        <w:numId w:val="0"/>
      </w:numPr>
      <w:tabs>
        <w:tab w:val="clear" w:pos="709"/>
        <w:tab w:val="left" w:pos="567" w:leader="none"/>
      </w:tabs>
      <w:spacing w:lineRule="auto" w:line="276" w:before="240" w:after="120"/>
      <w:jc w:val="both"/>
      <w:outlineLvl w:val="1"/>
    </w:pPr>
    <w:rPr>
      <w:rFonts w:ascii="Arial" w:hAnsi="Arial" w:eastAsia="ＭＳ ゴシック" w:cs="Arial"/>
      <w:b/>
      <w:bCs/>
      <w:sz w:val="20"/>
      <w:szCs w:val="20"/>
    </w:rPr>
  </w:style>
  <w:style w:type="paragraph" w:styleId="Nivel2">
    <w:name w:val="Nivel 2"/>
    <w:basedOn w:val="Normal"/>
    <w:link w:val="Nivel2Char"/>
    <w:autoRedefine/>
    <w:qFormat/>
    <w:pPr>
      <w:spacing w:lineRule="auto" w:line="276" w:before="120" w:after="120"/>
      <w:ind w:left="999" w:right="0" w:hanging="432"/>
      <w:jc w:val="both"/>
    </w:pPr>
    <w:rPr>
      <w:rFonts w:ascii="Arial" w:hAnsi="Arial" w:eastAsia="Arial" w:cs="Arial"/>
      <w:color w:val="000000"/>
      <w:sz w:val="20"/>
      <w:szCs w:val="20"/>
    </w:rPr>
  </w:style>
  <w:style w:type="paragraph" w:styleId="Estilo7">
    <w:name w:val="Estilo7"/>
    <w:basedOn w:val="Nvel02"/>
    <w:qFormat/>
    <w:pPr>
      <w:shd w:val="clear" w:fill="FFFFFF"/>
    </w:pPr>
    <w:rPr/>
  </w:style>
  <w:style w:type="paragraph" w:styleId="Default">
    <w:name w:val="Default"/>
    <w:qFormat/>
    <w:pPr>
      <w:widowControl/>
      <w:suppressAutoHyphens w:val="true"/>
      <w:overflowPunct w:val="true"/>
      <w:bidi w:val="0"/>
      <w:spacing w:before="0" w:after="0"/>
      <w:jc w:val="left"/>
    </w:pPr>
    <w:rPr>
      <w:rFonts w:ascii="Arial" w:hAnsi="Arial" w:eastAsia="Times New Roman" w:cs="Arial"/>
      <w:color w:val="000000"/>
      <w:kern w:val="0"/>
      <w:sz w:val="24"/>
      <w:szCs w:val="24"/>
      <w:lang w:val="pt-BR" w:eastAsia="zh-CN" w:bidi="ar-SA"/>
    </w:rPr>
  </w:style>
  <w:style w:type="paragraph" w:styleId="Ttulodetabela">
    <w:name w:val="Título de tabela"/>
    <w:basedOn w:val="Contedodatabela"/>
    <w:qFormat/>
    <w:pPr>
      <w:suppressLineNumbers/>
      <w:jc w:val="center"/>
    </w:pPr>
    <w:rPr>
      <w:b/>
      <w:bCs/>
    </w:rPr>
  </w:style>
  <w:style w:type="paragraph" w:styleId="Nvel2Red">
    <w:name w:val="Nível 2 -Red"/>
    <w:basedOn w:val="Nivel2"/>
    <w:qFormat/>
    <w:pPr>
      <w:widowControl/>
      <w:bidi w:val="0"/>
      <w:spacing w:lineRule="auto" w:line="276" w:before="0" w:after="0"/>
      <w:ind w:left="1247" w:right="0" w:hanging="454"/>
      <w:jc w:val="both"/>
    </w:pPr>
    <w:rPr>
      <w:b w:val="false"/>
      <w:bCs w:val="false"/>
      <w:i w:val="false"/>
      <w:iCs w:val="false"/>
      <w:color w:val="000000"/>
    </w:rPr>
  </w:style>
  <w:style w:type="paragraph" w:styleId="Textoprformatado">
    <w:name w:val="Texto préformatado"/>
    <w:basedOn w:val="Normal"/>
    <w:qFormat/>
    <w:pPr>
      <w:spacing w:before="0" w:after="0"/>
    </w:pPr>
    <w:rPr>
      <w:rFonts w:ascii="Liberation Mono" w:hAnsi="Liberation Mono" w:eastAsia="Liberation Mono" w:cs="Liberation Mono"/>
      <w:sz w:val="20"/>
      <w:szCs w:val="20"/>
    </w:rPr>
  </w:style>
  <w:style w:type="numbering" w:styleId="Estilo1">
    <w:name w:val="Estilo1"/>
    <w:qFormat/>
  </w:style>
  <w:style w:type="numbering" w:styleId="Estilo2">
    <w:name w:val="Estilo2"/>
    <w:qFormat/>
  </w:style>
  <w:style w:type="numbering" w:styleId="Estilo3">
    <w:name w:val="Estilo3"/>
    <w:qFormat/>
  </w:style>
  <w:style w:type="numbering" w:styleId="Estilo4">
    <w:name w:val="Estilo4"/>
    <w:qFormat/>
  </w:style>
  <w:style w:type="numbering" w:styleId="Estilo5">
    <w:name w:val="Estilo5"/>
    <w:qFormat/>
  </w:style>
  <w:style w:type="numbering" w:styleId="Estilo6">
    <w:name w:val="Estilo6"/>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wmf"/><Relationship Id="rId3" Type="http://schemas.openxmlformats.org/officeDocument/2006/relationships/header" Target="header1.xml"/><Relationship Id="rId4" Type="http://schemas.openxmlformats.org/officeDocument/2006/relationships/footer" Target="footer1.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377</TotalTime>
  <Application>LibreOffice/7.3.7.2$Linux_X86_64 LibreOffice_project/30$Build-2</Application>
  <AppVersion>15.0000</AppVersion>
  <Pages>16</Pages>
  <Words>6233</Words>
  <Characters>35403</Characters>
  <CharactersWithSpaces>41369</CharactersWithSpaces>
  <Paragraphs>298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2025-03-24T18:21:00Z</dcterms:created>
  <dc:creator/>
  <dc:description/>
  <dc:language>pt-BR</dc:language>
  <cp:lastModifiedBy/>
  <cp:lastPrinted>2026-05-26T12:57:12Z</cp:lastPrinted>
  <dcterms:modified xsi:type="dcterms:W3CDTF">2026-05-29T07:43:45Z</dcterms:modified>
  <cp:revision>45</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yperlinksChanged">
    <vt:bool>0</vt:bool>
  </property>
  <property fmtid="{D5CDD505-2E9C-101B-9397-08002B2CF9AE}" pid="3" name="LinksUpToDate">
    <vt:bool>0</vt:bool>
  </property>
  <property fmtid="{D5CDD505-2E9C-101B-9397-08002B2CF9AE}" pid="4" name="ScaleCrop">
    <vt:bool>0</vt:bool>
  </property>
  <property fmtid="{D5CDD505-2E9C-101B-9397-08002B2CF9AE}" pid="5" name="ShareDoc">
    <vt:bool>0</vt:bool>
  </property>
</Properties>
</file>