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eastAsia="Times New Roman" w:cs="Calibri"/>
          <w:b/>
          <w:b/>
          <w:color w:val="000000"/>
        </w:rPr>
      </w:pPr>
      <w:r>
        <w:rPr>
          <w:rFonts w:eastAsia="Times New Roman" w:cs="Calibri"/>
          <w:b/>
          <w:color w:val="000000"/>
        </w:rPr>
        <w:drawing>
          <wp:anchor behindDoc="0" distT="0" distB="0" distL="18415" distR="0" simplePos="0" locked="0" layoutInCell="1" allowOverlap="1" relativeHeight="2">
            <wp:simplePos x="0" y="0"/>
            <wp:positionH relativeFrom="column">
              <wp:posOffset>4504690</wp:posOffset>
            </wp:positionH>
            <wp:positionV relativeFrom="paragraph">
              <wp:posOffset>38100</wp:posOffset>
            </wp:positionV>
            <wp:extent cx="768350" cy="77470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47" t="-329" r="-347" b="-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Calibri" w:hAnsi="Calibri" w:eastAsia="Times New Roman" w:cs="Calibri"/>
          <w:b/>
          <w:b/>
          <w:color w:val="000000"/>
        </w:rPr>
      </w:pPr>
      <w:r>
        <w:rPr>
          <w:rFonts w:eastAsia="Times New Roman" w:cs="Calibri"/>
          <w:b/>
          <w:color w:val="000000"/>
        </w:rPr>
      </w:r>
    </w:p>
    <w:p>
      <w:pPr>
        <w:pStyle w:val="Normal"/>
        <w:jc w:val="center"/>
        <w:rPr>
          <w:rFonts w:ascii="Calibri" w:hAnsi="Calibri" w:eastAsia="Times New Roman" w:cs="Calibri"/>
          <w:b/>
          <w:b/>
          <w:color w:val="000000"/>
        </w:rPr>
      </w:pPr>
      <w:r>
        <w:rPr>
          <w:rFonts w:eastAsia="Times New Roman" w:cs="Calibri"/>
          <w:b/>
          <w:color w:val="000000"/>
        </w:rPr>
      </w:r>
    </w:p>
    <w:p>
      <w:pPr>
        <w:pStyle w:val="Normal"/>
        <w:jc w:val="center"/>
        <w:rPr>
          <w:rFonts w:ascii="Calibri" w:hAnsi="Calibri" w:eastAsia="Times New Roman" w:cs="Calibri"/>
          <w:b/>
          <w:b/>
          <w:color w:val="000000"/>
        </w:rPr>
      </w:pPr>
      <w:r>
        <w:rPr>
          <w:rFonts w:eastAsia="Times New Roman" w:cs="Calibri"/>
          <w:b/>
          <w:color w:val="000000"/>
          <w:sz w:val="24"/>
          <w:szCs w:val="24"/>
        </w:rPr>
        <w:t>MARINHA DO BRASIL</w:t>
      </w:r>
    </w:p>
    <w:p>
      <w:pPr>
        <w:pStyle w:val="Ttulo1"/>
        <w:numPr>
          <w:ilvl w:val="0"/>
          <w:numId w:val="2"/>
        </w:numPr>
        <w:ind w:left="432" w:hanging="432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>ARSENAL DE MARINHA DO RIO DE JANEIRO</w:t>
      </w:r>
    </w:p>
    <w:p>
      <w:pPr>
        <w:pStyle w:val="Standard"/>
        <w:jc w:val="center"/>
        <w:rPr>
          <w:rFonts w:ascii="Calibri" w:hAnsi="Calibri" w:eastAsia="Times New Roman" w:cs="Calibri"/>
          <w:b/>
          <w:b/>
          <w:color w:val="000000"/>
        </w:rPr>
      </w:pPr>
      <w:r>
        <w:rPr>
          <w:rFonts w:eastAsia="Times New Roman" w:cs="Calibri" w:ascii="Calibri" w:hAnsi="Calibri"/>
          <w:b/>
          <w:color w:val="000000"/>
        </w:rPr>
        <w:t>DIVISÃO DE ESTRUTURAS – OFICINA DE PLÁSTICOS REFORÇADOS (AMRJ – 241.2)</w:t>
      </w:r>
    </w:p>
    <w:p>
      <w:pPr>
        <w:pStyle w:val="Standard"/>
        <w:jc w:val="center"/>
        <w:rPr>
          <w:rFonts w:ascii="Calibri" w:hAnsi="Calibri" w:cs="Calibri"/>
          <w:b/>
          <w:b/>
          <w:color w:val="000000"/>
        </w:rPr>
      </w:pPr>
      <w:r>
        <w:rPr>
          <w:rFonts w:cs="Calibri" w:ascii="Calibri" w:hAnsi="Calibri"/>
          <w:b/>
          <w:color w:val="000000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b/>
          <w:b/>
        </w:rPr>
      </w:pPr>
      <w:r>
        <w:rPr>
          <w:rFonts w:cs="Calibri"/>
          <w:b/>
          <w:sz w:val="24"/>
          <w:szCs w:val="24"/>
        </w:rPr>
        <w:t xml:space="preserve">APÊNDICE </w:t>
      </w:r>
      <w:r>
        <w:rPr>
          <w:rFonts w:eastAsia="Calibri" w:cs="Calibri" w:eastAsiaTheme="minorHAnsi"/>
          <w:b/>
          <w:color w:val="auto"/>
          <w:kern w:val="0"/>
          <w:sz w:val="24"/>
          <w:szCs w:val="24"/>
          <w:lang w:val="pt-BR" w:eastAsia="en-US" w:bidi="ar-SA"/>
        </w:rPr>
        <w:t>E</w:t>
      </w:r>
      <w:r>
        <w:rPr>
          <w:rFonts w:cs="Calibri"/>
          <w:b/>
          <w:sz w:val="24"/>
          <w:szCs w:val="24"/>
        </w:rPr>
        <w:t xml:space="preserve">  – TABELA DE COTAÇÃO DE PREÇO</w:t>
      </w:r>
    </w:p>
    <w:tbl>
      <w:tblPr>
        <w:tblW w:w="15600" w:type="dxa"/>
        <w:jc w:val="left"/>
        <w:tblInd w:w="60" w:type="dxa"/>
        <w:tblCellMar>
          <w:top w:w="0" w:type="dxa"/>
          <w:left w:w="65" w:type="dxa"/>
          <w:bottom w:w="0" w:type="dxa"/>
          <w:right w:w="70" w:type="dxa"/>
        </w:tblCellMar>
        <w:tblLook w:val="04a0"/>
      </w:tblPr>
      <w:tblGrid>
        <w:gridCol w:w="859"/>
        <w:gridCol w:w="3920"/>
        <w:gridCol w:w="1660"/>
        <w:gridCol w:w="4003"/>
        <w:gridCol w:w="861"/>
        <w:gridCol w:w="858"/>
        <w:gridCol w:w="861"/>
        <w:gridCol w:w="862"/>
        <w:gridCol w:w="859"/>
        <w:gridCol w:w="855"/>
      </w:tblGrid>
      <w:tr>
        <w:trPr>
          <w:trHeight w:val="660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47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Serviço de reparo e fabricação de peças reforçadas em fibra de vidro, por meio de técnica de laminação manual, com fornecimento de material, para os meios navais da Marinha do Brasil (navios, submarinos e escaler)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Subitem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Serviço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4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Principais Materiais Empregados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Valor do Serviço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Valor do Material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29" w:right="-101" w:hanging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Quant. Mín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39" w:hanging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Quant. máx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Valor Unitário.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 xml:space="preserve">Valor Total </w:t>
            </w:r>
          </w:p>
        </w:tc>
      </w:tr>
      <w:tr>
        <w:trPr>
          <w:trHeight w:val="3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1.1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Reparo de laminação (delaminação parcial ou total; reparo de avaria que perpassa a peça; reparo com necessidade de “cesárea”; reparo de avaria em um dos lados do laminado; reparo de avaria em ambos os lados do laminado, que não perpassa a peça; reparo de avaria superficial, como perda da(s) camada(s) superficial(is) de laminado, arranhões, trincas, cortes pouco profundos, entre outros; reparo de recomposição de furos de encaixe de parafusos; remoção e fixação de peças de reforço estrutural (cavernas, longitudinais, etc.).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m²</w:t>
            </w:r>
          </w:p>
        </w:tc>
        <w:tc>
          <w:tcPr>
            <w:tcW w:w="4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Topcoat e gelcoat isoftálicos com neopentil-glicol (NPG) na cor preta, branca, cinza naval ou incolor; resina poliéster isoftálica com  NPG (referência: Reichhold Polylite 10134-00 ou similar); véu de superfície (manta de fibra de vidro tipo véu de noiva), gramatura 33 a 35 g/m²; tecido de fibra de vidro bidirecional 0°/90°, tela 1x1, gramatura ±280g/m², tipo fênix ou similar; manta de fibra de vidro com gramaturas de 300 e 450 g/m²; tecido de fibra de vidro, bidirecional 0°/90° (woven roving), tecelagem simétrica tipo tela, gramatura de 600g/m² ou tecido biaxial de fibra de vidro combinado com manta costurada de fibra de vidro, rama ortogonal (0/90) de 600 g/m² acoplado com manta costurada de 225g/m², peso total 825g/m², referência: CM1808 ou similar (no caso do escaler fabricado por infusão a vácuo); fio roving fibra de vidro; resina epóxi (referência: Huntsman Araldite GY-260 ou similar); endurecedor para resina epóxi à base de poliamidoamina (referência Huntsman Aradur 125-1BR ou similar), talco industrial; aerosil; monômero de estireno; catalisador e acelerador para resina poliéster; desmoldante; solvente para limpeza de superfície. Material de núcleo para laminado sanduíche, a depender da amostra obtida durante o reparo: compensado naval (espessura a ser verificada na amostra durante o reparo), espuma de poliuretano (espessura e densidade a serem verificadas na amostra durante o reparo) ou espuma de PVC de 10mm ou 20mm, densidade 60kg/m³ (referência Divinycell H60 ou similar).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643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1.2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Fabricação de peças reforçadas com fibra de vidro de pequena complexidade, isto é, peças derivadas de placas planas, ex: tampas e reforços estruturais (como cavernas e longitudinais), entre outros. Inclui corte, reto ou curvo, no formato final. / Fabricação de peças reforçadas com fibra de vidro a partir de moldes existentes, como conveses, banco de escaler e peças menores do escaler (caixa de finca pé, bandeja de finca pé, leme, tampa de acesso ao paiol de proa e tampa de acesso ao fundo do barco).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m²</w:t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40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171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1.3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Fixação de ferragens por meio de laminação.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UNID.</w:t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171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</w:tbl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W w:w="15600" w:type="dxa"/>
        <w:jc w:val="left"/>
        <w:tblInd w:w="60" w:type="dxa"/>
        <w:tblCellMar>
          <w:top w:w="0" w:type="dxa"/>
          <w:left w:w="65" w:type="dxa"/>
          <w:bottom w:w="0" w:type="dxa"/>
          <w:right w:w="70" w:type="dxa"/>
        </w:tblCellMar>
        <w:tblLook w:val="04a0"/>
      </w:tblPr>
      <w:tblGrid>
        <w:gridCol w:w="859"/>
        <w:gridCol w:w="3920"/>
        <w:gridCol w:w="1660"/>
        <w:gridCol w:w="4006"/>
        <w:gridCol w:w="855"/>
        <w:gridCol w:w="864"/>
        <w:gridCol w:w="858"/>
        <w:gridCol w:w="862"/>
        <w:gridCol w:w="859"/>
        <w:gridCol w:w="3"/>
        <w:gridCol w:w="852"/>
      </w:tblGrid>
      <w:tr>
        <w:trPr>
          <w:trHeight w:val="585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1.4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Auxílio, na instalação a bordo, de peças reforçadas com fibra de vidro (corte, desbaste e pequenos reparos de laminação).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HH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16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240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1.5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Substituição de verdugo e asas.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m</w:t>
            </w:r>
          </w:p>
        </w:tc>
        <w:tc>
          <w:tcPr>
            <w:tcW w:w="4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 w:ascii="Liberation Sans" w:hAnsi="Liberation Sans"/>
                <w:color w:val="000000"/>
                <w:sz w:val="14"/>
                <w:szCs w:val="14"/>
                <w:lang w:eastAsia="pt-BR"/>
              </w:rPr>
              <w:t>Madeira cumaru; formato do verdugo e asas conforme amostra durante o reparo - faixa de largura (verdugo e asas): 5 a 10 cm, faixa de espessura: 2 a 5 cm (verdugo) e 15 a 25 cm (asas), faixa de comprimento das bases das asas: 15 a 45 cm); elementos de fixação de verdugo e asas, conforme amostra; massa epóxi e corante para acabamento; verniz, características: formação de película resistente ao sol e à chuva, proteção para fungos, brilhante, cor: imbuia, durabilidade mínima de 6 anos, referência: verniz Sparlack Cetol Classic ou similar.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676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842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1.6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Reposição / substituição de parafusos, porcas e arruelas do escaler.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UNID.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 xml:space="preserve">Material: aço inox AISI304.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Parafusos, porcas e arruelas diversos, conforme detalhado abaixo. Considerar especificações descritas nesta tabela ou amostra do item obtida no reparo.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50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800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973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1.7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Reposição / substituição de ferragens (cunho, passa cabo, toleteira, governadura, bueira, corrediça e trinco das bandejas de finca-pé) e tamanqueiras (com fixação para pés tipo velcro ou similar) do escaler.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UNID.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 xml:space="preserve">Material: aço inox AISI304.  Barra chata 3/8” x ¾”, comprimento 20 a 30cm; passa cabo de 5 1/2" x 1" (dimensões da base); cunho náutico de 6", fixação por meio de 04 parafusos;  toleteira para escaler, referência:  Ybyrapitanga código 40.011-3 ou similar;   bueira metálica de 1" (bujão), com anel de vedação; trinco universal (fecho de sobrepor) de 100mm de comprimento;  cupilha de 1/8 x 2”. Material para fabricação da governadura, conforme desenho técnico e/ou amostra:  chapa 3,50mm (9/64”); tarugo ou barra redonda de 1½”; tubo 3/4” espessura 2,5 mm; tarugo ou barra redonda de 9/16”.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 xml:space="preserve"> </w:t>
            </w: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Tamanqueira do fincapé, injetada poliamida 6.6, referência: Ybyrapytanga cod.20.001/7 ou similar; fecho de contato para costura 50mm, preto, par macho e fêmea, sem adesivo, referência: velcro ou similar; bueira branca termoplástica 38mm (bujão).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Considerar especificações e referências acima ou amostra do item obtida no reparo.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1.8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Pintura do escaler (1 a 6 cores).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m²</w:t>
            </w:r>
          </w:p>
        </w:tc>
        <w:tc>
          <w:tcPr>
            <w:tcW w:w="4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Tinta de poliuretano, acabamento brilhante, uso náutico, sistema bicomponente, aplicação: fibra de vidro, referência: Perfection International ou similar;  tinta esmalte sintético para uso náutico, aplicação: fibra de vidro, acabamento alto brilho, cor: branco;   tinta primer epóxi-isocianato bicomponente, aplicação: fibra de vidro, cor: branco, referência: Primer International Galverette ou similar; aguarrás; solvente para tinta de poliuretano; massa poliéster de rápida secagem e fácil lixamento, indicada para correção de defeitos de substratos e fibra de vidro, cor: branco, referência: massa poliéster Lazzuril M3500 + catalisador C36 ou similar. Pintura conforme esquema de pintura estabelecido para o escaler.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  <w:t>200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8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1812" w:hRule="atLeast"/>
        </w:trPr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3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16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4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  <w:tc>
          <w:tcPr>
            <w:tcW w:w="85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ans" w:hAnsi="Liberation Sans" w:eastAsia="Times New Roman" w:cs="Times New Roman"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</w:r>
          </w:p>
        </w:tc>
      </w:tr>
      <w:tr>
        <w:trPr>
          <w:trHeight w:val="290" w:hRule="atLeast"/>
        </w:trPr>
        <w:tc>
          <w:tcPr>
            <w:tcW w:w="14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b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pt-BR"/>
              </w:rPr>
              <w:t>TOTAL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Liberation Sans" w:hAnsi="Liberation Sans"/>
                <w:color w:val="000000"/>
                <w:sz w:val="14"/>
                <w:szCs w:val="14"/>
                <w:lang w:eastAsia="pt-BR"/>
              </w:rPr>
              <w:t> </w:t>
            </w:r>
          </w:p>
        </w:tc>
      </w:tr>
    </w:tbl>
    <w:p>
      <w:pPr>
        <w:pStyle w:val="Normal"/>
        <w:spacing w:before="0" w:after="200"/>
        <w:rPr>
          <w:sz w:val="14"/>
          <w:szCs w:val="14"/>
        </w:rPr>
      </w:pPr>
      <w:r>
        <w:rPr/>
      </w:r>
    </w:p>
    <w:sectPr>
      <w:footerReference w:type="default" r:id="rId3"/>
      <w:type w:val="nextPage"/>
      <w:pgSz w:orient="landscape" w:w="16838" w:h="11906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Ecofont_Spranq_eco_Sans">
    <w:altName w:val="Times 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98532084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/>
          <w:t xml:space="preserve"> </w:t>
        </w:r>
        <w:r>
          <w:rPr/>
          <w:t>de 2</w:t>
        </w:r>
      </w:p>
    </w:sdtContent>
  </w:sdt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4d3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 w:customStyle="1">
    <w:name w:val="Heading 1"/>
    <w:basedOn w:val="Normal"/>
    <w:next w:val="Normal"/>
    <w:qFormat/>
    <w:rsid w:val="00352a67"/>
    <w:pPr>
      <w:keepNext w:val="true"/>
      <w:numPr>
        <w:ilvl w:val="0"/>
        <w:numId w:val="1"/>
      </w:numPr>
      <w:suppressAutoHyphens w:val="true"/>
      <w:overflowPunct w:val="true"/>
      <w:spacing w:lineRule="auto" w:line="240" w:before="0" w:after="0"/>
      <w:ind w:left="432" w:hanging="432"/>
      <w:jc w:val="center"/>
      <w:outlineLvl w:val="0"/>
    </w:pPr>
    <w:rPr>
      <w:rFonts w:ascii="Liberation Serif;Times New Roma" w:hAnsi="Liberation Serif;Times New Roma" w:eastAsia="Noto Sans CJK SC" w:cs="Lohit Devanagari"/>
      <w:b/>
      <w:kern w:val="2"/>
      <w:sz w:val="24"/>
      <w:szCs w:val="24"/>
      <w:lang w:eastAsia="zh-CN" w:bidi="hi-IN"/>
    </w:rPr>
  </w:style>
  <w:style w:type="paragraph" w:styleId="Ttulo2" w:customStyle="1">
    <w:name w:val="Heading 2"/>
    <w:basedOn w:val="Ttulododocumento"/>
    <w:qFormat/>
    <w:rsid w:val="00352a67"/>
    <w:pPr>
      <w:keepNext w:val="true"/>
      <w:numPr>
        <w:ilvl w:val="1"/>
        <w:numId w:val="1"/>
      </w:numPr>
      <w:suppressAutoHyphens w:val="true"/>
      <w:spacing w:before="200" w:after="120"/>
      <w:outlineLvl w:val="1"/>
    </w:pPr>
    <w:rPr>
      <w:rFonts w:ascii="Liberation Sans" w:hAnsi="Liberation Sans" w:eastAsia="Noto Sans CJK SC" w:cs="Lohit Devanagari"/>
      <w:b/>
      <w:bCs/>
      <w:color w:val="auto"/>
      <w:spacing w:val="0"/>
      <w:kern w:val="2"/>
      <w:sz w:val="32"/>
      <w:szCs w:val="32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Char" w:customStyle="1">
    <w:name w:val="Título Char"/>
    <w:basedOn w:val="DefaultParagraphFont"/>
    <w:link w:val="Ttulo"/>
    <w:uiPriority w:val="10"/>
    <w:qFormat/>
    <w:rsid w:val="00352a67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/>
    <w:qFormat/>
    <w:rsid w:val="00352a67"/>
    <w:rPr/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3674af"/>
    <w:rPr/>
  </w:style>
  <w:style w:type="character" w:styleId="RodapChar" w:customStyle="1">
    <w:name w:val="Rodapé Char"/>
    <w:basedOn w:val="DefaultParagraphFont"/>
    <w:link w:val="Rodap"/>
    <w:uiPriority w:val="99"/>
    <w:qFormat/>
    <w:rsid w:val="003674af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/>
    <w:unhideWhenUsed/>
    <w:rsid w:val="00352a67"/>
    <w:pPr>
      <w:spacing w:before="0" w:after="12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352a67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tandard" w:customStyle="1">
    <w:name w:val="Standard"/>
    <w:qFormat/>
    <w:rsid w:val="00352a67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Ecofont_Spranq_eco_Sans;Times N" w:hAnsi="Ecofont_Spranq_eco_Sans;Times N" w:eastAsia="MS Mincho" w:cs="Tahoma"/>
      <w:color w:val="auto"/>
      <w:kern w:val="2"/>
      <w:sz w:val="24"/>
      <w:szCs w:val="24"/>
      <w:lang w:val="pt-BR" w:eastAsia="zh-CN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semiHidden/>
    <w:unhideWhenUsed/>
    <w:rsid w:val="003674a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3674a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LibreOffice/6.4.7.2$Linux_X86_64 LibreOffice_project/40$Build-2</Application>
  <Pages>2</Pages>
  <Words>959</Words>
  <Characters>5106</Characters>
  <CharactersWithSpaces>6034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2025-07-12T15:27:00Z</dcterms:created>
  <dc:creator>Usuario</dc:creator>
  <dc:description/>
  <dc:language>pt-BR</dc:language>
  <cp:lastModifiedBy/>
  <dcterms:modified xsi:type="dcterms:W3CDTF">2026-07-08T14:26:26Z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