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w:t>
      </w:r>
      <w:r>
        <w:rPr>
          <w:rFonts w:cs="Arial"/>
          <w:bCs/>
          <w:i/>
          <w:iCs/>
          <w:color w:val="5B5B5F"/>
          <w:sz w:val="28"/>
          <w:szCs w:val="28"/>
        </w:rPr>
        <w:t>40</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color w:val="808080"/>
          <w:sz w:val="28"/>
          <w:szCs w:val="28"/>
        </w:rPr>
      </w:pPr>
      <w:r>
        <w:rPr>
          <w:rFonts w:eastAsia="" w:cs="Arial"/>
          <w:b/>
          <w:bCs/>
          <w:color w:val="808080"/>
          <w:sz w:val="28"/>
          <w:szCs w:val="28"/>
          <w:shd w:fill="auto" w:val="clear"/>
        </w:rPr>
        <w:t xml:space="preserve">AQUISIÇÃO DE </w:t>
      </w:r>
      <w:r>
        <w:rPr>
          <w:rFonts w:eastAsia="" w:cs="Arial"/>
          <w:b/>
          <w:bCs/>
          <w:color w:val="808080"/>
          <w:sz w:val="28"/>
          <w:szCs w:val="28"/>
          <w:shd w:fill="auto" w:val="clear"/>
        </w:rPr>
        <w:t>REPETIDOR DE SINAL</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 xml:space="preserve">R$ </w:t>
      </w:r>
      <w:r>
        <w:rPr>
          <w:rFonts w:cs="Arial"/>
          <w:bCs/>
          <w:color w:val="5B5B5F"/>
          <w:sz w:val="28"/>
          <w:szCs w:val="28"/>
        </w:rPr>
        <w:t>22</w:t>
      </w:r>
      <w:r>
        <w:rPr>
          <w:rFonts w:cs="Arial"/>
          <w:bCs/>
          <w:color w:val="5B5B5F"/>
          <w:sz w:val="28"/>
          <w:szCs w:val="28"/>
        </w:rPr>
        <w:t>.</w:t>
      </w:r>
      <w:r>
        <w:rPr>
          <w:rFonts w:cs="Arial"/>
          <w:bCs/>
          <w:color w:val="5B5B5F"/>
          <w:sz w:val="28"/>
          <w:szCs w:val="28"/>
        </w:rPr>
        <w:t>206</w:t>
      </w:r>
      <w:r>
        <w:rPr>
          <w:rFonts w:cs="Arial"/>
          <w:bCs/>
          <w:color w:val="5B5B5F"/>
          <w:sz w:val="28"/>
          <w:szCs w:val="28"/>
        </w:rPr>
        <w:t>,</w:t>
      </w:r>
      <w:r>
        <w:rPr>
          <w:rFonts w:cs="Arial"/>
          <w:bCs/>
          <w:color w:val="5B5B5F"/>
          <w:sz w:val="28"/>
          <w:szCs w:val="28"/>
        </w:rPr>
        <w:t>00</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03</w:t>
      </w:r>
      <w:r>
        <w:rPr>
          <w:rFonts w:cs="Arial"/>
          <w:bCs/>
          <w:color w:val="5B5B5F"/>
          <w:sz w:val="28"/>
          <w:szCs w:val="28"/>
        </w:rPr>
        <w:t>/0</w:t>
      </w:r>
      <w:r>
        <w:rPr>
          <w:rFonts w:cs="Arial"/>
          <w:bCs/>
          <w:color w:val="5B5B5F"/>
          <w:sz w:val="28"/>
          <w:szCs w:val="28"/>
        </w:rPr>
        <w:t>8</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000000"/>
          <w:szCs w:val="20"/>
        </w:rPr>
        <w:t>1</w:t>
      </w:r>
      <w:r>
        <w:rPr>
          <w:rFonts w:cs="Arial"/>
          <w:b/>
          <w:color w:val="1C1C1C"/>
          <w:szCs w:val="20"/>
        </w:rPr>
        <w:t>40</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 xml:space="preserve">63065.001790/2026-53 </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vel02"/>
        <w:numPr>
          <w:ilvl w:val="1"/>
          <w:numId w:val="1"/>
        </w:numPr>
        <w:ind w:hanging="0" w:left="0"/>
        <w:rPr>
          <w:color w:val="auto"/>
        </w:rPr>
      </w:pPr>
      <w:r>
        <w:rPr>
          <w:rFonts w:cs="Arial"/>
          <w:b w:val="false"/>
          <w:bCs w:val="false"/>
          <w:strike w:val="false"/>
          <w:dstrike w:val="false"/>
          <w:color w:val="000000"/>
          <w:sz w:val="20"/>
          <w:szCs w:val="20"/>
          <w:u w:val="none"/>
          <w:effect w:val="none"/>
          <w:shd w:fill="auto" w:val="clear"/>
        </w:rPr>
        <w:t xml:space="preserve">Contratação de empresa especializada para o fornecimento de </w:t>
      </w:r>
      <w:r>
        <w:rPr>
          <w:rFonts w:cs="Arial"/>
          <w:b w:val="false"/>
          <w:bCs w:val="false"/>
          <w:strike w:val="false"/>
          <w:dstrike w:val="false"/>
          <w:color w:val="000000"/>
          <w:sz w:val="20"/>
          <w:szCs w:val="20"/>
          <w:u w:val="none"/>
          <w:effect w:val="none"/>
          <w:shd w:fill="auto" w:val="clear"/>
        </w:rPr>
        <w:t>material com instalação,</w:t>
      </w:r>
      <w:r>
        <w:rPr>
          <w:rFonts w:cs="Arial"/>
          <w:b w:val="false"/>
          <w:bCs w:val="false"/>
          <w:strike w:val="false"/>
          <w:dstrike w:val="false"/>
          <w:color w:val="000000"/>
          <w:sz w:val="20"/>
          <w:szCs w:val="20"/>
          <w:u w:val="none"/>
          <w:effect w:val="none"/>
          <w:shd w:fill="auto" w:val="clear"/>
        </w:rPr>
        <w:t xml:space="preserve"> incluindo equipamentos, materiais, acessórios, infraestrutura e serviços necessários à implantação de sistema de repetição de sinal de telefonia celular e dados móveis (3G/4G/5G), visando atender às dependências do Serviço de Medicina Integral (SMI) da Policl</w:t>
      </w:r>
      <w:r>
        <w:rPr>
          <w:rFonts w:eastAsia="Arial" w:cs="Arial"/>
          <w:b w:val="false"/>
          <w:bCs w:val="false"/>
          <w:i w:val="false"/>
          <w:iCs/>
          <w:strike w:val="false"/>
          <w:dstrike w:val="false"/>
          <w:color w:val="000000"/>
          <w:kern w:val="0"/>
          <w:sz w:val="20"/>
          <w:szCs w:val="20"/>
          <w:u w:val="none"/>
          <w:effect w:val="none"/>
          <w:shd w:fill="auto" w:val="clear"/>
          <w:lang w:val="pt-BR" w:eastAsia="pt-BR" w:bidi="ar-SA"/>
        </w:rPr>
        <w:t>ínica Naval Nossa Senhora da Gloria,</w:t>
      </w:r>
      <w:r>
        <w:rPr>
          <w:rFonts w:cs="Arial"/>
          <w:b w:val="false"/>
          <w:bCs w:val="false"/>
          <w:color w:val="000000"/>
          <w:sz w:val="20"/>
          <w:szCs w:val="20"/>
          <w:shd w:fill="auto" w:val="clear"/>
        </w:rPr>
        <w:t xml:space="preserve"> nos termos da tabela abaixo, conforme condições e exigências estabelecidas neste instrumento</w:t>
      </w:r>
      <w:bookmarkStart w:id="2" w:name="_Ref172096041"/>
      <w:r>
        <w:rPr>
          <w:rFonts w:cs="Arial"/>
          <w:b w:val="false"/>
          <w:bCs w:val="false"/>
          <w:color w:val="000000"/>
          <w:sz w:val="20"/>
          <w:szCs w:val="20"/>
          <w:shd w:fill="auto" w:val="clear"/>
        </w:rPr>
        <w:t>:</w:t>
      </w:r>
      <w:bookmarkEnd w:id="2"/>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rHeight w:val="750" w:hRule="atLeast"/>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Normal"/>
              <w:widowControl w:val="false"/>
              <w:tabs>
                <w:tab w:val="clear" w:pos="708"/>
                <w:tab w:val="left" w:pos="709" w:leader="none"/>
              </w:tabs>
              <w:bidi w:val="0"/>
              <w:snapToGrid w:val="false"/>
              <w:spacing w:lineRule="auto" w:line="276" w:before="57" w:after="57"/>
              <w:ind w:hanging="0" w:left="0" w:right="57"/>
              <w:jc w:val="left"/>
              <w:rPr>
                <w:color w:val="auto"/>
              </w:rPr>
            </w:pPr>
            <w:r>
              <w:rPr>
                <w:rFonts w:eastAsia="Times New Roman" w:cs="Arial"/>
                <w:b w:val="false"/>
                <w:bCs w:val="false"/>
                <w:i w:val="false"/>
                <w:strike w:val="false"/>
                <w:dstrike w:val="false"/>
                <w:outline w:val="false"/>
                <w:shadow w:val="false"/>
                <w:color w:val="auto"/>
                <w:sz w:val="18"/>
                <w:szCs w:val="21"/>
                <w:u w:val="none"/>
                <w:em w:val="none"/>
                <w:lang w:bidi="ar-SA"/>
              </w:rPr>
              <w:t>-</w:t>
            </w:r>
            <w:r>
              <w:rPr>
                <w:b w:val="false"/>
                <w:i w:val="false"/>
                <w:strike w:val="false"/>
                <w:dstrike w:val="false"/>
                <w:outline w:val="false"/>
                <w:shadow w:val="false"/>
                <w:color w:val="auto"/>
                <w:sz w:val="18"/>
                <w:u w:val="none"/>
                <w:em w:val="none"/>
              </w:rPr>
              <w:t>REPETIDOR DE SINAL CELULAR 4G 70 DBI</w:t>
            </w:r>
          </w:p>
          <w:p>
            <w:pPr>
              <w:pStyle w:val="Normal"/>
              <w:widowControl w:val="false"/>
              <w:tabs>
                <w:tab w:val="clear" w:pos="708"/>
                <w:tab w:val="left" w:pos="709" w:leader="none"/>
              </w:tabs>
              <w:bidi w:val="0"/>
              <w:snapToGrid w:val="false"/>
              <w:spacing w:lineRule="auto" w:line="276" w:before="57" w:after="57"/>
              <w:ind w:hanging="0" w:left="0" w:right="57"/>
              <w:jc w:val="left"/>
              <w:rPr>
                <w:color w:val="auto"/>
              </w:rPr>
            </w:pPr>
            <w:r>
              <w:rPr>
                <w:b w:val="false"/>
                <w:i w:val="false"/>
                <w:strike w:val="false"/>
                <w:dstrike w:val="false"/>
                <w:outline w:val="false"/>
                <w:shadow w:val="false"/>
                <w:color w:val="auto"/>
                <w:sz w:val="18"/>
                <w:u w:val="none"/>
                <w:em w:val="none"/>
              </w:rPr>
              <w:t>-SUPORTE DE ANTENA EXTERNA</w:t>
            </w:r>
          </w:p>
          <w:p>
            <w:pPr>
              <w:pStyle w:val="Normal"/>
              <w:widowControl w:val="false"/>
              <w:tabs>
                <w:tab w:val="clear" w:pos="708"/>
                <w:tab w:val="left" w:pos="709" w:leader="none"/>
              </w:tabs>
              <w:bidi w:val="0"/>
              <w:snapToGrid w:val="false"/>
              <w:spacing w:lineRule="auto" w:line="276" w:before="57" w:after="57"/>
              <w:ind w:hanging="0" w:left="0" w:right="57"/>
              <w:jc w:val="left"/>
              <w:rPr>
                <w:color w:val="auto"/>
              </w:rPr>
            </w:pPr>
            <w:r>
              <w:rPr>
                <w:b w:val="false"/>
                <w:i w:val="false"/>
                <w:strike w:val="false"/>
                <w:dstrike w:val="false"/>
                <w:outline w:val="false"/>
                <w:shadow w:val="false"/>
                <w:color w:val="auto"/>
                <w:sz w:val="18"/>
                <w:u w:val="none"/>
                <w:em w:val="none"/>
              </w:rPr>
              <w:t>-ANTENA RECEPTORA LOG PERIÓDICA OU YAG</w:t>
            </w:r>
          </w:p>
          <w:p>
            <w:pPr>
              <w:pStyle w:val="Normal"/>
              <w:widowControl w:val="false"/>
              <w:tabs>
                <w:tab w:val="clear" w:pos="708"/>
                <w:tab w:val="left" w:pos="709" w:leader="none"/>
              </w:tabs>
              <w:bidi w:val="0"/>
              <w:snapToGrid w:val="false"/>
              <w:spacing w:lineRule="auto" w:line="276" w:before="57" w:after="57"/>
              <w:ind w:hanging="0" w:left="0" w:right="57"/>
              <w:jc w:val="left"/>
              <w:rPr>
                <w:color w:val="auto"/>
              </w:rPr>
            </w:pPr>
            <w:r>
              <w:rPr>
                <w:b w:val="false"/>
                <w:i w:val="false"/>
                <w:strike w:val="false"/>
                <w:dstrike w:val="false"/>
                <w:outline w:val="false"/>
                <w:shadow w:val="false"/>
                <w:color w:val="auto"/>
                <w:sz w:val="18"/>
                <w:u w:val="none"/>
                <w:em w:val="none"/>
              </w:rPr>
              <w:t>-CABO COAXIAL RGC213</w:t>
            </w:r>
          </w:p>
          <w:p>
            <w:pPr>
              <w:pStyle w:val="Normal"/>
              <w:widowControl w:val="false"/>
              <w:tabs>
                <w:tab w:val="clear" w:pos="708"/>
                <w:tab w:val="left" w:pos="709" w:leader="none"/>
              </w:tabs>
              <w:bidi w:val="0"/>
              <w:snapToGrid w:val="false"/>
              <w:spacing w:lineRule="auto" w:line="276" w:before="57" w:after="57"/>
              <w:ind w:hanging="0" w:left="0" w:right="57"/>
              <w:jc w:val="left"/>
              <w:rPr>
                <w:color w:val="auto"/>
              </w:rPr>
            </w:pPr>
            <w:r>
              <w:rPr>
                <w:b w:val="false"/>
                <w:i w:val="false"/>
                <w:strike w:val="false"/>
                <w:dstrike w:val="false"/>
                <w:outline w:val="false"/>
                <w:shadow w:val="false"/>
                <w:color w:val="auto"/>
                <w:sz w:val="18"/>
                <w:u w:val="none"/>
                <w:em w:val="none"/>
              </w:rPr>
              <w:t>-CONECTOR NM MACHO ½”</w:t>
            </w:r>
          </w:p>
          <w:p>
            <w:pPr>
              <w:pStyle w:val="Normal"/>
              <w:widowControl w:val="false"/>
              <w:tabs>
                <w:tab w:val="clear" w:pos="708"/>
                <w:tab w:val="left" w:pos="709" w:leader="none"/>
              </w:tabs>
              <w:bidi w:val="0"/>
              <w:snapToGrid w:val="false"/>
              <w:spacing w:lineRule="auto" w:line="276" w:before="57" w:after="57"/>
              <w:ind w:hanging="0" w:left="0" w:right="57"/>
              <w:jc w:val="left"/>
              <w:rPr>
                <w:color w:val="auto"/>
              </w:rPr>
            </w:pPr>
            <w:r>
              <w:rPr>
                <w:b w:val="false"/>
                <w:i w:val="false"/>
                <w:strike w:val="false"/>
                <w:dstrike w:val="false"/>
                <w:outline w:val="false"/>
                <w:shadow w:val="false"/>
                <w:color w:val="auto"/>
                <w:sz w:val="18"/>
                <w:u w:val="none"/>
                <w:em w:val="none"/>
              </w:rPr>
              <w:t>-TUBO GALVANIZADO 3 METROS 1 POLEGADA</w:t>
            </w:r>
          </w:p>
          <w:p>
            <w:pPr>
              <w:pStyle w:val="Normal"/>
              <w:widowControl w:val="false"/>
              <w:tabs>
                <w:tab w:val="clear" w:pos="708"/>
                <w:tab w:val="left" w:pos="709" w:leader="none"/>
              </w:tabs>
              <w:bidi w:val="0"/>
              <w:snapToGrid w:val="false"/>
              <w:spacing w:lineRule="auto" w:line="276" w:before="57" w:after="57"/>
              <w:ind w:hanging="0" w:left="0" w:right="57"/>
              <w:jc w:val="left"/>
              <w:rPr>
                <w:color w:val="auto"/>
              </w:rPr>
            </w:pPr>
            <w:r>
              <w:rPr>
                <w:b w:val="false"/>
                <w:i w:val="false"/>
                <w:strike w:val="false"/>
                <w:dstrike w:val="false"/>
                <w:outline w:val="false"/>
                <w:shadow w:val="false"/>
                <w:color w:val="auto"/>
                <w:sz w:val="18"/>
                <w:u w:val="none"/>
                <w:em w:val="none"/>
              </w:rPr>
              <w:t>-ANTENA OMINI 5 DBI</w:t>
            </w:r>
          </w:p>
          <w:p>
            <w:pPr>
              <w:pStyle w:val="Normal"/>
              <w:widowControl w:val="false"/>
              <w:tabs>
                <w:tab w:val="clear" w:pos="708"/>
                <w:tab w:val="left" w:pos="709" w:leader="none"/>
              </w:tabs>
              <w:bidi w:val="0"/>
              <w:snapToGrid w:val="false"/>
              <w:spacing w:lineRule="auto" w:line="276" w:before="57" w:after="57"/>
              <w:ind w:hanging="0" w:left="0" w:right="57"/>
              <w:jc w:val="left"/>
              <w:rPr>
                <w:color w:val="auto"/>
              </w:rPr>
            </w:pPr>
            <w:r>
              <w:rPr>
                <w:b w:val="false"/>
                <w:i w:val="false"/>
                <w:strike w:val="false"/>
                <w:dstrike w:val="false"/>
                <w:outline w:val="false"/>
                <w:shadow w:val="false"/>
                <w:color w:val="auto"/>
                <w:sz w:val="18"/>
                <w:u w:val="none"/>
                <w:em w:val="none"/>
              </w:rPr>
              <w:t>-KIT VEDAÇÃO MASSA-ALTA FUSÃO-ISOLANTE</w:t>
            </w:r>
          </w:p>
          <w:p>
            <w:pPr>
              <w:pStyle w:val="Normal"/>
              <w:widowControl w:val="false"/>
              <w:tabs>
                <w:tab w:val="clear" w:pos="708"/>
                <w:tab w:val="left" w:pos="709" w:leader="none"/>
              </w:tabs>
              <w:bidi w:val="0"/>
              <w:snapToGrid w:val="false"/>
              <w:spacing w:lineRule="auto" w:line="276" w:before="57" w:after="57"/>
              <w:ind w:hanging="0" w:left="0" w:right="57"/>
              <w:jc w:val="left"/>
              <w:rPr>
                <w:color w:val="auto"/>
              </w:rPr>
            </w:pPr>
            <w:r>
              <w:rPr>
                <w:b w:val="false"/>
                <w:i w:val="false"/>
                <w:strike w:val="false"/>
                <w:dstrike w:val="false"/>
                <w:outline w:val="false"/>
                <w:shadow w:val="false"/>
                <w:color w:val="auto"/>
                <w:sz w:val="18"/>
                <w:u w:val="none"/>
                <w:em w:val="none"/>
              </w:rPr>
              <w:t>-ABRAÇADEIRA DE NYLON</w:t>
            </w:r>
          </w:p>
          <w:p>
            <w:pPr>
              <w:pStyle w:val="Normal"/>
              <w:widowControl w:val="false"/>
              <w:tabs>
                <w:tab w:val="clear" w:pos="708"/>
                <w:tab w:val="left" w:pos="709" w:leader="none"/>
              </w:tabs>
              <w:bidi w:val="0"/>
              <w:snapToGrid w:val="false"/>
              <w:spacing w:lineRule="auto" w:line="276" w:before="57" w:after="57"/>
              <w:ind w:hanging="0" w:left="0" w:right="57"/>
              <w:jc w:val="left"/>
              <w:rPr>
                <w:color w:val="auto"/>
              </w:rPr>
            </w:pPr>
            <w:r>
              <w:rPr>
                <w:b w:val="false"/>
                <w:i w:val="false"/>
                <w:strike w:val="false"/>
                <w:dstrike w:val="false"/>
                <w:outline w:val="false"/>
                <w:shadow w:val="false"/>
                <w:color w:val="auto"/>
                <w:sz w:val="18"/>
                <w:u w:val="none"/>
                <w:em w:val="none"/>
              </w:rPr>
              <w:t>-ANTENA PAINEL</w:t>
            </w:r>
          </w:p>
          <w:p>
            <w:pPr>
              <w:pStyle w:val="Normal"/>
              <w:widowControl w:val="false"/>
              <w:tabs>
                <w:tab w:val="clear" w:pos="708"/>
                <w:tab w:val="left" w:pos="709" w:leader="none"/>
              </w:tabs>
              <w:bidi w:val="0"/>
              <w:snapToGrid w:val="false"/>
              <w:spacing w:lineRule="auto" w:line="276" w:before="57" w:after="57"/>
              <w:ind w:hanging="0" w:left="0" w:right="57"/>
              <w:jc w:val="left"/>
              <w:rPr>
                <w:color w:val="auto"/>
              </w:rPr>
            </w:pPr>
            <w:r>
              <w:rPr>
                <w:b w:val="false"/>
                <w:i w:val="false"/>
                <w:strike w:val="false"/>
                <w:dstrike w:val="false"/>
                <w:outline w:val="false"/>
                <w:shadow w:val="false"/>
                <w:color w:val="auto"/>
                <w:sz w:val="18"/>
                <w:u w:val="none"/>
                <w:em w:val="none"/>
              </w:rPr>
              <w:t>-DIVISOR DE FREQUÊNCIA 4 SAÍDAS</w:t>
            </w:r>
          </w:p>
          <w:p>
            <w:pPr>
              <w:pStyle w:val="Normal"/>
              <w:widowControl w:val="false"/>
              <w:tabs>
                <w:tab w:val="clear" w:pos="708"/>
                <w:tab w:val="left" w:pos="709" w:leader="none"/>
              </w:tabs>
              <w:bidi w:val="0"/>
              <w:snapToGrid w:val="false"/>
              <w:spacing w:lineRule="auto" w:line="276" w:before="57" w:after="57"/>
              <w:ind w:hanging="0" w:left="0" w:right="57"/>
              <w:jc w:val="left"/>
              <w:rPr>
                <w:color w:val="auto"/>
              </w:rPr>
            </w:pPr>
            <w:r>
              <w:rPr>
                <w:b w:val="false"/>
                <w:bCs w:val="false"/>
                <w:i w:val="false"/>
                <w:iCs w:val="false"/>
                <w:strike w:val="false"/>
                <w:dstrike w:val="false"/>
                <w:outline w:val="false"/>
                <w:shadow w:val="false"/>
                <w:color w:val="auto"/>
                <w:sz w:val="18"/>
                <w:szCs w:val="24"/>
                <w:u w:val="none"/>
                <w:em w:val="none"/>
              </w:rPr>
              <w:t>-CANALETA PVC EMBUTIR CABO COAXIAL</w:t>
            </w:r>
          </w:p>
        </w:tc>
        <w:tc>
          <w:tcPr>
            <w:tcW w:w="1027" w:type="dxa"/>
            <w:tcBorders>
              <w:bottom w:val="single" w:sz="6" w:space="0" w:color="666666"/>
              <w:right w:val="single" w:sz="6" w:space="0" w:color="666666"/>
            </w:tcBorders>
          </w:tcPr>
          <w:p>
            <w:pPr>
              <w:pStyle w:val="Normal"/>
              <w:widowControl w:val="false"/>
              <w:spacing w:lineRule="auto" w:line="276" w:before="0" w:after="120"/>
              <w:jc w:val="center"/>
              <w:rPr>
                <w:color w:val="auto"/>
              </w:rPr>
            </w:pPr>
            <w:r>
              <w:rPr>
                <w:rFonts w:eastAsia="Arial" w:ascii="Times New Roman" w:hAnsi="Times New Roman"/>
                <w:color w:val="auto"/>
                <w:sz w:val="21"/>
                <w:szCs w:val="21"/>
              </w:rPr>
              <w:t>27120</w:t>
            </w:r>
          </w:p>
        </w:tc>
        <w:tc>
          <w:tcPr>
            <w:tcW w:w="1246" w:type="dxa"/>
            <w:tcBorders>
              <w:bottom w:val="single" w:sz="6" w:space="0" w:color="666666"/>
              <w:right w:val="single" w:sz="6" w:space="0" w:color="666666"/>
            </w:tcBorders>
          </w:tcPr>
          <w:p>
            <w:pPr>
              <w:pStyle w:val="Normal"/>
              <w:widowControl w:val="false"/>
              <w:suppressAutoHyphens w:val="true"/>
              <w:spacing w:lineRule="auto" w:line="312" w:before="120" w:after="288"/>
              <w:rPr>
                <w:color w:val="auto"/>
              </w:rPr>
            </w:pPr>
            <w:r>
              <w:rPr>
                <w:rFonts w:cs="Arial"/>
                <w:color w:val="auto"/>
                <w:sz w:val="20"/>
                <w:szCs w:val="20"/>
              </w:rPr>
              <w:t>UN</w:t>
            </w:r>
          </w:p>
          <w:p>
            <w:pPr>
              <w:pStyle w:val="Normal"/>
              <w:widowControl w:val="false"/>
              <w:suppressAutoHyphens w:val="true"/>
              <w:spacing w:lineRule="auto" w:line="312" w:before="120" w:after="288"/>
              <w:rPr>
                <w:color w:val="auto"/>
              </w:rPr>
            </w:pPr>
            <w:r>
              <w:rPr>
                <w:color w:val="auto"/>
              </w:rPr>
            </w:r>
          </w:p>
        </w:tc>
        <w:tc>
          <w:tcPr>
            <w:tcW w:w="1697" w:type="dxa"/>
            <w:tcBorders>
              <w:bottom w:val="single" w:sz="6" w:space="0" w:color="666666"/>
              <w:right w:val="single" w:sz="6" w:space="0" w:color="666666"/>
            </w:tcBorders>
          </w:tcPr>
          <w:p>
            <w:pPr>
              <w:pStyle w:val="Normal"/>
              <w:widowControl w:val="false"/>
              <w:suppressAutoHyphens w:val="true"/>
              <w:spacing w:lineRule="auto" w:line="312" w:before="120" w:after="288"/>
              <w:rPr>
                <w:color w:val="auto"/>
              </w:rPr>
            </w:pPr>
            <w:r>
              <w:rPr>
                <w:rFonts w:cs="Arial"/>
                <w:color w:val="auto"/>
                <w:sz w:val="20"/>
                <w:szCs w:val="20"/>
              </w:rPr>
              <w:t>01</w:t>
            </w:r>
          </w:p>
        </w:tc>
        <w:tc>
          <w:tcPr>
            <w:tcW w:w="1477" w:type="dxa"/>
            <w:tcBorders>
              <w:bottom w:val="single" w:sz="6" w:space="0" w:color="666666"/>
              <w:right w:val="single" w:sz="6" w:space="0" w:color="666666"/>
            </w:tcBorders>
          </w:tcPr>
          <w:p>
            <w:pPr>
              <w:pStyle w:val="Normal"/>
              <w:widowControl w:val="false"/>
              <w:suppressAutoHyphens w:val="true"/>
              <w:spacing w:lineRule="auto" w:line="312" w:before="120" w:after="288"/>
              <w:rPr>
                <w:color w:val="auto"/>
              </w:rPr>
            </w:pPr>
            <w:r>
              <w:rPr>
                <w:color w:val="auto"/>
                <w:sz w:val="18"/>
              </w:rPr>
              <w:t>R</w:t>
            </w:r>
            <w:r>
              <w:rPr>
                <w:rFonts w:cs="Arial"/>
                <w:color w:val="auto"/>
                <w:sz w:val="18"/>
                <w:szCs w:val="18"/>
              </w:rPr>
              <w:t xml:space="preserve">$ </w:t>
            </w:r>
            <w:r>
              <w:rPr>
                <w:rFonts w:cs="Arial"/>
                <w:b w:val="false"/>
                <w:i w:val="false"/>
                <w:strike w:val="false"/>
                <w:dstrike w:val="false"/>
                <w:outline w:val="false"/>
                <w:shadow w:val="false"/>
                <w:color w:val="auto"/>
                <w:sz w:val="18"/>
                <w:szCs w:val="18"/>
                <w:u w:val="none"/>
                <w:em w:val="none"/>
              </w:rPr>
              <w:t>22.206,00</w:t>
            </w:r>
          </w:p>
        </w:tc>
        <w:tc>
          <w:tcPr>
            <w:tcW w:w="1637" w:type="dxa"/>
            <w:tcBorders>
              <w:left w:val="single" w:sz="6" w:space="0" w:color="666666"/>
              <w:bottom w:val="single" w:sz="6" w:space="0" w:color="666666"/>
              <w:right w:val="single" w:sz="6" w:space="0" w:color="666666"/>
            </w:tcBorders>
          </w:tcPr>
          <w:p>
            <w:pPr>
              <w:pStyle w:val="Normal"/>
              <w:widowControl w:val="false"/>
              <w:suppressAutoHyphens w:val="true"/>
              <w:spacing w:lineRule="auto" w:line="312" w:before="120" w:after="288"/>
              <w:rPr>
                <w:color w:val="auto"/>
              </w:rPr>
            </w:pPr>
            <w:r>
              <w:rPr>
                <w:color w:val="auto"/>
                <w:sz w:val="18"/>
              </w:rPr>
              <w:t>R</w:t>
            </w:r>
            <w:r>
              <w:rPr>
                <w:rFonts w:cs="Arial"/>
                <w:color w:val="auto"/>
                <w:sz w:val="18"/>
                <w:szCs w:val="18"/>
              </w:rPr>
              <w:t>$ 22.206,00</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3" w:name="_Toc226962638"/>
      <w:r>
        <w:rPr/>
        <w:t xml:space="preserve">DO </w:t>
      </w:r>
      <w:bookmarkStart w:id="4" w:name="_Toc142925861"/>
      <w:r>
        <w:rPr/>
        <w:t>REGISTRO DE PREÇOS</w:t>
      </w:r>
      <w:bookmarkEnd w:id="3"/>
      <w:r>
        <w:rPr/>
        <w:t xml:space="preserve"> </w:t>
      </w:r>
      <w:bookmarkEnd w:id="4"/>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5" w:name="_Toc226962639"/>
      <w:r>
        <w:rPr/>
        <w:t xml:space="preserve">DA </w:t>
      </w:r>
      <w:bookmarkStart w:id="6" w:name="_Toc142925862"/>
      <w:r>
        <w:rPr/>
        <w:t>PARTICIPAÇÃO NA DISPENSA ELETRÔNICA</w:t>
      </w:r>
      <w:bookmarkEnd w:id="5"/>
      <w:bookmarkEnd w:id="6"/>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7" w:name="_Ref144286315"/>
      <w:r>
        <w:rPr/>
        <w:t>Não poderão participar desta dispensa de licitação:</w:t>
      </w:r>
      <w:bookmarkEnd w:id="7"/>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8" w:name="_Ref201821777"/>
      <w:r>
        <w:rPr/>
        <w:t>autor do anteprojeto, do projeto básico ou do projeto executivo, pessoa física ou jurídica, quando a contratação versar sobre obra, serviços ou fornecimento de bens a ele relacionados;</w:t>
      </w:r>
      <w:bookmarkEnd w:id="8"/>
    </w:p>
    <w:p>
      <w:pPr>
        <w:pStyle w:val="Nivel3"/>
        <w:numPr>
          <w:ilvl w:val="2"/>
          <w:numId w:val="1"/>
        </w:numPr>
        <w:ind w:hanging="0" w:left="284"/>
        <w:rPr>
          <w:strike/>
          <w:color w:themeColor="text1" w:val="000000"/>
        </w:rPr>
      </w:pPr>
      <w:bookmarkStart w:id="9"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9"/>
    </w:p>
    <w:p>
      <w:pPr>
        <w:pStyle w:val="Nivel3"/>
        <w:numPr>
          <w:ilvl w:val="2"/>
          <w:numId w:val="1"/>
        </w:numPr>
        <w:ind w:hanging="0" w:left="284"/>
        <w:rPr>
          <w:strike/>
          <w:color w:themeColor="text1" w:val="000000"/>
        </w:rPr>
      </w:pPr>
      <w:bookmarkStart w:id="10" w:name="_Ref201821743"/>
      <w:r>
        <w:rPr/>
        <w:t>pessoa física ou jurídica que se encontre, ao tempo da contratação, impossibilitada de contratar em decorrência de sanção que lhe foi imposta;</w:t>
      </w:r>
      <w:bookmarkEnd w:id="10"/>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1" w:name="_Hlk519667815"/>
      <w:bookmarkEnd w:id="11"/>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2"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2"/>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3" w:name="_Toc226962640"/>
      <w:r>
        <w:rPr/>
        <w:t xml:space="preserve">DO </w:t>
      </w:r>
      <w:bookmarkStart w:id="14" w:name="_Toc142925863"/>
      <w:r>
        <w:rPr/>
        <w:t>INGRESSO NA DISPENSA ELETRÔNICA E DO CADASTRAMENTO DA PROPOSTA INICIAL</w:t>
      </w:r>
      <w:bookmarkEnd w:id="13"/>
      <w:bookmarkEnd w:id="14"/>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5" w:name="_Toc226962641"/>
      <w:r>
        <w:rPr/>
        <w:t xml:space="preserve">DA </w:t>
      </w:r>
      <w:bookmarkStart w:id="16" w:name="_Toc142925864"/>
      <w:r>
        <w:rPr/>
        <w:t>FASE DE LANCES</w:t>
      </w:r>
      <w:bookmarkEnd w:id="15"/>
      <w:bookmarkEnd w:id="16"/>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7" w:name="_Toc226962642"/>
      <w:r>
        <w:rPr/>
        <w:t xml:space="preserve">DA FASE DE </w:t>
      </w:r>
      <w:bookmarkStart w:id="18" w:name="_Toc142925865"/>
      <w:r>
        <w:rPr/>
        <w:t>JULGAMENTO E ACEITAÇÃO DAS PROPOSTAS</w:t>
      </w:r>
      <w:bookmarkEnd w:id="17"/>
      <w:r>
        <w:rPr/>
        <w:t xml:space="preserve"> </w:t>
      </w:r>
      <w:bookmarkEnd w:id="18"/>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9" w:name="_Toc226962643"/>
      <w:r>
        <w:rPr/>
        <w:t xml:space="preserve">DA FASE DE </w:t>
      </w:r>
      <w:bookmarkStart w:id="20" w:name="_Toc142925866"/>
      <w:r>
        <w:rPr/>
        <w:t>HABILITAÇÃO</w:t>
      </w:r>
      <w:bookmarkEnd w:id="19"/>
      <w:bookmarkEnd w:id="20"/>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1" w:name="_Toc226962644"/>
      <w:r>
        <w:rPr>
          <w:shd w:fill="CCCCCC" w:val="clear"/>
        </w:rPr>
        <w:t xml:space="preserve">DA </w:t>
      </w:r>
      <w:bookmarkStart w:id="22" w:name="_Toc142925867"/>
      <w:r>
        <w:rPr>
          <w:shd w:fill="CCCCCC" w:val="clear"/>
        </w:rPr>
        <w:t>ATA DE REGISTRO DE PREÇOS</w:t>
      </w:r>
      <w:bookmarkEnd w:id="21"/>
      <w:bookmarkEnd w:id="22"/>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3" w:name="_Toc226962645"/>
      <w:r>
        <w:rPr>
          <w:shd w:fill="CCCCCC" w:val="clear"/>
        </w:rPr>
        <w:t xml:space="preserve">DA </w:t>
      </w:r>
      <w:bookmarkStart w:id="24" w:name="_Toc142925868"/>
      <w:r>
        <w:rPr>
          <w:shd w:fill="CCCCCC" w:val="clear"/>
        </w:rPr>
        <w:t>FORMAÇÃO DO CADASTRO DE RESERVA</w:t>
      </w:r>
      <w:bookmarkEnd w:id="23"/>
      <w:bookmarkEnd w:id="24"/>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5" w:name="_Hlk132991372"/>
      <w:r>
        <w:rPr>
          <w:shd w:fill="CCCCCC" w:val="clear"/>
        </w:rPr>
        <w:t xml:space="preserve">que </w:t>
      </w:r>
      <w:bookmarkStart w:id="26" w:name="_Hlk132989696"/>
      <w:r>
        <w:rPr>
          <w:shd w:fill="CCCCCC" w:val="clear"/>
        </w:rPr>
        <w:t>aceitarem cotar o objeto com preço igual ao do adjudicatári</w:t>
      </w:r>
      <w:bookmarkEnd w:id="25"/>
      <w:r>
        <w:rPr>
          <w:shd w:fill="CCCCCC" w:val="clear"/>
        </w:rPr>
        <w:t>o</w:t>
      </w:r>
      <w:bookmarkEnd w:id="26"/>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7" w:name="_Toc226962646"/>
      <w:r>
        <w:rPr>
          <w:shd w:fill="CCCCCC" w:val="clear"/>
        </w:rPr>
        <w:t xml:space="preserve">DA </w:t>
      </w:r>
      <w:bookmarkStart w:id="28" w:name="_Toc142925869"/>
      <w:r>
        <w:rPr>
          <w:shd w:fill="CCCCCC" w:val="clear"/>
        </w:rPr>
        <w:t>CONTRATAÇÃO</w:t>
      </w:r>
      <w:bookmarkEnd w:id="27"/>
      <w:bookmarkEnd w:id="28"/>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9" w:name="_Toc226962647"/>
      <w:r>
        <w:rPr/>
        <w:t xml:space="preserve">DAS </w:t>
      </w:r>
      <w:bookmarkStart w:id="30" w:name="_Toc142925870"/>
      <w:r>
        <w:rPr/>
        <w:t>INFRAÇÕES E SANÇÕES ADMINISTRATIVAS</w:t>
      </w:r>
      <w:bookmarkEnd w:id="29"/>
      <w:bookmarkEnd w:id="30"/>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1" w:name="_Ref143509900"/>
      <w:r>
        <w:rPr/>
        <w:t>dar causa à inexecução parcial do contrato;</w:t>
      </w:r>
      <w:bookmarkEnd w:id="31"/>
    </w:p>
    <w:p>
      <w:pPr>
        <w:pStyle w:val="Nivel3"/>
        <w:numPr>
          <w:ilvl w:val="2"/>
          <w:numId w:val="1"/>
        </w:numPr>
        <w:ind w:hanging="0" w:left="284"/>
        <w:rPr/>
      </w:pPr>
      <w:bookmarkStart w:id="32" w:name="_Ref143510015"/>
      <w:r>
        <w:rPr/>
        <w:t>dar causa à inexecução parcial do contrato que cause grave dano à Administração, ao funcionamento dos serviços públicos ou ao interesse coletivo;</w:t>
      </w:r>
      <w:bookmarkEnd w:id="32"/>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3" w:name="_Ref143510046"/>
      <w:r>
        <w:rPr/>
        <w:t>ensejar o retardamento da execução ou da entrega do objeto da contratação direta sem motivo justificado;</w:t>
      </w:r>
      <w:bookmarkEnd w:id="33"/>
    </w:p>
    <w:p>
      <w:pPr>
        <w:pStyle w:val="Nivel3"/>
        <w:numPr>
          <w:ilvl w:val="2"/>
          <w:numId w:val="1"/>
        </w:numPr>
        <w:ind w:hanging="0" w:left="284"/>
        <w:rPr/>
      </w:pPr>
      <w:bookmarkStart w:id="34" w:name="_Ref143510088"/>
      <w:r>
        <w:rPr/>
        <w:t>apresentar declaração ou documentação falsa exigida para o certame ou prestar declaração falsa durante a dispensa eletrônica ou a execução do contrato;</w:t>
      </w:r>
      <w:bookmarkEnd w:id="34"/>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5" w:name="_Ref143509952"/>
      <w:bookmarkEnd w:id="35"/>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6" w:name="_Ref143509952_Copia_1"/>
      <w:bookmarkEnd w:id="36"/>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7"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7"/>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8" w:name="_Hlk78351618"/>
      <w:bookmarkEnd w:id="38"/>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9" w:name="_Toc226962648"/>
      <w:bookmarkStart w:id="40" w:name="_Toc142925871"/>
      <w:r>
        <w:rPr/>
        <w:t>DAS DISPOSIÇÕES GERAIS</w:t>
      </w:r>
      <w:bookmarkEnd w:id="39"/>
      <w:bookmarkEnd w:id="40"/>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1" w:name="_Ref143510170"/>
      <w:r>
        <w:rPr/>
        <w:t>republicar o presente Aviso com uma nova data;</w:t>
      </w:r>
      <w:bookmarkEnd w:id="41"/>
    </w:p>
    <w:p>
      <w:pPr>
        <w:pStyle w:val="Nivel3"/>
        <w:numPr>
          <w:ilvl w:val="2"/>
          <w:numId w:val="1"/>
        </w:numPr>
        <w:ind w:hanging="0" w:left="284"/>
        <w:rPr/>
      </w:pPr>
      <w:bookmarkStart w:id="42"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2"/>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5</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140</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decimal"/>
      <w:lvlText w:val="%1."/>
      <w:lvlJc w:val="left"/>
      <w:pPr>
        <w:tabs>
          <w:tab w:val="num" w:pos="0"/>
        </w:tabs>
        <w:ind w:left="1495" w:hanging="360"/>
      </w:pPr>
      <w:rPr>
        <w:u w:val="none"/>
        <w:rFonts w:cs="Arial"/>
        <w:color w:themeColor="hyperlink" w:val="auto"/>
      </w:rPr>
    </w:lvl>
    <w:lvl w:ilvl="1">
      <w:start w:val="1"/>
      <w:numFmt w:val="decimal"/>
      <w:lvlText w:val="%1.%2."/>
      <w:lvlJc w:val="left"/>
      <w:pPr>
        <w:tabs>
          <w:tab w:val="num" w:pos="0"/>
        </w:tabs>
        <w:ind w:left="1709" w:hanging="432"/>
      </w:pPr>
      <w:rPr>
        <w:u w:val="none"/>
        <w:bCs/>
        <w:rFonts w:cs="Arial"/>
        <w:color w:val="111111"/>
      </w:rPr>
    </w:lvl>
    <w:lvl w:ilvl="2">
      <w:start w:val="1"/>
      <w:numFmt w:val="decimal"/>
      <w:lvlText w:val="%1.%2.%3"/>
      <w:lvlJc w:val="left"/>
      <w:pPr>
        <w:tabs>
          <w:tab w:val="num" w:pos="0"/>
        </w:tabs>
        <w:ind w:left="3624" w:hanging="504"/>
      </w:pPr>
      <w:rPr>
        <w:u w:val="none"/>
        <w:bCs/>
        <w:rFonts w:cs="Arial"/>
        <w:color w:val="auto"/>
      </w:rPr>
    </w:lvl>
    <w:lvl w:ilvl="3">
      <w:start w:val="1"/>
      <w:numFmt w:val="decimal"/>
      <w:lvlText w:val="%1.%2.%3.%4."/>
      <w:lvlJc w:val="left"/>
      <w:pPr>
        <w:tabs>
          <w:tab w:val="num" w:pos="0"/>
        </w:tabs>
        <w:ind w:left="3626" w:hanging="648"/>
      </w:pPr>
      <w:rPr>
        <w:u w:val="none"/>
        <w:color w:val="auto"/>
      </w:rPr>
    </w:lvl>
    <w:lvl w:ilvl="4">
      <w:start w:val="1"/>
      <w:numFmt w:val="decimal"/>
      <w:lvlText w:val="%1.%2.%3.%4.%5."/>
      <w:lvlJc w:val="left"/>
      <w:pPr>
        <w:tabs>
          <w:tab w:val="num" w:pos="0"/>
        </w:tabs>
        <w:ind w:left="3367" w:hanging="792"/>
      </w:pPr>
      <w:rPr>
        <w:u w:val="none"/>
        <w:rFonts w:eastAsia="Calibri"/>
        <w:color w:val="auto"/>
      </w:rPr>
    </w:lvl>
    <w:lvl w:ilvl="5">
      <w:start w:val="1"/>
      <w:numFmt w:val="decimal"/>
      <w:lvlText w:val="%1.%2.%3.%4.%5.%6."/>
      <w:lvlJc w:val="left"/>
      <w:pPr>
        <w:tabs>
          <w:tab w:val="num" w:pos="0"/>
        </w:tabs>
        <w:ind w:left="3871" w:hanging="936"/>
      </w:pPr>
      <w:rPr>
        <w:u w:val="none"/>
        <w:color w:themeColor="hyperlink" w:val="auto"/>
      </w:rPr>
    </w:lvl>
    <w:lvl w:ilvl="6">
      <w:start w:val="1"/>
      <w:numFmt w:val="decimal"/>
      <w:lvlText w:val="%1.%2.%3.%4.%5.%6.%7."/>
      <w:lvlJc w:val="left"/>
      <w:pPr>
        <w:tabs>
          <w:tab w:val="num" w:pos="0"/>
        </w:tabs>
        <w:ind w:left="4375" w:hanging="1080"/>
      </w:pPr>
      <w:rPr>
        <w:u w:val="none"/>
        <w:color w:themeColor="hyperlink" w:val="auto"/>
      </w:rPr>
    </w:lvl>
    <w:lvl w:ilvl="7">
      <w:start w:val="1"/>
      <w:numFmt w:val="decimal"/>
      <w:lvlText w:val="%1.%2.%3.%4.%5.%6.%7.%8."/>
      <w:lvlJc w:val="left"/>
      <w:pPr>
        <w:tabs>
          <w:tab w:val="num" w:pos="0"/>
        </w:tabs>
        <w:ind w:left="4879" w:hanging="1224"/>
      </w:pPr>
      <w:rPr>
        <w:u w:val="none"/>
        <w:szCs w:val="20"/>
        <w:rFonts w:cs="Arial"/>
        <w:color w:themeColor="hyperlink" w:val="auto"/>
      </w:rPr>
    </w:lvl>
    <w:lvl w:ilvl="8">
      <w:start w:val="1"/>
      <w:numFmt w:val="decimal"/>
      <w:lvlText w:val="%1.%2.%3.%4.%5.%6.%7.%8.%9."/>
      <w:lvlJc w:val="left"/>
      <w:pPr>
        <w:tabs>
          <w:tab w:val="num" w:pos="0"/>
        </w:tabs>
        <w:ind w:left="5455" w:hanging="1440"/>
      </w:pPr>
      <w:rPr>
        <w:u w:val="none"/>
        <w:color w:themeColor="hyperlink" w:val="auto"/>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Nivel2-Opcional">
    <w:name w:val="Nivel 2-Opcional"/>
    <w:basedOn w:val="Normal"/>
    <w:qFormat/>
    <w:pPr>
      <w:numPr>
        <w:ilvl w:val="1"/>
        <w:numId w:val="2"/>
      </w:numPr>
      <w:shd w:val="clear" w:color="auto" w:fill="76923C" w:themeFill="accent3" w:themeFillShade="bf"/>
      <w:spacing w:lineRule="auto" w:line="276" w:before="120" w:after="120"/>
      <w:ind w:hanging="0" w:left="0"/>
      <w:jc w:val="both"/>
    </w:pPr>
    <w:rPr>
      <w:rFonts w:ascii="Arial" w:hAnsi="Arial" w:eastAsia="Arial" w:cs="Arial"/>
      <w:i/>
      <w:color w:val="FF0000"/>
      <w:sz w:val="20"/>
      <w:szCs w:val="20"/>
    </w:rPr>
  </w:style>
  <w:style w:type="paragraph" w:styleId="Nvel02">
    <w:name w:val="Nível 02"/>
    <w:basedOn w:val="Nivel2-Opcional"/>
    <w:qFormat/>
    <w:pPr>
      <w:shd w:val="clear" w:color="auto" w:fill="auto"/>
    </w:pPr>
    <w:rPr>
      <w:i w:val="false"/>
      <w:iCs/>
      <w:color w:val="auto"/>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32</TotalTime>
  <Application>LibreOffice/24.2.7.2$Linux_X86_64 LibreOffice_project/420$Build-2</Application>
  <AppVersion>15.0000</AppVersion>
  <Pages>17</Pages>
  <Words>6978</Words>
  <Characters>39157</Characters>
  <CharactersWithSpaces>45618</CharactersWithSpaces>
  <Paragraphs>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2026-07-27T09:00:12Z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