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117"/>
        <w:contextualSpacing/>
        <w:jc w:val="center"/>
        <w:rPr>
          <w:rFonts w:ascii="Arial" w:hAnsi="Arial" w:cs="Arial"/>
          <w:b/>
          <w:b/>
          <w:bCs/>
          <w:color w:val="000000"/>
          <w:sz w:val="20"/>
          <w:szCs w:val="20"/>
        </w:rPr>
      </w:pPr>
      <w:r>
        <w:rPr>
          <w:rFonts w:cs="Arial" w:ascii="Arial" w:hAnsi="Arial"/>
          <w:b/>
          <w:bCs/>
          <w:color w:val="000000"/>
          <w:sz w:val="20"/>
          <w:szCs w:val="20"/>
        </w:rPr>
        <w:drawing>
          <wp:anchor behindDoc="0" distT="0" distB="0" distL="114300" distR="119380" simplePos="0" locked="0" layoutInCell="0" allowOverlap="1" relativeHeight="2">
            <wp:simplePos x="0" y="0"/>
            <wp:positionH relativeFrom="column">
              <wp:posOffset>2818130</wp:posOffset>
            </wp:positionH>
            <wp:positionV relativeFrom="paragraph">
              <wp:posOffset>8255</wp:posOffset>
            </wp:positionV>
            <wp:extent cx="737870" cy="805815"/>
            <wp:effectExtent l="0" t="0" r="0" b="0"/>
            <wp:wrapTopAndBottom/>
            <wp:docPr id="1" name="Imagem 18669637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6963775"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p>
    <w:p>
      <w:pPr>
        <w:pStyle w:val="Normal"/>
        <w:spacing w:lineRule="auto" w:line="312" w:before="132" w:after="60"/>
        <w:jc w:val="center"/>
        <w:rPr>
          <w:rFonts w:ascii="Calibri" w:hAnsi="Calibri" w:cs="Arial"/>
          <w:b/>
          <w:b/>
          <w:bCs/>
          <w:i w:val="false"/>
          <w:i w:val="false"/>
          <w:iCs w:val="false"/>
          <w:color w:val="000000"/>
          <w:sz w:val="24"/>
          <w:szCs w:val="24"/>
        </w:rPr>
      </w:pPr>
      <w:r>
        <w:rPr>
          <w:rFonts w:cs="Arial" w:ascii="Calibri" w:hAnsi="Calibri"/>
          <w:b/>
          <w:bCs/>
          <w:i w:val="false"/>
          <w:iCs w:val="false"/>
          <w:color w:val="000000"/>
          <w:sz w:val="24"/>
          <w:szCs w:val="24"/>
        </w:rPr>
        <w:t>MINISTÉRIO DA DEFESA</w:t>
      </w:r>
    </w:p>
    <w:p>
      <w:pPr>
        <w:pStyle w:val="Default"/>
        <w:bidi w:val="0"/>
        <w:jc w:val="center"/>
        <w:rPr>
          <w:rFonts w:ascii="Calibri" w:hAnsi="Calibri"/>
          <w:b/>
          <w:b/>
          <w:bCs/>
          <w:i w:val="false"/>
          <w:i w:val="false"/>
          <w:iCs w:val="false"/>
          <w:sz w:val="24"/>
          <w:szCs w:val="24"/>
        </w:rPr>
      </w:pPr>
      <w:r>
        <w:rPr>
          <w:rFonts w:ascii="Calibri" w:hAnsi="Calibri"/>
          <w:b/>
          <w:bCs/>
          <w:i w:val="false"/>
          <w:iCs w:val="false"/>
          <w:sz w:val="24"/>
          <w:szCs w:val="24"/>
        </w:rPr>
        <w:t>MARINHA DO BRASIL</w:t>
      </w:r>
    </w:p>
    <w:p>
      <w:pPr>
        <w:pStyle w:val="Default"/>
        <w:widowControl/>
        <w:suppressAutoHyphens w:val="true"/>
        <w:overflowPunct w:val="false"/>
        <w:bidi w:val="0"/>
        <w:spacing w:lineRule="auto" w:line="312" w:before="0" w:after="60"/>
        <w:ind w:left="0" w:right="0" w:hanging="0"/>
        <w:jc w:val="center"/>
        <w:rPr>
          <w:rFonts w:ascii="Calibri" w:hAnsi="Calibri" w:eastAsia="Times New Roman" w:cs="Arial"/>
          <w:b/>
          <w:b/>
          <w:bCs/>
          <w:i w:val="false"/>
          <w:i w:val="false"/>
          <w:iCs w:val="false"/>
          <w:color w:val="000000"/>
          <w:sz w:val="24"/>
          <w:szCs w:val="24"/>
        </w:rPr>
      </w:pPr>
      <w:r>
        <w:rPr>
          <w:rFonts w:eastAsia="Times New Roman" w:cs="Arial" w:ascii="Calibri" w:hAnsi="Calibri"/>
          <w:b/>
          <w:bCs/>
          <w:i w:val="false"/>
          <w:iCs w:val="false"/>
          <w:color w:val="000000"/>
          <w:sz w:val="24"/>
          <w:szCs w:val="24"/>
        </w:rPr>
        <w:t>ESTAÇÃO RÁDIO DA MARINHA NO RIO DE JANEIRO</w:t>
      </w:r>
    </w:p>
    <w:p>
      <w:pPr>
        <w:pStyle w:val="Normal"/>
        <w:spacing w:lineRule="auto" w:line="312" w:before="189" w:after="117"/>
        <w:jc w:val="center"/>
        <w:rPr/>
      </w:pPr>
      <w:r>
        <w:rPr>
          <w:rFonts w:eastAsia="ＭＳ 明朝" w:cs="Arial" w:ascii="Arial" w:hAnsi="Arial"/>
          <w:b/>
          <w:bCs/>
          <w:i w:val="false"/>
          <w:iCs w:val="false"/>
          <w:color w:val="000000"/>
          <w:kern w:val="0"/>
          <w:sz w:val="20"/>
          <w:szCs w:val="20"/>
          <w:lang w:val="pt-BR" w:eastAsia="pt-BR" w:bidi="ar-SA"/>
        </w:rPr>
        <w:t>Processo Administrativo n</w:t>
      </w:r>
      <w:r>
        <w:rPr>
          <w:rFonts w:cs="Arial" w:ascii="Arial" w:hAnsi="Arial"/>
          <w:b/>
          <w:bCs/>
          <w:i w:val="false"/>
          <w:iCs w:val="false"/>
          <w:color w:val="000000"/>
          <w:sz w:val="20"/>
          <w:szCs w:val="20"/>
        </w:rPr>
        <w:t xml:space="preserve">° </w:t>
      </w:r>
      <w:r>
        <w:rPr>
          <w:rStyle w:val="Nfaseforte"/>
          <w:rFonts w:eastAsia="ＭＳ 明朝" w:cs="Arial" w:ascii="Calibri" w:hAnsi="Calibri"/>
          <w:b w:val="false"/>
          <w:bCs w:val="false"/>
          <w:i w:val="false"/>
          <w:iCs w:val="false"/>
          <w:color w:val="000000"/>
          <w:kern w:val="0"/>
          <w:sz w:val="24"/>
          <w:szCs w:val="24"/>
          <w:shd w:fill="auto" w:val="clear"/>
          <w:lang w:val="pt-BR" w:eastAsia="pt-BR" w:bidi="ar-SA"/>
        </w:rPr>
        <w:t xml:space="preserve">63078.000673/2025-42 </w:t>
      </w:r>
    </w:p>
    <w:p>
      <w:pPr>
        <w:pStyle w:val="Normal"/>
        <w:spacing w:lineRule="auto" w:line="312" w:before="0" w:after="288"/>
        <w:jc w:val="center"/>
        <w:rPr>
          <w:rFonts w:ascii="Arial" w:hAnsi="Arial" w:cs="Arial"/>
          <w:b/>
          <w:b/>
          <w:bCs/>
          <w:color w:val="000000"/>
          <w:sz w:val="20"/>
          <w:szCs w:val="20"/>
        </w:rPr>
      </w:pPr>
      <w:r>
        <w:rPr>
          <w:rFonts w:cs="Arial" w:ascii="Arial" w:hAnsi="Arial"/>
          <w:b/>
          <w:bCs/>
          <w:color w:val="000000"/>
          <w:sz w:val="20"/>
          <w:szCs w:val="20"/>
        </w:rPr>
        <w:t>TERMO DE REFERÊNCIA</w:t>
      </w:r>
    </w:p>
    <w:p>
      <w:pPr>
        <w:pStyle w:val="Nivel01"/>
        <w:numPr>
          <w:ilvl w:val="0"/>
          <w:numId w:val="2"/>
        </w:numPr>
        <w:shd w:val="clear" w:fill="FFFFFF"/>
        <w:ind w:left="357" w:right="0" w:hanging="357"/>
        <w:rPr/>
      </w:pPr>
      <w:r>
        <w:rPr/>
        <w:t>CONDIÇÕES GERAIS DA CONTRATAÇÃO</w:t>
      </w:r>
    </w:p>
    <w:p>
      <w:pPr>
        <w:pStyle w:val="Nivel01"/>
        <w:numPr>
          <w:ilvl w:val="1"/>
          <w:numId w:val="2"/>
        </w:numPr>
        <w:shd w:val="clear" w:fill="FFFFFF"/>
        <w:ind w:left="357" w:right="0" w:hanging="357"/>
        <w:rPr/>
      </w:pPr>
      <w:r>
        <w:rPr>
          <w:rStyle w:val="Nfaseforte"/>
          <w:rFonts w:eastAsia="Times New Roman" w:cs="Times New Roman" w:ascii="Calibri" w:hAnsi="Calibri"/>
          <w:b w:val="false"/>
          <w:bCs w:val="false"/>
          <w:i w:val="false"/>
          <w:iCs/>
          <w:strike w:val="false"/>
          <w:dstrike w:val="false"/>
          <w:outline w:val="false"/>
          <w:shadow w:val="false"/>
          <w:color w:val="000000"/>
          <w:kern w:val="2"/>
          <w:sz w:val="24"/>
          <w:szCs w:val="24"/>
          <w:highlight w:val="white"/>
          <w:u w:val="none"/>
          <w:shd w:fill="FFFFFF" w:val="clear"/>
          <w:em w:val="none"/>
          <w:lang w:val="pt-BR" w:eastAsia="zh-CN" w:bidi="ar-SA"/>
        </w:rPr>
        <w:t>Contratação de serviço de Revisão dos Motores das Bombas de 10cv e 15cv trifásico 220V, nos termos da tabela abaixo, conforme condições e exigências estabelecidas neste instrumento</w:t>
      </w:r>
      <w:bookmarkStart w:id="0" w:name="_Ref172095982"/>
      <w:bookmarkEnd w:id="0"/>
      <w:r>
        <w:rPr>
          <w:rStyle w:val="Nfaseforte"/>
          <w:rFonts w:eastAsia="Times New Roman" w:cs="Times New Roman" w:ascii="Calibri" w:hAnsi="Calibri"/>
          <w:b w:val="false"/>
          <w:bCs w:val="false"/>
          <w:i w:val="false"/>
          <w:iCs/>
          <w:strike w:val="false"/>
          <w:dstrike w:val="false"/>
          <w:outline w:val="false"/>
          <w:shadow w:val="false"/>
          <w:color w:val="000000"/>
          <w:kern w:val="2"/>
          <w:sz w:val="24"/>
          <w:szCs w:val="24"/>
          <w:highlight w:val="white"/>
          <w:u w:val="none"/>
          <w:shd w:fill="FFFFFF" w:val="clear"/>
          <w:em w:val="none"/>
          <w:lang w:val="pt-BR" w:eastAsia="zh-CN" w:bidi="ar-SA"/>
        </w:rPr>
        <w:t>.</w:t>
      </w:r>
    </w:p>
    <w:tbl>
      <w:tblPr>
        <w:tblW w:w="9645" w:type="dxa"/>
        <w:jc w:val="left"/>
        <w:tblInd w:w="98" w:type="dxa"/>
        <w:tblLayout w:type="fixed"/>
        <w:tblCellMar>
          <w:top w:w="0" w:type="dxa"/>
          <w:left w:w="98" w:type="dxa"/>
          <w:bottom w:w="0" w:type="dxa"/>
          <w:right w:w="108" w:type="dxa"/>
        </w:tblCellMar>
      </w:tblPr>
      <w:tblGrid>
        <w:gridCol w:w="679"/>
        <w:gridCol w:w="4135"/>
        <w:gridCol w:w="1019"/>
        <w:gridCol w:w="567"/>
        <w:gridCol w:w="684"/>
        <w:gridCol w:w="1300"/>
        <w:gridCol w:w="1260"/>
      </w:tblGrid>
      <w:tr>
        <w:trPr>
          <w:trHeight w:val="851" w:hRule="exact"/>
        </w:trPr>
        <w:tc>
          <w:tcPr>
            <w:tcW w:w="67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312" w:before="120" w:after="288"/>
              <w:ind w:left="0" w:right="0" w:hanging="0"/>
              <w:jc w:val="center"/>
              <w:rPr>
                <w:rFonts w:ascii="Arial" w:hAnsi="Arial" w:cs="Arial"/>
                <w:b/>
                <w:b/>
                <w:bCs/>
                <w:color w:val="000000"/>
                <w:spacing w:val="-16"/>
                <w:sz w:val="20"/>
                <w:szCs w:val="20"/>
              </w:rPr>
            </w:pPr>
            <w:r>
              <w:rPr>
                <w:rFonts w:cs="Arial" w:ascii="Arial" w:hAnsi="Arial"/>
                <w:b/>
                <w:bCs/>
                <w:color w:val="000000"/>
                <w:spacing w:val="-16"/>
                <w:sz w:val="20"/>
                <w:szCs w:val="20"/>
              </w:rPr>
              <w:t>ITEM</w:t>
            </w:r>
          </w:p>
        </w:tc>
        <w:tc>
          <w:tcPr>
            <w:tcW w:w="413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312" w:before="120" w:after="288"/>
              <w:ind w:left="0" w:right="0" w:hanging="0"/>
              <w:jc w:val="center"/>
              <w:rPr>
                <w:rFonts w:ascii="Arial" w:hAnsi="Arial" w:cs="Arial"/>
                <w:b/>
                <w:b/>
                <w:bCs/>
                <w:color w:val="000000"/>
                <w:spacing w:val="-16"/>
                <w:sz w:val="20"/>
                <w:szCs w:val="20"/>
              </w:rPr>
            </w:pPr>
            <w:r>
              <w:rPr>
                <w:rFonts w:cs="Arial" w:ascii="Arial" w:hAnsi="Arial"/>
                <w:b/>
                <w:bCs/>
                <w:color w:val="000000"/>
                <w:spacing w:val="-16"/>
                <w:sz w:val="20"/>
                <w:szCs w:val="20"/>
              </w:rPr>
              <w:t>ESPECIFICAÇÃO</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312" w:before="120" w:after="288"/>
              <w:ind w:left="0" w:right="0" w:hanging="0"/>
              <w:jc w:val="center"/>
              <w:rPr>
                <w:rFonts w:ascii="Arial" w:hAnsi="Arial" w:cs="Arial"/>
                <w:b/>
                <w:b/>
                <w:bCs/>
                <w:color w:val="000000"/>
                <w:spacing w:val="-16"/>
                <w:sz w:val="20"/>
                <w:szCs w:val="20"/>
              </w:rPr>
            </w:pPr>
            <w:r>
              <w:rPr>
                <w:rFonts w:cs="Arial" w:ascii="Arial" w:hAnsi="Arial"/>
                <w:b/>
                <w:bCs/>
                <w:color w:val="000000"/>
                <w:spacing w:val="-16"/>
                <w:sz w:val="20"/>
                <w:szCs w:val="20"/>
              </w:rPr>
              <w:t>CATSER</w:t>
            </w:r>
          </w:p>
        </w:tc>
        <w:tc>
          <w:tcPr>
            <w:tcW w:w="5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312" w:before="120" w:after="288"/>
              <w:ind w:left="0" w:right="0" w:hanging="0"/>
              <w:jc w:val="center"/>
              <w:rPr>
                <w:rFonts w:ascii="Arial" w:hAnsi="Arial" w:cs="Arial"/>
                <w:b/>
                <w:b/>
                <w:bCs/>
                <w:color w:val="000000"/>
                <w:spacing w:val="-16"/>
                <w:sz w:val="20"/>
                <w:szCs w:val="20"/>
              </w:rPr>
            </w:pPr>
            <w:r>
              <w:rPr>
                <w:rFonts w:cs="Arial" w:ascii="Arial" w:hAnsi="Arial"/>
                <w:b/>
                <w:bCs/>
                <w:color w:val="000000"/>
                <w:spacing w:val="-16"/>
                <w:sz w:val="20"/>
                <w:szCs w:val="20"/>
              </w:rPr>
              <w:t>UF</w:t>
            </w:r>
          </w:p>
        </w:tc>
        <w:tc>
          <w:tcPr>
            <w:tcW w:w="68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312" w:before="120" w:after="288"/>
              <w:ind w:left="0" w:right="0" w:hanging="0"/>
              <w:jc w:val="center"/>
              <w:rPr>
                <w:rFonts w:ascii="Arial" w:hAnsi="Arial" w:cs="Arial"/>
                <w:b/>
                <w:b/>
                <w:bCs/>
                <w:spacing w:val="-16"/>
                <w:sz w:val="20"/>
                <w:szCs w:val="20"/>
              </w:rPr>
            </w:pPr>
            <w:r>
              <w:rPr>
                <w:rFonts w:cs="Arial" w:ascii="Arial" w:hAnsi="Arial"/>
                <w:b/>
                <w:bCs/>
                <w:spacing w:val="-16"/>
                <w:sz w:val="20"/>
                <w:szCs w:val="20"/>
              </w:rPr>
              <w:t>QNT</w:t>
            </w:r>
          </w:p>
        </w:tc>
        <w:tc>
          <w:tcPr>
            <w:tcW w:w="130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312" w:before="120" w:after="288"/>
              <w:ind w:left="0" w:right="0" w:hanging="0"/>
              <w:jc w:val="center"/>
              <w:rPr>
                <w:rFonts w:ascii="Arial" w:hAnsi="Arial" w:cs="Arial"/>
                <w:b/>
                <w:b/>
                <w:bCs/>
                <w:spacing w:val="-16"/>
                <w:sz w:val="20"/>
                <w:szCs w:val="20"/>
              </w:rPr>
            </w:pPr>
            <w:r>
              <w:rPr>
                <w:rFonts w:cs="Arial" w:ascii="Arial" w:hAnsi="Arial"/>
                <w:b/>
                <w:bCs/>
                <w:spacing w:val="-16"/>
                <w:sz w:val="20"/>
                <w:szCs w:val="20"/>
              </w:rPr>
              <w:t>VALOR UNITÁRIO</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312" w:before="120" w:after="288"/>
              <w:ind w:left="0" w:right="0" w:hanging="0"/>
              <w:jc w:val="center"/>
              <w:rPr>
                <w:rFonts w:ascii="Arial" w:hAnsi="Arial" w:cs="Arial"/>
                <w:b/>
                <w:b/>
                <w:bCs/>
                <w:spacing w:val="-16"/>
                <w:sz w:val="20"/>
                <w:szCs w:val="20"/>
              </w:rPr>
            </w:pPr>
            <w:r>
              <w:rPr>
                <w:rFonts w:cs="Arial" w:ascii="Arial" w:hAnsi="Arial"/>
                <w:b/>
                <w:bCs/>
                <w:spacing w:val="-16"/>
                <w:sz w:val="20"/>
                <w:szCs w:val="20"/>
              </w:rPr>
              <w:t>VALOR TOTAL</w:t>
            </w:r>
          </w:p>
        </w:tc>
      </w:tr>
      <w:tr>
        <w:trPr>
          <w:trHeight w:val="1024" w:hRule="atLeast"/>
        </w:trPr>
        <w:tc>
          <w:tcPr>
            <w:tcW w:w="67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312" w:before="120" w:after="288"/>
              <w:ind w:left="0" w:right="737" w:hanging="0"/>
              <w:jc w:val="center"/>
              <w:rPr>
                <w:rFonts w:ascii="Calibri" w:hAnsi="Calibri" w:cs="Arial"/>
                <w:b/>
                <w:b/>
                <w:bCs/>
                <w:i w:val="false"/>
                <w:i w:val="false"/>
                <w:iCs w:val="false"/>
                <w:color w:val="000000"/>
                <w:sz w:val="20"/>
                <w:szCs w:val="20"/>
              </w:rPr>
            </w:pPr>
            <w:r>
              <w:rPr>
                <w:rFonts w:cs="Arial" w:ascii="Calibri" w:hAnsi="Calibri"/>
                <w:b/>
                <w:bCs/>
                <w:i w:val="false"/>
                <w:iCs w:val="false"/>
                <w:color w:val="000000"/>
                <w:sz w:val="20"/>
                <w:szCs w:val="20"/>
              </w:rPr>
              <w:t>1</w:t>
            </w:r>
          </w:p>
        </w:tc>
        <w:tc>
          <w:tcPr>
            <w:tcW w:w="4135" w:type="dxa"/>
            <w:tcBorders>
              <w:top w:val="single" w:sz="4" w:space="0" w:color="000000"/>
              <w:left w:val="single" w:sz="4" w:space="0" w:color="000000"/>
              <w:bottom w:val="single" w:sz="4" w:space="0" w:color="000000"/>
              <w:right w:val="single" w:sz="4" w:space="0" w:color="000000"/>
            </w:tcBorders>
            <w:shd w:fill="auto" w:val="clear"/>
          </w:tcPr>
          <w:p>
            <w:pPr>
              <w:pStyle w:val="Corpodotexto"/>
              <w:widowControl w:val="false"/>
              <w:suppressAutoHyphens w:val="true"/>
              <w:overflowPunct w:val="true"/>
              <w:bidi w:val="0"/>
              <w:spacing w:lineRule="auto" w:line="312" w:before="0" w:after="60"/>
              <w:ind w:left="0" w:right="0" w:hanging="0"/>
              <w:jc w:val="both"/>
              <w:rPr>
                <w:rFonts w:ascii="Calibri" w:hAnsi="Calibri" w:eastAsia="Times New Roman" w:cs="Arial"/>
                <w:b w:val="false"/>
                <w:b w:val="false"/>
                <w:bCs w:val="false"/>
                <w:iCs/>
                <w:color w:val="000000"/>
                <w:spacing w:val="-8"/>
                <w:kern w:val="2"/>
                <w:sz w:val="24"/>
                <w:szCs w:val="24"/>
                <w:highlight w:val="white"/>
                <w:lang w:val="pt-BR" w:eastAsia="zh-CN" w:bidi="ar-SA"/>
              </w:rPr>
            </w:pPr>
            <w:r>
              <w:rPr>
                <w:rFonts w:eastAsia="Times New Roman" w:cs="Arial" w:ascii="Calibri" w:hAnsi="Calibri"/>
                <w:b w:val="false"/>
                <w:bCs w:val="false"/>
                <w:iCs/>
                <w:color w:val="000000"/>
                <w:spacing w:val="-8"/>
                <w:kern w:val="2"/>
                <w:sz w:val="24"/>
                <w:szCs w:val="24"/>
                <w:highlight w:val="white"/>
                <w:lang w:val="pt-BR" w:eastAsia="zh-CN" w:bidi="ar-SA"/>
              </w:rPr>
              <w:t>Serviço de revisão do motor da bomba de 10CV trifásico 220V, incluindo a retirada do equipamento no local de funcionamento, transporte até a oficina, execução da manutenção com troca de rolamentos, retentores e selo mecânico, testes em bancada, e reinstalação da bomba no local, em pleno funcionamento.</w:t>
            </w:r>
          </w:p>
          <w:p>
            <w:pPr>
              <w:pStyle w:val="Corpodotexto"/>
              <w:widowControl w:val="false"/>
              <w:suppressAutoHyphens w:val="true"/>
              <w:overflowPunct w:val="true"/>
              <w:bidi w:val="0"/>
              <w:spacing w:lineRule="auto" w:line="312" w:before="0" w:after="60"/>
              <w:ind w:left="0" w:right="0" w:hanging="0"/>
              <w:jc w:val="both"/>
              <w:rPr>
                <w:rFonts w:ascii="Calibri" w:hAnsi="Calibri" w:eastAsia="Times New Roman" w:cs="Arial"/>
                <w:b w:val="false"/>
                <w:b w:val="false"/>
                <w:bCs w:val="false"/>
                <w:iCs/>
                <w:color w:val="000000"/>
                <w:spacing w:val="-8"/>
                <w:kern w:val="2"/>
                <w:sz w:val="24"/>
                <w:szCs w:val="24"/>
                <w:highlight w:val="white"/>
                <w:lang w:val="pt-BR" w:eastAsia="zh-CN" w:bidi="ar-SA"/>
              </w:rPr>
            </w:pPr>
            <w:r>
              <w:rPr>
                <w:rFonts w:eastAsia="Times New Roman" w:cs="Arial" w:ascii="Calibri" w:hAnsi="Calibri"/>
                <w:b w:val="false"/>
                <w:bCs w:val="false"/>
                <w:iCs/>
                <w:color w:val="000000"/>
                <w:spacing w:val="-8"/>
                <w:kern w:val="2"/>
                <w:sz w:val="24"/>
                <w:szCs w:val="24"/>
                <w:highlight w:val="white"/>
                <w:lang w:val="pt-BR" w:eastAsia="zh-CN" w:bidi="ar-SA"/>
              </w:rPr>
              <w:t>O serviço compreende:</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Desmontagem do motor</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Limpeza detalhada</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Troca de rolamentos</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Troca dos selos mecânicos</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Polimento dos eixos</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Troca de parafusos e componentes desgastados</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Montagem e ajustagem</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Testes de funcionamento</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Pintura de proteção</w:t>
            </w:r>
          </w:p>
          <w:p>
            <w:pPr>
              <w:pStyle w:val="Corpodotexto"/>
              <w:widowControl w:val="false"/>
              <w:numPr>
                <w:ilvl w:val="0"/>
                <w:numId w:val="0"/>
              </w:numPr>
              <w:tabs>
                <w:tab w:val="clear" w:pos="709"/>
                <w:tab w:val="left" w:pos="0" w:leader="none"/>
              </w:tabs>
              <w:spacing w:before="0" w:after="0"/>
              <w:ind w:left="709" w:hanging="0"/>
              <w:rPr>
                <w:rFonts w:ascii="Calibri" w:hAnsi="Calibri" w:eastAsia="Times New Roman" w:cs="Arial"/>
                <w:b w:val="false"/>
                <w:b w:val="false"/>
                <w:bCs w:val="false"/>
                <w:iCs/>
                <w:color w:val="000000"/>
                <w:spacing w:val="-8"/>
                <w:kern w:val="2"/>
                <w:sz w:val="24"/>
                <w:szCs w:val="24"/>
                <w:highlight w:val="white"/>
                <w:lang w:val="pt-BR" w:eastAsia="zh-CN" w:bidi="ar-SA"/>
              </w:rPr>
            </w:pPr>
            <w:r>
              <w:rPr>
                <w:rFonts w:eastAsia="Times New Roman" w:cs="Arial" w:ascii="Calibri" w:hAnsi="Calibri"/>
                <w:b w:val="false"/>
                <w:bCs w:val="false"/>
                <w:iCs/>
                <w:color w:val="000000"/>
                <w:spacing w:val="-8"/>
                <w:kern w:val="2"/>
                <w:sz w:val="24"/>
                <w:szCs w:val="24"/>
                <w:highlight w:val="white"/>
                <w:lang w:val="pt-BR" w:eastAsia="zh-CN" w:bidi="ar-SA"/>
              </w:rPr>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bidi w:val="0"/>
              <w:spacing w:lineRule="auto" w:line="240" w:before="0" w:after="0"/>
              <w:ind w:left="0" w:right="0" w:hanging="0"/>
              <w:jc w:val="center"/>
              <w:rPr/>
            </w:pPr>
            <w:r>
              <w:rPr>
                <w:rFonts w:eastAsia="Calibri" w:cs="DejaVu Sans" w:ascii="Calibri" w:hAnsi="Calibri"/>
                <w:b w:val="false"/>
                <w:i w:val="false"/>
                <w:strike w:val="false"/>
                <w:dstrike w:val="false"/>
                <w:outline w:val="false"/>
                <w:shadow w:val="false"/>
                <w:color w:val="000000"/>
                <w:kern w:val="0"/>
                <w:sz w:val="20"/>
                <w:szCs w:val="20"/>
                <w:u w:val="none"/>
                <w:em w:val="none"/>
                <w:lang w:val="pt-BR" w:eastAsia="en-US" w:bidi="ar-SA"/>
              </w:rPr>
              <w:t>2330</w:t>
            </w:r>
          </w:p>
        </w:tc>
        <w:tc>
          <w:tcPr>
            <w:tcW w:w="56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suppressLineNumbers/>
              <w:suppressAutoHyphens w:val="true"/>
              <w:bidi w:val="0"/>
              <w:ind w:left="0" w:right="0" w:hanging="0"/>
              <w:jc w:val="center"/>
              <w:textAlignment w:val="baseline"/>
              <w:rPr/>
            </w:pPr>
            <w:r>
              <w:rPr>
                <w:rFonts w:ascii="Calibri" w:hAnsi="Calibri"/>
                <w:sz w:val="20"/>
                <w:szCs w:val="20"/>
              </w:rPr>
              <w:t>SV</w:t>
            </w:r>
          </w:p>
        </w:tc>
        <w:tc>
          <w:tcPr>
            <w:tcW w:w="684"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suppressLineNumbers/>
              <w:suppressAutoHyphens w:val="true"/>
              <w:bidi w:val="0"/>
              <w:ind w:left="0" w:right="0" w:hanging="0"/>
              <w:jc w:val="center"/>
              <w:textAlignment w:val="baseline"/>
              <w:rPr/>
            </w:pPr>
            <w:r>
              <w:rPr>
                <w:rFonts w:ascii="Calibri" w:hAnsi="Calibri"/>
                <w:sz w:val="20"/>
                <w:szCs w:val="20"/>
              </w:rPr>
              <w:t>1</w:t>
            </w:r>
          </w:p>
        </w:tc>
        <w:tc>
          <w:tcPr>
            <w:tcW w:w="130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bidi w:val="0"/>
              <w:ind w:left="0" w:right="0" w:hanging="0"/>
              <w:jc w:val="center"/>
              <w:rPr/>
            </w:pPr>
            <w:r>
              <w:rPr>
                <w:rFonts w:ascii="CALIBRI" w:hAnsi="CALIBRI"/>
                <w:spacing w:val="-24"/>
                <w:sz w:val="20"/>
                <w:szCs w:val="20"/>
              </w:rPr>
              <w:t>R$2.469,54</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bidi w:val="0"/>
              <w:ind w:left="0" w:right="0" w:hanging="0"/>
              <w:jc w:val="center"/>
              <w:rPr/>
            </w:pPr>
            <w:r>
              <w:rPr>
                <w:rFonts w:ascii="CALIBRI" w:hAnsi="CALIBRI"/>
                <w:spacing w:val="-24"/>
                <w:sz w:val="20"/>
                <w:szCs w:val="20"/>
              </w:rPr>
              <w:t>R$2.469,54</w:t>
            </w:r>
          </w:p>
        </w:tc>
      </w:tr>
      <w:tr>
        <w:trPr>
          <w:trHeight w:val="1024" w:hRule="atLeast"/>
        </w:trPr>
        <w:tc>
          <w:tcPr>
            <w:tcW w:w="679" w:type="dxa"/>
            <w:tcBorders>
              <w:left w:val="single" w:sz="4" w:space="0" w:color="000000"/>
              <w:bottom w:val="single" w:sz="4" w:space="0" w:color="000000"/>
              <w:right w:val="single" w:sz="4" w:space="0" w:color="000000"/>
            </w:tcBorders>
            <w:shd w:fill="auto" w:val="clear"/>
            <w:vAlign w:val="center"/>
          </w:tcPr>
          <w:p>
            <w:pPr>
              <w:pStyle w:val="Normal"/>
              <w:widowControl w:val="false"/>
              <w:suppressAutoHyphens w:val="true"/>
              <w:bidi w:val="0"/>
              <w:spacing w:lineRule="auto" w:line="312" w:before="120" w:after="288"/>
              <w:ind w:left="0" w:right="737" w:hanging="0"/>
              <w:jc w:val="center"/>
              <w:rPr>
                <w:rFonts w:ascii="Calibri" w:hAnsi="Calibri" w:cs="Arial"/>
                <w:b/>
                <w:b/>
                <w:bCs/>
                <w:i w:val="false"/>
                <w:i w:val="false"/>
                <w:iCs w:val="false"/>
                <w:color w:val="000000"/>
                <w:sz w:val="20"/>
                <w:szCs w:val="20"/>
              </w:rPr>
            </w:pPr>
            <w:r>
              <w:rPr>
                <w:rFonts w:cs="Arial" w:ascii="Calibri" w:hAnsi="Calibri"/>
                <w:b/>
                <w:bCs/>
                <w:i w:val="false"/>
                <w:iCs w:val="false"/>
                <w:color w:val="000000"/>
                <w:sz w:val="20"/>
                <w:szCs w:val="20"/>
              </w:rPr>
              <w:t>2</w:t>
            </w:r>
          </w:p>
        </w:tc>
        <w:tc>
          <w:tcPr>
            <w:tcW w:w="4135" w:type="dxa"/>
            <w:tcBorders>
              <w:left w:val="single" w:sz="4" w:space="0" w:color="000000"/>
              <w:bottom w:val="single" w:sz="4" w:space="0" w:color="000000"/>
              <w:right w:val="single" w:sz="4" w:space="0" w:color="000000"/>
            </w:tcBorders>
            <w:shd w:fill="auto" w:val="clear"/>
          </w:tcPr>
          <w:p>
            <w:pPr>
              <w:pStyle w:val="Corpodotexto"/>
              <w:widowControl w:val="false"/>
              <w:suppressAutoHyphens w:val="true"/>
              <w:overflowPunct w:val="true"/>
              <w:bidi w:val="0"/>
              <w:spacing w:lineRule="auto" w:line="312" w:before="0" w:after="60"/>
              <w:ind w:left="0" w:right="0" w:hanging="0"/>
              <w:jc w:val="both"/>
              <w:rPr>
                <w:rFonts w:ascii="Calibri" w:hAnsi="Calibri" w:eastAsia="Times New Roman" w:cs="Arial"/>
                <w:b w:val="false"/>
                <w:b w:val="false"/>
                <w:bCs w:val="false"/>
                <w:iCs/>
                <w:color w:val="000000"/>
                <w:spacing w:val="-8"/>
                <w:kern w:val="2"/>
                <w:sz w:val="24"/>
                <w:szCs w:val="24"/>
                <w:highlight w:val="white"/>
                <w:lang w:val="pt-BR" w:eastAsia="zh-CN" w:bidi="ar-SA"/>
              </w:rPr>
            </w:pPr>
            <w:r>
              <w:rPr>
                <w:rFonts w:eastAsia="Times New Roman" w:cs="Arial" w:ascii="Calibri" w:hAnsi="Calibri"/>
                <w:b w:val="false"/>
                <w:bCs w:val="false"/>
                <w:iCs/>
                <w:color w:val="000000"/>
                <w:spacing w:val="-8"/>
                <w:kern w:val="2"/>
                <w:sz w:val="24"/>
                <w:szCs w:val="24"/>
                <w:highlight w:val="white"/>
                <w:lang w:val="pt-BR" w:eastAsia="zh-CN" w:bidi="ar-SA"/>
              </w:rPr>
              <w:t>Serviço de revisão do motor da bomba de 15CV trifásico 220V, incluindo a retirada do equipamento no local de funcionamento, transporte até a oficina, execução da manutenção com troca de rolamentos, retentores e selo mecânico, testes em bancada, e reinstalação da bomba no local, em pleno funcionamento.</w:t>
            </w:r>
          </w:p>
          <w:p>
            <w:pPr>
              <w:pStyle w:val="Corpodotexto"/>
              <w:widowControl w:val="false"/>
              <w:suppressAutoHyphens w:val="true"/>
              <w:overflowPunct w:val="true"/>
              <w:bidi w:val="0"/>
              <w:spacing w:lineRule="auto" w:line="312" w:before="0" w:after="60"/>
              <w:ind w:left="0" w:right="0" w:hanging="0"/>
              <w:jc w:val="both"/>
              <w:rPr>
                <w:rFonts w:ascii="Calibri" w:hAnsi="Calibri" w:eastAsia="Times New Roman" w:cs="Arial"/>
                <w:b w:val="false"/>
                <w:b w:val="false"/>
                <w:bCs w:val="false"/>
                <w:iCs/>
                <w:color w:val="000000"/>
                <w:spacing w:val="-8"/>
                <w:kern w:val="2"/>
                <w:sz w:val="24"/>
                <w:szCs w:val="24"/>
                <w:highlight w:val="white"/>
                <w:lang w:val="pt-BR" w:eastAsia="zh-CN" w:bidi="ar-SA"/>
              </w:rPr>
            </w:pPr>
            <w:r>
              <w:rPr>
                <w:rFonts w:eastAsia="Times New Roman" w:cs="Arial" w:ascii="Calibri" w:hAnsi="Calibri"/>
                <w:b w:val="false"/>
                <w:bCs w:val="false"/>
                <w:iCs/>
                <w:color w:val="000000"/>
                <w:spacing w:val="-8"/>
                <w:kern w:val="2"/>
                <w:sz w:val="24"/>
                <w:szCs w:val="24"/>
                <w:highlight w:val="white"/>
                <w:lang w:val="pt-BR" w:eastAsia="zh-CN" w:bidi="ar-SA"/>
              </w:rPr>
              <w:t>O serviço compreende:</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Desmontagem do motor</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Limpeza detalhada</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Troca de rolamentos</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Troca dos selos mecânicos</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Polimento dos eixos</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Troca de parafusos e componentes desgastados</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Montagem e ajustagem</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Testes de funcionamento</w:t>
            </w:r>
          </w:p>
          <w:p>
            <w:pPr>
              <w:pStyle w:val="Corpodotexto"/>
              <w:widowControl w:val="false"/>
              <w:numPr>
                <w:ilvl w:val="0"/>
                <w:numId w:val="3"/>
              </w:numPr>
              <w:tabs>
                <w:tab w:val="clear" w:pos="709"/>
                <w:tab w:val="left" w:pos="0" w:leader="none"/>
              </w:tabs>
              <w:spacing w:before="0" w:after="0"/>
              <w:ind w:left="709" w:hanging="283"/>
              <w:rPr>
                <w:rFonts w:ascii="Calibri" w:hAnsi="Calibri" w:eastAsia="Times New Roman" w:cs="Arial"/>
                <w:b w:val="false"/>
                <w:b w:val="false"/>
                <w:bCs w:val="false"/>
                <w:iCs/>
                <w:color w:val="000000"/>
                <w:spacing w:val="-8"/>
                <w:kern w:val="2"/>
                <w:sz w:val="24"/>
                <w:szCs w:val="24"/>
                <w:highlight w:val="white"/>
                <w:lang w:val="pt-BR" w:eastAsia="zh-CN" w:bidi="ar-SA"/>
              </w:rPr>
            </w:pPr>
            <w:r>
              <w:rPr/>
              <w:t>Pintura de proteção</w:t>
            </w:r>
          </w:p>
        </w:tc>
        <w:tc>
          <w:tcPr>
            <w:tcW w:w="1019" w:type="dxa"/>
            <w:tcBorders>
              <w:left w:val="single" w:sz="4" w:space="0" w:color="000000"/>
              <w:bottom w:val="single" w:sz="4" w:space="0" w:color="000000"/>
              <w:right w:val="single" w:sz="4" w:space="0" w:color="000000"/>
            </w:tcBorders>
            <w:shd w:fill="auto" w:val="clear"/>
            <w:vAlign w:val="center"/>
          </w:tcPr>
          <w:p>
            <w:pPr>
              <w:pStyle w:val="Normal"/>
              <w:widowControl w:val="false"/>
              <w:bidi w:val="0"/>
              <w:spacing w:lineRule="auto" w:line="240" w:before="0" w:after="0"/>
              <w:ind w:left="0" w:right="0" w:hanging="0"/>
              <w:jc w:val="center"/>
              <w:rPr/>
            </w:pPr>
            <w:r>
              <w:rPr>
                <w:rFonts w:eastAsia="Calibri" w:cs="DejaVu Sans" w:ascii="Calibri" w:hAnsi="Calibri"/>
                <w:b w:val="false"/>
                <w:i w:val="false"/>
                <w:strike w:val="false"/>
                <w:dstrike w:val="false"/>
                <w:outline w:val="false"/>
                <w:shadow w:val="false"/>
                <w:color w:val="000000"/>
                <w:kern w:val="0"/>
                <w:sz w:val="20"/>
                <w:szCs w:val="20"/>
                <w:u w:val="none"/>
                <w:em w:val="none"/>
                <w:lang w:val="pt-BR" w:eastAsia="en-US" w:bidi="ar-SA"/>
              </w:rPr>
              <w:t>2330</w:t>
            </w:r>
          </w:p>
        </w:tc>
        <w:tc>
          <w:tcPr>
            <w:tcW w:w="567" w:type="dxa"/>
            <w:tcBorders>
              <w:left w:val="single" w:sz="4" w:space="0" w:color="000000"/>
              <w:bottom w:val="single" w:sz="4" w:space="0" w:color="000000"/>
              <w:right w:val="single" w:sz="4" w:space="0" w:color="000000"/>
            </w:tcBorders>
            <w:shd w:fill="auto" w:val="clear"/>
            <w:vAlign w:val="center"/>
          </w:tcPr>
          <w:p>
            <w:pPr>
              <w:pStyle w:val="Contedodatabela"/>
              <w:widowControl w:val="false"/>
              <w:suppressLineNumbers/>
              <w:suppressAutoHyphens w:val="true"/>
              <w:bidi w:val="0"/>
              <w:ind w:left="0" w:right="0" w:hanging="0"/>
              <w:jc w:val="center"/>
              <w:textAlignment w:val="baseline"/>
              <w:rPr/>
            </w:pPr>
            <w:r>
              <w:rPr>
                <w:rFonts w:ascii="Calibri" w:hAnsi="Calibri"/>
                <w:sz w:val="20"/>
                <w:szCs w:val="20"/>
              </w:rPr>
              <w:t>SV</w:t>
            </w:r>
          </w:p>
        </w:tc>
        <w:tc>
          <w:tcPr>
            <w:tcW w:w="684" w:type="dxa"/>
            <w:tcBorders>
              <w:left w:val="single" w:sz="4" w:space="0" w:color="000000"/>
              <w:bottom w:val="single" w:sz="4" w:space="0" w:color="000000"/>
              <w:right w:val="single" w:sz="4" w:space="0" w:color="000000"/>
            </w:tcBorders>
            <w:shd w:fill="auto" w:val="clear"/>
            <w:vAlign w:val="center"/>
          </w:tcPr>
          <w:p>
            <w:pPr>
              <w:pStyle w:val="Contedodatabela"/>
              <w:widowControl w:val="false"/>
              <w:suppressLineNumbers/>
              <w:suppressAutoHyphens w:val="true"/>
              <w:bidi w:val="0"/>
              <w:ind w:left="0" w:right="0" w:hanging="0"/>
              <w:jc w:val="center"/>
              <w:textAlignment w:val="baseline"/>
              <w:rPr/>
            </w:pPr>
            <w:r>
              <w:rPr>
                <w:rFonts w:ascii="Calibri" w:hAnsi="Calibri"/>
                <w:sz w:val="20"/>
                <w:szCs w:val="20"/>
              </w:rPr>
              <w:t>2</w:t>
            </w:r>
          </w:p>
        </w:tc>
        <w:tc>
          <w:tcPr>
            <w:tcW w:w="1300" w:type="dxa"/>
            <w:tcBorders>
              <w:left w:val="single" w:sz="4" w:space="0" w:color="000000"/>
              <w:bottom w:val="single" w:sz="4" w:space="0" w:color="000000"/>
              <w:right w:val="single" w:sz="4" w:space="0" w:color="000000"/>
            </w:tcBorders>
            <w:shd w:fill="auto" w:val="clear"/>
            <w:vAlign w:val="center"/>
          </w:tcPr>
          <w:p>
            <w:pPr>
              <w:pStyle w:val="Normal"/>
              <w:widowControl w:val="false"/>
              <w:bidi w:val="0"/>
              <w:ind w:left="0" w:right="0" w:hanging="0"/>
              <w:jc w:val="center"/>
              <w:rPr/>
            </w:pPr>
            <w:r>
              <w:rPr>
                <w:rFonts w:ascii="CALIBRI" w:hAnsi="CALIBRI"/>
                <w:spacing w:val="-24"/>
                <w:sz w:val="20"/>
                <w:szCs w:val="20"/>
              </w:rPr>
              <w:t>R$2.698,00</w:t>
            </w:r>
          </w:p>
        </w:tc>
        <w:tc>
          <w:tcPr>
            <w:tcW w:w="1260" w:type="dxa"/>
            <w:tcBorders>
              <w:left w:val="single" w:sz="4" w:space="0" w:color="000000"/>
              <w:bottom w:val="single" w:sz="4" w:space="0" w:color="000000"/>
              <w:right w:val="single" w:sz="4" w:space="0" w:color="000000"/>
            </w:tcBorders>
            <w:shd w:fill="auto" w:val="clear"/>
            <w:vAlign w:val="center"/>
          </w:tcPr>
          <w:p>
            <w:pPr>
              <w:pStyle w:val="Normal"/>
              <w:widowControl w:val="false"/>
              <w:bidi w:val="0"/>
              <w:ind w:left="0" w:right="0" w:hanging="0"/>
              <w:jc w:val="center"/>
              <w:rPr/>
            </w:pPr>
            <w:r>
              <w:rPr>
                <w:rFonts w:ascii="CALIBRI" w:hAnsi="CALIBRI"/>
                <w:spacing w:val="-24"/>
                <w:sz w:val="20"/>
                <w:szCs w:val="20"/>
              </w:rPr>
              <w:t>R$5.396,00</w:t>
            </w:r>
          </w:p>
        </w:tc>
      </w:tr>
    </w:tbl>
    <w:p>
      <w:pPr>
        <w:pStyle w:val="Nvel2Opcional1"/>
        <w:widowControl/>
        <w:numPr>
          <w:ilvl w:val="1"/>
          <w:numId w:val="2"/>
        </w:numPr>
        <w:shd w:val="clear" w:fill="FFFFFF"/>
        <w:tabs>
          <w:tab w:val="left" w:pos="510" w:leader="none"/>
          <w:tab w:val="left" w:pos="735" w:leader="none"/>
        </w:tabs>
        <w:suppressAutoHyphens w:val="true"/>
        <w:bidi w:val="0"/>
        <w:spacing w:lineRule="auto" w:line="276" w:before="0" w:after="0"/>
        <w:ind w:left="454" w:right="0" w:firstLine="113"/>
        <w:jc w:val="both"/>
        <w:rPr>
          <w:rFonts w:ascii="Carlito" w:hAnsi="Carlito"/>
          <w:sz w:val="24"/>
          <w:szCs w:val="24"/>
        </w:rPr>
      </w:pPr>
      <w:r>
        <w:rPr>
          <w:rFonts w:ascii="Carlito" w:hAnsi="Carlito"/>
          <w:color w:val="000000"/>
          <w:sz w:val="24"/>
          <w:szCs w:val="24"/>
        </w:rPr>
        <w:t xml:space="preserve">O(s) serviço(s) objeto desta contratação são caracterizados como </w:t>
      </w:r>
      <w:r>
        <w:rPr>
          <w:rFonts w:ascii="Carlito" w:hAnsi="Carlito"/>
          <w:b/>
          <w:bCs/>
          <w:color w:val="000000"/>
          <w:sz w:val="24"/>
          <w:szCs w:val="24"/>
        </w:rPr>
        <w:t>comuns.</w:t>
      </w:r>
    </w:p>
    <w:p>
      <w:pPr>
        <w:pStyle w:val="Nvel2Opcional1"/>
        <w:widowControl/>
        <w:numPr>
          <w:ilvl w:val="1"/>
          <w:numId w:val="2"/>
        </w:numPr>
        <w:shd w:val="clear" w:fill="FFFFFF"/>
        <w:tabs>
          <w:tab w:val="left" w:pos="510" w:leader="none"/>
          <w:tab w:val="left" w:pos="735" w:leader="none"/>
        </w:tabs>
        <w:suppressAutoHyphens w:val="true"/>
        <w:bidi w:val="0"/>
        <w:spacing w:lineRule="auto" w:line="276" w:before="0" w:after="0"/>
        <w:ind w:left="0" w:right="0" w:firstLine="567"/>
        <w:jc w:val="both"/>
        <w:rPr>
          <w:rFonts w:ascii="Carlito" w:hAnsi="Carlito"/>
          <w:sz w:val="24"/>
          <w:szCs w:val="24"/>
        </w:rPr>
      </w:pPr>
      <w:r>
        <w:rPr>
          <w:rFonts w:ascii="Carlito" w:hAnsi="Carlito"/>
          <w:color w:val="000000"/>
          <w:sz w:val="24"/>
          <w:szCs w:val="24"/>
        </w:rPr>
        <w:t xml:space="preserve">O prazo de vigência da contratação é de </w:t>
      </w:r>
      <w:r>
        <w:rPr>
          <w:rFonts w:ascii="Carlito" w:hAnsi="Carlito"/>
          <w:b/>
          <w:bCs/>
          <w:color w:val="000000"/>
          <w:sz w:val="24"/>
          <w:szCs w:val="24"/>
        </w:rPr>
        <w:t>30 dias</w:t>
      </w:r>
      <w:r>
        <w:rPr>
          <w:rFonts w:ascii="Carlito" w:hAnsi="Carlito"/>
          <w:color w:val="000000"/>
          <w:sz w:val="24"/>
          <w:szCs w:val="24"/>
        </w:rPr>
        <w:t xml:space="preserve"> contados do(a) </w:t>
      </w:r>
      <w:r>
        <w:rPr>
          <w:rFonts w:ascii="Carlito" w:hAnsi="Carlito"/>
          <w:b/>
          <w:bCs/>
          <w:color w:val="000000"/>
          <w:sz w:val="24"/>
          <w:szCs w:val="24"/>
        </w:rPr>
        <w:t>recebimento da Nota de Empenho</w:t>
      </w:r>
      <w:r>
        <w:rPr>
          <w:rFonts w:ascii="Carlito" w:hAnsi="Carlito"/>
          <w:color w:val="000000"/>
          <w:sz w:val="24"/>
          <w:szCs w:val="24"/>
        </w:rPr>
        <w:t xml:space="preserve">, na forma do artigo </w:t>
      </w:r>
      <w:bookmarkStart w:id="1" w:name="__DdeLink__5149_3526926466"/>
      <w:r>
        <w:rPr>
          <w:rFonts w:ascii="Carlito" w:hAnsi="Carlito"/>
          <w:color w:val="000000"/>
          <w:sz w:val="24"/>
          <w:szCs w:val="24"/>
        </w:rPr>
        <w:t>105 da Lei n° 14.133, de 2021</w:t>
      </w:r>
      <w:bookmarkEnd w:id="1"/>
      <w:r>
        <w:rPr>
          <w:rFonts w:ascii="Carlito" w:hAnsi="Carlito"/>
          <w:color w:val="000000"/>
          <w:sz w:val="24"/>
          <w:szCs w:val="24"/>
        </w:rPr>
        <w:t>.</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sz w:val="24"/>
          <w:szCs w:val="24"/>
        </w:rPr>
      </w:pPr>
      <w:r>
        <w:rPr>
          <w:rFonts w:ascii="Carlito" w:hAnsi="Carlito"/>
          <w:sz w:val="24"/>
          <w:szCs w:val="24"/>
        </w:rPr>
        <w:t>O contrato ou outro instrumento hábil que o substitua oferece maior detalhamento das regras que serão aplicadas em relação à vigência da contratação.</w:t>
      </w:r>
    </w:p>
    <w:p>
      <w:pPr>
        <w:pStyle w:val="Nvel02"/>
        <w:widowControl/>
        <w:numPr>
          <w:ilvl w:val="0"/>
          <w:numId w:val="0"/>
        </w:numPr>
        <w:shd w:val="clear" w:fill="FFFFFF"/>
        <w:suppressAutoHyphens w:val="true"/>
        <w:bidi w:val="0"/>
        <w:spacing w:lineRule="auto" w:line="276" w:before="0" w:after="0"/>
        <w:ind w:left="1080" w:right="0" w:hanging="0"/>
        <w:jc w:val="both"/>
        <w:rPr>
          <w:rFonts w:ascii="Carlito" w:hAnsi="Carlito"/>
          <w:sz w:val="24"/>
          <w:szCs w:val="24"/>
        </w:rPr>
      </w:pPr>
      <w:r>
        <w:rPr>
          <w:rFonts w:ascii="Carlito" w:hAnsi="Carlito"/>
          <w:sz w:val="24"/>
          <w:szCs w:val="24"/>
        </w:rPr>
      </w:r>
    </w:p>
    <w:p>
      <w:pPr>
        <w:pStyle w:val="Nivel01"/>
        <w:widowControl/>
        <w:numPr>
          <w:ilvl w:val="0"/>
          <w:numId w:val="2"/>
        </w:numPr>
        <w:shd w:val="clear" w:fill="FFFFFF"/>
        <w:tabs>
          <w:tab w:val="left" w:pos="120" w:leader="none"/>
          <w:tab w:val="left" w:pos="345" w:leader="none"/>
          <w:tab w:val="left" w:pos="570" w:leader="none"/>
          <w:tab w:val="left" w:pos="735" w:leader="none"/>
        </w:tabs>
        <w:suppressAutoHyphens w:val="true"/>
        <w:bidi w:val="0"/>
        <w:spacing w:lineRule="auto" w:line="276" w:before="0" w:after="0"/>
        <w:ind w:left="357" w:right="0" w:hanging="35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FUNDAMENTAÇÃO E DESCRIÇÃO DA NECESSIDADE DA CONTRATAÇÃO</w:t>
      </w:r>
    </w:p>
    <w:p>
      <w:pPr>
        <w:pStyle w:val="Nvel2Opcional1"/>
        <w:widowControl/>
        <w:numPr>
          <w:ilvl w:val="1"/>
          <w:numId w:val="2"/>
        </w:numPr>
        <w:shd w:val="clear" w:fill="FFFFFF"/>
        <w:tabs>
          <w:tab w:val="left" w:pos="735" w:leader="none"/>
          <w:tab w:val="left" w:pos="1695" w:leader="none"/>
        </w:tabs>
        <w:suppressAutoHyphens w:val="true"/>
        <w:bidi w:val="0"/>
        <w:spacing w:lineRule="auto" w:line="276" w:before="0" w:after="0"/>
        <w:ind w:left="0" w:right="0" w:firstLine="567"/>
        <w:jc w:val="both"/>
        <w:rPr>
          <w:rFonts w:ascii="Carlito" w:hAnsi="Carlito"/>
          <w:color w:val="000000"/>
          <w:sz w:val="24"/>
          <w:szCs w:val="24"/>
        </w:rPr>
      </w:pPr>
      <w:r>
        <w:rPr>
          <w:rFonts w:ascii="Carlito" w:hAnsi="Carlito"/>
          <w:color w:val="000000"/>
          <w:sz w:val="24"/>
          <w:szCs w:val="24"/>
        </w:rPr>
        <w:t>A Fundamentação da Contratação e de seus quantitativos encontra-se pormenorizada neste Termo de Referência.</w:t>
      </w:r>
    </w:p>
    <w:p>
      <w:pPr>
        <w:pStyle w:val="Nvel2Opcional1"/>
        <w:widowControl/>
        <w:numPr>
          <w:ilvl w:val="1"/>
          <w:numId w:val="2"/>
        </w:numPr>
        <w:shd w:val="clear" w:fill="FFFFFF"/>
        <w:tabs>
          <w:tab w:val="left" w:pos="735" w:leader="none"/>
          <w:tab w:val="left" w:pos="1695" w:leader="none"/>
        </w:tabs>
        <w:suppressAutoHyphens w:val="true"/>
        <w:bidi w:val="0"/>
        <w:spacing w:lineRule="auto" w:line="276" w:before="0" w:after="0"/>
        <w:ind w:left="0" w:right="0" w:firstLine="567"/>
        <w:jc w:val="both"/>
        <w:rPr>
          <w:rFonts w:ascii="Carlito" w:hAnsi="Carlito"/>
          <w:color w:val="000000"/>
          <w:sz w:val="24"/>
          <w:szCs w:val="24"/>
        </w:rPr>
      </w:pPr>
      <w:r>
        <w:rPr>
          <w:rFonts w:ascii="Carlito" w:hAnsi="Carlito"/>
          <w:color w:val="000000"/>
          <w:sz w:val="24"/>
          <w:szCs w:val="24"/>
        </w:rPr>
        <w:t>O objeto da contratação está previsto no Plano de Contratações Anual, conforme consta das informações básicas neste Termo de Referência.</w:t>
      </w:r>
    </w:p>
    <w:p>
      <w:pPr>
        <w:pStyle w:val="Nvel2Opcional1"/>
        <w:numPr>
          <w:ilvl w:val="0"/>
          <w:numId w:val="0"/>
        </w:numPr>
        <w:shd w:val="clear" w:fill="FFFFFF"/>
        <w:spacing w:before="0" w:after="0"/>
        <w:ind w:left="2273" w:right="0" w:hanging="0"/>
        <w:jc w:val="both"/>
        <w:rPr>
          <w:rFonts w:ascii="Carlito" w:hAnsi="Carlito"/>
          <w:color w:val="000000"/>
          <w:sz w:val="24"/>
          <w:szCs w:val="24"/>
        </w:rPr>
      </w:pPr>
      <w:r>
        <w:rPr>
          <w:rFonts w:ascii="Carlito" w:hAnsi="Carlito"/>
          <w:color w:val="000000"/>
          <w:sz w:val="24"/>
          <w:szCs w:val="24"/>
        </w:rPr>
      </w:r>
    </w:p>
    <w:p>
      <w:pPr>
        <w:pStyle w:val="Nivel01"/>
        <w:widowControl/>
        <w:numPr>
          <w:ilvl w:val="0"/>
          <w:numId w:val="2"/>
        </w:numPr>
        <w:shd w:val="clear" w:fill="FFFFFF"/>
        <w:suppressAutoHyphens w:val="true"/>
        <w:overflowPunct w:val="false"/>
        <w:bidi w:val="0"/>
        <w:spacing w:lineRule="auto" w:line="276"/>
        <w:ind w:left="357" w:right="0" w:hanging="357"/>
        <w:jc w:val="both"/>
        <w:rPr>
          <w:rFonts w:ascii="Carlito" w:hAnsi="Carlito"/>
          <w:sz w:val="24"/>
          <w:szCs w:val="24"/>
        </w:rPr>
      </w:pPr>
      <w:r>
        <w:rPr>
          <w:rFonts w:ascii="Carlito" w:hAnsi="Carlito"/>
          <w:sz w:val="24"/>
          <w:szCs w:val="24"/>
        </w:rPr>
        <w:t>DESCRIÇÃO DA SOLUÇÃO COMO UM TODO CONSIDERADO O CICLO DE VIDA DO OBJETO</w:t>
      </w:r>
    </w:p>
    <w:p>
      <w:pPr>
        <w:pStyle w:val="Nvel2Opcional1"/>
        <w:widowControl/>
        <w:numPr>
          <w:ilvl w:val="1"/>
          <w:numId w:val="2"/>
        </w:numPr>
        <w:shd w:val="clear" w:fill="FFFFFF"/>
        <w:tabs>
          <w:tab w:val="left" w:pos="735" w:leader="none"/>
          <w:tab w:val="left" w:pos="1695" w:leader="none"/>
        </w:tabs>
        <w:suppressAutoHyphens w:val="true"/>
        <w:bidi w:val="0"/>
        <w:spacing w:lineRule="auto" w:line="276" w:before="0" w:after="0"/>
        <w:ind w:left="0" w:right="0" w:firstLine="567"/>
        <w:jc w:val="both"/>
        <w:rPr>
          <w:rFonts w:ascii="Carlito" w:hAnsi="Carlito"/>
          <w:color w:val="000000"/>
          <w:sz w:val="24"/>
          <w:szCs w:val="24"/>
        </w:rPr>
      </w:pPr>
      <w:bookmarkStart w:id="2" w:name="_Ref121236534"/>
      <w:r>
        <w:rPr>
          <w:rFonts w:ascii="Carlito" w:hAnsi="Carlito"/>
          <w:color w:val="000000"/>
          <w:sz w:val="24"/>
          <w:szCs w:val="24"/>
        </w:rPr>
        <w:t>A descrição da solução como um todo encontra-se pormenorizada neste Termo de Referência.</w:t>
      </w:r>
      <w:bookmarkEnd w:id="2"/>
    </w:p>
    <w:p>
      <w:pPr>
        <w:pStyle w:val="Nvel2Opcional1"/>
        <w:widowControl/>
        <w:numPr>
          <w:ilvl w:val="0"/>
          <w:numId w:val="0"/>
        </w:numPr>
        <w:shd w:val="clear" w:fill="FFFFFF"/>
        <w:tabs>
          <w:tab w:val="left" w:pos="735" w:leader="none"/>
          <w:tab w:val="left" w:pos="1695" w:leader="none"/>
        </w:tabs>
        <w:suppressAutoHyphens w:val="true"/>
        <w:bidi w:val="0"/>
        <w:spacing w:lineRule="auto" w:line="276" w:before="0" w:after="0"/>
        <w:ind w:left="1080" w:right="0" w:hanging="0"/>
        <w:jc w:val="both"/>
        <w:rPr>
          <w:rFonts w:ascii="Carlito" w:hAnsi="Carlito"/>
          <w:color w:val="000000"/>
          <w:sz w:val="24"/>
          <w:szCs w:val="24"/>
        </w:rPr>
      </w:pPr>
      <w:r>
        <w:rPr>
          <w:rFonts w:ascii="Carlito" w:hAnsi="Carlito"/>
          <w:color w:val="000000"/>
          <w:sz w:val="24"/>
          <w:szCs w:val="24"/>
        </w:rPr>
      </w:r>
    </w:p>
    <w:p>
      <w:pPr>
        <w:pStyle w:val="Nivel01"/>
        <w:numPr>
          <w:ilvl w:val="0"/>
          <w:numId w:val="2"/>
        </w:numPr>
        <w:shd w:val="clear" w:fill="FFFFFF"/>
        <w:ind w:left="357" w:right="0" w:hanging="357"/>
        <w:jc w:val="both"/>
        <w:rPr>
          <w:rFonts w:ascii="Carlito" w:hAnsi="Carlito"/>
          <w:sz w:val="24"/>
          <w:szCs w:val="24"/>
        </w:rPr>
      </w:pPr>
      <w:r>
        <w:rPr>
          <w:rFonts w:ascii="Carlito" w:hAnsi="Carlito"/>
          <w:sz w:val="24"/>
          <w:szCs w:val="24"/>
        </w:rPr>
        <w:t>REQUISITOS DA CONTRATAÇÃO</w:t>
      </w:r>
    </w:p>
    <w:p>
      <w:pPr>
        <w:pStyle w:val="Nivel01"/>
        <w:widowControl/>
        <w:numPr>
          <w:ilvl w:val="0"/>
          <w:numId w:val="0"/>
        </w:numPr>
        <w:shd w:val="clear" w:fill="FFFFFF"/>
        <w:suppressAutoHyphens w:val="true"/>
        <w:bidi w:val="0"/>
        <w:spacing w:lineRule="auto" w:line="276" w:before="0" w:after="0"/>
        <w:ind w:left="380" w:right="0" w:hanging="0"/>
        <w:jc w:val="both"/>
        <w:rPr/>
      </w:pPr>
      <w:r>
        <w:rPr>
          <w:rFonts w:ascii="Carlito" w:hAnsi="Carlito"/>
          <w:sz w:val="24"/>
          <w:szCs w:val="24"/>
        </w:rPr>
        <w:t>Subcontratação</w:t>
      </w:r>
    </w:p>
    <w:p>
      <w:pPr>
        <w:pStyle w:val="Nvel2Opcional1"/>
        <w:numPr>
          <w:ilvl w:val="1"/>
          <w:numId w:val="2"/>
        </w:numPr>
        <w:shd w:val="clear" w:fill="FFFFFF"/>
        <w:ind w:left="473" w:right="0" w:hanging="0"/>
        <w:jc w:val="both"/>
        <w:rPr>
          <w:rFonts w:ascii="Carlito" w:hAnsi="Carlito"/>
          <w:color w:val="000000"/>
          <w:sz w:val="24"/>
          <w:szCs w:val="24"/>
        </w:rPr>
      </w:pPr>
      <w:r>
        <w:rPr>
          <w:rFonts w:ascii="Carlito" w:hAnsi="Carlito"/>
          <w:color w:val="000000"/>
          <w:sz w:val="24"/>
          <w:szCs w:val="24"/>
        </w:rPr>
        <w:t>Não será admitida a subcontratação do objeto contratual.</w:t>
      </w:r>
    </w:p>
    <w:p>
      <w:pPr>
        <w:pStyle w:val="Ou"/>
        <w:widowControl/>
        <w:bidi w:val="0"/>
        <w:spacing w:lineRule="auto" w:line="259"/>
        <w:ind w:left="720" w:right="0" w:hanging="0"/>
        <w:jc w:val="both"/>
        <w:rPr>
          <w:rFonts w:ascii="Carlito" w:hAnsi="Carlito" w:eastAsia="Cambria" w:cs="Arial"/>
          <w:b/>
          <w:b/>
          <w:bCs/>
          <w:i/>
          <w:i/>
          <w:iCs/>
          <w:color w:val="FF0000"/>
          <w:kern w:val="0"/>
          <w:sz w:val="24"/>
          <w:szCs w:val="24"/>
          <w:highlight w:val="lightGray"/>
          <w:lang w:val="pt-BR" w:eastAsia="zh-CN" w:bidi="hi-IN"/>
        </w:rPr>
      </w:pPr>
      <w:r>
        <w:rPr>
          <w:rFonts w:eastAsia="Cambria" w:cs="Arial" w:ascii="Carlito" w:hAnsi="Carlito"/>
          <w:b/>
          <w:bCs/>
          <w:i/>
          <w:iCs/>
          <w:color w:val="FF0000"/>
          <w:kern w:val="0"/>
          <w:sz w:val="24"/>
          <w:szCs w:val="24"/>
          <w:highlight w:val="lightGray"/>
          <w:lang w:val="pt-BR" w:eastAsia="zh-CN" w:bidi="hi-IN"/>
        </w:rPr>
      </w:r>
    </w:p>
    <w:p>
      <w:pPr>
        <w:pStyle w:val="Nvel1SemNumerao"/>
        <w:widowControl/>
        <w:numPr>
          <w:ilvl w:val="0"/>
          <w:numId w:val="0"/>
        </w:numPr>
        <w:shd w:val="clear" w:fill="FFFFFF"/>
        <w:tabs>
          <w:tab w:val="left" w:pos="120" w:leader="none"/>
          <w:tab w:val="left" w:pos="345" w:leader="none"/>
          <w:tab w:val="left" w:pos="390" w:leader="none"/>
          <w:tab w:val="left" w:pos="570" w:leader="none"/>
          <w:tab w:val="left" w:pos="900" w:leader="none"/>
          <w:tab w:val="left" w:pos="1020" w:leader="none"/>
          <w:tab w:val="left" w:pos="1140" w:leader="none"/>
          <w:tab w:val="left" w:pos="2160" w:leader="none"/>
        </w:tabs>
        <w:suppressAutoHyphens w:val="true"/>
        <w:bidi w:val="0"/>
        <w:spacing w:lineRule="auto" w:line="276" w:before="0" w:after="0"/>
        <w:ind w:left="720" w:right="0" w:hanging="0"/>
        <w:jc w:val="both"/>
        <w:rPr>
          <w:rFonts w:ascii="Carlito" w:hAnsi="Carlito" w:eastAsia="Arial" w:cs="Arial"/>
          <w:i w:val="false"/>
          <w:i w:val="false"/>
          <w:iCs w:val="false"/>
          <w:color w:val="auto"/>
          <w:kern w:val="0"/>
          <w:sz w:val="24"/>
          <w:szCs w:val="24"/>
          <w:lang w:val="pt-BR" w:eastAsia="en-US" w:bidi="ar-SA"/>
        </w:rPr>
      </w:pPr>
      <w:r>
        <w:rPr>
          <w:rFonts w:eastAsia="Arial" w:cs="Arial" w:ascii="Carlito" w:hAnsi="Carlito"/>
          <w:i w:val="false"/>
          <w:iCs w:val="false"/>
          <w:color w:val="auto"/>
          <w:kern w:val="0"/>
          <w:sz w:val="24"/>
          <w:szCs w:val="24"/>
          <w:lang w:val="pt-BR" w:eastAsia="en-US" w:bidi="ar-SA"/>
        </w:rPr>
        <w:t>Garantia da contratação</w:t>
      </w:r>
    </w:p>
    <w:p>
      <w:pPr>
        <w:pStyle w:val="Nvel2Opcional1"/>
        <w:widowControl/>
        <w:numPr>
          <w:ilvl w:val="1"/>
          <w:numId w:val="2"/>
        </w:numPr>
        <w:shd w:val="clear" w:fill="FFFFFF"/>
        <w:tabs>
          <w:tab w:val="left" w:pos="735" w:leader="none"/>
          <w:tab w:val="left" w:pos="1695" w:leader="none"/>
        </w:tabs>
        <w:suppressAutoHyphens w:val="true"/>
        <w:bidi w:val="0"/>
        <w:spacing w:lineRule="auto" w:line="276" w:before="0" w:after="0"/>
        <w:ind w:left="0" w:right="0" w:firstLine="567"/>
        <w:jc w:val="both"/>
        <w:rPr>
          <w:rFonts w:ascii="Carlito" w:hAnsi="Carlito"/>
          <w:color w:val="000000"/>
          <w:sz w:val="24"/>
          <w:szCs w:val="24"/>
        </w:rPr>
      </w:pPr>
      <w:r>
        <w:rPr>
          <w:rFonts w:ascii="Carlito" w:hAnsi="Carlito"/>
          <w:color w:val="000000"/>
          <w:sz w:val="24"/>
          <w:szCs w:val="24"/>
        </w:rPr>
        <w:t>Não haverá exigência da garantia da contratação dos art. 96 e seguintes da Lei nº 14.133, de 2021.</w:t>
      </w:r>
    </w:p>
    <w:p>
      <w:pPr>
        <w:pStyle w:val="Ou"/>
        <w:ind w:left="720" w:right="0" w:hanging="0"/>
        <w:jc w:val="both"/>
        <w:rPr>
          <w:rFonts w:ascii="Carlito" w:hAnsi="Carlito"/>
          <w:sz w:val="24"/>
          <w:szCs w:val="24"/>
        </w:rPr>
      </w:pPr>
      <w:r>
        <w:rPr>
          <w:rFonts w:ascii="Carlito" w:hAnsi="Carlito"/>
          <w:sz w:val="24"/>
          <w:szCs w:val="24"/>
        </w:rPr>
      </w:r>
    </w:p>
    <w:p>
      <w:pPr>
        <w:pStyle w:val="Nvel1SemNumerao"/>
        <w:numPr>
          <w:ilvl w:val="0"/>
          <w:numId w:val="0"/>
        </w:numPr>
        <w:shd w:val="clear" w:fill="FFFFFF"/>
        <w:ind w:left="720" w:right="0" w:hanging="0"/>
        <w:rPr>
          <w:rFonts w:ascii="Carlito" w:hAnsi="Carlito"/>
          <w:sz w:val="24"/>
          <w:szCs w:val="24"/>
        </w:rPr>
      </w:pPr>
      <w:r>
        <w:rPr>
          <w:rFonts w:ascii="Carlito" w:hAnsi="Carlito"/>
          <w:sz w:val="24"/>
          <w:szCs w:val="24"/>
        </w:rPr>
        <w:t>Vistoria</w:t>
      </w:r>
    </w:p>
    <w:p>
      <w:pPr>
        <w:pStyle w:val="Nvel2Opcional1"/>
        <w:widowControl/>
        <w:numPr>
          <w:ilvl w:val="1"/>
          <w:numId w:val="2"/>
        </w:numPr>
        <w:shd w:val="clear" w:fill="FFFFFF"/>
        <w:tabs>
          <w:tab w:val="left" w:pos="735" w:leader="none"/>
          <w:tab w:val="left" w:pos="1695" w:leader="none"/>
        </w:tabs>
        <w:suppressAutoHyphens w:val="true"/>
        <w:bidi w:val="0"/>
        <w:spacing w:lineRule="auto" w:line="276" w:before="0" w:after="0"/>
        <w:ind w:left="0" w:right="0" w:firstLine="567"/>
        <w:jc w:val="both"/>
        <w:rPr>
          <w:rFonts w:ascii="Carlito" w:hAnsi="Carlito"/>
          <w:color w:val="000000"/>
          <w:sz w:val="24"/>
          <w:szCs w:val="24"/>
          <w:lang w:eastAsia="en-US"/>
        </w:rPr>
      </w:pPr>
      <w:r>
        <w:rPr>
          <w:rFonts w:ascii="Carlito" w:hAnsi="Carlito"/>
          <w:color w:val="000000"/>
          <w:sz w:val="24"/>
          <w:szCs w:val="24"/>
          <w:lang w:eastAsia="en-US"/>
        </w:rPr>
        <w:t xml:space="preserve"> </w:t>
      </w:r>
      <w:r>
        <w:rPr>
          <w:rFonts w:ascii="Carlito" w:hAnsi="Carlito"/>
          <w:color w:val="000000"/>
          <w:sz w:val="24"/>
          <w:szCs w:val="24"/>
          <w:lang w:eastAsia="en-US"/>
        </w:rPr>
        <w:t>A avaliação prévia do item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09:00 horas às 15:00 horas.</w:t>
      </w:r>
    </w:p>
    <w:p>
      <w:pPr>
        <w:pStyle w:val="Nvel2Opcional1"/>
        <w:widowControl/>
        <w:numPr>
          <w:ilvl w:val="1"/>
          <w:numId w:val="2"/>
        </w:numPr>
        <w:shd w:val="clear" w:fill="FFFFFF"/>
        <w:tabs>
          <w:tab w:val="left" w:pos="735" w:leader="none"/>
          <w:tab w:val="left" w:pos="1695" w:leader="none"/>
        </w:tabs>
        <w:suppressAutoHyphens w:val="true"/>
        <w:bidi w:val="0"/>
        <w:spacing w:lineRule="auto" w:line="276" w:before="0" w:after="0"/>
        <w:ind w:left="0" w:right="0" w:firstLine="567"/>
        <w:jc w:val="both"/>
        <w:rPr>
          <w:rFonts w:ascii="Carlito" w:hAnsi="Carlito"/>
          <w:color w:val="000000"/>
          <w:sz w:val="24"/>
          <w:szCs w:val="24"/>
          <w:lang w:eastAsia="en-US"/>
        </w:rPr>
      </w:pPr>
      <w:r>
        <w:rPr>
          <w:rFonts w:ascii="Carlito" w:hAnsi="Carlito"/>
          <w:color w:val="000000"/>
          <w:sz w:val="24"/>
          <w:szCs w:val="24"/>
          <w:lang w:eastAsia="en-US"/>
        </w:rPr>
        <w:t xml:space="preserve"> </w:t>
      </w:r>
      <w:r>
        <w:rPr>
          <w:rFonts w:ascii="Carlito" w:hAnsi="Carlito"/>
          <w:color w:val="000000"/>
          <w:sz w:val="24"/>
          <w:szCs w:val="24"/>
          <w:lang w:eastAsia="en-US"/>
        </w:rPr>
        <w:t>Serão disponibilizados data e horário diferentes aos interessados em realizar a vistoria prévia.</w:t>
      </w:r>
    </w:p>
    <w:p>
      <w:pPr>
        <w:pStyle w:val="Nvel2Opcional1"/>
        <w:widowControl/>
        <w:numPr>
          <w:ilvl w:val="1"/>
          <w:numId w:val="2"/>
        </w:numPr>
        <w:shd w:val="clear" w:fill="FFFFFF"/>
        <w:tabs>
          <w:tab w:val="left" w:pos="735" w:leader="none"/>
          <w:tab w:val="left" w:pos="1695" w:leader="none"/>
        </w:tabs>
        <w:suppressAutoHyphens w:val="true"/>
        <w:bidi w:val="0"/>
        <w:spacing w:lineRule="auto" w:line="276" w:before="0" w:after="0"/>
        <w:ind w:left="0" w:right="0" w:firstLine="567"/>
        <w:jc w:val="both"/>
        <w:rPr>
          <w:rFonts w:ascii="Carlito" w:hAnsi="Carlito"/>
          <w:color w:val="000000"/>
          <w:sz w:val="24"/>
          <w:szCs w:val="24"/>
          <w:lang w:eastAsia="en-US"/>
        </w:rPr>
      </w:pPr>
      <w:r>
        <w:rPr>
          <w:rFonts w:ascii="Carlito" w:hAnsi="Carlito"/>
          <w:color w:val="000000"/>
          <w:sz w:val="24"/>
          <w:szCs w:val="24"/>
          <w:lang w:eastAsia="en-US"/>
        </w:rPr>
        <w:t xml:space="preserve"> </w:t>
      </w:r>
      <w:r>
        <w:rPr>
          <w:rFonts w:ascii="Carlito" w:hAnsi="Carlito"/>
          <w:color w:val="000000"/>
          <w:sz w:val="24"/>
          <w:szCs w:val="24"/>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pPr>
        <w:pStyle w:val="Nvel2Opcional1"/>
        <w:widowControl/>
        <w:numPr>
          <w:ilvl w:val="1"/>
          <w:numId w:val="2"/>
        </w:numPr>
        <w:shd w:val="clear" w:fill="FFFFFF"/>
        <w:tabs>
          <w:tab w:val="left" w:pos="735" w:leader="none"/>
          <w:tab w:val="left" w:pos="1695" w:leader="none"/>
        </w:tabs>
        <w:suppressAutoHyphens w:val="true"/>
        <w:bidi w:val="0"/>
        <w:spacing w:lineRule="auto" w:line="276"/>
        <w:ind w:left="0" w:right="0" w:firstLine="567"/>
        <w:jc w:val="both"/>
        <w:rPr>
          <w:rFonts w:ascii="Carlito" w:hAnsi="Carlito"/>
          <w:color w:val="000000"/>
          <w:sz w:val="24"/>
          <w:szCs w:val="24"/>
          <w:lang w:eastAsia="en-US"/>
        </w:rPr>
      </w:pPr>
      <w:r>
        <w:rPr>
          <w:rFonts w:ascii="Carlito" w:hAnsi="Carlito"/>
          <w:color w:val="000000"/>
          <w:sz w:val="24"/>
          <w:szCs w:val="24"/>
          <w:lang w:eastAsia="en-US"/>
        </w:rPr>
        <w:t xml:space="preserve"> </w:t>
      </w:r>
      <w:r>
        <w:rPr>
          <w:rFonts w:ascii="Carlito" w:hAnsi="Carlito"/>
          <w:color w:val="000000"/>
          <w:sz w:val="24"/>
          <w:szCs w:val="24"/>
          <w:lang w:eastAsia="en-US"/>
        </w:rPr>
        <w:t xml:space="preserve">Caso o interessado opte por não realizar a vistoria, deverá prestar declaração formal assinada por seu responsável técnico acerca do conhecimento pleno das condições e peculiaridades da contratação. </w:t>
      </w:r>
    </w:p>
    <w:p>
      <w:pPr>
        <w:pStyle w:val="Nvel2Opcional1"/>
        <w:widowControl/>
        <w:numPr>
          <w:ilvl w:val="1"/>
          <w:numId w:val="2"/>
        </w:numPr>
        <w:shd w:val="clear" w:fill="FFFFFF"/>
        <w:tabs>
          <w:tab w:val="left" w:pos="735" w:leader="none"/>
          <w:tab w:val="left" w:pos="1695" w:leader="none"/>
        </w:tabs>
        <w:suppressAutoHyphens w:val="true"/>
        <w:bidi w:val="0"/>
        <w:spacing w:lineRule="auto" w:line="276" w:before="6" w:after="6"/>
        <w:ind w:left="0" w:right="0" w:firstLine="567"/>
        <w:jc w:val="both"/>
        <w:rPr>
          <w:rFonts w:ascii="Carlito" w:hAnsi="Carlito"/>
          <w:color w:val="000000"/>
          <w:sz w:val="24"/>
          <w:szCs w:val="24"/>
          <w:lang w:eastAsia="en-US"/>
        </w:rPr>
      </w:pPr>
      <w:r>
        <w:rPr>
          <w:rFonts w:ascii="Carlito" w:hAnsi="Carlito"/>
          <w:color w:val="000000"/>
          <w:sz w:val="24"/>
          <w:szCs w:val="24"/>
          <w:lang w:eastAsia="en-US"/>
        </w:rPr>
        <w:t xml:space="preserve"> </w:t>
      </w:r>
      <w:r>
        <w:rPr>
          <w:rFonts w:ascii="Carlito" w:hAnsi="Carlito"/>
          <w:color w:val="000000"/>
          <w:sz w:val="24"/>
          <w:szCs w:val="24"/>
          <w:lang w:eastAsia="en-US"/>
        </w:rPr>
        <w:t>A não realização da vistoria não poderá embasar posteriores alegações de desconhecimento das instalações, dúvidas ou esquecimentos de quaisquer detalhes do item da prestação dos serviços, devendo o contratado assumir os ônus dos serviços decorrentes</w:t>
      </w:r>
    </w:p>
    <w:p>
      <w:pPr>
        <w:pStyle w:val="Nvel2Opcional1"/>
        <w:widowControl/>
        <w:numPr>
          <w:ilvl w:val="0"/>
          <w:numId w:val="0"/>
        </w:numPr>
        <w:shd w:val="clear" w:fill="FFFFFF"/>
        <w:tabs>
          <w:tab w:val="left" w:pos="735" w:leader="none"/>
          <w:tab w:val="left" w:pos="1695" w:leader="none"/>
        </w:tabs>
        <w:suppressAutoHyphens w:val="true"/>
        <w:bidi w:val="0"/>
        <w:spacing w:lineRule="auto" w:line="276" w:before="6" w:after="6"/>
        <w:ind w:left="1080" w:right="0" w:hanging="0"/>
        <w:jc w:val="both"/>
        <w:rPr>
          <w:rFonts w:ascii="Carlito" w:hAnsi="Carlito"/>
          <w:color w:val="000000"/>
          <w:sz w:val="24"/>
          <w:szCs w:val="24"/>
          <w:lang w:eastAsia="en-US"/>
        </w:rPr>
      </w:pPr>
      <w:r>
        <w:rPr>
          <w:rFonts w:ascii="Carlito" w:hAnsi="Carlito"/>
          <w:color w:val="000000"/>
          <w:sz w:val="24"/>
          <w:szCs w:val="24"/>
          <w:lang w:eastAsia="en-US"/>
        </w:rPr>
      </w:r>
    </w:p>
    <w:p>
      <w:pPr>
        <w:pStyle w:val="Nivel01"/>
        <w:numPr>
          <w:ilvl w:val="0"/>
          <w:numId w:val="2"/>
        </w:numPr>
        <w:shd w:val="clear" w:fill="FFFFFF"/>
        <w:ind w:left="357" w:right="0" w:hanging="357"/>
        <w:jc w:val="both"/>
        <w:rPr>
          <w:rFonts w:ascii="Carlito" w:hAnsi="Carlito"/>
          <w:sz w:val="24"/>
          <w:szCs w:val="24"/>
        </w:rPr>
      </w:pPr>
      <w:r>
        <w:rPr>
          <w:rFonts w:ascii="Carlito" w:hAnsi="Carlito"/>
          <w:sz w:val="24"/>
          <w:szCs w:val="24"/>
        </w:rPr>
        <w:t>MODELO DE EXECUÇÃO DO OBJETO</w:t>
      </w:r>
    </w:p>
    <w:p>
      <w:pPr>
        <w:pStyle w:val="Nvel1SemNumerao"/>
        <w:numPr>
          <w:ilvl w:val="1"/>
          <w:numId w:val="2"/>
        </w:numPr>
        <w:shd w:val="clear" w:fill="FFFFFF"/>
        <w:ind w:left="1080" w:right="0" w:hanging="360"/>
        <w:rPr/>
      </w:pPr>
      <w:r>
        <w:rPr>
          <w:rFonts w:eastAsia="Arial" w:cs="Arial" w:ascii="Carlito" w:hAnsi="Carlito"/>
          <w:b w:val="false"/>
          <w:bCs w:val="false"/>
          <w:i w:val="false"/>
          <w:iCs w:val="false"/>
          <w:color w:val="auto"/>
          <w:kern w:val="0"/>
          <w:sz w:val="24"/>
          <w:szCs w:val="24"/>
          <w:lang w:val="pt-BR" w:eastAsia="en-US" w:bidi="ar-SA"/>
        </w:rPr>
        <w:t>Condições de execução</w:t>
      </w:r>
    </w:p>
    <w:p>
      <w:pPr>
        <w:pStyle w:val="Nvel1SemNumerao"/>
        <w:numPr>
          <w:ilvl w:val="1"/>
          <w:numId w:val="2"/>
        </w:numPr>
        <w:shd w:val="clear" w:fill="FFFFFF"/>
        <w:ind w:left="1080" w:right="0" w:hanging="360"/>
        <w:rPr/>
      </w:pPr>
      <w:r>
        <w:rPr>
          <w:rFonts w:eastAsia="Arial" w:cs="Arial" w:ascii="Carlito" w:hAnsi="Carlito"/>
          <w:b w:val="false"/>
          <w:bCs w:val="false"/>
          <w:i w:val="false"/>
          <w:iCs w:val="false"/>
          <w:color w:val="auto"/>
          <w:kern w:val="0"/>
          <w:sz w:val="24"/>
          <w:szCs w:val="24"/>
          <w:lang w:val="pt-BR" w:eastAsia="en-US" w:bidi="ar-SA"/>
        </w:rPr>
        <w:t>A execução do serviço seguirá a seguinte dinâmica:</w:t>
      </w:r>
    </w:p>
    <w:p>
      <w:pPr>
        <w:pStyle w:val="Nvel1SemNumerao"/>
        <w:numPr>
          <w:ilvl w:val="1"/>
          <w:numId w:val="2"/>
        </w:numPr>
        <w:shd w:val="clear" w:fill="FFFFFF"/>
        <w:ind w:left="1080" w:right="0" w:hanging="360"/>
        <w:rPr/>
      </w:pPr>
      <w:r>
        <w:rPr>
          <w:rFonts w:eastAsia="Arial" w:cs="Arial" w:ascii="Carlito" w:hAnsi="Carlito"/>
          <w:b w:val="false"/>
          <w:bCs w:val="false"/>
          <w:i w:val="false"/>
          <w:iCs w:val="false"/>
          <w:color w:val="auto"/>
          <w:kern w:val="0"/>
          <w:sz w:val="24"/>
          <w:szCs w:val="24"/>
          <w:lang w:val="pt-BR" w:eastAsia="en-US" w:bidi="ar-SA"/>
        </w:rPr>
        <w:t xml:space="preserve"> </w:t>
      </w:r>
      <w:r>
        <w:rPr>
          <w:rFonts w:eastAsia="Arial" w:cs="Arial" w:ascii="Carlito" w:hAnsi="Carlito"/>
          <w:b w:val="false"/>
          <w:bCs w:val="false"/>
          <w:i w:val="false"/>
          <w:iCs w:val="false"/>
          <w:color w:val="auto"/>
          <w:kern w:val="0"/>
          <w:sz w:val="24"/>
          <w:szCs w:val="24"/>
          <w:lang w:val="pt-BR" w:eastAsia="en-US" w:bidi="ar-SA"/>
        </w:rPr>
        <w:t>Início da execução do serviço: iniciará no momento da assinatura do contrato.</w:t>
      </w:r>
    </w:p>
    <w:p>
      <w:pPr>
        <w:pStyle w:val="Nvel1SemNumerao"/>
        <w:numPr>
          <w:ilvl w:val="0"/>
          <w:numId w:val="0"/>
        </w:numPr>
        <w:shd w:val="clear" w:fill="FFFFFF"/>
        <w:ind w:left="1080" w:right="0" w:hanging="0"/>
        <w:rPr>
          <w:rFonts w:ascii="Carlito" w:hAnsi="Carlito" w:eastAsia="Arial" w:cs="Arial"/>
          <w:b w:val="false"/>
          <w:b w:val="false"/>
          <w:bCs w:val="false"/>
          <w:i w:val="false"/>
          <w:i w:val="false"/>
          <w:iCs w:val="false"/>
          <w:color w:val="auto"/>
          <w:kern w:val="0"/>
          <w:sz w:val="24"/>
          <w:szCs w:val="24"/>
          <w:lang w:val="pt-BR" w:eastAsia="en-US" w:bidi="ar-SA"/>
        </w:rPr>
      </w:pPr>
      <w:r>
        <w:rPr>
          <w:rFonts w:eastAsia="Arial" w:cs="Arial" w:ascii="Carlito" w:hAnsi="Carlito"/>
          <w:b w:val="false"/>
          <w:bCs w:val="false"/>
          <w:i w:val="false"/>
          <w:iCs w:val="false"/>
          <w:color w:val="auto"/>
          <w:kern w:val="0"/>
          <w:sz w:val="24"/>
          <w:szCs w:val="24"/>
          <w:lang w:val="pt-BR" w:eastAsia="en-US" w:bidi="ar-SA"/>
        </w:rPr>
      </w:r>
    </w:p>
    <w:p>
      <w:pPr>
        <w:pStyle w:val="Nvel1SemNumerao"/>
        <w:widowControl/>
        <w:numPr>
          <w:ilvl w:val="0"/>
          <w:numId w:val="0"/>
        </w:numPr>
        <w:shd w:val="clear" w:fill="FFFFFF"/>
        <w:suppressAutoHyphens w:val="true"/>
        <w:bidi w:val="0"/>
        <w:spacing w:lineRule="auto" w:line="276" w:before="0" w:after="0"/>
        <w:ind w:left="380" w:right="0" w:hanging="0"/>
        <w:jc w:val="both"/>
        <w:rPr/>
      </w:pPr>
      <w:r>
        <w:rPr>
          <w:rFonts w:eastAsia="Arial" w:cs="Arial" w:ascii="Carlito" w:hAnsi="Carlito"/>
          <w:b/>
          <w:bCs/>
          <w:i w:val="false"/>
          <w:iCs w:val="false"/>
          <w:color w:val="auto"/>
          <w:kern w:val="0"/>
          <w:sz w:val="24"/>
          <w:szCs w:val="24"/>
          <w:lang w:val="pt-BR" w:eastAsia="en-US" w:bidi="ar-SA"/>
        </w:rPr>
        <w:t>Local e horário para vistoria</w:t>
      </w:r>
    </w:p>
    <w:p>
      <w:pPr>
        <w:pStyle w:val="Nvel1SemNumerao"/>
        <w:widowControl/>
        <w:numPr>
          <w:ilvl w:val="1"/>
          <w:numId w:val="2"/>
        </w:numPr>
        <w:shd w:val="clear" w:fill="FFFFFF"/>
        <w:suppressAutoHyphens w:val="true"/>
        <w:bidi w:val="0"/>
        <w:spacing w:lineRule="auto" w:line="276" w:before="0" w:after="0"/>
        <w:ind w:left="0" w:right="0" w:firstLine="567"/>
        <w:jc w:val="both"/>
        <w:rPr/>
      </w:pPr>
      <w:r>
        <w:rPr>
          <w:rFonts w:eastAsia="Arial" w:cs="Arial" w:ascii="Carlito" w:hAnsi="Carlito"/>
          <w:b w:val="false"/>
          <w:bCs w:val="false"/>
          <w:i w:val="false"/>
          <w:iCs w:val="false"/>
          <w:color w:val="auto"/>
          <w:kern w:val="0"/>
          <w:sz w:val="24"/>
          <w:szCs w:val="24"/>
          <w:lang w:val="pt-BR" w:eastAsia="en-US" w:bidi="ar-SA"/>
        </w:rPr>
        <w:t>O item da tabela, encontram-se disponível para vistoria no endereço: Estrada do Rio Jequiá, s/n°, Ribeira, Ilha do Governador, Rio de Janeiro/RJ, CEP: 21930-007, no seguinte horário: em dias úteis, das 09:00h às 15:00h, de segunda a sexta-feira.</w:t>
      </w:r>
    </w:p>
    <w:p>
      <w:pPr>
        <w:pStyle w:val="Default"/>
        <w:widowControl/>
        <w:numPr>
          <w:ilvl w:val="1"/>
          <w:numId w:val="2"/>
        </w:numPr>
        <w:shd w:val="clear" w:fill="FFFFFF"/>
        <w:tabs>
          <w:tab w:val="clear" w:pos="709"/>
          <w:tab w:val="left" w:pos="563" w:leader="none"/>
        </w:tabs>
        <w:suppressAutoHyphens w:val="true"/>
        <w:bidi w:val="0"/>
        <w:spacing w:lineRule="auto" w:line="360" w:before="0" w:after="0"/>
        <w:jc w:val="left"/>
        <w:rPr>
          <w:rFonts w:ascii="Calibri" w:hAnsi="Calibri" w:cs="Arial"/>
          <w:color w:val="000000"/>
          <w:sz w:val="24"/>
          <w:szCs w:val="24"/>
        </w:rPr>
      </w:pPr>
      <w:r>
        <w:rPr>
          <w:rFonts w:eastAsia="Arial" w:cs="Arial" w:ascii="Carlito" w:hAnsi="Carlito"/>
          <w:b w:val="false"/>
          <w:bCs w:val="false"/>
          <w:i w:val="false"/>
          <w:iCs w:val="false"/>
          <w:color w:val="auto"/>
          <w:kern w:val="0"/>
          <w:sz w:val="24"/>
          <w:szCs w:val="24"/>
          <w:lang w:val="pt-BR" w:eastAsia="en-US" w:bidi="ar-SA"/>
        </w:rPr>
        <w:t xml:space="preserve">Contatos: (21)2126-5913 , </w:t>
      </w:r>
      <w:hyperlink r:id="rId3">
        <w:r>
          <w:rPr>
            <w:rStyle w:val="LinkdaInternet"/>
            <w:rFonts w:eastAsia="Arial" w:cs="Arial" w:ascii="Carlito" w:hAnsi="Carlito"/>
            <w:b w:val="false"/>
            <w:bCs w:val="false"/>
            <w:i w:val="false"/>
            <w:iCs w:val="false"/>
            <w:color w:val="auto"/>
            <w:kern w:val="0"/>
            <w:sz w:val="24"/>
            <w:szCs w:val="24"/>
            <w:lang w:val="pt-BR" w:eastAsia="en-US" w:bidi="ar-SA"/>
          </w:rPr>
          <w:t>sergio.sousa@marinha.mil.br</w:t>
        </w:r>
      </w:hyperlink>
      <w:r>
        <w:rPr>
          <w:rFonts w:eastAsia="Arial" w:cs="Arial" w:ascii="Carlito" w:hAnsi="Carlito"/>
          <w:b w:val="false"/>
          <w:bCs w:val="false"/>
          <w:i w:val="false"/>
          <w:iCs w:val="false"/>
          <w:color w:val="auto"/>
          <w:kern w:val="0"/>
          <w:sz w:val="24"/>
          <w:szCs w:val="24"/>
          <w:lang w:val="pt-BR" w:eastAsia="en-US" w:bidi="ar-SA"/>
        </w:rPr>
        <w:t xml:space="preserve"> / </w:t>
      </w:r>
      <w:hyperlink r:id="rId4">
        <w:r>
          <w:rPr>
            <w:rStyle w:val="LinkdaInternet"/>
            <w:rFonts w:eastAsia="Arial" w:cs="Arial" w:ascii="Carlito" w:hAnsi="Carlito"/>
            <w:b w:val="false"/>
            <w:bCs w:val="false"/>
            <w:i w:val="false"/>
            <w:iCs w:val="false"/>
            <w:color w:val="auto"/>
            <w:kern w:val="0"/>
            <w:sz w:val="24"/>
            <w:szCs w:val="24"/>
            <w:lang w:val="pt-BR" w:eastAsia="en-US" w:bidi="ar-SA"/>
          </w:rPr>
          <w:t>verly.jairo@marinha.mil.br</w:t>
        </w:r>
      </w:hyperlink>
      <w:r>
        <w:rPr>
          <w:rFonts w:eastAsia="Arial" w:cs="Arial" w:ascii="Carlito" w:hAnsi="Carlito"/>
          <w:b w:val="false"/>
          <w:bCs w:val="false"/>
          <w:i w:val="false"/>
          <w:iCs w:val="false"/>
          <w:color w:val="auto"/>
          <w:kern w:val="0"/>
          <w:sz w:val="24"/>
          <w:szCs w:val="24"/>
          <w:lang w:val="pt-BR" w:eastAsia="en-US" w:bidi="ar-SA"/>
        </w:rPr>
        <w:t xml:space="preserve"> / </w:t>
      </w:r>
      <w:hyperlink r:id="rId5">
        <w:r>
          <w:rPr>
            <w:rStyle w:val="LinkdaInternet"/>
            <w:rFonts w:eastAsia="Arial" w:cs="Arial" w:ascii="Carlito" w:hAnsi="Carlito"/>
            <w:b w:val="false"/>
            <w:bCs w:val="false"/>
            <w:i w:val="false"/>
            <w:iCs w:val="false"/>
            <w:color w:val="auto"/>
            <w:kern w:val="0"/>
            <w:sz w:val="24"/>
            <w:szCs w:val="24"/>
            <w:lang w:val="pt-BR" w:eastAsia="en-US" w:bidi="ar-SA"/>
          </w:rPr>
          <w:t>marcos.ferreira.gomes@marinha.mil.br</w:t>
        </w:r>
      </w:hyperlink>
      <w:r>
        <w:rPr>
          <w:rFonts w:eastAsia="Arial" w:cs="Arial" w:ascii="Carlito" w:hAnsi="Carlito"/>
          <w:b w:val="false"/>
          <w:bCs w:val="false"/>
          <w:i w:val="false"/>
          <w:iCs w:val="false"/>
          <w:color w:val="auto"/>
          <w:kern w:val="0"/>
          <w:sz w:val="24"/>
          <w:szCs w:val="24"/>
          <w:lang w:val="pt-BR" w:eastAsia="en-US" w:bidi="ar-SA"/>
        </w:rPr>
        <w:t xml:space="preserve"> / </w:t>
      </w:r>
      <w:hyperlink r:id="rId6">
        <w:r>
          <w:rPr>
            <w:rStyle w:val="LinkdaInternet"/>
            <w:rFonts w:eastAsia="Arial" w:cs="Arial" w:ascii="Carlito" w:hAnsi="Carlito"/>
            <w:b w:val="false"/>
            <w:bCs w:val="false"/>
            <w:i w:val="false"/>
            <w:iCs w:val="false"/>
            <w:color w:val="auto"/>
            <w:kern w:val="0"/>
            <w:sz w:val="24"/>
            <w:szCs w:val="24"/>
            <w:lang w:val="pt-BR" w:eastAsia="en-US" w:bidi="ar-SA"/>
          </w:rPr>
          <w:t>renato.elias@marinha.mil.br</w:t>
        </w:r>
      </w:hyperlink>
      <w:r>
        <w:rPr>
          <w:rFonts w:eastAsia="Arial" w:cs="Arial" w:ascii="Carlito" w:hAnsi="Carlito"/>
          <w:b w:val="false"/>
          <w:bCs w:val="false"/>
          <w:i w:val="false"/>
          <w:iCs w:val="false"/>
          <w:color w:val="auto"/>
          <w:kern w:val="0"/>
          <w:sz w:val="24"/>
          <w:szCs w:val="24"/>
          <w:lang w:val="pt-BR" w:eastAsia="en-US" w:bidi="ar-SA"/>
        </w:rPr>
        <w:t xml:space="preserve">  </w:t>
      </w:r>
    </w:p>
    <w:p>
      <w:pPr>
        <w:pStyle w:val="Nvel1SemNumerao"/>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b w:val="false"/>
          <w:b w:val="false"/>
          <w:bCs w:val="false"/>
          <w:i w:val="false"/>
          <w:i w:val="false"/>
          <w:iCs w:val="false"/>
          <w:color w:val="auto"/>
          <w:kern w:val="0"/>
          <w:sz w:val="24"/>
          <w:szCs w:val="24"/>
          <w:lang w:val="pt-BR" w:eastAsia="en-US" w:bidi="ar-SA"/>
        </w:rPr>
      </w:pPr>
      <w:r>
        <w:rPr>
          <w:rFonts w:eastAsia="Arial" w:cs="Arial" w:ascii="Carlito" w:hAnsi="Carlito"/>
          <w:b w:val="false"/>
          <w:bCs w:val="false"/>
          <w:i w:val="false"/>
          <w:iCs w:val="false"/>
          <w:color w:val="auto"/>
          <w:kern w:val="0"/>
          <w:sz w:val="24"/>
          <w:szCs w:val="24"/>
          <w:lang w:val="pt-BR" w:eastAsia="en-US" w:bidi="ar-SA"/>
        </w:rPr>
      </w:r>
    </w:p>
    <w:p>
      <w:pPr>
        <w:pStyle w:val="Nvel1SemNumerao"/>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b w:val="false"/>
          <w:b w:val="false"/>
          <w:bCs w:val="false"/>
          <w:i w:val="false"/>
          <w:i w:val="false"/>
          <w:iCs w:val="false"/>
          <w:color w:val="auto"/>
          <w:kern w:val="0"/>
          <w:sz w:val="24"/>
          <w:szCs w:val="24"/>
          <w:lang w:val="pt-BR" w:eastAsia="en-US" w:bidi="ar-SA"/>
        </w:rPr>
      </w:pPr>
      <w:r>
        <w:rPr>
          <w:rFonts w:eastAsia="Arial" w:cs="Arial" w:ascii="Carlito" w:hAnsi="Carlito"/>
          <w:b w:val="false"/>
          <w:bCs w:val="false"/>
          <w:i w:val="false"/>
          <w:iCs w:val="false"/>
          <w:color w:val="auto"/>
          <w:kern w:val="0"/>
          <w:sz w:val="24"/>
          <w:szCs w:val="24"/>
          <w:lang w:val="pt-BR" w:eastAsia="en-US" w:bidi="ar-SA"/>
        </w:rPr>
      </w:r>
    </w:p>
    <w:p>
      <w:pPr>
        <w:pStyle w:val="Nvel1SemNumerao"/>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b w:val="false"/>
          <w:b w:val="false"/>
          <w:bCs w:val="false"/>
          <w:i w:val="false"/>
          <w:i w:val="false"/>
          <w:iCs w:val="false"/>
          <w:color w:val="auto"/>
          <w:kern w:val="0"/>
          <w:sz w:val="24"/>
          <w:szCs w:val="24"/>
          <w:lang w:val="pt-BR" w:eastAsia="en-US" w:bidi="ar-SA"/>
        </w:rPr>
      </w:pPr>
      <w:r>
        <w:rPr>
          <w:rFonts w:eastAsia="Arial" w:cs="Arial" w:ascii="Carlito" w:hAnsi="Carlito"/>
          <w:b w:val="false"/>
          <w:bCs w:val="false"/>
          <w:i w:val="false"/>
          <w:iCs w:val="false"/>
          <w:color w:val="auto"/>
          <w:kern w:val="0"/>
          <w:sz w:val="24"/>
          <w:szCs w:val="24"/>
          <w:lang w:val="pt-BR" w:eastAsia="en-US" w:bidi="ar-SA"/>
        </w:rPr>
      </w:r>
    </w:p>
    <w:p>
      <w:pPr>
        <w:pStyle w:val="Nvel1SemNumerao"/>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b w:val="false"/>
          <w:b w:val="false"/>
          <w:bCs w:val="false"/>
          <w:i w:val="false"/>
          <w:i w:val="false"/>
          <w:iCs w:val="false"/>
          <w:color w:val="auto"/>
          <w:kern w:val="0"/>
          <w:sz w:val="24"/>
          <w:szCs w:val="24"/>
          <w:lang w:val="pt-BR" w:eastAsia="en-US" w:bidi="ar-SA"/>
        </w:rPr>
      </w:pPr>
      <w:r>
        <w:rPr>
          <w:rFonts w:eastAsia="Arial" w:cs="Arial" w:ascii="Carlito" w:hAnsi="Carlito"/>
          <w:b w:val="false"/>
          <w:bCs w:val="false"/>
          <w:i w:val="false"/>
          <w:iCs w:val="false"/>
          <w:color w:val="auto"/>
          <w:kern w:val="0"/>
          <w:sz w:val="24"/>
          <w:szCs w:val="24"/>
          <w:lang w:val="pt-BR" w:eastAsia="en-US" w:bidi="ar-SA"/>
        </w:rPr>
      </w:r>
    </w:p>
    <w:p>
      <w:pPr>
        <w:pStyle w:val="Nvel1SemNumerao"/>
        <w:shd w:val="clear" w:fill="FFFFFF"/>
        <w:ind w:left="1191" w:right="0" w:hanging="567"/>
        <w:rPr/>
      </w:pPr>
      <w:r>
        <w:rPr>
          <w:rFonts w:eastAsia="Arial" w:cs="Arial" w:ascii="Carlito" w:hAnsi="Carlito"/>
          <w:i w:val="false"/>
          <w:iCs w:val="false"/>
          <w:color w:val="auto"/>
          <w:kern w:val="0"/>
          <w:sz w:val="24"/>
          <w:szCs w:val="24"/>
          <w:lang w:val="pt-BR" w:eastAsia="en-US" w:bidi="ar-SA"/>
        </w:rPr>
        <w:t>Materiais a serem disponibilizados</w:t>
      </w:r>
    </w:p>
    <w:p>
      <w:pPr>
        <w:pStyle w:val="Nvel1SemNumerao"/>
        <w:widowControl/>
        <w:numPr>
          <w:ilvl w:val="1"/>
          <w:numId w:val="2"/>
        </w:numPr>
        <w:shd w:val="clear" w:fill="FFFFFF"/>
        <w:suppressAutoHyphens w:val="true"/>
        <w:bidi w:val="0"/>
        <w:spacing w:lineRule="auto" w:line="276" w:before="0" w:after="0"/>
        <w:ind w:left="0" w:right="0" w:firstLine="567"/>
        <w:jc w:val="both"/>
        <w:rPr/>
      </w:pPr>
      <w:r>
        <w:rPr>
          <w:rFonts w:eastAsia="Arial" w:cs="Arial" w:ascii="Carlito" w:hAnsi="Carlito"/>
          <w:b w:val="false"/>
          <w:bCs w:val="false"/>
          <w:i w:val="false"/>
          <w:iCs w:val="false"/>
          <w:color w:val="auto"/>
          <w:kern w:val="0"/>
          <w:sz w:val="24"/>
          <w:szCs w:val="24"/>
          <w:lang w:val="pt-BR" w:eastAsia="en-US" w:bidi="ar-SA"/>
        </w:rPr>
        <w:t>Para a perfeita execução dos serviços, a Contratada deverá disponibilizar os materiais, equipamentos, ferramentas e utensílios necessários, nas quantidades estimadas e qualidades a seguir estabelecidas, promovendo sua substituição quando necessário:</w:t>
      </w:r>
    </w:p>
    <w:p>
      <w:pPr>
        <w:pStyle w:val="Nvel1SemNumerao"/>
        <w:numPr>
          <w:ilvl w:val="0"/>
          <w:numId w:val="0"/>
        </w:numPr>
        <w:shd w:val="clear" w:fill="FFFFFF"/>
        <w:ind w:left="2160" w:right="0" w:hanging="0"/>
        <w:jc w:val="both"/>
        <w:rPr>
          <w:rFonts w:ascii="Carlito" w:hAnsi="Carlito"/>
          <w:sz w:val="24"/>
          <w:szCs w:val="24"/>
        </w:rPr>
      </w:pPr>
      <w:r>
        <w:rPr>
          <w:rFonts w:ascii="Carlito" w:hAnsi="Carlito"/>
          <w:sz w:val="24"/>
          <w:szCs w:val="24"/>
        </w:rPr>
      </w:r>
    </w:p>
    <w:p>
      <w:pPr>
        <w:pStyle w:val="Nvel1SemNumerao"/>
        <w:numPr>
          <w:ilvl w:val="0"/>
          <w:numId w:val="0"/>
        </w:numPr>
        <w:shd w:val="clear" w:fill="FFFFFF"/>
        <w:ind w:left="720" w:right="0" w:hanging="0"/>
        <w:rPr>
          <w:rFonts w:ascii="Carlito" w:hAnsi="Carlito"/>
          <w:sz w:val="24"/>
          <w:szCs w:val="24"/>
        </w:rPr>
      </w:pPr>
      <w:r>
        <w:rPr>
          <w:rFonts w:ascii="Carlito" w:hAnsi="Carlito"/>
          <w:sz w:val="24"/>
          <w:szCs w:val="24"/>
        </w:rPr>
        <w:t>Especificação da garantia do serviço</w:t>
      </w:r>
    </w:p>
    <w:p>
      <w:pPr>
        <w:pStyle w:val="Nvel2Opcional1"/>
        <w:widowControl/>
        <w:numPr>
          <w:ilvl w:val="1"/>
          <w:numId w:val="2"/>
        </w:numPr>
        <w:shd w:val="clear" w:fill="FFFFFF"/>
        <w:suppressAutoHyphens w:val="true"/>
        <w:bidi w:val="0"/>
        <w:spacing w:lineRule="auto" w:line="276" w:before="0" w:after="0"/>
        <w:ind w:left="0" w:right="0" w:firstLine="567"/>
        <w:jc w:val="both"/>
        <w:rPr>
          <w:rFonts w:ascii="Carlito" w:hAnsi="Carlito"/>
          <w:color w:val="000000"/>
          <w:sz w:val="24"/>
          <w:szCs w:val="24"/>
        </w:rPr>
      </w:pPr>
      <w:r>
        <w:rPr>
          <w:rFonts w:ascii="Carlito" w:hAnsi="Carlito"/>
          <w:color w:val="000000"/>
          <w:sz w:val="24"/>
          <w:szCs w:val="24"/>
        </w:rPr>
        <w:t>O prazo de garantia contratual dos serviços é aquele estabelecido na Lei nº 8.078, de 11 de setembro de 1990 (Código de Defesa do Consumidor).</w:t>
      </w:r>
    </w:p>
    <w:p>
      <w:pPr>
        <w:pStyle w:val="Ou"/>
        <w:ind w:left="720" w:right="0" w:hanging="0"/>
        <w:jc w:val="both"/>
        <w:rPr>
          <w:rFonts w:ascii="Carlito" w:hAnsi="Carlito"/>
          <w:sz w:val="24"/>
          <w:szCs w:val="24"/>
          <w:highlight w:val="lightGray"/>
        </w:rPr>
      </w:pPr>
      <w:r>
        <w:rPr>
          <w:rFonts w:ascii="Carlito" w:hAnsi="Carlito"/>
          <w:sz w:val="24"/>
          <w:szCs w:val="24"/>
          <w:highlight w:val="lightGray"/>
        </w:rPr>
      </w:r>
    </w:p>
    <w:p>
      <w:pPr>
        <w:pStyle w:val="Nvel1SemNum"/>
        <w:shd w:val="clear" w:fill="FFFFFF"/>
        <w:ind w:left="0" w:right="0" w:hanging="0"/>
        <w:rPr>
          <w:rFonts w:ascii="Carlito" w:hAnsi="Carlito"/>
          <w:color w:val="000000"/>
          <w:sz w:val="24"/>
          <w:szCs w:val="24"/>
        </w:rPr>
      </w:pPr>
      <w:r>
        <w:rPr>
          <w:rFonts w:ascii="Carlito" w:hAnsi="Carlito"/>
          <w:color w:val="000000"/>
          <w:sz w:val="24"/>
          <w:szCs w:val="24"/>
        </w:rPr>
        <w:t>Procedimentos de transição e finalização do contrato</w:t>
      </w:r>
    </w:p>
    <w:p>
      <w:pPr>
        <w:pStyle w:val="Nvel2Opcional1"/>
        <w:widowControl/>
        <w:numPr>
          <w:ilvl w:val="1"/>
          <w:numId w:val="2"/>
        </w:numPr>
        <w:shd w:val="clear" w:fill="FFFFFF"/>
        <w:suppressAutoHyphens w:val="true"/>
        <w:bidi w:val="0"/>
        <w:spacing w:lineRule="auto" w:line="276" w:before="0" w:after="0"/>
        <w:ind w:left="0" w:right="0" w:firstLine="567"/>
        <w:jc w:val="both"/>
        <w:rPr>
          <w:rFonts w:ascii="Carlito" w:hAnsi="Carlito"/>
          <w:color w:val="000000"/>
          <w:sz w:val="24"/>
          <w:szCs w:val="24"/>
        </w:rPr>
      </w:pPr>
      <w:r>
        <w:rPr>
          <w:rFonts w:ascii="Carlito" w:hAnsi="Carlito"/>
          <w:color w:val="000000"/>
          <w:sz w:val="24"/>
          <w:szCs w:val="24"/>
        </w:rPr>
        <w:t>Não serão necessários procedimentos de transição e finalização do contrato devido às características do objeto.</w:t>
      </w:r>
    </w:p>
    <w:p>
      <w:pPr>
        <w:pStyle w:val="Nvel2Opcional1"/>
        <w:widowControl/>
        <w:numPr>
          <w:ilvl w:val="0"/>
          <w:numId w:val="0"/>
        </w:numPr>
        <w:shd w:val="clear" w:fill="FFFFFF"/>
        <w:suppressAutoHyphens w:val="true"/>
        <w:bidi w:val="0"/>
        <w:spacing w:lineRule="auto" w:line="276" w:before="0" w:after="0"/>
        <w:ind w:left="1080" w:right="0" w:hanging="0"/>
        <w:jc w:val="both"/>
        <w:rPr>
          <w:rFonts w:ascii="Carlito" w:hAnsi="Carlito"/>
          <w:color w:val="000000"/>
          <w:sz w:val="24"/>
          <w:szCs w:val="24"/>
        </w:rPr>
      </w:pPr>
      <w:r>
        <w:rPr>
          <w:rFonts w:ascii="Carlito" w:hAnsi="Carlito"/>
          <w:color w:val="000000"/>
          <w:sz w:val="24"/>
          <w:szCs w:val="24"/>
        </w:rPr>
      </w:r>
    </w:p>
    <w:p>
      <w:pPr>
        <w:pStyle w:val="Nivel01"/>
        <w:numPr>
          <w:ilvl w:val="0"/>
          <w:numId w:val="2"/>
        </w:numPr>
        <w:shd w:val="clear" w:fill="FFFFFF"/>
        <w:ind w:left="357" w:right="0" w:hanging="357"/>
        <w:jc w:val="both"/>
        <w:rPr>
          <w:rFonts w:ascii="Carlito" w:hAnsi="Carlito"/>
          <w:sz w:val="24"/>
          <w:szCs w:val="24"/>
        </w:rPr>
      </w:pPr>
      <w:r>
        <w:rPr>
          <w:rFonts w:ascii="Carlito" w:hAnsi="Carlito"/>
          <w:sz w:val="24"/>
          <w:szCs w:val="24"/>
        </w:rPr>
        <w:t>MODELO DE GESTÃO DO CONTRATO</w:t>
      </w:r>
    </w:p>
    <w:p>
      <w:pPr>
        <w:pStyle w:val="Estilo7"/>
        <w:widowControl/>
        <w:numPr>
          <w:ilvl w:val="1"/>
          <w:numId w:val="2"/>
        </w:numPr>
        <w:shd w:val="clear" w:fill="FFFFFF"/>
        <w:suppressAutoHyphens w:val="true"/>
        <w:bidi w:val="0"/>
        <w:spacing w:lineRule="auto" w:line="276" w:before="0" w:after="0"/>
        <w:ind w:left="0" w:right="0" w:firstLine="567"/>
        <w:jc w:val="both"/>
        <w:rPr>
          <w:rFonts w:ascii="Carlito" w:hAnsi="Carlito"/>
          <w:sz w:val="24"/>
          <w:szCs w:val="24"/>
        </w:rPr>
      </w:pPr>
      <w:r>
        <w:rPr>
          <w:rFonts w:ascii="Carlito" w:hAnsi="Carlito"/>
          <w:sz w:val="24"/>
          <w:szCs w:val="24"/>
        </w:rPr>
        <w:t>O contrato deverá ser executado fielmente pelas partes, de acordo com as cláusulas avençadas e as normas da Lei nº 14.133, de 2021, e cada parte responderá pelas consequências de sua inexecução total ou parcial.</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Cs/>
          <w:color w:val="000000"/>
          <w:kern w:val="0"/>
          <w:sz w:val="24"/>
          <w:szCs w:val="24"/>
          <w:lang w:val="pt-BR" w:eastAsia="pt-BR" w:bidi="ar-SA"/>
        </w:rPr>
      </w:pPr>
      <w:r>
        <w:rPr>
          <w:rFonts w:eastAsia="Arial" w:cs="Arial" w:ascii="Carlito" w:hAnsi="Carlito"/>
          <w:iCs/>
          <w:color w:val="000000"/>
          <w:kern w:val="0"/>
          <w:sz w:val="24"/>
          <w:szCs w:val="24"/>
          <w:lang w:val="pt-BR" w:eastAsia="pt-BR" w:bidi="ar-SA"/>
        </w:rPr>
        <w:t>Em caso de impedimento, ordem de paralisação ou suspensão do contrato, o cronograma de execução será prorrogado automaticamente pelo tempo correspondente, anotadas tais circunstâncias mediante simples apostila.</w:t>
      </w:r>
    </w:p>
    <w:p>
      <w:pPr>
        <w:pStyle w:val="Nvel02"/>
        <w:numPr>
          <w:ilvl w:val="0"/>
          <w:numId w:val="0"/>
        </w:numPr>
        <w:shd w:val="clear" w:fill="FFFFFF"/>
        <w:ind w:left="1080" w:right="0" w:hanging="0"/>
        <w:rPr>
          <w:rFonts w:ascii="Carlito" w:hAnsi="Carlito" w:eastAsia="Arial" w:cs="Arial"/>
          <w:iCs/>
          <w:color w:val="000000"/>
          <w:kern w:val="0"/>
          <w:sz w:val="24"/>
          <w:szCs w:val="24"/>
          <w:lang w:val="pt-BR" w:eastAsia="pt-BR" w:bidi="ar-SA"/>
        </w:rPr>
      </w:pPr>
      <w:r>
        <w:rPr>
          <w:rFonts w:eastAsia="Arial" w:cs="Arial" w:ascii="Carlito" w:hAnsi="Carlito"/>
          <w:iCs/>
          <w:color w:val="000000"/>
          <w:kern w:val="0"/>
          <w:sz w:val="24"/>
          <w:szCs w:val="24"/>
          <w:lang w:val="pt-BR" w:eastAsia="pt-BR" w:bidi="ar-SA"/>
        </w:rPr>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Cs/>
          <w:color w:val="000000"/>
          <w:kern w:val="0"/>
          <w:sz w:val="24"/>
          <w:szCs w:val="24"/>
          <w:lang w:val="pt-BR" w:eastAsia="pt-BR" w:bidi="ar-SA"/>
        </w:rPr>
      </w:pPr>
      <w:r>
        <w:rPr>
          <w:rFonts w:eastAsia="Arial" w:cs="Arial" w:ascii="Carlito" w:hAnsi="Carlito"/>
          <w:iCs/>
          <w:color w:val="000000"/>
          <w:kern w:val="0"/>
          <w:sz w:val="24"/>
          <w:szCs w:val="24"/>
          <w:lang w:val="pt-BR" w:eastAsia="pt-BR" w:bidi="ar-SA"/>
        </w:rPr>
        <w:t>As comunicações entre o órgão ou entidade e o Contratado devem ser realizadas por escrito sempre que o ato exigir tal formalidade, admitindo-se o uso de mensagem eletrônica para esse fim.</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Cs/>
          <w:color w:val="000000"/>
          <w:kern w:val="0"/>
          <w:sz w:val="24"/>
          <w:szCs w:val="24"/>
          <w:lang w:val="pt-BR" w:eastAsia="pt-BR" w:bidi="ar-SA"/>
        </w:rPr>
      </w:pPr>
      <w:r>
        <w:rPr>
          <w:rFonts w:eastAsia="Arial" w:cs="Arial" w:ascii="Carlito" w:hAnsi="Carlito"/>
          <w:iCs/>
          <w:color w:val="000000"/>
          <w:kern w:val="0"/>
          <w:sz w:val="24"/>
          <w:szCs w:val="24"/>
          <w:lang w:val="pt-BR" w:eastAsia="pt-BR" w:bidi="ar-SA"/>
        </w:rPr>
        <w:t>O órgão ou entidade poderá convocar o preposto da empresa para adoção de providências que devam ser cumpridas de imediato.</w:t>
      </w:r>
    </w:p>
    <w:p>
      <w:pPr>
        <w:pStyle w:val="Nvel2Opcional1"/>
        <w:widowControl/>
        <w:numPr>
          <w:ilvl w:val="1"/>
          <w:numId w:val="2"/>
        </w:numPr>
        <w:shd w:val="clear" w:fill="FFFFFF"/>
        <w:tabs>
          <w:tab w:val="clear" w:pos="735"/>
        </w:tabs>
        <w:suppressAutoHyphens w:val="true"/>
        <w:bidi w:val="0"/>
        <w:spacing w:lineRule="auto" w:line="276" w:before="0" w:after="0"/>
        <w:ind w:left="0" w:right="0" w:firstLine="510"/>
        <w:jc w:val="both"/>
        <w:rPr>
          <w:rFonts w:ascii="Carlito" w:hAnsi="Carlito" w:eastAsia="Arial" w:cs="Arial"/>
          <w:iCs/>
          <w:color w:val="000000"/>
          <w:kern w:val="0"/>
          <w:sz w:val="24"/>
          <w:szCs w:val="24"/>
          <w:lang w:val="pt-BR" w:eastAsia="pt-BR" w:bidi="ar-SA"/>
        </w:rPr>
      </w:pPr>
      <w:r>
        <w:rPr>
          <w:rFonts w:eastAsia="Arial" w:cs="Arial" w:ascii="Carlito" w:hAnsi="Carlito"/>
          <w:iCs/>
          <w:color w:val="000000"/>
          <w:kern w:val="0"/>
          <w:sz w:val="24"/>
          <w:szCs w:val="24"/>
          <w:lang w:val="pt-BR" w:eastAsia="pt-BR" w:bidi="ar-SA"/>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pPr>
        <w:pStyle w:val="Nvel2Opcional1"/>
        <w:widowControl/>
        <w:numPr>
          <w:ilvl w:val="0"/>
          <w:numId w:val="0"/>
        </w:numPr>
        <w:shd w:val="clear" w:fill="FFFFFF"/>
        <w:tabs>
          <w:tab w:val="clear" w:pos="735"/>
        </w:tabs>
        <w:suppressAutoHyphens w:val="true"/>
        <w:bidi w:val="0"/>
        <w:spacing w:lineRule="auto" w:line="276" w:before="0" w:after="0"/>
        <w:ind w:left="1080" w:right="0" w:hanging="0"/>
        <w:jc w:val="both"/>
        <w:rPr>
          <w:rFonts w:ascii="Carlito" w:hAnsi="Carlito" w:eastAsia="Arial" w:cs="Arial"/>
          <w:iCs/>
          <w:color w:val="000000"/>
          <w:kern w:val="0"/>
          <w:sz w:val="24"/>
          <w:szCs w:val="24"/>
          <w:lang w:val="pt-BR" w:eastAsia="pt-BR" w:bidi="ar-SA"/>
        </w:rPr>
      </w:pPr>
      <w:r>
        <w:rPr>
          <w:rFonts w:eastAsia="Arial" w:cs="Arial" w:ascii="Carlito" w:hAnsi="Carlito"/>
          <w:iCs/>
          <w:color w:val="000000"/>
          <w:kern w:val="0"/>
          <w:sz w:val="24"/>
          <w:szCs w:val="24"/>
          <w:lang w:val="pt-BR" w:eastAsia="pt-BR" w:bidi="ar-SA"/>
        </w:rPr>
      </w:r>
    </w:p>
    <w:p>
      <w:pPr>
        <w:pStyle w:val="Nvel1SemNumerao"/>
        <w:numPr>
          <w:ilvl w:val="0"/>
          <w:numId w:val="0"/>
        </w:numPr>
        <w:shd w:val="clear" w:fill="FFFFFF"/>
        <w:ind w:left="720" w:right="0" w:hanging="0"/>
        <w:rPr>
          <w:rFonts w:ascii="Carlito" w:hAnsi="Carlito"/>
          <w:sz w:val="24"/>
          <w:szCs w:val="24"/>
        </w:rPr>
      </w:pPr>
      <w:r>
        <w:rPr>
          <w:rFonts w:ascii="Carlito" w:hAnsi="Carlito"/>
          <w:sz w:val="24"/>
          <w:szCs w:val="24"/>
        </w:rPr>
        <w:t>Preposto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Contratado designará formalmente o preposto da empresa, antes do início da prestação dos serviços, indicando no instrumento os poderes e deveres em relação à execução do objeto Contratado.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Contratado não necessitará manter preposto da empresa no local da execução do objeto durante o período.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Contratante poderá recusar, desde que justificadamente, a indicação ou a manutenção do preposto da empresa, hipótese em que o Contratado designará outro para o exercício da atividade.</w:t>
      </w:r>
    </w:p>
    <w:p>
      <w:pPr>
        <w:pStyle w:val="Nvel02"/>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r>
    </w:p>
    <w:p>
      <w:pPr>
        <w:pStyle w:val="Nvel1SemNumerao"/>
        <w:numPr>
          <w:ilvl w:val="0"/>
          <w:numId w:val="0"/>
        </w:numPr>
        <w:shd w:val="clear" w:fill="FFFFFF"/>
        <w:ind w:left="720" w:right="0" w:hanging="0"/>
        <w:rPr/>
      </w:pPr>
      <w:r>
        <w:rPr>
          <w:rFonts w:ascii="Carlito" w:hAnsi="Carlito"/>
          <w:sz w:val="24"/>
          <w:szCs w:val="24"/>
        </w:rPr>
        <w:t xml:space="preserve">Rotinas de </w:t>
      </w:r>
      <w:r>
        <w:rPr>
          <w:rFonts w:eastAsia="Arial" w:cs="Arial" w:ascii="Carlito" w:hAnsi="Carlito"/>
          <w:b w:val="false"/>
          <w:bCs w:val="false"/>
          <w:i w:val="false"/>
          <w:iCs w:val="false"/>
          <w:color w:val="auto"/>
          <w:kern w:val="0"/>
          <w:sz w:val="24"/>
          <w:szCs w:val="24"/>
          <w:lang w:val="pt-BR" w:eastAsia="en-US" w:bidi="ar-SA"/>
        </w:rPr>
        <w:t>Fiscalização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sz w:val="24"/>
          <w:szCs w:val="24"/>
        </w:rPr>
      </w:pPr>
      <w:r>
        <w:rPr>
          <w:rFonts w:ascii="Carlito" w:hAnsi="Carlito"/>
          <w:sz w:val="24"/>
          <w:szCs w:val="24"/>
        </w:rPr>
        <w:t>A execução do contrato deverá ser acompanhada e fiscalizada pelo(s) fiscal(is) do contrato, ou pelos respectivos substitutos.</w:t>
      </w:r>
    </w:p>
    <w:p>
      <w:pPr>
        <w:pStyle w:val="Nvel02"/>
        <w:widowControl/>
        <w:numPr>
          <w:ilvl w:val="0"/>
          <w:numId w:val="0"/>
        </w:numPr>
        <w:shd w:val="clear" w:fill="FFFFFF"/>
        <w:suppressAutoHyphens w:val="true"/>
        <w:bidi w:val="0"/>
        <w:spacing w:lineRule="auto" w:line="276" w:before="0" w:after="0"/>
        <w:ind w:left="1080" w:right="0" w:hanging="0"/>
        <w:jc w:val="both"/>
        <w:rPr>
          <w:rFonts w:ascii="Carlito" w:hAnsi="Carlito"/>
          <w:sz w:val="24"/>
          <w:szCs w:val="24"/>
        </w:rPr>
      </w:pPr>
      <w:r>
        <w:rPr>
          <w:rFonts w:ascii="Carlito" w:hAnsi="Carlito"/>
          <w:sz w:val="24"/>
          <w:szCs w:val="24"/>
        </w:rPr>
      </w:r>
    </w:p>
    <w:p>
      <w:pPr>
        <w:pStyle w:val="Nvel1SemNumerao"/>
        <w:numPr>
          <w:ilvl w:val="0"/>
          <w:numId w:val="0"/>
        </w:numPr>
        <w:shd w:val="clear" w:fill="FFFFFF"/>
        <w:ind w:left="720" w:right="0" w:hanging="0"/>
        <w:rPr>
          <w:rFonts w:ascii="Carlito" w:hAnsi="Carlito"/>
          <w:sz w:val="24"/>
          <w:szCs w:val="24"/>
        </w:rPr>
      </w:pPr>
      <w:r>
        <w:rPr>
          <w:rFonts w:ascii="Carlito" w:hAnsi="Carlito"/>
          <w:sz w:val="24"/>
          <w:szCs w:val="24"/>
        </w:rPr>
        <w:t>Fiscalização Técnica</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fiscal técnico do contrato acompanhará a execução do contrato, para que sejam cumpridas todas as condições estabelecidas no contrato, de modo a assegurar os melhores resultados para a Administração.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fiscal técnico do contrato anotará no histórico de gerenciamento do contrato todas as ocorrências relacionadas à execução do contrato, com a descrição do que for necessário para a regularização das faltas ou dos defeitos observados.</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Identificada qualquer inexatidão ou irregularidade, o fiscal técnico do contrato emitirá notificações para a correção da execução do contrato, determinando prazo para a correção.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fiscal técnico do contrato informará ao gestor do contato, em tempo hábil, a situação que demandar decisão ou adoção de medidas que ultrapassem sua competência, para que adote as medidas necessárias e saneadoras, se for o caso.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No caso de ocorrências que possam inviabilizar a execução do contrato nas datas aprazadas, o fiscal técnico do contrato comunicará o fato imediatamente ao gestor do contrato.</w:t>
      </w:r>
    </w:p>
    <w:p>
      <w:pPr>
        <w:pStyle w:val="Nvel02"/>
        <w:widowControl/>
        <w:numPr>
          <w:ilvl w:val="1"/>
          <w:numId w:val="2"/>
        </w:numPr>
        <w:shd w:val="clear" w:fill="FFFFFF"/>
        <w:suppressAutoHyphens w:val="true"/>
        <w:bidi w:val="0"/>
        <w:spacing w:lineRule="auto" w:line="276" w:before="0" w:after="0"/>
        <w:ind w:left="0" w:right="0" w:firstLine="510"/>
        <w:jc w:val="both"/>
        <w:rPr/>
      </w:pPr>
      <w:r>
        <w:rPr>
          <w:rFonts w:ascii="Carlito" w:hAnsi="Carlito"/>
          <w:sz w:val="24"/>
          <w:szCs w:val="24"/>
        </w:rPr>
        <w:t xml:space="preserve">O fiscal técnico do contrato comunicará ao gestor do contrato, em tempo hábil, o término do contrato sob sua responsabilidade, com vistas à tempestiva </w:t>
      </w:r>
      <w:r>
        <w:rPr>
          <w:rFonts w:eastAsia="Times New Roman" w:ascii="Carlito" w:hAnsi="Carlito"/>
          <w:sz w:val="24"/>
          <w:szCs w:val="24"/>
        </w:rPr>
        <w:t xml:space="preserve">renovação </w:t>
      </w:r>
      <w:r>
        <w:rPr>
          <w:rFonts w:ascii="Carlito" w:hAnsi="Carlito"/>
          <w:sz w:val="24"/>
          <w:szCs w:val="24"/>
        </w:rPr>
        <w:t>ou à prorrogação contratual.</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ascii="Carlito" w:hAnsi="Carli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 </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sz w:val="24"/>
          <w:szCs w:val="24"/>
        </w:rPr>
      </w:pPr>
      <w:r>
        <w:rPr>
          <w:rFonts w:ascii="Carlito" w:hAnsi="Carlito"/>
          <w:sz w:val="24"/>
          <w:szCs w:val="24"/>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pPr>
        <w:pStyle w:val="Nvel2Opcional1"/>
        <w:numPr>
          <w:ilvl w:val="0"/>
          <w:numId w:val="0"/>
        </w:numPr>
        <w:shd w:val="clear" w:fill="FFFFFF"/>
        <w:ind w:left="1913" w:right="0" w:hanging="0"/>
        <w:jc w:val="both"/>
        <w:rPr>
          <w:rFonts w:ascii="Carlito" w:hAnsi="Carlito"/>
          <w:sz w:val="24"/>
          <w:szCs w:val="24"/>
          <w:highlight w:val="lightGray"/>
        </w:rPr>
      </w:pPr>
      <w:r>
        <w:rPr>
          <w:rFonts w:ascii="Carlito" w:hAnsi="Carlito"/>
          <w:sz w:val="24"/>
          <w:szCs w:val="24"/>
          <w:highlight w:val="lightGray"/>
        </w:rPr>
      </w:r>
    </w:p>
    <w:p>
      <w:pPr>
        <w:pStyle w:val="Nvel1SemNumerao"/>
        <w:numPr>
          <w:ilvl w:val="0"/>
          <w:numId w:val="0"/>
        </w:numPr>
        <w:shd w:val="clear" w:fill="FFFFFF"/>
        <w:ind w:left="720" w:right="0" w:hanging="0"/>
        <w:rPr>
          <w:rFonts w:ascii="Carlito" w:hAnsi="Carlito"/>
          <w:sz w:val="24"/>
          <w:szCs w:val="24"/>
        </w:rPr>
      </w:pPr>
      <w:r>
        <w:rPr>
          <w:rFonts w:ascii="Carlito" w:hAnsi="Carlito"/>
          <w:sz w:val="24"/>
          <w:szCs w:val="24"/>
        </w:rPr>
        <w:t>Fiscalização Administrativa</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Caso ocorra descumprimento das obrigações contratuais, o fiscal administrativo do contrato atuará tempestivamente na solução do problema, reportando ao gestor do contrato para que tome as providências cabíveis, quando ultrapassar a sua competência.</w:t>
      </w:r>
    </w:p>
    <w:p>
      <w:pPr>
        <w:pStyle w:val="Nvel02"/>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r>
    </w:p>
    <w:p>
      <w:pPr>
        <w:pStyle w:val="Nvel02"/>
        <w:widowControl/>
        <w:numPr>
          <w:ilvl w:val="0"/>
          <w:numId w:val="0"/>
        </w:numPr>
        <w:shd w:val="clear" w:fill="FFFFFF"/>
        <w:suppressAutoHyphens w:val="true"/>
        <w:bidi w:val="0"/>
        <w:spacing w:lineRule="auto" w:line="276" w:before="0" w:after="0"/>
        <w:ind w:left="720" w:right="0" w:hanging="0"/>
        <w:jc w:val="both"/>
        <w:rPr>
          <w:rFonts w:ascii="Carlito" w:hAnsi="Carlito" w:eastAsia="Arial" w:cs="Arial"/>
          <w:b/>
          <w:b/>
          <w:i w:val="false"/>
          <w:i w:val="false"/>
          <w:iCs w:val="false"/>
          <w:color w:val="auto"/>
          <w:kern w:val="0"/>
          <w:sz w:val="24"/>
          <w:szCs w:val="24"/>
          <w:lang w:val="pt-BR" w:eastAsia="en-US" w:bidi="ar-SA"/>
        </w:rPr>
      </w:pPr>
      <w:r>
        <w:rPr>
          <w:rFonts w:eastAsia="Arial" w:cs="Arial" w:ascii="Carlito" w:hAnsi="Carlito"/>
          <w:b/>
          <w:i w:val="false"/>
          <w:iCs w:val="false"/>
          <w:color w:val="auto"/>
          <w:kern w:val="0"/>
          <w:sz w:val="24"/>
          <w:szCs w:val="24"/>
          <w:lang w:val="pt-BR" w:eastAsia="en-US" w:bidi="ar-SA"/>
        </w:rPr>
        <w:t>Cabe ao gestor do contrato:</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elaborar relatório final com informações sobre a consecução dos objetivos que tenham justificado a contratação e eventuais condutas a serem adotadas para o aprimoramento das atividades da Administração.</w:t>
      </w:r>
    </w:p>
    <w:p>
      <w:pPr>
        <w:pStyle w:val="Nivel3"/>
        <w:widowControl/>
        <w:numPr>
          <w:ilvl w:val="1"/>
          <w:numId w:val="2"/>
        </w:numPr>
        <w:suppressAutoHyphens w:val="true"/>
        <w:bidi w:val="0"/>
        <w:spacing w:lineRule="auto" w:line="276" w:before="120" w:after="120"/>
        <w:ind w:left="0" w:right="0" w:firstLine="510"/>
        <w:jc w:val="both"/>
        <w:rPr>
          <w:rFonts w:ascii="Carlito" w:hAnsi="Carlito"/>
          <w:sz w:val="24"/>
          <w:szCs w:val="24"/>
        </w:rPr>
      </w:pPr>
      <w:r>
        <w:rPr>
          <w:rFonts w:ascii="Carlito" w:hAnsi="Carlito"/>
          <w:sz w:val="24"/>
          <w:szCs w:val="24"/>
        </w:rPr>
        <w:t>enviar a documentação pertinente ao setor de contratos para a formalização dos procedimentos de liquidação e pagamento, no valor dimensionado pela fiscalização e gestão nos termos do contrato.</w:t>
      </w:r>
    </w:p>
    <w:p>
      <w:pPr>
        <w:pStyle w:val="Nivel3"/>
        <w:widowControl/>
        <w:numPr>
          <w:ilvl w:val="1"/>
          <w:numId w:val="2"/>
        </w:numPr>
        <w:suppressAutoHyphens w:val="true"/>
        <w:bidi w:val="0"/>
        <w:spacing w:lineRule="auto" w:line="276" w:before="120" w:after="120"/>
        <w:ind w:left="0" w:right="0" w:firstLine="510"/>
        <w:jc w:val="both"/>
        <w:rPr>
          <w:rFonts w:ascii="Carlito" w:hAnsi="Carlito"/>
          <w:color w:val="000000"/>
          <w:sz w:val="24"/>
          <w:szCs w:val="24"/>
        </w:rPr>
      </w:pPr>
      <w:r>
        <w:rPr>
          <w:rFonts w:ascii="Carlito" w:hAnsi="Carlito"/>
          <w:color w:val="000000"/>
          <w:sz w:val="24"/>
          <w:szCs w:val="24"/>
        </w:rPr>
        <w:t>receber e dar encaminhamento imediato:</w:t>
      </w:r>
    </w:p>
    <w:p>
      <w:pPr>
        <w:pStyle w:val="Nivel4"/>
        <w:widowControl/>
        <w:numPr>
          <w:ilvl w:val="2"/>
          <w:numId w:val="2"/>
        </w:numPr>
        <w:suppressAutoHyphens w:val="true"/>
        <w:bidi w:val="0"/>
        <w:spacing w:lineRule="auto" w:line="276" w:before="0" w:after="0"/>
        <w:ind w:left="0" w:right="0" w:firstLine="1134"/>
        <w:jc w:val="both"/>
        <w:rPr>
          <w:rFonts w:ascii="Carlito" w:hAnsi="Carlito" w:eastAsia="ＭＳ 明朝" w:cs="Arial"/>
          <w:bCs/>
          <w:i w:val="false"/>
          <w:i w:val="false"/>
          <w:color w:val="000000"/>
          <w:kern w:val="0"/>
          <w:sz w:val="24"/>
          <w:szCs w:val="24"/>
          <w:lang w:val="pt-BR" w:eastAsia="pt-BR" w:bidi="ar-SA"/>
        </w:rPr>
      </w:pPr>
      <w:r>
        <w:rPr>
          <w:rFonts w:eastAsia="ＭＳ 明朝" w:cs="Arial" w:ascii="Carlito" w:hAnsi="Carlito"/>
          <w:bCs/>
          <w:i w:val="false"/>
          <w:color w:val="000000"/>
          <w:kern w:val="0"/>
          <w:sz w:val="24"/>
          <w:szCs w:val="24"/>
          <w:lang w:val="pt-BR" w:eastAsia="pt-BR" w:bidi="ar-SA"/>
        </w:rPr>
        <w:t xml:space="preserve">às denúncias de discriminação, violência e assédio no ambiente de trabalho, conforme o art. 2º, inciso III, do Decreto n.º 12.174/2024; </w:t>
      </w:r>
    </w:p>
    <w:p>
      <w:pPr>
        <w:pStyle w:val="Nivel4"/>
        <w:widowControl/>
        <w:numPr>
          <w:ilvl w:val="2"/>
          <w:numId w:val="2"/>
        </w:numPr>
        <w:suppressAutoHyphens w:val="true"/>
        <w:bidi w:val="0"/>
        <w:spacing w:lineRule="auto" w:line="276" w:before="0" w:after="0"/>
        <w:ind w:left="0" w:right="0" w:firstLine="1134"/>
        <w:jc w:val="both"/>
        <w:rPr>
          <w:rFonts w:ascii="Carlito" w:hAnsi="Carlito" w:eastAsia="ＭＳ 明朝" w:cs="Arial"/>
          <w:bCs/>
          <w:i w:val="false"/>
          <w:i w:val="false"/>
          <w:color w:val="000000"/>
          <w:kern w:val="0"/>
          <w:sz w:val="24"/>
          <w:szCs w:val="24"/>
          <w:lang w:val="pt-BR" w:eastAsia="pt-BR" w:bidi="ar-SA"/>
        </w:rPr>
      </w:pPr>
      <w:r>
        <w:rPr>
          <w:rFonts w:eastAsia="ＭＳ 明朝" w:cs="Arial" w:ascii="Carlito" w:hAnsi="Carlito"/>
          <w:bCs/>
          <w:i w:val="false"/>
          <w:color w:val="000000"/>
          <w:kern w:val="0"/>
          <w:sz w:val="24"/>
          <w:szCs w:val="24"/>
          <w:lang w:val="pt-BR" w:eastAsia="pt-BR" w:bidi="ar-SA"/>
        </w:rPr>
        <w:t>à notificação formal de que a empresa contratada está descumprindo suas obrigações trabalhistas, enviada pelo trabalhador, sindicato, Ministério do Trabalho, Ministério Público, Defensoria Pública ou por qualquer outro meio idôneo.</w:t>
      </w:r>
    </w:p>
    <w:p>
      <w:pPr>
        <w:pStyle w:val="Nvel2Opcional1"/>
        <w:numPr>
          <w:ilvl w:val="0"/>
          <w:numId w:val="0"/>
        </w:numPr>
        <w:shd w:val="clear" w:fill="FFFFFF"/>
        <w:spacing w:before="0" w:after="0"/>
        <w:ind w:left="1913" w:right="0" w:hanging="0"/>
        <w:jc w:val="both"/>
        <w:rPr>
          <w:rFonts w:ascii="Carlito" w:hAnsi="Carlito"/>
          <w:sz w:val="24"/>
          <w:szCs w:val="24"/>
          <w:highlight w:val="lightGray"/>
        </w:rPr>
      </w:pPr>
      <w:r>
        <w:rPr>
          <w:rFonts w:ascii="Carlito" w:hAnsi="Carlito"/>
          <w:sz w:val="24"/>
          <w:szCs w:val="24"/>
          <w:highlight w:val="lightGray"/>
        </w:rPr>
      </w:r>
    </w:p>
    <w:p>
      <w:pPr>
        <w:pStyle w:val="Nivel01"/>
        <w:widowControl/>
        <w:numPr>
          <w:ilvl w:val="0"/>
          <w:numId w:val="2"/>
        </w:numPr>
        <w:shd w:val="clear" w:fill="FFFFFF"/>
        <w:suppressAutoHyphens w:val="true"/>
        <w:overflowPunct w:val="false"/>
        <w:bidi w:val="0"/>
        <w:spacing w:lineRule="auto" w:line="276"/>
        <w:ind w:left="357" w:right="0" w:hanging="357"/>
        <w:jc w:val="both"/>
        <w:rPr>
          <w:rFonts w:ascii="Carlito" w:hAnsi="Carlito"/>
          <w:sz w:val="24"/>
          <w:szCs w:val="24"/>
        </w:rPr>
      </w:pPr>
      <w:r>
        <w:rPr>
          <w:rFonts w:ascii="Carlito" w:hAnsi="Carlito"/>
          <w:sz w:val="24"/>
          <w:szCs w:val="24"/>
        </w:rPr>
        <w:t>CRITÉRIOS DE MEDIÇÃO E PAGAMENTO</w:t>
      </w:r>
    </w:p>
    <w:p>
      <w:pPr>
        <w:pStyle w:val="Nvel2Opcional1"/>
        <w:widowControl/>
        <w:numPr>
          <w:ilvl w:val="1"/>
          <w:numId w:val="2"/>
        </w:numPr>
        <w:shd w:val="clear" w:fill="FFFFFF"/>
        <w:tabs>
          <w:tab w:val="clear" w:pos="735"/>
        </w:tabs>
        <w:suppressAutoHyphens w:val="true"/>
        <w:bidi w:val="0"/>
        <w:spacing w:lineRule="auto" w:line="276" w:before="0" w:after="0"/>
        <w:ind w:left="0" w:right="0" w:firstLine="567"/>
        <w:jc w:val="both"/>
        <w:rPr>
          <w:rFonts w:ascii="Carlito" w:hAnsi="Carlito"/>
          <w:color w:val="000000"/>
          <w:sz w:val="24"/>
          <w:szCs w:val="24"/>
        </w:rPr>
      </w:pPr>
      <w:r>
        <w:rPr>
          <w:rFonts w:ascii="Carlito" w:hAnsi="Carlito"/>
          <w:color w:val="000000"/>
          <w:sz w:val="24"/>
          <w:szCs w:val="24"/>
        </w:rPr>
        <w:t>A avaliação da execução do serviço utilizará o disposto neste item.</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sz w:val="24"/>
          <w:szCs w:val="24"/>
        </w:rPr>
      </w:pPr>
      <w:r>
        <w:rPr>
          <w:rFonts w:ascii="Carlito" w:hAnsi="Carlito"/>
          <w:sz w:val="24"/>
          <w:szCs w:val="24"/>
        </w:rPr>
        <w:t>Será indicada a retenção ou glosa no pagamento, proporcional à irregularidade verificada, sem prejuízo das sanções cabíveis, caso se constate que o Contratado:</w:t>
      </w:r>
    </w:p>
    <w:p>
      <w:pPr>
        <w:pStyle w:val="Nivel3"/>
        <w:widowControl/>
        <w:numPr>
          <w:ilvl w:val="1"/>
          <w:numId w:val="2"/>
        </w:numPr>
        <w:bidi w:val="0"/>
        <w:spacing w:lineRule="auto" w:line="276" w:before="120" w:after="120"/>
        <w:ind w:left="510" w:right="0" w:hanging="0"/>
        <w:jc w:val="both"/>
        <w:rPr>
          <w:rFonts w:ascii="Carlito" w:hAnsi="Carlito"/>
          <w:sz w:val="24"/>
          <w:szCs w:val="24"/>
        </w:rPr>
      </w:pPr>
      <w:r>
        <w:rPr>
          <w:rFonts w:ascii="Carlito" w:hAnsi="Carlito"/>
          <w:sz w:val="24"/>
          <w:szCs w:val="24"/>
        </w:rPr>
        <w:t>não produziu os resultados acordados,</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deixou de executar, ou não executou com a qualidade mínima exigida as atividades contratadas; ou</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deixou de utilizar materiais e recursos humanos exigidos para a execução do serviço, ou os utilizou com qualidade ou quantidade inferior à demandada.</w:t>
      </w:r>
    </w:p>
    <w:p>
      <w:pPr>
        <w:pStyle w:val="Nvel2Opcional1"/>
        <w:widowControl/>
        <w:numPr>
          <w:ilvl w:val="1"/>
          <w:numId w:val="2"/>
        </w:numPr>
        <w:shd w:val="clear" w:fill="FFFFFF"/>
        <w:tabs>
          <w:tab w:val="left" w:pos="675" w:leader="none"/>
          <w:tab w:val="left" w:pos="735" w:leader="none"/>
        </w:tabs>
        <w:suppressAutoHyphens w:val="true"/>
        <w:bidi w:val="0"/>
        <w:spacing w:lineRule="auto" w:line="276" w:before="0" w:after="0"/>
        <w:ind w:left="-57" w:right="0" w:firstLine="624"/>
        <w:jc w:val="both"/>
        <w:rPr>
          <w:rFonts w:ascii="Carlito" w:hAnsi="Carlito"/>
          <w:color w:val="000000"/>
          <w:sz w:val="24"/>
          <w:szCs w:val="24"/>
        </w:rPr>
      </w:pPr>
      <w:r>
        <w:rPr>
          <w:rFonts w:ascii="Carlito" w:hAnsi="Carlito"/>
          <w:color w:val="000000"/>
          <w:sz w:val="24"/>
          <w:szCs w:val="24"/>
        </w:rPr>
        <w:t>A utilização do IMR não impede a aplicação concomitante de outros mecanismos para a avaliação da prestação dos serviços.</w:t>
      </w:r>
    </w:p>
    <w:p>
      <w:pPr>
        <w:pStyle w:val="Nvel2Opcional1"/>
        <w:numPr>
          <w:ilvl w:val="0"/>
          <w:numId w:val="0"/>
        </w:numPr>
        <w:shd w:val="clear" w:fill="FFFFFF"/>
        <w:ind w:left="1913" w:right="0" w:hanging="0"/>
        <w:jc w:val="both"/>
        <w:rPr>
          <w:rFonts w:ascii="Carlito" w:hAnsi="Carlito"/>
          <w:sz w:val="24"/>
          <w:szCs w:val="24"/>
        </w:rPr>
      </w:pPr>
      <w:r>
        <w:rPr>
          <w:rFonts w:ascii="Carlito" w:hAnsi="Carlito"/>
          <w:sz w:val="24"/>
          <w:szCs w:val="24"/>
        </w:rPr>
      </w:r>
    </w:p>
    <w:p>
      <w:pPr>
        <w:pStyle w:val="Nvel1SemNumerao"/>
        <w:numPr>
          <w:ilvl w:val="0"/>
          <w:numId w:val="0"/>
        </w:numPr>
        <w:shd w:val="clear" w:fill="FFFFFF"/>
        <w:ind w:left="720" w:right="0" w:hanging="0"/>
        <w:rPr/>
      </w:pPr>
      <w:r>
        <w:rPr>
          <w:rFonts w:ascii="Carlito" w:hAnsi="Carlito"/>
          <w:sz w:val="24"/>
          <w:szCs w:val="24"/>
        </w:rPr>
        <w:t xml:space="preserve">Do </w:t>
      </w:r>
      <w:r>
        <w:rPr>
          <w:rFonts w:eastAsia="Arial" w:cs="Arial" w:ascii="Carlito" w:hAnsi="Carlito"/>
          <w:b w:val="false"/>
          <w:bCs w:val="false"/>
          <w:i w:val="false"/>
          <w:iCs w:val="false"/>
          <w:color w:val="auto"/>
          <w:kern w:val="0"/>
          <w:sz w:val="24"/>
          <w:szCs w:val="24"/>
          <w:lang w:val="pt-BR" w:eastAsia="en-US" w:bidi="ar-SA"/>
        </w:rPr>
        <w:t>recebimento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Os serviços serão recebidos provisoriamente, no prazo de 10 (dez) dias, pelos fiscais técnico e administrativo, mediante termos detalhados, quando verificado o cumprimento das exigências de caráter técnico e administrativo.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prazo para recebimento provisório será contado do recebimento de comunicação de cobrança oriunda do Contratado com a comprovação da prestação dos serviços a que se referem a parcela a ser paga.</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fiscal técnico do contrato realizará o recebimento provisório do objeto do contrato mediante termo detalhado que comprove o cumprimento das exigências de caráter técnico.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fiscal administrativo do contrato realizará o recebimento provisório do objeto do contrato mediante termo detalhado que comprove o cumprimento das exigências de caráter administrativo.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fiscal setorial do contrato, quando houver, realizará o recebimento provisório sob o ponto de vista técnico e administrativo.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Para efeito de recebimento provisório, será considerado para fins de faturamento o período a ser apurado: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Ao final de cada período/evento de faturamento:</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sz w:val="24"/>
          <w:szCs w:val="24"/>
        </w:rPr>
      </w:pPr>
      <w:r>
        <w:rPr>
          <w:rFonts w:eastAsia="Arial" w:cs="Arial" w:ascii="Carlito" w:hAnsi="Carlito"/>
          <w:i w:val="false"/>
          <w:iCs/>
          <w:color w:val="000000"/>
          <w:kern w:val="0"/>
          <w:sz w:val="24"/>
          <w:szCs w:val="24"/>
          <w:lang w:val="pt-BR" w:eastAsia="pt-BR" w:bidi="ar-SA"/>
        </w:rPr>
        <w:t>Será considerado como ocorrido o recebimento provisório com a entrega do termo detalhado ou, em havendo mais de um a ser feito, com a entrega do último.</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 fiscalização não efetuará o ateste da última e/ou única medição de serviços até que sejam sanadas todas as eventuais pendências que possam vir a ser apontadas no recebimento provisório.</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recebimento provisório também ficará sujeito, quando cabível, à conclusão de todos os testes de campo e à entrega dos Manuais e Instruções exigíveis.</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Os serviços poderão ser rejeitados, no todo ou em parte, quando em desacordo com as especificações constantes neste Termo de Referência e na proposta, sem prejuízo da aplicação das penalidades.</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Os serviços serão recebidos definitivamente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pPr>
        <w:pStyle w:val="Nivel3"/>
        <w:widowControl/>
        <w:numPr>
          <w:ilvl w:val="1"/>
          <w:numId w:val="2"/>
        </w:numPr>
        <w:tabs>
          <w:tab w:val="clear" w:pos="709"/>
          <w:tab w:val="left" w:pos="1245" w:leader="none"/>
          <w:tab w:val="left" w:pos="1650" w:leader="none"/>
        </w:tabs>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 xml:space="preserve"> </w:t>
      </w:r>
      <w:r>
        <w:rPr>
          <w:rFonts w:ascii="Carlito" w:hAnsi="Carlito"/>
          <w:sz w:val="24"/>
          <w:szCs w:val="24"/>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pPr>
        <w:pStyle w:val="Nivel3"/>
        <w:widowControl/>
        <w:numPr>
          <w:ilvl w:val="1"/>
          <w:numId w:val="2"/>
        </w:numPr>
        <w:suppressAutoHyphens w:val="true"/>
        <w:bidi w:val="0"/>
        <w:spacing w:lineRule="auto" w:line="276" w:before="120" w:after="120"/>
        <w:ind w:left="0" w:right="0" w:firstLine="510"/>
        <w:jc w:val="both"/>
        <w:rPr>
          <w:rFonts w:ascii="Carlito" w:hAnsi="Carlito"/>
          <w:sz w:val="24"/>
          <w:szCs w:val="24"/>
        </w:rPr>
      </w:pPr>
      <w:r>
        <w:rPr>
          <w:rFonts w:ascii="Carlito" w:hAnsi="Carlito"/>
          <w:sz w:val="24"/>
          <w:szCs w:val="24"/>
        </w:rPr>
        <w:t>Emitir Termo Detalhado para efeito de recebimento definitivo dos serviços prestados, com base nos relatórios e documentações apresentadas; e</w:t>
      </w:r>
    </w:p>
    <w:p>
      <w:pPr>
        <w:pStyle w:val="Nivel3"/>
        <w:widowControl/>
        <w:numPr>
          <w:ilvl w:val="1"/>
          <w:numId w:val="2"/>
        </w:numPr>
        <w:suppressAutoHyphens w:val="true"/>
        <w:bidi w:val="0"/>
        <w:spacing w:lineRule="auto" w:line="276" w:before="120" w:after="120"/>
        <w:ind w:left="0" w:right="0" w:firstLine="510"/>
        <w:jc w:val="both"/>
        <w:rPr>
          <w:rFonts w:ascii="Carlito" w:hAnsi="Carlito"/>
          <w:sz w:val="24"/>
          <w:szCs w:val="24"/>
        </w:rPr>
      </w:pPr>
      <w:r>
        <w:rPr>
          <w:rFonts w:ascii="Carlito" w:hAnsi="Carlito"/>
          <w:sz w:val="24"/>
          <w:szCs w:val="24"/>
        </w:rPr>
        <w:t>Comunicar a empresa para que emita a Nota Fiscal ou Fatura, com o valor exato dimensionado pela fiscalização.</w:t>
      </w:r>
    </w:p>
    <w:p>
      <w:pPr>
        <w:pStyle w:val="Nivel3"/>
        <w:widowControl/>
        <w:numPr>
          <w:ilvl w:val="1"/>
          <w:numId w:val="2"/>
        </w:numPr>
        <w:suppressAutoHyphens w:val="true"/>
        <w:bidi w:val="0"/>
        <w:spacing w:lineRule="auto" w:line="276" w:before="120" w:after="120"/>
        <w:ind w:left="0" w:right="0" w:firstLine="510"/>
        <w:jc w:val="both"/>
        <w:rPr>
          <w:rFonts w:ascii="Carlito" w:hAnsi="Carlito"/>
          <w:sz w:val="24"/>
          <w:szCs w:val="24"/>
        </w:rPr>
      </w:pPr>
      <w:r>
        <w:rPr>
          <w:rFonts w:ascii="Carlito" w:hAnsi="Carlito"/>
          <w:sz w:val="24"/>
          <w:szCs w:val="24"/>
        </w:rPr>
        <w:t>Enviar a documentação pertinente ao setor de contratos para a formalização dos procedimentos de liquidação e pagamento, no valor dimensionado pela fiscalização e gestão.</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eastAsia="Arial" w:cs="Arial" w:ascii="Carlito" w:hAnsi="Carlito"/>
          <w:i w:val="false"/>
          <w:iCs/>
          <w:color w:val="000000"/>
          <w:kern w:val="0"/>
          <w:sz w:val="24"/>
          <w:szCs w:val="24"/>
          <w:lang w:val="pt-BR" w:eastAsia="en-US" w:bidi="ar-SA"/>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eastAsia="Arial" w:cs="Arial" w:ascii="Carlito" w:hAnsi="Carlito"/>
          <w:i w:val="false"/>
          <w:iCs/>
          <w:color w:val="000000"/>
          <w:kern w:val="0"/>
          <w:sz w:val="24"/>
          <w:szCs w:val="24"/>
          <w:lang w:val="pt-BR" w:eastAsia="en-US" w:bidi="ar-SA"/>
        </w:rPr>
        <w:t>Nenhum prazo de recebimento ocorrerá enquanto pendente a solução, pelo Contratado, de inconsistências verificadas na execução do objeto ou no instrumento de cobrança.</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eastAsia="Arial" w:cs="Arial" w:ascii="Carlito" w:hAnsi="Carlito"/>
          <w:i w:val="false"/>
          <w:iCs/>
          <w:color w:val="000000"/>
          <w:kern w:val="0"/>
          <w:sz w:val="24"/>
          <w:szCs w:val="24"/>
          <w:lang w:val="pt-BR" w:eastAsia="en-US" w:bidi="ar-SA"/>
        </w:rPr>
        <w:t>O recebimento provisório ou definitivo não excluirá a responsabilidade civil pela solidez e pela segurança do serviço nem a responsabilidade ético-profissional pela perfeita execução do contrato.</w:t>
      </w:r>
    </w:p>
    <w:p>
      <w:pPr>
        <w:pStyle w:val="Nvel02"/>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i w:val="false"/>
          <w:i w:val="false"/>
          <w:iCs/>
          <w:color w:val="000000"/>
          <w:kern w:val="0"/>
          <w:sz w:val="24"/>
          <w:szCs w:val="24"/>
          <w:lang w:val="pt-BR" w:eastAsia="en-US" w:bidi="ar-SA"/>
        </w:rPr>
      </w:pPr>
      <w:r>
        <w:rPr>
          <w:rFonts w:eastAsia="Arial" w:cs="Arial" w:ascii="Carlito" w:hAnsi="Carlito"/>
          <w:i w:val="false"/>
          <w:iCs/>
          <w:color w:val="000000"/>
          <w:kern w:val="0"/>
          <w:sz w:val="24"/>
          <w:szCs w:val="24"/>
          <w:lang w:val="pt-BR" w:eastAsia="en-US" w:bidi="ar-SA"/>
        </w:rPr>
      </w:r>
    </w:p>
    <w:p>
      <w:pPr>
        <w:pStyle w:val="Nvel1SemNumerao"/>
        <w:widowControl/>
        <w:numPr>
          <w:ilvl w:val="0"/>
          <w:numId w:val="0"/>
        </w:numPr>
        <w:shd w:val="clear" w:fill="FFFFFF"/>
        <w:tabs>
          <w:tab w:val="left" w:pos="120" w:leader="none"/>
          <w:tab w:val="left" w:pos="345" w:leader="none"/>
          <w:tab w:val="left" w:pos="390" w:leader="none"/>
          <w:tab w:val="left" w:pos="570" w:leader="none"/>
          <w:tab w:val="left" w:pos="735" w:leader="none"/>
          <w:tab w:val="left" w:pos="900" w:leader="none"/>
          <w:tab w:val="left" w:pos="1020" w:leader="none"/>
          <w:tab w:val="left" w:pos="1140" w:leader="none"/>
        </w:tabs>
        <w:suppressAutoHyphens w:val="true"/>
        <w:bidi w:val="0"/>
        <w:spacing w:lineRule="auto" w:line="276" w:before="0" w:after="0"/>
        <w:ind w:left="0" w:right="0" w:hanging="0"/>
        <w:jc w:val="both"/>
        <w:rPr>
          <w:rFonts w:ascii="Carlito" w:hAnsi="Carlito" w:eastAsia="Arial" w:cs="Arial"/>
          <w:i w:val="false"/>
          <w:i w:val="false"/>
          <w:iCs w:val="false"/>
          <w:color w:val="auto"/>
          <w:kern w:val="0"/>
          <w:sz w:val="24"/>
          <w:szCs w:val="24"/>
          <w:lang w:val="pt-BR" w:eastAsia="en-US" w:bidi="ar-SA"/>
        </w:rPr>
      </w:pPr>
      <w:r>
        <w:rPr>
          <w:rFonts w:eastAsia="Arial" w:cs="Arial" w:ascii="Carlito" w:hAnsi="Carlito"/>
          <w:i w:val="false"/>
          <w:iCs w:val="false"/>
          <w:color w:val="auto"/>
          <w:kern w:val="0"/>
          <w:sz w:val="24"/>
          <w:szCs w:val="24"/>
          <w:lang w:val="pt-BR" w:eastAsia="en-US" w:bidi="ar-SA"/>
        </w:rPr>
        <w:t>Liquidação</w:t>
      </w:r>
    </w:p>
    <w:p>
      <w:pPr>
        <w:pStyle w:val="Nvel02"/>
        <w:widowControl/>
        <w:numPr>
          <w:ilvl w:val="1"/>
          <w:numId w:val="2"/>
        </w:numPr>
        <w:shd w:val="clear" w:fill="FFFFFF"/>
        <w:suppressAutoHyphens w:val="true"/>
        <w:bidi w:val="0"/>
        <w:spacing w:lineRule="auto" w:line="276" w:before="0" w:after="0"/>
        <w:ind w:left="0" w:right="0" w:firstLine="510"/>
        <w:jc w:val="both"/>
        <w:rPr/>
      </w:pPr>
      <w:r>
        <w:rPr>
          <w:rFonts w:eastAsia="Arial" w:cs="Arial" w:ascii="Carlito" w:hAnsi="Carlito"/>
          <w:i w:val="false"/>
          <w:iCs/>
          <w:color w:val="000000"/>
          <w:kern w:val="0"/>
          <w:sz w:val="24"/>
          <w:szCs w:val="24"/>
          <w:lang w:val="pt-BR" w:eastAsia="pt-BR" w:bidi="ar-SA"/>
        </w:rPr>
        <w:t>Recebida a Nota Fiscal ou documento de cobrança equivalente, correrá o prazo de dez dias úteis para fins de liquidação, na forma desta seção, prorrogáveis por igual período, nos termos do art. 7º, §3º da Instrução Normativa SEGES/ME nº 77/2022.</w:t>
      </w:r>
    </w:p>
    <w:p>
      <w:pPr>
        <w:pStyle w:val="Nvel02"/>
        <w:widowControl/>
        <w:numPr>
          <w:ilvl w:val="1"/>
          <w:numId w:val="2"/>
        </w:numPr>
        <w:shd w:val="clear" w:fill="FFFFFF"/>
        <w:suppressAutoHyphens w:val="true"/>
        <w:bidi w:val="0"/>
        <w:spacing w:lineRule="auto" w:line="276" w:before="0" w:after="0"/>
        <w:ind w:left="0" w:right="0" w:firstLine="510"/>
        <w:jc w:val="both"/>
        <w:rPr/>
      </w:pPr>
      <w:r>
        <w:rPr>
          <w:rFonts w:eastAsia="Arial" w:cs="Arial" w:ascii="Carlito" w:hAnsi="Carlito"/>
          <w:i w:val="false"/>
          <w:iCs/>
          <w:color w:val="000000"/>
          <w:kern w:val="0"/>
          <w:sz w:val="24"/>
          <w:szCs w:val="24"/>
          <w:lang w:val="pt-BR" w:eastAsia="pt-BR" w:bidi="ar-SA"/>
        </w:rPr>
        <w:t>O prazo de que trata o item anterior será reduzido à metade, mantendo-se a possibilidade de prorrogação, nos casos de contratações decorrentes de despesas cujos valores não ultrapassem o limite de que trata o inciso II do art. 75 da Lei nº 14.133, de 2021</w:t>
      </w:r>
    </w:p>
    <w:p>
      <w:pPr>
        <w:pStyle w:val="Nvel02"/>
        <w:widowControl/>
        <w:numPr>
          <w:ilvl w:val="1"/>
          <w:numId w:val="2"/>
        </w:numPr>
        <w:shd w:val="clear" w:fill="FFFFFF"/>
        <w:suppressAutoHyphens w:val="true"/>
        <w:bidi w:val="0"/>
        <w:spacing w:lineRule="auto" w:line="276" w:before="0" w:after="0"/>
        <w:ind w:left="0" w:right="0" w:firstLine="510"/>
        <w:jc w:val="both"/>
        <w:rPr/>
      </w:pPr>
      <w:r>
        <w:rPr>
          <w:rFonts w:eastAsia="Arial" w:cs="Arial" w:ascii="Carlito" w:hAnsi="Carlito"/>
          <w:i w:val="false"/>
          <w:iCs/>
          <w:color w:val="000000"/>
          <w:kern w:val="0"/>
          <w:sz w:val="24"/>
          <w:szCs w:val="24"/>
          <w:lang w:val="pt-BR" w:eastAsia="pt-BR" w:bidi="ar-SA"/>
        </w:rPr>
        <w:t>Para fins de liquidação, o setor competente deve verificar se a Nota Fiscal ou Fatura apresentada expressa os elementos necessários e essenciais do documento, tais como:</w:t>
      </w:r>
    </w:p>
    <w:p>
      <w:pPr>
        <w:pStyle w:val="ListParagraph"/>
        <w:widowControl/>
        <w:numPr>
          <w:ilvl w:val="2"/>
          <w:numId w:val="2"/>
        </w:numPr>
        <w:suppressAutoHyphens w:val="true"/>
        <w:bidi w:val="0"/>
        <w:spacing w:before="120" w:after="120"/>
        <w:ind w:left="0" w:right="0" w:firstLine="1134"/>
        <w:contextualSpacing/>
        <w:jc w:val="both"/>
        <w:rPr>
          <w:rFonts w:ascii="Carlito" w:hAnsi="Carlito" w:cs="Arial"/>
          <w:sz w:val="24"/>
          <w:szCs w:val="24"/>
        </w:rPr>
      </w:pPr>
      <w:r>
        <w:rPr>
          <w:rFonts w:cs="Arial" w:ascii="Carlito" w:hAnsi="Carlito"/>
          <w:sz w:val="24"/>
          <w:szCs w:val="24"/>
        </w:rPr>
        <w:t>o prazo de validade;</w:t>
      </w:r>
    </w:p>
    <w:p>
      <w:pPr>
        <w:pStyle w:val="ListParagraph"/>
        <w:widowControl/>
        <w:numPr>
          <w:ilvl w:val="2"/>
          <w:numId w:val="2"/>
        </w:numPr>
        <w:suppressAutoHyphens w:val="true"/>
        <w:bidi w:val="0"/>
        <w:spacing w:before="120" w:after="120"/>
        <w:ind w:left="0" w:right="0" w:firstLine="1134"/>
        <w:contextualSpacing/>
        <w:jc w:val="both"/>
        <w:rPr>
          <w:rFonts w:ascii="Carlito" w:hAnsi="Carlito" w:cs="Arial"/>
          <w:sz w:val="24"/>
          <w:szCs w:val="24"/>
        </w:rPr>
      </w:pPr>
      <w:r>
        <w:rPr>
          <w:rFonts w:cs="Arial" w:ascii="Carlito" w:hAnsi="Carlito"/>
          <w:sz w:val="24"/>
          <w:szCs w:val="24"/>
        </w:rPr>
        <w:t>a data da emissão;</w:t>
      </w:r>
    </w:p>
    <w:p>
      <w:pPr>
        <w:pStyle w:val="ListParagraph"/>
        <w:widowControl/>
        <w:numPr>
          <w:ilvl w:val="2"/>
          <w:numId w:val="2"/>
        </w:numPr>
        <w:suppressAutoHyphens w:val="true"/>
        <w:bidi w:val="0"/>
        <w:spacing w:before="120" w:after="120"/>
        <w:ind w:left="0" w:right="0" w:firstLine="1134"/>
        <w:contextualSpacing/>
        <w:jc w:val="both"/>
        <w:rPr>
          <w:rFonts w:ascii="Carlito" w:hAnsi="Carlito" w:cs="Arial"/>
          <w:sz w:val="24"/>
          <w:szCs w:val="24"/>
        </w:rPr>
      </w:pPr>
      <w:r>
        <w:rPr>
          <w:rFonts w:cs="Arial" w:ascii="Carlito" w:hAnsi="Carlito"/>
          <w:sz w:val="24"/>
          <w:szCs w:val="24"/>
        </w:rPr>
        <w:t>os dados do contrato e do órgão contratante;</w:t>
      </w:r>
    </w:p>
    <w:p>
      <w:pPr>
        <w:pStyle w:val="ListParagraph"/>
        <w:widowControl/>
        <w:numPr>
          <w:ilvl w:val="2"/>
          <w:numId w:val="2"/>
        </w:numPr>
        <w:suppressAutoHyphens w:val="true"/>
        <w:bidi w:val="0"/>
        <w:spacing w:before="120" w:after="120"/>
        <w:ind w:left="0" w:right="0" w:firstLine="1134"/>
        <w:contextualSpacing/>
        <w:jc w:val="both"/>
        <w:rPr>
          <w:rFonts w:ascii="Carlito" w:hAnsi="Carlito" w:cs="Arial"/>
          <w:sz w:val="24"/>
          <w:szCs w:val="24"/>
        </w:rPr>
      </w:pPr>
      <w:r>
        <w:rPr>
          <w:rFonts w:cs="Arial" w:ascii="Carlito" w:hAnsi="Carlito"/>
          <w:sz w:val="24"/>
          <w:szCs w:val="24"/>
        </w:rPr>
        <w:t>o período respectivo de execução do contrato;</w:t>
      </w:r>
    </w:p>
    <w:p>
      <w:pPr>
        <w:pStyle w:val="ListParagraph"/>
        <w:widowControl/>
        <w:numPr>
          <w:ilvl w:val="2"/>
          <w:numId w:val="2"/>
        </w:numPr>
        <w:suppressAutoHyphens w:val="true"/>
        <w:bidi w:val="0"/>
        <w:spacing w:before="120" w:after="120"/>
        <w:ind w:left="0" w:right="0" w:firstLine="1134"/>
        <w:contextualSpacing/>
        <w:jc w:val="both"/>
        <w:rPr>
          <w:rFonts w:ascii="Carlito" w:hAnsi="Carlito" w:cs="Arial"/>
          <w:sz w:val="24"/>
          <w:szCs w:val="24"/>
        </w:rPr>
      </w:pPr>
      <w:r>
        <w:rPr>
          <w:rFonts w:cs="Arial" w:ascii="Carlito" w:hAnsi="Carlito"/>
          <w:sz w:val="24"/>
          <w:szCs w:val="24"/>
        </w:rPr>
        <w:t>o valor a pagar; e</w:t>
      </w:r>
    </w:p>
    <w:p>
      <w:pPr>
        <w:pStyle w:val="ListParagraph"/>
        <w:widowControl/>
        <w:numPr>
          <w:ilvl w:val="2"/>
          <w:numId w:val="2"/>
        </w:numPr>
        <w:suppressAutoHyphens w:val="true"/>
        <w:bidi w:val="0"/>
        <w:spacing w:before="120" w:after="120"/>
        <w:ind w:left="0" w:right="0" w:firstLine="1134"/>
        <w:contextualSpacing/>
        <w:jc w:val="both"/>
        <w:rPr>
          <w:rFonts w:ascii="Carlito" w:hAnsi="Carlito" w:cs="Arial"/>
          <w:sz w:val="24"/>
          <w:szCs w:val="24"/>
        </w:rPr>
      </w:pPr>
      <w:r>
        <w:rPr>
          <w:rFonts w:cs="Arial" w:ascii="Carlito" w:hAnsi="Carlito"/>
          <w:sz w:val="24"/>
          <w:szCs w:val="24"/>
        </w:rPr>
        <w:t>eventual destaque do valor de retenções tributárias cabíveis.</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 Administração deverá realizar consulta ao SICAF para:</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verificar a manutenção das condições de habilitação exigidas;</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bookmarkStart w:id="3" w:name="_Int_T4XqlsQA"/>
      <w:r>
        <w:rPr>
          <w:rFonts w:ascii="Carlito" w:hAnsi="Carlito"/>
          <w:sz w:val="24"/>
          <w:szCs w:val="24"/>
        </w:rPr>
        <w:t>.</w:t>
      </w:r>
      <w:bookmarkEnd w:id="3"/>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Persistindo a irregularidade, o Contratante deverá adotar as medidas necessárias à rescisão contratual nos autos do processo administrativo correspondente, assegurada ao Contratado a ampla defesa.</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Havendo a efetiva execução do objeto, os pagamentos serão realizados normalmente, até que se decida pela rescisão do contrato, caso o Contratado não regularize sua situação junto ao SICAF</w:t>
      </w:r>
    </w:p>
    <w:p>
      <w:pPr>
        <w:pStyle w:val="Nvel02"/>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r>
    </w:p>
    <w:p>
      <w:pPr>
        <w:pStyle w:val="Nvel1SemNumerao"/>
        <w:numPr>
          <w:ilvl w:val="0"/>
          <w:numId w:val="0"/>
        </w:numPr>
        <w:shd w:val="clear" w:fill="FFFFFF"/>
        <w:ind w:left="720" w:right="0" w:hanging="0"/>
        <w:rPr/>
      </w:pPr>
      <w:r>
        <w:rPr>
          <w:rFonts w:ascii="Carlito" w:hAnsi="Carlito"/>
          <w:sz w:val="24"/>
          <w:szCs w:val="24"/>
        </w:rPr>
        <w:t xml:space="preserve">Prazo de </w:t>
      </w:r>
      <w:r>
        <w:rPr>
          <w:rFonts w:eastAsia="Arial" w:cs="Arial" w:ascii="Carlito" w:hAnsi="Carlito"/>
          <w:b w:val="false"/>
          <w:bCs w:val="false"/>
          <w:i w:val="false"/>
          <w:iCs w:val="false"/>
          <w:color w:val="auto"/>
          <w:kern w:val="0"/>
          <w:sz w:val="24"/>
          <w:szCs w:val="24"/>
          <w:lang w:val="pt-BR" w:eastAsia="en-US" w:bidi="ar-SA"/>
        </w:rPr>
        <w:t>pagamento</w:t>
      </w:r>
    </w:p>
    <w:p>
      <w:pPr>
        <w:pStyle w:val="Nvel02"/>
        <w:widowControl/>
        <w:numPr>
          <w:ilvl w:val="1"/>
          <w:numId w:val="2"/>
        </w:numPr>
        <w:shd w:val="clear" w:fill="FFFFFF"/>
        <w:suppressAutoHyphens w:val="true"/>
        <w:bidi w:val="0"/>
        <w:spacing w:lineRule="auto" w:line="276" w:before="0" w:after="0"/>
        <w:ind w:left="0" w:right="0" w:firstLine="51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pagamento será efetuado no prazo máximo de até dez dias úteis, contados da finalização da liquidação da despesa, conforme seção anterior, nos termos da Instrução Normativa SEGES/ME nº 77, de 2022.</w:t>
      </w:r>
    </w:p>
    <w:p>
      <w:pPr>
        <w:pStyle w:val="Nvel02"/>
        <w:widowControl/>
        <w:numPr>
          <w:ilvl w:val="1"/>
          <w:numId w:val="2"/>
        </w:numPr>
        <w:shd w:val="clear" w:fill="FFFFFF"/>
        <w:suppressAutoHyphens w:val="true"/>
        <w:bidi w:val="0"/>
        <w:spacing w:lineRule="auto" w:line="276" w:before="0" w:after="0"/>
        <w:ind w:left="0" w:right="0" w:firstLine="51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No caso de atraso pelo Contratante, os valores devidos ao Contratado serão atualizados monetariamente entre o termo final do prazo de pagamento até a data de sua efetiva realização, mediante aplicação do índice 10% de correção monetária.</w:t>
      </w:r>
    </w:p>
    <w:p>
      <w:pPr>
        <w:pStyle w:val="Nvel02"/>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r>
    </w:p>
    <w:p>
      <w:pPr>
        <w:pStyle w:val="Nvel1SemNumerao"/>
        <w:numPr>
          <w:ilvl w:val="0"/>
          <w:numId w:val="0"/>
        </w:numPr>
        <w:shd w:val="clear" w:fill="FFFFFF"/>
        <w:ind w:left="720" w:right="0" w:hanging="0"/>
        <w:rPr/>
      </w:pPr>
      <w:r>
        <w:rPr>
          <w:rFonts w:ascii="Carlito" w:hAnsi="Carlito"/>
          <w:sz w:val="24"/>
          <w:szCs w:val="24"/>
        </w:rPr>
        <w:t xml:space="preserve">Forma de </w:t>
      </w:r>
      <w:r>
        <w:rPr>
          <w:rFonts w:eastAsia="Arial" w:cs="Arial" w:ascii="Carlito" w:hAnsi="Carlito"/>
          <w:b w:val="false"/>
          <w:bCs w:val="false"/>
          <w:i w:val="false"/>
          <w:iCs w:val="false"/>
          <w:color w:val="auto"/>
          <w:kern w:val="0"/>
          <w:sz w:val="24"/>
          <w:szCs w:val="24"/>
          <w:lang w:val="pt-BR" w:eastAsia="en-US" w:bidi="ar-SA"/>
        </w:rPr>
        <w:t>pagamento</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ascii="Carlito" w:hAnsi="Carlito"/>
          <w:sz w:val="24"/>
          <w:szCs w:val="24"/>
        </w:rPr>
        <w:t>O pagamento será realizado por meio de ordem bancária, para crédito em banco, agência e conta corrente indicados pelo Contratado.</w:t>
      </w:r>
    </w:p>
    <w:p>
      <w:pPr>
        <w:pStyle w:val="Nvel02"/>
        <w:widowControl/>
        <w:numPr>
          <w:ilvl w:val="1"/>
          <w:numId w:val="2"/>
        </w:numPr>
        <w:shd w:val="clear" w:fill="FFFFFF"/>
        <w:suppressAutoHyphens w:val="true"/>
        <w:bidi w:val="0"/>
        <w:spacing w:lineRule="auto" w:line="276" w:before="0" w:after="0"/>
        <w:ind w:left="-57" w:right="0" w:firstLine="62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Será considerada data do pagamento o dia em que constar como emitida a ordem bancária para pagamento.</w:t>
      </w:r>
    </w:p>
    <w:p>
      <w:pPr>
        <w:pStyle w:val="Nvel02"/>
        <w:widowControl/>
        <w:numPr>
          <w:ilvl w:val="1"/>
          <w:numId w:val="2"/>
        </w:numPr>
        <w:shd w:val="clear" w:fill="FFFFFF"/>
        <w:suppressAutoHyphens w:val="true"/>
        <w:bidi w:val="0"/>
        <w:spacing w:lineRule="auto" w:line="276" w:before="0" w:after="0"/>
        <w:ind w:left="-57" w:right="0" w:firstLine="62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Quando do pagamento, será efetuada a retenção tributária prevista na legislação aplicável.</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rPr>
      </w:pPr>
      <w:r>
        <w:rPr>
          <w:rFonts w:ascii="Carlito" w:hAnsi="Carlito"/>
          <w:sz w:val="24"/>
          <w:szCs w:val="24"/>
        </w:rPr>
        <w:t>Independentemente</w:t>
      </w:r>
      <w:r>
        <w:rPr>
          <w:rFonts w:ascii="Carlito" w:hAnsi="Carlito"/>
          <w:sz w:val="24"/>
          <w:szCs w:val="24"/>
          <w:lang w:eastAsia="en-US"/>
        </w:rPr>
        <w:t xml:space="preserve"> do percentual de tributo inserido na planilha, quando houver, serão retidos na fonte, quando da realização do pagamento, os percentuais estabelecidos na legislação vigente.</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ascii="Carlito" w:hAnsi="Carli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shd w:val="clear" w:fill="FFFFFF"/>
        <w:ind w:left="1080" w:right="0" w:hanging="0"/>
        <w:jc w:val="both"/>
        <w:rPr>
          <w:rFonts w:ascii="Carlito" w:hAnsi="Carlito"/>
          <w:sz w:val="24"/>
          <w:szCs w:val="24"/>
          <w:highlight w:val="yellow"/>
        </w:rPr>
      </w:pPr>
      <w:r>
        <w:rPr>
          <w:rFonts w:ascii="Carlito" w:hAnsi="Carlito"/>
          <w:sz w:val="24"/>
          <w:szCs w:val="24"/>
          <w:highlight w:val="yellow"/>
        </w:rPr>
      </w:r>
    </w:p>
    <w:p>
      <w:pPr>
        <w:pStyle w:val="Nvel1SemNumerao"/>
        <w:numPr>
          <w:ilvl w:val="0"/>
          <w:numId w:val="0"/>
        </w:numPr>
        <w:shd w:val="clear" w:fill="FFFFFF"/>
        <w:ind w:left="720" w:right="0" w:hanging="0"/>
        <w:rPr/>
      </w:pPr>
      <w:r>
        <w:rPr>
          <w:rFonts w:ascii="Carlito" w:hAnsi="Carlito"/>
          <w:sz w:val="24"/>
          <w:szCs w:val="24"/>
        </w:rPr>
        <w:t xml:space="preserve">Cessão de </w:t>
      </w:r>
      <w:r>
        <w:rPr>
          <w:rFonts w:eastAsia="Arial" w:cs="Arial" w:ascii="Carlito" w:hAnsi="Carlito"/>
          <w:b w:val="false"/>
          <w:bCs w:val="false"/>
          <w:i w:val="false"/>
          <w:iCs w:val="false"/>
          <w:color w:val="auto"/>
          <w:kern w:val="0"/>
          <w:sz w:val="24"/>
          <w:szCs w:val="24"/>
          <w:lang w:val="pt-BR" w:eastAsia="en-US" w:bidi="ar-SA"/>
        </w:rPr>
        <w:t>Crédito</w:t>
      </w:r>
    </w:p>
    <w:p>
      <w:pPr>
        <w:pStyle w:val="Nvel02"/>
        <w:widowControl/>
        <w:numPr>
          <w:ilvl w:val="1"/>
          <w:numId w:val="2"/>
        </w:numPr>
        <w:shd w:val="clear" w:fill="FFFFFF"/>
        <w:suppressAutoHyphens w:val="true"/>
        <w:bidi w:val="0"/>
        <w:spacing w:lineRule="auto" w:line="276" w:before="0" w:after="0"/>
        <w:ind w:left="1077" w:right="0" w:hanging="510"/>
        <w:jc w:val="both"/>
        <w:rPr/>
      </w:pPr>
      <w:r>
        <w:rPr>
          <w:rFonts w:ascii="Carlito" w:hAnsi="Carlito"/>
          <w:sz w:val="24"/>
          <w:szCs w:val="24"/>
          <w:lang w:eastAsia="en-US"/>
        </w:rPr>
        <w:t>As cessões de crédito dependerão de prévia aprovação do Contratante.</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lang w:eastAsia="en-US"/>
        </w:rPr>
      </w:pPr>
      <w:r>
        <w:rPr>
          <w:rFonts w:ascii="Carlito" w:hAnsi="Carlito"/>
          <w:sz w:val="24"/>
          <w:szCs w:val="24"/>
          <w:lang w:eastAsia="en-US"/>
        </w:rPr>
        <w:t>A eficácia da cessão de crédito, em relação à Administração, está condicionada à celebração de termo aditivo ao contrato administrativo.</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lang w:eastAsia="en-US"/>
        </w:rPr>
      </w:pPr>
      <w:r>
        <w:rPr>
          <w:rFonts w:ascii="Carlito" w:hAnsi="Carlito"/>
          <w:sz w:val="24"/>
          <w:szCs w:val="24"/>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lang w:eastAsia="en-US"/>
        </w:rPr>
      </w:pPr>
      <w:r>
        <w:rPr>
          <w:rFonts w:ascii="Carlito" w:hAnsi="Carlito"/>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pPr>
        <w:pStyle w:val="Nivel3"/>
        <w:widowControl/>
        <w:numPr>
          <w:ilvl w:val="1"/>
          <w:numId w:val="2"/>
        </w:numPr>
        <w:suppressAutoHyphens w:val="true"/>
        <w:bidi w:val="0"/>
        <w:spacing w:lineRule="auto" w:line="276" w:before="120" w:after="120"/>
        <w:ind w:left="0" w:right="0" w:firstLine="567"/>
        <w:jc w:val="both"/>
        <w:rPr>
          <w:rFonts w:ascii="Carlito" w:hAnsi="Carlito"/>
          <w:sz w:val="24"/>
          <w:szCs w:val="24"/>
          <w:lang w:eastAsia="en-US"/>
        </w:rPr>
      </w:pPr>
      <w:r>
        <w:rPr>
          <w:rFonts w:ascii="Carlito" w:hAnsi="Carlito"/>
          <w:sz w:val="24"/>
          <w:szCs w:val="24"/>
          <w:lang w:eastAsia="en-US"/>
        </w:rPr>
        <w:t>A cessão de crédito não afetará a execução do objeto contratado, que continuará sob a integral responsabilidade do Contratado.</w:t>
      </w:r>
    </w:p>
    <w:p>
      <w:pPr>
        <w:pStyle w:val="Nvel02"/>
        <w:widowControl/>
        <w:numPr>
          <w:ilvl w:val="1"/>
          <w:numId w:val="2"/>
        </w:numPr>
        <w:shd w:val="clear" w:fill="FFFFFF"/>
        <w:suppressAutoHyphens w:val="true"/>
        <w:bidi w:val="0"/>
        <w:spacing w:lineRule="auto" w:line="276" w:before="0" w:after="0"/>
        <w:ind w:left="0" w:right="0" w:firstLine="510"/>
        <w:jc w:val="both"/>
        <w:rPr/>
      </w:pPr>
      <w:r>
        <w:rPr>
          <w:rFonts w:ascii="Carlito" w:hAnsi="Carlito"/>
          <w:sz w:val="24"/>
          <w:szCs w:val="24"/>
          <w:lang w:eastAsia="en-US"/>
        </w:rPr>
        <w:t>O disposto nesta seção não afeta as operações de crédito de que trata a Instrução Normativa SEGES/MGI nº 82, de 21 de fevereiro de 2025, as quais ficam por esta regidas.</w:t>
      </w:r>
    </w:p>
    <w:p>
      <w:pPr>
        <w:pStyle w:val="Nvel1SemNumerao"/>
        <w:numPr>
          <w:ilvl w:val="0"/>
          <w:numId w:val="0"/>
        </w:numPr>
        <w:shd w:val="clear" w:fill="FFFFFF"/>
        <w:ind w:left="1800" w:right="0" w:hanging="0"/>
        <w:jc w:val="both"/>
        <w:rPr>
          <w:rFonts w:ascii="Carlito" w:hAnsi="Carlito"/>
          <w:sz w:val="24"/>
          <w:szCs w:val="24"/>
          <w:highlight w:val="lightGray"/>
        </w:rPr>
      </w:pPr>
      <w:r>
        <w:rPr>
          <w:rFonts w:ascii="Carlito" w:hAnsi="Carlito"/>
          <w:sz w:val="24"/>
          <w:szCs w:val="24"/>
          <w:highlight w:val="lightGray"/>
        </w:rPr>
      </w:r>
    </w:p>
    <w:p>
      <w:pPr>
        <w:pStyle w:val="Nivel01"/>
        <w:widowControl/>
        <w:numPr>
          <w:ilvl w:val="0"/>
          <w:numId w:val="2"/>
        </w:numPr>
        <w:shd w:val="clear" w:fill="FFFFFF"/>
        <w:suppressAutoHyphens w:val="true"/>
        <w:bidi w:val="0"/>
        <w:spacing w:lineRule="auto" w:line="276" w:before="0" w:after="0"/>
        <w:ind w:left="0" w:right="0" w:hanging="0"/>
        <w:jc w:val="both"/>
        <w:rPr/>
      </w:pPr>
      <w:r>
        <w:rPr>
          <w:rFonts w:eastAsia="Arial" w:cs="Arial" w:ascii="Carlito" w:hAnsi="Carlito"/>
          <w:b/>
          <w:bCs/>
          <w:i w:val="false"/>
          <w:iCs/>
          <w:color w:val="000000"/>
          <w:kern w:val="0"/>
          <w:sz w:val="24"/>
          <w:szCs w:val="24"/>
          <w:lang w:val="pt-BR" w:eastAsia="pt-BR" w:bidi="ar-SA"/>
        </w:rPr>
        <w:t xml:space="preserve"> </w:t>
      </w:r>
      <w:r>
        <w:rPr>
          <w:rFonts w:eastAsia="Arial" w:cs="Arial" w:ascii="Carlito" w:hAnsi="Carlito"/>
          <w:b/>
          <w:bCs/>
          <w:i w:val="false"/>
          <w:iCs/>
          <w:color w:val="000000"/>
          <w:kern w:val="0"/>
          <w:sz w:val="24"/>
          <w:szCs w:val="24"/>
          <w:lang w:val="pt-BR" w:eastAsia="pt-BR" w:bidi="ar-SA"/>
        </w:rPr>
        <w:t>INFRAÇÕES</w:t>
      </w:r>
      <w:r>
        <w:rPr>
          <w:rFonts w:ascii="Carlito" w:hAnsi="Carlito"/>
          <w:sz w:val="24"/>
          <w:szCs w:val="24"/>
        </w:rPr>
        <w:t xml:space="preserve"> E SANÇÕES ADMINISTRATIVAS</w:t>
      </w:r>
    </w:p>
    <w:p>
      <w:pPr>
        <w:pStyle w:val="Nvel02"/>
        <w:widowControl/>
        <w:numPr>
          <w:ilvl w:val="1"/>
          <w:numId w:val="2"/>
        </w:numPr>
        <w:shd w:val="clear" w:fill="FFFFFF"/>
        <w:suppressAutoHyphens w:val="true"/>
        <w:bidi w:val="0"/>
        <w:spacing w:lineRule="auto" w:line="276" w:before="0" w:after="0"/>
        <w:ind w:left="57" w:right="0" w:firstLine="510"/>
        <w:jc w:val="both"/>
        <w:rPr/>
      </w:pPr>
      <w:r>
        <w:rPr>
          <w:rStyle w:val="Normaltextrun"/>
          <w:rFonts w:ascii="Carlito" w:hAnsi="Carlito"/>
          <w:color w:val="000000"/>
          <w:sz w:val="24"/>
          <w:szCs w:val="24"/>
        </w:rPr>
        <w:t xml:space="preserve">Comete </w:t>
      </w:r>
      <w:r>
        <w:rPr>
          <w:rFonts w:ascii="Carlito" w:hAnsi="Carlito"/>
          <w:sz w:val="24"/>
          <w:szCs w:val="24"/>
        </w:rPr>
        <w:t>infração</w:t>
      </w:r>
      <w:r>
        <w:rPr>
          <w:rStyle w:val="Normaltextrun"/>
          <w:rFonts w:ascii="Carlito" w:hAnsi="Carlito"/>
          <w:color w:val="000000"/>
          <w:sz w:val="24"/>
          <w:szCs w:val="24"/>
        </w:rPr>
        <w:t xml:space="preserve"> administrativa, nos termos da </w:t>
      </w:r>
      <w:r>
        <w:rPr>
          <w:rStyle w:val="Normaltextrun"/>
          <w:rFonts w:ascii="Carlito" w:hAnsi="Carlito"/>
          <w:sz w:val="24"/>
          <w:szCs w:val="24"/>
        </w:rPr>
        <w:t>Lei nº 14.133, de 2021</w:t>
      </w:r>
      <w:r>
        <w:rPr>
          <w:rStyle w:val="Normaltextrun"/>
          <w:rFonts w:ascii="Carlito" w:hAnsi="Carlito"/>
          <w:color w:val="000000"/>
          <w:sz w:val="24"/>
          <w:szCs w:val="24"/>
        </w:rPr>
        <w:t>, o Contratado que:</w:t>
      </w:r>
    </w:p>
    <w:p>
      <w:pPr>
        <w:pStyle w:val="Paragraph"/>
        <w:widowControl/>
        <w:numPr>
          <w:ilvl w:val="2"/>
          <w:numId w:val="2"/>
        </w:numPr>
        <w:suppressAutoHyphens w:val="true"/>
        <w:bidi w:val="0"/>
        <w:spacing w:lineRule="auto" w:line="276" w:before="120" w:after="0"/>
        <w:ind w:left="0" w:right="0" w:firstLine="1134"/>
        <w:jc w:val="both"/>
        <w:textAlignment w:val="baseline"/>
        <w:rPr/>
      </w:pPr>
      <w:r>
        <w:rPr>
          <w:rStyle w:val="Normaltextrun"/>
          <w:rFonts w:cs="Arial" w:ascii="Carlito" w:hAnsi="Carlito"/>
          <w:sz w:val="24"/>
          <w:szCs w:val="24"/>
        </w:rPr>
        <w:t xml:space="preserve">   </w:t>
      </w:r>
      <w:r>
        <w:rPr>
          <w:rStyle w:val="Normaltextrun"/>
          <w:rFonts w:cs="Arial" w:ascii="Carlito" w:hAnsi="Carlito"/>
          <w:sz w:val="24"/>
          <w:szCs w:val="24"/>
        </w:rPr>
        <w:t>der causa à inexecução parcial do contrato;</w:t>
      </w:r>
    </w:p>
    <w:p>
      <w:pPr>
        <w:pStyle w:val="Paragraph"/>
        <w:widowControl/>
        <w:numPr>
          <w:ilvl w:val="2"/>
          <w:numId w:val="2"/>
        </w:numPr>
        <w:suppressAutoHyphens w:val="true"/>
        <w:bidi w:val="0"/>
        <w:spacing w:lineRule="auto" w:line="276" w:before="120" w:after="0"/>
        <w:ind w:left="0" w:right="0" w:firstLine="1134"/>
        <w:jc w:val="both"/>
        <w:textAlignment w:val="baseline"/>
        <w:rPr/>
      </w:pPr>
      <w:r>
        <w:rPr>
          <w:rStyle w:val="Normaltextrun"/>
          <w:rFonts w:cs="Arial" w:ascii="Carlito" w:hAnsi="Carlito"/>
          <w:sz w:val="24"/>
          <w:szCs w:val="24"/>
        </w:rPr>
        <w:t xml:space="preserve">   </w:t>
      </w:r>
      <w:r>
        <w:rPr>
          <w:rStyle w:val="Normaltextrun"/>
          <w:rFonts w:cs="Arial" w:ascii="Carlito" w:hAnsi="Carlito"/>
          <w:sz w:val="24"/>
          <w:szCs w:val="24"/>
        </w:rPr>
        <w:t>der causa à inexecução parcial do contrato que cause grave dano à Administração ou ao funcionamento dos serviços públicos ou ao interesse coletivo;</w:t>
      </w:r>
    </w:p>
    <w:p>
      <w:pPr>
        <w:pStyle w:val="Paragraph"/>
        <w:widowControl/>
        <w:numPr>
          <w:ilvl w:val="2"/>
          <w:numId w:val="2"/>
        </w:numPr>
        <w:suppressAutoHyphens w:val="true"/>
        <w:bidi w:val="0"/>
        <w:spacing w:lineRule="auto" w:line="276" w:before="120" w:after="0"/>
        <w:ind w:left="0" w:right="0" w:firstLine="1134"/>
        <w:jc w:val="both"/>
        <w:textAlignment w:val="baseline"/>
        <w:rPr/>
      </w:pPr>
      <w:r>
        <w:rPr>
          <w:rStyle w:val="Normaltextrun"/>
          <w:rFonts w:cs="Arial" w:ascii="Carlito" w:hAnsi="Carlito"/>
          <w:sz w:val="24"/>
          <w:szCs w:val="24"/>
        </w:rPr>
        <w:t xml:space="preserve">   </w:t>
      </w:r>
      <w:r>
        <w:rPr>
          <w:rStyle w:val="Normaltextrun"/>
          <w:rFonts w:cs="Arial" w:ascii="Carlito" w:hAnsi="Carlito"/>
          <w:sz w:val="24"/>
          <w:szCs w:val="24"/>
        </w:rPr>
        <w:t>der causa à inexecução total do contrato;</w:t>
      </w:r>
    </w:p>
    <w:p>
      <w:pPr>
        <w:pStyle w:val="Paragraph"/>
        <w:widowControl/>
        <w:numPr>
          <w:ilvl w:val="2"/>
          <w:numId w:val="2"/>
        </w:numPr>
        <w:suppressAutoHyphens w:val="true"/>
        <w:bidi w:val="0"/>
        <w:spacing w:lineRule="auto" w:line="276" w:before="120" w:after="0"/>
        <w:ind w:left="0" w:right="0" w:firstLine="1134"/>
        <w:jc w:val="both"/>
        <w:textAlignment w:val="baseline"/>
        <w:rPr/>
      </w:pPr>
      <w:r>
        <w:rPr>
          <w:rStyle w:val="Normaltextrun"/>
          <w:rFonts w:cs="Arial" w:ascii="Carlito" w:hAnsi="Carlito"/>
          <w:sz w:val="24"/>
          <w:szCs w:val="24"/>
        </w:rPr>
        <w:t xml:space="preserve">   </w:t>
      </w:r>
      <w:r>
        <w:rPr>
          <w:rStyle w:val="Normaltextrun"/>
          <w:rFonts w:cs="Arial" w:ascii="Carlito" w:hAnsi="Carlito"/>
          <w:sz w:val="24"/>
          <w:szCs w:val="24"/>
        </w:rPr>
        <w:t>ensejar o retardamento da execução ou da entrega do objeto da contratação sem motivo justificado;</w:t>
      </w:r>
    </w:p>
    <w:p>
      <w:pPr>
        <w:pStyle w:val="Paragraph"/>
        <w:widowControl/>
        <w:numPr>
          <w:ilvl w:val="2"/>
          <w:numId w:val="2"/>
        </w:numPr>
        <w:suppressAutoHyphens w:val="true"/>
        <w:bidi w:val="0"/>
        <w:spacing w:lineRule="auto" w:line="276" w:before="120" w:after="0"/>
        <w:ind w:left="0" w:right="0" w:firstLine="1134"/>
        <w:jc w:val="both"/>
        <w:textAlignment w:val="baseline"/>
        <w:rPr/>
      </w:pPr>
      <w:r>
        <w:rPr>
          <w:rStyle w:val="Normaltextrun"/>
          <w:rFonts w:cs="Arial" w:ascii="Carlito" w:hAnsi="Carlito"/>
          <w:sz w:val="24"/>
          <w:szCs w:val="24"/>
        </w:rPr>
        <w:t xml:space="preserve">   </w:t>
      </w:r>
      <w:r>
        <w:rPr>
          <w:rStyle w:val="Normaltextrun"/>
          <w:rFonts w:cs="Arial" w:ascii="Carlito" w:hAnsi="Carlito"/>
          <w:sz w:val="24"/>
          <w:szCs w:val="24"/>
        </w:rPr>
        <w:t>apresentar documentação falsa ou prestar declaração falsa durante a execução do contrato;</w:t>
      </w:r>
    </w:p>
    <w:p>
      <w:pPr>
        <w:pStyle w:val="Paragraph"/>
        <w:widowControl/>
        <w:numPr>
          <w:ilvl w:val="2"/>
          <w:numId w:val="2"/>
        </w:numPr>
        <w:suppressAutoHyphens w:val="true"/>
        <w:bidi w:val="0"/>
        <w:spacing w:lineRule="auto" w:line="276" w:before="120" w:after="0"/>
        <w:ind w:left="0" w:right="0" w:firstLine="1134"/>
        <w:jc w:val="both"/>
        <w:textAlignment w:val="baseline"/>
        <w:rPr/>
      </w:pPr>
      <w:r>
        <w:rPr>
          <w:rStyle w:val="Normaltextrun"/>
          <w:rFonts w:cs="Arial" w:ascii="Carlito" w:hAnsi="Carlito"/>
          <w:sz w:val="24"/>
          <w:szCs w:val="24"/>
        </w:rPr>
        <w:t xml:space="preserve">   </w:t>
      </w:r>
      <w:r>
        <w:rPr>
          <w:rStyle w:val="Normaltextrun"/>
          <w:rFonts w:cs="Arial" w:ascii="Carlito" w:hAnsi="Carlito"/>
          <w:sz w:val="24"/>
          <w:szCs w:val="24"/>
        </w:rPr>
        <w:t>praticar ato fraudulento na execução do contrato;</w:t>
      </w:r>
    </w:p>
    <w:p>
      <w:pPr>
        <w:pStyle w:val="Paragraph"/>
        <w:widowControl/>
        <w:numPr>
          <w:ilvl w:val="2"/>
          <w:numId w:val="2"/>
        </w:numPr>
        <w:suppressAutoHyphens w:val="true"/>
        <w:bidi w:val="0"/>
        <w:spacing w:lineRule="auto" w:line="276" w:before="120" w:after="0"/>
        <w:ind w:left="0" w:right="0" w:firstLine="1134"/>
        <w:jc w:val="both"/>
        <w:textAlignment w:val="baseline"/>
        <w:rPr/>
      </w:pPr>
      <w:r>
        <w:rPr>
          <w:rStyle w:val="Normaltextrun"/>
          <w:rFonts w:cs="Arial" w:ascii="Carlito" w:hAnsi="Carlito"/>
          <w:sz w:val="24"/>
          <w:szCs w:val="24"/>
        </w:rPr>
        <w:t xml:space="preserve">   </w:t>
      </w:r>
      <w:r>
        <w:rPr>
          <w:rStyle w:val="Normaltextrun"/>
          <w:rFonts w:cs="Arial" w:ascii="Carlito" w:hAnsi="Carlito"/>
          <w:sz w:val="24"/>
          <w:szCs w:val="24"/>
        </w:rPr>
        <w:t>comportar-se de modo inidôneo ou cometer fraude de qualquer natureza;</w:t>
      </w:r>
    </w:p>
    <w:p>
      <w:pPr>
        <w:pStyle w:val="Paragraph"/>
        <w:widowControl/>
        <w:numPr>
          <w:ilvl w:val="2"/>
          <w:numId w:val="2"/>
        </w:numPr>
        <w:suppressAutoHyphens w:val="true"/>
        <w:bidi w:val="0"/>
        <w:spacing w:lineRule="auto" w:line="276" w:before="120" w:after="0"/>
        <w:ind w:left="0" w:right="0" w:firstLine="1134"/>
        <w:jc w:val="both"/>
        <w:textAlignment w:val="baseline"/>
        <w:rPr/>
      </w:pPr>
      <w:r>
        <w:rPr>
          <w:rStyle w:val="Normaltextrun"/>
          <w:rFonts w:cs="Arial" w:ascii="Carlito" w:hAnsi="Carlito"/>
          <w:sz w:val="24"/>
          <w:szCs w:val="24"/>
        </w:rPr>
        <w:t xml:space="preserve">   </w:t>
      </w:r>
      <w:r>
        <w:rPr>
          <w:rStyle w:val="Normaltextrun"/>
          <w:rFonts w:cs="Arial" w:ascii="Carlito" w:hAnsi="Carlito"/>
          <w:sz w:val="24"/>
          <w:szCs w:val="24"/>
        </w:rPr>
        <w:t>praticar ato lesivo previsto no art. 5º da Lei nº 12.846, de 1º de agosto de 2013.</w:t>
      </w:r>
    </w:p>
    <w:p>
      <w:pPr>
        <w:pStyle w:val="Paragraph"/>
        <w:widowControl/>
        <w:numPr>
          <w:ilvl w:val="0"/>
          <w:numId w:val="0"/>
        </w:numPr>
        <w:suppressAutoHyphens w:val="true"/>
        <w:bidi w:val="0"/>
        <w:spacing w:lineRule="auto" w:line="276" w:before="120" w:after="0"/>
        <w:ind w:left="1440" w:right="0" w:hanging="0"/>
        <w:jc w:val="both"/>
        <w:textAlignment w:val="baseline"/>
        <w:rPr>
          <w:rStyle w:val="Normaltextrun"/>
          <w:rFonts w:ascii="Carlito" w:hAnsi="Carlito" w:cs="Arial"/>
          <w:sz w:val="24"/>
          <w:szCs w:val="24"/>
        </w:rPr>
      </w:pPr>
      <w:r>
        <w:rPr>
          <w:rFonts w:cs="Arial" w:ascii="Carlito" w:hAnsi="Carlito"/>
          <w:sz w:val="24"/>
          <w:szCs w:val="24"/>
        </w:rPr>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Serão aplicadas ao Contratado que incorrer nas infrações acima descritas as seguintes sanções:</w:t>
      </w:r>
    </w:p>
    <w:p>
      <w:pPr>
        <w:pStyle w:val="Nivel3"/>
        <w:widowControl/>
        <w:numPr>
          <w:ilvl w:val="2"/>
          <w:numId w:val="2"/>
        </w:numPr>
        <w:suppressAutoHyphens w:val="true"/>
        <w:bidi w:val="0"/>
        <w:spacing w:lineRule="auto" w:line="276" w:before="120" w:after="120"/>
        <w:ind w:left="0" w:right="0" w:firstLine="1134"/>
        <w:jc w:val="both"/>
        <w:rPr/>
      </w:pPr>
      <w:r>
        <w:rPr>
          <w:rStyle w:val="Normaltextrun"/>
          <w:rFonts w:cs="Arial" w:ascii="Carlito" w:hAnsi="Carlito"/>
          <w:color w:val="000000"/>
          <w:sz w:val="24"/>
          <w:szCs w:val="24"/>
        </w:rPr>
        <w:t xml:space="preserve">   </w:t>
      </w:r>
      <w:r>
        <w:rPr>
          <w:rStyle w:val="Normaltextrun"/>
          <w:rFonts w:cs="Arial" w:ascii="Carlito" w:hAnsi="Carlito"/>
          <w:color w:val="000000"/>
          <w:sz w:val="24"/>
          <w:szCs w:val="24"/>
        </w:rPr>
        <w:t>Advertência, quando o Contratado der causa à inexecução parcial do contrato, sempre que não se justificar a imposição de penalidade mais grave;</w:t>
      </w:r>
    </w:p>
    <w:p>
      <w:pPr>
        <w:pStyle w:val="Nivel3"/>
        <w:widowControl/>
        <w:numPr>
          <w:ilvl w:val="2"/>
          <w:numId w:val="2"/>
        </w:numPr>
        <w:suppressAutoHyphens w:val="true"/>
        <w:bidi w:val="0"/>
        <w:spacing w:lineRule="auto" w:line="276" w:before="120" w:after="120"/>
        <w:ind w:left="0" w:right="0" w:firstLine="1134"/>
        <w:jc w:val="both"/>
        <w:rPr/>
      </w:pPr>
      <w:r>
        <w:rPr>
          <w:rStyle w:val="Normaltextrun"/>
          <w:rFonts w:cs="Arial" w:ascii="Carlito" w:hAnsi="Carlito"/>
          <w:color w:val="000000"/>
          <w:sz w:val="24"/>
          <w:szCs w:val="24"/>
        </w:rPr>
        <w:t xml:space="preserve">   </w:t>
      </w:r>
      <w:r>
        <w:rPr>
          <w:rStyle w:val="Normaltextrun"/>
          <w:rFonts w:cs="Arial" w:ascii="Carlito" w:hAnsi="Carlito"/>
          <w:color w:val="000000"/>
          <w:sz w:val="24"/>
          <w:szCs w:val="24"/>
        </w:rPr>
        <w:t>Impedimento de licitar e contratar, quando praticadas as condutas descritas nas alíneas “b”, “c” e “d” do subitem acima, sempre que não se justificar a imposição de penalidade mais grave;</w:t>
      </w:r>
    </w:p>
    <w:p>
      <w:pPr>
        <w:pStyle w:val="Nivel3"/>
        <w:widowControl/>
        <w:numPr>
          <w:ilvl w:val="2"/>
          <w:numId w:val="2"/>
        </w:numPr>
        <w:suppressAutoHyphens w:val="true"/>
        <w:bidi w:val="0"/>
        <w:spacing w:lineRule="auto" w:line="276" w:before="120" w:after="120"/>
        <w:ind w:left="0" w:right="0" w:firstLine="1134"/>
        <w:jc w:val="both"/>
        <w:rPr/>
      </w:pPr>
      <w:r>
        <w:rPr>
          <w:rStyle w:val="Normaltextrun"/>
          <w:rFonts w:cs="Arial" w:ascii="Carlito" w:hAnsi="Carlito"/>
          <w:color w:val="000000"/>
          <w:sz w:val="24"/>
          <w:szCs w:val="24"/>
        </w:rPr>
        <w:t xml:space="preserve">   </w:t>
      </w:r>
      <w:r>
        <w:rPr>
          <w:rStyle w:val="Normaltextrun"/>
          <w:rFonts w:cs="Arial" w:ascii="Carlito" w:hAnsi="Carlito"/>
          <w:color w:val="000000"/>
          <w:sz w:val="24"/>
          <w:szCs w:val="24"/>
        </w:rPr>
        <w:t>Declaração de inidoneidade para licitar e contratar, quando praticadas as condutas descritas nas alíneas “e”, “f”, “g” e “h” do subitem acima, bem como nas alíneas “b”, “c” e “d”, que justifiquem a imposição de penalidade mais grave.</w:t>
      </w:r>
    </w:p>
    <w:p>
      <w:pPr>
        <w:pStyle w:val="Nivel3"/>
        <w:widowControl/>
        <w:suppressAutoHyphens w:val="true"/>
        <w:bidi w:val="0"/>
        <w:spacing w:lineRule="auto" w:line="276" w:before="120" w:after="120"/>
        <w:ind w:left="0" w:right="0" w:hanging="0"/>
        <w:jc w:val="both"/>
        <w:rPr/>
      </w:pPr>
      <w:r>
        <w:rPr>
          <w:rStyle w:val="Normaltextrun"/>
          <w:rFonts w:eastAsia="Arial" w:cs="Arial" w:ascii="Carlito" w:hAnsi="Carlito"/>
          <w:b/>
          <w:i w:val="false"/>
          <w:iCs/>
          <w:color w:val="000000"/>
          <w:kern w:val="0"/>
          <w:sz w:val="24"/>
          <w:szCs w:val="24"/>
          <w:lang w:val="pt-BR" w:eastAsia="pt-BR" w:bidi="ar-SA"/>
        </w:rPr>
        <w:t>Multa:</w:t>
      </w:r>
    </w:p>
    <w:p>
      <w:pPr>
        <w:pStyle w:val="Nivel3"/>
        <w:widowControl/>
        <w:suppressAutoHyphens w:val="true"/>
        <w:bidi w:val="0"/>
        <w:spacing w:lineRule="auto" w:line="276" w:before="0" w:after="0"/>
        <w:ind w:left="0" w:right="0" w:hanging="0"/>
        <w:jc w:val="both"/>
        <w:rPr/>
      </w:pPr>
      <w:r>
        <w:rPr>
          <w:rFonts w:eastAsia="Arial" w:cs="Arial" w:ascii="Carlito" w:hAnsi="Carlito"/>
          <w:i w:val="false"/>
          <w:iCs/>
          <w:color w:val="000000"/>
          <w:kern w:val="0"/>
          <w:sz w:val="24"/>
          <w:szCs w:val="24"/>
          <w:lang w:val="pt-BR" w:eastAsia="pt-BR" w:bidi="ar-SA"/>
        </w:rPr>
        <w:t>A aplicação das sanções previstas neste Termo de Referência não exclui, em hipótese alguma, a obrigação de reparação integral do dano causado ao Contratante.</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Todas as sanções previstas neste Termo de Referência poderão ser aplicadas cumulativamente com a multa.</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Antes da aplicação da multa será facultada a defesa do interessado no prazo de 15 (quinze) dias úteis, contado da data de sua intimação.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Se a multa aplicada e as indenizações cabíveis forem superiores ao valor do pagamento eventualmente devido pelo Contratante ao Contratado, além da perda desse valor, a diferença será descontada da garantia prestada ou será cobrada judicialmente.</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 multa poderá ser recolhida administrativamente no prazo máximo de 60 (sessenta) dias, a contar da data do recebimento da comunicação enviada pela autoridade competente.</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pPr>
        <w:pStyle w:val="Nivel3"/>
        <w:widowControl/>
        <w:numPr>
          <w:ilvl w:val="1"/>
          <w:numId w:val="2"/>
        </w:numPr>
        <w:suppressAutoHyphens w:val="true"/>
        <w:bidi w:val="0"/>
        <w:spacing w:lineRule="auto" w:line="276" w:before="120" w:after="120"/>
        <w:ind w:left="0" w:right="0" w:firstLine="567"/>
        <w:jc w:val="both"/>
        <w:rPr/>
      </w:pPr>
      <w:r>
        <w:rPr>
          <w:rStyle w:val="Normaltextrun"/>
          <w:rFonts w:ascii="Carlito" w:hAnsi="Carlito"/>
          <w:sz w:val="24"/>
          <w:szCs w:val="24"/>
        </w:rPr>
        <w:t>Para a garantia da ampla defesa e contraditório, as notificações serão enviadas eletronicamente para os endereços de e-mail informados na proposta comercial, bem como os cadastrados pela empresa no SICAF.</w:t>
      </w:r>
    </w:p>
    <w:p>
      <w:pPr>
        <w:pStyle w:val="Nivel3"/>
        <w:widowControl/>
        <w:numPr>
          <w:ilvl w:val="1"/>
          <w:numId w:val="2"/>
        </w:numPr>
        <w:suppressAutoHyphens w:val="true"/>
        <w:bidi w:val="0"/>
        <w:spacing w:lineRule="auto" w:line="276" w:before="120" w:after="120"/>
        <w:ind w:left="0" w:right="0" w:firstLine="567"/>
        <w:jc w:val="both"/>
        <w:rPr/>
      </w:pPr>
      <w:r>
        <w:rPr>
          <w:rStyle w:val="Normaltextrun"/>
          <w:rFonts w:ascii="Carlito" w:hAnsi="Carlito"/>
          <w:sz w:val="24"/>
          <w:szCs w:val="24"/>
        </w:rPr>
        <w:t>Os endereços de e-mail informados na proposta comercial e/ou cadastrados no SICAF serão considerados de uso contínuo da empresa, não cabendo alegação de desconhecimento das comunicações a eles comprovadamente enviadas.</w:t>
      </w:r>
    </w:p>
    <w:p>
      <w:pPr>
        <w:pStyle w:val="Nvel02"/>
        <w:numPr>
          <w:ilvl w:val="1"/>
          <w:numId w:val="2"/>
        </w:numPr>
        <w:shd w:val="clear" w:fill="FFFFFF"/>
        <w:ind w:left="1080" w:right="0" w:hanging="360"/>
        <w:rPr/>
      </w:pPr>
      <w:r>
        <w:rPr>
          <w:rStyle w:val="Normaltextrun"/>
          <w:rFonts w:ascii="Carlito" w:hAnsi="Carlito"/>
          <w:color w:val="000000"/>
          <w:sz w:val="24"/>
          <w:szCs w:val="24"/>
        </w:rPr>
        <w:t xml:space="preserve">Na aplicação </w:t>
      </w:r>
      <w:r>
        <w:rPr>
          <w:rFonts w:ascii="Carlito" w:hAnsi="Carlito"/>
          <w:sz w:val="24"/>
          <w:szCs w:val="24"/>
        </w:rPr>
        <w:t>das</w:t>
      </w:r>
      <w:r>
        <w:rPr>
          <w:rStyle w:val="Normaltextrun"/>
          <w:rFonts w:ascii="Carlito" w:hAnsi="Carlito"/>
          <w:color w:val="000000"/>
          <w:sz w:val="24"/>
          <w:szCs w:val="24"/>
        </w:rPr>
        <w:t xml:space="preserve"> sanções serão considerados:</w:t>
      </w:r>
    </w:p>
    <w:p>
      <w:pPr>
        <w:pStyle w:val="Nivel3"/>
        <w:widowControl/>
        <w:numPr>
          <w:ilvl w:val="2"/>
          <w:numId w:val="2"/>
        </w:numPr>
        <w:suppressAutoHyphens w:val="true"/>
        <w:bidi w:val="0"/>
        <w:spacing w:lineRule="auto" w:line="276" w:before="120" w:after="120"/>
        <w:ind w:left="0" w:right="0" w:firstLine="1134"/>
        <w:jc w:val="both"/>
        <w:rPr/>
      </w:pPr>
      <w:r>
        <w:rPr>
          <w:rStyle w:val="Normaltextrun"/>
          <w:rFonts w:cs="Arial" w:ascii="Carlito" w:hAnsi="Carlito"/>
          <w:sz w:val="24"/>
          <w:szCs w:val="24"/>
        </w:rPr>
        <w:t>a natureza e a gravidade da infração cometida;</w:t>
      </w:r>
    </w:p>
    <w:p>
      <w:pPr>
        <w:pStyle w:val="Nivel3"/>
        <w:widowControl/>
        <w:numPr>
          <w:ilvl w:val="2"/>
          <w:numId w:val="2"/>
        </w:numPr>
        <w:suppressAutoHyphens w:val="true"/>
        <w:bidi w:val="0"/>
        <w:spacing w:lineRule="auto" w:line="276" w:before="120" w:after="120"/>
        <w:ind w:left="0" w:right="0" w:firstLine="1134"/>
        <w:jc w:val="both"/>
        <w:rPr/>
      </w:pPr>
      <w:r>
        <w:rPr>
          <w:rStyle w:val="Normaltextrun"/>
          <w:rFonts w:cs="Arial" w:ascii="Carlito" w:hAnsi="Carlito"/>
          <w:sz w:val="24"/>
          <w:szCs w:val="24"/>
        </w:rPr>
        <w:t>as peculiaridades do caso concreto;</w:t>
      </w:r>
    </w:p>
    <w:p>
      <w:pPr>
        <w:pStyle w:val="Nivel3"/>
        <w:widowControl/>
        <w:numPr>
          <w:ilvl w:val="2"/>
          <w:numId w:val="2"/>
        </w:numPr>
        <w:suppressAutoHyphens w:val="true"/>
        <w:bidi w:val="0"/>
        <w:spacing w:lineRule="auto" w:line="276" w:before="120" w:after="120"/>
        <w:ind w:left="0" w:right="0" w:firstLine="1134"/>
        <w:jc w:val="both"/>
        <w:rPr/>
      </w:pPr>
      <w:r>
        <w:rPr>
          <w:rStyle w:val="Normaltextrun"/>
          <w:rFonts w:cs="Arial" w:ascii="Carlito" w:hAnsi="Carlito"/>
          <w:sz w:val="24"/>
          <w:szCs w:val="24"/>
        </w:rPr>
        <w:t>as circunstâncias agravantes ou atenuantes;</w:t>
      </w:r>
    </w:p>
    <w:p>
      <w:pPr>
        <w:pStyle w:val="Nivel3"/>
        <w:widowControl/>
        <w:numPr>
          <w:ilvl w:val="2"/>
          <w:numId w:val="2"/>
        </w:numPr>
        <w:suppressAutoHyphens w:val="true"/>
        <w:bidi w:val="0"/>
        <w:spacing w:lineRule="auto" w:line="276" w:before="120" w:after="120"/>
        <w:ind w:left="0" w:right="0" w:firstLine="1134"/>
        <w:jc w:val="both"/>
        <w:rPr/>
      </w:pPr>
      <w:r>
        <w:rPr>
          <w:rStyle w:val="Normaltextrun"/>
          <w:rFonts w:cs="Arial" w:ascii="Carlito" w:hAnsi="Carlito"/>
          <w:sz w:val="24"/>
          <w:szCs w:val="24"/>
        </w:rPr>
        <w:t>os danos que dela provierem para o Contratante; e</w:t>
      </w:r>
    </w:p>
    <w:p>
      <w:pPr>
        <w:pStyle w:val="Nivel3"/>
        <w:widowControl/>
        <w:numPr>
          <w:ilvl w:val="2"/>
          <w:numId w:val="2"/>
        </w:numPr>
        <w:suppressAutoHyphens w:val="true"/>
        <w:bidi w:val="0"/>
        <w:spacing w:lineRule="auto" w:line="276" w:before="120" w:after="120"/>
        <w:ind w:left="0" w:right="0" w:firstLine="1134"/>
        <w:jc w:val="both"/>
        <w:rPr/>
      </w:pPr>
      <w:r>
        <w:rPr>
          <w:rStyle w:val="Normaltextrun"/>
          <w:rFonts w:cs="Arial" w:ascii="Carlito" w:hAnsi="Carlito"/>
          <w:sz w:val="24"/>
          <w:szCs w:val="24"/>
        </w:rPr>
        <w:t>a implantação ou o aperfeiçoamento de programa de integridade, conforme normas e orientações dos órgãos de controle.</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eastAsia="Arial" w:cs="Arial" w:ascii="Carlito" w:hAnsi="Carlito"/>
          <w:i w:val="false"/>
          <w:iCs/>
          <w:color w:val="000000"/>
          <w:kern w:val="0"/>
          <w:sz w:val="24"/>
          <w:szCs w:val="24"/>
          <w:lang w:val="pt-BR" w:eastAsia="pt-BR" w:bidi="ar-SA"/>
        </w:rPr>
        <w:t>O Contratante deverá, no prazo máximo de 15 (quinze) dias úteis, contado da data de aplicação da sanção, informar e manter atualizados os dados relativos às sanções por ela aplicadas, para fins de publicidade no Cadastro Nacional de Empresas Inidôneas e Suspensas</w:t>
      </w:r>
      <w:r>
        <w:rPr>
          <w:rStyle w:val="Normaltextrun"/>
          <w:rFonts w:ascii="Carlito" w:hAnsi="Carlito"/>
          <w:color w:val="000000"/>
          <w:sz w:val="24"/>
          <w:szCs w:val="24"/>
        </w:rPr>
        <w:t xml:space="preserve"> (CEIS) e no Cadastro Nacional de Empresas Punidas (CNEP), instituídos no âmbito do Poder Executivo Federal.</w:t>
      </w:r>
    </w:p>
    <w:p>
      <w:pPr>
        <w:pStyle w:val="Nivel3"/>
        <w:widowControl/>
        <w:numPr>
          <w:ilvl w:val="1"/>
          <w:numId w:val="2"/>
        </w:numPr>
        <w:suppressAutoHyphens w:val="true"/>
        <w:bidi w:val="0"/>
        <w:spacing w:lineRule="auto" w:line="276" w:before="120" w:after="120"/>
        <w:ind w:left="0" w:right="0" w:firstLine="510"/>
        <w:jc w:val="both"/>
        <w:rPr>
          <w:rFonts w:ascii="Carlito" w:hAnsi="Carlito" w:eastAsia="ＭＳ 明朝"/>
          <w:sz w:val="24"/>
          <w:szCs w:val="24"/>
        </w:rPr>
      </w:pPr>
      <w:r>
        <w:rPr>
          <w:rFonts w:eastAsia="ＭＳ 明朝" w:ascii="Carlito" w:hAnsi="Carlito"/>
          <w:sz w:val="24"/>
          <w:szCs w:val="24"/>
        </w:rPr>
        <w:t>As penalidades serão obrigatoriamente registradas no SICAF.</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As sanções de impedimento de licitar e contratar e declaração de inidoneidade para licitar ou contratar são passíveis de reabilitação na forma do art. 163 da Lei nº 14.133, de 2021.</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pPr>
        <w:pStyle w:val="Nvel02"/>
        <w:numPr>
          <w:ilvl w:val="0"/>
          <w:numId w:val="0"/>
        </w:numPr>
        <w:shd w:val="clear" w:fill="FFFFFF"/>
        <w:ind w:left="2633" w:right="0" w:hanging="0"/>
        <w:jc w:val="both"/>
        <w:rPr>
          <w:rFonts w:ascii="Carlito" w:hAnsi="Carlito"/>
          <w:sz w:val="24"/>
          <w:szCs w:val="24"/>
        </w:rPr>
      </w:pPr>
      <w:r>
        <w:rPr>
          <w:rFonts w:ascii="Carlito" w:hAnsi="Carlito"/>
          <w:sz w:val="24"/>
          <w:szCs w:val="24"/>
        </w:rPr>
      </w:r>
    </w:p>
    <w:p>
      <w:pPr>
        <w:pStyle w:val="Nivel01"/>
        <w:numPr>
          <w:ilvl w:val="0"/>
          <w:numId w:val="2"/>
        </w:numPr>
        <w:shd w:val="clear" w:fill="FFFFFF"/>
        <w:ind w:left="357" w:right="0" w:hanging="357"/>
        <w:jc w:val="both"/>
        <w:rPr>
          <w:rFonts w:ascii="Carlito" w:hAnsi="Carlito"/>
          <w:sz w:val="24"/>
          <w:szCs w:val="24"/>
        </w:rPr>
      </w:pPr>
      <w:r>
        <w:rPr>
          <w:rFonts w:ascii="Carlito" w:hAnsi="Carlito"/>
          <w:sz w:val="24"/>
          <w:szCs w:val="24"/>
        </w:rPr>
        <w:t>FORMA E CRITÉRIOS DE SELEÇÃO DO FORNECEDOR E REGIME DE EXECUÇÃO</w:t>
      </w:r>
    </w:p>
    <w:p>
      <w:pPr>
        <w:pStyle w:val="Nvel1SemNumerao"/>
        <w:numPr>
          <w:ilvl w:val="0"/>
          <w:numId w:val="0"/>
        </w:numPr>
        <w:shd w:val="clear" w:fill="FFFFFF"/>
        <w:ind w:left="720" w:right="0" w:hanging="0"/>
        <w:rPr/>
      </w:pPr>
      <w:r>
        <w:rPr>
          <w:rFonts w:ascii="Carlito" w:hAnsi="Carlito"/>
          <w:sz w:val="24"/>
          <w:szCs w:val="24"/>
        </w:rPr>
        <w:t xml:space="preserve">Forma de seleção e critério </w:t>
      </w:r>
      <w:r>
        <w:rPr>
          <w:rFonts w:eastAsia="Arial" w:cs="Arial" w:ascii="Carlito" w:hAnsi="Carlito"/>
          <w:b w:val="false"/>
          <w:bCs w:val="false"/>
          <w:i w:val="false"/>
          <w:iCs w:val="false"/>
          <w:color w:val="auto"/>
          <w:kern w:val="0"/>
          <w:sz w:val="24"/>
          <w:szCs w:val="24"/>
          <w:lang w:val="pt-BR" w:eastAsia="en-US" w:bidi="ar-SA"/>
        </w:rPr>
        <w:t>de</w:t>
      </w:r>
      <w:r>
        <w:rPr>
          <w:rFonts w:ascii="Carlito" w:hAnsi="Carlito"/>
          <w:sz w:val="24"/>
          <w:szCs w:val="24"/>
        </w:rPr>
        <w:t xml:space="preserve"> julgamento da proposta</w:t>
      </w:r>
    </w:p>
    <w:p>
      <w:pPr>
        <w:pStyle w:val="Nvel2Opcional1"/>
        <w:widowControl/>
        <w:numPr>
          <w:ilvl w:val="1"/>
          <w:numId w:val="2"/>
        </w:numPr>
        <w:shd w:val="clear" w:fill="FFFFFF"/>
        <w:tabs>
          <w:tab w:val="left" w:pos="735" w:leader="none"/>
          <w:tab w:val="left" w:pos="1140" w:leader="none"/>
        </w:tabs>
        <w:suppressAutoHyphens w:val="true"/>
        <w:bidi w:val="0"/>
        <w:spacing w:lineRule="auto" w:line="276" w:before="0" w:after="0"/>
        <w:ind w:left="0" w:right="0" w:firstLine="567"/>
        <w:jc w:val="both"/>
        <w:rPr>
          <w:rFonts w:ascii="Carlito" w:hAnsi="Carlito"/>
          <w:color w:val="000000"/>
          <w:sz w:val="24"/>
          <w:szCs w:val="24"/>
        </w:rPr>
      </w:pPr>
      <w:bookmarkStart w:id="4" w:name="_Hlk171371336"/>
      <w:bookmarkStart w:id="5" w:name="_Hlk171371350"/>
      <w:bookmarkEnd w:id="4"/>
      <w:bookmarkEnd w:id="5"/>
      <w:r>
        <w:rPr>
          <w:rFonts w:ascii="Carlito" w:hAnsi="Carlito"/>
          <w:color w:val="000000"/>
          <w:sz w:val="24"/>
          <w:szCs w:val="24"/>
        </w:rPr>
        <w:t xml:space="preserve">A presente contratação será realizada por meio de </w:t>
      </w:r>
      <w:r>
        <w:rPr>
          <w:rStyle w:val="Nfaseforte"/>
          <w:rFonts w:ascii="Carlito" w:hAnsi="Carlito"/>
          <w:color w:val="000000"/>
          <w:sz w:val="24"/>
          <w:szCs w:val="24"/>
        </w:rPr>
        <w:t>dispensa de licitação eletrônica</w:t>
      </w:r>
      <w:r>
        <w:rPr>
          <w:rFonts w:ascii="Carlito" w:hAnsi="Carlito"/>
          <w:color w:val="000000"/>
          <w:sz w:val="24"/>
          <w:szCs w:val="24"/>
        </w:rPr>
        <w:t xml:space="preserve">, nos termos do </w:t>
      </w:r>
      <w:r>
        <w:rPr>
          <w:rStyle w:val="Nfaseforte"/>
          <w:rFonts w:ascii="Carlito" w:hAnsi="Carlito"/>
          <w:color w:val="000000"/>
          <w:sz w:val="24"/>
          <w:szCs w:val="24"/>
        </w:rPr>
        <w:t>art. 75, inciso II da Lei nº 14.133/2021</w:t>
      </w:r>
      <w:r>
        <w:rPr>
          <w:rFonts w:ascii="Carlito" w:hAnsi="Carlito"/>
          <w:color w:val="000000"/>
          <w:sz w:val="24"/>
          <w:szCs w:val="24"/>
        </w:rPr>
        <w:t xml:space="preserve">, com julgamento pelo critério de </w:t>
      </w:r>
      <w:r>
        <w:rPr>
          <w:rStyle w:val="Nfaseforte"/>
          <w:rFonts w:ascii="Carlito" w:hAnsi="Carlito"/>
          <w:color w:val="000000"/>
          <w:sz w:val="24"/>
          <w:szCs w:val="24"/>
        </w:rPr>
        <w:t>menor preço</w:t>
      </w:r>
      <w:r>
        <w:rPr>
          <w:rFonts w:ascii="Carlito" w:hAnsi="Carlito"/>
          <w:color w:val="000000"/>
          <w:sz w:val="24"/>
          <w:szCs w:val="24"/>
        </w:rPr>
        <w:t>, conforme condições estabelecidas neste Termo de Referência e demais normas aplicáveis.</w:t>
      </w:r>
    </w:p>
    <w:p>
      <w:pPr>
        <w:pStyle w:val="Nvel2Opcional1"/>
        <w:numPr>
          <w:ilvl w:val="0"/>
          <w:numId w:val="0"/>
        </w:numPr>
        <w:shd w:val="clear" w:fill="FFFFFF"/>
        <w:ind w:left="1913" w:right="0" w:hanging="0"/>
        <w:jc w:val="both"/>
        <w:rPr>
          <w:rFonts w:ascii="Carlito" w:hAnsi="Carlito"/>
          <w:sz w:val="24"/>
          <w:szCs w:val="24"/>
          <w:highlight w:val="cyan"/>
        </w:rPr>
      </w:pPr>
      <w:r>
        <w:rPr>
          <w:rFonts w:ascii="Carlito" w:hAnsi="Carlito"/>
          <w:sz w:val="24"/>
          <w:szCs w:val="24"/>
          <w:highlight w:val="cyan"/>
        </w:rPr>
      </w:r>
      <w:bookmarkStart w:id="6" w:name="_Hlk190336520"/>
      <w:bookmarkStart w:id="7" w:name="_Hlk170893696"/>
      <w:bookmarkStart w:id="8" w:name="_Hlk190336520"/>
      <w:bookmarkStart w:id="9" w:name="_Hlk170893696"/>
      <w:bookmarkEnd w:id="8"/>
      <w:bookmarkEnd w:id="9"/>
    </w:p>
    <w:p>
      <w:pPr>
        <w:pStyle w:val="Nvel1SemNumerao"/>
        <w:numPr>
          <w:ilvl w:val="0"/>
          <w:numId w:val="0"/>
        </w:numPr>
        <w:shd w:val="clear" w:fill="FFFFFF"/>
        <w:ind w:left="720" w:right="0" w:hanging="0"/>
        <w:rPr/>
      </w:pPr>
      <w:r>
        <w:rPr>
          <w:rFonts w:ascii="Carlito" w:hAnsi="Carlito"/>
          <w:sz w:val="24"/>
          <w:szCs w:val="24"/>
        </w:rPr>
        <w:t xml:space="preserve">Exigências de </w:t>
      </w:r>
      <w:r>
        <w:rPr>
          <w:rFonts w:eastAsia="Arial" w:cs="Arial" w:ascii="Carlito" w:hAnsi="Carlito"/>
          <w:b w:val="false"/>
          <w:bCs w:val="false"/>
          <w:i w:val="false"/>
          <w:iCs w:val="false"/>
          <w:color w:val="auto"/>
          <w:kern w:val="0"/>
          <w:sz w:val="24"/>
          <w:szCs w:val="24"/>
          <w:lang w:val="pt-BR" w:eastAsia="en-US" w:bidi="ar-SA"/>
        </w:rPr>
        <w:t>habilitação</w:t>
      </w:r>
    </w:p>
    <w:p>
      <w:pPr>
        <w:pStyle w:val="Nvel02"/>
        <w:numPr>
          <w:ilvl w:val="1"/>
          <w:numId w:val="2"/>
        </w:numPr>
        <w:shd w:val="clear" w:fill="FFFFFF"/>
        <w:ind w:left="1080" w:right="0" w:hanging="360"/>
        <w:rPr/>
      </w:pPr>
      <w:r>
        <w:rPr>
          <w:rFonts w:ascii="Carlito" w:hAnsi="Carlito"/>
          <w:sz w:val="24"/>
          <w:szCs w:val="24"/>
        </w:rPr>
        <w:t>Para fins de habilitação, deverá o interessado comprovar os seguintes requisitos:</w:t>
      </w:r>
    </w:p>
    <w:p>
      <w:pPr>
        <w:pStyle w:val="Nvel02"/>
        <w:widowControl/>
        <w:numPr>
          <w:ilvl w:val="0"/>
          <w:numId w:val="0"/>
        </w:numPr>
        <w:shd w:val="clear" w:fill="FFFFFF"/>
        <w:suppressAutoHyphens w:val="true"/>
        <w:bidi w:val="0"/>
        <w:spacing w:lineRule="auto" w:line="276" w:before="0" w:after="0"/>
        <w:ind w:left="1080" w:right="0" w:hanging="0"/>
        <w:jc w:val="both"/>
        <w:rPr>
          <w:rFonts w:ascii="Carlito" w:hAnsi="Carlito"/>
          <w:sz w:val="24"/>
          <w:szCs w:val="24"/>
        </w:rPr>
      </w:pPr>
      <w:r>
        <w:rPr>
          <w:rFonts w:ascii="Carlito" w:hAnsi="Carlito"/>
          <w:sz w:val="24"/>
          <w:szCs w:val="24"/>
        </w:rPr>
      </w:r>
    </w:p>
    <w:p>
      <w:pPr>
        <w:pStyle w:val="Nvel1SemNumerao"/>
        <w:numPr>
          <w:ilvl w:val="0"/>
          <w:numId w:val="0"/>
        </w:numPr>
        <w:shd w:val="clear" w:fill="FFFFFF"/>
        <w:ind w:left="720" w:right="0" w:hanging="0"/>
        <w:rPr/>
      </w:pPr>
      <w:r>
        <w:rPr>
          <w:rFonts w:ascii="Carlito" w:hAnsi="Carlito"/>
          <w:sz w:val="24"/>
          <w:szCs w:val="24"/>
        </w:rPr>
        <w:t xml:space="preserve">Habilitação </w:t>
      </w:r>
      <w:r>
        <w:rPr>
          <w:rFonts w:eastAsia="Arial" w:cs="Arial" w:ascii="Carlito" w:hAnsi="Carlito"/>
          <w:b w:val="false"/>
          <w:bCs w:val="false"/>
          <w:i w:val="false"/>
          <w:iCs w:val="false"/>
          <w:color w:val="auto"/>
          <w:kern w:val="0"/>
          <w:sz w:val="24"/>
          <w:szCs w:val="24"/>
          <w:lang w:val="pt-BR" w:eastAsia="en-US" w:bidi="ar-SA"/>
        </w:rPr>
        <w:t>jurídica</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eastAsia="Arial" w:cs="Arial" w:ascii="Carlito" w:hAnsi="Carlito"/>
          <w:i w:val="false"/>
          <w:iCs/>
          <w:color w:val="000000"/>
          <w:kern w:val="0"/>
          <w:sz w:val="24"/>
          <w:szCs w:val="24"/>
          <w:lang w:val="pt-BR" w:eastAsia="pt-BR" w:bidi="ar-SA"/>
        </w:rPr>
        <w:t>P</w:t>
      </w:r>
      <w:bookmarkStart w:id="10" w:name="_Ref115800561"/>
      <w:r>
        <w:rPr>
          <w:rFonts w:eastAsia="Arial" w:cs="Arial" w:ascii="Carlito" w:hAnsi="Carlito"/>
          <w:i w:val="false"/>
          <w:iCs/>
          <w:color w:val="000000"/>
          <w:kern w:val="0"/>
          <w:sz w:val="24"/>
          <w:szCs w:val="24"/>
          <w:lang w:val="pt-BR" w:eastAsia="pt-BR" w:bidi="ar-SA"/>
        </w:rPr>
        <w:t>essoa física: cédula de identidade (RG) ou documento equivalente que, por força de lei, tenha validade para fins de identificação em todo o território nacional;</w:t>
      </w:r>
      <w:bookmarkEnd w:id="10"/>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Empresário individual: inscrição no Registro Público de Empresas Mercantis, a cargo da Junta Comercial da respectiva sede;</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Microempreendedor Individual - MEI: Certificado da Condição de Microempreendedor Individual - CCMEI, cuja aceitação ficará condicionada à verificação da autenticidade no sítio https://www.gov.br/empresas-e-negocios/pt-br/empreendedor;</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ascii="Carlito" w:hAnsi="Carli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ascii="Carlito" w:hAnsi="Carlito"/>
          <w:sz w:val="24"/>
          <w:szCs w:val="24"/>
        </w:rPr>
        <w:t>Sociedade simples: inscrição do ato constitutivo no Registro Civil de Pessoas Jurídicas do local de sua sede, acompanhada de documento comprobatório de seus administradores;</w:t>
      </w:r>
    </w:p>
    <w:p>
      <w:pPr>
        <w:pStyle w:val="Nvel02"/>
        <w:widowControl/>
        <w:numPr>
          <w:ilvl w:val="2"/>
          <w:numId w:val="2"/>
        </w:numPr>
        <w:shd w:val="clear" w:fill="FFFFFF"/>
        <w:suppressAutoHyphens w:val="true"/>
        <w:bidi w:val="0"/>
        <w:spacing w:lineRule="auto" w:line="276" w:before="0" w:after="0"/>
        <w:ind w:left="0" w:right="0" w:firstLine="1134"/>
        <w:jc w:val="both"/>
        <w:rPr/>
      </w:pPr>
      <w:r>
        <w:rPr>
          <w:rFonts w:ascii="Carlito" w:hAnsi="Carlito"/>
          <w:sz w:val="24"/>
          <w:szCs w:val="24"/>
        </w:rPr>
        <w:t xml:space="preserve"> </w:t>
      </w:r>
      <w:r>
        <w:rPr>
          <w:rFonts w:ascii="Carlito" w:hAnsi="Carli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 w:name="_Int_ySfCXwr4"/>
      <w:r>
        <w:rPr>
          <w:rFonts w:ascii="Carlito" w:hAnsi="Carlito"/>
          <w:sz w:val="24"/>
          <w:szCs w:val="24"/>
        </w:rPr>
        <w:t>Mercantis onde</w:t>
      </w:r>
      <w:bookmarkEnd w:id="11"/>
      <w:r>
        <w:rPr>
          <w:rFonts w:ascii="Carlito" w:hAnsi="Carlito"/>
          <w:sz w:val="24"/>
          <w:szCs w:val="24"/>
        </w:rPr>
        <w:t xml:space="preserve"> opera, com averbação no Registro onde tem sede a matriz;</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 xml:space="preserve"> </w:t>
      </w:r>
      <w:r>
        <w:rPr>
          <w:rFonts w:eastAsia="Arial" w:cs="Arial" w:ascii="Carlito" w:hAnsi="Carlito"/>
          <w:i w:val="false"/>
          <w:iCs/>
          <w:color w:val="000000"/>
          <w:kern w:val="0"/>
          <w:sz w:val="24"/>
          <w:szCs w:val="24"/>
          <w:lang w:val="pt-BR" w:eastAsia="pt-BR" w:bidi="ar-SA"/>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Os documentos apresentados deverão estar acompanhados de todas as alterações ou da consolidação respectiva.</w:t>
      </w:r>
    </w:p>
    <w:p>
      <w:pPr>
        <w:pStyle w:val="Nvel1SemNumerao"/>
        <w:widowControl/>
        <w:numPr>
          <w:ilvl w:val="0"/>
          <w:numId w:val="0"/>
        </w:numPr>
        <w:shd w:val="clear" w:fill="FFFFFF"/>
        <w:suppressAutoHyphens w:val="true"/>
        <w:bidi w:val="0"/>
        <w:spacing w:lineRule="auto" w:line="276" w:before="0" w:after="0"/>
        <w:ind w:left="720" w:right="0" w:hanging="0"/>
        <w:jc w:val="both"/>
        <w:rPr/>
      </w:pPr>
      <w:r>
        <w:rPr>
          <w:rFonts w:ascii="Carlito" w:hAnsi="Carlito"/>
          <w:sz w:val="24"/>
          <w:szCs w:val="24"/>
        </w:rPr>
        <w:t>Habilitação fiscal, social e trabalhista</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eastAsia="Arial" w:cs="Arial" w:ascii="Carlito" w:hAnsi="Carlito"/>
          <w:i w:val="false"/>
          <w:iCs/>
          <w:color w:val="000000"/>
          <w:kern w:val="0"/>
          <w:sz w:val="24"/>
          <w:szCs w:val="24"/>
          <w:lang w:val="pt-BR" w:eastAsia="pt-BR" w:bidi="ar-SA"/>
        </w:rPr>
        <w:t xml:space="preserve"> </w:t>
      </w:r>
      <w:r>
        <w:rPr>
          <w:rFonts w:eastAsia="Arial" w:cs="Arial" w:ascii="Carlito" w:hAnsi="Carlito"/>
          <w:i w:val="false"/>
          <w:iCs/>
          <w:color w:val="000000"/>
          <w:kern w:val="0"/>
          <w:sz w:val="24"/>
          <w:szCs w:val="24"/>
          <w:lang w:val="pt-BR" w:eastAsia="pt-BR" w:bidi="ar-SA"/>
        </w:rPr>
        <w:t>Prova de inscrição no Cadastro Nacional de Pessoas Jurídicas ou no Cadastro de Pessoas Físicas, conforme o caso;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 xml:space="preserve"> </w:t>
      </w:r>
      <w:r>
        <w:rPr>
          <w:rFonts w:eastAsia="Arial" w:cs="Arial" w:ascii="Carlito" w:hAnsi="Carlito"/>
          <w:i w:val="false"/>
          <w:iCs/>
          <w:color w:val="000000"/>
          <w:kern w:val="0"/>
          <w:sz w:val="24"/>
          <w:szCs w:val="24"/>
          <w:lang w:val="pt-BR" w:eastAsia="pt-BR" w:bidi="ar-SA"/>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Prova de regularidade com o Fundo de Garantia do Tempo de Serviço (FGTS);</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Prova de inscrição no cadastro de contribuintes Distrital ou Municipal relativo ao domicílio ou sede do fornecedor, pertinente ao seu ramo de atividade e compatível com o objeto contratual;</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Prova de regularidade com a Fazenda Distrital ou Municipal do domicílio ou sede do fornecedor, relativa à atividade em cujo exercício contrata ou concorre;</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Caso o fornecedor seja considerado isento dos tributos relacionados ao objeto contratual, deverá comprovar tal condição mediante a apresentação de declaração da Fazenda respectiva do seu domicílio ou sede, ou outra equivalente, na forma da lei.</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02"/>
        <w:widowControl/>
        <w:numPr>
          <w:ilvl w:val="0"/>
          <w:numId w:val="0"/>
        </w:numPr>
        <w:shd w:val="clear" w:fill="FFFFFF"/>
        <w:suppressAutoHyphens w:val="true"/>
        <w:bidi w:val="0"/>
        <w:spacing w:lineRule="auto" w:line="276" w:before="0" w:after="0"/>
        <w:ind w:left="1080" w:right="0" w:hanging="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r>
    </w:p>
    <w:p>
      <w:pPr>
        <w:pStyle w:val="Nvel1SemNumerao"/>
        <w:widowControl/>
        <w:numPr>
          <w:ilvl w:val="0"/>
          <w:numId w:val="0"/>
        </w:numPr>
        <w:shd w:val="clear" w:fill="FFFFFF"/>
        <w:suppressAutoHyphens w:val="true"/>
        <w:bidi w:val="0"/>
        <w:spacing w:lineRule="auto" w:line="276" w:before="0" w:after="0"/>
        <w:ind w:left="720" w:right="0" w:hanging="0"/>
        <w:jc w:val="both"/>
        <w:rPr/>
      </w:pPr>
      <w:r>
        <w:rPr>
          <w:rFonts w:ascii="Carlito" w:hAnsi="Carlito"/>
          <w:sz w:val="24"/>
          <w:szCs w:val="24"/>
        </w:rPr>
        <w:t>Qualificação Econômico-Financeira</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certidão negativa de insolvência civil expedida pelo distribuidor do domicílio ou sede do interessado, caso se trate de pessoa física, desde que admitida a sua participação na licitação/contratação, ou de sociedade simples;</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certidão negativa de falência expedida pelo distribuidor da sede do fornecedor;</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sz w:val="24"/>
          <w:szCs w:val="24"/>
        </w:rPr>
      </w:pPr>
      <w:bookmarkStart w:id="12" w:name="_Hlk170895502"/>
      <w:bookmarkEnd w:id="12"/>
      <w:r>
        <w:rPr>
          <w:rFonts w:eastAsia="Arial" w:cs="Arial" w:ascii="Carlito" w:hAnsi="Carlito"/>
          <w:i w:val="false"/>
          <w:iCs/>
          <w:color w:val="000000"/>
          <w:kern w:val="0"/>
          <w:sz w:val="24"/>
          <w:szCs w:val="24"/>
          <w:lang w:val="pt-BR" w:eastAsia="pt-BR" w:bidi="ar-SA"/>
        </w:rPr>
        <w:t xml:space="preserve">balanço patrimonial, demonstração de resultado de exercício e demais demonstrações contábeis dos dois últimos exercícios sociais, já exigíveis e apresentados na forma da lei, comprovando, índices de Liquidez Geral (LG), Liquidez Corrente (LC), e Solvência Geral (SG) superiores a 1 (um), obtidos por meio da aplicação das seguintes fórmulas: </w:t>
      </w:r>
    </w:p>
    <w:p>
      <w:pPr>
        <w:pStyle w:val="Nvel02"/>
        <w:widowControl/>
        <w:numPr>
          <w:ilvl w:val="0"/>
          <w:numId w:val="0"/>
        </w:numPr>
        <w:shd w:val="clear" w:fill="FFFFFF"/>
        <w:suppressAutoHyphens w:val="true"/>
        <w:bidi w:val="0"/>
        <w:spacing w:lineRule="auto" w:line="276" w:before="0" w:after="0"/>
        <w:ind w:left="0" w:right="0" w:firstLine="567"/>
        <w:jc w:val="both"/>
        <w:rPr>
          <w:rFonts w:eastAsia="Arial" w:cs="Arial"/>
          <w:i w:val="false"/>
          <w:i w:val="false"/>
          <w:iCs/>
          <w:color w:val="000000"/>
          <w:kern w:val="0"/>
          <w:lang w:val="pt-BR" w:eastAsia="pt-BR" w:bidi="ar-SA"/>
        </w:rPr>
      </w:pPr>
      <w:r>
        <w:rPr>
          <w:rFonts w:eastAsia="Arial" w:cs="Arial"/>
          <w:i w:val="false"/>
          <w:iCs/>
          <w:color w:val="000000"/>
          <w:kern w:val="0"/>
          <w:lang w:val="pt-BR" w:eastAsia="pt-BR" w:bidi="ar-SA"/>
        </w:rPr>
      </w:r>
    </w:p>
    <w:tbl>
      <w:tblPr>
        <w:tblStyle w:val="Tabelacomgrade"/>
        <w:tblW w:w="6487" w:type="dxa"/>
        <w:jc w:val="left"/>
        <w:tblInd w:w="1277" w:type="dxa"/>
        <w:tblLayout w:type="fixed"/>
        <w:tblCellMar>
          <w:top w:w="0" w:type="dxa"/>
          <w:left w:w="143" w:type="dxa"/>
          <w:bottom w:w="0" w:type="dxa"/>
          <w:right w:w="108" w:type="dxa"/>
        </w:tblCellMar>
        <w:tblLook w:val="04a0" w:noHBand="0" w:noVBand="1" w:firstColumn="1" w:lastRow="0" w:lastColumn="0" w:firstRow="1"/>
      </w:tblPr>
      <w:tblGrid>
        <w:gridCol w:w="2234"/>
        <w:gridCol w:w="4252"/>
      </w:tblGrid>
      <w:tr>
        <w:trPr/>
        <w:tc>
          <w:tcPr>
            <w:tcW w:w="2234" w:type="dxa"/>
            <w:vMerge w:val="restart"/>
            <w:tcBorders/>
            <w:shd w:fill="auto" w:val="clear"/>
            <w:vAlign w:val="center"/>
          </w:tcPr>
          <w:p>
            <w:pPr>
              <w:pStyle w:val="Nvel02"/>
              <w:widowControl w:val="false"/>
              <w:numPr>
                <w:ilvl w:val="0"/>
                <w:numId w:val="0"/>
              </w:numPr>
              <w:shd w:val="clear" w:fill="FFFFFF"/>
              <w:spacing w:before="120" w:after="120"/>
              <w:ind w:left="833" w:right="0" w:hanging="0"/>
              <w:rPr>
                <w:color w:val="000000"/>
              </w:rPr>
            </w:pPr>
            <w:r>
              <w:rPr>
                <w:color w:val="000000"/>
              </w:rPr>
              <w:t>LG =</w:t>
            </w:r>
          </w:p>
        </w:tc>
        <w:tc>
          <w:tcPr>
            <w:tcW w:w="4252" w:type="dxa"/>
            <w:tcBorders/>
            <w:shd w:fill="auto" w:val="clear"/>
            <w:vAlign w:val="bottom"/>
          </w:tcPr>
          <w:p>
            <w:pPr>
              <w:pStyle w:val="Nvel02"/>
              <w:widowControl w:val="false"/>
              <w:numPr>
                <w:ilvl w:val="0"/>
                <w:numId w:val="0"/>
              </w:numPr>
              <w:shd w:val="clear" w:fill="FFFFFF"/>
              <w:spacing w:before="120" w:after="120"/>
              <w:ind w:left="833" w:right="0" w:hanging="0"/>
              <w:rPr>
                <w:color w:val="000000"/>
              </w:rPr>
            </w:pPr>
            <w:r>
              <w:rPr>
                <w:color w:val="000000"/>
              </w:rPr>
              <w:t>Ativo Circulante + Realizável a Longo Prazo</w:t>
            </w:r>
          </w:p>
        </w:tc>
      </w:tr>
      <w:tr>
        <w:trPr/>
        <w:tc>
          <w:tcPr>
            <w:tcW w:w="2234" w:type="dxa"/>
            <w:vMerge w:val="continue"/>
            <w:tcBorders/>
            <w:shd w:fill="auto" w:val="clear"/>
          </w:tcPr>
          <w:p>
            <w:pPr>
              <w:pStyle w:val="Normal"/>
              <w:widowControl w:val="false"/>
              <w:rPr/>
            </w:pPr>
            <w:r>
              <w:rPr/>
            </w:r>
          </w:p>
        </w:tc>
        <w:tc>
          <w:tcPr>
            <w:tcW w:w="4252" w:type="dxa"/>
            <w:tcBorders/>
            <w:shd w:fill="auto" w:val="clear"/>
          </w:tcPr>
          <w:p>
            <w:pPr>
              <w:pStyle w:val="Nvel02"/>
              <w:widowControl w:val="false"/>
              <w:numPr>
                <w:ilvl w:val="0"/>
                <w:numId w:val="0"/>
              </w:numPr>
              <w:shd w:val="clear" w:fill="FFFFFF"/>
              <w:spacing w:before="120" w:after="120"/>
              <w:ind w:left="833" w:right="0" w:hanging="0"/>
              <w:rPr>
                <w:color w:val="000000"/>
              </w:rPr>
            </w:pPr>
            <w:r>
              <w:rPr>
                <w:color w:val="000000"/>
              </w:rPr>
              <w:t>Passivo Circulante + Passivo Não Circulante</w:t>
            </w:r>
          </w:p>
        </w:tc>
      </w:tr>
    </w:tbl>
    <w:p>
      <w:pPr>
        <w:pStyle w:val="Normal"/>
        <w:widowControl/>
        <w:numPr>
          <w:ilvl w:val="0"/>
          <w:numId w:val="0"/>
        </w:numPr>
        <w:suppressAutoHyphens w:val="true"/>
        <w:bidi w:val="0"/>
        <w:spacing w:lineRule="auto" w:line="276" w:before="0" w:after="0"/>
        <w:ind w:left="0" w:right="0" w:firstLine="567"/>
        <w:jc w:val="both"/>
        <w:rPr>
          <w:rFonts w:eastAsia="Arial" w:cs="Arial"/>
          <w:i w:val="false"/>
          <w:i w:val="false"/>
          <w:iCs/>
          <w:color w:val="000000"/>
          <w:kern w:val="0"/>
          <w:lang w:val="pt-BR" w:eastAsia="pt-BR" w:bidi="ar-SA"/>
        </w:rPr>
      </w:pPr>
      <w:r>
        <w:rPr>
          <w:rFonts w:eastAsia="Arial" w:cs="Arial"/>
          <w:i w:val="false"/>
          <w:iCs/>
          <w:color w:val="000000"/>
          <w:kern w:val="0"/>
          <w:lang w:val="pt-BR" w:eastAsia="pt-BR" w:bidi="ar-SA"/>
        </w:rPr>
      </w:r>
    </w:p>
    <w:tbl>
      <w:tblPr>
        <w:tblStyle w:val="Tabelacomgrade"/>
        <w:tblW w:w="6629" w:type="dxa"/>
        <w:jc w:val="left"/>
        <w:tblInd w:w="1277" w:type="dxa"/>
        <w:tblLayout w:type="fixed"/>
        <w:tblCellMar>
          <w:top w:w="0" w:type="dxa"/>
          <w:left w:w="143" w:type="dxa"/>
          <w:bottom w:w="0" w:type="dxa"/>
          <w:right w:w="108" w:type="dxa"/>
        </w:tblCellMar>
        <w:tblLook w:val="04a0" w:noHBand="0" w:noVBand="1" w:firstColumn="1" w:lastRow="0" w:lastColumn="0" w:firstRow="1"/>
      </w:tblPr>
      <w:tblGrid>
        <w:gridCol w:w="2233"/>
        <w:gridCol w:w="4395"/>
      </w:tblGrid>
      <w:tr>
        <w:trPr>
          <w:cantSplit w:val="true"/>
        </w:trPr>
        <w:tc>
          <w:tcPr>
            <w:tcW w:w="2233" w:type="dxa"/>
            <w:vMerge w:val="restart"/>
            <w:tcBorders/>
            <w:shd w:fill="auto" w:val="clear"/>
            <w:vAlign w:val="center"/>
          </w:tcPr>
          <w:p>
            <w:pPr>
              <w:pStyle w:val="Nvel02"/>
              <w:widowControl w:val="false"/>
              <w:numPr>
                <w:ilvl w:val="0"/>
                <w:numId w:val="0"/>
              </w:numPr>
              <w:shd w:val="clear" w:fill="FFFFFF"/>
              <w:spacing w:before="120" w:after="120"/>
              <w:ind w:left="833" w:right="0" w:hanging="0"/>
              <w:rPr>
                <w:color w:val="000000"/>
              </w:rPr>
            </w:pPr>
            <w:r>
              <w:rPr>
                <w:color w:val="000000"/>
              </w:rPr>
              <w:t>SG =</w:t>
            </w:r>
          </w:p>
        </w:tc>
        <w:tc>
          <w:tcPr>
            <w:tcW w:w="4395" w:type="dxa"/>
            <w:tcBorders/>
            <w:shd w:fill="auto" w:val="clear"/>
            <w:vAlign w:val="bottom"/>
          </w:tcPr>
          <w:p>
            <w:pPr>
              <w:pStyle w:val="Nvel02"/>
              <w:widowControl w:val="false"/>
              <w:numPr>
                <w:ilvl w:val="0"/>
                <w:numId w:val="0"/>
              </w:numPr>
              <w:shd w:val="clear" w:fill="FFFFFF"/>
              <w:spacing w:before="120" w:after="120"/>
              <w:ind w:left="833" w:right="0" w:hanging="0"/>
              <w:rPr>
                <w:color w:val="000000"/>
              </w:rPr>
            </w:pPr>
            <w:r>
              <w:rPr>
                <w:color w:val="000000"/>
              </w:rPr>
              <w:t>Ativo Total</w:t>
            </w:r>
          </w:p>
        </w:tc>
      </w:tr>
      <w:tr>
        <w:trPr>
          <w:cantSplit w:val="true"/>
        </w:trPr>
        <w:tc>
          <w:tcPr>
            <w:tcW w:w="2233" w:type="dxa"/>
            <w:vMerge w:val="continue"/>
            <w:tcBorders/>
            <w:shd w:fill="auto" w:val="clear"/>
          </w:tcPr>
          <w:p>
            <w:pPr>
              <w:pStyle w:val="Normal"/>
              <w:widowControl w:val="false"/>
              <w:rPr/>
            </w:pPr>
            <w:r>
              <w:rPr/>
            </w:r>
          </w:p>
        </w:tc>
        <w:tc>
          <w:tcPr>
            <w:tcW w:w="4395" w:type="dxa"/>
            <w:tcBorders/>
            <w:shd w:fill="auto" w:val="clear"/>
          </w:tcPr>
          <w:p>
            <w:pPr>
              <w:pStyle w:val="Nvel02"/>
              <w:widowControl w:val="false"/>
              <w:numPr>
                <w:ilvl w:val="0"/>
                <w:numId w:val="0"/>
              </w:numPr>
              <w:shd w:val="clear" w:fill="FFFFFF"/>
              <w:spacing w:before="120" w:after="120"/>
              <w:ind w:left="833" w:right="0" w:hanging="0"/>
              <w:rPr>
                <w:color w:val="000000"/>
              </w:rPr>
            </w:pPr>
            <w:r>
              <w:rPr>
                <w:color w:val="000000"/>
              </w:rPr>
              <w:t>Passivo Circulante + Passivo Não Circulante</w:t>
            </w:r>
          </w:p>
        </w:tc>
      </w:tr>
    </w:tbl>
    <w:p>
      <w:pPr>
        <w:pStyle w:val="Normal"/>
        <w:widowControl/>
        <w:numPr>
          <w:ilvl w:val="0"/>
          <w:numId w:val="0"/>
        </w:numPr>
        <w:suppressAutoHyphens w:val="true"/>
        <w:bidi w:val="0"/>
        <w:spacing w:lineRule="auto" w:line="276" w:before="0" w:after="0"/>
        <w:ind w:left="0" w:right="0" w:firstLine="567"/>
        <w:jc w:val="both"/>
        <w:rPr>
          <w:rFonts w:eastAsia="Arial" w:cs="Arial"/>
          <w:i w:val="false"/>
          <w:i w:val="false"/>
          <w:iCs/>
          <w:color w:val="000000"/>
          <w:kern w:val="0"/>
          <w:lang w:val="pt-BR" w:eastAsia="pt-BR" w:bidi="ar-SA"/>
        </w:rPr>
      </w:pPr>
      <w:r>
        <w:rPr>
          <w:rFonts w:eastAsia="Arial" w:cs="Arial"/>
          <w:i w:val="false"/>
          <w:iCs/>
          <w:color w:val="000000"/>
          <w:kern w:val="0"/>
          <w:lang w:val="pt-BR" w:eastAsia="pt-BR" w:bidi="ar-SA"/>
        </w:rPr>
      </w:r>
    </w:p>
    <w:tbl>
      <w:tblPr>
        <w:tblStyle w:val="Tabelacomgrade"/>
        <w:tblW w:w="4786" w:type="dxa"/>
        <w:jc w:val="left"/>
        <w:tblInd w:w="1277" w:type="dxa"/>
        <w:tblLayout w:type="fixed"/>
        <w:tblCellMar>
          <w:top w:w="0" w:type="dxa"/>
          <w:left w:w="143" w:type="dxa"/>
          <w:bottom w:w="0" w:type="dxa"/>
          <w:right w:w="108" w:type="dxa"/>
        </w:tblCellMar>
        <w:tblLook w:val="04a0" w:noHBand="0" w:noVBand="1" w:firstColumn="1" w:lastRow="0" w:lastColumn="0" w:firstRow="1"/>
      </w:tblPr>
      <w:tblGrid>
        <w:gridCol w:w="2235"/>
        <w:gridCol w:w="2550"/>
      </w:tblGrid>
      <w:tr>
        <w:trPr/>
        <w:tc>
          <w:tcPr>
            <w:tcW w:w="2235" w:type="dxa"/>
            <w:vMerge w:val="restart"/>
            <w:tcBorders/>
            <w:shd w:fill="auto" w:val="clear"/>
            <w:vAlign w:val="center"/>
          </w:tcPr>
          <w:p>
            <w:pPr>
              <w:pStyle w:val="Nvel02"/>
              <w:widowControl w:val="false"/>
              <w:numPr>
                <w:ilvl w:val="0"/>
                <w:numId w:val="0"/>
              </w:numPr>
              <w:shd w:val="clear" w:fill="FFFFFF"/>
              <w:spacing w:before="120" w:after="120"/>
              <w:ind w:left="833" w:right="0" w:hanging="0"/>
              <w:rPr>
                <w:color w:val="000000"/>
              </w:rPr>
            </w:pPr>
            <w:r>
              <w:rPr>
                <w:color w:val="000000"/>
              </w:rPr>
              <w:t>LC =</w:t>
            </w:r>
          </w:p>
        </w:tc>
        <w:tc>
          <w:tcPr>
            <w:tcW w:w="2550" w:type="dxa"/>
            <w:tcBorders/>
            <w:shd w:fill="auto" w:val="clear"/>
            <w:vAlign w:val="bottom"/>
          </w:tcPr>
          <w:p>
            <w:pPr>
              <w:pStyle w:val="Nvel02"/>
              <w:widowControl w:val="false"/>
              <w:numPr>
                <w:ilvl w:val="0"/>
                <w:numId w:val="0"/>
              </w:numPr>
              <w:shd w:val="clear" w:fill="FFFFFF"/>
              <w:spacing w:before="120" w:after="120"/>
              <w:ind w:left="833" w:right="0" w:hanging="0"/>
              <w:rPr>
                <w:color w:val="000000"/>
              </w:rPr>
            </w:pPr>
            <w:r>
              <w:rPr>
                <w:color w:val="000000"/>
              </w:rPr>
              <w:t>Ativo Circulante</w:t>
            </w:r>
          </w:p>
        </w:tc>
      </w:tr>
      <w:tr>
        <w:trPr/>
        <w:tc>
          <w:tcPr>
            <w:tcW w:w="2235" w:type="dxa"/>
            <w:vMerge w:val="continue"/>
            <w:tcBorders/>
            <w:shd w:fill="auto" w:val="clear"/>
          </w:tcPr>
          <w:p>
            <w:pPr>
              <w:pStyle w:val="Normal"/>
              <w:widowControl w:val="false"/>
              <w:rPr/>
            </w:pPr>
            <w:r>
              <w:rPr/>
            </w:r>
          </w:p>
        </w:tc>
        <w:tc>
          <w:tcPr>
            <w:tcW w:w="2550" w:type="dxa"/>
            <w:tcBorders/>
            <w:shd w:fill="auto" w:val="clear"/>
          </w:tcPr>
          <w:p>
            <w:pPr>
              <w:pStyle w:val="Nvel02"/>
              <w:widowControl w:val="false"/>
              <w:numPr>
                <w:ilvl w:val="0"/>
                <w:numId w:val="0"/>
              </w:numPr>
              <w:shd w:val="clear" w:fill="FFFFFF"/>
              <w:spacing w:before="120" w:after="120"/>
              <w:ind w:left="833" w:right="0" w:hanging="0"/>
              <w:rPr>
                <w:color w:val="000000"/>
              </w:rPr>
            </w:pPr>
            <w:r>
              <w:rPr>
                <w:color w:val="000000"/>
              </w:rPr>
              <w:t>Passivo Circulante</w:t>
            </w:r>
          </w:p>
        </w:tc>
      </w:tr>
    </w:tbl>
    <w:p>
      <w:pPr>
        <w:pStyle w:val="Normal"/>
        <w:widowControl/>
        <w:numPr>
          <w:ilvl w:val="0"/>
          <w:numId w:val="0"/>
        </w:numPr>
        <w:suppressAutoHyphens w:val="true"/>
        <w:bidi w:val="0"/>
        <w:spacing w:lineRule="auto" w:line="276" w:before="0" w:after="0"/>
        <w:ind w:left="0" w:right="0" w:firstLine="567"/>
        <w:jc w:val="both"/>
        <w:rPr>
          <w:rFonts w:eastAsia="Arial" w:cs="Arial"/>
          <w:i w:val="false"/>
          <w:i w:val="false"/>
          <w:iCs/>
          <w:color w:val="000000"/>
          <w:kern w:val="0"/>
          <w:lang w:val="pt-BR" w:eastAsia="pt-BR" w:bidi="ar-SA"/>
        </w:rPr>
      </w:pPr>
      <w:r>
        <w:rPr>
          <w:rFonts w:eastAsia="Arial" w:cs="Arial"/>
          <w:i w:val="false"/>
          <w:iCs/>
          <w:color w:val="000000"/>
          <w:kern w:val="0"/>
          <w:lang w:val="pt-BR" w:eastAsia="pt-BR" w:bidi="ar-SA"/>
        </w:rPr>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sz w:val="24"/>
          <w:szCs w:val="24"/>
        </w:rPr>
      </w:pPr>
      <w:r>
        <w:rPr>
          <w:rFonts w:ascii="Carlito" w:hAnsi="Carlito"/>
          <w:color w:val="000000"/>
          <w:sz w:val="24"/>
          <w:szCs w:val="24"/>
        </w:rPr>
        <w:t xml:space="preserve">Caso a empresa apresente resultado inferior ou igual a 1 (um) em qualquer dos índices de Liquidez Geral (LG), Solvência Geral (SG) e Liquidez Corrente (LC), será exigido, para fins de habilitação, </w:t>
      </w:r>
      <w:r>
        <w:rPr>
          <w:rFonts w:ascii="Carlito" w:hAnsi="Carlito"/>
          <w:b/>
          <w:bCs/>
          <w:color w:val="000000"/>
          <w:sz w:val="24"/>
          <w:szCs w:val="24"/>
        </w:rPr>
        <w:t>patrimônio líquido mínimo</w:t>
      </w:r>
      <w:r>
        <w:rPr>
          <w:rFonts w:ascii="Carlito" w:hAnsi="Carlito"/>
          <w:color w:val="000000"/>
          <w:sz w:val="24"/>
          <w:szCs w:val="24"/>
        </w:rPr>
        <w:t xml:space="preserve"> de </w:t>
      </w:r>
      <w:r>
        <w:rPr>
          <w:rFonts w:ascii="Carlito" w:hAnsi="Carlito"/>
          <w:b/>
          <w:bCs/>
          <w:color w:val="000000"/>
          <w:sz w:val="24"/>
          <w:szCs w:val="24"/>
        </w:rPr>
        <w:t>10%</w:t>
      </w:r>
      <w:r>
        <w:rPr>
          <w:rFonts w:ascii="Carlito" w:hAnsi="Carlito"/>
          <w:color w:val="000000"/>
          <w:sz w:val="24"/>
          <w:szCs w:val="24"/>
        </w:rPr>
        <w:t xml:space="preserve"> </w:t>
      </w:r>
      <w:r>
        <w:rPr>
          <w:rFonts w:ascii="Carlito" w:hAnsi="Carlito"/>
          <w:b/>
          <w:bCs/>
          <w:color w:val="000000"/>
          <w:sz w:val="24"/>
          <w:szCs w:val="24"/>
        </w:rPr>
        <w:t>valor total estimado da contratação.</w:t>
      </w:r>
    </w:p>
    <w:p>
      <w:pPr>
        <w:pStyle w:val="Nvel02"/>
        <w:widowControl/>
        <w:numPr>
          <w:ilvl w:val="0"/>
          <w:numId w:val="0"/>
        </w:numPr>
        <w:shd w:val="clear" w:fill="FFFFFF"/>
        <w:suppressAutoHyphens w:val="true"/>
        <w:bidi w:val="0"/>
        <w:spacing w:lineRule="auto" w:line="276" w:before="0" w:after="0"/>
        <w:ind w:left="1080" w:right="0" w:hanging="0"/>
        <w:jc w:val="both"/>
        <w:rPr>
          <w:b/>
          <w:b/>
          <w:bCs/>
          <w:color w:val="000000"/>
        </w:rPr>
      </w:pPr>
      <w:r>
        <w:rPr>
          <w:b/>
          <w:bCs/>
          <w:color w:val="000000"/>
        </w:rPr>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Os documentos referidos acima limitar-se-ão ao último exercício no caso de a pessoa jurídica ter sido constituída há menos de 2 (dois) anos;</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 xml:space="preserve">Os documentos referidos acima deverão ser exigidos com base no limite definido pela Receita Federal do Brasil para transmissão da Escrituração Contábil Digital - ECD ao Sped. </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As empresas criadas no exercício financeiro da licitação/contratação deverão atender a todas as exigências da habilitação e poderão substituir os demonstrativos contábeis pelo balanço de abertura.</w:t>
      </w:r>
    </w:p>
    <w:p>
      <w:pPr>
        <w:pStyle w:val="Nvel02"/>
        <w:widowControl/>
        <w:numPr>
          <w:ilvl w:val="0"/>
          <w:numId w:val="0"/>
        </w:numPr>
        <w:shd w:val="clear" w:fill="FFFFFF"/>
        <w:suppressAutoHyphens w:val="true"/>
        <w:bidi w:val="0"/>
        <w:spacing w:lineRule="auto" w:line="276" w:before="0" w:after="0"/>
        <w:ind w:left="1440" w:right="0" w:hanging="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r>
    </w:p>
    <w:p>
      <w:pPr>
        <w:pStyle w:val="Nvel1SemNumerao"/>
        <w:widowControl/>
        <w:numPr>
          <w:ilvl w:val="0"/>
          <w:numId w:val="0"/>
        </w:numPr>
        <w:shd w:val="clear" w:fill="FFFFFF"/>
        <w:suppressAutoHyphens w:val="true"/>
        <w:bidi w:val="0"/>
        <w:spacing w:lineRule="auto" w:line="276" w:before="0" w:after="0"/>
        <w:ind w:left="720" w:right="0" w:hanging="0"/>
        <w:jc w:val="both"/>
        <w:rPr/>
      </w:pPr>
      <w:r>
        <w:rPr>
          <w:rFonts w:ascii="Carlito" w:hAnsi="Carlito"/>
          <w:sz w:val="24"/>
          <w:szCs w:val="24"/>
        </w:rPr>
        <w:t>Qualificação Técnica</w:t>
      </w:r>
    </w:p>
    <w:p>
      <w:pPr>
        <w:pStyle w:val="Nvel2Opcional1"/>
        <w:widowControl/>
        <w:numPr>
          <w:ilvl w:val="1"/>
          <w:numId w:val="2"/>
        </w:numPr>
        <w:shd w:val="clear" w:fill="FFFFFF"/>
        <w:tabs>
          <w:tab w:val="left" w:pos="735" w:leader="none"/>
          <w:tab w:val="left" w:pos="1140" w:leader="none"/>
        </w:tabs>
        <w:suppressAutoHyphens w:val="true"/>
        <w:bidi w:val="0"/>
        <w:spacing w:lineRule="auto" w:line="276" w:before="0" w:after="0"/>
        <w:ind w:left="0" w:right="0" w:firstLine="567"/>
        <w:jc w:val="both"/>
        <w:rPr/>
      </w:pPr>
      <w:bookmarkStart w:id="13" w:name="_Ref123202723"/>
      <w:r>
        <w:rPr>
          <w:rFonts w:ascii="Carlito" w:hAnsi="Carlito"/>
          <w:color w:val="000000"/>
          <w:sz w:val="24"/>
          <w:szCs w:val="24"/>
        </w:rPr>
        <w:t xml:space="preserve">Declaração de que o fornecedor tomou conhecimento de todas as informações e das condições locais para o cumprimento das obrigações objeto da </w:t>
      </w:r>
      <w:bookmarkEnd w:id="13"/>
      <w:r>
        <w:rPr>
          <w:rFonts w:ascii="Carlito" w:hAnsi="Carlito"/>
          <w:color w:val="000000"/>
          <w:sz w:val="24"/>
          <w:szCs w:val="24"/>
        </w:rPr>
        <w:t>contratação.</w:t>
      </w:r>
    </w:p>
    <w:p>
      <w:pPr>
        <w:pStyle w:val="Nvel3Opcional1"/>
        <w:widowControl/>
        <w:numPr>
          <w:ilvl w:val="1"/>
          <w:numId w:val="2"/>
        </w:numPr>
        <w:suppressAutoHyphens w:val="true"/>
        <w:bidi w:val="0"/>
        <w:spacing w:lineRule="auto" w:line="276" w:before="120" w:after="120"/>
        <w:ind w:left="0" w:right="0" w:firstLine="510"/>
        <w:jc w:val="both"/>
        <w:rPr>
          <w:rFonts w:ascii="Carlito" w:hAnsi="Carlito"/>
          <w:color w:val="000000"/>
          <w:sz w:val="24"/>
          <w:szCs w:val="24"/>
        </w:rPr>
      </w:pPr>
      <w:r>
        <w:rPr>
          <w:rFonts w:ascii="Carlito" w:hAnsi="Carlito"/>
          <w:color w:val="000000"/>
          <w:sz w:val="24"/>
          <w:szCs w:val="24"/>
        </w:rPr>
        <w:t>Essa declaração poderá ser substituída por declaração formal assinada pelo responsável técnico do interessado acerca do conhecimento pleno das condições e peculiaridades da contratação.</w:t>
      </w:r>
    </w:p>
    <w:p>
      <w:pPr>
        <w:pStyle w:val="Nvel1SemNumerao"/>
        <w:widowControl/>
        <w:numPr>
          <w:ilvl w:val="0"/>
          <w:numId w:val="0"/>
        </w:numPr>
        <w:shd w:val="clear" w:fill="FFFFFF"/>
        <w:suppressAutoHyphens w:val="true"/>
        <w:bidi w:val="0"/>
        <w:spacing w:lineRule="auto" w:line="276" w:before="0" w:after="0"/>
        <w:ind w:left="720" w:right="0" w:hanging="0"/>
        <w:jc w:val="both"/>
        <w:rPr/>
      </w:pPr>
      <w:bookmarkStart w:id="14" w:name="_Hlk171013756"/>
      <w:bookmarkEnd w:id="14"/>
      <w:r>
        <w:rPr>
          <w:rFonts w:ascii="Carlito" w:hAnsi="Carlito"/>
          <w:sz w:val="24"/>
          <w:szCs w:val="24"/>
        </w:rPr>
        <w:t>Qualificação Técnico-Operacional</w:t>
      </w:r>
    </w:p>
    <w:p>
      <w:pPr>
        <w:pStyle w:val="Nvel02"/>
        <w:widowControl/>
        <w:numPr>
          <w:ilvl w:val="1"/>
          <w:numId w:val="2"/>
        </w:numPr>
        <w:shd w:val="clear" w:fill="FFFFFF"/>
        <w:suppressAutoHyphens w:val="true"/>
        <w:bidi w:val="0"/>
        <w:spacing w:lineRule="auto" w:line="276" w:before="0" w:after="0"/>
        <w:ind w:left="0" w:right="0" w:firstLine="510"/>
        <w:jc w:val="both"/>
        <w:rPr/>
      </w:pPr>
      <w:r>
        <w:rPr>
          <w:rFonts w:ascii="Carlito" w:hAnsi="Carlito"/>
          <w:sz w:val="24"/>
          <w:szCs w:val="24"/>
        </w:rPr>
        <w:t>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pPr>
        <w:pStyle w:val="Nivel3"/>
        <w:widowControl/>
        <w:numPr>
          <w:ilvl w:val="2"/>
          <w:numId w:val="2"/>
        </w:numPr>
        <w:suppressAutoHyphens w:val="true"/>
        <w:bidi w:val="0"/>
        <w:spacing w:lineRule="auto" w:line="276"/>
        <w:ind w:left="0" w:right="0" w:firstLine="1134"/>
        <w:jc w:val="both"/>
        <w:rPr>
          <w:rFonts w:ascii="Carlito" w:hAnsi="Carlito"/>
          <w:sz w:val="24"/>
          <w:szCs w:val="24"/>
        </w:rPr>
      </w:pPr>
      <w:r>
        <w:rPr>
          <w:rFonts w:ascii="Carlito" w:hAnsi="Carlito"/>
          <w:sz w:val="24"/>
          <w:szCs w:val="24"/>
        </w:rPr>
        <w:t>Para fins da comprovação de que trata este subitem, os atestados deverão dizer respeito a contrato(s) executado(s).</w:t>
      </w:r>
    </w:p>
    <w:p>
      <w:pPr>
        <w:pStyle w:val="Nivel3"/>
        <w:widowControl/>
        <w:numPr>
          <w:ilvl w:val="2"/>
          <w:numId w:val="2"/>
        </w:numPr>
        <w:suppressAutoHyphens w:val="true"/>
        <w:bidi w:val="0"/>
        <w:spacing w:lineRule="auto" w:line="276" w:before="6" w:after="6"/>
        <w:ind w:left="0" w:right="0" w:firstLine="1134"/>
        <w:jc w:val="both"/>
        <w:rPr>
          <w:rFonts w:ascii="Carlito" w:hAnsi="Carlito"/>
          <w:sz w:val="24"/>
          <w:szCs w:val="24"/>
        </w:rPr>
      </w:pPr>
      <w:r>
        <w:rPr>
          <w:rFonts w:ascii="Carlito" w:hAnsi="Carlito"/>
          <w:sz w:val="24"/>
          <w:szCs w:val="24"/>
        </w:rPr>
        <w:t>Os atestados de capacidade técnica poderão ser apresentados em nome da matriz ou da filial do fornecedor.</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Os atestados deverão referir-se a serviços prestados no âmbito de sua atividade econômica principal ou secundária especificadas no contrato social vigente.</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Serão aceitos atestados ou outros documentos hábeis emitidos por entidades estrangeiras quando acompanhados de tradução para o português, salvo se comprovada a inidoneidade da entidade emissora.</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A apresentação, pelo fornecedor, de certidões ou atestados de desempenho anterior emitido em favor de consórcio do qual tenha feito parte será admitida, desde que atendidos os requisitos do art. 67, §§ 10 e 11, da Lei nº 14.133/2021 e regulamentos sobre o tema.</w:t>
      </w:r>
    </w:p>
    <w:p>
      <w:pPr>
        <w:pStyle w:val="Nvel02"/>
        <w:widowControl/>
        <w:numPr>
          <w:ilvl w:val="0"/>
          <w:numId w:val="0"/>
        </w:numPr>
        <w:shd w:val="clear" w:fill="FFFFFF"/>
        <w:suppressAutoHyphens w:val="true"/>
        <w:bidi w:val="0"/>
        <w:spacing w:lineRule="auto" w:line="276" w:before="0" w:after="0"/>
        <w:ind w:left="1440" w:right="0" w:hanging="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r>
    </w:p>
    <w:p>
      <w:pPr>
        <w:pStyle w:val="Nvel1SemNumerao"/>
        <w:widowControl/>
        <w:numPr>
          <w:ilvl w:val="0"/>
          <w:numId w:val="0"/>
        </w:numPr>
        <w:shd w:val="clear" w:fill="FFFFFF"/>
        <w:suppressAutoHyphens w:val="true"/>
        <w:bidi w:val="0"/>
        <w:spacing w:lineRule="auto" w:line="276" w:before="0" w:after="0"/>
        <w:ind w:left="380" w:right="0" w:hanging="0"/>
        <w:jc w:val="both"/>
        <w:rPr/>
      </w:pPr>
      <w:r>
        <w:rPr>
          <w:rFonts w:ascii="Carlito" w:hAnsi="Carlito"/>
          <w:sz w:val="24"/>
          <w:szCs w:val="24"/>
        </w:rPr>
        <w:t>Qualificação Técnico-Profissional</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ascii="Carlito" w:hAnsi="Carlito"/>
          <w:sz w:val="24"/>
          <w:szCs w:val="24"/>
        </w:rPr>
        <w:t>Apresentação do(s) profissional(is), abaixo indicado(s), devidamente registrado(s) no conselho profissional competente, detentor(es) de atestado de responsabilidade técnica por execução de serviço de características semelhantes, também abaixo indicado(s):</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O(s) profissional(is) acima indicado(s) deverá(ão) participar do serviço objeto do contrato, e será admitida a sua substituição por profissionais de experiência equivalente ou superior, desde que aprovada pela Administração (§ 6º do art. 67 da Lei nº 14.133, de 2021)</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pPr>
        <w:pStyle w:val="Nvel02"/>
        <w:widowControl/>
        <w:numPr>
          <w:ilvl w:val="2"/>
          <w:numId w:val="2"/>
        </w:numPr>
        <w:shd w:val="clear" w:fill="FFFFFF"/>
        <w:suppressAutoHyphens w:val="true"/>
        <w:bidi w:val="0"/>
        <w:spacing w:lineRule="auto" w:line="276" w:before="0" w:after="0"/>
        <w:ind w:left="0" w:right="0" w:firstLine="1134"/>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Os atestados de capacidade técnica poderão ser apresentados em nome da matriz ou da filial do fornecedor.</w:t>
      </w:r>
    </w:p>
    <w:p>
      <w:pPr>
        <w:pStyle w:val="Nvel02"/>
        <w:widowControl/>
        <w:numPr>
          <w:ilvl w:val="0"/>
          <w:numId w:val="0"/>
        </w:numPr>
        <w:shd w:val="clear" w:fill="FFFFFF"/>
        <w:suppressAutoHyphens w:val="true"/>
        <w:bidi w:val="0"/>
        <w:spacing w:lineRule="auto" w:line="276" w:before="0" w:after="0"/>
        <w:ind w:left="1440" w:right="0" w:hanging="0"/>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r>
    </w:p>
    <w:p>
      <w:pPr>
        <w:pStyle w:val="Nvel1SemNumerao"/>
        <w:widowControl/>
        <w:numPr>
          <w:ilvl w:val="0"/>
          <w:numId w:val="0"/>
        </w:numPr>
        <w:shd w:val="clear" w:fill="FFFFFF"/>
        <w:suppressAutoHyphens w:val="true"/>
        <w:bidi w:val="0"/>
        <w:spacing w:lineRule="auto" w:line="276" w:before="0" w:after="0"/>
        <w:ind w:left="720" w:right="0" w:hanging="0"/>
        <w:jc w:val="both"/>
        <w:rPr/>
      </w:pPr>
      <w:r>
        <w:rPr>
          <w:rFonts w:ascii="Carlito" w:hAnsi="Carlito"/>
          <w:sz w:val="24"/>
          <w:szCs w:val="24"/>
        </w:rPr>
        <w:t>Disposições gerais sobre habilitação</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Quando permitida a participação na licitação/contratação de empresas estrangeiras que não funcionem no País, as exigências de habilitação serão atendidas mediante documentos equivalentes, inicialmente apresentados em tradução livre.</w:t>
      </w:r>
    </w:p>
    <w:p>
      <w:pPr>
        <w:pStyle w:val="Nvel02"/>
        <w:widowControl/>
        <w:numPr>
          <w:ilvl w:val="1"/>
          <w:numId w:val="2"/>
        </w:numPr>
        <w:shd w:val="clear" w:fill="FFFFFF"/>
        <w:suppressAutoHyphens w:val="true"/>
        <w:overflowPunct w:val="false"/>
        <w:bidi w:val="0"/>
        <w:spacing w:lineRule="auto" w:line="276"/>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Não serão aceitos documentos de habilitação com indicação de CNPJ/CPF diferentes, salvo aqueles legalmente permitidos.</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vel02"/>
        <w:widowControl/>
        <w:numPr>
          <w:ilvl w:val="1"/>
          <w:numId w:val="2"/>
        </w:numPr>
        <w:shd w:val="clear" w:fill="FFFFFF"/>
        <w:suppressAutoHyphens w:val="true"/>
        <w:bidi w:val="0"/>
        <w:spacing w:lineRule="auto" w:line="276" w:before="0" w:after="0"/>
        <w:ind w:left="0" w:right="0" w:firstLine="56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Serão aceitos registros de CNPJ de fornecedor matriz e filial com diferenças de números de documentos pertinentes ao CND e ao CRF/FGTS, quando for comprovada a centralização do recolhimento dessas contribuições.</w:t>
      </w:r>
    </w:p>
    <w:p>
      <w:pPr>
        <w:pStyle w:val="Nvel1SemNumerao"/>
        <w:numPr>
          <w:ilvl w:val="0"/>
          <w:numId w:val="0"/>
        </w:numPr>
        <w:shd w:val="clear" w:fill="FFFFFF"/>
        <w:ind w:left="720" w:right="0" w:hanging="0"/>
        <w:jc w:val="both"/>
        <w:rPr>
          <w:rFonts w:ascii="Carlito" w:hAnsi="Carlito"/>
          <w:sz w:val="24"/>
          <w:szCs w:val="24"/>
        </w:rPr>
      </w:pPr>
      <w:r>
        <w:rPr>
          <w:rFonts w:ascii="Carlito" w:hAnsi="Carlito"/>
          <w:sz w:val="24"/>
          <w:szCs w:val="24"/>
        </w:rPr>
        <w:t>Documentação complementar para cooperativas</w:t>
      </w:r>
    </w:p>
    <w:p>
      <w:pPr>
        <w:pStyle w:val="Nvel02"/>
        <w:widowControl/>
        <w:numPr>
          <w:ilvl w:val="1"/>
          <w:numId w:val="2"/>
        </w:numPr>
        <w:shd w:val="clear" w:fill="FFFFFF"/>
        <w:suppressAutoHyphens w:val="true"/>
        <w:bidi w:val="0"/>
        <w:spacing w:lineRule="auto" w:line="276" w:before="0" w:after="0"/>
        <w:ind w:left="0" w:right="0" w:firstLine="510"/>
        <w:jc w:val="both"/>
        <w:rPr/>
      </w:pPr>
      <w:r>
        <w:rPr>
          <w:rFonts w:ascii="Carlito" w:hAnsi="Carlito"/>
          <w:sz w:val="24"/>
          <w:szCs w:val="24"/>
        </w:rPr>
        <w:t>Caso admitida a participação de cooperativas, será exigida a seguinte documentação complementar:</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A declaração de regularidade de situação do contribuinte individual – DRSCI, para cada um dos cooperados indicados;</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 xml:space="preserve">A comprovação do capital social proporcional ao número de cooperados necessários à prestação do serviço; </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O registro previsto na Lei n. 5.764, de 1971, art. 107;</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A comprovação de integração das respectivas quotas-partes por parte dos cooperados que executarão o contrato;</w:t>
      </w:r>
    </w:p>
    <w:p>
      <w:pPr>
        <w:pStyle w:val="Nivel3"/>
        <w:widowControl/>
        <w:numPr>
          <w:ilvl w:val="2"/>
          <w:numId w:val="2"/>
        </w:numPr>
        <w:suppressAutoHyphens w:val="true"/>
        <w:bidi w:val="0"/>
        <w:spacing w:lineRule="auto" w:line="276" w:before="120" w:after="120"/>
        <w:ind w:left="0" w:right="0" w:firstLine="1134"/>
        <w:jc w:val="both"/>
        <w:rPr>
          <w:rFonts w:ascii="Carlito" w:hAnsi="Carlito"/>
          <w:sz w:val="24"/>
          <w:szCs w:val="24"/>
        </w:rPr>
      </w:pPr>
      <w:r>
        <w:rPr>
          <w:rFonts w:ascii="Carlito" w:hAnsi="Carlito"/>
          <w:sz w:val="24"/>
          <w:szCs w:val="24"/>
        </w:rPr>
        <w:t>Os seguintes documentos para a comprovação da regularidade jurídica da cooperativa:</w:t>
      </w:r>
    </w:p>
    <w:p>
      <w:pPr>
        <w:pStyle w:val="Nivel4"/>
        <w:numPr>
          <w:ilvl w:val="3"/>
          <w:numId w:val="2"/>
        </w:numPr>
        <w:ind w:left="927" w:right="0" w:hanging="0"/>
        <w:jc w:val="both"/>
        <w:rPr>
          <w:rFonts w:ascii="Carlito" w:hAnsi="Carlito"/>
          <w:sz w:val="24"/>
          <w:szCs w:val="24"/>
        </w:rPr>
      </w:pPr>
      <w:r>
        <w:rPr>
          <w:rFonts w:ascii="Carlito" w:hAnsi="Carlito"/>
          <w:sz w:val="24"/>
          <w:szCs w:val="24"/>
        </w:rPr>
        <w:t>ata de fundação;</w:t>
      </w:r>
    </w:p>
    <w:p>
      <w:pPr>
        <w:pStyle w:val="Nivel4"/>
        <w:numPr>
          <w:ilvl w:val="3"/>
          <w:numId w:val="2"/>
        </w:numPr>
        <w:ind w:left="927" w:right="0" w:hanging="0"/>
        <w:jc w:val="both"/>
        <w:rPr>
          <w:rFonts w:ascii="Carlito" w:hAnsi="Carlito"/>
          <w:sz w:val="24"/>
          <w:szCs w:val="24"/>
        </w:rPr>
      </w:pPr>
      <w:r>
        <w:rPr>
          <w:rFonts w:ascii="Carlito" w:hAnsi="Carlito"/>
          <w:sz w:val="24"/>
          <w:szCs w:val="24"/>
        </w:rPr>
        <w:t>estatuto social com a ata da assembleia que o aprovou;</w:t>
      </w:r>
    </w:p>
    <w:p>
      <w:pPr>
        <w:pStyle w:val="Nivel4"/>
        <w:numPr>
          <w:ilvl w:val="3"/>
          <w:numId w:val="2"/>
        </w:numPr>
        <w:ind w:left="927" w:right="0" w:hanging="0"/>
        <w:jc w:val="both"/>
        <w:rPr>
          <w:rFonts w:ascii="Carlito" w:hAnsi="Carlito"/>
          <w:sz w:val="24"/>
          <w:szCs w:val="24"/>
        </w:rPr>
      </w:pPr>
      <w:r>
        <w:rPr>
          <w:rFonts w:ascii="Carlito" w:hAnsi="Carlito"/>
          <w:sz w:val="24"/>
          <w:szCs w:val="24"/>
        </w:rPr>
        <w:t>regimento dos fundos instituídos pelos cooperados, com a ata da assembleia;</w:t>
      </w:r>
    </w:p>
    <w:p>
      <w:pPr>
        <w:pStyle w:val="Nivel4"/>
        <w:widowControl/>
        <w:numPr>
          <w:ilvl w:val="3"/>
          <w:numId w:val="2"/>
        </w:numPr>
        <w:suppressAutoHyphens w:val="true"/>
        <w:bidi w:val="0"/>
        <w:spacing w:lineRule="auto" w:line="276"/>
        <w:ind w:left="927" w:right="0" w:hanging="0"/>
        <w:jc w:val="both"/>
        <w:rPr>
          <w:rFonts w:ascii="Carlito" w:hAnsi="Carlito"/>
          <w:sz w:val="24"/>
          <w:szCs w:val="24"/>
        </w:rPr>
      </w:pPr>
      <w:r>
        <w:rPr>
          <w:rFonts w:ascii="Carlito" w:hAnsi="Carlito"/>
          <w:sz w:val="24"/>
          <w:szCs w:val="24"/>
        </w:rPr>
        <w:t>editais de convocação das três últimas assembleias gerais extraordinárias;</w:t>
      </w:r>
    </w:p>
    <w:p>
      <w:pPr>
        <w:pStyle w:val="Nivel4"/>
        <w:numPr>
          <w:ilvl w:val="3"/>
          <w:numId w:val="2"/>
        </w:numPr>
        <w:ind w:left="927" w:right="0" w:hanging="0"/>
        <w:jc w:val="both"/>
        <w:rPr>
          <w:rFonts w:ascii="Carlito" w:hAnsi="Carlito"/>
          <w:sz w:val="24"/>
          <w:szCs w:val="24"/>
        </w:rPr>
      </w:pPr>
      <w:r>
        <w:rPr>
          <w:rFonts w:ascii="Carlito" w:hAnsi="Carlito"/>
          <w:sz w:val="24"/>
          <w:szCs w:val="24"/>
        </w:rPr>
        <w:t>três registros de presença dos cooperados que executarão o contrato em assembleias gerais ou nas reuniões seccionais;</w:t>
      </w:r>
    </w:p>
    <w:p>
      <w:pPr>
        <w:pStyle w:val="Nivel4"/>
        <w:numPr>
          <w:ilvl w:val="3"/>
          <w:numId w:val="2"/>
        </w:numPr>
        <w:ind w:left="927" w:right="0" w:hanging="0"/>
        <w:jc w:val="both"/>
        <w:rPr>
          <w:rFonts w:ascii="Carlito" w:hAnsi="Carlito"/>
          <w:sz w:val="24"/>
          <w:szCs w:val="24"/>
        </w:rPr>
      </w:pPr>
      <w:r>
        <w:rPr>
          <w:rFonts w:ascii="Carlito" w:hAnsi="Carlito"/>
          <w:sz w:val="24"/>
          <w:szCs w:val="24"/>
        </w:rPr>
        <w:t>ata da sessão que os cooperados autorizaram a cooperativa a contratar o objeto da contratação; e</w:t>
      </w:r>
    </w:p>
    <w:p>
      <w:pPr>
        <w:pStyle w:val="Nivel4"/>
        <w:numPr>
          <w:ilvl w:val="3"/>
          <w:numId w:val="2"/>
        </w:numPr>
        <w:ind w:left="927" w:right="0" w:hanging="0"/>
        <w:jc w:val="both"/>
        <w:rPr>
          <w:rFonts w:ascii="Carlito" w:hAnsi="Carlito"/>
          <w:sz w:val="24"/>
          <w:szCs w:val="24"/>
        </w:rPr>
      </w:pPr>
      <w:r>
        <w:rPr>
          <w:rFonts w:ascii="Carlito" w:hAnsi="Carlito"/>
          <w:sz w:val="24"/>
          <w:szCs w:val="24"/>
        </w:rPr>
        <w:t>última auditoria contábil-financeira da cooperativa, conforme dispõe o art. 112 da Lei n. 5.764, de 1971, ou uma declaração, sob as penas da lei, de que tal auditoria não foi exigida pelo órgão fiscalizador.</w:t>
      </w:r>
    </w:p>
    <w:p>
      <w:pPr>
        <w:pStyle w:val="Nivel4"/>
        <w:numPr>
          <w:ilvl w:val="0"/>
          <w:numId w:val="0"/>
        </w:numPr>
        <w:ind w:left="2727" w:right="0" w:hanging="0"/>
        <w:jc w:val="both"/>
        <w:rPr>
          <w:rFonts w:ascii="Carlito" w:hAnsi="Carlito"/>
          <w:sz w:val="24"/>
          <w:szCs w:val="24"/>
        </w:rPr>
      </w:pPr>
      <w:r>
        <w:rPr>
          <w:rFonts w:ascii="Carlito" w:hAnsi="Carlito"/>
          <w:sz w:val="24"/>
          <w:szCs w:val="24"/>
        </w:rPr>
      </w:r>
    </w:p>
    <w:p>
      <w:pPr>
        <w:pStyle w:val="Nivel01"/>
        <w:widowControl/>
        <w:numPr>
          <w:ilvl w:val="0"/>
          <w:numId w:val="2"/>
        </w:numPr>
        <w:shd w:val="clear" w:fill="FFFFFF"/>
        <w:suppressAutoHyphens w:val="true"/>
        <w:bidi w:val="0"/>
        <w:spacing w:lineRule="auto" w:line="276" w:before="0" w:after="0"/>
        <w:ind w:left="357" w:right="0" w:hanging="357"/>
        <w:jc w:val="both"/>
        <w:rPr>
          <w:rFonts w:ascii="Carlito" w:hAnsi="Carlito" w:eastAsia="Arial" w:cs="Arial"/>
          <w:i w:val="false"/>
          <w:i w:val="false"/>
          <w:iCs/>
          <w:color w:val="000000"/>
          <w:kern w:val="0"/>
          <w:sz w:val="24"/>
          <w:szCs w:val="24"/>
          <w:lang w:val="pt-BR" w:eastAsia="pt-BR" w:bidi="ar-SA"/>
        </w:rPr>
      </w:pPr>
      <w:r>
        <w:rPr>
          <w:rFonts w:eastAsia="Arial" w:cs="Arial" w:ascii="Carlito" w:hAnsi="Carlito"/>
          <w:i w:val="false"/>
          <w:iCs/>
          <w:color w:val="000000"/>
          <w:kern w:val="0"/>
          <w:sz w:val="24"/>
          <w:szCs w:val="24"/>
          <w:lang w:val="pt-BR" w:eastAsia="pt-BR" w:bidi="ar-SA"/>
        </w:rPr>
        <w:t>ESTIMATIVAS DO VALOR DA CONTRATAÇÃO</w:t>
      </w:r>
    </w:p>
    <w:p>
      <w:pPr>
        <w:pStyle w:val="Nvel2Opcional1"/>
        <w:widowControl/>
        <w:numPr>
          <w:ilvl w:val="1"/>
          <w:numId w:val="2"/>
        </w:numPr>
        <w:shd w:val="clear" w:fill="FFFFFF"/>
        <w:suppressAutoHyphens w:val="true"/>
        <w:bidi w:val="0"/>
        <w:spacing w:lineRule="auto" w:line="276" w:before="0" w:after="0"/>
        <w:ind w:left="0" w:right="0" w:firstLine="567"/>
        <w:jc w:val="both"/>
        <w:rPr>
          <w:rFonts w:ascii="Carlito" w:hAnsi="Carlito"/>
          <w:sz w:val="24"/>
          <w:szCs w:val="24"/>
        </w:rPr>
      </w:pPr>
      <w:r>
        <w:rPr>
          <w:rFonts w:ascii="Carlito" w:hAnsi="Carlito"/>
          <w:i/>
          <w:color w:val="000000"/>
          <w:sz w:val="24"/>
          <w:szCs w:val="24"/>
        </w:rPr>
        <w:t>O custo estimado total da contratação é d</w:t>
      </w:r>
      <w:r>
        <w:rPr>
          <w:rFonts w:eastAsia="Arial" w:cs="Arial" w:ascii="Carlito" w:hAnsi="Carlito"/>
          <w:i/>
          <w:iCs/>
          <w:color w:val="000000"/>
          <w:kern w:val="0"/>
          <w:sz w:val="24"/>
          <w:szCs w:val="24"/>
          <w:lang w:val="pt-BR" w:eastAsia="pt-BR" w:bidi="ar-SA"/>
        </w:rPr>
        <w:t xml:space="preserve">e </w:t>
      </w:r>
      <w:r>
        <w:rPr>
          <w:rFonts w:eastAsia="Arial" w:cs="Arial" w:ascii="Carlito" w:hAnsi="Carlito"/>
          <w:b w:val="false"/>
          <w:bCs w:val="false"/>
          <w:i/>
          <w:iCs/>
          <w:strike w:val="false"/>
          <w:dstrike w:val="false"/>
          <w:outline w:val="false"/>
          <w:shadow w:val="false"/>
          <w:color w:val="000000"/>
          <w:spacing w:val="-8"/>
          <w:kern w:val="0"/>
          <w:sz w:val="24"/>
          <w:szCs w:val="24"/>
          <w:u w:val="none"/>
          <w:shd w:fill="auto" w:val="clear"/>
          <w:em w:val="none"/>
          <w:lang w:val="pt-BR" w:eastAsia="pt-BR" w:bidi="ar-SA"/>
        </w:rPr>
        <w:t>R$ 7.865,54 (sete mil oitocentos e sessenta e cinco reais e cinquenta e quatro centavos)</w:t>
      </w:r>
      <w:r>
        <w:rPr>
          <w:rFonts w:eastAsia="Arial" w:cs="Arial" w:ascii="Carlito" w:hAnsi="Carlito"/>
          <w:b w:val="false"/>
          <w:bCs w:val="false"/>
          <w:i/>
          <w:iCs/>
          <w:color w:val="000000"/>
          <w:kern w:val="0"/>
          <w:sz w:val="24"/>
          <w:szCs w:val="24"/>
          <w:lang w:val="pt-BR" w:eastAsia="pt-BR" w:bidi="ar-SA"/>
        </w:rPr>
        <w:t>.</w:t>
      </w:r>
      <w:r>
        <w:rPr>
          <w:rFonts w:eastAsia="Arial" w:cs="Arial" w:ascii="Carlito" w:hAnsi="Carlito"/>
          <w:i/>
          <w:iCs/>
          <w:color w:val="000000"/>
          <w:kern w:val="0"/>
          <w:sz w:val="24"/>
          <w:szCs w:val="24"/>
          <w:lang w:val="pt-BR" w:eastAsia="pt-BR" w:bidi="ar-SA"/>
        </w:rPr>
        <w:t xml:space="preserve"> conforme custos unitários apostos</w:t>
      </w:r>
      <w:r>
        <w:rPr>
          <w:rFonts w:ascii="Carlito" w:hAnsi="Carlito"/>
          <w:i/>
          <w:iCs/>
          <w:color w:val="000000"/>
          <w:sz w:val="24"/>
          <w:szCs w:val="24"/>
        </w:rPr>
        <w:t xml:space="preserve"> na tabela acima</w:t>
      </w:r>
    </w:p>
    <w:p>
      <w:pPr>
        <w:pStyle w:val="Nvel2Opcional1"/>
        <w:numPr>
          <w:ilvl w:val="0"/>
          <w:numId w:val="0"/>
        </w:numPr>
        <w:shd w:val="clear" w:fill="FFFFFF"/>
        <w:ind w:left="1193" w:right="0" w:hanging="0"/>
        <w:jc w:val="both"/>
        <w:rPr>
          <w:rFonts w:ascii="Carlito" w:hAnsi="Carlito"/>
          <w:i/>
          <w:i/>
          <w:color w:val="000000"/>
          <w:sz w:val="24"/>
          <w:szCs w:val="24"/>
        </w:rPr>
      </w:pPr>
      <w:r>
        <w:rPr>
          <w:rFonts w:ascii="Carlito" w:hAnsi="Carlito"/>
          <w:i/>
          <w:color w:val="000000"/>
          <w:sz w:val="24"/>
          <w:szCs w:val="24"/>
        </w:rPr>
      </w:r>
    </w:p>
    <w:p>
      <w:pPr>
        <w:pStyle w:val="Nivel01"/>
        <w:widowControl/>
        <w:numPr>
          <w:ilvl w:val="0"/>
          <w:numId w:val="2"/>
        </w:numPr>
        <w:shd w:val="clear" w:fill="FFFFFF"/>
        <w:suppressAutoHyphens w:val="true"/>
        <w:bidi w:val="0"/>
        <w:spacing w:lineRule="auto" w:line="276" w:before="120" w:after="120"/>
        <w:ind w:left="0" w:right="0" w:hanging="0"/>
        <w:jc w:val="both"/>
        <w:rPr/>
      </w:pPr>
      <w:r>
        <w:rPr>
          <w:rFonts w:eastAsia="Arial" w:cs="Arial" w:ascii="Carlito" w:hAnsi="Carlito"/>
          <w:b/>
          <w:bCs/>
          <w:i w:val="false"/>
          <w:iCs w:val="false"/>
          <w:color w:val="000000"/>
          <w:kern w:val="0"/>
          <w:sz w:val="24"/>
          <w:szCs w:val="24"/>
          <w:lang w:val="pt-BR" w:eastAsia="pt-BR" w:bidi="ar-SA"/>
        </w:rPr>
        <w:t>ADEQUAÇÃO ORÇAMENTÁRIA</w:t>
      </w:r>
    </w:p>
    <w:p>
      <w:pPr>
        <w:pStyle w:val="Normal"/>
        <w:widowControl/>
        <w:numPr>
          <w:ilvl w:val="0"/>
          <w:numId w:val="0"/>
        </w:numPr>
        <w:suppressAutoHyphens w:val="true"/>
        <w:bidi w:val="0"/>
        <w:spacing w:lineRule="auto" w:line="276" w:before="120" w:after="120"/>
        <w:ind w:left="0" w:right="0" w:firstLine="567"/>
        <w:jc w:val="both"/>
        <w:outlineLvl w:val="0"/>
        <w:rPr/>
      </w:pPr>
      <w:r>
        <w:rPr>
          <w:rFonts w:eastAsia="Arial" w:cs="Arial" w:ascii="Carlito" w:hAnsi="Carlito"/>
          <w:b/>
          <w:bCs/>
          <w:i w:val="false"/>
          <w:iCs w:val="false"/>
          <w:color w:val="000000"/>
          <w:kern w:val="0"/>
          <w:sz w:val="24"/>
          <w:szCs w:val="24"/>
          <w:lang w:val="pt-BR" w:eastAsia="pt-BR" w:bidi="ar-SA"/>
        </w:rPr>
        <w:t xml:space="preserve">11.1 </w:t>
      </w:r>
      <w:r>
        <w:rPr>
          <w:rFonts w:eastAsia="Arial" w:cs="Arial" w:ascii="Carlito" w:hAnsi="Carlito"/>
          <w:i w:val="false"/>
          <w:iCs w:val="false"/>
          <w:color w:val="000000"/>
          <w:kern w:val="0"/>
          <w:sz w:val="24"/>
          <w:szCs w:val="24"/>
          <w:lang w:val="pt-BR" w:eastAsia="pt-BR" w:bidi="ar-SA"/>
        </w:rPr>
        <w:t>As despesas decorrentes da presente contratação correrão à conta de recursos específicos consignados no Orçamento Geral da União.</w:t>
      </w:r>
    </w:p>
    <w:p>
      <w:pPr>
        <w:pStyle w:val="Nivel01"/>
        <w:shd w:val="clear" w:fill="FFFFFF"/>
        <w:ind w:left="1077" w:right="0" w:hanging="454"/>
        <w:rPr/>
      </w:pPr>
      <w:r>
        <w:rPr>
          <w:rFonts w:eastAsia="Arial" w:cs="Arial" w:ascii="Carlito" w:hAnsi="Carlito"/>
          <w:i w:val="false"/>
          <w:iCs w:val="false"/>
          <w:color w:val="000000"/>
          <w:kern w:val="0"/>
          <w:sz w:val="24"/>
          <w:szCs w:val="24"/>
          <w:lang w:val="pt-BR" w:eastAsia="pt-BR" w:bidi="ar-SA"/>
        </w:rPr>
        <w:t xml:space="preserve">11.2. </w:t>
      </w:r>
      <w:r>
        <w:rPr>
          <w:rFonts w:eastAsia="Arial" w:cs="Arial" w:ascii="Carlito" w:hAnsi="Carlito"/>
          <w:b w:val="false"/>
          <w:bCs w:val="false"/>
          <w:i w:val="false"/>
          <w:iCs w:val="false"/>
          <w:color w:val="000000"/>
          <w:kern w:val="0"/>
          <w:sz w:val="24"/>
          <w:szCs w:val="24"/>
          <w:lang w:val="pt-BR" w:eastAsia="pt-BR" w:bidi="ar-SA"/>
        </w:rPr>
        <w:t>A contratação será atendida pela seguinte dotação:</w:t>
      </w:r>
    </w:p>
    <w:p>
      <w:pPr>
        <w:pStyle w:val="ListParagraph"/>
        <w:widowControl/>
        <w:numPr>
          <w:ilvl w:val="2"/>
          <w:numId w:val="2"/>
        </w:numPr>
        <w:suppressAutoHyphens w:val="true"/>
        <w:bidi w:val="0"/>
        <w:spacing w:lineRule="auto" w:line="276" w:before="0" w:after="0"/>
        <w:ind w:left="0" w:right="0" w:firstLine="1134"/>
        <w:contextualSpacing/>
        <w:jc w:val="both"/>
        <w:rPr/>
      </w:pPr>
      <w:r>
        <w:rPr>
          <w:rFonts w:eastAsia="Arial" w:cs="Arial" w:ascii="Carlito" w:hAnsi="Carlito"/>
          <w:i w:val="false"/>
          <w:iCs w:val="false"/>
          <w:sz w:val="24"/>
          <w:szCs w:val="24"/>
        </w:rPr>
        <w:t>Gestão/Unidade: 781402;</w:t>
      </w:r>
    </w:p>
    <w:p>
      <w:pPr>
        <w:pStyle w:val="ListParagraph"/>
        <w:widowControl/>
        <w:numPr>
          <w:ilvl w:val="2"/>
          <w:numId w:val="2"/>
        </w:numPr>
        <w:suppressAutoHyphens w:val="true"/>
        <w:bidi w:val="0"/>
        <w:spacing w:lineRule="auto" w:line="276" w:before="120" w:after="120"/>
        <w:ind w:left="0" w:right="0" w:firstLine="1134"/>
        <w:contextualSpacing/>
        <w:jc w:val="both"/>
        <w:rPr>
          <w:rFonts w:ascii="Carlito" w:hAnsi="Carlito"/>
          <w:sz w:val="24"/>
          <w:szCs w:val="24"/>
        </w:rPr>
      </w:pPr>
      <w:r>
        <w:rPr>
          <w:rFonts w:eastAsia="Arial" w:cs="Arial" w:ascii="Carlito" w:hAnsi="Carlito"/>
          <w:i w:val="false"/>
          <w:iCs w:val="false"/>
          <w:sz w:val="24"/>
          <w:szCs w:val="24"/>
        </w:rPr>
        <w:t xml:space="preserve">Fonte de Recursos: </w:t>
      </w:r>
      <w:bookmarkStart w:id="15" w:name="manterPage%25252525252525252525252525252"/>
      <w:bookmarkStart w:id="16" w:name="manterPage%25252525252525252525252525252"/>
      <w:bookmarkEnd w:id="15"/>
      <w:bookmarkEnd w:id="16"/>
      <w:r>
        <w:rPr>
          <w:rFonts w:ascii="Carlito" w:hAnsi="Carlito"/>
          <w:i w:val="false"/>
          <w:iCs w:val="false"/>
          <w:color w:val="auto"/>
          <w:sz w:val="24"/>
          <w:szCs w:val="24"/>
        </w:rPr>
        <w:t xml:space="preserve">1050000144 </w:t>
      </w:r>
      <w:r>
        <w:rPr>
          <w:rFonts w:eastAsia="Arial" w:cs="Arial" w:ascii="Carlito" w:hAnsi="Carlito"/>
          <w:i w:val="false"/>
          <w:iCs w:val="false"/>
          <w:color w:val="auto"/>
          <w:sz w:val="24"/>
          <w:szCs w:val="24"/>
        </w:rPr>
        <w:t>;</w:t>
      </w:r>
    </w:p>
    <w:p>
      <w:pPr>
        <w:pStyle w:val="ListParagraph"/>
        <w:widowControl/>
        <w:numPr>
          <w:ilvl w:val="2"/>
          <w:numId w:val="2"/>
        </w:numPr>
        <w:tabs>
          <w:tab w:val="clear" w:pos="709"/>
          <w:tab w:val="left" w:pos="1245" w:leader="none"/>
          <w:tab w:val="left" w:pos="1695" w:leader="none"/>
          <w:tab w:val="left" w:pos="2100" w:leader="none"/>
          <w:tab w:val="left" w:pos="2670" w:leader="none"/>
        </w:tabs>
        <w:suppressAutoHyphens w:val="true"/>
        <w:bidi w:val="0"/>
        <w:spacing w:lineRule="auto" w:line="276" w:before="120" w:after="120"/>
        <w:ind w:left="0" w:right="0" w:firstLine="1134"/>
        <w:contextualSpacing/>
        <w:jc w:val="both"/>
        <w:rPr/>
      </w:pPr>
      <w:r>
        <w:rPr>
          <w:rFonts w:eastAsia="Arial" w:cs="Arial" w:ascii="Carlito" w:hAnsi="Carlito"/>
          <w:i w:val="false"/>
          <w:iCs w:val="false"/>
          <w:color w:val="000000"/>
          <w:sz w:val="24"/>
          <w:szCs w:val="24"/>
        </w:rPr>
        <w:t xml:space="preserve">     </w:t>
      </w:r>
      <w:r>
        <w:rPr>
          <w:rFonts w:eastAsia="Arial" w:cs="Arial" w:ascii="Carlito" w:hAnsi="Carlito"/>
          <w:i w:val="false"/>
          <w:iCs w:val="false"/>
          <w:color w:val="000000"/>
          <w:sz w:val="24"/>
          <w:szCs w:val="24"/>
        </w:rPr>
        <w:t xml:space="preserve">Programa de Trabalho: </w:t>
      </w:r>
      <w:bookmarkStart w:id="17" w:name="manterPage%25252525252525252525252525252"/>
      <w:bookmarkStart w:id="18" w:name="manterPage%25252525252525252525252525252"/>
      <w:bookmarkEnd w:id="17"/>
      <w:bookmarkEnd w:id="18"/>
      <w:r>
        <w:rPr>
          <w:rFonts w:ascii="Carlito" w:hAnsi="Carlito"/>
          <w:i w:val="false"/>
          <w:iCs w:val="false"/>
          <w:color w:val="000000"/>
          <w:sz w:val="24"/>
          <w:szCs w:val="24"/>
        </w:rPr>
        <w:t>228653</w:t>
      </w:r>
      <w:r>
        <w:rPr>
          <w:rFonts w:eastAsia="Arial" w:cs="Arial" w:ascii="Carlito" w:hAnsi="Carlito"/>
          <w:i w:val="false"/>
          <w:iCs w:val="false"/>
          <w:color w:val="000000"/>
          <w:sz w:val="24"/>
          <w:szCs w:val="24"/>
        </w:rPr>
        <w:t>;</w:t>
      </w:r>
    </w:p>
    <w:p>
      <w:pPr>
        <w:pStyle w:val="ListParagraph"/>
        <w:widowControl/>
        <w:numPr>
          <w:ilvl w:val="2"/>
          <w:numId w:val="2"/>
        </w:numPr>
        <w:suppressAutoHyphens w:val="true"/>
        <w:bidi w:val="0"/>
        <w:spacing w:lineRule="auto" w:line="276" w:before="120" w:after="120"/>
        <w:ind w:left="0" w:right="0" w:firstLine="1134"/>
        <w:contextualSpacing/>
        <w:jc w:val="both"/>
        <w:rPr/>
      </w:pPr>
      <w:r>
        <w:rPr>
          <w:rFonts w:eastAsia="Arial" w:cs="Arial" w:ascii="Carlito" w:hAnsi="Carlito"/>
          <w:i w:val="false"/>
          <w:iCs w:val="false"/>
          <w:color w:val="000000"/>
          <w:sz w:val="24"/>
          <w:szCs w:val="24"/>
        </w:rPr>
        <w:t>Elemento de Despesa: 339039; e</w:t>
      </w:r>
    </w:p>
    <w:p>
      <w:pPr>
        <w:pStyle w:val="ListParagraph"/>
        <w:widowControl/>
        <w:numPr>
          <w:ilvl w:val="2"/>
          <w:numId w:val="2"/>
        </w:numPr>
        <w:shd w:val="clear" w:fill="FFFFFF"/>
        <w:suppressAutoHyphens w:val="true"/>
        <w:bidi w:val="0"/>
        <w:spacing w:lineRule="auto" w:line="276" w:before="120" w:after="120"/>
        <w:ind w:left="0" w:right="0" w:firstLine="1134"/>
        <w:contextualSpacing/>
        <w:jc w:val="both"/>
        <w:rPr>
          <w:color w:val="000000"/>
        </w:rPr>
      </w:pPr>
      <w:r>
        <w:rPr>
          <w:rFonts w:eastAsia="Arial" w:cs="Arial" w:ascii="Carlito" w:hAnsi="Carlito"/>
          <w:i/>
          <w:iCs/>
          <w:color w:val="000000"/>
          <w:sz w:val="24"/>
          <w:szCs w:val="24"/>
        </w:rPr>
        <w:t>Plano Interno: P</w:t>
      </w:r>
      <w:r>
        <w:rPr>
          <w:rFonts w:eastAsia="Arial" w:cs="Arial" w:ascii="Carlito" w:hAnsi="Carlito"/>
          <w:i w:val="false"/>
          <w:iCs w:val="false"/>
          <w:color w:val="000000"/>
          <w:kern w:val="0"/>
          <w:sz w:val="24"/>
          <w:szCs w:val="24"/>
          <w:lang w:val="pt-BR" w:eastAsia="pt-BR" w:bidi="ar-SA"/>
        </w:rPr>
        <w:t>0011690200</w:t>
      </w:r>
    </w:p>
    <w:p>
      <w:pPr>
        <w:pStyle w:val="Nvel2Opcional1"/>
        <w:widowControl/>
        <w:numPr>
          <w:ilvl w:val="0"/>
          <w:numId w:val="0"/>
        </w:numPr>
        <w:shd w:val="clear" w:fill="FFFFFF"/>
        <w:tabs>
          <w:tab w:val="left" w:pos="630" w:leader="none"/>
          <w:tab w:val="left" w:pos="735" w:leader="none"/>
        </w:tabs>
        <w:suppressAutoHyphens w:val="true"/>
        <w:overflowPunct w:val="false"/>
        <w:bidi w:val="0"/>
        <w:spacing w:lineRule="auto" w:line="276" w:before="63" w:after="63"/>
        <w:ind w:left="0" w:right="0" w:hanging="0"/>
        <w:jc w:val="both"/>
        <w:rPr>
          <w:rFonts w:ascii="Carlito" w:hAnsi="Carlito"/>
          <w:color w:val="000000"/>
          <w:sz w:val="24"/>
          <w:szCs w:val="24"/>
        </w:rPr>
      </w:pPr>
      <w:r>
        <w:rPr>
          <w:rFonts w:ascii="Carlito" w:hAnsi="Carlito"/>
          <w:color w:val="000000"/>
          <w:sz w:val="24"/>
          <w:szCs w:val="24"/>
        </w:rPr>
        <w:t xml:space="preserve"> </w:t>
      </w:r>
      <w:r>
        <w:rPr>
          <w:rFonts w:ascii="Carlito" w:hAnsi="Carlito"/>
          <w:color w:val="000000"/>
          <w:sz w:val="24"/>
          <w:szCs w:val="24"/>
        </w:rPr>
        <w:tab/>
      </w:r>
      <w:r>
        <w:rPr>
          <w:rFonts w:ascii="Carlito" w:hAnsi="Carlito"/>
          <w:b/>
          <w:bCs/>
          <w:color w:val="000000"/>
          <w:sz w:val="24"/>
          <w:szCs w:val="24"/>
        </w:rPr>
        <w:t>11.3.</w:t>
      </w:r>
      <w:r>
        <w:rPr>
          <w:rFonts w:ascii="Carlito" w:hAnsi="Carlito"/>
          <w:color w:val="000000"/>
          <w:sz w:val="24"/>
          <w:szCs w:val="24"/>
        </w:rPr>
        <w:t xml:space="preserve">  A dotação relativa aos exercícios financeiros subsequentes será indicada após aprovação da Lei Orçamentária respectiva e liberação dos créditos correspondentes, mediante apostilamento.</w:t>
      </w:r>
    </w:p>
    <w:p>
      <w:pPr>
        <w:pStyle w:val="Nvel2Opcional1"/>
        <w:numPr>
          <w:ilvl w:val="0"/>
          <w:numId w:val="0"/>
        </w:numPr>
        <w:shd w:val="clear" w:fill="FFFFFF"/>
        <w:ind w:left="1913" w:right="0" w:hanging="0"/>
        <w:jc w:val="both"/>
        <w:rPr>
          <w:rFonts w:ascii="Carlito" w:hAnsi="Carlito"/>
          <w:sz w:val="24"/>
          <w:szCs w:val="24"/>
          <w:highlight w:val="cyan"/>
        </w:rPr>
      </w:pPr>
      <w:r>
        <w:rPr>
          <w:rFonts w:ascii="Carlito" w:hAnsi="Carlito"/>
          <w:sz w:val="24"/>
          <w:szCs w:val="24"/>
          <w:highlight w:val="cyan"/>
        </w:rPr>
      </w:r>
    </w:p>
    <w:p>
      <w:pPr>
        <w:pStyle w:val="Nivel01"/>
        <w:widowControl/>
        <w:numPr>
          <w:ilvl w:val="0"/>
          <w:numId w:val="2"/>
        </w:numPr>
        <w:shd w:val="clear" w:fill="FFFFFF"/>
        <w:bidi w:val="0"/>
        <w:spacing w:lineRule="auto" w:line="276"/>
        <w:ind w:left="360" w:right="0" w:hanging="0"/>
        <w:jc w:val="both"/>
        <w:rPr>
          <w:rFonts w:ascii="Carlito" w:hAnsi="Carlito"/>
          <w:sz w:val="24"/>
          <w:szCs w:val="24"/>
        </w:rPr>
      </w:pPr>
      <w:r>
        <w:rPr>
          <w:rFonts w:ascii="Carlito" w:hAnsi="Carlito"/>
          <w:sz w:val="24"/>
          <w:szCs w:val="24"/>
        </w:rPr>
        <w:t>DISPOSIÇÕES FINAIS</w:t>
      </w:r>
    </w:p>
    <w:p>
      <w:pPr>
        <w:pStyle w:val="Nvel02"/>
        <w:widowControl/>
        <w:numPr>
          <w:ilvl w:val="1"/>
          <w:numId w:val="2"/>
        </w:numPr>
        <w:shd w:val="clear" w:fill="FFFFFF"/>
        <w:suppressAutoHyphens w:val="true"/>
        <w:bidi w:val="0"/>
        <w:spacing w:lineRule="auto" w:line="276" w:before="0" w:after="0"/>
        <w:ind w:left="0" w:right="0" w:firstLine="567"/>
        <w:jc w:val="both"/>
        <w:rPr/>
      </w:pPr>
      <w:r>
        <w:rPr>
          <w:rFonts w:ascii="Carlito" w:hAnsi="Carlito"/>
          <w:sz w:val="24"/>
          <w:szCs w:val="24"/>
        </w:rPr>
        <w:t>As informações contidas neste Termo de Referência não são classificadas como sigilosas [exceto o custo estimado da contratação, que possui caráter sigiloso até o julgamento das propostas].</w:t>
      </w:r>
    </w:p>
    <w:p>
      <w:pPr>
        <w:pStyle w:val="Nvel02"/>
        <w:numPr>
          <w:ilvl w:val="0"/>
          <w:numId w:val="0"/>
        </w:numPr>
        <w:shd w:val="clear" w:fill="FFFFFF"/>
        <w:ind w:left="1913" w:right="0" w:hanging="0"/>
        <w:jc w:val="both"/>
        <w:rPr>
          <w:rFonts w:ascii="Carlito" w:hAnsi="Carlito"/>
          <w:sz w:val="24"/>
          <w:szCs w:val="24"/>
        </w:rPr>
      </w:pPr>
      <w:r>
        <w:rPr>
          <w:rFonts w:ascii="Carlito" w:hAnsi="Carlito"/>
          <w:sz w:val="24"/>
          <w:szCs w:val="24"/>
        </w:rPr>
      </w:r>
    </w:p>
    <w:p>
      <w:pPr>
        <w:pStyle w:val="Normal"/>
        <w:ind w:left="709" w:right="0" w:hanging="0"/>
        <w:jc w:val="both"/>
        <w:rPr/>
      </w:pPr>
      <w:r>
        <w:rPr>
          <w:rFonts w:ascii="Carlito" w:hAnsi="Carlito"/>
          <w:b w:val="false"/>
          <w:bCs w:val="false"/>
          <w:i w:val="false"/>
          <w:iCs w:val="false"/>
          <w:sz w:val="24"/>
          <w:szCs w:val="24"/>
        </w:rPr>
        <w:t>Rio de Janeiro, RJ, em          de agosto de 2025.</w:t>
      </w:r>
    </w:p>
    <w:p>
      <w:pPr>
        <w:pStyle w:val="Normal"/>
        <w:ind w:left="357" w:right="0" w:hanging="0"/>
        <w:jc w:val="center"/>
        <w:rPr>
          <w:rFonts w:ascii="Carlito" w:hAnsi="Carlito" w:eastAsia="Arial" w:cs="Arial"/>
          <w:i w:val="false"/>
          <w:i w:val="false"/>
          <w:iCs w:val="false"/>
          <w:sz w:val="24"/>
          <w:szCs w:val="24"/>
        </w:rPr>
      </w:pPr>
      <w:r>
        <w:rPr>
          <w:rFonts w:eastAsia="Arial" w:cs="Arial" w:ascii="Carlito" w:hAnsi="Carlito"/>
          <w:i w:val="false"/>
          <w:iCs w:val="false"/>
          <w:sz w:val="24"/>
          <w:szCs w:val="24"/>
        </w:rPr>
      </w:r>
    </w:p>
    <w:p>
      <w:pPr>
        <w:pStyle w:val="Normal"/>
        <w:ind w:left="357" w:right="0" w:hanging="0"/>
        <w:jc w:val="center"/>
        <w:rPr>
          <w:rFonts w:ascii="Carlito" w:hAnsi="Carlito" w:eastAsia="Arial" w:cs="Arial"/>
          <w:i w:val="false"/>
          <w:i w:val="false"/>
          <w:iCs w:val="false"/>
          <w:sz w:val="24"/>
          <w:szCs w:val="24"/>
        </w:rPr>
      </w:pPr>
      <w:r>
        <w:rPr>
          <w:rFonts w:eastAsia="Arial" w:cs="Arial" w:ascii="Carlito" w:hAnsi="Carlito"/>
          <w:i w:val="false"/>
          <w:iCs w:val="false"/>
          <w:sz w:val="24"/>
          <w:szCs w:val="24"/>
        </w:rPr>
      </w:r>
    </w:p>
    <w:p>
      <w:pPr>
        <w:pStyle w:val="Normal"/>
        <w:ind w:left="357" w:right="0" w:hanging="0"/>
        <w:jc w:val="center"/>
        <w:rPr>
          <w:rFonts w:ascii="Carlito" w:hAnsi="Carlito" w:eastAsia="Arial" w:cs="Arial"/>
          <w:i w:val="false"/>
          <w:i w:val="false"/>
          <w:iCs w:val="false"/>
          <w:sz w:val="24"/>
          <w:szCs w:val="24"/>
        </w:rPr>
      </w:pPr>
      <w:r>
        <w:rPr>
          <w:rFonts w:eastAsia="Arial" w:cs="Arial" w:ascii="Carlito" w:hAnsi="Carlito"/>
          <w:i w:val="false"/>
          <w:iCs w:val="false"/>
          <w:sz w:val="24"/>
          <w:szCs w:val="24"/>
        </w:rPr>
        <w:t xml:space="preserve">  </w:t>
      </w:r>
    </w:p>
    <w:p>
      <w:pPr>
        <w:pStyle w:val="Normal"/>
        <w:ind w:left="357" w:right="0" w:hanging="0"/>
        <w:jc w:val="center"/>
        <w:rPr>
          <w:rFonts w:ascii="Carlito" w:hAnsi="Carlito" w:eastAsia="Arial" w:cs="Arial"/>
          <w:i w:val="false"/>
          <w:i w:val="false"/>
          <w:iCs w:val="false"/>
          <w:sz w:val="24"/>
          <w:szCs w:val="24"/>
        </w:rPr>
      </w:pPr>
      <w:r>
        <w:rPr>
          <w:rFonts w:eastAsia="Arial" w:cs="Arial" w:ascii="Carlito" w:hAnsi="Carlito"/>
          <w:i w:val="false"/>
          <w:iCs w:val="false"/>
          <w:sz w:val="24"/>
          <w:szCs w:val="24"/>
        </w:rPr>
      </w:r>
    </w:p>
    <w:p>
      <w:pPr>
        <w:pStyle w:val="Normal"/>
        <w:spacing w:before="0" w:after="0"/>
        <w:ind w:left="357" w:right="0" w:hanging="0"/>
        <w:jc w:val="center"/>
        <w:rPr>
          <w:rFonts w:ascii="Carlito" w:hAnsi="Carlito" w:eastAsia="Arial" w:cs="Arial"/>
          <w:i w:val="false"/>
          <w:i w:val="false"/>
          <w:iCs w:val="false"/>
          <w:sz w:val="24"/>
          <w:szCs w:val="24"/>
        </w:rPr>
      </w:pPr>
      <w:r>
        <w:rPr>
          <w:rFonts w:eastAsia="Arial" w:cs="Arial" w:ascii="Carlito" w:hAnsi="Carlito"/>
          <w:i w:val="false"/>
          <w:iCs w:val="false"/>
          <w:sz w:val="24"/>
          <w:szCs w:val="24"/>
        </w:rPr>
        <w:t>______________________________________________</w:t>
        <w:br/>
      </w:r>
      <w:r>
        <w:rPr>
          <w:rFonts w:eastAsia="Times New Roman" w:cs="Times New Roman" w:ascii="Calibri" w:hAnsi="Calibri"/>
          <w:b w:val="false"/>
          <w:i w:val="false"/>
          <w:iCs w:val="false"/>
          <w:color w:val="auto"/>
          <w:kern w:val="2"/>
          <w:sz w:val="24"/>
          <w:szCs w:val="24"/>
          <w:lang w:val="pt-BR" w:eastAsia="zh-CN" w:bidi="ar-SA"/>
        </w:rPr>
        <w:t>JOEL PEREIRA ANASTÁCIO</w:t>
      </w:r>
    </w:p>
    <w:p>
      <w:pPr>
        <w:pStyle w:val="Contedodatabela"/>
        <w:widowControl/>
        <w:suppressAutoHyphens w:val="true"/>
        <w:overflowPunct w:val="true"/>
        <w:bidi w:val="0"/>
        <w:snapToGrid w:val="false"/>
        <w:ind w:left="0" w:right="0" w:hanging="0"/>
        <w:jc w:val="center"/>
        <w:rPr>
          <w:rFonts w:ascii="Calibri" w:hAnsi="Calibri" w:eastAsia="Times New Roman" w:cs="Times New Roman"/>
          <w:b w:val="false"/>
          <w:b w:val="false"/>
          <w:color w:val="auto"/>
          <w:kern w:val="2"/>
          <w:sz w:val="24"/>
          <w:szCs w:val="24"/>
          <w:lang w:val="pt-BR" w:eastAsia="zh-CN" w:bidi="ar-SA"/>
        </w:rPr>
      </w:pPr>
      <w:r>
        <w:rPr>
          <w:rStyle w:val="Fontepargpadro"/>
          <w:rFonts w:eastAsia="Times New Roman" w:cs="Times New Roman" w:ascii="Calibri" w:hAnsi="Calibri"/>
          <w:b w:val="false"/>
          <w:bCs w:val="false"/>
          <w:i w:val="false"/>
          <w:iCs/>
          <w:strike w:val="false"/>
          <w:dstrike w:val="false"/>
          <w:outline w:val="false"/>
          <w:shadow w:val="false"/>
          <w:color w:val="000000"/>
          <w:kern w:val="2"/>
          <w:sz w:val="24"/>
          <w:szCs w:val="24"/>
          <w:u w:val="none"/>
          <w:shd w:fill="FFFFFF" w:val="clear"/>
          <w:em w:val="none"/>
          <w:lang w:val="pt-BR" w:eastAsia="zh-CN" w:bidi="ar-SA"/>
        </w:rPr>
        <w:t>CAPITÃO-TENENTE</w:t>
      </w:r>
    </w:p>
    <w:p>
      <w:pPr>
        <w:pStyle w:val="Normal"/>
        <w:spacing w:before="0" w:after="0"/>
        <w:ind w:left="357" w:right="0" w:hanging="0"/>
        <w:jc w:val="center"/>
        <w:rPr>
          <w:rFonts w:ascii="Carlito" w:hAnsi="Carlito"/>
          <w:sz w:val="24"/>
          <w:szCs w:val="24"/>
        </w:rPr>
      </w:pPr>
      <w:r>
        <w:rPr>
          <w:rStyle w:val="Fontepargpadro"/>
          <w:rFonts w:eastAsia="Times New Roman" w:cs="Times New Roman" w:ascii="Calibri" w:hAnsi="Calibri"/>
          <w:b w:val="false"/>
          <w:bCs w:val="false"/>
          <w:i w:val="false"/>
          <w:iCs/>
          <w:strike w:val="false"/>
          <w:dstrike w:val="false"/>
          <w:outline w:val="false"/>
          <w:shadow w:val="false"/>
          <w:color w:val="000000"/>
          <w:kern w:val="2"/>
          <w:sz w:val="24"/>
          <w:szCs w:val="24"/>
          <w:highlight w:val="white"/>
          <w:u w:val="none"/>
          <w:shd w:fill="FFFFFF" w:val="clear"/>
          <w:em w:val="none"/>
          <w:lang w:val="pt-BR" w:eastAsia="zh-CN" w:bidi="ar-SA"/>
        </w:rPr>
        <w:t>ENCARREGADO DA DIVISÃO DE MANUTENÇÃO E SUPORTE</w:t>
      </w:r>
    </w:p>
    <w:p>
      <w:pPr>
        <w:pStyle w:val="Normal"/>
        <w:spacing w:before="0" w:after="0"/>
        <w:ind w:left="357" w:right="0" w:hanging="0"/>
        <w:jc w:val="center"/>
        <w:rPr>
          <w:rFonts w:ascii="Carlito" w:hAnsi="Carlito"/>
          <w:sz w:val="24"/>
          <w:szCs w:val="24"/>
        </w:rPr>
      </w:pPr>
      <w:r>
        <w:rPr>
          <w:rFonts w:ascii="Carlito" w:hAnsi="Carlito"/>
          <w:sz w:val="24"/>
          <w:szCs w:val="24"/>
        </w:rPr>
      </w:r>
    </w:p>
    <w:p>
      <w:pPr>
        <w:pStyle w:val="Normal"/>
        <w:shd w:val="clear" w:fill="FFFFFF"/>
        <w:spacing w:before="0" w:after="0"/>
        <w:ind w:left="0" w:right="0" w:hanging="0"/>
        <w:jc w:val="center"/>
        <w:rPr>
          <w:rStyle w:val="Fontepargpadro"/>
          <w:rFonts w:ascii="Carlito" w:hAnsi="Carlito"/>
          <w:sz w:val="24"/>
          <w:szCs w:val="24"/>
        </w:rPr>
      </w:pPr>
      <w:r>
        <w:rPr>
          <w:rFonts w:ascii="Carlito" w:hAnsi="Carlito"/>
          <w:sz w:val="24"/>
          <w:szCs w:val="24"/>
        </w:rPr>
      </w:r>
    </w:p>
    <w:p>
      <w:pPr>
        <w:pStyle w:val="Normal"/>
        <w:shd w:val="clear" w:fill="FFFFFF"/>
        <w:spacing w:before="0" w:after="0"/>
        <w:ind w:left="709" w:right="0" w:hanging="0"/>
        <w:jc w:val="both"/>
        <w:rPr>
          <w:rStyle w:val="Fontepargpadro"/>
          <w:rFonts w:ascii="Carlito" w:hAnsi="Carlito"/>
          <w:sz w:val="24"/>
          <w:szCs w:val="24"/>
        </w:rPr>
      </w:pPr>
      <w:r>
        <w:rPr>
          <w:rStyle w:val="Fontepargpadro"/>
          <w:rFonts w:ascii="Carlito" w:hAnsi="Carlito"/>
          <w:b w:val="false"/>
          <w:bCs w:val="false"/>
          <w:i w:val="false"/>
          <w:iCs w:val="false"/>
          <w:sz w:val="24"/>
          <w:szCs w:val="24"/>
        </w:rPr>
        <w:t>Rio de Janeiro, RJ, em          de agosto de 2025.</w:t>
      </w:r>
    </w:p>
    <w:p>
      <w:pPr>
        <w:pStyle w:val="Normal"/>
        <w:shd w:val="clear" w:fill="FFFFFF"/>
        <w:spacing w:before="0" w:after="0"/>
        <w:ind w:left="0" w:right="0" w:hanging="0"/>
        <w:jc w:val="center"/>
        <w:rPr>
          <w:rStyle w:val="Fontepargpadro"/>
          <w:rFonts w:ascii="Carlito" w:hAnsi="Carlito"/>
          <w:sz w:val="24"/>
          <w:szCs w:val="24"/>
        </w:rPr>
      </w:pPr>
      <w:r>
        <w:rPr>
          <w:rFonts w:ascii="Carlito" w:hAnsi="Carlito"/>
          <w:sz w:val="24"/>
          <w:szCs w:val="24"/>
        </w:rPr>
      </w:r>
    </w:p>
    <w:p>
      <w:pPr>
        <w:pStyle w:val="Normal"/>
        <w:shd w:val="clear" w:fill="FFFFFF"/>
        <w:spacing w:before="0" w:after="0"/>
        <w:ind w:left="0" w:right="0" w:hanging="0"/>
        <w:jc w:val="center"/>
        <w:rPr>
          <w:rStyle w:val="Fontepargpadro"/>
          <w:rFonts w:ascii="Carlito" w:hAnsi="Carlito"/>
          <w:sz w:val="24"/>
          <w:szCs w:val="24"/>
        </w:rPr>
      </w:pPr>
      <w:r>
        <w:rPr>
          <w:rFonts w:ascii="Carlito" w:hAnsi="Carlito"/>
          <w:sz w:val="24"/>
          <w:szCs w:val="24"/>
        </w:rPr>
      </w:r>
    </w:p>
    <w:p>
      <w:pPr>
        <w:pStyle w:val="Normal"/>
        <w:shd w:val="clear" w:fill="FFFFFF"/>
        <w:spacing w:before="0" w:after="0"/>
        <w:ind w:left="0" w:right="0" w:hanging="0"/>
        <w:jc w:val="center"/>
        <w:rPr>
          <w:rStyle w:val="Fontepargpadro"/>
          <w:rFonts w:ascii="Carlito" w:hAnsi="Carlito"/>
          <w:sz w:val="24"/>
          <w:szCs w:val="24"/>
        </w:rPr>
      </w:pPr>
      <w:r>
        <w:rPr>
          <w:rFonts w:ascii="Carlito" w:hAnsi="Carlito"/>
          <w:sz w:val="24"/>
          <w:szCs w:val="24"/>
        </w:rPr>
      </w:r>
    </w:p>
    <w:p>
      <w:pPr>
        <w:pStyle w:val="Normal"/>
        <w:shd w:val="clear" w:fill="FFFFFF"/>
        <w:spacing w:before="0" w:after="0"/>
        <w:ind w:left="0" w:right="0" w:hanging="0"/>
        <w:jc w:val="center"/>
        <w:rPr>
          <w:rStyle w:val="Fontepargpadro"/>
          <w:rFonts w:ascii="Carlito" w:hAnsi="Carlito"/>
          <w:sz w:val="24"/>
          <w:szCs w:val="24"/>
        </w:rPr>
      </w:pPr>
      <w:r>
        <w:rPr>
          <w:rFonts w:ascii="Carlito" w:hAnsi="Carlito"/>
          <w:sz w:val="24"/>
          <w:szCs w:val="24"/>
        </w:rPr>
      </w:r>
    </w:p>
    <w:p>
      <w:pPr>
        <w:pStyle w:val="Normal"/>
        <w:widowControl/>
        <w:suppressAutoHyphens w:val="true"/>
        <w:overflowPunct w:val="false"/>
        <w:bidi w:val="0"/>
        <w:spacing w:before="0" w:after="0"/>
        <w:ind w:left="0" w:right="0" w:hanging="340"/>
        <w:jc w:val="center"/>
        <w:rPr>
          <w:rFonts w:ascii="Carlito" w:hAnsi="Carlito" w:eastAsia="Arial" w:cs="Arial"/>
          <w:i w:val="false"/>
          <w:i w:val="false"/>
          <w:iCs w:val="false"/>
          <w:sz w:val="24"/>
          <w:szCs w:val="24"/>
        </w:rPr>
      </w:pPr>
      <w:r>
        <w:rPr>
          <w:rFonts w:eastAsia="Arial" w:cs="Arial" w:ascii="Carlito" w:hAnsi="Carlito"/>
          <w:i w:val="false"/>
          <w:iCs w:val="false"/>
          <w:sz w:val="24"/>
          <w:szCs w:val="24"/>
        </w:rPr>
        <w:t>______________________________________________</w:t>
        <w:br/>
      </w:r>
      <w:r>
        <w:rPr>
          <w:rFonts w:eastAsia="Times New Roman" w:cs="Times New Roman" w:ascii="Calibri" w:hAnsi="Calibri"/>
          <w:b w:val="false"/>
          <w:i w:val="false"/>
          <w:iCs w:val="false"/>
          <w:color w:val="auto"/>
          <w:kern w:val="2"/>
          <w:sz w:val="24"/>
          <w:szCs w:val="24"/>
          <w:lang w:val="pt-BR" w:eastAsia="zh-CN" w:bidi="ar-SA"/>
        </w:rPr>
        <w:t>HÉLIO CANCIAN NETO</w:t>
      </w:r>
    </w:p>
    <w:p>
      <w:pPr>
        <w:pStyle w:val="Normal"/>
        <w:widowControl/>
        <w:suppressAutoHyphens w:val="true"/>
        <w:overflowPunct w:val="true"/>
        <w:bidi w:val="0"/>
        <w:ind w:left="0" w:right="0" w:hanging="0"/>
        <w:jc w:val="center"/>
        <w:rPr>
          <w:rFonts w:ascii="Calibri" w:hAnsi="Calibri" w:eastAsia="Times New Roman" w:cs="Times New Roman"/>
          <w:b w:val="false"/>
          <w:b w:val="false"/>
          <w:color w:val="auto"/>
          <w:kern w:val="2"/>
          <w:sz w:val="24"/>
          <w:szCs w:val="24"/>
          <w:lang w:val="pt-BR" w:eastAsia="zh-CN" w:bidi="ar-SA"/>
        </w:rPr>
      </w:pPr>
      <w:r>
        <w:rPr>
          <w:rFonts w:eastAsia="Times New Roman" w:cs="Times New Roman" w:ascii="Calibri" w:hAnsi="Calibri"/>
          <w:b w:val="false"/>
          <w:color w:val="auto"/>
          <w:kern w:val="2"/>
          <w:sz w:val="24"/>
          <w:szCs w:val="24"/>
          <w:lang w:val="pt-BR" w:eastAsia="zh-CN" w:bidi="ar-SA"/>
        </w:rPr>
        <w:t xml:space="preserve"> </w:t>
      </w:r>
      <w:r>
        <w:rPr>
          <w:rFonts w:eastAsia="Times New Roman" w:cs="Times New Roman" w:ascii="Calibri" w:hAnsi="Calibri"/>
          <w:b w:val="false"/>
          <w:color w:val="auto"/>
          <w:kern w:val="2"/>
          <w:sz w:val="24"/>
          <w:szCs w:val="24"/>
          <w:lang w:val="pt-BR" w:eastAsia="zh-CN" w:bidi="ar-SA"/>
        </w:rPr>
        <w:t xml:space="preserve">Capitão de Fragata </w:t>
      </w:r>
    </w:p>
    <w:p>
      <w:pPr>
        <w:pStyle w:val="Normal"/>
        <w:widowControl/>
        <w:suppressAutoHyphens w:val="true"/>
        <w:overflowPunct w:val="true"/>
        <w:bidi w:val="0"/>
        <w:ind w:left="0" w:right="0" w:hanging="0"/>
        <w:jc w:val="center"/>
        <w:rPr>
          <w:rFonts w:ascii="Calibri" w:hAnsi="Calibri" w:eastAsia="Times New Roman" w:cs="Times New Roman"/>
          <w:b w:val="false"/>
          <w:b w:val="false"/>
          <w:color w:val="auto"/>
          <w:kern w:val="2"/>
          <w:sz w:val="24"/>
          <w:szCs w:val="24"/>
          <w:lang w:val="pt-BR" w:eastAsia="zh-CN" w:bidi="ar-SA"/>
        </w:rPr>
      </w:pPr>
      <w:r>
        <w:rPr>
          <w:rStyle w:val="Fontepargpadro"/>
          <w:rFonts w:eastAsia="Times New Roman" w:cs="Times New Roman" w:ascii="Calibri" w:hAnsi="Calibri"/>
          <w:b w:val="false"/>
          <w:bCs w:val="false"/>
          <w:i w:val="false"/>
          <w:iCs w:val="false"/>
          <w:color w:val="auto"/>
          <w:kern w:val="2"/>
          <w:sz w:val="24"/>
          <w:szCs w:val="24"/>
          <w:lang w:val="pt-BR" w:eastAsia="zh-CN" w:bidi="ar-SA"/>
        </w:rPr>
        <w:t>Ordenador de Despesas</w:t>
      </w:r>
    </w:p>
    <w:sectPr>
      <w:headerReference w:type="default" r:id="rId7"/>
      <w:footerReference w:type="default" r:id="rId8"/>
      <w:type w:val="nextPage"/>
      <w:pgSz w:w="11906" w:h="16838"/>
      <w:pgMar w:left="1134" w:right="1127"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Arial">
    <w:charset w:val="01"/>
    <w:family w:val="roman"/>
    <w:pitch w:val="variable"/>
  </w:font>
  <w:font w:name="Calibri">
    <w:charset w:val="01"/>
    <w:family w:val="roman"/>
    <w:pitch w:val="variable"/>
  </w:font>
  <w:font w:name="Tahoma">
    <w:charset w:val="01"/>
    <w:family w:val="roman"/>
    <w:pitch w:val="variable"/>
  </w:font>
  <w:font w:name="Courier New">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CALIBRI">
    <w:charset w:val="01"/>
    <w:family w:val="roman"/>
    <w:pitch w:val="variable"/>
  </w:font>
  <w:font w:name="Carlito">
    <w:altName w:val="Calibri"/>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548DD4"/>
        <w:spacing w:val="60"/>
        <w:sz w:val="22"/>
        <w:szCs w:val="22"/>
      </w:rPr>
    </w:pPr>
    <w:r>
      <w:rPr>
        <w:color w:val="548DD4"/>
        <w:spacing w:val="60"/>
        <w:sz w:val="22"/>
        <w:szCs w:val="22"/>
      </w:rPr>
    </w:r>
  </w:p>
  <w:p>
    <w:pPr>
      <w:pStyle w:val="Rodap"/>
      <w:rPr/>
    </w:pPr>
    <w:r>
      <w:rPr>
        <w:color w:val="7F7F7F"/>
        <w:spacing w:val="60"/>
        <w:sz w:val="22"/>
        <w:szCs w:val="22"/>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sz w:val="18"/>
        <w:szCs w:val="18"/>
      </w:rPr>
      <w:fldChar w:fldCharType="begin"/>
    </w:r>
    <w:r>
      <w:rPr>
        <w:sz w:val="18"/>
        <w:szCs w:val="18"/>
        <w:rFonts w:cs="Arial" w:ascii="Arial" w:hAnsi="Arial"/>
      </w:rPr>
      <w:instrText xml:space="preserve"> PAGE </w:instrText>
    </w:r>
    <w:r>
      <w:rPr>
        <w:sz w:val="18"/>
        <w:szCs w:val="18"/>
        <w:rFonts w:cs="Arial" w:ascii="Arial" w:hAnsi="Arial"/>
      </w:rPr>
      <w:fldChar w:fldCharType="separate"/>
    </w:r>
    <w:r>
      <w:rPr>
        <w:sz w:val="18"/>
        <w:szCs w:val="18"/>
        <w:rFonts w:cs="Arial" w:ascii="Arial" w:hAnsi="Arial"/>
      </w:rPr>
      <w:t>20</w:t>
    </w:r>
    <w:r>
      <w:rPr>
        <w:sz w:val="18"/>
        <w:szCs w:val="18"/>
        <w:rFonts w:cs="Arial" w:ascii="Arial" w:hAnsi="Arial"/>
      </w:rPr>
      <w:fldChar w:fldCharType="end"/>
    </w:r>
    <w:r>
      <w:rPr>
        <w:rFonts w:cs="Arial" w:ascii="Arial" w:hAnsi="Arial"/>
        <w:color w:val="595959"/>
        <w:sz w:val="18"/>
        <w:szCs w:val="18"/>
      </w:rPr>
      <w:t xml:space="preserve"> | </w:t>
    </w:r>
    <w:r>
      <w:rPr>
        <w:rFonts w:cs="Arial" w:ascii="Arial" w:hAnsi="Arial"/>
        <w:sz w:val="18"/>
        <w:szCs w:val="18"/>
      </w:rPr>
      <w:fldChar w:fldCharType="begin"/>
    </w:r>
    <w:r>
      <w:rPr>
        <w:sz w:val="18"/>
        <w:szCs w:val="18"/>
        <w:rFonts w:cs="Arial" w:ascii="Arial" w:hAnsi="Arial"/>
      </w:rPr>
      <w:instrText xml:space="preserve"> NUMPAGES </w:instrText>
    </w:r>
    <w:r>
      <w:rPr>
        <w:sz w:val="18"/>
        <w:szCs w:val="18"/>
        <w:rFonts w:cs="Arial" w:ascii="Arial" w:hAnsi="Arial"/>
      </w:rPr>
      <w:fldChar w:fldCharType="separate"/>
    </w:r>
    <w:r>
      <w:rPr>
        <w:sz w:val="18"/>
        <w:szCs w:val="18"/>
        <w:rFonts w:cs="Arial" w:ascii="Arial" w:hAnsi="Arial"/>
      </w:rPr>
      <w:t>20</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Modelo de Termo de Referência para Obras e Serviços, exceto TIC – Licitação e Contratação Direta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r>
      <w:rPr>
        <w:rFonts w:cs="Arial" w:ascii="Arial" w:hAnsi="Arial"/>
        <w:sz w:val="14"/>
        <w:szCs w:val="14"/>
      </w:rPr>
      <w:t>Atualização: ABR/2025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tulo1"/>
      <w:numFmt w:val="decimal"/>
      <w:lvlText w:val="%1"/>
      <w:lvlJc w:val="left"/>
      <w:pPr>
        <w:tabs>
          <w:tab w:val="num" w:pos="0"/>
        </w:tabs>
        <w:ind w:left="360" w:hanging="360"/>
      </w:pPr>
      <w:rPr>
        <w:b/>
      </w:rPr>
    </w:lvl>
    <w:lvl w:ilvl="1">
      <w:start w:val="1"/>
      <w:pStyle w:val="Ttulo2"/>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720"/>
        </w:tabs>
        <w:ind w:left="720" w:hanging="360"/>
      </w:pPr>
      <w:rPr/>
    </w:lvl>
    <w:lvl w:ilvl="1">
      <w:start w:val="1"/>
      <w:numFmt w:val="decimal"/>
      <w:lvlText w:val="%1.%2."/>
      <w:lvlJc w:val="left"/>
      <w:pPr>
        <w:tabs>
          <w:tab w:val="num" w:pos="1080"/>
        </w:tabs>
        <w:ind w:left="1080" w:hanging="360"/>
      </w:pPr>
      <w:rPr>
        <w:sz w:val="24"/>
        <w:b w:val="false"/>
        <w:szCs w:val="24"/>
        <w:rFonts w:ascii="Carlito" w:hAnsi="Carlito"/>
      </w:rPr>
    </w:lvl>
    <w:lvl w:ilvl="2">
      <w:start w:val="1"/>
      <w:numFmt w:val="lowerLetter"/>
      <w:lvlText w:val="%2.%3"/>
      <w:lvlJc w:val="left"/>
      <w:pPr>
        <w:tabs>
          <w:tab w:val="num" w:pos="1440"/>
        </w:tabs>
        <w:ind w:left="1440" w:hanging="360"/>
      </w:pPr>
      <w:rPr/>
    </w:lvl>
    <w:lvl w:ilvl="3">
      <w:start w:val="1"/>
      <w:numFmt w:val="bullet"/>
      <w:lvlText w:val=""/>
      <w:lvlJc w:val="left"/>
      <w:pPr>
        <w:tabs>
          <w:tab w:val="num" w:pos="1800"/>
        </w:tabs>
        <w:ind w:left="1800" w:hanging="360"/>
      </w:pPr>
      <w:rPr>
        <w:rFonts w:ascii="Symbol" w:hAnsi="Symbol" w:cs="Symbol" w:hint="default"/>
        <w:sz w:val="24"/>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mirrorMargins/>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Ecofont_Spranq_eco_Sans" w:hAnsi="Ecofont_Spranq_eco_Sans" w:eastAsia="ＭＳ 明朝" w:cs="Tahoma"/>
      <w:color w:val="auto"/>
      <w:kern w:val="0"/>
      <w:sz w:val="24"/>
      <w:szCs w:val="24"/>
      <w:lang w:val="pt-BR" w:eastAsia="pt-BR" w:bidi="ar-SA"/>
    </w:rPr>
  </w:style>
  <w:style w:type="paragraph" w:styleId="Ttulo1">
    <w:name w:val="Heading 1"/>
    <w:basedOn w:val="Normal"/>
    <w:next w:val="Normal"/>
    <w:qFormat/>
    <w:pPr>
      <w:keepNext w:val="true"/>
      <w:keepLines/>
      <w:numPr>
        <w:ilvl w:val="0"/>
        <w:numId w:val="1"/>
      </w:numPr>
      <w:spacing w:before="480" w:after="0"/>
      <w:outlineLvl w:val="0"/>
    </w:pPr>
    <w:rPr>
      <w:rFonts w:ascii="Arial" w:hAnsi="Arial" w:eastAsia="ＭＳ ゴシック" w:cs="Times New Roman"/>
      <w:b/>
      <w:bCs/>
      <w:sz w:val="20"/>
      <w:szCs w:val="28"/>
    </w:rPr>
  </w:style>
  <w:style w:type="paragraph" w:styleId="Ttulo2">
    <w:name w:val="Heading 2"/>
    <w:basedOn w:val="Normal"/>
    <w:next w:val="Normal"/>
    <w:qFormat/>
    <w:pPr>
      <w:keepNext w:val="true"/>
      <w:numPr>
        <w:ilvl w:val="1"/>
        <w:numId w:val="1"/>
      </w:numPr>
      <w:spacing w:lineRule="auto" w:line="276" w:before="120" w:after="120"/>
      <w:ind w:left="0" w:right="0" w:hanging="0"/>
      <w:jc w:val="both"/>
      <w:outlineLvl w:val="1"/>
    </w:pPr>
    <w:rPr>
      <w:rFonts w:ascii="Arial" w:hAnsi="Arial" w:cs="Times New Roman"/>
      <w:sz w:val="20"/>
      <w:szCs w:val="20"/>
    </w:rPr>
  </w:style>
  <w:style w:type="paragraph" w:styleId="Ttulo3">
    <w:name w:val="Heading 3"/>
    <w:basedOn w:val="Normal"/>
    <w:next w:val="Normal"/>
    <w:qFormat/>
    <w:pPr>
      <w:keepNext w:val="true"/>
      <w:keepLines/>
      <w:spacing w:lineRule="auto" w:line="259" w:before="40" w:after="0"/>
      <w:outlineLvl w:val="2"/>
    </w:pPr>
    <w:rPr>
      <w:rFonts w:ascii="Calibri" w:hAnsi="Calibri" w:eastAsia="ＭＳ ゴシック" w:cs="Times New Roman"/>
      <w:color w:val="243F60"/>
      <w:lang w:eastAsia="en-US"/>
    </w:rPr>
  </w:style>
  <w:style w:type="paragraph" w:styleId="Ttulo4">
    <w:name w:val="Heading 4"/>
    <w:basedOn w:val="Normal"/>
    <w:next w:val="Normal"/>
    <w:qFormat/>
    <w:pPr>
      <w:keepNext w:val="true"/>
      <w:keepLines/>
      <w:spacing w:before="40" w:after="0"/>
      <w:outlineLvl w:val="3"/>
    </w:pPr>
    <w:rPr>
      <w:rFonts w:ascii="Calibri" w:hAnsi="Calibri" w:eastAsia="ＭＳ ゴシック" w:cs="Times New Roman"/>
      <w:i/>
      <w:iCs/>
      <w:color w:val="365F91"/>
    </w:rPr>
  </w:style>
  <w:style w:type="paragraph" w:styleId="Ttulo6">
    <w:name w:val="Heading 6"/>
    <w:basedOn w:val="Normal"/>
    <w:next w:val="Normal"/>
    <w:qFormat/>
    <w:pPr>
      <w:keepNext w:val="true"/>
      <w:keepLines/>
      <w:spacing w:lineRule="auto" w:line="259" w:before="40" w:after="0"/>
      <w:outlineLvl w:val="5"/>
    </w:pPr>
    <w:rPr>
      <w:rFonts w:ascii="Calibri" w:hAnsi="Calibri" w:eastAsia="ＭＳ ゴシック" w:cs="Times New Roman"/>
      <w:color w:val="243F60"/>
      <w:sz w:val="22"/>
      <w:szCs w:val="22"/>
      <w:lang w:eastAsia="en-US"/>
    </w:rPr>
  </w:style>
  <w:style w:type="character" w:styleId="DefaultParagraphFont">
    <w:name w:val="Default Paragraph Font"/>
    <w:qFormat/>
    <w:rPr/>
  </w:style>
  <w:style w:type="character" w:styleId="TextodebaloChar">
    <w:name w:val="Texto de balão Char"/>
    <w:qFormat/>
    <w:rPr>
      <w:rFonts w:ascii="Tahoma" w:hAnsi="Tahoma" w:cs="Tahoma"/>
      <w:sz w:val="16"/>
      <w:szCs w:val="16"/>
    </w:rPr>
  </w:style>
  <w:style w:type="character" w:styleId="Ttulo2Char">
    <w:name w:val="Título 2 Char"/>
    <w:qFormat/>
    <w:rPr>
      <w:rFonts w:ascii="Arial" w:hAnsi="Arial"/>
      <w:lang w:eastAsia="pt-BR"/>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Link da Internet"/>
    <w:basedOn w:val="DefaultParagraphFont"/>
    <w:rPr>
      <w:color w:val="0000FF"/>
      <w:u w:val="single"/>
    </w:rPr>
  </w:style>
  <w:style w:type="character" w:styleId="CitaoChar">
    <w:name w:val="Citação Char"/>
    <w:qFormat/>
    <w:rPr>
      <w:rFonts w:ascii="Arial" w:hAnsi="Arial" w:eastAsia="Calibri" w:cs="Tahoma"/>
      <w:i/>
      <w:iCs/>
      <w:color w:val="000000"/>
      <w:szCs w:val="24"/>
    </w:rPr>
  </w:style>
  <w:style w:type="character" w:styleId="NotaexplicativaChar">
    <w:name w:val="Nota explicativa Char"/>
    <w:basedOn w:val="CitaoChar"/>
    <w:qFormat/>
    <w:rPr>
      <w:rFonts w:ascii="Arial" w:hAnsi="Arial" w:eastAsia="Calibri" w:cs="Tahoma"/>
      <w:i/>
      <w:iCs/>
      <w:color w:val="000000"/>
      <w:szCs w:val="24"/>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Ecofont_Spranq_eco_Sans" w:hAnsi="Ecofont_Spranq_eco_Sans" w:cs="Tahoma"/>
      <w:lang w:eastAsia="pt-BR"/>
    </w:rPr>
  </w:style>
  <w:style w:type="character" w:styleId="AssuntodocomentrioChar">
    <w:name w:val="Assunto do comentário Char"/>
    <w:basedOn w:val="TextodecomentrioChar"/>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ＭＳ ゴシック" w:cs="Times New Roman"/>
      <w:i/>
      <w:iCs/>
      <w:color w:val="365F91"/>
      <w:sz w:val="24"/>
      <w:szCs w:val="24"/>
      <w:lang w:eastAsia="pt-BR"/>
    </w:rPr>
  </w:style>
  <w:style w:type="character" w:styleId="TtuloChar">
    <w:name w:val="Título Char"/>
    <w:basedOn w:val="DefaultParagraphFont"/>
    <w:qFormat/>
    <w:rPr>
      <w:rFonts w:ascii="Calibri" w:hAnsi="Calibri" w:eastAsia="ＭＳ ゴシック" w:cs="Times New Roman"/>
      <w:color w:val="17365D"/>
      <w:spacing w:val="5"/>
      <w:kern w:val="2"/>
      <w:sz w:val="52"/>
      <w:szCs w:val="52"/>
      <w:lang w:eastAsia="pt-BR"/>
    </w:rPr>
  </w:style>
  <w:style w:type="character" w:styleId="Nivel01Char">
    <w:name w:val="Nivel 01 Char"/>
    <w:basedOn w:val="TtuloChar"/>
    <w:qFormat/>
    <w:rPr>
      <w:rFonts w:ascii="Arial" w:hAnsi="Arial" w:eastAsia="Arial" w:cs="Arial"/>
      <w:b/>
      <w:iCs/>
      <w:color w:val="17365D"/>
      <w:spacing w:val="5"/>
      <w:kern w:val="2"/>
      <w:sz w:val="52"/>
      <w:szCs w:val="52"/>
      <w:lang w:eastAsia="pt-BR"/>
    </w:rPr>
  </w:style>
  <w:style w:type="character" w:styleId="Ttulo1Char">
    <w:name w:val="Título 1 Char"/>
    <w:basedOn w:val="DefaultParagraphFont"/>
    <w:qFormat/>
    <w:rPr>
      <w:rFonts w:ascii="Arial" w:hAnsi="Arial" w:eastAsia="ＭＳ ゴシック" w:cs="Times New Roman"/>
      <w:b/>
      <w:bCs/>
      <w:szCs w:val="28"/>
      <w:lang w:eastAsia="pt-BR"/>
    </w:rPr>
  </w:style>
  <w:style w:type="character" w:styleId="Nivel01TituloChar">
    <w:name w:val="Nivel_01_Titulo Char"/>
    <w:basedOn w:val="Nivel01Char"/>
    <w:qFormat/>
    <w:rPr>
      <w:rFonts w:ascii="Arial" w:hAnsi="Arial" w:eastAsia="ＭＳ ゴシック" w:cs="Times New Roman"/>
      <w:b/>
      <w:bCs w:val="false"/>
      <w:iCs/>
      <w:vanish w:val="false"/>
      <w:color w:val="000000"/>
      <w:spacing w:val="5"/>
      <w:kern w:val="2"/>
      <w:sz w:val="52"/>
      <w:szCs w:val="52"/>
      <w:lang w:eastAsia="pt-BR"/>
    </w:rPr>
  </w:style>
  <w:style w:type="character" w:styleId="QuoteChar">
    <w:name w:val="Quote Char"/>
    <w:basedOn w:val="DefaultParagraphFont"/>
    <w:qFormat/>
    <w:rPr>
      <w:rFonts w:ascii="Ecofont_Spranq_eco_Sans" w:hAnsi="Ecofont_Spranq_eco_Sans" w:eastAsia="Calibri" w:cs="Tahoma"/>
      <w:i/>
      <w:iCs/>
      <w:color w:val="000000"/>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qFormat/>
    <w:rPr>
      <w:rFonts w:eastAsia="Times New Roman"/>
      <w:sz w:val="24"/>
      <w:szCs w:val="24"/>
      <w:lang w:eastAsia="pt-BR"/>
    </w:rPr>
  </w:style>
  <w:style w:type="character" w:styleId="Nivel1Char">
    <w:name w:val="Nivel1 Char"/>
    <w:basedOn w:val="Ttulo1Char"/>
    <w:qFormat/>
    <w:rPr>
      <w:rFonts w:ascii="Arial" w:hAnsi="Arial" w:eastAsia="ＭＳ ゴシック" w:cs="Arial"/>
      <w:b/>
      <w:bCs w:val="false"/>
      <w:color w:val="000000"/>
      <w:szCs w:val="28"/>
      <w:lang w:eastAsia="pt-BR"/>
    </w:rPr>
  </w:style>
  <w:style w:type="character" w:styleId="Nivel4Char">
    <w:name w:val="Nivel 4 Char"/>
    <w:basedOn w:val="DefaultParagraphFont"/>
    <w:qFormat/>
    <w:rPr>
      <w:rFonts w:ascii="Arial" w:hAnsi="Arial" w:cs="Arial"/>
      <w:bCs/>
      <w:lang w:eastAsia="pt-BR"/>
    </w:rPr>
  </w:style>
  <w:style w:type="character" w:styleId="Cp0020corpodespachochar1">
    <w:name w:val="cp_0020corpodespacho__char1"/>
    <w:qFormat/>
    <w:rPr>
      <w:rFonts w:ascii="Times New Roman" w:hAnsi="Times New Roman" w:cs="Times New Roman"/>
      <w:strike w:val="false"/>
      <w:dstrike w:val="false"/>
      <w:sz w:val="26"/>
      <w:szCs w:val="26"/>
      <w:u w:val="none"/>
      <w:effect w:val="none"/>
    </w:rPr>
  </w:style>
  <w:style w:type="character" w:styleId="Em0020ementachar1">
    <w:name w:val="em_0020ementa__char1"/>
    <w:qFormat/>
    <w:rPr>
      <w:rFonts w:ascii="Times New Roman" w:hAnsi="Times New Roman" w:cs="Times New Roman"/>
      <w:strike w:val="false"/>
      <w:dstrike w:val="false"/>
      <w:sz w:val="28"/>
      <w:szCs w:val="28"/>
      <w:u w:val="none"/>
      <w:effect w:val="none"/>
    </w:rPr>
  </w:style>
  <w:style w:type="character" w:styleId="Strong">
    <w:name w:val="Strong"/>
    <w:basedOn w:val="DefaultParagraphFont"/>
    <w:qFormat/>
    <w:rPr>
      <w:b/>
      <w:bCs/>
    </w:rPr>
  </w:style>
  <w:style w:type="character" w:styleId="Nfase">
    <w:name w:val="Ênfase"/>
    <w:basedOn w:val="DefaultParagraphFont"/>
    <w:qFormat/>
    <w:rPr>
      <w:i/>
      <w:iCs/>
    </w:rPr>
  </w:style>
  <w:style w:type="character" w:styleId="Manoel">
    <w:name w:val="Manoel"/>
    <w:qFormat/>
    <w:rPr>
      <w:rFonts w:ascii="Arial" w:hAnsi="Arial" w:cs="Arial"/>
      <w:color w:val="7030A0"/>
      <w:sz w:val="20"/>
    </w:rPr>
  </w:style>
  <w:style w:type="character" w:styleId="GradeColoridanfase1Char">
    <w:name w:val="Grade Colorida - Ênfase 1 Char"/>
    <w:qFormat/>
    <w:rPr>
      <w:rFonts w:ascii="Arial" w:hAnsi="Arial" w:eastAsia="Calibri"/>
      <w:i/>
      <w:iCs/>
      <w:color w:val="000000"/>
      <w:szCs w:val="24"/>
    </w:rPr>
  </w:style>
  <w:style w:type="character" w:styleId="Highlight">
    <w:name w:val="highlight"/>
    <w:basedOn w:val="DefaultParagraphFont"/>
    <w:qFormat/>
    <w:rPr/>
  </w:style>
  <w:style w:type="character" w:styleId="Linkdainternetvisitado">
    <w:name w:val="Link da internet visitado"/>
    <w:basedOn w:val="DefaultParagraphFont"/>
    <w:rPr>
      <w:color w:val="800080"/>
      <w:u w:val="single"/>
    </w:rPr>
  </w:style>
  <w:style w:type="character" w:styleId="MenoPendente1">
    <w:name w:val="Menção Pendente1"/>
    <w:basedOn w:val="DefaultParagraphFont"/>
    <w:qFormat/>
    <w:rPr>
      <w:color w:val="605E5C"/>
    </w:rPr>
  </w:style>
  <w:style w:type="character" w:styleId="MenoPendente2">
    <w:name w:val="Menção Pendente2"/>
    <w:basedOn w:val="DefaultParagraphFont"/>
    <w:qFormat/>
    <w:rPr>
      <w:color w:val="605E5C"/>
    </w:rPr>
  </w:style>
  <w:style w:type="character" w:styleId="Nivel2OpcionalChar">
    <w:name w:val="Nivel 2-Opcional Char"/>
    <w:basedOn w:val="DefaultParagraphFont"/>
    <w:qFormat/>
    <w:rPr>
      <w:rFonts w:ascii="Arial" w:hAnsi="Arial" w:eastAsia="Arial" w:cs="Arial"/>
      <w:i/>
      <w:color w:val="FF0000"/>
      <w:lang w:eastAsia="pt-BR"/>
    </w:rPr>
  </w:style>
  <w:style w:type="character" w:styleId="Nvel2OpcionalChar">
    <w:name w:val="Nível 2 Opcional Char"/>
    <w:basedOn w:val="DefaultParagraphFont"/>
    <w:qFormat/>
    <w:rPr>
      <w:rFonts w:ascii="Arial" w:hAnsi="Arial" w:eastAsia="Times New Roman" w:cs="Arial"/>
      <w:i/>
      <w:color w:val="FF0000"/>
      <w:lang w:eastAsia="pt-BR"/>
    </w:rPr>
  </w:style>
  <w:style w:type="character" w:styleId="Nvel3OpcionalChar">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qFormat/>
    <w:rPr>
      <w:rFonts w:ascii="Ecofont_Spranq_eco_Sans" w:hAnsi="Ecofont_Spranq_eco_Sans" w:cs="Tahoma"/>
      <w:sz w:val="24"/>
      <w:szCs w:val="24"/>
      <w:lang w:eastAsia="pt-BR"/>
    </w:rPr>
  </w:style>
  <w:style w:type="character" w:styleId="Ttulo3Char">
    <w:name w:val="Título 3 Char"/>
    <w:basedOn w:val="DefaultParagraphFont"/>
    <w:qFormat/>
    <w:rPr>
      <w:rFonts w:ascii="Calibri" w:hAnsi="Calibri" w:eastAsia="ＭＳ ゴシック" w:cs="Times New Roman"/>
      <w:color w:val="243F60"/>
      <w:sz w:val="24"/>
      <w:szCs w:val="24"/>
    </w:rPr>
  </w:style>
  <w:style w:type="character" w:styleId="Ttulo6Char">
    <w:name w:val="Título 6 Char"/>
    <w:basedOn w:val="DefaultParagraphFont"/>
    <w:qFormat/>
    <w:rPr>
      <w:rFonts w:ascii="Calibri" w:hAnsi="Calibri" w:eastAsia="ＭＳ ゴシック" w:cs="Times New Roman"/>
      <w:color w:val="243F60"/>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rPr>
  </w:style>
  <w:style w:type="character" w:styleId="MenoPendente4">
    <w:name w:val="Menção Pendente4"/>
    <w:basedOn w:val="DefaultParagraphFont"/>
    <w:qFormat/>
    <w:rPr>
      <w:color w:val="605E5C"/>
    </w:rPr>
  </w:style>
  <w:style w:type="character" w:styleId="OuChar">
    <w:name w:val="ou Char"/>
    <w:basedOn w:val="PargrafodaListaChar"/>
    <w:qFormat/>
    <w:rPr>
      <w:rFonts w:ascii="Arial" w:hAnsi="Arial" w:eastAsia="Cambria" w:cs="Arial"/>
      <w:b/>
      <w:bCs/>
      <w:i/>
      <w:iCs/>
      <w:color w:val="FF0000"/>
      <w:sz w:val="24"/>
      <w:szCs w:val="24"/>
      <w:lang w:eastAsia="pt-BR"/>
    </w:rPr>
  </w:style>
  <w:style w:type="character" w:styleId="Nvel02Char">
    <w:name w:val="Nível 02 Char"/>
    <w:basedOn w:val="Nivel2OpcionalChar"/>
    <w:qFormat/>
    <w:rPr>
      <w:rFonts w:ascii="Arial" w:hAnsi="Arial" w:eastAsia="Arial" w:cs="Arial"/>
      <w:i w:val="false"/>
      <w:iCs/>
      <w:color w:val="FF0000"/>
      <w:lang w:eastAsia="pt-BR"/>
    </w:rPr>
  </w:style>
  <w:style w:type="character" w:styleId="Nivel3erroChar">
    <w:name w:val="Nivel 3-erro Char"/>
    <w:basedOn w:val="DefaultParagraphFont"/>
    <w:qFormat/>
    <w:rPr>
      <w:rFonts w:ascii="Arial" w:hAnsi="Arial" w:cs="Tahoma"/>
      <w:szCs w:val="24"/>
      <w:lang w:eastAsia="pt-BR"/>
    </w:rPr>
  </w:style>
  <w:style w:type="character" w:styleId="Nvel3RChar">
    <w:name w:val="Nível 3-R Char"/>
    <w:basedOn w:val="Nivel3erroChar"/>
    <w:qFormat/>
    <w:rPr>
      <w:rFonts w:ascii="Arial" w:hAnsi="Arial" w:cs="Arial"/>
      <w:i/>
      <w:iCs/>
      <w:color w:val="FF0000"/>
      <w:szCs w:val="24"/>
      <w:lang w:eastAsia="pt-BR"/>
    </w:rPr>
  </w:style>
  <w:style w:type="character" w:styleId="Nvel4RChar">
    <w:name w:val="Nível 4-R Char"/>
    <w:basedOn w:val="Nivel4Char"/>
    <w:qFormat/>
    <w:rPr>
      <w:rFonts w:ascii="Arial" w:hAnsi="Arial" w:cs="Arial"/>
      <w:bCs/>
      <w:i/>
      <w:color w:val="FF0000"/>
      <w:lang w:eastAsia="pt-BR"/>
    </w:rPr>
  </w:style>
  <w:style w:type="character" w:styleId="Nvel1SemNumChar">
    <w:name w:val="Nível 1-Sem Num Char"/>
    <w:basedOn w:val="Nivel01Char"/>
    <w:qFormat/>
    <w:rPr>
      <w:rFonts w:ascii="Arial" w:hAnsi="Arial" w:eastAsia="Arial" w:cs="Arial"/>
      <w:b/>
      <w:i/>
      <w:iCs w:val="false"/>
      <w:color w:val="FF0000"/>
      <w:spacing w:val="5"/>
      <w:kern w:val="2"/>
      <w:sz w:val="52"/>
      <w:szCs w:val="52"/>
      <w:lang w:eastAsia="pt-BR"/>
    </w:rPr>
  </w:style>
  <w:style w:type="character" w:styleId="PrembuloChar">
    <w:name w:val="Preâmbulo Char"/>
    <w:basedOn w:val="DefaultParagraphFont"/>
    <w:qFormat/>
    <w:rPr>
      <w:rFonts w:ascii="Arial" w:hAnsi="Arial" w:eastAsia="Arial" w:cs="Arial"/>
      <w:bCs/>
      <w:lang w:eastAsia="pt-BR"/>
    </w:rPr>
  </w:style>
  <w:style w:type="character" w:styleId="MenoPendente5">
    <w:name w:val="Menção Pendente5"/>
    <w:basedOn w:val="DefaultParagraphFont"/>
    <w:qFormat/>
    <w:rPr>
      <w:color w:val="605E5C"/>
    </w:rPr>
  </w:style>
  <w:style w:type="character" w:styleId="Citao2Char">
    <w:name w:val="citação 2 Char"/>
    <w:basedOn w:val="CitaoChar"/>
    <w:qFormat/>
    <w:rPr>
      <w:rFonts w:ascii="Arial" w:hAnsi="Arial" w:eastAsia="Calibri" w:cs="Tahoma"/>
      <w:i/>
      <w:iCs/>
      <w:color w:val="000000"/>
      <w:szCs w:val="24"/>
    </w:rPr>
  </w:style>
  <w:style w:type="character" w:styleId="Nvel1SemNumeraoChar">
    <w:name w:val="Nível 1-Sem Numeração Char"/>
    <w:basedOn w:val="Nvel1SemNumChar"/>
    <w:qFormat/>
    <w:rPr>
      <w:rFonts w:ascii="Arial" w:hAnsi="Arial" w:eastAsia="Arial" w:cs="Arial"/>
      <w:b/>
      <w:i w:val="false"/>
      <w:iCs w:val="false"/>
      <w:color w:val="FF0000"/>
      <w:spacing w:val="5"/>
      <w:kern w:val="2"/>
      <w:sz w:val="52"/>
      <w:szCs w:val="52"/>
      <w:lang w:eastAsia="pt-BR"/>
    </w:rPr>
  </w:style>
  <w:style w:type="character" w:styleId="MenoPendente6">
    <w:name w:val="Menção Pendente6"/>
    <w:basedOn w:val="DefaultParagraphFont"/>
    <w:qFormat/>
    <w:rPr>
      <w:color w:val="605E5C"/>
    </w:rPr>
  </w:style>
  <w:style w:type="character" w:styleId="AlteraesChar">
    <w:name w:val="Alterações Char"/>
    <w:basedOn w:val="Nvel02Char"/>
    <w:qFormat/>
    <w:rPr>
      <w:rFonts w:ascii="Arial" w:hAnsi="Arial" w:eastAsia="Arial" w:cs="Arial"/>
      <w:i w:val="false"/>
      <w:iCs/>
      <w:color w:val="0000FF"/>
      <w:lang w:eastAsia="pt-BR"/>
    </w:rPr>
  </w:style>
  <w:style w:type="character" w:styleId="Nivel3Char">
    <w:name w:val="Nivel 3 Char"/>
    <w:basedOn w:val="DefaultParagraphFont"/>
    <w:qFormat/>
    <w:rPr>
      <w:rFonts w:ascii="Arial" w:hAnsi="Arial" w:cs="Tahoma"/>
      <w:szCs w:val="24"/>
      <w:lang w:eastAsia="pt-BR"/>
    </w:rPr>
  </w:style>
  <w:style w:type="character" w:styleId="UnresolvedMention">
    <w:name w:val="Unresolved Mention"/>
    <w:basedOn w:val="DefaultParagraphFont"/>
    <w:qFormat/>
    <w:rPr>
      <w:color w:val="605E5C"/>
    </w:rPr>
  </w:style>
  <w:style w:type="character" w:styleId="Nvel2OpcionalChar1">
    <w:name w:val="Nível 2-Opcional Char"/>
    <w:basedOn w:val="Nvel02Char"/>
    <w:qFormat/>
    <w:rPr>
      <w:rFonts w:ascii="Arial" w:hAnsi="Arial" w:eastAsia="Arial" w:cs="Arial"/>
      <w:i/>
      <w:iCs/>
      <w:color w:val="FF0000"/>
      <w:lang w:eastAsia="pt-BR"/>
    </w:rPr>
  </w:style>
  <w:style w:type="character" w:styleId="Nvel3OpcionalChar1">
    <w:name w:val="Nível 3-Opcional Char"/>
    <w:basedOn w:val="Nivel3Char"/>
    <w:qFormat/>
    <w:rPr>
      <w:rFonts w:ascii="Arial" w:hAnsi="Arial" w:cs="Tahoma"/>
      <w:i/>
      <w:color w:val="FF0000"/>
      <w:szCs w:val="24"/>
      <w:lang w:eastAsia="pt-BR"/>
    </w:rPr>
  </w:style>
  <w:style w:type="character" w:styleId="Nvel1SemBlackChar">
    <w:name w:val="Nível 1-Sem Black Char"/>
    <w:basedOn w:val="DefaultParagraphFont"/>
    <w:qFormat/>
    <w:rPr>
      <w:rFonts w:ascii="Arial" w:hAnsi="Arial" w:eastAsia="ＭＳ ゴシック" w:cs="Arial"/>
      <w:b/>
      <w:bCs/>
      <w:lang w:eastAsia="pt-BR"/>
    </w:rPr>
  </w:style>
  <w:style w:type="character" w:styleId="Nivel2Char">
    <w:name w:val="Nivel 2 Char"/>
    <w:basedOn w:val="DefaultParagraphFont"/>
    <w:qFormat/>
    <w:rPr>
      <w:rFonts w:ascii="Arial" w:hAnsi="Arial" w:eastAsia="Arial" w:cs="Arial"/>
      <w:color w:val="000000"/>
      <w:lang w:eastAsia="pt-BR"/>
    </w:rPr>
  </w:style>
  <w:style w:type="character" w:styleId="Nfaseforte">
    <w:name w:val="Ênfase forte"/>
    <w:qFormat/>
    <w:rPr>
      <w:b/>
      <w:bCs/>
    </w:rPr>
  </w:style>
  <w:style w:type="character" w:styleId="Smbolosdenumerao">
    <w:name w:val="Símbolos de numeração"/>
    <w:qFormat/>
    <w:rPr>
      <w:sz w:val="24"/>
      <w:szCs w:val="24"/>
    </w:rPr>
  </w:style>
  <w:style w:type="character" w:styleId="Fontepargpadro">
    <w:name w:val="Fonte parág. padrão"/>
    <w:qFormat/>
    <w:rPr/>
  </w:style>
  <w:style w:type="character" w:styleId="Character20style">
    <w:name w:val="Character_20_style"/>
    <w:qFormat/>
    <w:rPr/>
  </w:style>
  <w:style w:type="character" w:styleId="Fontepargpadro1">
    <w:name w:val="Fonte parág. padrão1"/>
    <w:qFormat/>
    <w:rPr/>
  </w:style>
  <w:style w:type="character" w:styleId="WW8Num1z1">
    <w:name w:val="WW8Num1z1"/>
    <w:qFormat/>
    <w:rPr>
      <w:rFonts w:ascii="Courier New" w:hAnsi="Courier New" w:eastAsia="Courier New"/>
    </w:rPr>
  </w:style>
  <w:style w:type="character" w:styleId="Marcadores">
    <w:name w:val="Marcadores"/>
    <w:qFormat/>
    <w:rPr>
      <w:rFonts w:ascii="OpenSymbol" w:hAnsi="OpenSymbol" w:eastAsia="OpenSymbol" w:cs="OpenSymbol"/>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before="280" w:after="280"/>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spacing w:before="0" w:after="0"/>
      <w:contextualSpacing/>
    </w:pPr>
    <w:rPr/>
  </w:style>
  <w:style w:type="paragraph" w:styleId="Notaexplicativa">
    <w:name w:val="Nota explicativa"/>
    <w:basedOn w:val="Quote"/>
    <w:qFormat/>
    <w:pPr>
      <w:shd w:val="clear" w:fill="FFFFCC"/>
    </w:pPr>
    <w:rPr>
      <w:szCs w:val="20"/>
    </w:rPr>
  </w:style>
  <w:style w:type="paragraph" w:styleId="CabealhoeRodap">
    <w:name w:val="Cabeçalho e Rodapé"/>
    <w:basedOn w:val="Normal"/>
    <w:qFormat/>
    <w:pPr/>
    <w:rPr/>
  </w:style>
  <w:style w:type="paragraph" w:styleId="Cabealho">
    <w:name w:val="Header"/>
    <w:basedOn w:val="Normal"/>
    <w:pPr>
      <w:tabs>
        <w:tab w:val="clear" w:pos="709"/>
        <w:tab w:val="center" w:pos="4252" w:leader="none"/>
        <w:tab w:val="right" w:pos="8504" w:leader="none"/>
      </w:tabs>
    </w:pPr>
    <w:rPr/>
  </w:style>
  <w:style w:type="paragraph" w:styleId="Rodap">
    <w:name w:val="Footer"/>
    <w:basedOn w:val="Normal"/>
    <w:pPr>
      <w:tabs>
        <w:tab w:val="clear" w:pos="709"/>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qFormat/>
    <w:pPr/>
    <w:rPr>
      <w:b/>
      <w:bCs/>
    </w:rPr>
  </w:style>
  <w:style w:type="paragraph" w:styleId="Nivel01">
    <w:name w:val="Nivel 01"/>
    <w:basedOn w:val="Nvel02"/>
    <w:next w:val="Normal"/>
    <w:autoRedefine/>
    <w:qFormat/>
    <w:pPr>
      <w:widowControl/>
      <w:shd w:val="clear" w:fill="FFFFFF"/>
      <w:tabs>
        <w:tab w:val="clear" w:pos="735"/>
        <w:tab w:val="left" w:pos="120" w:leader="none"/>
        <w:tab w:val="left" w:pos="345" w:leader="none"/>
        <w:tab w:val="left" w:pos="570" w:leader="none"/>
      </w:tabs>
      <w:suppressAutoHyphens w:val="true"/>
      <w:overflowPunct w:val="false"/>
      <w:bidi w:val="0"/>
      <w:spacing w:lineRule="auto" w:line="276" w:before="0" w:after="0"/>
      <w:ind w:left="1077" w:right="0" w:hanging="454"/>
      <w:jc w:val="both"/>
      <w:outlineLvl w:val="0"/>
    </w:pPr>
    <w:rPr>
      <w:b/>
      <w:bCs/>
    </w:rPr>
  </w:style>
  <w:style w:type="paragraph" w:styleId="Nivel01Titulo">
    <w:name w:val="Nivel_01_Titulo"/>
    <w:basedOn w:val="Nivel01"/>
    <w:qFormat/>
    <w:pPr>
      <w:shd w:val="clear" w:fill="FFFFFF"/>
      <w:jc w:val="left"/>
    </w:pPr>
    <w:rPr>
      <w:rFonts w:cs="Times New Roman"/>
      <w:spacing w:val="5"/>
      <w:kern w:val="2"/>
      <w:sz w:val="52"/>
      <w:szCs w:val="52"/>
    </w:rPr>
  </w:style>
  <w:style w:type="paragraph" w:styleId="Ttulododocumento">
    <w:name w:val="Title"/>
    <w:basedOn w:val="Normal"/>
    <w:next w:val="Normal"/>
    <w:qFormat/>
    <w:pPr>
      <w:pBdr>
        <w:bottom w:val="single" w:sz="8" w:space="4" w:color="4F81BD"/>
      </w:pBdr>
      <w:spacing w:before="0" w:after="300"/>
      <w:contextualSpacing/>
    </w:pPr>
    <w:rPr>
      <w:rFonts w:ascii="Calibri" w:hAnsi="Calibri" w:eastAsia="ＭＳ ゴシック" w:cs="Times New Roman"/>
      <w:color w:val="17365D"/>
      <w:spacing w:val="5"/>
      <w:kern w:val="2"/>
      <w:sz w:val="52"/>
      <w:szCs w:val="52"/>
    </w:rPr>
  </w:style>
  <w:style w:type="paragraph" w:styleId="PADRO">
    <w:name w:val="PADRÃO"/>
    <w:qFormat/>
    <w:pPr>
      <w:keepNext w:val="true"/>
      <w:widowControl w:val="false"/>
      <w:shd w:val="clear" w:fill="FFFFFF"/>
      <w:suppressAutoHyphens w:val="true"/>
      <w:overflowPunct w:val="false"/>
      <w:bidi w:val="0"/>
      <w:spacing w:lineRule="auto" w:line="276" w:before="119" w:after="119"/>
      <w:ind w:left="0" w:right="0"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Ttulo1"/>
    <w:qFormat/>
    <w:pPr>
      <w:numPr>
        <w:ilvl w:val="0"/>
        <w:numId w:val="0"/>
      </w:numPr>
      <w:spacing w:lineRule="auto" w:line="276"/>
      <w:ind w:left="357" w:right="0" w:hanging="357"/>
      <w:jc w:val="both"/>
    </w:pPr>
    <w:rPr>
      <w:rFonts w:cs="Arial"/>
      <w:bCs w:val="false"/>
      <w:color w:val="000000"/>
    </w:rPr>
  </w:style>
  <w:style w:type="paragraph" w:styleId="PargrafodaLista1">
    <w:name w:val="Parágrafo da Lista1"/>
    <w:basedOn w:val="Normal"/>
    <w:qFormat/>
    <w:pPr>
      <w:ind w:left="720" w:right="0" w:hanging="0"/>
    </w:pPr>
    <w:rPr>
      <w:rFonts w:eastAsia="Times New Roman" w:cs="Ecofont_Spranq_eco_Sans"/>
    </w:rPr>
  </w:style>
  <w:style w:type="paragraph" w:styleId="Nivel2Opcional">
    <w:name w:val="Nivel 2-Opcional"/>
    <w:basedOn w:val="Normal"/>
    <w:autoRedefine/>
    <w:qFormat/>
    <w:pPr>
      <w:shd w:val="clear" w:fill="76923C"/>
      <w:spacing w:lineRule="auto" w:line="276" w:before="120" w:after="120"/>
      <w:ind w:left="0" w:right="0" w:hanging="0"/>
      <w:jc w:val="both"/>
    </w:pPr>
    <w:rPr>
      <w:rFonts w:ascii="Arial" w:hAnsi="Arial" w:eastAsia="Arial" w:cs="Arial"/>
      <w:i/>
      <w:color w:val="FF0000"/>
      <w:sz w:val="20"/>
      <w:szCs w:val="20"/>
    </w:rPr>
  </w:style>
  <w:style w:type="paragraph" w:styleId="Nivel11">
    <w:name w:val="Nivel 1"/>
    <w:basedOn w:val="Nivel2Opcional"/>
    <w:qFormat/>
    <w:pPr>
      <w:shd w:val="clear" w:fill="76923C"/>
      <w:ind w:left="360" w:right="0" w:hanging="360"/>
    </w:pPr>
    <w:rPr>
      <w:b/>
    </w:rPr>
  </w:style>
  <w:style w:type="paragraph" w:styleId="Nivel3erro">
    <w:name w:val="Nivel 3-erro"/>
    <w:basedOn w:val="Nivel3"/>
    <w:autoRedefine/>
    <w:qFormat/>
    <w:pPr>
      <w:ind w:left="993" w:right="0" w:hanging="0"/>
    </w:pPr>
    <w:rPr/>
  </w:style>
  <w:style w:type="paragraph" w:styleId="Nivel4">
    <w:name w:val="Nivel 4"/>
    <w:basedOn w:val="Nvel4R"/>
    <w:autoRedefine/>
    <w:qFormat/>
    <w:pPr>
      <w:widowControl/>
      <w:tabs>
        <w:tab w:val="clear" w:pos="709"/>
        <w:tab w:val="left" w:pos="1140" w:leader="none"/>
      </w:tabs>
      <w:suppressAutoHyphens w:val="true"/>
      <w:bidi w:val="0"/>
      <w:spacing w:lineRule="auto" w:line="276" w:before="0" w:after="0"/>
      <w:ind w:left="0" w:right="0" w:firstLine="1134"/>
      <w:jc w:val="both"/>
    </w:pPr>
    <w:rPr>
      <w:i w:val="false"/>
      <w:color w:val="auto"/>
    </w:rPr>
  </w:style>
  <w:style w:type="paragraph" w:styleId="Nivel5">
    <w:name w:val="Nivel 5"/>
    <w:basedOn w:val="Nvel4R"/>
    <w:autoRedefine/>
    <w:qFormat/>
    <w:pPr>
      <w:ind w:left="851" w:right="0" w:hanging="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left="4160" w:right="0" w:hanging="0"/>
      <w:jc w:val="both"/>
    </w:pPr>
    <w:rPr>
      <w:rFonts w:ascii="Times New Roman" w:hAnsi="Times New Roman" w:eastAsia="Times New Roman" w:cs="Times New Roman"/>
      <w:sz w:val="28"/>
      <w:szCs w:val="28"/>
    </w:rPr>
  </w:style>
  <w:style w:type="paragraph" w:styleId="Revision">
    <w:name w:val="Revision"/>
    <w:qFormat/>
    <w:pPr>
      <w:widowControl/>
      <w:suppressAutoHyphens w:val="true"/>
      <w:overflowPunct w:val="fals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left="0" w:right="0" w:firstLine="1134"/>
      <w:jc w:val="both"/>
    </w:pPr>
    <w:rPr>
      <w:rFonts w:ascii="Times New Roman" w:hAnsi="Times New Roman" w:eastAsia="Times New Roman" w:cs="Times New Roman"/>
      <w:szCs w:val="22"/>
      <w:lang w:eastAsia="en-US"/>
    </w:rPr>
  </w:style>
  <w:style w:type="paragraph" w:styleId="Normal1">
    <w:name w:val="Normal_1"/>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Opcional"/>
    <w:qFormat/>
    <w:pPr>
      <w:shd w:val="clear" w:fill="76923C"/>
      <w:ind w:left="432" w:right="0" w:hanging="432"/>
    </w:pPr>
    <w:rPr>
      <w:rFonts w:eastAsia="Times New Roman"/>
      <w:i w:val="false"/>
    </w:rPr>
  </w:style>
  <w:style w:type="paragraph" w:styleId="Nvel3Opcional">
    <w:name w:val="Nível 3 Opcional"/>
    <w:basedOn w:val="Nivel3erro"/>
    <w:qFormat/>
    <w:pPr>
      <w:ind w:left="1072" w:right="0" w:hanging="504"/>
    </w:pPr>
    <w:rPr>
      <w:rFonts w:eastAsia="Times New Roman"/>
      <w:i/>
      <w:iCs/>
      <w:color w:val="FF000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autoRedefine/>
    <w:qFormat/>
    <w:pPr>
      <w:spacing w:lineRule="auto" w:line="259" w:before="0" w:after="0"/>
      <w:ind w:left="0" w:right="0" w:hanging="0"/>
      <w:contextualSpacing/>
      <w:jc w:val="center"/>
    </w:pPr>
    <w:rPr>
      <w:rFonts w:ascii="Arial" w:hAnsi="Arial" w:eastAsia="Cambria" w:cs="Arial"/>
      <w:b/>
      <w:bCs/>
      <w:i/>
      <w:iCs/>
      <w:color w:val="FF0000"/>
      <w:sz w:val="20"/>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02">
    <w:name w:val="Nível 02"/>
    <w:basedOn w:val="Nivel2Opcional"/>
    <w:autoRedefine/>
    <w:qFormat/>
    <w:pPr>
      <w:widowControl/>
      <w:shd w:val="clear" w:fill="FFFFFF"/>
      <w:tabs>
        <w:tab w:val="clear" w:pos="709"/>
        <w:tab w:val="left" w:pos="735" w:leader="none"/>
      </w:tabs>
      <w:suppressAutoHyphens w:val="true"/>
      <w:bidi w:val="0"/>
      <w:spacing w:lineRule="auto" w:line="276" w:before="399" w:after="399"/>
      <w:ind w:left="0" w:right="0" w:firstLine="567"/>
      <w:jc w:val="both"/>
    </w:pPr>
    <w:rPr>
      <w:i w:val="false"/>
      <w:iCs/>
      <w:color w:val="000000"/>
    </w:rPr>
  </w:style>
  <w:style w:type="paragraph" w:styleId="Nvel3R">
    <w:name w:val="Nível 3-R"/>
    <w:basedOn w:val="Nivel3erro"/>
    <w:autoRedefine/>
    <w:qFormat/>
    <w:pPr>
      <w:ind w:left="1638" w:right="0" w:hanging="504"/>
    </w:pPr>
    <w:rPr>
      <w:rFonts w:cs="Arial"/>
      <w:i/>
      <w:iCs/>
      <w:color w:val="FF0000"/>
    </w:rPr>
  </w:style>
  <w:style w:type="paragraph" w:styleId="Nvel4R">
    <w:name w:val="Nível 4-R"/>
    <w:basedOn w:val="Nvel3Opcional1"/>
    <w:autoRedefine/>
    <w:qFormat/>
    <w:pPr>
      <w:ind w:left="567" w:right="0" w:hanging="0"/>
    </w:pPr>
    <w:rPr>
      <w:rFonts w:cs="Arial"/>
      <w:bCs/>
      <w:color w:val="000000"/>
      <w:szCs w:val="20"/>
    </w:rPr>
  </w:style>
  <w:style w:type="paragraph" w:styleId="Nvel1SemNum">
    <w:name w:val="Nível 1-Sem Num"/>
    <w:basedOn w:val="Nivel01"/>
    <w:autoRedefine/>
    <w:qFormat/>
    <w:pPr>
      <w:widowControl/>
      <w:shd w:val="clear" w:fill="FFFFFF"/>
      <w:suppressAutoHyphens w:val="true"/>
      <w:bidi w:val="0"/>
      <w:spacing w:lineRule="auto" w:line="276" w:before="0" w:after="0"/>
      <w:ind w:left="0" w:right="0" w:hanging="0"/>
      <w:jc w:val="both"/>
      <w:outlineLvl w:val="1"/>
    </w:pPr>
    <w:rPr>
      <w:i/>
      <w:iCs w:val="false"/>
      <w:color w:val="FF0000"/>
    </w:rPr>
  </w:style>
  <w:style w:type="paragraph" w:styleId="Citao2">
    <w:name w:val="citação 2"/>
    <w:basedOn w:val="Quote"/>
    <w:qFormat/>
    <w:pPr>
      <w:shd w:val="clear" w:fill="FFFFCC"/>
      <w:overflowPunct w:val="false"/>
    </w:pPr>
    <w:rPr>
      <w:szCs w:val="20"/>
    </w:rPr>
  </w:style>
  <w:style w:type="paragraph" w:styleId="Prembulo">
    <w:name w:val="Preâmbulo"/>
    <w:basedOn w:val="Normal"/>
    <w:qFormat/>
    <w:pPr>
      <w:spacing w:lineRule="auto" w:line="360" w:before="480" w:after="120"/>
      <w:ind w:left="4253" w:right="-17" w:hanging="0"/>
      <w:jc w:val="both"/>
    </w:pPr>
    <w:rPr>
      <w:rFonts w:ascii="Arial" w:hAnsi="Arial" w:eastAsia="Arial" w:cs="Arial"/>
      <w:bCs/>
      <w:sz w:val="20"/>
      <w:szCs w:val="20"/>
    </w:rPr>
  </w:style>
  <w:style w:type="paragraph" w:styleId="Nvel1SemNumerao">
    <w:name w:val="Nível 1-Sem Numeração"/>
    <w:basedOn w:val="Nvel1SemNum"/>
    <w:autoRedefine/>
    <w:qFormat/>
    <w:pPr>
      <w:widowControl/>
      <w:numPr>
        <w:ilvl w:val="0"/>
        <w:numId w:val="0"/>
      </w:numPr>
      <w:shd w:val="clear" w:fill="FFFFFF"/>
      <w:tabs>
        <w:tab w:val="left" w:pos="120" w:leader="none"/>
        <w:tab w:val="left" w:pos="345" w:leader="none"/>
        <w:tab w:val="left" w:pos="390" w:leader="none"/>
        <w:tab w:val="left" w:pos="570" w:leader="none"/>
        <w:tab w:val="left" w:pos="900" w:leader="none"/>
        <w:tab w:val="left" w:pos="1020" w:leader="none"/>
        <w:tab w:val="left" w:pos="1140" w:leader="none"/>
      </w:tabs>
      <w:suppressAutoHyphens w:val="true"/>
      <w:overflowPunct w:val="false"/>
      <w:bidi w:val="0"/>
      <w:spacing w:lineRule="auto" w:line="276" w:before="0" w:after="0"/>
      <w:ind w:left="1191" w:right="0" w:hanging="567"/>
      <w:jc w:val="both"/>
    </w:pPr>
    <w:rPr>
      <w:b/>
      <w:bCs/>
      <w:i w:val="false"/>
      <w:color w:val="auto"/>
      <w:lang w:eastAsia="en-US"/>
    </w:rPr>
  </w:style>
  <w:style w:type="paragraph" w:styleId="Nivel3">
    <w:name w:val="Nivel 3"/>
    <w:basedOn w:val="Normal"/>
    <w:qFormat/>
    <w:pPr>
      <w:spacing w:lineRule="auto" w:line="276" w:before="120" w:after="120"/>
      <w:ind w:left="284" w:right="0" w:hanging="0"/>
      <w:jc w:val="both"/>
    </w:pPr>
    <w:rPr>
      <w:rFonts w:ascii="Arial" w:hAnsi="Arial"/>
      <w:sz w:val="20"/>
    </w:rPr>
  </w:style>
  <w:style w:type="paragraph" w:styleId="Alteraes">
    <w:name w:val="Alterações"/>
    <w:basedOn w:val="Nvel02"/>
    <w:qFormat/>
    <w:pPr>
      <w:shd w:val="clear" w:fill="FFFFFF"/>
    </w:pPr>
    <w:rPr>
      <w:color w:val="0000FF"/>
    </w:rPr>
  </w:style>
  <w:style w:type="paragraph" w:styleId="Contedodatabela">
    <w:name w:val="Conteúdo da tabela"/>
    <w:basedOn w:val="Normal"/>
    <w:qFormat/>
    <w:pPr>
      <w:widowControl w:val="false"/>
      <w:suppressLineNumbers/>
      <w:suppressAutoHyphens w:val="true"/>
      <w:textAlignment w:val="baseline"/>
    </w:pPr>
    <w:rPr>
      <w:rFonts w:ascii="Times New Roman" w:hAnsi="Times New Roman" w:eastAsia="SimSun"/>
      <w:kern w:val="2"/>
      <w:lang w:eastAsia="zh-CN" w:bidi="hi-IN"/>
    </w:rPr>
  </w:style>
  <w:style w:type="paragraph" w:styleId="Nivel21">
    <w:name w:val="Nivel 21"/>
    <w:basedOn w:val="Normal"/>
    <w:autoRedefine/>
    <w:qFormat/>
    <w:pPr>
      <w:shd w:val="clear" w:fill="948A54"/>
      <w:spacing w:lineRule="auto" w:line="276" w:before="120" w:after="120"/>
      <w:ind w:left="999" w:right="0" w:hanging="432"/>
      <w:jc w:val="both"/>
    </w:pPr>
    <w:rPr>
      <w:rFonts w:ascii="Arial" w:hAnsi="Arial" w:eastAsia="Arial" w:cs="Arial"/>
      <w:color w:val="000000"/>
      <w:sz w:val="20"/>
      <w:szCs w:val="20"/>
    </w:rPr>
  </w:style>
  <w:style w:type="paragraph" w:styleId="Nvel2Opcional1">
    <w:name w:val="Nível 2-Opcional"/>
    <w:basedOn w:val="Nvel02"/>
    <w:qFormat/>
    <w:pPr>
      <w:shd w:val="clear" w:fill="FFFFFF"/>
    </w:pPr>
    <w:rPr>
      <w:i/>
      <w:color w:val="FF0000"/>
    </w:rPr>
  </w:style>
  <w:style w:type="paragraph" w:styleId="Nvel3Opcional1">
    <w:name w:val="Nível 3-Opcional"/>
    <w:basedOn w:val="Nivel3"/>
    <w:qFormat/>
    <w:pPr/>
    <w:rPr>
      <w:i/>
      <w:color w:val="FF0000"/>
    </w:rPr>
  </w:style>
  <w:style w:type="paragraph" w:styleId="Nvel1SemBlack">
    <w:name w:val="Nível 1-Sem Black"/>
    <w:basedOn w:val="Normal"/>
    <w:qFormat/>
    <w:pPr>
      <w:keepNext w:val="true"/>
      <w:keepLines/>
      <w:tabs>
        <w:tab w:val="clear" w:pos="709"/>
        <w:tab w:val="left" w:pos="567" w:leader="none"/>
      </w:tabs>
      <w:spacing w:lineRule="auto" w:line="276" w:before="240" w:after="120"/>
      <w:jc w:val="both"/>
      <w:outlineLvl w:val="1"/>
    </w:pPr>
    <w:rPr>
      <w:rFonts w:ascii="Arial" w:hAnsi="Arial" w:eastAsia="ＭＳ ゴシック" w:cs="Arial"/>
      <w:b/>
      <w:bCs/>
      <w:sz w:val="20"/>
      <w:szCs w:val="20"/>
    </w:rPr>
  </w:style>
  <w:style w:type="paragraph" w:styleId="Nivel2">
    <w:name w:val="Nivel 2"/>
    <w:basedOn w:val="Normal"/>
    <w:autoRedefine/>
    <w:qFormat/>
    <w:pPr>
      <w:spacing w:lineRule="auto" w:line="276" w:before="120" w:after="120"/>
      <w:ind w:left="999" w:right="0" w:hanging="432"/>
      <w:jc w:val="both"/>
    </w:pPr>
    <w:rPr>
      <w:rFonts w:ascii="Arial" w:hAnsi="Arial" w:eastAsia="Arial" w:cs="Arial"/>
      <w:color w:val="000000"/>
      <w:sz w:val="20"/>
      <w:szCs w:val="20"/>
    </w:rPr>
  </w:style>
  <w:style w:type="paragraph" w:styleId="Estilo7">
    <w:name w:val="Estilo7"/>
    <w:basedOn w:val="Nvel02"/>
    <w:qFormat/>
    <w:pPr>
      <w:shd w:val="clear" w:fill="FFFFFF"/>
    </w:pPr>
    <w:rPr/>
  </w:style>
  <w:style w:type="paragraph" w:styleId="Default">
    <w:name w:val="Default"/>
    <w:qFormat/>
    <w:pPr>
      <w:widowControl/>
      <w:suppressAutoHyphens w:val="true"/>
      <w:overflowPunct w:val="false"/>
      <w:bidi w:val="0"/>
      <w:spacing w:before="0" w:after="0"/>
      <w:jc w:val="left"/>
    </w:pPr>
    <w:rPr>
      <w:rFonts w:ascii="Arial" w:hAnsi="Arial" w:eastAsia="Times New Roman" w:cs="Arial"/>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vel2Red">
    <w:name w:val="Nível 2 -Red"/>
    <w:basedOn w:val="Nivel2"/>
    <w:qFormat/>
    <w:pPr>
      <w:widowControl/>
      <w:bidi w:val="0"/>
      <w:spacing w:lineRule="auto" w:line="276" w:before="0" w:after="0"/>
      <w:ind w:left="1247" w:right="0" w:hanging="454"/>
      <w:jc w:val="both"/>
    </w:pPr>
    <w:rPr>
      <w:b w:val="false"/>
      <w:bCs w:val="false"/>
      <w:i w:val="false"/>
      <w:iCs w:val="false"/>
      <w:color w:val="000000"/>
    </w:rPr>
  </w:style>
  <w:style w:type="paragraph" w:styleId="Western">
    <w:name w:val="western"/>
    <w:basedOn w:val="Normal"/>
    <w:qFormat/>
    <w:pPr>
      <w:widowControl/>
      <w:suppressAutoHyphens w:val="false"/>
      <w:spacing w:lineRule="auto" w:line="276" w:before="280" w:after="142"/>
    </w:pPr>
    <w:rPr>
      <w:rFonts w:ascii="Arial" w:hAnsi="Arial" w:eastAsia="Arial"/>
      <w:kern w:val="0"/>
      <w:lang w:eastAsia="ar-SA"/>
    </w:rPr>
  </w:style>
  <w:style w:type="paragraph" w:styleId="Ttulo11">
    <w:name w:val="Título1"/>
    <w:basedOn w:val="Normal"/>
    <w:qFormat/>
    <w:pPr>
      <w:keepNext w:val="true"/>
      <w:spacing w:before="240" w:after="120"/>
    </w:pPr>
    <w:rPr>
      <w:rFonts w:ascii="Liberation Sans" w:hAnsi="Liberation Sans" w:eastAsia="Mangal"/>
      <w:sz w:val="28"/>
      <w:szCs w:val="28"/>
      <w:lang w:eastAsia="hi-IN"/>
    </w:rPr>
  </w:style>
  <w:style w:type="paragraph" w:styleId="Ttulo21">
    <w:name w:val="Título2"/>
    <w:basedOn w:val="Normal"/>
    <w:qFormat/>
    <w:pPr>
      <w:keepNext w:val="true"/>
      <w:spacing w:before="240" w:after="120"/>
    </w:pPr>
    <w:rPr>
      <w:rFonts w:ascii="Liberation Sans" w:hAnsi="Liberation Sans" w:eastAsia="Lucida Sans"/>
      <w:sz w:val="28"/>
      <w:szCs w:val="28"/>
      <w:lang w:eastAsia="hi-IN"/>
    </w:rPr>
  </w:style>
  <w:style w:type="numbering" w:styleId="NoList">
    <w:name w:val="No List"/>
    <w:qFormat/>
  </w:style>
  <w:style w:type="numbering" w:styleId="Estilo1">
    <w:name w:val="Estilo1"/>
    <w:qFormat/>
  </w:style>
  <w:style w:type="numbering" w:styleId="Estilo2">
    <w:name w:val="Estilo2"/>
    <w:qFormat/>
  </w:style>
  <w:style w:type="numbering" w:styleId="Estilo3">
    <w:name w:val="Estilo3"/>
    <w:qFormat/>
  </w:style>
  <w:style w:type="numbering" w:styleId="Estilo4">
    <w:name w:val="Estilo4"/>
    <w:qFormat/>
  </w:style>
  <w:style w:type="numbering" w:styleId="Estilo5">
    <w:name w:val="Estilo5"/>
    <w:qFormat/>
  </w:style>
  <w:style w:type="numbering" w:styleId="Estilo6">
    <w:name w:val="Estilo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mailto:sergio.sousa@marinha.mil.br" TargetMode="External"/><Relationship Id="rId4" Type="http://schemas.openxmlformats.org/officeDocument/2006/relationships/hyperlink" Target="mailto:verly.jairo@marinha.mil.br" TargetMode="External"/><Relationship Id="rId5" Type="http://schemas.openxmlformats.org/officeDocument/2006/relationships/hyperlink" Target="mailto:marcos.ferreira.gomes@marinha.mil.br" TargetMode="External"/><Relationship Id="rId6" Type="http://schemas.openxmlformats.org/officeDocument/2006/relationships/hyperlink" Target="mailto:renato.elias@marinha.mil.br"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3102</TotalTime>
  <Application>LibreOffice/7.3.7.2$Linux_X86_64 LibreOffice_project/30$Build-2</Application>
  <AppVersion>15.0000</AppVersion>
  <Pages>20</Pages>
  <Words>6578</Words>
  <Characters>37580</Characters>
  <CharactersWithSpaces>43688</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2025-08-05T09:01:05Z</cp:lastPrinted>
  <dcterms:modified xsi:type="dcterms:W3CDTF">2025-08-14T11:24:01Z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