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0DA27" w14:textId="77777777" w:rsidR="0056446F" w:rsidRDefault="0056446F" w:rsidP="0056446F">
      <w:pPr>
        <w:pStyle w:val="NormalWeb"/>
        <w:spacing w:before="0" w:beforeAutospacing="0" w:after="0" w:afterAutospacing="0" w:line="360" w:lineRule="auto"/>
        <w:jc w:val="both"/>
        <w:rPr>
          <w:rStyle w:val="Forte"/>
          <w:rFonts w:ascii="Calibri" w:hAnsi="Calibri"/>
          <w:color w:val="000000"/>
          <w:sz w:val="22"/>
          <w:szCs w:val="22"/>
        </w:rPr>
      </w:pPr>
    </w:p>
    <w:p w14:paraId="564AFC3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PREGÃO ELETRÔNICO</w:t>
      </w:r>
    </w:p>
    <w:p w14:paraId="15BBC8A4" w14:textId="0F308F58" w:rsidR="0056446F" w:rsidRPr="0056446F" w:rsidRDefault="00596D24" w:rsidP="0056446F">
      <w:pPr>
        <w:pStyle w:val="NormalWeb"/>
        <w:spacing w:before="0" w:beforeAutospacing="0" w:after="0" w:afterAutospacing="0" w:line="360" w:lineRule="auto"/>
        <w:jc w:val="both"/>
        <w:rPr>
          <w:rFonts w:ascii="Calibri" w:hAnsi="Calibri"/>
          <w:color w:val="000000"/>
          <w:sz w:val="22"/>
          <w:szCs w:val="22"/>
        </w:rPr>
      </w:pPr>
      <w:r>
        <w:rPr>
          <w:rStyle w:val="nfase"/>
          <w:rFonts w:ascii="Calibri" w:hAnsi="Calibri"/>
          <w:i w:val="0"/>
          <w:iCs w:val="0"/>
          <w:color w:val="000000"/>
          <w:sz w:val="22"/>
          <w:szCs w:val="22"/>
        </w:rPr>
        <w:t>90042</w:t>
      </w:r>
      <w:r w:rsidR="0056446F" w:rsidRPr="0056446F">
        <w:rPr>
          <w:rStyle w:val="nfase"/>
          <w:rFonts w:ascii="Calibri" w:hAnsi="Calibri"/>
          <w:i w:val="0"/>
          <w:iCs w:val="0"/>
          <w:color w:val="000000"/>
          <w:sz w:val="22"/>
          <w:szCs w:val="22"/>
        </w:rPr>
        <w:t>/2024</w:t>
      </w:r>
    </w:p>
    <w:p w14:paraId="600D078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EE7B37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CONTRATANTE (UASG)</w:t>
      </w:r>
    </w:p>
    <w:p w14:paraId="49DCD71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DEPARTAMENTO DE GESTÃO HOSPITALAR NO RIO DE JANEIRO (250103)</w:t>
      </w:r>
    </w:p>
    <w:p w14:paraId="3835492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F4534C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OBJETO</w:t>
      </w:r>
    </w:p>
    <w:p w14:paraId="4D07035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AQUISIÇÃO DE </w:t>
      </w:r>
      <w:r w:rsidRPr="0056446F">
        <w:rPr>
          <w:rStyle w:val="Forte"/>
          <w:rFonts w:ascii="Calibri" w:hAnsi="Calibri"/>
          <w:color w:val="000000"/>
          <w:sz w:val="22"/>
          <w:szCs w:val="22"/>
        </w:rPr>
        <w:t>DERMATOMO ELÉTRICO SEM FIO</w:t>
      </w:r>
      <w:r w:rsidRPr="0056446F">
        <w:rPr>
          <w:rFonts w:ascii="Calibri" w:hAnsi="Calibri"/>
          <w:color w:val="000000"/>
          <w:sz w:val="22"/>
          <w:szCs w:val="22"/>
        </w:rPr>
        <w:t> </w:t>
      </w:r>
      <w:r w:rsidRPr="0056446F">
        <w:rPr>
          <w:rFonts w:ascii="Calibri" w:hAnsi="Calibri"/>
          <w:b/>
          <w:bCs/>
          <w:color w:val="000000"/>
          <w:sz w:val="22"/>
          <w:szCs w:val="22"/>
        </w:rPr>
        <w:t>PADRONIZADO,</w:t>
      </w:r>
      <w:r w:rsidRPr="0056446F">
        <w:rPr>
          <w:rFonts w:ascii="Calibri" w:hAnsi="Calibri"/>
          <w:color w:val="000000"/>
          <w:sz w:val="22"/>
          <w:szCs w:val="22"/>
        </w:rPr>
        <w:t> PARA ATENDER ÀS NECESSIDADES DO SERVIÇO DE CIRURGIA PLÁSTICA DO HOSPITAL FEDERAL E DEMAIS ÓRGÃOS PARTICIPANTES</w:t>
      </w:r>
      <w:r w:rsidRPr="0056446F">
        <w:rPr>
          <w:rFonts w:ascii="Calibri" w:hAnsi="Calibri"/>
          <w:b/>
          <w:bCs/>
          <w:color w:val="000000"/>
          <w:sz w:val="22"/>
          <w:szCs w:val="22"/>
        </w:rPr>
        <w:t>,</w:t>
      </w:r>
      <w:r w:rsidRPr="0056446F">
        <w:rPr>
          <w:rFonts w:ascii="Calibri" w:hAnsi="Calibri"/>
          <w:color w:val="000000"/>
          <w:sz w:val="22"/>
          <w:szCs w:val="22"/>
        </w:rPr>
        <w:t> CONFORME CONDIÇÕES, QUANTIDADES E EXIGÊNCIAS ESTABELECIDAS NESTE EDITAL E SEUS ANEXOS.</w:t>
      </w:r>
    </w:p>
    <w:p w14:paraId="2119333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ECDDD4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VALOR TOTAL DA CONTRATAÇÃO</w:t>
      </w:r>
    </w:p>
    <w:p w14:paraId="1AAEDE0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R$</w:t>
      </w:r>
      <w:r w:rsidRPr="0056446F">
        <w:rPr>
          <w:rFonts w:ascii="Calibri" w:hAnsi="Calibri"/>
          <w:b/>
          <w:bCs/>
          <w:color w:val="000000"/>
          <w:sz w:val="22"/>
          <w:szCs w:val="22"/>
        </w:rPr>
        <w:t> 339.350,10</w:t>
      </w:r>
    </w:p>
    <w:p w14:paraId="4187DE2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46329F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DATA DA SESSÃO PÚBLICA</w:t>
      </w:r>
    </w:p>
    <w:p w14:paraId="3B4D6C07" w14:textId="26748DED"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Dia </w:t>
      </w:r>
      <w:r w:rsidR="00596D24">
        <w:rPr>
          <w:rStyle w:val="Forte"/>
          <w:rFonts w:ascii="Calibri" w:hAnsi="Calibri"/>
          <w:color w:val="000000"/>
          <w:sz w:val="22"/>
          <w:szCs w:val="22"/>
        </w:rPr>
        <w:t>16/12/2024</w:t>
      </w:r>
      <w:r w:rsidRPr="0056446F">
        <w:rPr>
          <w:rStyle w:val="Forte"/>
          <w:rFonts w:ascii="Calibri" w:hAnsi="Calibri"/>
          <w:color w:val="000000"/>
          <w:sz w:val="22"/>
          <w:szCs w:val="22"/>
        </w:rPr>
        <w:t> </w:t>
      </w:r>
      <w:r w:rsidRPr="0056446F">
        <w:rPr>
          <w:rFonts w:ascii="Calibri" w:hAnsi="Calibri"/>
          <w:color w:val="000000"/>
          <w:sz w:val="22"/>
          <w:szCs w:val="22"/>
        </w:rPr>
        <w:t>às </w:t>
      </w:r>
      <w:r w:rsidR="00596D24">
        <w:rPr>
          <w:rStyle w:val="Forte"/>
          <w:rFonts w:ascii="Calibri" w:hAnsi="Calibri"/>
          <w:color w:val="000000"/>
          <w:sz w:val="22"/>
          <w:szCs w:val="22"/>
        </w:rPr>
        <w:t>10</w:t>
      </w:r>
      <w:r w:rsidRPr="0056446F">
        <w:rPr>
          <w:rStyle w:val="Forte"/>
          <w:rFonts w:ascii="Calibri" w:hAnsi="Calibri"/>
          <w:color w:val="000000"/>
          <w:sz w:val="22"/>
          <w:szCs w:val="22"/>
        </w:rPr>
        <w:t>h (horário de Brasília)</w:t>
      </w:r>
    </w:p>
    <w:p w14:paraId="2436221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BC65BC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Critério de Julgamento:</w:t>
      </w:r>
    </w:p>
    <w:p w14:paraId="13BC3E4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MENOR PREÇO DO ITEM</w:t>
      </w:r>
    </w:p>
    <w:p w14:paraId="37AD36B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B18713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Modo de disputa:</w:t>
      </w:r>
    </w:p>
    <w:p w14:paraId="43BCB61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ABERTO</w:t>
      </w:r>
    </w:p>
    <w:p w14:paraId="39A3033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DBE89C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PREFERÊNCIA ME/EPP/EQUIPARADAS</w:t>
      </w:r>
    </w:p>
    <w:p w14:paraId="51B77CD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NÃO</w:t>
      </w:r>
    </w:p>
    <w:p w14:paraId="073E1CA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4DD070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A5DD087" w14:textId="77777777" w:rsidR="0056446F" w:rsidRDefault="0056446F" w:rsidP="0056446F">
      <w:pPr>
        <w:pStyle w:val="NormalWeb"/>
        <w:spacing w:before="0" w:beforeAutospacing="0" w:after="0" w:afterAutospacing="0" w:line="360" w:lineRule="auto"/>
        <w:jc w:val="both"/>
        <w:rPr>
          <w:rFonts w:ascii="Calibri" w:hAnsi="Calibri"/>
          <w:b/>
          <w:bCs/>
          <w:color w:val="000000"/>
          <w:sz w:val="22"/>
          <w:szCs w:val="22"/>
        </w:rPr>
      </w:pPr>
    </w:p>
    <w:p w14:paraId="1C159407" w14:textId="77777777" w:rsidR="0056446F" w:rsidRDefault="0056446F" w:rsidP="0056446F">
      <w:pPr>
        <w:pStyle w:val="NormalWeb"/>
        <w:spacing w:before="0" w:beforeAutospacing="0" w:after="0" w:afterAutospacing="0" w:line="360" w:lineRule="auto"/>
        <w:jc w:val="both"/>
        <w:rPr>
          <w:rFonts w:ascii="Calibri" w:hAnsi="Calibri"/>
          <w:b/>
          <w:bCs/>
          <w:color w:val="000000"/>
          <w:sz w:val="22"/>
          <w:szCs w:val="22"/>
        </w:rPr>
      </w:pPr>
    </w:p>
    <w:p w14:paraId="02DC80E0" w14:textId="77777777" w:rsidR="0056446F" w:rsidRDefault="0056446F" w:rsidP="0056446F">
      <w:pPr>
        <w:pStyle w:val="NormalWeb"/>
        <w:spacing w:before="0" w:beforeAutospacing="0" w:after="0" w:afterAutospacing="0" w:line="360" w:lineRule="auto"/>
        <w:jc w:val="both"/>
        <w:rPr>
          <w:rFonts w:ascii="Calibri" w:hAnsi="Calibri"/>
          <w:b/>
          <w:bCs/>
          <w:color w:val="000000"/>
          <w:sz w:val="22"/>
          <w:szCs w:val="22"/>
        </w:rPr>
      </w:pPr>
    </w:p>
    <w:p w14:paraId="6048CAEB" w14:textId="77777777" w:rsidR="0056446F" w:rsidRDefault="0056446F" w:rsidP="0056446F">
      <w:pPr>
        <w:pStyle w:val="NormalWeb"/>
        <w:spacing w:before="0" w:beforeAutospacing="0" w:after="0" w:afterAutospacing="0" w:line="360" w:lineRule="auto"/>
        <w:jc w:val="both"/>
        <w:rPr>
          <w:rFonts w:ascii="Calibri" w:hAnsi="Calibri"/>
          <w:b/>
          <w:bCs/>
          <w:color w:val="000000"/>
          <w:sz w:val="22"/>
          <w:szCs w:val="22"/>
        </w:rPr>
      </w:pPr>
    </w:p>
    <w:p w14:paraId="639D8664" w14:textId="77777777" w:rsidR="0056446F" w:rsidRDefault="0056446F" w:rsidP="0056446F">
      <w:pPr>
        <w:pStyle w:val="NormalWeb"/>
        <w:spacing w:before="0" w:beforeAutospacing="0" w:after="0" w:afterAutospacing="0" w:line="360" w:lineRule="auto"/>
        <w:jc w:val="both"/>
        <w:rPr>
          <w:rFonts w:ascii="Calibri" w:hAnsi="Calibri"/>
          <w:b/>
          <w:bCs/>
          <w:color w:val="000000"/>
          <w:sz w:val="22"/>
          <w:szCs w:val="22"/>
        </w:rPr>
      </w:pPr>
    </w:p>
    <w:p w14:paraId="5E62AC3F" w14:textId="47D4962C" w:rsidR="0056446F" w:rsidRPr="0056446F" w:rsidRDefault="0056446F" w:rsidP="0056446F">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lastRenderedPageBreak/>
        <w:t>EDITAL</w:t>
      </w:r>
    </w:p>
    <w:p w14:paraId="0A76C289" w14:textId="333AD78B" w:rsidR="0056446F" w:rsidRPr="0056446F" w:rsidRDefault="0056446F" w:rsidP="0056446F">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u w:val="single"/>
        </w:rPr>
        <w:t xml:space="preserve">PREGÃO ELETRÔNICO Nº </w:t>
      </w:r>
      <w:r w:rsidR="00596D24">
        <w:rPr>
          <w:rFonts w:ascii="Calibri" w:hAnsi="Calibri"/>
          <w:b/>
          <w:bCs/>
          <w:color w:val="000000"/>
          <w:sz w:val="22"/>
          <w:szCs w:val="22"/>
          <w:u w:val="single"/>
        </w:rPr>
        <w:t>90042</w:t>
      </w:r>
      <w:r w:rsidRPr="0056446F">
        <w:rPr>
          <w:rFonts w:ascii="Calibri" w:hAnsi="Calibri"/>
          <w:b/>
          <w:bCs/>
          <w:color w:val="000000"/>
          <w:sz w:val="22"/>
          <w:szCs w:val="22"/>
          <w:u w:val="single"/>
        </w:rPr>
        <w:t>/2024</w:t>
      </w:r>
    </w:p>
    <w:p w14:paraId="0911A67D" w14:textId="77777777" w:rsidR="0056446F" w:rsidRPr="0056446F" w:rsidRDefault="0056446F" w:rsidP="0056446F">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u w:val="single"/>
        </w:rPr>
        <w:t>SISTEMA DE REGISTRO DE PREÇOS</w:t>
      </w:r>
    </w:p>
    <w:p w14:paraId="052CBD0A" w14:textId="77777777" w:rsidR="0056446F" w:rsidRPr="0056446F" w:rsidRDefault="0056446F" w:rsidP="0056446F">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u w:val="single"/>
        </w:rPr>
        <w:t>MINISTÉRIO DA SAÚDE</w:t>
      </w:r>
    </w:p>
    <w:p w14:paraId="205CE1E1" w14:textId="77777777" w:rsidR="0056446F" w:rsidRPr="0056446F" w:rsidRDefault="0056446F" w:rsidP="0056446F">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(Processo Administrativo n. 33401.078376/2024-41</w:t>
      </w:r>
    </w:p>
    <w:p w14:paraId="265245E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D4FE47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Torna-se público, que o Ministério da Saúde, por meio do Hospital Federal de Ipanema, sediado na Rua Antônio Parreiras nº67/69 - Bairro de Ipanema – Rio de Janeiro – RJ - CEP.: 22411-020, realizará licitação, para </w:t>
      </w:r>
      <w:r w:rsidRPr="0056446F">
        <w:rPr>
          <w:rFonts w:ascii="Calibri" w:hAnsi="Calibri"/>
          <w:b/>
          <w:bCs/>
          <w:color w:val="000000"/>
          <w:sz w:val="22"/>
          <w:szCs w:val="22"/>
        </w:rPr>
        <w:t>registro de preços</w:t>
      </w:r>
      <w:r w:rsidRPr="0056446F">
        <w:rPr>
          <w:rFonts w:ascii="Calibri" w:hAnsi="Calibri"/>
          <w:color w:val="000000"/>
          <w:sz w:val="22"/>
          <w:szCs w:val="22"/>
        </w:rPr>
        <w:t>, na modalidade </w:t>
      </w:r>
      <w:r w:rsidRPr="0056446F">
        <w:rPr>
          <w:rStyle w:val="Forte"/>
          <w:rFonts w:ascii="Calibri" w:hAnsi="Calibri"/>
          <w:color w:val="000000"/>
          <w:sz w:val="22"/>
          <w:szCs w:val="22"/>
        </w:rPr>
        <w:t>PREGÃO</w:t>
      </w:r>
      <w:r w:rsidRPr="0056446F">
        <w:rPr>
          <w:rFonts w:ascii="Calibri" w:hAnsi="Calibri"/>
          <w:color w:val="000000"/>
          <w:sz w:val="22"/>
          <w:szCs w:val="22"/>
        </w:rPr>
        <w:t>, na forma </w:t>
      </w:r>
      <w:r w:rsidRPr="0056446F">
        <w:rPr>
          <w:rStyle w:val="Forte"/>
          <w:rFonts w:ascii="Calibri" w:hAnsi="Calibri"/>
          <w:color w:val="000000"/>
          <w:sz w:val="22"/>
          <w:szCs w:val="22"/>
        </w:rPr>
        <w:t>ELETRÔNICA</w:t>
      </w:r>
      <w:r w:rsidRPr="0056446F">
        <w:rPr>
          <w:rFonts w:ascii="Calibri" w:hAnsi="Calibri"/>
          <w:color w:val="000000"/>
          <w:sz w:val="22"/>
          <w:szCs w:val="22"/>
        </w:rPr>
        <w:t>, nos termos da Lei nº 14.133, de 2021, do Decreto nº 11.462, de 31 de março de 2023, e demais legislação aplicável e, ainda, de acordo com as condições estabelecidas neste Edital.</w:t>
      </w:r>
    </w:p>
    <w:p w14:paraId="17A93C95" w14:textId="77777777" w:rsidR="0056446F" w:rsidRDefault="0056446F" w:rsidP="0056446F">
      <w:pPr>
        <w:pStyle w:val="NormalWeb"/>
        <w:spacing w:before="0" w:beforeAutospacing="0" w:after="0" w:afterAutospacing="0" w:line="360" w:lineRule="auto"/>
        <w:jc w:val="both"/>
        <w:rPr>
          <w:rStyle w:val="Forte"/>
          <w:rFonts w:ascii="Calibri" w:hAnsi="Calibri"/>
          <w:color w:val="000000"/>
          <w:sz w:val="22"/>
          <w:szCs w:val="22"/>
        </w:rPr>
      </w:pPr>
    </w:p>
    <w:p w14:paraId="3CFB87C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1.</w:t>
      </w:r>
      <w:r w:rsidRPr="0056446F">
        <w:rPr>
          <w:rFonts w:ascii="Calibri" w:hAnsi="Calibri"/>
          <w:color w:val="000000"/>
          <w:sz w:val="22"/>
          <w:szCs w:val="22"/>
        </w:rPr>
        <w:t> </w:t>
      </w:r>
      <w:r w:rsidRPr="0056446F">
        <w:rPr>
          <w:rStyle w:val="Forte"/>
          <w:rFonts w:ascii="Calibri" w:hAnsi="Calibri"/>
          <w:color w:val="000000"/>
          <w:sz w:val="22"/>
          <w:szCs w:val="22"/>
        </w:rPr>
        <w:t>DO OBJETO</w:t>
      </w:r>
    </w:p>
    <w:p w14:paraId="18940CF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 O objeto da presente licitação é a escolha da proposta mais vantajosa para a aquisição de </w:t>
      </w:r>
      <w:proofErr w:type="spellStart"/>
      <w:r w:rsidRPr="0056446F">
        <w:rPr>
          <w:rFonts w:ascii="Calibri" w:hAnsi="Calibri"/>
          <w:b/>
          <w:bCs/>
          <w:color w:val="000000"/>
          <w:sz w:val="22"/>
          <w:szCs w:val="22"/>
        </w:rPr>
        <w:t>Dermatomo</w:t>
      </w:r>
      <w:proofErr w:type="spellEnd"/>
      <w:r w:rsidRPr="0056446F">
        <w:rPr>
          <w:rFonts w:ascii="Calibri" w:hAnsi="Calibri"/>
          <w:b/>
          <w:bCs/>
          <w:color w:val="000000"/>
          <w:sz w:val="22"/>
          <w:szCs w:val="22"/>
        </w:rPr>
        <w:t xml:space="preserve"> Elétrico sem Fio</w:t>
      </w:r>
      <w:r w:rsidRPr="0056446F">
        <w:rPr>
          <w:rStyle w:val="Forte"/>
          <w:rFonts w:ascii="Calibri" w:hAnsi="Calibri"/>
          <w:color w:val="000000"/>
          <w:sz w:val="22"/>
          <w:szCs w:val="22"/>
        </w:rPr>
        <w:t> Padronizado,</w:t>
      </w:r>
      <w:r w:rsidRPr="0056446F">
        <w:rPr>
          <w:rFonts w:ascii="Calibri" w:hAnsi="Calibri"/>
          <w:color w:val="000000"/>
          <w:sz w:val="22"/>
          <w:szCs w:val="22"/>
        </w:rPr>
        <w:t> para atender às necessidades do Serviço de Cirurgia Plástica do Hospital Federal de Ipanema e demais órgãos participantes, conforme condições, quantidades e exigências estabelecidas neste Edital e seus anexos.</w:t>
      </w:r>
    </w:p>
    <w:p w14:paraId="02C26AB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 A licitação será dividida em um único item.</w:t>
      </w:r>
    </w:p>
    <w:p w14:paraId="778512D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731E2C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2. DO REGISTRO DE PREÇOS</w:t>
      </w:r>
    </w:p>
    <w:p w14:paraId="5FD6077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2.1. As regras referentes aos órgãos gerenciador e participantes, bem como a eventuais adesões são as que constam da minuta de Ata de Registro de Preços.</w:t>
      </w:r>
    </w:p>
    <w:p w14:paraId="30E9674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52AE83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bookmarkStart w:id="0" w:name="_Toc122606104"/>
      <w:r w:rsidRPr="0056446F">
        <w:rPr>
          <w:rStyle w:val="Forte"/>
          <w:rFonts w:ascii="Calibri" w:hAnsi="Calibri"/>
          <w:color w:val="000000"/>
          <w:sz w:val="22"/>
          <w:szCs w:val="22"/>
        </w:rPr>
        <w:t>3. DA PARTICIPAÇÃO NA LICITAÇÃO</w:t>
      </w:r>
      <w:bookmarkEnd w:id="0"/>
    </w:p>
    <w:p w14:paraId="5A1BDB1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3.1Poderão participar deste Pregão os interessados que estiverem previamente credenciados no Sistema de Cadastramento Unificado de Fornecedores - SICAF e no Sistema de Compras do Governo Federal (www.gov.br/compras).</w:t>
      </w:r>
    </w:p>
    <w:p w14:paraId="79B05837"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3.1.1 Os interessados deverão atender às condições exigidas no cadastramento no SICAF até o terceiro dia útil anterior à data prevista para recebimento das propostas.</w:t>
      </w:r>
    </w:p>
    <w:p w14:paraId="7D3540E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F07886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F08B0F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3.4 A não observância do disposto no item anterior poderá ensejar desclassificação no momento da habilitação.</w:t>
      </w:r>
    </w:p>
    <w:p w14:paraId="2FACAC0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3.5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w:t>
      </w:r>
      <w:proofErr w:type="gramStart"/>
      <w:r w:rsidRPr="0056446F">
        <w:rPr>
          <w:rFonts w:ascii="Calibri" w:hAnsi="Calibri"/>
          <w:color w:val="000000"/>
          <w:sz w:val="22"/>
          <w:szCs w:val="22"/>
        </w:rPr>
        <w:t>n.º</w:t>
      </w:r>
      <w:proofErr w:type="gramEnd"/>
      <w:r w:rsidRPr="0056446F">
        <w:rPr>
          <w:rFonts w:ascii="Calibri" w:hAnsi="Calibri"/>
          <w:color w:val="000000"/>
          <w:sz w:val="22"/>
          <w:szCs w:val="22"/>
        </w:rPr>
        <w:t xml:space="preserve"> 8.538, de 2015.</w:t>
      </w:r>
    </w:p>
    <w:p w14:paraId="0E4F6B1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3.6 Não poderão disputar esta licitação:</w:t>
      </w:r>
    </w:p>
    <w:p w14:paraId="17CD460D"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3.6.1 aquele que não atenda às condições deste Edital e seu(s) anexo(s);</w:t>
      </w:r>
    </w:p>
    <w:p w14:paraId="390526A2"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3.6.2 autor do anteprojeto, do projeto básico ou do projeto executivo, pessoa física ou jurídica, quando a licitação versar sobre serviços ou fornecimento de bens a ele relacionados;</w:t>
      </w:r>
    </w:p>
    <w:p w14:paraId="15A7DA63"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6371D10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bookmarkStart w:id="1" w:name="_Ref113883003"/>
      <w:r w:rsidRPr="0056446F">
        <w:rPr>
          <w:rFonts w:ascii="Calibri" w:hAnsi="Calibri"/>
          <w:color w:val="000000"/>
          <w:sz w:val="22"/>
          <w:szCs w:val="22"/>
        </w:rPr>
        <w:t>3.6.4 pessoa física ou jurídica que se encontre, ao tempo da licitação, impossibilitada de participar da licitação em decorrência de sanção que lhe foi imposta;</w:t>
      </w:r>
      <w:bookmarkEnd w:id="1"/>
    </w:p>
    <w:p w14:paraId="206C8A7B"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09461B"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bookmarkStart w:id="2" w:name="_Ref113883579"/>
      <w:r w:rsidRPr="0056446F">
        <w:rPr>
          <w:rFonts w:ascii="Calibri" w:hAnsi="Calibri"/>
          <w:color w:val="000000"/>
          <w:sz w:val="22"/>
          <w:szCs w:val="22"/>
        </w:rPr>
        <w:t>3.6.6 empresas controladoras, controladas ou coligadas, nos termos da Lei nº 6.404, de 15 de dezembro de 1976, concorrendo entre si;</w:t>
      </w:r>
      <w:bookmarkEnd w:id="2"/>
    </w:p>
    <w:p w14:paraId="21D3673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3.6.7 pessoa</w:t>
      </w:r>
      <w:proofErr w:type="gramEnd"/>
      <w:r w:rsidRPr="0056446F">
        <w:rPr>
          <w:rFonts w:ascii="Calibri" w:hAnsi="Calibri"/>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62B173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bookmarkStart w:id="3" w:name="_Ref113962336"/>
      <w:r w:rsidRPr="0056446F">
        <w:rPr>
          <w:rFonts w:ascii="Calibri" w:hAnsi="Calibri"/>
          <w:color w:val="000000"/>
          <w:sz w:val="22"/>
          <w:szCs w:val="22"/>
        </w:rPr>
        <w:lastRenderedPageBreak/>
        <w:t>3.6.8 agente público do órgão ou entidade licitante;</w:t>
      </w:r>
      <w:bookmarkEnd w:id="3"/>
    </w:p>
    <w:p w14:paraId="7E26BDAB"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3.6.9 Organizações da Sociedade Civil de Interesse Público - OSCIP, atuando nessa condição;</w:t>
      </w:r>
    </w:p>
    <w:p w14:paraId="2F4752C4"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3.6.10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Pr="0056446F">
          <w:rPr>
            <w:rStyle w:val="Hyperlink"/>
            <w:rFonts w:ascii="Calibri" w:hAnsi="Calibri"/>
            <w:sz w:val="22"/>
            <w:szCs w:val="22"/>
          </w:rPr>
          <w:t>§ 1º do art. 9º da Lei n.º 14.133, de 2021</w:t>
        </w:r>
      </w:hyperlink>
      <w:r w:rsidRPr="0056446F">
        <w:rPr>
          <w:rFonts w:ascii="Calibri" w:hAnsi="Calibri"/>
          <w:color w:val="000000"/>
          <w:sz w:val="22"/>
          <w:szCs w:val="22"/>
        </w:rPr>
        <w:t>.</w:t>
      </w:r>
    </w:p>
    <w:p w14:paraId="5E3EF69A"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3.6.11 – impedimento de a empresa consorciada participar, na mesma licitação, de mais de um consórcio ou de forma isolada;</w:t>
      </w:r>
    </w:p>
    <w:p w14:paraId="3087642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3.7 O impedimento de que trata o 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51965A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bookmarkStart w:id="4" w:name="art14§2"/>
      <w:bookmarkEnd w:id="4"/>
      <w:r w:rsidRPr="0056446F">
        <w:rPr>
          <w:rFonts w:ascii="Calibri" w:hAnsi="Calibri"/>
          <w:color w:val="000000"/>
          <w:sz w:val="22"/>
          <w:szCs w:val="22"/>
        </w:rPr>
        <w:t>3.8 A critério da Administração e exclusivamente a seu serviço, o autor dos projetos e a empresa a que se referem os itens 3.6.2 e 3.6.3 poderão participar no apoio das atividades de planejamento da contratação, de execução da licitação ou de gestão do contrato, desde que sob supervisão exclusiva de agentes públicos do órgão ou entidade.</w:t>
      </w:r>
    </w:p>
    <w:p w14:paraId="4A5DE12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bookmarkStart w:id="5" w:name="art14§3"/>
      <w:bookmarkEnd w:id="5"/>
      <w:r w:rsidRPr="0056446F">
        <w:rPr>
          <w:rFonts w:ascii="Calibri" w:hAnsi="Calibri"/>
          <w:color w:val="000000"/>
          <w:sz w:val="22"/>
          <w:szCs w:val="22"/>
        </w:rPr>
        <w:t>3.9 Equiparam-se aos autores do projeto as empresas integrantes do mesmo grupo econômico.</w:t>
      </w:r>
    </w:p>
    <w:p w14:paraId="0E93906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3.10 O disposto nos itens 3.6.2 e 3.6.3 não impede a licitação ou a contratação de serviço que inclua como encargo do contratado a elaboração do projeto básico e do projeto executivo, nas contratações integradas, e do projeto executivo, nos demais regimes de execução.</w:t>
      </w:r>
    </w:p>
    <w:p w14:paraId="4E1877B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BB5AAA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3.12 A vedação de que trata o item 3.6.8 estende-se a terceiro que auxilie a condução da contratação na qualidade de integrante de equipe de apoio, profissional especializado ou funcionário ou representante de empresa que preste assessoria técnica.</w:t>
      </w:r>
    </w:p>
    <w:p w14:paraId="75D2F3E6" w14:textId="46BA03E2"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r w:rsidRPr="0056446F">
        <w:rPr>
          <w:rStyle w:val="Forte"/>
          <w:rFonts w:ascii="Calibri" w:hAnsi="Calibri"/>
          <w:color w:val="000000"/>
          <w:sz w:val="22"/>
          <w:szCs w:val="22"/>
        </w:rPr>
        <w:t>4. DA APRESENTAÇÃO DA PROPOSTA E DOS DOCUMENTOS DE HABILITAÇÃO</w:t>
      </w:r>
    </w:p>
    <w:p w14:paraId="38E3C22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4.1 Na</w:t>
      </w:r>
      <w:proofErr w:type="gramEnd"/>
      <w:r w:rsidRPr="0056446F">
        <w:rPr>
          <w:rFonts w:ascii="Calibri" w:hAnsi="Calibri"/>
          <w:color w:val="000000"/>
          <w:sz w:val="22"/>
          <w:szCs w:val="22"/>
        </w:rPr>
        <w:t xml:space="preserve"> presente licitação, a fase de habilitação sucederá as fases de apresentação de propostas e lances e de julgamento.</w:t>
      </w:r>
    </w:p>
    <w:p w14:paraId="149B445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4.2 Os licitantes encaminharão, exclusivamente por meio do sistema eletrônico, a proposta com o preço ou o percentual de desconto, conforme o critério de julgamento adotado neste Edital, até a data e o horário estabelecidos para abertura da sessão pública.</w:t>
      </w:r>
    </w:p>
    <w:p w14:paraId="23992A4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8.12.1 deste Edital.</w:t>
      </w:r>
    </w:p>
    <w:p w14:paraId="45F79E8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4.4 No cadastramento da proposta inicial, o licitante declarará, em campo próprio do sistema, que:</w:t>
      </w:r>
    </w:p>
    <w:p w14:paraId="4788F4AF"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4.4.1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56446F">
        <w:rPr>
          <w:rFonts w:ascii="Calibri" w:hAnsi="Calibri"/>
          <w:color w:val="000000"/>
          <w:sz w:val="22"/>
          <w:szCs w:val="22"/>
        </w:rPr>
        <w:t>infralegais</w:t>
      </w:r>
      <w:proofErr w:type="spellEnd"/>
      <w:r w:rsidRPr="0056446F">
        <w:rPr>
          <w:rFonts w:ascii="Calibri" w:hAnsi="Calibri"/>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6C1FC96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4.4.2 não emprega menor de 18 anos em trabalho noturno, perigoso ou insalubre e não emprega menor de 16 anos, salvo menor, a partir de 14 anos, na condição de aprendiz, nos termos do artigo 7°, XXXIII, da Constituição;</w:t>
      </w:r>
    </w:p>
    <w:p w14:paraId="1A7E102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4.4.3 não possui, em sua cadeia produtiva, empregados executando trabalho degradante ou forçado, observando o disposto nos incisos III e IV do art. 1º e no inciso III do art. 5º da Constituição Federal;</w:t>
      </w:r>
    </w:p>
    <w:p w14:paraId="713E1702"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4.4.4 cumpre as exigências de reserva de cargos para pessoa com deficiência e para reabilitado da Previdência Social, previstas em lei e em outras normas específicas.</w:t>
      </w:r>
    </w:p>
    <w:p w14:paraId="4E9B6EB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shd w:val="clear" w:color="auto" w:fill="FFFFFF"/>
        </w:rPr>
        <w:t xml:space="preserve">4.5 O fornecedor enquadrado como microempresa, empresa de pequeno </w:t>
      </w:r>
      <w:proofErr w:type="spellStart"/>
      <w:r w:rsidRPr="0056446F">
        <w:rPr>
          <w:rFonts w:ascii="Calibri" w:hAnsi="Calibri"/>
          <w:color w:val="000000"/>
          <w:sz w:val="22"/>
          <w:szCs w:val="22"/>
          <w:shd w:val="clear" w:color="auto" w:fill="FFFFFF"/>
        </w:rPr>
        <w:t>portedeverá</w:t>
      </w:r>
      <w:proofErr w:type="spellEnd"/>
      <w:r w:rsidRPr="0056446F">
        <w:rPr>
          <w:rFonts w:ascii="Calibri" w:hAnsi="Calibri"/>
          <w:color w:val="000000"/>
          <w:sz w:val="22"/>
          <w:szCs w:val="22"/>
          <w:shd w:val="clear" w:color="auto" w:fill="FFFFFF"/>
        </w:rPr>
        <w:t xml:space="preserve"> declarar, ainda, em campo próprio do sistema eletrônico, que cumpre os requisitos estabelecidos no artigo 3° da Lei Complementar nº 123, de 2006, estando apto a</w:t>
      </w:r>
    </w:p>
    <w:p w14:paraId="3BF3B3E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shd w:val="clear" w:color="auto" w:fill="FFFFFF"/>
        </w:rPr>
        <w:t>usufruir</w:t>
      </w:r>
      <w:proofErr w:type="gramEnd"/>
      <w:r w:rsidRPr="0056446F">
        <w:rPr>
          <w:rFonts w:ascii="Calibri" w:hAnsi="Calibri"/>
          <w:color w:val="000000"/>
          <w:sz w:val="22"/>
          <w:szCs w:val="22"/>
          <w:shd w:val="clear" w:color="auto" w:fill="FFFFFF"/>
        </w:rPr>
        <w:t xml:space="preserve"> do tratamento favorecido estabelecido em seus </w:t>
      </w:r>
      <w:proofErr w:type="spellStart"/>
      <w:r w:rsidRPr="0056446F">
        <w:rPr>
          <w:rFonts w:ascii="Calibri" w:hAnsi="Calibri"/>
          <w:color w:val="000000"/>
          <w:sz w:val="22"/>
          <w:szCs w:val="22"/>
          <w:shd w:val="clear" w:color="auto" w:fill="FFFFFF"/>
        </w:rPr>
        <w:t>arts</w:t>
      </w:r>
      <w:proofErr w:type="spellEnd"/>
      <w:r w:rsidRPr="0056446F">
        <w:rPr>
          <w:rFonts w:ascii="Calibri" w:hAnsi="Calibri"/>
          <w:color w:val="000000"/>
          <w:sz w:val="22"/>
          <w:szCs w:val="22"/>
          <w:shd w:val="clear" w:color="auto" w:fill="FFFFFF"/>
        </w:rPr>
        <w:t>. 42 a 49, observado o disposto nos §§ 1º ao 3º do art. 4º, da Lei n.º 14.133, de 2021.</w:t>
      </w:r>
    </w:p>
    <w:p w14:paraId="6933DCE0" w14:textId="77777777" w:rsidR="003F06FA"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4.5.1 no item exclusivo para participação de microempresas e empresas de pequeno </w:t>
      </w:r>
    </w:p>
    <w:p w14:paraId="0F49990F" w14:textId="05AD6D2C"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porte</w:t>
      </w:r>
      <w:proofErr w:type="gramEnd"/>
      <w:r w:rsidRPr="0056446F">
        <w:rPr>
          <w:rFonts w:ascii="Calibri" w:hAnsi="Calibri"/>
          <w:color w:val="000000"/>
          <w:sz w:val="22"/>
          <w:szCs w:val="22"/>
        </w:rPr>
        <w:t>, a assinalação do campo “não” impedirá o prosseguimento no certame, para aquele item;</w:t>
      </w:r>
    </w:p>
    <w:p w14:paraId="15819CC2"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4.5.2 nos itens em que a participação não for exclusiva para microempresas e empresas de pequeno porte, a assinalação do campo “não” apenas produzirá o efeito </w:t>
      </w:r>
      <w:r w:rsidRPr="0056446F">
        <w:rPr>
          <w:rFonts w:ascii="Calibri" w:hAnsi="Calibri"/>
          <w:color w:val="000000"/>
          <w:sz w:val="22"/>
          <w:szCs w:val="22"/>
        </w:rPr>
        <w:lastRenderedPageBreak/>
        <w:t>de o licitante não ter direito ao tratamento favorecido previsto na Lei Complementar nº 123, de 2006, mesmo que microempresa, empresa de pequeno porte ou sociedade cooperativa.</w:t>
      </w:r>
    </w:p>
    <w:p w14:paraId="28677CD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4.6 A falsidade da declaração de que trata os itens 4.4 ou 4.5 sujeitará o licitante às sanções previstas na Lei nº 14.133, de 2021, e neste Edital.</w:t>
      </w:r>
    </w:p>
    <w:p w14:paraId="252C3C9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D1C239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4.8 Não haverá ordem de classificação na etapa de apresentação da proposta e dos documentos de habilitação pelo licitante, o que ocorrerá somente após os procedimentos de abertura da sessão pública e da fase de envio de lances.</w:t>
      </w:r>
    </w:p>
    <w:p w14:paraId="2B8E82C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4.9 Serão disponibilizados para acesso público os documentos que compõem a proposta dos licitantes convocados para apresentação de propostas, após a fase de envio de lances.</w:t>
      </w:r>
    </w:p>
    <w:p w14:paraId="153B7F6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4.10 Desde que disponibilizada a funcionalidade no sistema, o licitante poderá parametrizar o seu valor final mínimo ou o seu percentual de desconto máximo quando do cadastramento da proposta e obedecerá às seguintes regras:</w:t>
      </w:r>
    </w:p>
    <w:p w14:paraId="2693895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4.10.1 a aplicação do intervalo mínimo de diferença de valores ou de percentuais entre os lances, que incidirá tanto em relação aos lances intermediários quanto em relação ao lance que cobrir a melhor oferta; e</w:t>
      </w:r>
    </w:p>
    <w:p w14:paraId="05083F7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4.10.2 os lances serão de envio automático pelo sistema, respeitado o valor final mínimo estabelecido e o intervalo de que trata o subitem acima.</w:t>
      </w:r>
    </w:p>
    <w:p w14:paraId="2877C44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4.11 O valor final mínimo ou o percentual de desconto final máximo parametrizado no sistema poderá ser alterado pelo fornecedor durante a fase de disputa, sendo vedado:</w:t>
      </w:r>
    </w:p>
    <w:p w14:paraId="15B17791"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4.11.1 valor</w:t>
      </w:r>
      <w:proofErr w:type="gramEnd"/>
      <w:r w:rsidRPr="0056446F">
        <w:rPr>
          <w:rFonts w:ascii="Calibri" w:hAnsi="Calibri"/>
          <w:color w:val="000000"/>
          <w:sz w:val="22"/>
          <w:szCs w:val="22"/>
        </w:rPr>
        <w:t xml:space="preserve"> superior a lance já registrado pelo fornecedor no sistema, quando adotado o critério de julgamento por menor preço; e</w:t>
      </w:r>
    </w:p>
    <w:p w14:paraId="5444A9C0"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4.11.2 percentual de desconto inferior a lance já registrado pelo fornecedor no sistema, quando adotado o critério de julgamento por maior desconto.</w:t>
      </w:r>
    </w:p>
    <w:p w14:paraId="69310DC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4.12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19EB769F" w14:textId="14947455"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4.13</w:t>
      </w:r>
      <w:r>
        <w:rPr>
          <w:rFonts w:ascii="Calibri" w:hAnsi="Calibri"/>
          <w:color w:val="000000"/>
          <w:sz w:val="22"/>
          <w:szCs w:val="22"/>
        </w:rPr>
        <w:t xml:space="preserve"> </w:t>
      </w:r>
      <w:r w:rsidRPr="0056446F">
        <w:rPr>
          <w:rFonts w:ascii="Calibri" w:hAnsi="Calibri"/>
          <w:color w:val="000000"/>
          <w:sz w:val="22"/>
          <w:szCs w:val="22"/>
        </w:rPr>
        <w:t>Caberá</w:t>
      </w:r>
      <w:proofErr w:type="gramEnd"/>
      <w:r w:rsidRPr="0056446F">
        <w:rPr>
          <w:rFonts w:ascii="Calibri" w:hAnsi="Calibri"/>
          <w:color w:val="000000"/>
          <w:sz w:val="22"/>
          <w:szCs w:val="22"/>
        </w:rPr>
        <w:t xml:space="preserve"> ao licitante interessado em participar da licitação acompanhar as operações no sistema eletrônico durante o processo licitatório e se responsabilizar pelo ônus decorrente da </w:t>
      </w:r>
      <w:r w:rsidRPr="0056446F">
        <w:rPr>
          <w:rFonts w:ascii="Calibri" w:hAnsi="Calibri"/>
          <w:color w:val="000000"/>
          <w:sz w:val="22"/>
          <w:szCs w:val="22"/>
        </w:rPr>
        <w:lastRenderedPageBreak/>
        <w:t>perda de negócios diante da inobservância de mensagens emitidas pela Administração ou de sua desconexão.</w:t>
      </w:r>
    </w:p>
    <w:p w14:paraId="793282F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4.14 O licitante deverá comunicar imediatamente ao provedor do sistema qualquer acontecimento que possa comprometer o sigilo ou a segurança, para imediato bloqueio de acesso.</w:t>
      </w:r>
    </w:p>
    <w:p w14:paraId="21D7D37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FD9496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5 DO PREENCHIMENTO DA PROPOSTA</w:t>
      </w:r>
    </w:p>
    <w:p w14:paraId="7DE31E2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 O licitante deverá enviar sua proposta mediante o preenchimento, no sistema eletrônico, dos seguintes campos:</w:t>
      </w:r>
    </w:p>
    <w:p w14:paraId="0D08E80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5.1.1 valor unitário e total do item;</w:t>
      </w:r>
    </w:p>
    <w:p w14:paraId="29BA4C5B"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5.1.2 Marca;</w:t>
      </w:r>
    </w:p>
    <w:p w14:paraId="6B10038A"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5.1.3 Fabricante;</w:t>
      </w:r>
    </w:p>
    <w:p w14:paraId="6064C61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5.1.4 Descrição do objeto, contendo as informações similares à especificação do Termo de Referência;</w:t>
      </w:r>
    </w:p>
    <w:p w14:paraId="151004B3"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5.1.5 Quantidade cotada, devendo respeitar o mínimo de 15% do quantitativo total informado no Termo de Referência;</w:t>
      </w:r>
    </w:p>
    <w:p w14:paraId="2290FE2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5.2 Todas as especificações do objeto contidas na proposta vinculam o licitante.</w:t>
      </w:r>
    </w:p>
    <w:p w14:paraId="2F73D23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5.3 Nos valores propostos estarão inclusos todos os custos operacionais, encargos previdenciários, trabalhistas, tributários, comerciais e quaisquer outros que incidam direta ou indiretamente na execução do objeto.</w:t>
      </w:r>
    </w:p>
    <w:p w14:paraId="0953BDC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5.4 Os</w:t>
      </w:r>
      <w:proofErr w:type="gramEnd"/>
      <w:r w:rsidRPr="0056446F">
        <w:rPr>
          <w:rFonts w:ascii="Calibri" w:hAnsi="Calibri"/>
          <w:color w:val="000000"/>
          <w:sz w:val="22"/>
          <w:szCs w:val="22"/>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6CA5420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5.5 Se</w:t>
      </w:r>
      <w:proofErr w:type="gramEnd"/>
      <w:r w:rsidRPr="0056446F">
        <w:rPr>
          <w:rFonts w:ascii="Calibri" w:hAnsi="Calibri"/>
          <w:color w:val="000000"/>
          <w:sz w:val="22"/>
          <w:szCs w:val="22"/>
        </w:rPr>
        <w:t xml:space="preserve"> o regime tributário da empresa implicar o recolhimento de tributos em percentuais variáveis, a cotação adequada será a que corresponde à média dos efetivos recolhimentos da empresa nos últimos doze meses.</w:t>
      </w:r>
    </w:p>
    <w:p w14:paraId="1AE3F21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5.6 Independentemente do percentual de tributo inserido na planilha, no pagamento serão retidos na fonte os percentuais estabelecidos na legislação vigente.</w:t>
      </w:r>
    </w:p>
    <w:p w14:paraId="35CB68D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782166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lastRenderedPageBreak/>
        <w:t>5.7.1 O prazo de validade da proposta não será inferior a 60 (sessenta) dias, a contar da data de sua apresentação.</w:t>
      </w:r>
    </w:p>
    <w:p w14:paraId="34A2A23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5.7.2 Os licitantes devem respeitar os preços máximos estabelecidos nas normas de regência de contratações públicas federais, quando participarem de licitações públicas;</w:t>
      </w:r>
    </w:p>
    <w:p w14:paraId="5E3623A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5.7.3 Caso o critério de julgamento seja o de maior desconto, o preço já decorrente da aplicação do desconto ofertado deverá respeitar os preços máximos previstos no item 5.7</w:t>
      </w:r>
    </w:p>
    <w:p w14:paraId="5E0260F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5.8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56446F">
        <w:rPr>
          <w:rFonts w:ascii="Calibri" w:hAnsi="Calibri"/>
          <w:color w:val="000000"/>
          <w:sz w:val="22"/>
          <w:szCs w:val="22"/>
        </w:rPr>
        <w:t>sobrepreço</w:t>
      </w:r>
      <w:proofErr w:type="spellEnd"/>
      <w:r w:rsidRPr="0056446F">
        <w:rPr>
          <w:rFonts w:ascii="Calibri" w:hAnsi="Calibri"/>
          <w:color w:val="000000"/>
          <w:sz w:val="22"/>
          <w:szCs w:val="22"/>
        </w:rPr>
        <w:t xml:space="preserve"> na execução do contrato.</w:t>
      </w:r>
    </w:p>
    <w:p w14:paraId="1C4E860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B795B8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6. DA ABERTURA DA SESSÃO, CLASSIFICAÇÃO DAS PROPOSTAS E FORMULAÇÃO DE LANCES</w:t>
      </w:r>
    </w:p>
    <w:p w14:paraId="49B9AD8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 A abertura da presente licitação dar-se-á automaticamente em sessão pública, por meio de sistema eletrônico, na data, horário e local indicados neste Edital.</w:t>
      </w:r>
    </w:p>
    <w:p w14:paraId="7342D93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6.2 Os licitantes poderão retirar ou substituir a proposta ou os documentos de habilitação, quando for o caso, anteriormente inseridos no sistema, até a abertura da sessão pública.</w:t>
      </w:r>
    </w:p>
    <w:p w14:paraId="66936C7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6.3 O sistema disponibilizará campo próprio para troca de mensagens entre o Pregoeiro e os licitantes.</w:t>
      </w:r>
    </w:p>
    <w:p w14:paraId="40B503A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6.4 Iniciada</w:t>
      </w:r>
      <w:proofErr w:type="gramEnd"/>
      <w:r w:rsidRPr="0056446F">
        <w:rPr>
          <w:rFonts w:ascii="Calibri" w:hAnsi="Calibri"/>
          <w:color w:val="000000"/>
          <w:sz w:val="22"/>
          <w:szCs w:val="22"/>
        </w:rPr>
        <w:t xml:space="preserve"> a etapa competitiva, os licitantes deverão encaminhar lances exclusivamente por meio de sistema eletrônico, sendo imediatamente informados do seu recebimento e do valor consignado no registro.</w:t>
      </w:r>
    </w:p>
    <w:p w14:paraId="7B59B8C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6.5 O lance deverá ser ofertado pelo valor unitário do item.</w:t>
      </w:r>
    </w:p>
    <w:p w14:paraId="3C13142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6.6 Os licitantes poderão oferecer lances sucessivos, observando o horário fixado para abertura da sessão e as regras estabelecidas no Edital.</w:t>
      </w:r>
    </w:p>
    <w:p w14:paraId="6941E4C2" w14:textId="77777777" w:rsidR="003F06FA"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6.7 O licitante somente poderá oferecer lance de valor inferior ou ao último por ele ofertado e </w:t>
      </w:r>
    </w:p>
    <w:p w14:paraId="42F8A589" w14:textId="1FF1D406"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registrado</w:t>
      </w:r>
      <w:proofErr w:type="gramEnd"/>
      <w:r w:rsidRPr="0056446F">
        <w:rPr>
          <w:rFonts w:ascii="Calibri" w:hAnsi="Calibri"/>
          <w:color w:val="000000"/>
          <w:sz w:val="22"/>
          <w:szCs w:val="22"/>
        </w:rPr>
        <w:t xml:space="preserve"> pelo sistema.</w:t>
      </w:r>
    </w:p>
    <w:p w14:paraId="57F3474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6.8 O intervalo mínimo de diferença de valores ou percentuais entre os lances, que incidirá tanto em relação aos lances intermediários quanto em relação à proposta que cobrir a melhor oferta deverá ser </w:t>
      </w:r>
      <w:r w:rsidRPr="0056446F">
        <w:rPr>
          <w:rStyle w:val="Forte"/>
          <w:rFonts w:ascii="Calibri" w:hAnsi="Calibri"/>
          <w:color w:val="000000"/>
          <w:sz w:val="22"/>
          <w:szCs w:val="22"/>
        </w:rPr>
        <w:t>01%(um por cento)</w:t>
      </w:r>
      <w:r w:rsidRPr="0056446F">
        <w:rPr>
          <w:rFonts w:ascii="Calibri" w:hAnsi="Calibri"/>
          <w:color w:val="000000"/>
          <w:sz w:val="22"/>
          <w:szCs w:val="22"/>
        </w:rPr>
        <w:t>.</w:t>
      </w:r>
    </w:p>
    <w:p w14:paraId="2B02EFE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6.9 O licitante poderá, uma única vez, excluir seu último lance ofertado, no intervalo de quinze segundos após o registro no sistema, na hipótese de lance inconsistente ou inexequível.</w:t>
      </w:r>
    </w:p>
    <w:p w14:paraId="2AB91FD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6.10 O procedimento seguirá de acordo com o modo de disputa adotado.</w:t>
      </w:r>
    </w:p>
    <w:p w14:paraId="1B086A0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bookmarkStart w:id="6" w:name="_Hlk113697759"/>
      <w:r w:rsidRPr="0056446F">
        <w:rPr>
          <w:rFonts w:ascii="Calibri" w:hAnsi="Calibri"/>
          <w:color w:val="000000"/>
          <w:sz w:val="22"/>
          <w:szCs w:val="22"/>
        </w:rPr>
        <w:t>6.11 Caso seja adotado para o envio de lances no pregão eletrônico o modo de disputa “aberto”, os licitantes apresentarão lances públicos e sucessivos, com prorrogações.</w:t>
      </w:r>
      <w:bookmarkEnd w:id="6"/>
    </w:p>
    <w:p w14:paraId="2CD87B57"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bookmarkStart w:id="7" w:name="_Hlk113697816"/>
      <w:r w:rsidRPr="0056446F">
        <w:rPr>
          <w:rFonts w:ascii="Calibri" w:hAnsi="Calibri"/>
          <w:color w:val="000000"/>
          <w:sz w:val="22"/>
          <w:szCs w:val="22"/>
        </w:rPr>
        <w:t>6.11.1 A etapa de lances da sessão pública terá duração de dez minutos e, após isso, será prorrogada automaticamente pelo sistema quando houver lance ofertado nos últimos dois minutos do período de duração da sessão pública.</w:t>
      </w:r>
      <w:bookmarkEnd w:id="7"/>
    </w:p>
    <w:p w14:paraId="0800888F"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6.11.2 A prorrogação automática da etapa de lances, de que trata o subitem anterior, será de dois minutos e ocorrerá sucessivamente sempre que houver lances enviados nesse período de prorrogação, inclusive no caso de lances intermediários.</w:t>
      </w:r>
    </w:p>
    <w:p w14:paraId="1783822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6.11.3 Não havendo novos lances na forma estabelecida nos itens anteriores, a sessão pública encerrar-se-á automaticamente, e o sistema ordenará e divulgará os lances conforme a ordem final de classificação.</w:t>
      </w:r>
    </w:p>
    <w:p w14:paraId="2B2518D1"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935CD10"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6.11.5 Após o reinício previsto no item supra, os licitantes serão convocados para apresentar lances intermediários.</w:t>
      </w:r>
    </w:p>
    <w:p w14:paraId="3008AF1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6.12 Caso seja adotado para o envio de lances no pregão eletrônico o modo de disputa “aberto e fechado”, os licitantes apresentarão lances públicos e sucessivos, com lance final e fechado.</w:t>
      </w:r>
    </w:p>
    <w:p w14:paraId="5830C0E4"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6.12.1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6164E0FD"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1834E8"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6.12.3 No procedimento de que trata o subitem supra, o licitante poderá optar por manter o seu último lance da etapa aberta, ou por ofertar melhor lance.</w:t>
      </w:r>
    </w:p>
    <w:p w14:paraId="19B290CF"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6.12.4 Não havendo pelo menos três ofertas nas condições definidas neste item, poderão os autores dos melhores lances subsequentes, na ordem de classificação, até </w:t>
      </w:r>
      <w:r w:rsidRPr="0056446F">
        <w:rPr>
          <w:rFonts w:ascii="Calibri" w:hAnsi="Calibri"/>
          <w:color w:val="000000"/>
          <w:sz w:val="22"/>
          <w:szCs w:val="22"/>
        </w:rPr>
        <w:lastRenderedPageBreak/>
        <w:t>o máximo de três, oferecer um lance final e fechado em até cinco minutos, o qual será sigiloso até o encerramento deste prazo.</w:t>
      </w:r>
    </w:p>
    <w:p w14:paraId="726A17A8"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6.12.5 Após o término dos prazos estabelecidos nos itens anteriores, o sistema ordenará e divulgará os lances segundo a ordem crescente de valores.</w:t>
      </w:r>
    </w:p>
    <w:p w14:paraId="6B1A8CA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492CFFC"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6.13.1 Não</w:t>
      </w:r>
      <w:proofErr w:type="gramEnd"/>
      <w:r w:rsidRPr="0056446F">
        <w:rPr>
          <w:rFonts w:ascii="Calibri" w:hAnsi="Calibri"/>
          <w:color w:val="000000"/>
          <w:sz w:val="22"/>
          <w:szCs w:val="22"/>
        </w:rPr>
        <w:t xml:space="preserve"> havendo pelo menos 3 (três) propostas nas condições definidas no item 6.13, poderão os licitantes que apresentaram as três melhores propostas, consideradas as empatadas, oferecer novos lances sucessivos.</w:t>
      </w:r>
    </w:p>
    <w:p w14:paraId="3F41F75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6.13.2 A etapa de lances da sessão pública terá duração de dez minutos e, após isso, será prorrogada automaticamente pelo sistema quando houver lance ofertado nos últimos dois minutos do período de duração da sessão pública.</w:t>
      </w:r>
    </w:p>
    <w:p w14:paraId="60BAF476"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6.13.3 A prorrogação automática da etapa de lances, de que trata o subitem anterior, será de dois minutos e ocorrerá sucessivamente sempre que houver lances enviados nesse período de prorrogação, inclusive no caso de lances intermediários.</w:t>
      </w:r>
    </w:p>
    <w:p w14:paraId="7F41389E"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6.13.4 Não havendo novos lances na forma estabelecida nos itens anteriores, a sessão pública encerrar-se-á automaticamente, e o sistema ordenará e divulgará os lances conforme a ordem final de classificação.</w:t>
      </w:r>
    </w:p>
    <w:p w14:paraId="0425F8DE"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FC90CAE"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6.13.6 Após o reinício previsto no subitem supra, os licitantes serão convocados para apresentar lances intermediários.</w:t>
      </w:r>
    </w:p>
    <w:p w14:paraId="1EF8334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6.14 Após o término dos prazos estabelecidos nos subitens anteriores, o sistema ordenará e divulgará os lances segundo a ordem crescente de valores.</w:t>
      </w:r>
    </w:p>
    <w:p w14:paraId="1B5FB316" w14:textId="77777777" w:rsidR="003F06FA"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6.15 Não</w:t>
      </w:r>
      <w:proofErr w:type="gramEnd"/>
      <w:r w:rsidRPr="0056446F">
        <w:rPr>
          <w:rFonts w:ascii="Calibri" w:hAnsi="Calibri"/>
          <w:color w:val="000000"/>
          <w:sz w:val="22"/>
          <w:szCs w:val="22"/>
        </w:rPr>
        <w:t xml:space="preserve"> serão aceitos dois ou mais lances de mesmo valor, prevalecendo aquele que for </w:t>
      </w:r>
    </w:p>
    <w:p w14:paraId="32D2CF08" w14:textId="416622B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recebido</w:t>
      </w:r>
      <w:proofErr w:type="gramEnd"/>
      <w:r w:rsidRPr="0056446F">
        <w:rPr>
          <w:rFonts w:ascii="Calibri" w:hAnsi="Calibri"/>
          <w:color w:val="000000"/>
          <w:sz w:val="22"/>
          <w:szCs w:val="22"/>
        </w:rPr>
        <w:t xml:space="preserve"> e registrado em primeiro lugar.</w:t>
      </w:r>
    </w:p>
    <w:p w14:paraId="5C5D22E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6.16 Durante o transcurso da sessão pública, os licitantes serão informados, em tempo real, do valor do menor lance registrado, vedada a identificação do licitante.</w:t>
      </w:r>
    </w:p>
    <w:p w14:paraId="7C10A5D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6.17 No caso de desconexão com o Pregoeiro, no decorrer da etapa competitiva do Pregão, o sistema eletrônico poderá permanecer acessível aos licitantes para a recepção dos lances.</w:t>
      </w:r>
    </w:p>
    <w:p w14:paraId="25B75CE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6.18 Quando</w:t>
      </w:r>
      <w:proofErr w:type="gramEnd"/>
      <w:r w:rsidRPr="0056446F">
        <w:rPr>
          <w:rFonts w:ascii="Calibri" w:hAnsi="Calibri"/>
          <w:color w:val="000000"/>
          <w:sz w:val="22"/>
          <w:szCs w:val="22"/>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675144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6.19 Caso o licitante não apresente lances, concorrerá com o valor de sua proposta.</w:t>
      </w:r>
    </w:p>
    <w:p w14:paraId="54974D9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6446F">
        <w:rPr>
          <w:rFonts w:ascii="Calibri" w:hAnsi="Calibri"/>
          <w:color w:val="000000"/>
          <w:sz w:val="22"/>
          <w:szCs w:val="22"/>
        </w:rPr>
        <w:t>arts</w:t>
      </w:r>
      <w:proofErr w:type="spellEnd"/>
      <w:r w:rsidRPr="0056446F">
        <w:rPr>
          <w:rFonts w:ascii="Calibri" w:hAnsi="Calibri"/>
          <w:color w:val="000000"/>
          <w:sz w:val="22"/>
          <w:szCs w:val="22"/>
        </w:rPr>
        <w:t>. 44 e 45 da Lei Complementar nº 123, de 2006, regulamentada pelo Decreto nº 8.538, de 2015.</w:t>
      </w:r>
    </w:p>
    <w:p w14:paraId="4B879DD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6.20.1 Nessas</w:t>
      </w:r>
      <w:proofErr w:type="gramEnd"/>
      <w:r w:rsidRPr="0056446F">
        <w:rPr>
          <w:rFonts w:ascii="Calibri" w:hAnsi="Calibri"/>
          <w:color w:val="000000"/>
          <w:sz w:val="22"/>
          <w:szCs w:val="22"/>
        </w:rPr>
        <w:t xml:space="preserve"> condições, as propostas de microempresas e empresas de pequeno porte que se encontrarem na faixa de até 5% (cinco por cento) acima da melhor proposta ou melhor lance serão consideradas empatadas com a primeira colocada.</w:t>
      </w:r>
    </w:p>
    <w:p w14:paraId="2CBF766F"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82F49AE"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92A6B6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64EAA83" w14:textId="77777777" w:rsidR="003F06FA"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6.21 Só poderá haver empate entre propostas iguais (não seguidas de lances), ou entre lances </w:t>
      </w:r>
    </w:p>
    <w:p w14:paraId="4B6659E7" w14:textId="12F029E0"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finais</w:t>
      </w:r>
      <w:proofErr w:type="gramEnd"/>
      <w:r w:rsidRPr="0056446F">
        <w:rPr>
          <w:rFonts w:ascii="Calibri" w:hAnsi="Calibri"/>
          <w:color w:val="000000"/>
          <w:sz w:val="22"/>
          <w:szCs w:val="22"/>
        </w:rPr>
        <w:t xml:space="preserve"> da fase fechada do modo de disputa aberto e fechado.</w:t>
      </w:r>
    </w:p>
    <w:p w14:paraId="3093E1D0"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6.21.1 Havendo eventual empate entre propostas ou lances, o critério de desempate será aquele previsto no art. 60 da Lei nº 14.133, de 2021, nesta ordem:</w:t>
      </w:r>
    </w:p>
    <w:p w14:paraId="344ABBCF"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lastRenderedPageBreak/>
        <w:t>6.21.1.1 disputa final, hipótese em que os licitantes empatados poderão apresentar nova proposta em ato contínuo à classificação;</w:t>
      </w:r>
    </w:p>
    <w:p w14:paraId="3213C679"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6.21.1.2 avaliação do desempenho contratual prévio dos licitantes, para a qual deverão preferencialmente ser utilizados registros cadastrais para efeito de atesto de cumprimento de obrigações previstos nesta Lei;</w:t>
      </w:r>
    </w:p>
    <w:p w14:paraId="3BB1D45E"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6.21.1.3 desenvolvimento pelo licitante de ações de equidade entre homens e mulheres no ambiente de trabalho, conforme regulamento;</w:t>
      </w:r>
    </w:p>
    <w:p w14:paraId="302CEDC5"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6.21.1.4 desenvolvimento pelo licitante de programa de integridade, conforme orientações dos órgãos de controle.</w:t>
      </w:r>
    </w:p>
    <w:p w14:paraId="46AA6D51"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6.21.2 Persistindo o empate, será assegurada preferência, sucessivamente, aos bens e serviços produzidos ou prestados por:</w:t>
      </w:r>
    </w:p>
    <w:p w14:paraId="13309299"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6.21.2.1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74A6B6"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6.21.2.2 empresas brasileiras;</w:t>
      </w:r>
    </w:p>
    <w:p w14:paraId="1B2C77A0"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6.21.2.3 empresas que invistam em pesquisa e no desenvolvimento de tecnologia no País;</w:t>
      </w:r>
    </w:p>
    <w:p w14:paraId="13F5F0FF" w14:textId="77777777" w:rsidR="0056446F" w:rsidRPr="0056446F" w:rsidRDefault="0056446F" w:rsidP="0056446F">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6.21.2.4 empresas que comprovem a prática de mitigação, nos termos da Lei nº 12.187, de 29 de dezembro de 2009.</w:t>
      </w:r>
    </w:p>
    <w:p w14:paraId="5D2B1F2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6.22 Encerrada</w:t>
      </w:r>
      <w:proofErr w:type="gramEnd"/>
      <w:r w:rsidRPr="0056446F">
        <w:rPr>
          <w:rFonts w:ascii="Calibri" w:hAnsi="Calibri"/>
          <w:color w:val="000000"/>
          <w:sz w:val="22"/>
          <w:szCs w:val="22"/>
        </w:rPr>
        <w:t xml:space="preserve">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A56338A"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6.22.1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8042D52"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6.22.2 A negociação será realizada por meio do sistema, podendo ser acompanhada pelos demais licitantes.</w:t>
      </w:r>
    </w:p>
    <w:p w14:paraId="22833864" w14:textId="77777777" w:rsidR="003F06FA"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6.22.3 O resultado da negociação será divulgado a todos os licitantes e anexado aos </w:t>
      </w:r>
    </w:p>
    <w:p w14:paraId="134B63C1" w14:textId="1F1708C8"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autos</w:t>
      </w:r>
      <w:proofErr w:type="gramEnd"/>
      <w:r w:rsidRPr="0056446F">
        <w:rPr>
          <w:rFonts w:ascii="Calibri" w:hAnsi="Calibri"/>
          <w:color w:val="000000"/>
          <w:sz w:val="22"/>
          <w:szCs w:val="22"/>
        </w:rPr>
        <w:t xml:space="preserve"> do processo licitatório</w:t>
      </w:r>
    </w:p>
    <w:p w14:paraId="4E3EA919"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6.22.4 O pregoeiro solicitará ao licitante mais bem classificado que, no prazo de 24 (vinte e quatro) horas, envie a proposta adequada ao último lance ofertado após a </w:t>
      </w:r>
      <w:r w:rsidRPr="0056446F">
        <w:rPr>
          <w:rFonts w:ascii="Calibri" w:hAnsi="Calibri"/>
          <w:color w:val="000000"/>
          <w:sz w:val="22"/>
          <w:szCs w:val="22"/>
        </w:rPr>
        <w:lastRenderedPageBreak/>
        <w:t>negociação realizada, acompanhada, se for o caso, dos documentos complementares, quando necessários à confirmação daqueles exigidos neste Edital e já apresentados.</w:t>
      </w:r>
    </w:p>
    <w:p w14:paraId="54E9F095"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6.22.5 É facultado ao pregoeiro prorrogar o prazo estabelecido, a partir de solicitação fundamentada feita no chat pelo licitante, antes de findo o prazo.</w:t>
      </w:r>
    </w:p>
    <w:p w14:paraId="2DBF6F6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6.23 Após a negociação do preço, o Pregoeiro iniciará a fase de aceitação e julgamento da proposta.</w:t>
      </w:r>
    </w:p>
    <w:p w14:paraId="242286A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B93CD1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7. DA FASE DE JULGAMENTO</w:t>
      </w:r>
    </w:p>
    <w:p w14:paraId="5030D0B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7.1 Encerrada</w:t>
      </w:r>
      <w:proofErr w:type="gramEnd"/>
      <w:r w:rsidRPr="0056446F">
        <w:rPr>
          <w:rFonts w:ascii="Calibri" w:hAnsi="Calibri"/>
          <w:color w:val="000000"/>
          <w:sz w:val="22"/>
          <w:szCs w:val="22"/>
        </w:rPr>
        <w:t xml:space="preserve">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7BC2D324"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7.1.1 SICAF;</w:t>
      </w:r>
    </w:p>
    <w:p w14:paraId="7C2AF8CC"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7.1.2 Cadastro Nacional de Empresas Inidôneas e Suspensas - CEIS, mantido pela Controladoria-Geral da União (</w:t>
      </w:r>
      <w:hyperlink r:id="rId9" w:tgtFrame="_blank" w:history="1">
        <w:r w:rsidRPr="0056446F">
          <w:rPr>
            <w:rStyle w:val="Hyperlink"/>
            <w:rFonts w:ascii="Calibri" w:hAnsi="Calibri"/>
            <w:sz w:val="22"/>
            <w:szCs w:val="22"/>
          </w:rPr>
          <w:t>https://www.portaltransparencia.gov.br/sancoes/ceis</w:t>
        </w:r>
      </w:hyperlink>
      <w:r w:rsidRPr="0056446F">
        <w:rPr>
          <w:rFonts w:ascii="Calibri" w:hAnsi="Calibri"/>
          <w:color w:val="000000"/>
          <w:sz w:val="22"/>
          <w:szCs w:val="22"/>
        </w:rPr>
        <w:t>); e</w:t>
      </w:r>
    </w:p>
    <w:p w14:paraId="17979988"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7.1.3 Cadastro Nacional de Empresas Punidas – CNEP, mantido pela Controladoria-Geral da União (https://www.portaltransparencia.gov.br/sancoes/cnep).</w:t>
      </w:r>
    </w:p>
    <w:p w14:paraId="2DE9ADC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 A consulta aos cadastros será realizada em nome da empresa licitante e também de seu sócio majoritário, por força da vedação de que trata o artigo 12 da Lei n° 8.429, de 1992.</w:t>
      </w:r>
    </w:p>
    <w:p w14:paraId="78BC8E0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74A24BA1"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7.3.1 A tentativa de burla será verificada por meio dos vínculos societários, linhas de fornecimento similares, dentre outros. (IN nº 3/2018, art. 29, §1º).</w:t>
      </w:r>
    </w:p>
    <w:p w14:paraId="113C67A3"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7.3.2 O licitante será convocado para manifestação previamente a uma eventual desclassificação. (IN nº 3/2018, art. 29, §2º).</w:t>
      </w:r>
    </w:p>
    <w:p w14:paraId="55608D57" w14:textId="77777777" w:rsidR="0056446F" w:rsidRPr="0056446F" w:rsidRDefault="0056446F" w:rsidP="0056446F">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7.3.3 Constatada a existência de sanção, o licitante será reputado inabilitado, por falta de condição de participação.</w:t>
      </w:r>
    </w:p>
    <w:p w14:paraId="741B142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7.4 Caso atendidas as condições de participação, será iniciado o procedimento de habilitação.</w:t>
      </w:r>
    </w:p>
    <w:p w14:paraId="4DE0017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7.5 Caso o licitante provisoriamente classificado em primeiro lugar tenha se utilizado de algum tratamento favorecido às ME/</w:t>
      </w:r>
      <w:proofErr w:type="spellStart"/>
      <w:r w:rsidRPr="0056446F">
        <w:rPr>
          <w:rFonts w:ascii="Calibri" w:hAnsi="Calibri"/>
          <w:color w:val="000000"/>
          <w:sz w:val="22"/>
          <w:szCs w:val="22"/>
        </w:rPr>
        <w:t>EPPs</w:t>
      </w:r>
      <w:proofErr w:type="spellEnd"/>
      <w:r w:rsidRPr="0056446F">
        <w:rPr>
          <w:rFonts w:ascii="Calibri" w:hAnsi="Calibri"/>
          <w:color w:val="000000"/>
          <w:sz w:val="22"/>
          <w:szCs w:val="22"/>
        </w:rPr>
        <w:t>, o pregoeiro verificará se faz jus ao benefício, em conformidade com os itens 3.5.1 e 4.6 deste edital.</w:t>
      </w:r>
    </w:p>
    <w:p w14:paraId="25A4229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24CFF33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7.7 Será</w:t>
      </w:r>
      <w:proofErr w:type="gramEnd"/>
      <w:r w:rsidRPr="0056446F">
        <w:rPr>
          <w:rFonts w:ascii="Calibri" w:hAnsi="Calibri"/>
          <w:color w:val="000000"/>
          <w:sz w:val="22"/>
          <w:szCs w:val="22"/>
        </w:rPr>
        <w:t xml:space="preserve"> desclassificada a proposta vencedora que:</w:t>
      </w:r>
    </w:p>
    <w:p w14:paraId="58B16DB3"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7.7.1 contiver vícios insanáveis;</w:t>
      </w:r>
    </w:p>
    <w:p w14:paraId="29CA5022"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7.7.2 não obedecer às especificações técnicas contidas no Termo de Referência;</w:t>
      </w:r>
    </w:p>
    <w:p w14:paraId="5170F59A"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7.7.3 apresentar preços inexequíveis ou permanecerem acima do preço máximo definido para a contratação;</w:t>
      </w:r>
    </w:p>
    <w:p w14:paraId="758AF932"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7.7.4 não tiverem sua exequibilidade demonstrada, quando exigido pela Administração;</w:t>
      </w:r>
    </w:p>
    <w:p w14:paraId="6F86F4B6"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7.7.5 apresentar desconformidade com quaisquer outras exigências deste Edital ou seus anexos, desde que insanável.</w:t>
      </w:r>
    </w:p>
    <w:p w14:paraId="2766EC9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7.8 No</w:t>
      </w:r>
      <w:proofErr w:type="gramEnd"/>
      <w:r w:rsidRPr="0056446F">
        <w:rPr>
          <w:rFonts w:ascii="Calibri" w:hAnsi="Calibri"/>
          <w:color w:val="000000"/>
          <w:sz w:val="22"/>
          <w:szCs w:val="22"/>
        </w:rPr>
        <w:t xml:space="preserve"> caso de bens e serviços em geral, é indício de inexequibilidade das propostas valores inferiores a 50% (cinquenta por cento) do valor orçado pela Administração.</w:t>
      </w:r>
    </w:p>
    <w:p w14:paraId="328E59A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7.8.1 A inexequibilidade, na hipótese de que trata o caput, só será considerada após diligência do pregoeiro, que comprove:</w:t>
      </w:r>
    </w:p>
    <w:p w14:paraId="1A1259DA"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7.8.1.1 que o custo do licitante ultrapassa o valor da proposta; e</w:t>
      </w:r>
    </w:p>
    <w:p w14:paraId="4D0DAF2D"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7.8.1.2 inexistirem custos de oportunidade capazes de justificar o vulto da oferta.</w:t>
      </w:r>
    </w:p>
    <w:p w14:paraId="210626E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7.9 Para</w:t>
      </w:r>
      <w:proofErr w:type="gramEnd"/>
      <w:r w:rsidRPr="0056446F">
        <w:rPr>
          <w:rFonts w:ascii="Calibri" w:hAnsi="Calibri"/>
          <w:color w:val="000000"/>
          <w:sz w:val="22"/>
          <w:szCs w:val="22"/>
        </w:rPr>
        <w:t xml:space="preserve"> fins de análise da proposta quanto ao cumprimento das especificações do objeto, poderá ser colhida a manifestação escrita do setor requisitante do serviço ou da área especializada no objeto.</w:t>
      </w:r>
    </w:p>
    <w:p w14:paraId="040FC97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7.10 Caso o Termo de Referência exija a apresentação de amostra e/ou Folder, o licitante classificado em primeiro lugar deverá apresentá-la, conforme disciplinado no Termo de Referência, sob pena de não aceitação da proposta.</w:t>
      </w:r>
    </w:p>
    <w:p w14:paraId="6CB151C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7.11 Por</w:t>
      </w:r>
      <w:proofErr w:type="gramEnd"/>
      <w:r w:rsidRPr="0056446F">
        <w:rPr>
          <w:rFonts w:ascii="Calibri" w:hAnsi="Calibri"/>
          <w:color w:val="000000"/>
          <w:sz w:val="22"/>
          <w:szCs w:val="22"/>
        </w:rPr>
        <w:t xml:space="preserve"> meio de mensagem no sistema, será divulgado o local e horário de realização do procedimento para a avaliação das amostras e/ou Folders, cuja presença será facultada a todos os interessados, incluindo os demais licitantes.</w:t>
      </w:r>
    </w:p>
    <w:p w14:paraId="699BB7F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7.12 Os resultados das avaliações serão divulgados por meio de mensagem no sistema.</w:t>
      </w:r>
    </w:p>
    <w:p w14:paraId="15EDECE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7.13 No</w:t>
      </w:r>
      <w:proofErr w:type="gramEnd"/>
      <w:r w:rsidRPr="0056446F">
        <w:rPr>
          <w:rFonts w:ascii="Calibri" w:hAnsi="Calibri"/>
          <w:color w:val="000000"/>
          <w:sz w:val="22"/>
          <w:szCs w:val="22"/>
        </w:rPr>
        <w:t xml:space="preserve"> caso de não haver entrega da amostra e ou/Folders ou ocorrer atraso na entrega, sem justificativa aceita pelo Pregoeiro, ou havendo entrega de amostra e/ou Folders fora das especificações previstas neste Edital, a proposta do licitante será recusada.</w:t>
      </w:r>
    </w:p>
    <w:p w14:paraId="63A72AA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 xml:space="preserve">7.14 Se </w:t>
      </w:r>
      <w:proofErr w:type="gramStart"/>
      <w:r w:rsidRPr="0056446F">
        <w:rPr>
          <w:rFonts w:ascii="Calibri" w:hAnsi="Calibri"/>
          <w:color w:val="000000"/>
          <w:sz w:val="22"/>
          <w:szCs w:val="22"/>
        </w:rPr>
        <w:t>a(</w:t>
      </w:r>
      <w:proofErr w:type="gramEnd"/>
      <w:r w:rsidRPr="0056446F">
        <w:rPr>
          <w:rFonts w:ascii="Calibri" w:hAnsi="Calibri"/>
          <w:color w:val="000000"/>
          <w:sz w:val="22"/>
          <w:szCs w:val="22"/>
        </w:rPr>
        <w:t>s) amostra(s) e/ou Folders apresentada(s) pelo primeiro classificado não for(em) aceita(s), o Pregoeiro analisará a aceitabilidade da proposta ou lance ofertado pelo segundo classificado. Seguir-se-á com a verificação da(s) amostra(s) e/ou Folders e, assim, sucessivamente, até a verificação de uma que atenda às especificações constantes no Termo de Referência.</w:t>
      </w:r>
    </w:p>
    <w:p w14:paraId="1F1BE10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B9457E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8. DA FASE DE HABILITAÇÃO</w:t>
      </w:r>
    </w:p>
    <w:p w14:paraId="54FE1A8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 Os documentos previstos no Termo de Referência, necessários e suficientes para demonstrar a capacidade do licitante de realizar o objeto da licitação, serão exigidos para fins de habilitação, nos termos dos </w:t>
      </w:r>
      <w:proofErr w:type="spellStart"/>
      <w:r w:rsidRPr="0056446F">
        <w:rPr>
          <w:rFonts w:ascii="Calibri" w:hAnsi="Calibri"/>
          <w:color w:val="000000"/>
          <w:sz w:val="22"/>
          <w:szCs w:val="22"/>
        </w:rPr>
        <w:fldChar w:fldCharType="begin"/>
      </w:r>
      <w:r w:rsidRPr="0056446F">
        <w:rPr>
          <w:rFonts w:ascii="Calibri" w:hAnsi="Calibri"/>
          <w:color w:val="000000"/>
          <w:sz w:val="22"/>
          <w:szCs w:val="22"/>
        </w:rPr>
        <w:instrText xml:space="preserve"> HYPERLINK "http://www.planalto.gov.br/ccivil_03/_ato2019-2022/2021/lei/L14133.htm" \l "art62" \t "_blank" </w:instrText>
      </w:r>
      <w:r w:rsidRPr="0056446F">
        <w:rPr>
          <w:rFonts w:ascii="Calibri" w:hAnsi="Calibri"/>
          <w:color w:val="000000"/>
          <w:sz w:val="22"/>
          <w:szCs w:val="22"/>
        </w:rPr>
        <w:fldChar w:fldCharType="separate"/>
      </w:r>
      <w:r w:rsidRPr="0056446F">
        <w:rPr>
          <w:rStyle w:val="Hyperlink"/>
          <w:rFonts w:ascii="Calibri" w:hAnsi="Calibri"/>
          <w:sz w:val="22"/>
          <w:szCs w:val="22"/>
        </w:rPr>
        <w:t>arts</w:t>
      </w:r>
      <w:proofErr w:type="spellEnd"/>
      <w:r w:rsidRPr="0056446F">
        <w:rPr>
          <w:rStyle w:val="Hyperlink"/>
          <w:rFonts w:ascii="Calibri" w:hAnsi="Calibri"/>
          <w:sz w:val="22"/>
          <w:szCs w:val="22"/>
        </w:rPr>
        <w:t>. 62 a 70 da Lei nº 14.133, de 2021</w:t>
      </w:r>
      <w:r w:rsidRPr="0056446F">
        <w:rPr>
          <w:rFonts w:ascii="Calibri" w:hAnsi="Calibri"/>
          <w:color w:val="000000"/>
          <w:sz w:val="22"/>
          <w:szCs w:val="22"/>
        </w:rPr>
        <w:fldChar w:fldCharType="end"/>
      </w:r>
      <w:r w:rsidRPr="0056446F">
        <w:rPr>
          <w:rFonts w:ascii="Calibri" w:hAnsi="Calibri"/>
          <w:color w:val="000000"/>
          <w:sz w:val="22"/>
          <w:szCs w:val="22"/>
        </w:rPr>
        <w:t>.</w:t>
      </w:r>
    </w:p>
    <w:p w14:paraId="334BA6E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bookmarkStart w:id="8" w:name="_Ref114663777"/>
      <w:r w:rsidRPr="0056446F">
        <w:rPr>
          <w:rFonts w:ascii="Calibri" w:hAnsi="Calibri"/>
          <w:color w:val="000000"/>
          <w:sz w:val="22"/>
          <w:szCs w:val="22"/>
        </w:rPr>
        <w:t>8.1.1 A documentação exigida para fins de habilitação jurídica, fiscal, social e trabalhista e econômico-</w:t>
      </w:r>
      <w:proofErr w:type="spellStart"/>
      <w:r w:rsidRPr="0056446F">
        <w:rPr>
          <w:rFonts w:ascii="Calibri" w:hAnsi="Calibri"/>
          <w:color w:val="000000"/>
          <w:sz w:val="22"/>
          <w:szCs w:val="22"/>
        </w:rPr>
        <w:t>ﬁnanceira</w:t>
      </w:r>
      <w:proofErr w:type="spellEnd"/>
      <w:r w:rsidRPr="0056446F">
        <w:rPr>
          <w:rFonts w:ascii="Calibri" w:hAnsi="Calibri"/>
          <w:color w:val="000000"/>
          <w:sz w:val="22"/>
          <w:szCs w:val="22"/>
        </w:rPr>
        <w:t>, poderá ser substituída pelo registro cadastral no SICAF.</w:t>
      </w:r>
      <w:bookmarkEnd w:id="8"/>
    </w:p>
    <w:p w14:paraId="784F805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 Quando permitida a participação de empresas estrangeiras que não funcionem no País, as exigências de habilitação serão atendidas mediante documentos equivalentes, inicialmente apresentados em tradução livre.</w:t>
      </w:r>
    </w:p>
    <w:p w14:paraId="1CFAF32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8.3 Na hipótese de o licitante vencedor ser empresa estrangeira que não funcione no País, para </w:t>
      </w:r>
      <w:proofErr w:type="spellStart"/>
      <w:r w:rsidRPr="0056446F">
        <w:rPr>
          <w:rFonts w:ascii="Calibri" w:hAnsi="Calibri"/>
          <w:color w:val="000000"/>
          <w:sz w:val="22"/>
          <w:szCs w:val="22"/>
        </w:rPr>
        <w:t>ﬁns</w:t>
      </w:r>
      <w:proofErr w:type="spellEnd"/>
      <w:r w:rsidRPr="0056446F">
        <w:rPr>
          <w:rFonts w:ascii="Calibri" w:hAnsi="Calibri"/>
          <w:color w:val="000000"/>
          <w:sz w:val="22"/>
          <w:szCs w:val="22"/>
        </w:rPr>
        <w:t xml:space="preserve"> de assinatura do contrato ou da ata do pregão, os documentos exigidos para a habilitação serão traduzidos por tradutor juramentado no País e apostilados nos termos do disposto no </w:t>
      </w:r>
      <w:hyperlink r:id="rId10" w:tgtFrame="_blank" w:history="1">
        <w:r w:rsidRPr="0056446F">
          <w:rPr>
            <w:rStyle w:val="Hyperlink"/>
            <w:rFonts w:ascii="Calibri" w:hAnsi="Calibri"/>
            <w:sz w:val="22"/>
            <w:szCs w:val="22"/>
          </w:rPr>
          <w:t>Decreto nº 8.660, de 29 de janeiro de 2016</w:t>
        </w:r>
      </w:hyperlink>
      <w:r w:rsidRPr="0056446F">
        <w:rPr>
          <w:rFonts w:ascii="Calibri" w:hAnsi="Calibri"/>
          <w:color w:val="000000"/>
          <w:sz w:val="22"/>
          <w:szCs w:val="22"/>
        </w:rPr>
        <w:t xml:space="preserve">, ou de outro que venha a substituí-lo, ou </w:t>
      </w:r>
      <w:proofErr w:type="spellStart"/>
      <w:r w:rsidRPr="0056446F">
        <w:rPr>
          <w:rFonts w:ascii="Calibri" w:hAnsi="Calibri"/>
          <w:color w:val="000000"/>
          <w:sz w:val="22"/>
          <w:szCs w:val="22"/>
        </w:rPr>
        <w:t>consularizados</w:t>
      </w:r>
      <w:proofErr w:type="spellEnd"/>
      <w:r w:rsidRPr="0056446F">
        <w:rPr>
          <w:rFonts w:ascii="Calibri" w:hAnsi="Calibri"/>
          <w:color w:val="000000"/>
          <w:sz w:val="22"/>
          <w:szCs w:val="22"/>
        </w:rPr>
        <w:t xml:space="preserve"> pelos respectivos consulados ou embaixadas.</w:t>
      </w:r>
    </w:p>
    <w:p w14:paraId="624DFFF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560C147"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8.4.1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BE39CE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8.5 Os documentos exigidos para fins de habilitação poderão ser apresentados em original, por cópia ou anexadas em campo próprio do </w:t>
      </w:r>
      <w:proofErr w:type="spellStart"/>
      <w:r w:rsidRPr="0056446F">
        <w:rPr>
          <w:rFonts w:ascii="Calibri" w:hAnsi="Calibri"/>
          <w:color w:val="000000"/>
          <w:sz w:val="22"/>
          <w:szCs w:val="22"/>
        </w:rPr>
        <w:t>comprasnet</w:t>
      </w:r>
      <w:proofErr w:type="spellEnd"/>
      <w:r w:rsidRPr="0056446F">
        <w:rPr>
          <w:rFonts w:ascii="Calibri" w:hAnsi="Calibri"/>
          <w:color w:val="000000"/>
          <w:sz w:val="22"/>
          <w:szCs w:val="22"/>
        </w:rPr>
        <w:t xml:space="preserve"> após solicitação em sessão pública.</w:t>
      </w:r>
    </w:p>
    <w:p w14:paraId="760646A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8.6 Os documentos exigidos para fins de habilitação poderão ser substituídos por registro cadastral emitido por órgão ou entidade pública, desde que o registro tenha sido feito em obediência ao disposto na Lei nº 14.133/2021.</w:t>
      </w:r>
    </w:p>
    <w:p w14:paraId="69D0F8C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8.7 Será verificado se o licitante apresentou declaração de que atende aos requisitos de habilitação, e o declarante responderá pela veracidade das informações prestadas, na forma da lei (</w:t>
      </w:r>
      <w:hyperlink r:id="rId11" w:anchor="art63" w:tgtFrame="_blank" w:history="1">
        <w:r w:rsidRPr="0056446F">
          <w:rPr>
            <w:rStyle w:val="Hyperlink"/>
            <w:rFonts w:ascii="Calibri" w:hAnsi="Calibri"/>
            <w:sz w:val="22"/>
            <w:szCs w:val="22"/>
          </w:rPr>
          <w:t>art. 63, I, da Lei nº 14.133/2021</w:t>
        </w:r>
      </w:hyperlink>
      <w:r w:rsidRPr="0056446F">
        <w:rPr>
          <w:rFonts w:ascii="Calibri" w:hAnsi="Calibri"/>
          <w:color w:val="000000"/>
          <w:sz w:val="22"/>
          <w:szCs w:val="22"/>
        </w:rPr>
        <w:t>).</w:t>
      </w:r>
    </w:p>
    <w:p w14:paraId="10E536E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8.8Será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78D7E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8.9 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56446F">
        <w:rPr>
          <w:rFonts w:ascii="Calibri" w:hAnsi="Calibri"/>
          <w:color w:val="000000"/>
          <w:sz w:val="22"/>
          <w:szCs w:val="22"/>
        </w:rPr>
        <w:t>infralegais</w:t>
      </w:r>
      <w:proofErr w:type="spellEnd"/>
      <w:r w:rsidRPr="0056446F">
        <w:rPr>
          <w:rFonts w:ascii="Calibri" w:hAnsi="Calibri"/>
          <w:color w:val="000000"/>
          <w:sz w:val="22"/>
          <w:szCs w:val="22"/>
        </w:rPr>
        <w:t>, nas convenções coletivas de trabalho e nos termos de ajustamento de conduta vigentes na data de entrega das propostas.</w:t>
      </w:r>
    </w:p>
    <w:p w14:paraId="6AFF561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8.10 A habilitação será verificada por meio do </w:t>
      </w:r>
      <w:proofErr w:type="spellStart"/>
      <w:r w:rsidRPr="0056446F">
        <w:rPr>
          <w:rFonts w:ascii="Calibri" w:hAnsi="Calibri"/>
          <w:color w:val="000000"/>
          <w:sz w:val="22"/>
          <w:szCs w:val="22"/>
        </w:rPr>
        <w:t>Sicaf</w:t>
      </w:r>
      <w:proofErr w:type="spellEnd"/>
      <w:r w:rsidRPr="0056446F">
        <w:rPr>
          <w:rFonts w:ascii="Calibri" w:hAnsi="Calibri"/>
          <w:color w:val="000000"/>
          <w:sz w:val="22"/>
          <w:szCs w:val="22"/>
        </w:rPr>
        <w:t>, nos documentos por ele abrangidos.</w:t>
      </w:r>
    </w:p>
    <w:p w14:paraId="609596E7"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8.10.1 Somente</w:t>
      </w:r>
      <w:proofErr w:type="gramEnd"/>
      <w:r w:rsidRPr="0056446F">
        <w:rPr>
          <w:rFonts w:ascii="Calibri" w:hAnsi="Calibri"/>
          <w:color w:val="000000"/>
          <w:sz w:val="22"/>
          <w:szCs w:val="22"/>
        </w:rPr>
        <w:t xml:space="preserve"> haverá a necessidade de comprovação do preenchimento de requisitos mediante apresentação dos documentos originais não-digitais quando houver dúvida em relação à integridade do documento digital ou quando a lei expressamente o exigir. (</w:t>
      </w:r>
      <w:hyperlink r:id="rId12" w:anchor="art4" w:tgtFrame="_blank" w:history="1">
        <w:r w:rsidRPr="0056446F">
          <w:rPr>
            <w:rStyle w:val="Hyperlink"/>
            <w:rFonts w:ascii="Calibri" w:hAnsi="Calibri"/>
            <w:sz w:val="22"/>
            <w:szCs w:val="22"/>
          </w:rPr>
          <w:t>IN nº 3/2018, art. 4º, §1º, e art. 6º, §4º</w:t>
        </w:r>
      </w:hyperlink>
      <w:r w:rsidRPr="0056446F">
        <w:rPr>
          <w:rFonts w:ascii="Calibri" w:hAnsi="Calibri"/>
          <w:color w:val="000000"/>
          <w:sz w:val="22"/>
          <w:szCs w:val="22"/>
        </w:rPr>
        <w:t>).</w:t>
      </w:r>
    </w:p>
    <w:p w14:paraId="65CAF5C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8.11 É de responsabilidade do licitante conferir a exatidão dos seus dados cadastrais no </w:t>
      </w:r>
      <w:proofErr w:type="spellStart"/>
      <w:r w:rsidRPr="0056446F">
        <w:rPr>
          <w:rFonts w:ascii="Calibri" w:hAnsi="Calibri"/>
          <w:color w:val="000000"/>
          <w:sz w:val="22"/>
          <w:szCs w:val="22"/>
        </w:rPr>
        <w:t>Sicaf</w:t>
      </w:r>
      <w:proofErr w:type="spellEnd"/>
      <w:r w:rsidRPr="0056446F">
        <w:rPr>
          <w:rFonts w:ascii="Calibri" w:hAnsi="Calibri"/>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13" w:tgtFrame="_blank" w:history="1">
        <w:r w:rsidRPr="0056446F">
          <w:rPr>
            <w:rStyle w:val="Hyperlink"/>
            <w:rFonts w:ascii="Calibri" w:hAnsi="Calibri"/>
            <w:sz w:val="22"/>
            <w:szCs w:val="22"/>
          </w:rPr>
          <w:t>IN nº 3/2018, art. 7º, </w:t>
        </w:r>
        <w:r w:rsidRPr="0056446F">
          <w:rPr>
            <w:rStyle w:val="nfase"/>
            <w:rFonts w:ascii="Calibri" w:hAnsi="Calibri"/>
            <w:color w:val="0000FF"/>
            <w:sz w:val="22"/>
            <w:szCs w:val="22"/>
          </w:rPr>
          <w:t>caput</w:t>
        </w:r>
      </w:hyperlink>
      <w:r w:rsidRPr="0056446F">
        <w:rPr>
          <w:rFonts w:ascii="Calibri" w:hAnsi="Calibri"/>
          <w:color w:val="000000"/>
          <w:sz w:val="22"/>
          <w:szCs w:val="22"/>
        </w:rPr>
        <w:t>).</w:t>
      </w:r>
    </w:p>
    <w:p w14:paraId="3642E526"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8.11.1 A não observância do disposto no item anterior poderá ensejar desclassificação no momento da habilitação. (</w:t>
      </w:r>
      <w:hyperlink r:id="rId14" w:tgtFrame="_blank" w:history="1">
        <w:r w:rsidRPr="0056446F">
          <w:rPr>
            <w:rStyle w:val="Hyperlink"/>
            <w:rFonts w:ascii="Calibri" w:hAnsi="Calibri"/>
            <w:sz w:val="22"/>
            <w:szCs w:val="22"/>
          </w:rPr>
          <w:t>IN nº 3/2018, art. 7º, parágrafo único</w:t>
        </w:r>
      </w:hyperlink>
      <w:r w:rsidRPr="0056446F">
        <w:rPr>
          <w:rFonts w:ascii="Calibri" w:hAnsi="Calibri"/>
          <w:color w:val="000000"/>
          <w:sz w:val="22"/>
          <w:szCs w:val="22"/>
        </w:rPr>
        <w:t>).</w:t>
      </w:r>
    </w:p>
    <w:p w14:paraId="3F5DBC3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8.12 A verificação pelo pregoeiro, em sítios eletrônicos oficiais de órgãos e entidades emissores de certidões constitui meio legal de prova, para fins de habilitação.</w:t>
      </w:r>
      <w:bookmarkStart w:id="9" w:name="_Ref114663151"/>
      <w:bookmarkEnd w:id="9"/>
    </w:p>
    <w:p w14:paraId="0A099865"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8.12.1 Os</w:t>
      </w:r>
      <w:proofErr w:type="gramEnd"/>
      <w:r w:rsidRPr="0056446F">
        <w:rPr>
          <w:rFonts w:ascii="Calibri" w:hAnsi="Calibri"/>
          <w:color w:val="000000"/>
          <w:sz w:val="22"/>
          <w:szCs w:val="22"/>
        </w:rPr>
        <w:t xml:space="preserve"> documentos exigidos para habilitação que não estejam comtemplados no </w:t>
      </w:r>
      <w:proofErr w:type="spellStart"/>
      <w:r w:rsidRPr="0056446F">
        <w:rPr>
          <w:rFonts w:ascii="Calibri" w:hAnsi="Calibri"/>
          <w:color w:val="000000"/>
          <w:sz w:val="22"/>
          <w:szCs w:val="22"/>
        </w:rPr>
        <w:t>Sicaf</w:t>
      </w:r>
      <w:proofErr w:type="spellEnd"/>
      <w:r w:rsidRPr="0056446F">
        <w:rPr>
          <w:rFonts w:ascii="Calibri" w:hAnsi="Calibri"/>
          <w:color w:val="000000"/>
          <w:sz w:val="22"/>
          <w:szCs w:val="22"/>
        </w:rPr>
        <w:t>, serão enviados por meio do sistema, em formato digital, no prazo de 24 horas, prorrogável por igual período, contado da solicitação do pregoeiro.</w:t>
      </w:r>
    </w:p>
    <w:p w14:paraId="2D280015"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8.12.2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5" w:tgtFrame="_blank" w:history="1">
        <w:r w:rsidRPr="0056446F">
          <w:rPr>
            <w:rStyle w:val="Hyperlink"/>
            <w:rFonts w:ascii="Calibri" w:hAnsi="Calibri"/>
            <w:sz w:val="22"/>
            <w:szCs w:val="22"/>
          </w:rPr>
          <w:t>§ 1º do art. 36 e no § 1º do art. 39 da </w:t>
        </w:r>
        <w:r w:rsidRPr="0056446F">
          <w:rPr>
            <w:rStyle w:val="nfase"/>
            <w:rFonts w:ascii="Calibri" w:hAnsi="Calibri"/>
            <w:color w:val="0000FF"/>
            <w:sz w:val="22"/>
            <w:szCs w:val="22"/>
          </w:rPr>
          <w:t>Instrução Normativa SEGES nº 73, de 30 de setembro de 2022</w:t>
        </w:r>
        <w:r w:rsidRPr="0056446F">
          <w:rPr>
            <w:rStyle w:val="Hyperlink"/>
            <w:rFonts w:ascii="Calibri" w:hAnsi="Calibri"/>
            <w:sz w:val="22"/>
            <w:szCs w:val="22"/>
          </w:rPr>
          <w:t>.</w:t>
        </w:r>
      </w:hyperlink>
    </w:p>
    <w:p w14:paraId="7297F19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8.13 A verificação no </w:t>
      </w:r>
      <w:proofErr w:type="spellStart"/>
      <w:r w:rsidRPr="0056446F">
        <w:rPr>
          <w:rFonts w:ascii="Calibri" w:hAnsi="Calibri"/>
          <w:color w:val="000000"/>
          <w:sz w:val="22"/>
          <w:szCs w:val="22"/>
        </w:rPr>
        <w:t>Sicaf</w:t>
      </w:r>
      <w:proofErr w:type="spellEnd"/>
      <w:r w:rsidRPr="0056446F">
        <w:rPr>
          <w:rFonts w:ascii="Calibri" w:hAnsi="Calibri"/>
          <w:color w:val="000000"/>
          <w:sz w:val="22"/>
          <w:szCs w:val="22"/>
        </w:rPr>
        <w:t xml:space="preserve"> ou a exigência dos documentos nele não contidos somente será feita em relação ao licitante vencedor.</w:t>
      </w:r>
    </w:p>
    <w:p w14:paraId="4A1CA831"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lastRenderedPageBreak/>
        <w:t>8.13.1 Os documentos relativos à regularidade fiscal que constem do Termo de Referência somente serão exigidos, em qualquer caso, em momento posterior ao julgamento das propostas, e apenas do licitante mais bem classificado.</w:t>
      </w:r>
    </w:p>
    <w:p w14:paraId="486D3465"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07FE34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8.14 Após a entrega dos documentos para habilitação, não será permitida a substituição ou a apresentação de novos documentos, salvo em sede de diligência, para (</w:t>
      </w:r>
      <w:hyperlink r:id="rId16" w:anchor="art64" w:tgtFrame="_blank" w:history="1">
        <w:r w:rsidRPr="0056446F">
          <w:rPr>
            <w:rStyle w:val="Hyperlink"/>
            <w:rFonts w:ascii="Calibri" w:hAnsi="Calibri"/>
            <w:sz w:val="22"/>
            <w:szCs w:val="22"/>
          </w:rPr>
          <w:t>Lei 14.133/21, art. 64</w:t>
        </w:r>
      </w:hyperlink>
      <w:r w:rsidRPr="0056446F">
        <w:rPr>
          <w:rFonts w:ascii="Calibri" w:hAnsi="Calibri"/>
          <w:color w:val="000000"/>
          <w:sz w:val="22"/>
          <w:szCs w:val="22"/>
        </w:rPr>
        <w:t>, e </w:t>
      </w:r>
      <w:hyperlink r:id="rId17" w:tgtFrame="_blank" w:history="1">
        <w:r w:rsidRPr="0056446F">
          <w:rPr>
            <w:rStyle w:val="Hyperlink"/>
            <w:rFonts w:ascii="Calibri" w:hAnsi="Calibri"/>
            <w:sz w:val="22"/>
            <w:szCs w:val="22"/>
          </w:rPr>
          <w:t>IN 73/2022, art. 39, §4º</w:t>
        </w:r>
      </w:hyperlink>
      <w:r w:rsidRPr="0056446F">
        <w:rPr>
          <w:rFonts w:ascii="Calibri" w:hAnsi="Calibri"/>
          <w:color w:val="000000"/>
          <w:sz w:val="22"/>
          <w:szCs w:val="22"/>
        </w:rPr>
        <w:t>):</w:t>
      </w:r>
    </w:p>
    <w:p w14:paraId="653FEE4B"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olor w:val="000000"/>
          <w:sz w:val="22"/>
          <w:szCs w:val="22"/>
        </w:rPr>
        <w:t>8.14.1 complementação</w:t>
      </w:r>
      <w:proofErr w:type="gramEnd"/>
      <w:r w:rsidRPr="0056446F">
        <w:rPr>
          <w:rFonts w:ascii="Calibri" w:hAnsi="Calibri"/>
          <w:color w:val="000000"/>
          <w:sz w:val="22"/>
          <w:szCs w:val="22"/>
        </w:rPr>
        <w:t xml:space="preserve"> de informações acerca dos documentos já apresentados pelos licitantes e desde que necessária para apurar fatos existentes à época da abertura do certame; e</w:t>
      </w:r>
    </w:p>
    <w:p w14:paraId="60A58D9C"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8.14.2 atualização de documentos cuja validade tenha expirado após a data de recebimento das propostas;</w:t>
      </w:r>
      <w:bookmarkStart w:id="10" w:name="_Ref114670319"/>
      <w:bookmarkEnd w:id="10"/>
    </w:p>
    <w:p w14:paraId="4A3675C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8.15 Na</w:t>
      </w:r>
      <w:proofErr w:type="gramEnd"/>
      <w:r w:rsidRPr="0056446F">
        <w:rPr>
          <w:rFonts w:ascii="Calibri" w:hAnsi="Calibri"/>
          <w:color w:val="000000"/>
          <w:sz w:val="22"/>
          <w:szCs w:val="22"/>
        </w:rPr>
        <w:t xml:space="preserve">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6446F">
        <w:rPr>
          <w:rFonts w:ascii="Calibri" w:hAnsi="Calibri"/>
          <w:color w:val="000000"/>
          <w:sz w:val="22"/>
          <w:szCs w:val="22"/>
        </w:rPr>
        <w:t>eﬁcácia</w:t>
      </w:r>
      <w:proofErr w:type="spellEnd"/>
      <w:r w:rsidRPr="0056446F">
        <w:rPr>
          <w:rFonts w:ascii="Calibri" w:hAnsi="Calibri"/>
          <w:color w:val="000000"/>
          <w:sz w:val="22"/>
          <w:szCs w:val="22"/>
        </w:rPr>
        <w:t xml:space="preserve"> para fins de habilitação e classificação.</w:t>
      </w:r>
    </w:p>
    <w:p w14:paraId="2650766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8.16 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14:paraId="77DA5E7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8.17 Somente</w:t>
      </w:r>
      <w:proofErr w:type="gramEnd"/>
      <w:r w:rsidRPr="0056446F">
        <w:rPr>
          <w:rFonts w:ascii="Calibri" w:hAnsi="Calibri"/>
          <w:color w:val="000000"/>
          <w:sz w:val="22"/>
          <w:szCs w:val="22"/>
        </w:rPr>
        <w:t xml:space="preserve"> serão disponibilizados para acesso público os documentos de habilitação do licitante cuja proposta atenda ao edital de licitação, após concluídos os procedimentos de que trata o subitem anterior.</w:t>
      </w:r>
    </w:p>
    <w:p w14:paraId="0F663B3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8.18 A comprovação de regularidade fiscal e trabalhista das microempresas e das empresas de pequeno porte somente será exigida para efeito de contratação, e não como condição para participação na licitação (art. 4º do Decreto nº 8.538/2015).</w:t>
      </w:r>
    </w:p>
    <w:p w14:paraId="5FFB8ED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8.18 Quando a fase de habilitação anteceder a de julgamento e já tiver sido encerrada, não caberá exclusão de licitante por motivo relacionado à habilitação, salvo em razão de fatos supervenientes ou só conhecidos após o julgamento.</w:t>
      </w:r>
    </w:p>
    <w:p w14:paraId="50A4B03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909187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9. DA ATA DE REGISTRO DE PREÇOS</w:t>
      </w:r>
    </w:p>
    <w:p w14:paraId="4CFBF84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lastRenderedPageBreak/>
        <w:t>9.1 Homologado</w:t>
      </w:r>
      <w:proofErr w:type="gramEnd"/>
      <w:r w:rsidRPr="0056446F">
        <w:rPr>
          <w:rFonts w:ascii="Calibri" w:hAnsi="Calibri"/>
          <w:color w:val="000000"/>
          <w:sz w:val="22"/>
          <w:szCs w:val="22"/>
        </w:rPr>
        <w:t xml:space="preserve">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w:t>
      </w:r>
    </w:p>
    <w:p w14:paraId="796F8E7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9.2 O prazo de convocação poderá ser prorrogado uma vez, por igual período, mediante solicitação do licitante mais bem classificado ou do fornecedor convocado, desde que:</w:t>
      </w:r>
    </w:p>
    <w:p w14:paraId="47B9FFB7"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a) a solicitação seja devidamente justificada e apresentada dentro do prazo; e</w:t>
      </w:r>
    </w:p>
    <w:p w14:paraId="4593F336"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b) a justificativa apresentada seja aceita pela Administração.</w:t>
      </w:r>
    </w:p>
    <w:p w14:paraId="57E62F6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9.3 A ata de registro de preços será assinada por meio de assinatura digital e disponibilizada no sistema de registro de preços.</w:t>
      </w:r>
    </w:p>
    <w:p w14:paraId="34B4E1D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9.4 Serão formalizadas tantas Atas de Registro de Preços quantas forem necessárias para o registro de todos os itens constantes no Termo de Referência, com a indicação do licitante vencedor, a descrição </w:t>
      </w:r>
      <w:proofErr w:type="gramStart"/>
      <w:r w:rsidRPr="0056446F">
        <w:rPr>
          <w:rFonts w:ascii="Calibri" w:hAnsi="Calibri"/>
          <w:color w:val="000000"/>
          <w:sz w:val="22"/>
          <w:szCs w:val="22"/>
        </w:rPr>
        <w:t>do(</w:t>
      </w:r>
      <w:proofErr w:type="gramEnd"/>
      <w:r w:rsidRPr="0056446F">
        <w:rPr>
          <w:rFonts w:ascii="Calibri" w:hAnsi="Calibri"/>
          <w:color w:val="000000"/>
          <w:sz w:val="22"/>
          <w:szCs w:val="22"/>
        </w:rPr>
        <w:t>s) item(</w:t>
      </w:r>
      <w:proofErr w:type="spellStart"/>
      <w:r w:rsidRPr="0056446F">
        <w:rPr>
          <w:rFonts w:ascii="Calibri" w:hAnsi="Calibri"/>
          <w:color w:val="000000"/>
          <w:sz w:val="22"/>
          <w:szCs w:val="22"/>
        </w:rPr>
        <w:t>ns</w:t>
      </w:r>
      <w:proofErr w:type="spellEnd"/>
      <w:r w:rsidRPr="0056446F">
        <w:rPr>
          <w:rFonts w:ascii="Calibri" w:hAnsi="Calibri"/>
          <w:color w:val="000000"/>
          <w:sz w:val="22"/>
          <w:szCs w:val="22"/>
        </w:rPr>
        <w:t>), as respectivas quantidades, preços registrados e demais condições.</w:t>
      </w:r>
    </w:p>
    <w:p w14:paraId="1A4834F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9.5 O preço registrado, com a indicação dos fornecedores, será divulgado no PNCP e disponibilizado durante a vigência da ata de registro de preços.</w:t>
      </w:r>
    </w:p>
    <w:p w14:paraId="5F24D55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19AD9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1B899D3"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3327C8FC" w14:textId="31F22432"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10 DA FORMAÇÃO DO CADASTRO DE RESERVA</w:t>
      </w:r>
    </w:p>
    <w:p w14:paraId="18562E5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10.1 Após</w:t>
      </w:r>
      <w:proofErr w:type="gramEnd"/>
      <w:r w:rsidRPr="0056446F">
        <w:rPr>
          <w:rFonts w:ascii="Calibri" w:hAnsi="Calibri"/>
          <w:color w:val="000000"/>
          <w:sz w:val="22"/>
          <w:szCs w:val="22"/>
        </w:rPr>
        <w:t xml:space="preserve"> a homologação da licitação, será incluído na ata, na forma de anexo, o registro:</w:t>
      </w:r>
    </w:p>
    <w:p w14:paraId="3D3B607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10.1.1 dos licitantes que aceitarem cotar o objeto com preço igual ao do adjudicatário, observada a classificação na licitação; e</w:t>
      </w:r>
    </w:p>
    <w:p w14:paraId="29F0B84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Style w:val="Forte"/>
          <w:rFonts w:ascii="Calibri" w:hAnsi="Calibri"/>
          <w:b w:val="0"/>
          <w:bCs w:val="0"/>
          <w:color w:val="000000"/>
          <w:sz w:val="22"/>
          <w:szCs w:val="22"/>
        </w:rPr>
        <w:t>10.1.2 dos licitantes que mantiverem sua proposta original</w:t>
      </w:r>
    </w:p>
    <w:p w14:paraId="12DA701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Style w:val="Forte"/>
          <w:rFonts w:ascii="Calibri" w:hAnsi="Calibri"/>
          <w:b w:val="0"/>
          <w:bCs w:val="0"/>
          <w:color w:val="000000"/>
          <w:sz w:val="22"/>
          <w:szCs w:val="22"/>
        </w:rPr>
        <w:t>10.2 Será</w:t>
      </w:r>
      <w:proofErr w:type="gramEnd"/>
      <w:r w:rsidRPr="0056446F">
        <w:rPr>
          <w:rStyle w:val="Forte"/>
          <w:rFonts w:ascii="Calibri" w:hAnsi="Calibri"/>
          <w:b w:val="0"/>
          <w:bCs w:val="0"/>
          <w:color w:val="000000"/>
          <w:sz w:val="22"/>
          <w:szCs w:val="22"/>
        </w:rPr>
        <w:t xml:space="preserve"> respeitada, nas contratações, a ordem de classificação dos licitantes ou fornecedores registrados na ata.</w:t>
      </w:r>
    </w:p>
    <w:p w14:paraId="610AABDF"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Style w:val="Forte"/>
          <w:rFonts w:ascii="Calibri" w:hAnsi="Calibri"/>
          <w:b w:val="0"/>
          <w:bCs w:val="0"/>
          <w:color w:val="000000"/>
          <w:sz w:val="22"/>
          <w:szCs w:val="22"/>
        </w:rPr>
        <w:t>10.2.1 A apresentação de novas propostas na forma deste item não prejudicará o resultado do certame em relação ao licitante mais bem classificado.</w:t>
      </w:r>
    </w:p>
    <w:p w14:paraId="7170667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Style w:val="Forte"/>
          <w:rFonts w:ascii="Calibri" w:hAnsi="Calibri"/>
          <w:b w:val="0"/>
          <w:bCs w:val="0"/>
          <w:color w:val="000000"/>
          <w:sz w:val="22"/>
          <w:szCs w:val="22"/>
        </w:rPr>
        <w:lastRenderedPageBreak/>
        <w:t>10.2.2 Para fins da ordem de classificação, os licitantes ou fornecedores que aceitarem cotar o objeto com preço igual ao do adjudicatário antecederão aqueles que mantiverem sua proposta original.</w:t>
      </w:r>
    </w:p>
    <w:p w14:paraId="00180F5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b w:val="0"/>
          <w:bCs w:val="0"/>
          <w:color w:val="000000"/>
          <w:sz w:val="22"/>
          <w:szCs w:val="22"/>
        </w:rPr>
        <w:t>10.3 A habilitação dos licitantes que comporão o cadastro de reserva será efetuada quando houver necessidade de contratação dos licitantes remanescentes, nas seguintes hipóteses:</w:t>
      </w:r>
    </w:p>
    <w:p w14:paraId="36115F49"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Style w:val="Forte"/>
          <w:rFonts w:ascii="Calibri" w:hAnsi="Calibri"/>
          <w:b w:val="0"/>
          <w:bCs w:val="0"/>
          <w:color w:val="000000"/>
          <w:sz w:val="22"/>
          <w:szCs w:val="22"/>
        </w:rPr>
        <w:t>10.3.1 quando o licitante vencedor não assinar a ata de registro de preços no prazo e nas condições estabelecidos no edital; ou</w:t>
      </w:r>
    </w:p>
    <w:p w14:paraId="538155D3"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Style w:val="Forte"/>
          <w:rFonts w:ascii="Calibri" w:hAnsi="Calibri"/>
          <w:b w:val="0"/>
          <w:bCs w:val="0"/>
          <w:color w:val="000000"/>
          <w:sz w:val="22"/>
          <w:szCs w:val="22"/>
        </w:rPr>
        <w:t>10.3.2 quando houver o cancelamento do registro do fornecedor ou do registro de preços, nas hipóteses previstas nos art. 28 e art. 29 do Decreto nº 11.462/23.</w:t>
      </w:r>
    </w:p>
    <w:p w14:paraId="23C6731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b w:val="0"/>
          <w:bCs w:val="0"/>
          <w:color w:val="000000"/>
          <w:sz w:val="22"/>
          <w:szCs w:val="22"/>
        </w:rPr>
        <w:t>10.4Na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F3B1C3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Style w:val="Forte"/>
          <w:rFonts w:ascii="Calibri" w:hAnsi="Calibri"/>
          <w:b w:val="0"/>
          <w:bCs w:val="0"/>
          <w:color w:val="000000"/>
          <w:sz w:val="22"/>
          <w:szCs w:val="22"/>
        </w:rPr>
        <w:t>10.4.1 convocar os licitantes que mantiveram sua proposta original para negociação, na ordem de classificação, com vistas à obtenção de preço melhor, mesmo que acima do preço do adjudicatário; ou</w:t>
      </w:r>
    </w:p>
    <w:p w14:paraId="69B64D6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Style w:val="Forte"/>
          <w:rFonts w:ascii="Calibri" w:hAnsi="Calibri"/>
          <w:b w:val="0"/>
          <w:bCs w:val="0"/>
          <w:color w:val="000000"/>
          <w:sz w:val="22"/>
          <w:szCs w:val="22"/>
        </w:rPr>
        <w:t>10.4.2 adjudicar e firmar o contrato nas condições ofertadas pelos licitantes remanescentes, observada a ordem de classificação, quando frustrada a negociação de melhor condição.</w:t>
      </w:r>
    </w:p>
    <w:p w14:paraId="11C4906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CE4C8C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11. DOS RECURSOS</w:t>
      </w:r>
    </w:p>
    <w:p w14:paraId="2FF6B8A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11.1 A interposição de recurso referente ao julgamento das propostas, à habilitação ou inabilitação de licitantes, à anulação ou revogação da licitação, observará o disposto no art. 165 da Lei nº 14.133, de 2021.</w:t>
      </w:r>
    </w:p>
    <w:p w14:paraId="2716DA6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11.2 O prazo recursal é de 3 (três) dias úteis, contados da data de intimação ou de lavratura da ata.</w:t>
      </w:r>
    </w:p>
    <w:p w14:paraId="32C46A7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11.3 Quando o recurso apresentado impugnar o julgamento das propostas ou o ato de habilitação ou inabilitação do licitante:</w:t>
      </w:r>
    </w:p>
    <w:p w14:paraId="34345B86"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11.3.1 a intenção de recorrer deverá ser manifestada imediatamente, sob pena de preclusão;</w:t>
      </w:r>
    </w:p>
    <w:p w14:paraId="57A801CA"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11.3.2 o prazo para apresentação das razões recursais será iniciado na data de intimação ou de lavratura da ata de habilitação ou inabilitação;</w:t>
      </w:r>
    </w:p>
    <w:p w14:paraId="6359819D"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lastRenderedPageBreak/>
        <w:t>11.3.3 na hipótese de adoção da inversão de fases prevista no § 1º do art. 17 da Lei nº 14.133, de 2021, o prazo para apresentação das razões recursais será iniciado na data de intimação da ata de julgamento.</w:t>
      </w:r>
    </w:p>
    <w:p w14:paraId="7BCE5F1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11.4 Os recursos deverão ser encaminhados em campo próprio do sistema.</w:t>
      </w:r>
    </w:p>
    <w:p w14:paraId="3721F2C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C6ABF6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11.6 Os recursos interpostos fora do prazo não serão conhecidos.</w:t>
      </w:r>
    </w:p>
    <w:p w14:paraId="163D1AA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1350CE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11.8 O recurso e o pedido de reconsideração terão efeito suspensivo do ato ou da decisão recorrida até que sobrevenha decisão final da autoridade competente.</w:t>
      </w:r>
    </w:p>
    <w:p w14:paraId="2B3DD52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11.9 O acolhimento do recurso invalida tão somente os atos insuscetíveis de aproveitamento.</w:t>
      </w:r>
    </w:p>
    <w:p w14:paraId="7E266EE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11.10 Os autos do processo permanecerão com vista franqueada aos interessados no sítio eletrônico SEI/MS, o acesso será concedido através de solicitação pelo </w:t>
      </w:r>
      <w:proofErr w:type="spellStart"/>
      <w:r w:rsidRPr="0056446F">
        <w:rPr>
          <w:rFonts w:ascii="Calibri" w:hAnsi="Calibri"/>
          <w:color w:val="000000"/>
          <w:sz w:val="22"/>
          <w:szCs w:val="22"/>
        </w:rPr>
        <w:t>email</w:t>
      </w:r>
      <w:proofErr w:type="spellEnd"/>
      <w:r w:rsidRPr="0056446F">
        <w:rPr>
          <w:rFonts w:ascii="Calibri" w:hAnsi="Calibri"/>
          <w:color w:val="000000"/>
          <w:sz w:val="22"/>
          <w:szCs w:val="22"/>
        </w:rPr>
        <w:t xml:space="preserve"> cplhi@hgi.rj.saude.gov.br;</w:t>
      </w:r>
    </w:p>
    <w:p w14:paraId="2379E0A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5AB16E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12. DAS INFRAÇÕES ADMINISTRATIVAS E SANÇÕES</w:t>
      </w:r>
    </w:p>
    <w:p w14:paraId="5F9A0E9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12.1 Comete infração administrativa, nos termos da lei, o licitante que, com dolo ou culpa:</w:t>
      </w:r>
      <w:bookmarkStart w:id="11" w:name="_Ref114668085"/>
      <w:bookmarkEnd w:id="11"/>
    </w:p>
    <w:p w14:paraId="342E373B"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12.1.1 deixar de entregar a documentação exigida para o certame ou não entregar qualquer documento que tenha sido solicitado pelo/a pregoeiro/a durante o certame;</w:t>
      </w:r>
      <w:bookmarkStart w:id="12" w:name="_Ref114668108"/>
      <w:bookmarkEnd w:id="12"/>
    </w:p>
    <w:p w14:paraId="6C09A8C0"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12.1.2 Salvo em decorrência de fato superveniente devidamente justificado, não mantiver a proposta em especial quando:</w:t>
      </w:r>
    </w:p>
    <w:p w14:paraId="499BB12E"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12.1.2.1 não enviar a proposta adequada ao último lance ofertado ou após a negociação;</w:t>
      </w:r>
    </w:p>
    <w:p w14:paraId="74E90D0C"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12.1.2.2 recusar-se a enviar o detalhamento da proposta quando exigível;</w:t>
      </w:r>
    </w:p>
    <w:p w14:paraId="2BA66F4F"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12.1.2.3 pedir para ser desclassificado quando encerrada a etapa competitiva; ou</w:t>
      </w:r>
    </w:p>
    <w:p w14:paraId="2B08FD8C"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12.1.2.4 deixar de apresentar amostra;</w:t>
      </w:r>
    </w:p>
    <w:p w14:paraId="12F3A127"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12.1.2.5 apresentar proposta ou amostra em desacordo com as especificações do edital;</w:t>
      </w:r>
      <w:bookmarkStart w:id="13" w:name="_Ref114668139"/>
      <w:bookmarkEnd w:id="13"/>
    </w:p>
    <w:p w14:paraId="277A1EF9"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lastRenderedPageBreak/>
        <w:t>12.1.3 não celebrar o contrato ou não entregar a documentação exigida para a contratação, quando convocado dentro do prazo de validade de sua proposta;</w:t>
      </w:r>
    </w:p>
    <w:p w14:paraId="13030D14"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12.1.3.1 recusar-se, sem justificativa, a assinar o contrato ou a ata do pregão, ou a aceitar ou retirar o instrumento equivalente no prazo estabelecido pela Administração;</w:t>
      </w:r>
      <w:bookmarkStart w:id="14" w:name="_Ref114668249"/>
      <w:bookmarkEnd w:id="14"/>
    </w:p>
    <w:p w14:paraId="77196AD7"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12.1.4 apresentar declaração ou documentação falsa exigida para o certame ou prestar declaração falsa durante a licitação</w:t>
      </w:r>
      <w:bookmarkStart w:id="15" w:name="_Ref114668245"/>
      <w:bookmarkEnd w:id="15"/>
      <w:r w:rsidRPr="0056446F">
        <w:rPr>
          <w:rFonts w:ascii="Calibri" w:hAnsi="Calibri"/>
          <w:color w:val="000000"/>
          <w:sz w:val="22"/>
          <w:szCs w:val="22"/>
        </w:rPr>
        <w:t>;</w:t>
      </w:r>
    </w:p>
    <w:p w14:paraId="2524AB40"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12.1.5 fraudar a licitação</w:t>
      </w:r>
      <w:bookmarkStart w:id="16" w:name="_Ref114668247"/>
      <w:bookmarkEnd w:id="16"/>
      <w:r w:rsidRPr="0056446F">
        <w:rPr>
          <w:rFonts w:ascii="Calibri" w:hAnsi="Calibri"/>
          <w:color w:val="000000"/>
          <w:sz w:val="22"/>
          <w:szCs w:val="22"/>
        </w:rPr>
        <w:t>;</w:t>
      </w:r>
    </w:p>
    <w:p w14:paraId="0ACA7485"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12.1.6 comportar-se de modo inidôneo ou cometer fraude de qualquer natureza, em especial quando:</w:t>
      </w:r>
    </w:p>
    <w:p w14:paraId="13E4C39F"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12.1.6.1 agir em conluio ou em desconformidade com a lei;</w:t>
      </w:r>
    </w:p>
    <w:p w14:paraId="4A31722B"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12.1.6.2 induzir deliberadamente a erro no julgamento;</w:t>
      </w:r>
    </w:p>
    <w:p w14:paraId="65F5B96E" w14:textId="77777777" w:rsidR="0056446F" w:rsidRPr="0056446F" w:rsidRDefault="0056446F" w:rsidP="003F06FA">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12.1.6.3 apresentar amostra falsificada ou deteriorada;</w:t>
      </w:r>
      <w:bookmarkStart w:id="17" w:name="_Ref114668251"/>
      <w:bookmarkEnd w:id="17"/>
    </w:p>
    <w:p w14:paraId="1ED79AB0"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12.1.7 praticar atos ilícitos com vistas a frustrar os objetivos da licitação</w:t>
      </w:r>
      <w:bookmarkStart w:id="18" w:name="_Ref114668252"/>
      <w:bookmarkEnd w:id="18"/>
    </w:p>
    <w:p w14:paraId="505610BA"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12.1.8 praticar ato lesivo previsto no </w:t>
      </w:r>
      <w:hyperlink r:id="rId18" w:anchor="art5" w:tgtFrame="_blank" w:history="1">
        <w:r w:rsidRPr="0056446F">
          <w:rPr>
            <w:rStyle w:val="Hyperlink"/>
            <w:rFonts w:ascii="Calibri" w:hAnsi="Calibri"/>
            <w:sz w:val="22"/>
            <w:szCs w:val="22"/>
          </w:rPr>
          <w:t>art. 5º da Lei n.º 12.846, de 2013</w:t>
        </w:r>
      </w:hyperlink>
      <w:r w:rsidRPr="0056446F">
        <w:rPr>
          <w:rFonts w:ascii="Calibri" w:hAnsi="Calibri"/>
          <w:color w:val="000000"/>
          <w:sz w:val="22"/>
          <w:szCs w:val="22"/>
        </w:rPr>
        <w:t>.</w:t>
      </w:r>
    </w:p>
    <w:p w14:paraId="10CC91A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12.2 Com fulcro na </w:t>
      </w:r>
      <w:hyperlink r:id="rId19" w:tgtFrame="_blank" w:history="1">
        <w:r w:rsidRPr="0056446F">
          <w:rPr>
            <w:rStyle w:val="Hyperlink"/>
            <w:rFonts w:ascii="Calibri" w:hAnsi="Calibri"/>
            <w:sz w:val="22"/>
            <w:szCs w:val="22"/>
          </w:rPr>
          <w:t>Lei nº 14.133, de 2021</w:t>
        </w:r>
      </w:hyperlink>
      <w:r w:rsidRPr="0056446F">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12FC849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12.2.1 advertência;</w:t>
      </w:r>
    </w:p>
    <w:p w14:paraId="7C777549"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12.2.2 multa;</w:t>
      </w:r>
    </w:p>
    <w:p w14:paraId="0DDB68F5"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12.2.3 impedimento de licitar e contratar e</w:t>
      </w:r>
    </w:p>
    <w:p w14:paraId="35564729"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12.2.4 declaração de inidoneidade para licitar ou contratar, enquanto perdurarem os motivos determinantes da punição ou até que seja promovida sua reabilitação perante a própria autoridade que aplicou a penalidade.</w:t>
      </w:r>
    </w:p>
    <w:p w14:paraId="49F4C6A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12.3 Na aplicação das sanções serão considerados:</w:t>
      </w:r>
    </w:p>
    <w:p w14:paraId="4E762845"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12.3.1 a natureza e a gravidade da infração cometida.</w:t>
      </w:r>
    </w:p>
    <w:p w14:paraId="25F3C7F8"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12.3.2 as peculiaridades do caso concreto</w:t>
      </w:r>
    </w:p>
    <w:p w14:paraId="144B33F6"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12.3.3 as circunstâncias agravantes ou atenuantes</w:t>
      </w:r>
    </w:p>
    <w:p w14:paraId="2415270E"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12.3.4 os danos que dela provierem para a Administração Pública</w:t>
      </w:r>
    </w:p>
    <w:p w14:paraId="5A8810E3"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12.3.5 a implantação ou o aperfeiçoamento de programa de integridade, conforme normas e orientações dos órgãos de controle.</w:t>
      </w:r>
    </w:p>
    <w:p w14:paraId="30FCB54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12.4 A multa será recolhida em percentual de 0,5% a 30% incidente sobre o valor do contrato licitado, recolhida no prazo máximo de </w:t>
      </w:r>
      <w:r w:rsidRPr="0056446F">
        <w:rPr>
          <w:rFonts w:ascii="Calibri" w:hAnsi="Calibri"/>
          <w:b/>
          <w:bCs/>
          <w:color w:val="000000"/>
          <w:sz w:val="22"/>
          <w:szCs w:val="22"/>
        </w:rPr>
        <w:t>10 (</w:t>
      </w:r>
      <w:proofErr w:type="gramStart"/>
      <w:r w:rsidRPr="0056446F">
        <w:rPr>
          <w:rFonts w:ascii="Calibri" w:hAnsi="Calibri"/>
          <w:b/>
          <w:bCs/>
          <w:color w:val="000000"/>
          <w:sz w:val="22"/>
          <w:szCs w:val="22"/>
        </w:rPr>
        <w:t>dez)</w:t>
      </w:r>
      <w:r w:rsidRPr="0056446F">
        <w:rPr>
          <w:rStyle w:val="Forte"/>
          <w:rFonts w:ascii="Calibri" w:hAnsi="Calibri"/>
          <w:color w:val="000000"/>
          <w:sz w:val="22"/>
          <w:szCs w:val="22"/>
        </w:rPr>
        <w:t>dias</w:t>
      </w:r>
      <w:proofErr w:type="gramEnd"/>
      <w:r w:rsidRPr="0056446F">
        <w:rPr>
          <w:rFonts w:ascii="Calibri" w:hAnsi="Calibri"/>
          <w:b/>
          <w:bCs/>
          <w:color w:val="000000"/>
          <w:sz w:val="22"/>
          <w:szCs w:val="22"/>
        </w:rPr>
        <w:t> úteis</w:t>
      </w:r>
      <w:r w:rsidRPr="0056446F">
        <w:rPr>
          <w:rFonts w:ascii="Calibri" w:hAnsi="Calibri"/>
          <w:color w:val="000000"/>
          <w:sz w:val="22"/>
          <w:szCs w:val="22"/>
        </w:rPr>
        <w:t>, a contar da comunicação oficial.</w:t>
      </w:r>
      <w:bookmarkStart w:id="19" w:name="_Hlk113876035"/>
      <w:bookmarkEnd w:id="19"/>
    </w:p>
    <w:p w14:paraId="69C30BFA"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lastRenderedPageBreak/>
        <w:t>12.4.1 Para as infrações previstas nos itens: 12.1.1, 12.1.2 e 12.1.3 a multa será de 0,5% a 15% do valor do contrato licitado.</w:t>
      </w:r>
    </w:p>
    <w:p w14:paraId="7AAF75F2"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12.4.2 Para as infrações previstas nos itens: 12.1.4, 12.1.5, 12.1.6, 12.1.7 e 12.1.8 a multa será de 15% a 30% do valor do contrato licitado.</w:t>
      </w:r>
    </w:p>
    <w:p w14:paraId="384CB5F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12.5 As sanções de advertência, impedimento de licitar e contratar e declaração de inidoneidade para licitar ou contratar poderão ser aplicadas, cumulativamente ou não, à penalidade de multa.</w:t>
      </w:r>
    </w:p>
    <w:p w14:paraId="71EE3BC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12.6 Na</w:t>
      </w:r>
      <w:proofErr w:type="gramEnd"/>
      <w:r w:rsidRPr="0056446F">
        <w:rPr>
          <w:rFonts w:ascii="Calibri" w:hAnsi="Calibri"/>
          <w:color w:val="000000"/>
          <w:sz w:val="22"/>
          <w:szCs w:val="22"/>
        </w:rPr>
        <w:t xml:space="preserve"> aplicação da sanção de multa será facultada a defesa do interessado no prazo de 15 (quinze) dias úteis, contado da data de sua intimação.</w:t>
      </w:r>
    </w:p>
    <w:p w14:paraId="5B77C96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12.7 A sanção de impedimento de licitar e contratar será aplicada ao responsável em decorrência das infrações administrativas relacionadas nos itens: </w:t>
      </w:r>
      <w:proofErr w:type="gramStart"/>
      <w:r w:rsidRPr="0056446F">
        <w:rPr>
          <w:rFonts w:ascii="Calibri" w:hAnsi="Calibri"/>
          <w:color w:val="000000"/>
          <w:sz w:val="22"/>
          <w:szCs w:val="22"/>
        </w:rPr>
        <w:t>12.1..</w:t>
      </w:r>
      <w:proofErr w:type="gramEnd"/>
      <w:r w:rsidRPr="0056446F">
        <w:rPr>
          <w:rFonts w:ascii="Calibri" w:hAnsi="Calibri"/>
          <w:color w:val="000000"/>
          <w:sz w:val="22"/>
          <w:szCs w:val="22"/>
        </w:rPr>
        <w:t>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D75A61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12.8 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20" w:anchor="art156%C2%A75" w:tgtFrame="_blank" w:history="1">
        <w:r w:rsidRPr="0056446F">
          <w:rPr>
            <w:rStyle w:val="Hyperlink"/>
            <w:rFonts w:ascii="Calibri" w:hAnsi="Calibri"/>
            <w:sz w:val="22"/>
            <w:szCs w:val="22"/>
          </w:rPr>
          <w:t>art. 156, §5º, da Lei n.º 14.133/2021</w:t>
        </w:r>
      </w:hyperlink>
      <w:r w:rsidRPr="0056446F">
        <w:rPr>
          <w:rFonts w:ascii="Calibri" w:hAnsi="Calibri"/>
          <w:color w:val="000000"/>
          <w:sz w:val="22"/>
          <w:szCs w:val="22"/>
        </w:rPr>
        <w:t>.</w:t>
      </w:r>
    </w:p>
    <w:p w14:paraId="4572ADD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12.9 A recusa injustificada do adjudicatário em assinar o contrato ou a ata do pregão, ou em aceitar ou retirar o instrumento equivalente no prazo estabelecido pela Administração, descrita no item:12.1.3, caracterizará o descumprimento total da obrigação assumida e o sujeitará às penalidades e à imediata perda da garantia de proposta em favor do órgão ou entidade promotora da licitação, nos termos do </w:t>
      </w:r>
      <w:hyperlink r:id="rId21" w:tgtFrame="_blank" w:history="1">
        <w:r w:rsidRPr="0056446F">
          <w:rPr>
            <w:rStyle w:val="Hyperlink"/>
            <w:rFonts w:ascii="Calibri" w:hAnsi="Calibri"/>
            <w:sz w:val="22"/>
            <w:szCs w:val="22"/>
          </w:rPr>
          <w:t>art. 45, §4º da IN SEGES/ME n.º 73, de 2022</w:t>
        </w:r>
      </w:hyperlink>
      <w:r w:rsidRPr="0056446F">
        <w:rPr>
          <w:rFonts w:ascii="Calibri" w:hAnsi="Calibri"/>
          <w:color w:val="000000"/>
          <w:sz w:val="22"/>
          <w:szCs w:val="22"/>
        </w:rPr>
        <w:t>.</w:t>
      </w:r>
    </w:p>
    <w:p w14:paraId="5B84860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6174BE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12.11 Caberá</w:t>
      </w:r>
      <w:proofErr w:type="gramEnd"/>
      <w:r w:rsidRPr="0056446F">
        <w:rPr>
          <w:rFonts w:ascii="Calibri" w:hAnsi="Calibri"/>
          <w:color w:val="000000"/>
          <w:sz w:val="22"/>
          <w:szCs w:val="22"/>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w:t>
      </w:r>
      <w:r w:rsidRPr="0056446F">
        <w:rPr>
          <w:rFonts w:ascii="Calibri" w:hAnsi="Calibri"/>
          <w:color w:val="000000"/>
          <w:sz w:val="22"/>
          <w:szCs w:val="22"/>
        </w:rPr>
        <w:lastRenderedPageBreak/>
        <w:t>proferir sua decisão no prazo máximo de 20 (vinte) dias úteis, contado do recebimento dos autos.</w:t>
      </w:r>
    </w:p>
    <w:p w14:paraId="46C6E88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12.12 Caberá</w:t>
      </w:r>
      <w:proofErr w:type="gramEnd"/>
      <w:r w:rsidRPr="0056446F">
        <w:rPr>
          <w:rFonts w:ascii="Calibri" w:hAnsi="Calibri"/>
          <w:color w:val="000000"/>
          <w:sz w:val="22"/>
          <w:szCs w:val="22"/>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D4660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12.13 O recurso e o pedido de reconsideração terão efeito suspensivo do ato ou da decisão recorrida até que sobrevenha decisão final da autoridade competente.</w:t>
      </w:r>
    </w:p>
    <w:p w14:paraId="0A5BF21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12.14 A aplicação das sanções previstas neste edital não exclui, em hipótese alguma, a obrigação de reparação integral dos danos causados.</w:t>
      </w:r>
      <w:bookmarkStart w:id="20" w:name="_Toc122606112"/>
      <w:bookmarkEnd w:id="20"/>
    </w:p>
    <w:p w14:paraId="04632F6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C1D599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13. DA IMPUGNAÇÃO AO EDITAL E DO PEDIDO DE ESCLARECIMENTO</w:t>
      </w:r>
    </w:p>
    <w:p w14:paraId="3D03601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13.1 Qualquer pessoa é parte legítima para impugnar este Edital por irregularidade na aplicação da </w:t>
      </w:r>
      <w:hyperlink r:id="rId22" w:tgtFrame="_blank" w:history="1">
        <w:r w:rsidRPr="0056446F">
          <w:rPr>
            <w:rStyle w:val="Hyperlink"/>
            <w:rFonts w:ascii="Calibri" w:hAnsi="Calibri"/>
            <w:sz w:val="22"/>
            <w:szCs w:val="22"/>
          </w:rPr>
          <w:t>Lei nº 14.133, de 2021</w:t>
        </w:r>
      </w:hyperlink>
      <w:r w:rsidRPr="0056446F">
        <w:rPr>
          <w:rFonts w:ascii="Calibri" w:hAnsi="Calibri"/>
          <w:color w:val="000000"/>
          <w:sz w:val="22"/>
          <w:szCs w:val="22"/>
        </w:rPr>
        <w:t>, devendo protocolar o pedido até 3 (cinco) dias úteis antes da data da abertura do certame.</w:t>
      </w:r>
    </w:p>
    <w:p w14:paraId="4589D84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13.2 A resposta à impugnação ou ao pedido de esclarecimento será divulgado em sítio eletrônico oficial no prazo de até 3 (três) dias úteis, limitado ao último dia útil anterior à data da abertura do certame.</w:t>
      </w:r>
    </w:p>
    <w:p w14:paraId="543ADCA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13.3 A impugnação e o pedido de esclarecimento poderão ser realizados por forma eletrônica, </w:t>
      </w:r>
      <w:proofErr w:type="spellStart"/>
      <w:r w:rsidRPr="0056446F">
        <w:rPr>
          <w:rFonts w:ascii="Calibri" w:hAnsi="Calibri"/>
          <w:color w:val="000000"/>
          <w:sz w:val="22"/>
          <w:szCs w:val="22"/>
        </w:rPr>
        <w:t>peloemail</w:t>
      </w:r>
      <w:proofErr w:type="spellEnd"/>
      <w:r w:rsidRPr="0056446F">
        <w:rPr>
          <w:rFonts w:ascii="Calibri" w:hAnsi="Calibri"/>
          <w:color w:val="000000"/>
          <w:sz w:val="22"/>
          <w:szCs w:val="22"/>
        </w:rPr>
        <w:t> </w:t>
      </w:r>
      <w:hyperlink r:id="rId23" w:tgtFrame="_blank" w:history="1">
        <w:r w:rsidRPr="0056446F">
          <w:rPr>
            <w:rStyle w:val="Hyperlink"/>
            <w:rFonts w:ascii="Calibri" w:hAnsi="Calibri"/>
            <w:sz w:val="22"/>
            <w:szCs w:val="22"/>
          </w:rPr>
          <w:t>cplhi@hgi.rj.saude.gov.br</w:t>
        </w:r>
      </w:hyperlink>
      <w:r w:rsidRPr="0056446F">
        <w:rPr>
          <w:rFonts w:ascii="Calibri" w:hAnsi="Calibri"/>
          <w:color w:val="000000"/>
          <w:sz w:val="22"/>
          <w:szCs w:val="22"/>
        </w:rPr>
        <w:t xml:space="preserve"> ou por petição dirigida ou protocolada no endereço Rua Antônio Parreiras, nº 67/69 – sala 323 – Setor de Licitações–Ipanema - Rio de Janeiro - RJ – </w:t>
      </w:r>
      <w:proofErr w:type="spellStart"/>
      <w:r w:rsidRPr="0056446F">
        <w:rPr>
          <w:rFonts w:ascii="Calibri" w:hAnsi="Calibri"/>
          <w:color w:val="000000"/>
          <w:sz w:val="22"/>
          <w:szCs w:val="22"/>
        </w:rPr>
        <w:t>Cep</w:t>
      </w:r>
      <w:proofErr w:type="spellEnd"/>
      <w:r w:rsidRPr="0056446F">
        <w:rPr>
          <w:rFonts w:ascii="Calibri" w:hAnsi="Calibri"/>
          <w:color w:val="000000"/>
          <w:sz w:val="22"/>
          <w:szCs w:val="22"/>
        </w:rPr>
        <w:t>.: 22411-020.</w:t>
      </w:r>
    </w:p>
    <w:p w14:paraId="7130E49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13.4 As impugnações e pedidos de esclarecimentos não suspendem os prazos previstos no certame.</w:t>
      </w:r>
    </w:p>
    <w:p w14:paraId="7BBE457A"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13.4.1 A concessão de efeito suspensivo à impugnação é medida excepcional e deverá ser motivada pelo agente de contratação, nos autos do processo de licitação.</w:t>
      </w:r>
    </w:p>
    <w:p w14:paraId="4D7C443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13.5 Acolhida a impugnação, será definida e publicada nova data para a realização do certame.</w:t>
      </w:r>
    </w:p>
    <w:p w14:paraId="3352E02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1636543" w14:textId="77777777" w:rsidR="003F06FA" w:rsidRDefault="003F06FA" w:rsidP="0056446F">
      <w:pPr>
        <w:pStyle w:val="NormalWeb"/>
        <w:spacing w:before="0" w:beforeAutospacing="0" w:after="0" w:afterAutospacing="0" w:line="360" w:lineRule="auto"/>
        <w:jc w:val="both"/>
        <w:rPr>
          <w:rStyle w:val="Forte"/>
          <w:rFonts w:ascii="Calibri" w:hAnsi="Calibri"/>
          <w:color w:val="000000"/>
          <w:sz w:val="22"/>
          <w:szCs w:val="22"/>
        </w:rPr>
      </w:pPr>
    </w:p>
    <w:p w14:paraId="4D307FAD" w14:textId="77777777" w:rsidR="003F06FA" w:rsidRDefault="003F06FA" w:rsidP="0056446F">
      <w:pPr>
        <w:pStyle w:val="NormalWeb"/>
        <w:spacing w:before="0" w:beforeAutospacing="0" w:after="0" w:afterAutospacing="0" w:line="360" w:lineRule="auto"/>
        <w:jc w:val="both"/>
        <w:rPr>
          <w:rStyle w:val="Forte"/>
          <w:rFonts w:ascii="Calibri" w:hAnsi="Calibri"/>
          <w:color w:val="000000"/>
          <w:sz w:val="22"/>
          <w:szCs w:val="22"/>
        </w:rPr>
      </w:pPr>
    </w:p>
    <w:p w14:paraId="589EDC80" w14:textId="77777777" w:rsidR="003F06FA" w:rsidRDefault="003F06FA" w:rsidP="0056446F">
      <w:pPr>
        <w:pStyle w:val="NormalWeb"/>
        <w:spacing w:before="0" w:beforeAutospacing="0" w:after="0" w:afterAutospacing="0" w:line="360" w:lineRule="auto"/>
        <w:jc w:val="both"/>
        <w:rPr>
          <w:rStyle w:val="Forte"/>
          <w:rFonts w:ascii="Calibri" w:hAnsi="Calibri"/>
          <w:color w:val="000000"/>
          <w:sz w:val="22"/>
          <w:szCs w:val="22"/>
        </w:rPr>
      </w:pPr>
    </w:p>
    <w:p w14:paraId="0D6E2C0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14. DAS DISPOSIÇÕES GERAIS</w:t>
      </w:r>
    </w:p>
    <w:p w14:paraId="569B1B8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14.1 Será</w:t>
      </w:r>
      <w:proofErr w:type="gramEnd"/>
      <w:r w:rsidRPr="0056446F">
        <w:rPr>
          <w:rFonts w:ascii="Calibri" w:hAnsi="Calibri"/>
          <w:color w:val="000000"/>
          <w:sz w:val="22"/>
          <w:szCs w:val="22"/>
        </w:rPr>
        <w:t xml:space="preserve"> divulgada ata da sessão pública no sistema eletrônico.</w:t>
      </w:r>
    </w:p>
    <w:p w14:paraId="177BB28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14.2 Não havendo expediente ou ocorrendo qualquer fato superveniente que impeça a realização do certame na data marcada, a sessão será automaticamente transferida para o </w:t>
      </w:r>
      <w:r w:rsidRPr="0056446F">
        <w:rPr>
          <w:rFonts w:ascii="Calibri" w:hAnsi="Calibri"/>
          <w:color w:val="000000"/>
          <w:sz w:val="22"/>
          <w:szCs w:val="22"/>
        </w:rPr>
        <w:lastRenderedPageBreak/>
        <w:t>primeiro dia útil subsequente, no mesmo horário anteriormente estabelecido, desde que não haja comunicação em contrário, pelo Pregoeiro.</w:t>
      </w:r>
    </w:p>
    <w:p w14:paraId="7F7BDBF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14.3 Todas as referências de tempo no Edital, no aviso e durante a sessão pública observarão o horário de Brasília - DF.</w:t>
      </w:r>
    </w:p>
    <w:p w14:paraId="4DB3BD5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14.4 A homologação do resultado desta licitação não implicará direito à contratação.</w:t>
      </w:r>
    </w:p>
    <w:p w14:paraId="0374C98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14.5 As normas disciplinadoras da licitação serão sempre interpretadas em favor da ampliação da disputa entre os interessados, desde que não comprometam o interesse da Administração, o princípio da isonomia, a finalidade e a segurança da contratação.</w:t>
      </w:r>
    </w:p>
    <w:p w14:paraId="32649FC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14.6 Os licitantes assumem todos os custos de preparação e apresentação de suas propostas e a Administração não será, em nenhum caso, responsável por esses custos, independentemente da condução ou do resultado do processo licitatório.</w:t>
      </w:r>
    </w:p>
    <w:p w14:paraId="59527DA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14.7 Na</w:t>
      </w:r>
      <w:proofErr w:type="gramEnd"/>
      <w:r w:rsidRPr="0056446F">
        <w:rPr>
          <w:rFonts w:ascii="Calibri" w:hAnsi="Calibri"/>
          <w:color w:val="000000"/>
          <w:sz w:val="22"/>
          <w:szCs w:val="22"/>
        </w:rPr>
        <w:t xml:space="preserve"> contagem dos prazos estabelecidos neste Edital e seus Anexos, excluir-se-á o dia do início e incluir-se-á o do vencimento. Só se iniciam e vencem os prazos em dias de expediente na Administração.</w:t>
      </w:r>
    </w:p>
    <w:p w14:paraId="4CABE3E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14.8 O desatendimento de exigências formais não essenciais não importará o afastamento do licitante, desde que seja possível o aproveitamento do ato, observados os princípios da isonomia e do interesse público.</w:t>
      </w:r>
    </w:p>
    <w:p w14:paraId="7954275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14.9 Em</w:t>
      </w:r>
      <w:proofErr w:type="gramEnd"/>
      <w:r w:rsidRPr="0056446F">
        <w:rPr>
          <w:rFonts w:ascii="Calibri" w:hAnsi="Calibri"/>
          <w:color w:val="000000"/>
          <w:sz w:val="22"/>
          <w:szCs w:val="22"/>
        </w:rPr>
        <w:t xml:space="preserve"> caso de divergência entre disposições deste Edital e de seus anexos ou demais peças que compõem o processo, prevalecerá as deste Edital.</w:t>
      </w:r>
    </w:p>
    <w:p w14:paraId="2C76BE9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14.10 O Edital e seus anexos está </w:t>
      </w:r>
      <w:proofErr w:type="gramStart"/>
      <w:r w:rsidRPr="0056446F">
        <w:rPr>
          <w:rFonts w:ascii="Calibri" w:hAnsi="Calibri"/>
          <w:color w:val="000000"/>
          <w:sz w:val="22"/>
          <w:szCs w:val="22"/>
        </w:rPr>
        <w:t>disponíveis</w:t>
      </w:r>
      <w:proofErr w:type="gramEnd"/>
      <w:r w:rsidRPr="0056446F">
        <w:rPr>
          <w:rFonts w:ascii="Calibri" w:hAnsi="Calibri"/>
          <w:color w:val="000000"/>
          <w:sz w:val="22"/>
          <w:szCs w:val="22"/>
        </w:rPr>
        <w:t xml:space="preserve">, na íntegra, no Portal Nacional de </w:t>
      </w:r>
      <w:proofErr w:type="spellStart"/>
      <w:r w:rsidRPr="0056446F">
        <w:rPr>
          <w:rFonts w:ascii="Calibri" w:hAnsi="Calibri"/>
          <w:color w:val="000000"/>
          <w:sz w:val="22"/>
          <w:szCs w:val="22"/>
        </w:rPr>
        <w:t>ContrataçõesPúblicas</w:t>
      </w:r>
      <w:proofErr w:type="spellEnd"/>
      <w:r w:rsidRPr="0056446F">
        <w:rPr>
          <w:rFonts w:ascii="Calibri" w:hAnsi="Calibri"/>
          <w:color w:val="000000"/>
          <w:sz w:val="22"/>
          <w:szCs w:val="22"/>
        </w:rPr>
        <w:t xml:space="preserve"> (PNCP) e endereço eletrônico www.comprasnet.gov.br, e também poderão ser lidos e/ou obtidos no endereço Rua Antônio Parreiras, nº 67/69 - 3º Andar - Sala 323 CPL – Ipanema - Rio de Janeiro - RJ, nos dias úteis, no horário das 9h às 16h.</w:t>
      </w:r>
    </w:p>
    <w:p w14:paraId="627AED3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14.11 Integram este Edital, para todos os fins e efeitos, os seguintes anexos:</w:t>
      </w:r>
    </w:p>
    <w:p w14:paraId="617DED5E" w14:textId="77777777" w:rsidR="003F06FA" w:rsidRDefault="003F06FA" w:rsidP="003F06FA">
      <w:pPr>
        <w:pStyle w:val="NormalWeb"/>
        <w:spacing w:before="0" w:beforeAutospacing="0" w:after="0" w:afterAutospacing="0" w:line="360" w:lineRule="auto"/>
        <w:ind w:left="851"/>
        <w:jc w:val="both"/>
        <w:rPr>
          <w:rFonts w:ascii="Calibri" w:hAnsi="Calibri"/>
          <w:color w:val="000000"/>
          <w:sz w:val="22"/>
          <w:szCs w:val="22"/>
        </w:rPr>
      </w:pPr>
    </w:p>
    <w:p w14:paraId="37082B4E" w14:textId="77777777" w:rsidR="003F06FA" w:rsidRDefault="003F06FA" w:rsidP="003F06FA">
      <w:pPr>
        <w:pStyle w:val="NormalWeb"/>
        <w:spacing w:before="0" w:beforeAutospacing="0" w:after="0" w:afterAutospacing="0" w:line="360" w:lineRule="auto"/>
        <w:ind w:left="851"/>
        <w:jc w:val="both"/>
        <w:rPr>
          <w:rFonts w:ascii="Calibri" w:hAnsi="Calibri"/>
          <w:color w:val="000000"/>
          <w:sz w:val="22"/>
          <w:szCs w:val="22"/>
        </w:rPr>
      </w:pPr>
    </w:p>
    <w:p w14:paraId="4F72285A" w14:textId="77777777" w:rsidR="003F06FA" w:rsidRDefault="003F06FA" w:rsidP="003F06FA">
      <w:pPr>
        <w:pStyle w:val="NormalWeb"/>
        <w:spacing w:before="0" w:beforeAutospacing="0" w:after="0" w:afterAutospacing="0" w:line="360" w:lineRule="auto"/>
        <w:ind w:left="851"/>
        <w:jc w:val="both"/>
        <w:rPr>
          <w:rFonts w:ascii="Calibri" w:hAnsi="Calibri"/>
          <w:color w:val="000000"/>
          <w:sz w:val="22"/>
          <w:szCs w:val="22"/>
        </w:rPr>
      </w:pPr>
    </w:p>
    <w:p w14:paraId="6982D671" w14:textId="77777777" w:rsidR="003F06FA" w:rsidRDefault="003F06FA" w:rsidP="003F06FA">
      <w:pPr>
        <w:pStyle w:val="NormalWeb"/>
        <w:spacing w:before="0" w:beforeAutospacing="0" w:after="0" w:afterAutospacing="0" w:line="360" w:lineRule="auto"/>
        <w:ind w:left="851"/>
        <w:jc w:val="both"/>
        <w:rPr>
          <w:rFonts w:ascii="Calibri" w:hAnsi="Calibri"/>
          <w:color w:val="000000"/>
          <w:sz w:val="22"/>
          <w:szCs w:val="22"/>
        </w:rPr>
      </w:pPr>
    </w:p>
    <w:p w14:paraId="5B698D68" w14:textId="77777777" w:rsidR="003F06FA" w:rsidRDefault="003F06FA" w:rsidP="003F06FA">
      <w:pPr>
        <w:pStyle w:val="NormalWeb"/>
        <w:spacing w:before="0" w:beforeAutospacing="0" w:after="0" w:afterAutospacing="0" w:line="360" w:lineRule="auto"/>
        <w:ind w:left="851"/>
        <w:jc w:val="both"/>
        <w:rPr>
          <w:rFonts w:ascii="Calibri" w:hAnsi="Calibri"/>
          <w:color w:val="000000"/>
          <w:sz w:val="22"/>
          <w:szCs w:val="22"/>
        </w:rPr>
      </w:pPr>
    </w:p>
    <w:p w14:paraId="20EA4313"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14.11.1 ANEXO I - Termo de Referência</w:t>
      </w:r>
    </w:p>
    <w:p w14:paraId="561BF450"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14.11.2 ANEXO II – Minuta da Ata do Pregão</w:t>
      </w:r>
    </w:p>
    <w:p w14:paraId="097874B0"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14.11.3 ANEXO III – Minuta Contrato de Aquisição</w:t>
      </w:r>
    </w:p>
    <w:p w14:paraId="6D212C52"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14.11.4 ANEXO IV – cadastro de Reserva</w:t>
      </w:r>
    </w:p>
    <w:p w14:paraId="2CAE4252" w14:textId="77777777" w:rsidR="0056446F" w:rsidRPr="0056446F" w:rsidRDefault="0056446F" w:rsidP="003F06FA">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lastRenderedPageBreak/>
        <w:t>14.11.5 – ANEXO V - Manual de Boas Práticas para Fornecedores do Hospital Federal de Ipanema</w:t>
      </w:r>
    </w:p>
    <w:p w14:paraId="3433196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763826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F8E836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9540C6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86C297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 de ................................. de 2024</w:t>
      </w:r>
    </w:p>
    <w:p w14:paraId="687FFC4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Style w:val="Forte"/>
          <w:rFonts w:ascii="Calibri" w:hAnsi="Calibri"/>
          <w:color w:val="000000"/>
          <w:sz w:val="22"/>
          <w:szCs w:val="22"/>
        </w:rPr>
        <w:t>[ASSINATURA DA AUTORIDADE COMPETENTE]</w:t>
      </w:r>
    </w:p>
    <w:p w14:paraId="10FEB47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65E36A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763CDC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Câmara Nacional de Modelos de Licitações e Contratos da Consultoria-Geral da União</w:t>
      </w:r>
    </w:p>
    <w:p w14:paraId="0ADA4A1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Atualização: maio/2023</w:t>
      </w:r>
    </w:p>
    <w:p w14:paraId="73587B4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Edital modelo para Pregão Eletrônico - Lei nº 14.133, de 2021.</w:t>
      </w:r>
    </w:p>
    <w:p w14:paraId="247DBAA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Aprovado pela Secretaria de Gestão e Inovação.</w:t>
      </w:r>
    </w:p>
    <w:p w14:paraId="066EF96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Identidade visual pela Secretaria de Gestão e Inovação</w:t>
      </w:r>
    </w:p>
    <w:p w14:paraId="6A61CE1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52CFA23" w14:textId="77777777" w:rsid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B62BF3F"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164FC661"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0D7A3FB3"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25EA5BF1"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2AD602F2"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6F3BC1F2"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628C5E6B"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3E0F124D"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633DEF3C"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5A0FB3C7"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2770B11C"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29475484"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30822186" w14:textId="77777777" w:rsidR="003F06FA" w:rsidRPr="0056446F" w:rsidRDefault="003F06FA" w:rsidP="0056446F">
      <w:pPr>
        <w:pStyle w:val="NormalWeb"/>
        <w:spacing w:before="0" w:beforeAutospacing="0" w:after="0" w:afterAutospacing="0" w:line="360" w:lineRule="auto"/>
        <w:jc w:val="both"/>
        <w:rPr>
          <w:rFonts w:ascii="Calibri" w:hAnsi="Calibri"/>
          <w:color w:val="000000"/>
          <w:sz w:val="22"/>
          <w:szCs w:val="22"/>
        </w:rPr>
      </w:pPr>
    </w:p>
    <w:p w14:paraId="6984F51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CBC6906" w14:textId="77777777" w:rsidR="0056446F" w:rsidRPr="0056446F" w:rsidRDefault="0056446F" w:rsidP="003F06FA">
      <w:pPr>
        <w:pStyle w:val="NormalWeb"/>
        <w:spacing w:before="0" w:beforeAutospacing="0" w:after="0" w:afterAutospacing="0" w:line="360" w:lineRule="auto"/>
        <w:jc w:val="center"/>
        <w:rPr>
          <w:rFonts w:ascii="Calibri" w:hAnsi="Calibri"/>
          <w:color w:val="000000"/>
          <w:sz w:val="22"/>
          <w:szCs w:val="22"/>
        </w:rPr>
      </w:pPr>
      <w:r w:rsidRPr="0056446F">
        <w:rPr>
          <w:rStyle w:val="Forte"/>
          <w:rFonts w:ascii="Calibri" w:hAnsi="Calibri"/>
          <w:color w:val="000000"/>
          <w:sz w:val="22"/>
          <w:szCs w:val="22"/>
        </w:rPr>
        <w:t>ANEXO I</w:t>
      </w:r>
    </w:p>
    <w:p w14:paraId="5315DEF3" w14:textId="77777777" w:rsidR="0056446F" w:rsidRPr="0056446F" w:rsidRDefault="0056446F" w:rsidP="003F06FA">
      <w:pPr>
        <w:pStyle w:val="NormalWeb"/>
        <w:spacing w:before="0" w:beforeAutospacing="0" w:after="0" w:afterAutospacing="0" w:line="360" w:lineRule="auto"/>
        <w:jc w:val="center"/>
        <w:rPr>
          <w:rFonts w:ascii="Calibri" w:hAnsi="Calibri"/>
          <w:color w:val="000000"/>
          <w:sz w:val="22"/>
          <w:szCs w:val="22"/>
        </w:rPr>
      </w:pPr>
      <w:r w:rsidRPr="0056446F">
        <w:rPr>
          <w:rStyle w:val="Forte"/>
          <w:rFonts w:ascii="Calibri" w:hAnsi="Calibri"/>
          <w:color w:val="000000"/>
          <w:sz w:val="22"/>
          <w:szCs w:val="22"/>
        </w:rPr>
        <w:t>TERMO DE REFERÊNCIA</w:t>
      </w:r>
    </w:p>
    <w:p w14:paraId="0916ECF8" w14:textId="635D04DC" w:rsidR="0056446F" w:rsidRPr="0056446F" w:rsidRDefault="0056446F" w:rsidP="003F06FA">
      <w:pPr>
        <w:pStyle w:val="NormalWeb"/>
        <w:spacing w:before="0" w:beforeAutospacing="0" w:after="0" w:afterAutospacing="0" w:line="360" w:lineRule="auto"/>
        <w:jc w:val="center"/>
        <w:rPr>
          <w:rFonts w:ascii="Calibri" w:hAnsi="Calibri"/>
          <w:color w:val="000000"/>
          <w:sz w:val="22"/>
          <w:szCs w:val="22"/>
        </w:rPr>
      </w:pPr>
      <w:r w:rsidRPr="0056446F">
        <w:rPr>
          <w:rStyle w:val="Forte"/>
          <w:rFonts w:ascii="Calibri" w:hAnsi="Calibri"/>
          <w:color w:val="000000"/>
          <w:sz w:val="22"/>
          <w:szCs w:val="22"/>
        </w:rPr>
        <w:t xml:space="preserve">PREGÃO ELETRÔNICO Nº </w:t>
      </w:r>
      <w:r w:rsidR="00596D24">
        <w:rPr>
          <w:rStyle w:val="Forte"/>
          <w:rFonts w:ascii="Calibri" w:hAnsi="Calibri"/>
          <w:color w:val="000000"/>
          <w:sz w:val="22"/>
          <w:szCs w:val="22"/>
        </w:rPr>
        <w:t>90042</w:t>
      </w:r>
      <w:r w:rsidRPr="0056446F">
        <w:rPr>
          <w:rStyle w:val="Forte"/>
          <w:rFonts w:ascii="Calibri" w:hAnsi="Calibri"/>
          <w:color w:val="000000"/>
          <w:sz w:val="22"/>
          <w:szCs w:val="22"/>
        </w:rPr>
        <w:t>/2024</w:t>
      </w:r>
    </w:p>
    <w:p w14:paraId="4F8D8DA8" w14:textId="77777777" w:rsidR="0056446F" w:rsidRPr="0056446F" w:rsidRDefault="0056446F" w:rsidP="003F06FA">
      <w:pPr>
        <w:pStyle w:val="NormalWeb"/>
        <w:spacing w:before="0" w:beforeAutospacing="0" w:after="0" w:afterAutospacing="0" w:line="360" w:lineRule="auto"/>
        <w:jc w:val="center"/>
        <w:rPr>
          <w:rFonts w:ascii="Calibri" w:hAnsi="Calibri"/>
          <w:color w:val="000000"/>
          <w:sz w:val="22"/>
          <w:szCs w:val="22"/>
        </w:rPr>
      </w:pPr>
      <w:r w:rsidRPr="0056446F">
        <w:rPr>
          <w:rStyle w:val="Forte"/>
          <w:rFonts w:ascii="Calibri" w:hAnsi="Calibri"/>
          <w:color w:val="000000"/>
          <w:sz w:val="22"/>
          <w:szCs w:val="22"/>
        </w:rPr>
        <w:lastRenderedPageBreak/>
        <w:t>PROCESSO ADMINISTRATIVO: 33401.078376/2024-41</w:t>
      </w:r>
    </w:p>
    <w:p w14:paraId="04803C4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69525E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2DB7B3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 Definição do Objeto</w:t>
      </w:r>
    </w:p>
    <w:p w14:paraId="1912A93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 Aquisição de </w:t>
      </w:r>
      <w:r w:rsidRPr="0056446F">
        <w:rPr>
          <w:rFonts w:ascii="Calibri" w:hAnsi="Calibri"/>
          <w:b/>
          <w:bCs/>
          <w:color w:val="000000"/>
          <w:sz w:val="22"/>
          <w:szCs w:val="22"/>
        </w:rPr>
        <w:t>AQUISIÇÃO DE DERMATOMO ELETRICO SEM FIO</w:t>
      </w:r>
      <w:r w:rsidRPr="0056446F">
        <w:rPr>
          <w:rFonts w:ascii="Calibri" w:hAnsi="Calibri"/>
          <w:color w:val="000000"/>
          <w:sz w:val="22"/>
          <w:szCs w:val="22"/>
        </w:rPr>
        <w:t> padronizados para o Serviço de Cirurgia Plástica do Hospital Federal de Ipanema</w:t>
      </w:r>
      <w:r w:rsidRPr="0056446F">
        <w:rPr>
          <w:rFonts w:ascii="Calibri" w:hAnsi="Calibri"/>
          <w:b/>
          <w:bCs/>
          <w:color w:val="000000"/>
          <w:sz w:val="22"/>
          <w:szCs w:val="22"/>
        </w:rPr>
        <w:t>,</w:t>
      </w:r>
      <w:r w:rsidRPr="0056446F">
        <w:rPr>
          <w:rFonts w:ascii="Calibri" w:hAnsi="Calibri"/>
          <w:color w:val="000000"/>
          <w:sz w:val="22"/>
          <w:szCs w:val="22"/>
        </w:rPr>
        <w:t> nos termos da tabela abaixo, conforme condições e exigências estabelecidas neste instrumento.</w:t>
      </w:r>
    </w:p>
    <w:p w14:paraId="7BF2CB0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 Descritivo dos insumos:</w:t>
      </w:r>
    </w:p>
    <w:tbl>
      <w:tblPr>
        <w:tblW w:w="8749" w:type="dxa"/>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611"/>
        <w:gridCol w:w="3936"/>
        <w:gridCol w:w="988"/>
        <w:gridCol w:w="708"/>
        <w:gridCol w:w="848"/>
        <w:gridCol w:w="849"/>
        <w:gridCol w:w="809"/>
      </w:tblGrid>
      <w:tr w:rsidR="003F06FA" w:rsidRPr="003F06FA" w14:paraId="04F16CC3" w14:textId="77777777" w:rsidTr="003F06FA">
        <w:trPr>
          <w:tblCellSpacing w:w="15" w:type="dxa"/>
        </w:trPr>
        <w:tc>
          <w:tcPr>
            <w:tcW w:w="56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C644EF2"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ITEM</w:t>
            </w:r>
          </w:p>
        </w:tc>
        <w:tc>
          <w:tcPr>
            <w:tcW w:w="393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F356DC3"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DESCRITIVO</w:t>
            </w:r>
          </w:p>
        </w:tc>
        <w:tc>
          <w:tcPr>
            <w:tcW w:w="96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5FC08F21"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CATMAT</w:t>
            </w:r>
          </w:p>
        </w:tc>
        <w:tc>
          <w:tcPr>
            <w:tcW w:w="678"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793FD527"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UNIDADE</w:t>
            </w:r>
          </w:p>
        </w:tc>
        <w:tc>
          <w:tcPr>
            <w:tcW w:w="821"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20E13627"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QUANTI</w:t>
            </w:r>
          </w:p>
          <w:p w14:paraId="7AE728BE"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DADE</w:t>
            </w:r>
          </w:p>
        </w:tc>
        <w:tc>
          <w:tcPr>
            <w:tcW w:w="82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112F22B"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VALOR UNITÁRIO</w:t>
            </w:r>
          </w:p>
        </w:tc>
        <w:tc>
          <w:tcPr>
            <w:tcW w:w="71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EE119E4"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VALOR</w:t>
            </w:r>
          </w:p>
          <w:p w14:paraId="3CAAF122"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b/>
                <w:bCs/>
                <w:color w:val="000000"/>
                <w:sz w:val="16"/>
                <w:szCs w:val="16"/>
              </w:rPr>
              <w:t>TOTAL</w:t>
            </w:r>
          </w:p>
        </w:tc>
      </w:tr>
      <w:tr w:rsidR="003F06FA" w:rsidRPr="003F06FA" w14:paraId="0B0147FA" w14:textId="77777777" w:rsidTr="003F06FA">
        <w:trPr>
          <w:tblCellSpacing w:w="15" w:type="dxa"/>
        </w:trPr>
        <w:tc>
          <w:tcPr>
            <w:tcW w:w="56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CE62C4A"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color w:val="000000"/>
                <w:sz w:val="16"/>
                <w:szCs w:val="16"/>
              </w:rPr>
              <w:t>1</w:t>
            </w:r>
          </w:p>
        </w:tc>
        <w:tc>
          <w:tcPr>
            <w:tcW w:w="393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653DD63E" w14:textId="77777777" w:rsidR="0056446F" w:rsidRPr="003F06FA" w:rsidRDefault="0056446F" w:rsidP="003F06FA">
            <w:pPr>
              <w:pStyle w:val="NormalWeb"/>
              <w:spacing w:before="0" w:beforeAutospacing="0" w:after="0" w:afterAutospacing="0"/>
              <w:jc w:val="both"/>
              <w:rPr>
                <w:rFonts w:ascii="Calibri" w:hAnsi="Calibri"/>
                <w:color w:val="000000"/>
                <w:sz w:val="16"/>
                <w:szCs w:val="16"/>
              </w:rPr>
            </w:pPr>
            <w:r w:rsidRPr="003F06FA">
              <w:rPr>
                <w:rFonts w:ascii="Calibri" w:hAnsi="Calibri"/>
                <w:color w:val="000000"/>
                <w:sz w:val="16"/>
                <w:szCs w:val="16"/>
              </w:rPr>
              <w:t>DERMÁTOMO ELÉTRICO SEM FIO: POSSIBILITA CORTE DE 80 MM (3,15 "), O QUAL PODE SER REDUZIDA PARA 65, 50 E 35 MM (2,56, 1,97 E 1,38") POR MEIO DE GRAMPOS DE REDUÇÃO DE LARGURA.CORTE PRECISO DE 0,1 A 1,2 MM COM INCREMENTOS DE 0,1 MM E TRAVA DE AJUSTE PARA SEGURANÇA. TEM UMA CABEÇA MAIS LARGA (104 MM / 4,09 ") E ADERÊNCIA MAIOR, CONTA COM UMA PODEROSA BATERIA DE LI-ION DE 2400 MAH PODENDO SER UTILIZADA POR 75 MINUTOS, EM MÉDIA, SEM PARAR, COM PROTEÇÃO CONTRA CURTO-CIRCUITOS, EXCESSO DE CARGA, SOBRE-DESCARGA E SUPERAQUECIMENTO POR MEIO DE UMA PLACA DE CIRCUITO DE PROTEÇÃO INTEGRADA. LEVE E SEM FIO, OPERADO POR BATERIA E DESIGN LEVE OFERECE A MELHOR MANOBRABILIDADE E MOBILIDADE. TROCA PRÁTICA E SEGURA DA LÂMINA. ACONDICIONADO EM MALETA DE TRANSPORTE E CAIXA DE ESTERILIZAÇÃO.</w:t>
            </w:r>
          </w:p>
        </w:tc>
        <w:tc>
          <w:tcPr>
            <w:tcW w:w="96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050EDAE"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color w:val="000000"/>
                <w:sz w:val="16"/>
                <w:szCs w:val="16"/>
              </w:rPr>
              <w:t>445331</w:t>
            </w:r>
          </w:p>
        </w:tc>
        <w:tc>
          <w:tcPr>
            <w:tcW w:w="678"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0BBAE7EF"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color w:val="000000"/>
                <w:sz w:val="16"/>
                <w:szCs w:val="16"/>
              </w:rPr>
              <w:t>UNIDADE</w:t>
            </w:r>
          </w:p>
        </w:tc>
        <w:tc>
          <w:tcPr>
            <w:tcW w:w="821"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C606663"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color w:val="000000"/>
                <w:sz w:val="16"/>
                <w:szCs w:val="16"/>
              </w:rPr>
              <w:t>1</w:t>
            </w:r>
          </w:p>
        </w:tc>
        <w:tc>
          <w:tcPr>
            <w:tcW w:w="82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39449E09"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color w:val="000000"/>
                <w:sz w:val="16"/>
                <w:szCs w:val="16"/>
              </w:rPr>
              <w:t>R$ 169.675,05</w:t>
            </w:r>
          </w:p>
        </w:tc>
        <w:tc>
          <w:tcPr>
            <w:tcW w:w="71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vAlign w:val="center"/>
            <w:hideMark/>
          </w:tcPr>
          <w:p w14:paraId="186F9058" w14:textId="77777777" w:rsidR="0056446F" w:rsidRPr="003F06FA" w:rsidRDefault="0056446F" w:rsidP="003F06FA">
            <w:pPr>
              <w:pStyle w:val="NormalWeb"/>
              <w:spacing w:before="0" w:beforeAutospacing="0" w:after="0" w:afterAutospacing="0"/>
              <w:jc w:val="center"/>
              <w:rPr>
                <w:rFonts w:ascii="Calibri" w:hAnsi="Calibri"/>
                <w:color w:val="000000"/>
                <w:sz w:val="16"/>
                <w:szCs w:val="16"/>
              </w:rPr>
            </w:pPr>
            <w:r w:rsidRPr="003F06FA">
              <w:rPr>
                <w:rFonts w:ascii="Calibri" w:hAnsi="Calibri"/>
                <w:color w:val="000000"/>
                <w:sz w:val="16"/>
                <w:szCs w:val="16"/>
              </w:rPr>
              <w:t>R$ 169.675,05</w:t>
            </w:r>
          </w:p>
        </w:tc>
      </w:tr>
    </w:tbl>
    <w:p w14:paraId="4B330AA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 Havendo diferença entre a descrição dos itens presentes neste Termo de Referência e a descrição do sistema SIASG, prevalecerá aquela do Termo de Referência, tendo em vista possíveis divergências de codificação.</w:t>
      </w:r>
    </w:p>
    <w:p w14:paraId="002C716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1.5. Os bens objeto desta contratação são caracterizados como comuns, conforme justificativa constante do Estudo Técnico Preliminar nº 611/2024.</w:t>
      </w:r>
    </w:p>
    <w:p w14:paraId="4408246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1.6. O objeto desta contratação não se enquadra como sendo de bem de luxo, conforme Decreto nº 10.818, de 27 de setembro de 2021.</w:t>
      </w:r>
    </w:p>
    <w:p w14:paraId="0768AFE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1.7. O prazo de vigência da contratação é de 12 (doze) meses contados da assinatura do contrato ou da retirada de instrumento substituto (empenho), na forma do artigo 105 da Lei n° 14.133, de 2021</w:t>
      </w:r>
    </w:p>
    <w:p w14:paraId="562FF84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1.8. O contrato e demais instrumentos </w:t>
      </w:r>
      <w:proofErr w:type="spellStart"/>
      <w:r w:rsidRPr="0056446F">
        <w:rPr>
          <w:rFonts w:ascii="Calibri" w:hAnsi="Calibri"/>
          <w:color w:val="000000"/>
          <w:sz w:val="22"/>
          <w:szCs w:val="22"/>
        </w:rPr>
        <w:t>editalícios</w:t>
      </w:r>
      <w:proofErr w:type="spellEnd"/>
      <w:r w:rsidRPr="0056446F">
        <w:rPr>
          <w:rFonts w:ascii="Calibri" w:hAnsi="Calibri"/>
          <w:color w:val="000000"/>
          <w:sz w:val="22"/>
          <w:szCs w:val="22"/>
        </w:rPr>
        <w:t xml:space="preserve"> oferecem maiores detalhamentos das regras que serão aplicadas em relação à vigência da contratação.</w:t>
      </w:r>
    </w:p>
    <w:p w14:paraId="09553FD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1.9. </w:t>
      </w:r>
      <w:proofErr w:type="gramStart"/>
      <w:r w:rsidRPr="0056446F">
        <w:rPr>
          <w:rFonts w:ascii="Calibri" w:hAnsi="Calibri"/>
          <w:color w:val="000000"/>
          <w:sz w:val="22"/>
          <w:szCs w:val="22"/>
        </w:rPr>
        <w:t>Não Haverá</w:t>
      </w:r>
      <w:proofErr w:type="gramEnd"/>
      <w:r w:rsidRPr="0056446F">
        <w:rPr>
          <w:rFonts w:ascii="Calibri" w:hAnsi="Calibri"/>
          <w:color w:val="000000"/>
          <w:sz w:val="22"/>
          <w:szCs w:val="22"/>
        </w:rPr>
        <w:t xml:space="preserve"> reserva para microempresas e empresas de pequeno porte, pois o valor estimado do objeto ficou acima do limite estipulado para a reserva e não há possibilidade de cota devido a impossibilidade de divisão do item.</w:t>
      </w:r>
    </w:p>
    <w:p w14:paraId="268013B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1.10. O licitante vencedor do certame </w:t>
      </w:r>
      <w:proofErr w:type="spellStart"/>
      <w:r w:rsidRPr="0056446F">
        <w:rPr>
          <w:rFonts w:ascii="Calibri" w:hAnsi="Calibri"/>
          <w:color w:val="000000"/>
          <w:sz w:val="22"/>
          <w:szCs w:val="22"/>
        </w:rPr>
        <w:t>téra</w:t>
      </w:r>
      <w:proofErr w:type="spellEnd"/>
      <w:r w:rsidRPr="0056446F">
        <w:rPr>
          <w:rFonts w:ascii="Calibri" w:hAnsi="Calibri"/>
          <w:color w:val="000000"/>
          <w:sz w:val="22"/>
          <w:szCs w:val="22"/>
        </w:rPr>
        <w:t xml:space="preserve"> que </w:t>
      </w:r>
      <w:proofErr w:type="spellStart"/>
      <w:r w:rsidRPr="0056446F">
        <w:rPr>
          <w:rFonts w:ascii="Calibri" w:hAnsi="Calibri"/>
          <w:color w:val="000000"/>
          <w:sz w:val="22"/>
          <w:szCs w:val="22"/>
        </w:rPr>
        <w:t>fornecer</w:t>
      </w:r>
      <w:proofErr w:type="spellEnd"/>
      <w:r w:rsidRPr="0056446F">
        <w:rPr>
          <w:rFonts w:ascii="Calibri" w:hAnsi="Calibri"/>
          <w:color w:val="000000"/>
          <w:sz w:val="22"/>
          <w:szCs w:val="22"/>
        </w:rPr>
        <w:t xml:space="preserve"> garantia de no mínimo 01 (um) ano para equipamentos, formalizado em contrato de garantia, assim como fornecer assistência técnica </w:t>
      </w:r>
      <w:r w:rsidRPr="0056446F">
        <w:rPr>
          <w:rFonts w:ascii="Calibri" w:hAnsi="Calibri"/>
          <w:color w:val="000000"/>
          <w:sz w:val="22"/>
          <w:szCs w:val="22"/>
        </w:rPr>
        <w:lastRenderedPageBreak/>
        <w:t>preventiva e corretiva pelo mesmo período quando necessário e solicitado pelo Serviço de Cirurgia Plástica.</w:t>
      </w:r>
    </w:p>
    <w:p w14:paraId="1A806AA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B888473" w14:textId="77777777" w:rsidR="0056446F" w:rsidRPr="003F06FA" w:rsidRDefault="0056446F" w:rsidP="0056446F">
      <w:pPr>
        <w:pStyle w:val="NormalWeb"/>
        <w:spacing w:before="0" w:beforeAutospacing="0" w:after="0" w:afterAutospacing="0" w:line="360" w:lineRule="auto"/>
        <w:jc w:val="both"/>
        <w:rPr>
          <w:rFonts w:ascii="Calibri" w:hAnsi="Calibri"/>
          <w:b/>
          <w:color w:val="000000"/>
          <w:sz w:val="22"/>
          <w:szCs w:val="22"/>
        </w:rPr>
      </w:pPr>
      <w:r w:rsidRPr="003F06FA">
        <w:rPr>
          <w:rFonts w:ascii="Calibri" w:hAnsi="Calibri"/>
          <w:b/>
          <w:color w:val="000000"/>
          <w:sz w:val="22"/>
          <w:szCs w:val="22"/>
        </w:rPr>
        <w:t>2. Fundamentação da Contratação</w:t>
      </w:r>
    </w:p>
    <w:p w14:paraId="4F4E0C5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2.1. A Fundamentação da Contratação e de seus quantitativos encontra-se pormenorizada em Tópico específico dos Estudos Técnicos Preliminares nº 611/2024.</w:t>
      </w:r>
    </w:p>
    <w:p w14:paraId="003B3F6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2.2. O objeto da contratação está previsto no Plano de Contratações Anual 2024, conforme detalhamento a seguir:</w:t>
      </w:r>
    </w:p>
    <w:p w14:paraId="7BFCA3F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ID PCA no PNCP: 00394544000185-0-000026/2024;</w:t>
      </w:r>
    </w:p>
    <w:p w14:paraId="262C22F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Data de publicação no PNCP: 20/05/2023;</w:t>
      </w:r>
    </w:p>
    <w:p w14:paraId="0647125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Id do item no PCA:</w:t>
      </w:r>
    </w:p>
    <w:p w14:paraId="6F98341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Classe/Grupo: 6515 - INSTRUMENTOS, EQUIPAMENTOS E SUPRIMENTOS MÉDICOS E CIRÚRGICOS</w:t>
      </w:r>
    </w:p>
    <w:p w14:paraId="3D12C93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Identificador da Futura Contratação:</w:t>
      </w:r>
    </w:p>
    <w:p w14:paraId="14BF319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2.3. Justifica-se a presente aquisição, considerando que o equipamento atenderá as necessidades do Serviço de Cirurgia Plástica, visto que o mesmo é frequentemente utilizado para o tratamento de fechamento de feridas extensas dos pacientes desta unidade.</w:t>
      </w:r>
    </w:p>
    <w:p w14:paraId="05DED83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2.4. Considerando que o aparelho atual </w:t>
      </w:r>
      <w:proofErr w:type="gramStart"/>
      <w:r w:rsidRPr="0056446F">
        <w:rPr>
          <w:rFonts w:ascii="Calibri" w:hAnsi="Calibri"/>
          <w:color w:val="000000"/>
          <w:sz w:val="22"/>
          <w:szCs w:val="22"/>
        </w:rPr>
        <w:t>encontra-se</w:t>
      </w:r>
      <w:proofErr w:type="gramEnd"/>
      <w:r w:rsidRPr="0056446F">
        <w:rPr>
          <w:rFonts w:ascii="Calibri" w:hAnsi="Calibri"/>
          <w:color w:val="000000"/>
          <w:sz w:val="22"/>
          <w:szCs w:val="22"/>
        </w:rPr>
        <w:t xml:space="preserve"> com baterias danificadas e por ser um modelo antigo não possui peças de reposição, sendo necessário a aquisição de um equipamento novo para reposição e modernização do parque </w:t>
      </w:r>
      <w:proofErr w:type="spellStart"/>
      <w:r w:rsidRPr="0056446F">
        <w:rPr>
          <w:rFonts w:ascii="Calibri" w:hAnsi="Calibri"/>
          <w:color w:val="000000"/>
          <w:sz w:val="22"/>
          <w:szCs w:val="22"/>
        </w:rPr>
        <w:t>técnologico</w:t>
      </w:r>
      <w:proofErr w:type="spellEnd"/>
      <w:r w:rsidRPr="0056446F">
        <w:rPr>
          <w:rFonts w:ascii="Calibri" w:hAnsi="Calibri"/>
          <w:color w:val="000000"/>
          <w:sz w:val="22"/>
          <w:szCs w:val="22"/>
        </w:rPr>
        <w:t xml:space="preserve"> de equipamentos do HFI, evitando transtornos ao atendimento assistencial.</w:t>
      </w:r>
    </w:p>
    <w:p w14:paraId="511A2FD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4AB28B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3. Descrição da Solução</w:t>
      </w:r>
    </w:p>
    <w:p w14:paraId="6546093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3.1. A descrição da solução como um todo encontra-se pormenorizada em tópico específico dos Estudos Técnicos Preliminares nº 611/2024.</w:t>
      </w:r>
    </w:p>
    <w:p w14:paraId="00581331" w14:textId="0512EAE4"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DE4FC7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4. Requisitos da Contratação</w:t>
      </w:r>
    </w:p>
    <w:p w14:paraId="64B64DE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4.1. O bem a ser adquirido enquadra-se na classificação de bens comuns, nos termos da Lei nº 14.133, de 1º de abril de </w:t>
      </w:r>
      <w:proofErr w:type="gramStart"/>
      <w:r w:rsidRPr="0056446F">
        <w:rPr>
          <w:rFonts w:ascii="Calibri" w:hAnsi="Calibri"/>
          <w:color w:val="000000"/>
          <w:sz w:val="22"/>
          <w:szCs w:val="22"/>
        </w:rPr>
        <w:t>2021,art.</w:t>
      </w:r>
      <w:proofErr w:type="gramEnd"/>
      <w:r w:rsidRPr="0056446F">
        <w:rPr>
          <w:rFonts w:ascii="Calibri" w:hAnsi="Calibri"/>
          <w:color w:val="000000"/>
          <w:sz w:val="22"/>
          <w:szCs w:val="22"/>
        </w:rPr>
        <w:t xml:space="preserve"> 6º, XIII, ou seja, aqueles cujos padrões de desempenho e qualidade podem ser objetivamente definidos pelo edital, </w:t>
      </w:r>
      <w:proofErr w:type="spellStart"/>
      <w:r w:rsidRPr="0056446F">
        <w:rPr>
          <w:rFonts w:ascii="Calibri" w:hAnsi="Calibri"/>
          <w:color w:val="000000"/>
          <w:sz w:val="22"/>
          <w:szCs w:val="22"/>
        </w:rPr>
        <w:t>pormeio</w:t>
      </w:r>
      <w:proofErr w:type="spellEnd"/>
      <w:r w:rsidRPr="0056446F">
        <w:rPr>
          <w:rFonts w:ascii="Calibri" w:hAnsi="Calibri"/>
          <w:color w:val="000000"/>
          <w:sz w:val="22"/>
          <w:szCs w:val="22"/>
        </w:rPr>
        <w:t xml:space="preserve"> de especificações usuais de mercado.</w:t>
      </w:r>
    </w:p>
    <w:p w14:paraId="40D6812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4.1.1. Os requisitos da contratação abrangem os seguintes critérios, quanto às especificações do item, levou-se em consideração os seguintes pontos:</w:t>
      </w:r>
    </w:p>
    <w:p w14:paraId="0024F1B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 xml:space="preserve">4.1.1.1 </w:t>
      </w:r>
      <w:proofErr w:type="spellStart"/>
      <w:r w:rsidRPr="0056446F">
        <w:rPr>
          <w:rFonts w:ascii="Calibri" w:hAnsi="Calibri"/>
          <w:b/>
          <w:bCs/>
          <w:color w:val="000000"/>
          <w:sz w:val="22"/>
          <w:szCs w:val="22"/>
        </w:rPr>
        <w:t>Dermátamo</w:t>
      </w:r>
      <w:proofErr w:type="spellEnd"/>
      <w:r w:rsidRPr="0056446F">
        <w:rPr>
          <w:rFonts w:ascii="Calibri" w:hAnsi="Calibri"/>
          <w:b/>
          <w:bCs/>
          <w:color w:val="000000"/>
          <w:sz w:val="22"/>
          <w:szCs w:val="22"/>
        </w:rPr>
        <w:t xml:space="preserve"> Elétrico</w:t>
      </w:r>
    </w:p>
    <w:p w14:paraId="245A80D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Possibilita corte de 80 mm (3,15 "), o qual pode ser reduzida para 65, 50 e 35 mm (2,56, 1,97 e 1,38") por meio de grampos de redução de largura.</w:t>
      </w:r>
    </w:p>
    <w:p w14:paraId="3F0E16F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Corte preciso de 0,1 a 1,2 mm com incrementos de 0,1 mm e trava de ajuste para segurança.</w:t>
      </w:r>
    </w:p>
    <w:p w14:paraId="1A930B6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Tem uma cabeça mais larga (104 mm / 4,09 ") e aderência maior, conta com uma poderosa bateria de Li-</w:t>
      </w:r>
      <w:proofErr w:type="spellStart"/>
      <w:r w:rsidRPr="0056446F">
        <w:rPr>
          <w:rFonts w:ascii="Calibri" w:hAnsi="Calibri"/>
          <w:color w:val="000000"/>
          <w:sz w:val="22"/>
          <w:szCs w:val="22"/>
        </w:rPr>
        <w:t>Ion</w:t>
      </w:r>
      <w:proofErr w:type="spellEnd"/>
      <w:r w:rsidRPr="0056446F">
        <w:rPr>
          <w:rFonts w:ascii="Calibri" w:hAnsi="Calibri"/>
          <w:color w:val="000000"/>
          <w:sz w:val="22"/>
          <w:szCs w:val="22"/>
        </w:rPr>
        <w:t xml:space="preserve"> de 2400 </w:t>
      </w:r>
      <w:proofErr w:type="spellStart"/>
      <w:r w:rsidRPr="0056446F">
        <w:rPr>
          <w:rFonts w:ascii="Calibri" w:hAnsi="Calibri"/>
          <w:color w:val="000000"/>
          <w:sz w:val="22"/>
          <w:szCs w:val="22"/>
        </w:rPr>
        <w:t>mAh</w:t>
      </w:r>
      <w:proofErr w:type="spellEnd"/>
      <w:r w:rsidRPr="0056446F">
        <w:rPr>
          <w:rFonts w:ascii="Calibri" w:hAnsi="Calibri"/>
          <w:color w:val="000000"/>
          <w:sz w:val="22"/>
          <w:szCs w:val="22"/>
        </w:rPr>
        <w:t xml:space="preserve"> podendo ser utilizada por 75 minutos, em média, sem parar, com proteção contra </w:t>
      </w:r>
      <w:proofErr w:type="spellStart"/>
      <w:r w:rsidRPr="0056446F">
        <w:rPr>
          <w:rFonts w:ascii="Calibri" w:hAnsi="Calibri"/>
          <w:color w:val="000000"/>
          <w:sz w:val="22"/>
          <w:szCs w:val="22"/>
        </w:rPr>
        <w:t>curto-circuitos</w:t>
      </w:r>
      <w:proofErr w:type="spellEnd"/>
      <w:r w:rsidRPr="0056446F">
        <w:rPr>
          <w:rFonts w:ascii="Calibri" w:hAnsi="Calibri"/>
          <w:color w:val="000000"/>
          <w:sz w:val="22"/>
          <w:szCs w:val="22"/>
        </w:rPr>
        <w:t xml:space="preserve">, excesso de carga, </w:t>
      </w:r>
      <w:proofErr w:type="spellStart"/>
      <w:r w:rsidRPr="0056446F">
        <w:rPr>
          <w:rFonts w:ascii="Calibri" w:hAnsi="Calibri"/>
          <w:color w:val="000000"/>
          <w:sz w:val="22"/>
          <w:szCs w:val="22"/>
        </w:rPr>
        <w:t>sobre-descarga</w:t>
      </w:r>
      <w:proofErr w:type="spellEnd"/>
      <w:r w:rsidRPr="0056446F">
        <w:rPr>
          <w:rFonts w:ascii="Calibri" w:hAnsi="Calibri"/>
          <w:color w:val="000000"/>
          <w:sz w:val="22"/>
          <w:szCs w:val="22"/>
        </w:rPr>
        <w:t xml:space="preserve"> e superaquecimento por meio de uma placa de circuito de proteção integrada.</w:t>
      </w:r>
    </w:p>
    <w:p w14:paraId="1629E8F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Leve e Sem fio, operado por bateria e design leve oferece a melhor </w:t>
      </w:r>
      <w:proofErr w:type="spellStart"/>
      <w:r w:rsidRPr="0056446F">
        <w:rPr>
          <w:rFonts w:ascii="Calibri" w:hAnsi="Calibri"/>
          <w:color w:val="000000"/>
          <w:sz w:val="22"/>
          <w:szCs w:val="22"/>
        </w:rPr>
        <w:t>manobrabilidade</w:t>
      </w:r>
      <w:proofErr w:type="spellEnd"/>
      <w:r w:rsidRPr="0056446F">
        <w:rPr>
          <w:rFonts w:ascii="Calibri" w:hAnsi="Calibri"/>
          <w:color w:val="000000"/>
          <w:sz w:val="22"/>
          <w:szCs w:val="22"/>
        </w:rPr>
        <w:t xml:space="preserve"> e mobilidade.</w:t>
      </w:r>
    </w:p>
    <w:p w14:paraId="60DBA83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Troca prática e segura da lâmina.</w:t>
      </w:r>
    </w:p>
    <w:p w14:paraId="65D2422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Acondicionado em maleta de transporte e caixa de esterilização.</w:t>
      </w:r>
    </w:p>
    <w:p w14:paraId="37076914" w14:textId="41C9D36B" w:rsidR="0056446F" w:rsidRPr="003F06FA" w:rsidRDefault="0056446F" w:rsidP="0056446F">
      <w:pPr>
        <w:pStyle w:val="NormalWeb"/>
        <w:spacing w:before="0" w:beforeAutospacing="0" w:after="0" w:afterAutospacing="0" w:line="360" w:lineRule="auto"/>
        <w:jc w:val="both"/>
        <w:rPr>
          <w:rFonts w:ascii="Calibri" w:hAnsi="Calibri"/>
          <w:b/>
          <w:color w:val="000000"/>
          <w:sz w:val="22"/>
          <w:szCs w:val="22"/>
        </w:rPr>
      </w:pPr>
      <w:r w:rsidRPr="003F06FA">
        <w:rPr>
          <w:rFonts w:ascii="Calibri" w:hAnsi="Calibri"/>
          <w:b/>
          <w:color w:val="000000"/>
          <w:sz w:val="22"/>
          <w:szCs w:val="22"/>
        </w:rPr>
        <w:t> </w:t>
      </w:r>
      <w:r w:rsidRPr="003F06FA">
        <w:rPr>
          <w:rFonts w:ascii="Calibri" w:hAnsi="Calibri"/>
          <w:b/>
          <w:color w:val="000000"/>
          <w:sz w:val="22"/>
          <w:szCs w:val="22"/>
          <w:u w:val="single"/>
        </w:rPr>
        <w:t>Sustentabilidade</w:t>
      </w:r>
    </w:p>
    <w:p w14:paraId="3256EC6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4.2. A licitante que tiver sua proposta selecionada deverá atender aos CRITÉRIOS E POLÍTICAS DE SUSTENTABILIDADE </w:t>
      </w:r>
      <w:proofErr w:type="spellStart"/>
      <w:r w:rsidRPr="0056446F">
        <w:rPr>
          <w:rFonts w:ascii="Calibri" w:hAnsi="Calibri"/>
          <w:color w:val="000000"/>
          <w:sz w:val="22"/>
          <w:szCs w:val="22"/>
        </w:rPr>
        <w:t>cosntantes</w:t>
      </w:r>
      <w:proofErr w:type="spellEnd"/>
      <w:r w:rsidRPr="0056446F">
        <w:rPr>
          <w:rFonts w:ascii="Calibri" w:hAnsi="Calibri"/>
          <w:color w:val="000000"/>
          <w:sz w:val="22"/>
          <w:szCs w:val="22"/>
        </w:rPr>
        <w:t xml:space="preserve"> no Guia Nacional de Contrações Sustentáveis da AGU e informando que:</w:t>
      </w:r>
    </w:p>
    <w:p w14:paraId="4BB8C20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:4.2.1. Possui certificação do Instituto Nacional de Metrologia, Normalização e Qualidade Industrial – INMETRO classificando os produtos como sustentáveis ou de menor impacto ambiental em relação aos seus similares;</w:t>
      </w:r>
    </w:p>
    <w:p w14:paraId="09F760E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4.2.2. Utilizará embalagens individuais adequadas para acondicionar e transportar o item adquirido, utilizando materiais recicláveis, de forma a garantir a máxima proteção durante o transporte e armazenamento;</w:t>
      </w:r>
    </w:p>
    <w:p w14:paraId="724C5A4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4.2.3. O bem a ser entregue não contêm substâncias perigosas em concentração acima da recomendada na </w:t>
      </w:r>
      <w:proofErr w:type="spellStart"/>
      <w:r w:rsidRPr="0056446F">
        <w:rPr>
          <w:rFonts w:ascii="Calibri" w:hAnsi="Calibri"/>
          <w:color w:val="000000"/>
          <w:sz w:val="22"/>
          <w:szCs w:val="22"/>
        </w:rPr>
        <w:t>diretivaRoHS</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Restriction</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of</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Certain</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Hazardous</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Substances</w:t>
      </w:r>
      <w:proofErr w:type="spellEnd"/>
      <w:r w:rsidRPr="0056446F">
        <w:rPr>
          <w:rFonts w:ascii="Calibri" w:hAnsi="Calibri"/>
          <w:color w:val="000000"/>
          <w:sz w:val="22"/>
          <w:szCs w:val="22"/>
        </w:rPr>
        <w:t>), tais como mercúrio (Hg), chumbo (</w:t>
      </w:r>
      <w:proofErr w:type="spellStart"/>
      <w:r w:rsidRPr="0056446F">
        <w:rPr>
          <w:rFonts w:ascii="Calibri" w:hAnsi="Calibri"/>
          <w:color w:val="000000"/>
          <w:sz w:val="22"/>
          <w:szCs w:val="22"/>
        </w:rPr>
        <w:t>Pb</w:t>
      </w:r>
      <w:proofErr w:type="spellEnd"/>
      <w:r w:rsidRPr="0056446F">
        <w:rPr>
          <w:rFonts w:ascii="Calibri" w:hAnsi="Calibri"/>
          <w:color w:val="000000"/>
          <w:sz w:val="22"/>
          <w:szCs w:val="22"/>
        </w:rPr>
        <w:t xml:space="preserve">), cromo </w:t>
      </w:r>
      <w:proofErr w:type="spellStart"/>
      <w:r w:rsidRPr="0056446F">
        <w:rPr>
          <w:rFonts w:ascii="Calibri" w:hAnsi="Calibri"/>
          <w:color w:val="000000"/>
          <w:sz w:val="22"/>
          <w:szCs w:val="22"/>
        </w:rPr>
        <w:t>hexavalente</w:t>
      </w:r>
      <w:proofErr w:type="spellEnd"/>
      <w:r w:rsidRPr="0056446F">
        <w:rPr>
          <w:rFonts w:ascii="Calibri" w:hAnsi="Calibri"/>
          <w:color w:val="000000"/>
          <w:sz w:val="22"/>
          <w:szCs w:val="22"/>
        </w:rPr>
        <w:t xml:space="preserve"> (</w:t>
      </w:r>
      <w:proofErr w:type="gramStart"/>
      <w:r w:rsidRPr="0056446F">
        <w:rPr>
          <w:rFonts w:ascii="Calibri" w:hAnsi="Calibri"/>
          <w:color w:val="000000"/>
          <w:sz w:val="22"/>
          <w:szCs w:val="22"/>
        </w:rPr>
        <w:t>Cr(</w:t>
      </w:r>
      <w:proofErr w:type="gramEnd"/>
      <w:r w:rsidRPr="0056446F">
        <w:rPr>
          <w:rFonts w:ascii="Calibri" w:hAnsi="Calibri"/>
          <w:color w:val="000000"/>
          <w:sz w:val="22"/>
          <w:szCs w:val="22"/>
        </w:rPr>
        <w:t>VI)), cádmio (</w:t>
      </w:r>
      <w:proofErr w:type="spellStart"/>
      <w:r w:rsidRPr="0056446F">
        <w:rPr>
          <w:rFonts w:ascii="Calibri" w:hAnsi="Calibri"/>
          <w:color w:val="000000"/>
          <w:sz w:val="22"/>
          <w:szCs w:val="22"/>
        </w:rPr>
        <w:t>Cd</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bifenil-polibromados</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PBBs</w:t>
      </w:r>
      <w:proofErr w:type="spellEnd"/>
      <w:r w:rsidRPr="0056446F">
        <w:rPr>
          <w:rFonts w:ascii="Calibri" w:hAnsi="Calibri"/>
          <w:color w:val="000000"/>
          <w:sz w:val="22"/>
          <w:szCs w:val="22"/>
        </w:rPr>
        <w:t xml:space="preserve">), éteres </w:t>
      </w:r>
      <w:proofErr w:type="spellStart"/>
      <w:r w:rsidRPr="0056446F">
        <w:rPr>
          <w:rFonts w:ascii="Calibri" w:hAnsi="Calibri"/>
          <w:color w:val="000000"/>
          <w:sz w:val="22"/>
          <w:szCs w:val="22"/>
        </w:rPr>
        <w:t>difenil-polibromados</w:t>
      </w:r>
      <w:proofErr w:type="spellEnd"/>
      <w:r w:rsidRPr="0056446F">
        <w:rPr>
          <w:rFonts w:ascii="Calibri" w:hAnsi="Calibri"/>
          <w:color w:val="000000"/>
          <w:sz w:val="22"/>
          <w:szCs w:val="22"/>
        </w:rPr>
        <w:t xml:space="preserve"> (</w:t>
      </w:r>
      <w:proofErr w:type="spellStart"/>
      <w:r w:rsidRPr="0056446F">
        <w:rPr>
          <w:rFonts w:ascii="Calibri" w:hAnsi="Calibri"/>
          <w:color w:val="000000"/>
          <w:sz w:val="22"/>
          <w:szCs w:val="22"/>
        </w:rPr>
        <w:t>PBDEs</w:t>
      </w:r>
      <w:proofErr w:type="spellEnd"/>
      <w:r w:rsidRPr="0056446F">
        <w:rPr>
          <w:rFonts w:ascii="Calibri" w:hAnsi="Calibri"/>
          <w:color w:val="000000"/>
          <w:sz w:val="22"/>
          <w:szCs w:val="22"/>
        </w:rPr>
        <w:t>).4.3. Os requisitos da contratação abrangem os seguintes critérios:</w:t>
      </w:r>
    </w:p>
    <w:p w14:paraId="763014A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4.3. Os Critérios Ambientais não serão utilizados como mecanismo de desempate.</w:t>
      </w:r>
    </w:p>
    <w:p w14:paraId="2D955A2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4.4. 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14:paraId="55B0846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Da exigência de amostra</w:t>
      </w:r>
    </w:p>
    <w:p w14:paraId="6FD33A8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4.5. Havendo o aceite da proposta quanto ao valor, o interessado classificado provisoriamente em primeiro lugar deverá apresentar Folder e ficha técnico do objeto a ser adquirido.</w:t>
      </w:r>
    </w:p>
    <w:p w14:paraId="15793D3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4.6. Informamos que a metodologia de avaliação deve ser baseada no cumprimento dos parâmetros apresentados no processo referente ao item. O material oferecido em proposta deverá atender às especificações apresentados na solicitação inicial.</w:t>
      </w:r>
    </w:p>
    <w:p w14:paraId="672E174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4.7. O folder e ficha técnico poderão ser entregues no endereço do órgão solicitante </w:t>
      </w:r>
      <w:r w:rsidRPr="0056446F">
        <w:rPr>
          <w:rFonts w:ascii="Calibri" w:hAnsi="Calibri"/>
          <w:b/>
          <w:bCs/>
          <w:color w:val="000000"/>
          <w:sz w:val="22"/>
          <w:szCs w:val="22"/>
        </w:rPr>
        <w:t xml:space="preserve">(Hospital Federal de Ipanema – Rua Antônio Parreiras, 67/69 – sala </w:t>
      </w:r>
      <w:proofErr w:type="gramStart"/>
      <w:r w:rsidRPr="0056446F">
        <w:rPr>
          <w:rFonts w:ascii="Calibri" w:hAnsi="Calibri"/>
          <w:b/>
          <w:bCs/>
          <w:color w:val="000000"/>
          <w:sz w:val="22"/>
          <w:szCs w:val="22"/>
        </w:rPr>
        <w:t>323 setor</w:t>
      </w:r>
      <w:proofErr w:type="gramEnd"/>
      <w:r w:rsidRPr="0056446F">
        <w:rPr>
          <w:rFonts w:ascii="Calibri" w:hAnsi="Calibri"/>
          <w:b/>
          <w:bCs/>
          <w:color w:val="000000"/>
          <w:sz w:val="22"/>
          <w:szCs w:val="22"/>
        </w:rPr>
        <w:t xml:space="preserve"> de Licitações – Ipanema – RJ)</w:t>
      </w:r>
      <w:r w:rsidRPr="0056446F">
        <w:rPr>
          <w:rFonts w:ascii="Calibri" w:hAnsi="Calibri"/>
          <w:color w:val="000000"/>
          <w:sz w:val="22"/>
          <w:szCs w:val="22"/>
        </w:rPr>
        <w:t> </w:t>
      </w:r>
      <w:r w:rsidRPr="0056446F">
        <w:rPr>
          <w:rFonts w:ascii="Calibri" w:hAnsi="Calibri"/>
          <w:b/>
          <w:bCs/>
          <w:color w:val="000000"/>
          <w:sz w:val="22"/>
          <w:szCs w:val="22"/>
        </w:rPr>
        <w:t>ou no chat do certame, no prazo limite de 02 (dois) dias úteis</w:t>
      </w:r>
      <w:r w:rsidRPr="0056446F">
        <w:rPr>
          <w:rFonts w:ascii="Calibri" w:hAnsi="Calibri"/>
          <w:color w:val="000000"/>
          <w:sz w:val="22"/>
          <w:szCs w:val="22"/>
        </w:rPr>
        <w:t>, sendo que a empresa assume total responsabilidade pelo envio e por eventual atraso na entrega.</w:t>
      </w:r>
    </w:p>
    <w:p w14:paraId="6E41119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4.8. É facultada prorrogação o prazo estabelecido, a partir de solicitação fundamentada no chat pelo interessado, antes de findo o prazo.</w:t>
      </w:r>
    </w:p>
    <w:p w14:paraId="514D545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4.9. No caso de não haver entrega dos documentos solicitados ou ocorrer atraso na entrega, sem justificativa aceita, ou havendo entrega de folder e ficha técnica fora das especificações previstas, a proposta será recusada.</w:t>
      </w:r>
    </w:p>
    <w:p w14:paraId="1EA8FF7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4.10. Serão avaliados os seguintes aspectos e padrões mínimos de aceitabilidade:</w:t>
      </w:r>
    </w:p>
    <w:p w14:paraId="545C859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4.10.1. Será considerada aprovada o folder e ficha técnica que atender as características solicitadas na descrição deste Termo de Referência e atender os padrões mínimos de qualidade e atendimento as legislações vigentes para o tipo do bem.</w:t>
      </w:r>
    </w:p>
    <w:p w14:paraId="7C7DCF2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4.10.2. O folder deverá estar devidamente </w:t>
      </w:r>
      <w:proofErr w:type="gramStart"/>
      <w:r w:rsidRPr="0056446F">
        <w:rPr>
          <w:rFonts w:ascii="Calibri" w:hAnsi="Calibri"/>
          <w:color w:val="000000"/>
          <w:sz w:val="22"/>
          <w:szCs w:val="22"/>
        </w:rPr>
        <w:t>identificada</w:t>
      </w:r>
      <w:proofErr w:type="gramEnd"/>
      <w:r w:rsidRPr="0056446F">
        <w:rPr>
          <w:rFonts w:ascii="Calibri" w:hAnsi="Calibri"/>
          <w:color w:val="000000"/>
          <w:sz w:val="22"/>
          <w:szCs w:val="22"/>
        </w:rPr>
        <w:t xml:space="preserve"> com o nome do licitante, se for o caso, e dispor na ficha técnica todas as informações quanto às suas características técnicas, assim como apresentação da </w:t>
      </w:r>
      <w:proofErr w:type="spellStart"/>
      <w:r w:rsidRPr="0056446F">
        <w:rPr>
          <w:rFonts w:ascii="Calibri" w:hAnsi="Calibri"/>
          <w:color w:val="000000"/>
          <w:sz w:val="22"/>
          <w:szCs w:val="22"/>
        </w:rPr>
        <w:t>embalgem</w:t>
      </w:r>
      <w:proofErr w:type="spellEnd"/>
      <w:r w:rsidRPr="0056446F">
        <w:rPr>
          <w:rFonts w:ascii="Calibri" w:hAnsi="Calibri"/>
          <w:color w:val="000000"/>
          <w:sz w:val="22"/>
          <w:szCs w:val="22"/>
        </w:rPr>
        <w:t>.</w:t>
      </w:r>
    </w:p>
    <w:p w14:paraId="0180776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4.10.3. O folder e ficha técnica serão analisadas e aprovadas/reprovadas pelo setor técnico do Hospital Federal de Ipanema, ou por outro funcionário habilitado para tal indicado pela Administração do hospital.</w:t>
      </w:r>
    </w:p>
    <w:p w14:paraId="3870EC9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4.10.4. Os resultados das avaliações serão divulgados por meio de mensagem no sistema.</w:t>
      </w:r>
    </w:p>
    <w:p w14:paraId="5F31AF6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Subcontratação</w:t>
      </w:r>
    </w:p>
    <w:p w14:paraId="1022F77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4.11. Não é admitida a subcontratação do objeto contratual.</w:t>
      </w:r>
    </w:p>
    <w:p w14:paraId="287C12B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Garantia da contratação</w:t>
      </w:r>
    </w:p>
    <w:p w14:paraId="3AE65D0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4.12. Não haverá exigência da garantia da contratação dos artigos 96 e seguintes da Lei nº 14.133, de 2021, pelas razões constantes do Estudo Técnico Preliminar.</w:t>
      </w:r>
    </w:p>
    <w:p w14:paraId="328AD27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4.13. O contrato oferece maior detalhamento das regras que serão aplicadas em relação à garantia da contratação.</w:t>
      </w:r>
    </w:p>
    <w:p w14:paraId="12BA118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5. Modelo de Execução do Objeto</w:t>
      </w:r>
    </w:p>
    <w:p w14:paraId="073F352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Condições de Entrega:</w:t>
      </w:r>
    </w:p>
    <w:p w14:paraId="1EE6A2C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5.1. O prazo de entrega dos bens é de 30 (trinta) dias, contados da Nota de Empenho, integral.</w:t>
      </w:r>
    </w:p>
    <w:p w14:paraId="10FECFE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5.2. Os bens deverão ser entregues no seguinte endereço:</w:t>
      </w:r>
    </w:p>
    <w:p w14:paraId="1A7AD28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5.2.1. </w:t>
      </w:r>
      <w:r w:rsidRPr="0056446F">
        <w:rPr>
          <w:rFonts w:ascii="Calibri" w:hAnsi="Calibri"/>
          <w:b/>
          <w:bCs/>
          <w:color w:val="000000"/>
          <w:sz w:val="22"/>
          <w:szCs w:val="22"/>
        </w:rPr>
        <w:t>Hospital Federal de Ipanema - </w:t>
      </w:r>
      <w:r w:rsidRPr="0056446F">
        <w:rPr>
          <w:rFonts w:ascii="Calibri" w:hAnsi="Calibri"/>
          <w:color w:val="000000"/>
          <w:sz w:val="22"/>
          <w:szCs w:val="22"/>
        </w:rPr>
        <w:t>Rua Antônio Parreiras, 67/69, Ipanema - Rio de Janeiro – RJ. CEP: 22.411-020 Setor de Patrimônio localizada no 03º andar – horário das 08:00 às 16:00h, de segunda à sexta-feira, conforme agendamento prévio pelo telefone - (21) 3111-2357.</w:t>
      </w:r>
    </w:p>
    <w:p w14:paraId="74EC017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5.2.2. O Órgão Participante receberá seu objeto no </w:t>
      </w:r>
      <w:proofErr w:type="gramStart"/>
      <w:r w:rsidRPr="0056446F">
        <w:rPr>
          <w:rFonts w:ascii="Calibri" w:hAnsi="Calibri"/>
          <w:color w:val="000000"/>
          <w:sz w:val="22"/>
          <w:szCs w:val="22"/>
        </w:rPr>
        <w:t>respectivo endereços</w:t>
      </w:r>
      <w:proofErr w:type="gramEnd"/>
      <w:r w:rsidRPr="0056446F">
        <w:rPr>
          <w:rFonts w:ascii="Calibri" w:hAnsi="Calibri"/>
          <w:color w:val="000000"/>
          <w:sz w:val="22"/>
          <w:szCs w:val="22"/>
        </w:rPr>
        <w:t xml:space="preserve"> da Unidade, conforme tabela abaixo:</w:t>
      </w:r>
    </w:p>
    <w:p w14:paraId="1D017D2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5.2.2.1. </w:t>
      </w:r>
      <w:r w:rsidRPr="0056446F">
        <w:rPr>
          <w:rFonts w:ascii="Calibri" w:hAnsi="Calibri"/>
          <w:b/>
          <w:bCs/>
          <w:color w:val="000000"/>
          <w:sz w:val="22"/>
          <w:szCs w:val="22"/>
        </w:rPr>
        <w:t>Hospital Federal de Bonsucesso - </w:t>
      </w:r>
      <w:r w:rsidRPr="0056446F">
        <w:rPr>
          <w:rFonts w:ascii="Calibri" w:hAnsi="Calibri"/>
          <w:color w:val="000000"/>
          <w:sz w:val="22"/>
          <w:szCs w:val="22"/>
        </w:rPr>
        <w:t>Av. Londres, 616 - Bonsucesso, Rio de Janeiro - RJ, 21041-020 Setor Patrimônio – horário das 08:00 às 16:00h, de segunda à sexta-feira.</w:t>
      </w:r>
    </w:p>
    <w:p w14:paraId="5D2A7D0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5.3. Na entrega, o material deverá estar em perfeitas condições, em estrita observância das especificações do Termo de Referência e da proposta, acompanhada da respectiva nota fiscal detalhada.</w:t>
      </w:r>
    </w:p>
    <w:p w14:paraId="420C7E0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5.4. O produto entregue deverá ser de boa qualidade e não apresentar defeitos ou sinais de deterioração. É de responsabilidade da CONTRATADA a troca do item que, porventura, esteja fora da especificação ou com embalagem violada ou danificada, independentemente do motivo alegado, sem ônus para o HFI.</w:t>
      </w:r>
    </w:p>
    <w:p w14:paraId="744B49E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5.5. O material deverá ser entregue acondicionado adequadamente de acordo com as instruções do fabricante e acompanhado da nota fiscal correspondentes, bem como da </w:t>
      </w:r>
      <w:proofErr w:type="gramStart"/>
      <w:r w:rsidRPr="0056446F">
        <w:rPr>
          <w:rFonts w:ascii="Calibri" w:hAnsi="Calibri"/>
          <w:color w:val="000000"/>
          <w:sz w:val="22"/>
          <w:szCs w:val="22"/>
        </w:rPr>
        <w:t>respectiva notas</w:t>
      </w:r>
      <w:proofErr w:type="gramEnd"/>
      <w:r w:rsidRPr="0056446F">
        <w:rPr>
          <w:rFonts w:ascii="Calibri" w:hAnsi="Calibri"/>
          <w:color w:val="000000"/>
          <w:sz w:val="22"/>
          <w:szCs w:val="22"/>
        </w:rPr>
        <w:t xml:space="preserve"> de empenho, devidamente preenchida.</w:t>
      </w:r>
    </w:p>
    <w:p w14:paraId="075FE73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5.6. O bem será recebido provisoriamente no prazo de 15 (quinze) dias, </w:t>
      </w:r>
      <w:proofErr w:type="gramStart"/>
      <w:r w:rsidRPr="0056446F">
        <w:rPr>
          <w:rFonts w:ascii="Calibri" w:hAnsi="Calibri"/>
          <w:color w:val="000000"/>
          <w:sz w:val="22"/>
          <w:szCs w:val="22"/>
        </w:rPr>
        <w:t>pelo(</w:t>
      </w:r>
      <w:proofErr w:type="gramEnd"/>
      <w:r w:rsidRPr="0056446F">
        <w:rPr>
          <w:rFonts w:ascii="Calibri" w:hAnsi="Calibri"/>
          <w:color w:val="000000"/>
          <w:sz w:val="22"/>
          <w:szCs w:val="22"/>
        </w:rPr>
        <w:t>a) responsável pelo acompanhamento e fiscalização do contrato, para efeito de posterior verificação de sua conformidade com as especificações constantes neste Termo de Referência e na proposta.</w:t>
      </w:r>
    </w:p>
    <w:p w14:paraId="0535BB7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5.7. O bem será recebido definitivamente no prazo de 15 (quinze) dias, contados do</w:t>
      </w:r>
    </w:p>
    <w:p w14:paraId="79667F1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recebimento</w:t>
      </w:r>
      <w:proofErr w:type="gramEnd"/>
      <w:r w:rsidRPr="0056446F">
        <w:rPr>
          <w:rFonts w:ascii="Calibri" w:hAnsi="Calibri"/>
          <w:color w:val="000000"/>
          <w:sz w:val="22"/>
          <w:szCs w:val="22"/>
        </w:rPr>
        <w:t xml:space="preserve"> provisório, após a verificação da qualidade do material e consequente aceitação mediante termo circunstanciado.</w:t>
      </w:r>
    </w:p>
    <w:p w14:paraId="6C2605D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5.8. Na hipótese de a verificação a que se refere o subitem anterior não ser procedida dentro do prazo fixado, reputar-se-á como realizada, consumando-se o recebimento definitivo no dia do esgotamento do prazo.</w:t>
      </w:r>
    </w:p>
    <w:p w14:paraId="09BB18B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5.9. Em atendimento ao disposto no art.31 da Lei nº.8.078 de 11/09/90, a apresentação do material deverá assegurar informações claras, precisas, ostensivas e em língua portuguesa, sobre as características, marca, procedência, número do lote, qualidade, composição, preço, garantia, prazo de validade, origem, bem como os riscos que apresentarem à saúde e a segurança dos usuários, quando for o caso.</w:t>
      </w:r>
    </w:p>
    <w:p w14:paraId="69B112C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5.10. O bem será rejeitado, no todo ou em parte, quando em desacordo com as especificações constantes neste Termo de Referência e na proposta, devendo ser substituído no prazo de 02(dois) dias úteis, a contar da notificação à contratada, às suas custas, sem prejuízo da aplicação das penalidades previstas em lei.</w:t>
      </w:r>
    </w:p>
    <w:p w14:paraId="492B444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5.12. A contratada deverá substituir, em qualquer época, o material entregue e aceito, desde que fique comprovada a existência de inadequação ao solicitado, somente verificável quando de sua utilização. O prazo para a referida substituição deverá ser de 02 (dois) dias úteis, contados da solicitação feita pelo Serviço de Cirurgia Plástica.</w:t>
      </w:r>
    </w:p>
    <w:p w14:paraId="1BE615C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5.13. Recebimentos provisório ou definitivo do objeto não exclui a responsabilidade da contratada pelos prejuízos resultantes da incorreta execução do contrato.</w:t>
      </w:r>
    </w:p>
    <w:p w14:paraId="64DF4F6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u w:val="single"/>
        </w:rPr>
        <w:t>Garantia, manutenção e assistência técnica</w:t>
      </w:r>
    </w:p>
    <w:p w14:paraId="65F6453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5.14. Garantia do produto: Será exigida a garantia de fabricação do item entregue pelo período de 01 (um) ano. A empresa vencedora deverá substituir todo o material que apresentar defeito de fabricação, além de arcar com as despesas provenientes deste evento.</w:t>
      </w:r>
    </w:p>
    <w:p w14:paraId="33CB03B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5.15. Assistência Técnica do equipamento: Será pelo mesmo período da garantia, conforme documento comprobatório de assistência técnica autorizada e especializada no Brasil de forma preventiva e corretiva quando solicitada pelo Solicitante.</w:t>
      </w:r>
    </w:p>
    <w:p w14:paraId="0E59383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5.16. Treinamento de uso do equipamento: sim, caso for requerido pelo setor solicitante.</w:t>
      </w:r>
    </w:p>
    <w:p w14:paraId="0FCDDE6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5.17. Formalização contratual: sim.</w:t>
      </w:r>
    </w:p>
    <w:p w14:paraId="67D937F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6. Modelo de Gestão do Contrato,</w:t>
      </w:r>
    </w:p>
    <w:p w14:paraId="134584F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6D0B612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689A27E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7CFA692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6.4. O órgão ou entidade poderá convocar representante da empresa para adoção de providências que devam ser cumpridas de imediato.</w:t>
      </w:r>
    </w:p>
    <w:p w14:paraId="2DA167B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6.5. Após a assinatura do contrato ou instrumento equivalente, o órgão ou entidade poderá convocar o representante da empresa contratada para reunião inicial para apresentação do plano de fiscalização, que conterá informações acerca das obrigações contratuais, dos </w:t>
      </w:r>
      <w:r w:rsidRPr="0056446F">
        <w:rPr>
          <w:rFonts w:ascii="Calibri" w:hAnsi="Calibri"/>
          <w:color w:val="000000"/>
          <w:sz w:val="22"/>
          <w:szCs w:val="22"/>
        </w:rPr>
        <w:lastRenderedPageBreak/>
        <w:t>mecanismos de fiscalização, das estratégias para execução do objeto, do plano complementar de execução da contratada, quando houver, do método de aferição dos resultados e das sanções aplicáveis, dentre outros.</w:t>
      </w:r>
    </w:p>
    <w:p w14:paraId="2413DFD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Fiscalização</w:t>
      </w:r>
    </w:p>
    <w:p w14:paraId="297E520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6.6. A execução do contrato deverá ser acompanhada e fiscalizada </w:t>
      </w:r>
      <w:proofErr w:type="gramStart"/>
      <w:r w:rsidRPr="0056446F">
        <w:rPr>
          <w:rFonts w:ascii="Calibri" w:hAnsi="Calibri"/>
          <w:color w:val="000000"/>
          <w:sz w:val="22"/>
          <w:szCs w:val="22"/>
        </w:rPr>
        <w:t>pelo(</w:t>
      </w:r>
      <w:proofErr w:type="gramEnd"/>
      <w:r w:rsidRPr="0056446F">
        <w:rPr>
          <w:rFonts w:ascii="Calibri" w:hAnsi="Calibri"/>
          <w:color w:val="000000"/>
          <w:sz w:val="22"/>
          <w:szCs w:val="22"/>
        </w:rPr>
        <w:t>s) fiscal(</w:t>
      </w:r>
      <w:proofErr w:type="spellStart"/>
      <w:r w:rsidRPr="0056446F">
        <w:rPr>
          <w:rFonts w:ascii="Calibri" w:hAnsi="Calibri"/>
          <w:color w:val="000000"/>
          <w:sz w:val="22"/>
          <w:szCs w:val="22"/>
        </w:rPr>
        <w:t>is</w:t>
      </w:r>
      <w:proofErr w:type="spellEnd"/>
      <w:r w:rsidRPr="0056446F">
        <w:rPr>
          <w:rFonts w:ascii="Calibri" w:hAnsi="Calibri"/>
          <w:color w:val="000000"/>
          <w:sz w:val="22"/>
          <w:szCs w:val="22"/>
        </w:rPr>
        <w:t>) do contrato, ou pelos respectivos substitutos (Lei nº 14.133, de 2021, art. 117, caput).</w:t>
      </w:r>
    </w:p>
    <w:p w14:paraId="6E1EC9F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Fiscalização Técnica</w:t>
      </w:r>
    </w:p>
    <w:p w14:paraId="2E36CB4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0720D4E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195978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(Decreto nº 11.246, de 2022, art. 22, III);</w:t>
      </w:r>
    </w:p>
    <w:p w14:paraId="32E2496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2E26622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6.7.4. No caso de ocorrências que possam inviabilizar a execução do contrato nas datas aprazadas, o fiscal técnico do contrato comunicará o fato imediatamente ao gestor do</w:t>
      </w:r>
    </w:p>
    <w:p w14:paraId="118FA64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contrato</w:t>
      </w:r>
      <w:proofErr w:type="gramEnd"/>
      <w:r w:rsidRPr="0056446F">
        <w:rPr>
          <w:rFonts w:ascii="Calibri" w:hAnsi="Calibri"/>
          <w:color w:val="000000"/>
          <w:sz w:val="22"/>
          <w:szCs w:val="22"/>
        </w:rPr>
        <w:t>. (Decreto nº 11.246, de 2022, art. 22, V).</w:t>
      </w:r>
    </w:p>
    <w:p w14:paraId="4EEA587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6.7.5. O fiscal técnico do contrato comunicar ao gestor do contrato, em tempo hábil, o término do contrato sob sua responsabilidade, com vistas à renovação tempestiva ou à prorrogação contratual (Decreto nº 11.246, de 2022, art. 22, VII).</w:t>
      </w:r>
    </w:p>
    <w:p w14:paraId="0F50BE4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Fiscalização Administrativa</w:t>
      </w:r>
    </w:p>
    <w:p w14:paraId="27A1471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6.8. O fiscal administrativo do contrato verificará a manutenção das condições de habilitação da contratada, acompanhará o empenho, o pagamento, as garantias, as glosas e a formalização de </w:t>
      </w:r>
      <w:proofErr w:type="spellStart"/>
      <w:r w:rsidRPr="0056446F">
        <w:rPr>
          <w:rFonts w:ascii="Calibri" w:hAnsi="Calibri"/>
          <w:color w:val="000000"/>
          <w:sz w:val="22"/>
          <w:szCs w:val="22"/>
        </w:rPr>
        <w:t>apostilamento</w:t>
      </w:r>
      <w:proofErr w:type="spellEnd"/>
      <w:r w:rsidRPr="0056446F">
        <w:rPr>
          <w:rFonts w:ascii="Calibri" w:hAnsi="Calibri"/>
          <w:color w:val="000000"/>
          <w:sz w:val="22"/>
          <w:szCs w:val="22"/>
        </w:rPr>
        <w:t xml:space="preserve"> e termos aditivos, solicitando quaisquer documentos comprobatórios pertinentes, caso necessário (Art. 23, I e II, do Decreto nº 11.246, de 2022).</w:t>
      </w:r>
    </w:p>
    <w:p w14:paraId="71323E1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6.8.1. Caso ocorram descumprimento das obrigações contratuais, o fiscal administrativo do contrato atuará tempestivamente na solução do problema, reportando ao gestor do contrato </w:t>
      </w:r>
      <w:r w:rsidRPr="0056446F">
        <w:rPr>
          <w:rFonts w:ascii="Calibri" w:hAnsi="Calibri"/>
          <w:color w:val="000000"/>
          <w:sz w:val="22"/>
          <w:szCs w:val="22"/>
        </w:rPr>
        <w:lastRenderedPageBreak/>
        <w:t>para que tome as providências cabíveis, quando ultrapassar a sua competência; (Decreto nº 11.246, de 2022, art. 23, IV).</w:t>
      </w:r>
    </w:p>
    <w:p w14:paraId="2F85ADD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Gestor do Contrato</w:t>
      </w:r>
    </w:p>
    <w:p w14:paraId="3669BEE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1CE9D6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E797CA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55B0767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DBCFAC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05EEB9A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32552F9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090F40E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7. Critérios de Medição e Pagamento</w:t>
      </w:r>
    </w:p>
    <w:p w14:paraId="29395BE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Recebimento</w:t>
      </w:r>
    </w:p>
    <w:p w14:paraId="18873DB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 xml:space="preserve">7.1. Os bens serão recebidos provisoriamente, de forma sumária, no ato da entrega, juntamente com a nota fiscal ou instrumento de cobrança equivalente, </w:t>
      </w:r>
      <w:proofErr w:type="gramStart"/>
      <w:r w:rsidRPr="0056446F">
        <w:rPr>
          <w:rFonts w:ascii="Calibri" w:hAnsi="Calibri"/>
          <w:color w:val="000000"/>
          <w:sz w:val="22"/>
          <w:szCs w:val="22"/>
        </w:rPr>
        <w:t>pelo(</w:t>
      </w:r>
      <w:proofErr w:type="gramEnd"/>
      <w:r w:rsidRPr="0056446F">
        <w:rPr>
          <w:rFonts w:ascii="Calibri" w:hAnsi="Calibri"/>
          <w:color w:val="000000"/>
          <w:sz w:val="22"/>
          <w:szCs w:val="22"/>
        </w:rPr>
        <w:t>a) responsável pelo acompanhamento e fiscalização do contrato, para efeito de posterior verificação de sua conformidade com as especificações constantes no Termo de Referência e na proposta.</w:t>
      </w:r>
    </w:p>
    <w:p w14:paraId="1756F03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7D4B49C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7.3. 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4C5AF7B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7.4. Para as contratações decorrentes de despesas cujos valores não ultrapassem o limite de que trata o </w:t>
      </w:r>
      <w:r w:rsidRPr="0056446F">
        <w:rPr>
          <w:rFonts w:ascii="Calibri" w:hAnsi="Calibri"/>
          <w:color w:val="000000"/>
          <w:sz w:val="22"/>
          <w:szCs w:val="22"/>
          <w:u w:val="single"/>
        </w:rPr>
        <w:t>inciso II do art. 75 da Lei nº 14.133, de 2021</w:t>
      </w:r>
      <w:r w:rsidRPr="0056446F">
        <w:rPr>
          <w:rFonts w:ascii="Calibri" w:hAnsi="Calibri"/>
          <w:color w:val="000000"/>
          <w:sz w:val="22"/>
          <w:szCs w:val="22"/>
        </w:rPr>
        <w:t>, o prazo máximo para o recebimento definitivo será de até 05 (cinco) dias.</w:t>
      </w:r>
    </w:p>
    <w:p w14:paraId="58DD206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36303CB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7.6. No caso de controvérsia sobre a execução do objeto, quanto à dimensão, qualidade e quantidade, deverá ser observado o teor do </w:t>
      </w:r>
      <w:r w:rsidRPr="0056446F">
        <w:rPr>
          <w:rFonts w:ascii="Calibri" w:hAnsi="Calibri"/>
          <w:color w:val="000000"/>
          <w:sz w:val="22"/>
          <w:szCs w:val="22"/>
          <w:u w:val="single"/>
        </w:rPr>
        <w:t>art. 143 da Lei nº 14.133, de 2021</w:t>
      </w:r>
      <w:r w:rsidRPr="0056446F">
        <w:rPr>
          <w:rFonts w:ascii="Calibri" w:hAnsi="Calibri"/>
          <w:color w:val="000000"/>
          <w:sz w:val="22"/>
          <w:szCs w:val="22"/>
        </w:rPr>
        <w:t xml:space="preserve">, comunicando-se à empresa para emissão de Nota Fiscal no que </w:t>
      </w:r>
      <w:proofErr w:type="spellStart"/>
      <w:r w:rsidRPr="0056446F">
        <w:rPr>
          <w:rFonts w:ascii="Calibri" w:hAnsi="Calibri"/>
          <w:color w:val="000000"/>
          <w:sz w:val="22"/>
          <w:szCs w:val="22"/>
        </w:rPr>
        <w:t>pertine</w:t>
      </w:r>
      <w:proofErr w:type="spellEnd"/>
      <w:r w:rsidRPr="0056446F">
        <w:rPr>
          <w:rFonts w:ascii="Calibri" w:hAnsi="Calibri"/>
          <w:color w:val="000000"/>
          <w:sz w:val="22"/>
          <w:szCs w:val="22"/>
        </w:rPr>
        <w:t xml:space="preserve"> à parcela incontroversa da execução do objeto, para efeito de liquidação e pagamento.</w:t>
      </w:r>
    </w:p>
    <w:p w14:paraId="7395647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6C07840" w14:textId="77777777" w:rsidR="003F06FA"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7.8. O recebimento provisório ou definitivo não excluirá a responsabilidade civil pela solidez e </w:t>
      </w:r>
    </w:p>
    <w:p w14:paraId="453CD17F" w14:textId="50D21AEC"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pela</w:t>
      </w:r>
      <w:proofErr w:type="gramEnd"/>
      <w:r w:rsidRPr="0056446F">
        <w:rPr>
          <w:rFonts w:ascii="Calibri" w:hAnsi="Calibri"/>
          <w:color w:val="000000"/>
          <w:sz w:val="22"/>
          <w:szCs w:val="22"/>
        </w:rPr>
        <w:t xml:space="preserve"> segurança do serviço nem a responsabilidade ético-profissional pela perfeita execução do contrato.</w:t>
      </w:r>
    </w:p>
    <w:p w14:paraId="493DD71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Liquidação</w:t>
      </w:r>
    </w:p>
    <w:p w14:paraId="6470908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7.9. Recebida a Nota Fiscal ou documento de cobrança equivalente, correrá o prazo de dez dias úteis para fins de liquidação, na forma desta seção, prorrogáveis por igual período, nos termos do </w:t>
      </w:r>
      <w:r w:rsidRPr="0056446F">
        <w:rPr>
          <w:rFonts w:ascii="Calibri" w:hAnsi="Calibri"/>
          <w:color w:val="000000"/>
          <w:sz w:val="22"/>
          <w:szCs w:val="22"/>
          <w:u w:val="single"/>
        </w:rPr>
        <w:t>art. 7º, §2º da Instrução Normativa SEGES/ME nº 77/2022.</w:t>
      </w:r>
    </w:p>
    <w:p w14:paraId="4D654D5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7.9.1. O prazo de que trata o item anterior será reduzido à metade, mantendo-se a possibilidade de prorrogação, no caso de contratações decorrentes de despesas cujos valores não ultrapassem o limite de que trata o </w:t>
      </w:r>
      <w:r w:rsidRPr="0056446F">
        <w:rPr>
          <w:rFonts w:ascii="Calibri" w:hAnsi="Calibri"/>
          <w:color w:val="000000"/>
          <w:sz w:val="22"/>
          <w:szCs w:val="22"/>
          <w:u w:val="single"/>
        </w:rPr>
        <w:t>inciso II do art. 75 da Lei nº 14.133, de 2021</w:t>
      </w:r>
      <w:r w:rsidRPr="0056446F">
        <w:rPr>
          <w:rFonts w:ascii="Calibri" w:hAnsi="Calibri"/>
          <w:color w:val="000000"/>
          <w:sz w:val="22"/>
          <w:szCs w:val="22"/>
        </w:rPr>
        <w:t>.</w:t>
      </w:r>
    </w:p>
    <w:p w14:paraId="42556C6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7.10. Para fins de liquidação, o setor competente deverá verificar se a nota fiscal ou instrumento de cobrança equivalente apresentado expressa os elementos necessários e essenciais do documento, tais como:</w:t>
      </w:r>
    </w:p>
    <w:p w14:paraId="622BBAA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 o prazo de validade;</w:t>
      </w:r>
    </w:p>
    <w:p w14:paraId="42A4645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b) a data da emissão;</w:t>
      </w:r>
    </w:p>
    <w:p w14:paraId="37AA6F5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 os dados do contrato e do órgão contratante;</w:t>
      </w:r>
    </w:p>
    <w:p w14:paraId="207E419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d) o período respectivo de execução do contrato;</w:t>
      </w:r>
    </w:p>
    <w:p w14:paraId="26A7D1D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e) o valor a pagar; e</w:t>
      </w:r>
    </w:p>
    <w:p w14:paraId="0F29181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f) eventual destaque do valor de retenções tributárias cabíveis.</w:t>
      </w:r>
    </w:p>
    <w:p w14:paraId="368E0A0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223F9C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56446F">
        <w:rPr>
          <w:rFonts w:ascii="Calibri" w:hAnsi="Calibri"/>
          <w:color w:val="000000"/>
          <w:sz w:val="22"/>
          <w:szCs w:val="22"/>
          <w:u w:val="single"/>
        </w:rPr>
        <w:t>art. 68 da Lei nº 14.133, de 2021</w:t>
      </w:r>
      <w:r w:rsidRPr="0056446F">
        <w:rPr>
          <w:rFonts w:ascii="Calibri" w:hAnsi="Calibri"/>
          <w:color w:val="000000"/>
          <w:sz w:val="22"/>
          <w:szCs w:val="22"/>
        </w:rPr>
        <w:t>.</w:t>
      </w:r>
    </w:p>
    <w:p w14:paraId="3931059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(INSTRUÇÃO NORMATIVA Nº 3, DE 26 DE ABRIL DE 2018).</w:t>
      </w:r>
    </w:p>
    <w:p w14:paraId="28B0D06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2378F4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8816A4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7.16. Persistindo a irregularidade, o contratante deverá adotar as medidas necessárias à rescisão contratual nos autos do processo administrativo correspondente, assegurada ao contratado a ampla defesa.</w:t>
      </w:r>
    </w:p>
    <w:p w14:paraId="27D7999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7.17. Havendo a efetiva execução do objeto, os pagamentos serão realizados normalmente, até que se decida pela rescisão do contrato, caso o contratado não regularize sua situação junto ao SICAF.</w:t>
      </w:r>
    </w:p>
    <w:p w14:paraId="152CD1C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Prazo de pagamento</w:t>
      </w:r>
    </w:p>
    <w:p w14:paraId="7377E26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7.18. O pagamento será efetuado no prazo de até 10 (dez) dias úteis contados da finalização da liquidação da despesa, conforme seção anterior, nos termos da </w:t>
      </w:r>
      <w:r w:rsidRPr="0056446F">
        <w:rPr>
          <w:rFonts w:ascii="Calibri" w:hAnsi="Calibri"/>
          <w:color w:val="000000"/>
          <w:sz w:val="22"/>
          <w:szCs w:val="22"/>
          <w:u w:val="single"/>
        </w:rPr>
        <w:t>Instrução Normativa SEGES/ME nº 77, de 2022</w:t>
      </w:r>
      <w:r w:rsidRPr="0056446F">
        <w:rPr>
          <w:rFonts w:ascii="Calibri" w:hAnsi="Calibri"/>
          <w:color w:val="000000"/>
          <w:sz w:val="22"/>
          <w:szCs w:val="22"/>
        </w:rPr>
        <w:t>.</w:t>
      </w:r>
    </w:p>
    <w:p w14:paraId="59349A7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7.19. No caso de atraso pelo Contratante, os valores devidos ao contratado serão atualizados monetariamente entre o termo final do prazo de pagamento até a data de sua efetiva realização, mediante aplicação do índice INPC de correção monetária.</w:t>
      </w:r>
    </w:p>
    <w:p w14:paraId="5216075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Forma de pagamento</w:t>
      </w:r>
    </w:p>
    <w:p w14:paraId="32238A9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7.20. O pagamento será realizado por meio de ordem bancária, para crédito em banco, agência e conta corrente indicados pelo contratado.</w:t>
      </w:r>
    </w:p>
    <w:p w14:paraId="1888865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7.21. Será considerada data do pagamento o dia em que constar como emitida a ordem bancária para pagamento.</w:t>
      </w:r>
    </w:p>
    <w:p w14:paraId="489790E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7.22. Quando do pagamento, será efetuada a retenção tributária prevista na legislação aplicável.</w:t>
      </w:r>
    </w:p>
    <w:p w14:paraId="799DBB3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7.22.1. Independentemente do percentual de tributo inserido na planilha, quando houver, serão retidos na fonte, quando da realização do pagamento, os percentuais estabelecidos na legislação vigente.</w:t>
      </w:r>
    </w:p>
    <w:p w14:paraId="3323FEA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ED263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Cessão de crédito</w:t>
      </w:r>
    </w:p>
    <w:p w14:paraId="52DF9B6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7.24. É admitida a cessão fiduciária de direitos creditícios com instituição financeira, nos termos e de acordo com os procedimentos previstos na </w:t>
      </w:r>
      <w:r w:rsidRPr="0056446F">
        <w:rPr>
          <w:rFonts w:ascii="Calibri" w:hAnsi="Calibri"/>
          <w:color w:val="000000"/>
          <w:sz w:val="22"/>
          <w:szCs w:val="22"/>
          <w:u w:val="single"/>
        </w:rPr>
        <w:t xml:space="preserve">Instrução Normativa SEGES/ME nº 53, de 8 de </w:t>
      </w:r>
      <w:proofErr w:type="gramStart"/>
      <w:r w:rsidRPr="0056446F">
        <w:rPr>
          <w:rFonts w:ascii="Calibri" w:hAnsi="Calibri"/>
          <w:color w:val="000000"/>
          <w:sz w:val="22"/>
          <w:szCs w:val="22"/>
          <w:u w:val="single"/>
        </w:rPr>
        <w:t>Julho</w:t>
      </w:r>
      <w:proofErr w:type="gramEnd"/>
      <w:r w:rsidRPr="0056446F">
        <w:rPr>
          <w:rFonts w:ascii="Calibri" w:hAnsi="Calibri"/>
          <w:color w:val="000000"/>
          <w:sz w:val="22"/>
          <w:szCs w:val="22"/>
          <w:u w:val="single"/>
        </w:rPr>
        <w:t xml:space="preserve"> de 2020</w:t>
      </w:r>
      <w:r w:rsidRPr="0056446F">
        <w:rPr>
          <w:rFonts w:ascii="Calibri" w:hAnsi="Calibri"/>
          <w:color w:val="000000"/>
          <w:sz w:val="22"/>
          <w:szCs w:val="22"/>
        </w:rPr>
        <w:t>, conforme as regras deste presente tópico.</w:t>
      </w:r>
    </w:p>
    <w:p w14:paraId="675A1B6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7.24.1. As cessões de crédito não abrangidas pela Instrução Normativa SEGES/ME nº 53, de 8 de julho de 2020 dependerão de prévia aprovação do contratante.</w:t>
      </w:r>
    </w:p>
    <w:p w14:paraId="06D94B5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7.25. A eficácia da cessão de crédito não abrangidas pela Instrução Normativa SEGES/ME nº 53, de 8 de julho de 2020, em relação à Administração, está condicionada à celebração de termo aditivo ao contrato administrativo.</w:t>
      </w:r>
    </w:p>
    <w:p w14:paraId="592BAF5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rsidRPr="0056446F">
        <w:rPr>
          <w:rFonts w:ascii="Calibri" w:hAnsi="Calibri"/>
          <w:color w:val="000000"/>
          <w:sz w:val="22"/>
          <w:szCs w:val="22"/>
          <w:u w:val="single"/>
        </w:rPr>
        <w:t>art. 12 da Lei nº 8.429, de 1992</w:t>
      </w:r>
      <w:r w:rsidRPr="0056446F">
        <w:rPr>
          <w:rFonts w:ascii="Calibri" w:hAnsi="Calibri"/>
          <w:color w:val="000000"/>
          <w:sz w:val="22"/>
          <w:szCs w:val="22"/>
        </w:rPr>
        <w:t>, tudo nos termos do </w:t>
      </w:r>
      <w:r w:rsidRPr="0056446F">
        <w:rPr>
          <w:rFonts w:ascii="Calibri" w:hAnsi="Calibri"/>
          <w:color w:val="000000"/>
          <w:sz w:val="22"/>
          <w:szCs w:val="22"/>
          <w:u w:val="single"/>
        </w:rPr>
        <w:t>Parecer JL-01, de 18 de maio de 2020</w:t>
      </w:r>
      <w:r w:rsidRPr="0056446F">
        <w:rPr>
          <w:rFonts w:ascii="Calibri" w:hAnsi="Calibri"/>
          <w:color w:val="000000"/>
          <w:sz w:val="22"/>
          <w:szCs w:val="22"/>
        </w:rPr>
        <w:t>.</w:t>
      </w:r>
    </w:p>
    <w:p w14:paraId="7BF307B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7.27.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r w:rsidRPr="0056446F">
        <w:rPr>
          <w:rFonts w:ascii="Calibri" w:hAnsi="Calibri"/>
          <w:b/>
          <w:bCs/>
          <w:color w:val="000000"/>
          <w:sz w:val="22"/>
          <w:szCs w:val="22"/>
        </w:rPr>
        <w:t>.</w:t>
      </w:r>
    </w:p>
    <w:p w14:paraId="357C6A5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7.28. A cessão de crédito não afetará a execução do objeto contratado, que continuará sob a integral responsabilidade do contratado.</w:t>
      </w:r>
    </w:p>
    <w:p w14:paraId="0107C07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Reajuste:</w:t>
      </w:r>
    </w:p>
    <w:p w14:paraId="216EF4D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7.29. Os preços inicialmente contratados são fixos e irreajustáveis no prazo de um ano contado da data do orçamento estimado, em </w:t>
      </w:r>
      <w:r w:rsidRPr="0056446F">
        <w:rPr>
          <w:rFonts w:ascii="Calibri" w:hAnsi="Calibri"/>
          <w:i/>
          <w:iCs/>
          <w:color w:val="000000"/>
          <w:sz w:val="22"/>
          <w:szCs w:val="22"/>
        </w:rPr>
        <w:t>__/__/__ (DD/MM/AAAA)</w:t>
      </w:r>
      <w:r w:rsidRPr="0056446F">
        <w:rPr>
          <w:rFonts w:ascii="Calibri" w:hAnsi="Calibri"/>
          <w:color w:val="000000"/>
          <w:sz w:val="22"/>
          <w:szCs w:val="22"/>
        </w:rPr>
        <w:t>.</w:t>
      </w:r>
    </w:p>
    <w:p w14:paraId="38B48A2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7.30. Após o interregno de um ano, e independentemente de pedido do contratado, os preços iniciais serão reajustados, mediante a aplicação, pelo contratante, do índice INPC – Índice Nacional de Preços ao Consumidor</w:t>
      </w:r>
      <w:r w:rsidRPr="0056446F">
        <w:rPr>
          <w:rFonts w:ascii="Calibri" w:hAnsi="Calibri"/>
          <w:i/>
          <w:iCs/>
          <w:color w:val="000000"/>
          <w:sz w:val="22"/>
          <w:szCs w:val="22"/>
        </w:rPr>
        <w:t>,</w:t>
      </w:r>
      <w:r w:rsidRPr="0056446F">
        <w:rPr>
          <w:rFonts w:ascii="Calibri" w:hAnsi="Calibri"/>
          <w:color w:val="000000"/>
          <w:sz w:val="22"/>
          <w:szCs w:val="22"/>
        </w:rPr>
        <w:t xml:space="preserve"> exclusivamente para as obrigações iniciadas e concluídas após a ocorrência da </w:t>
      </w:r>
      <w:proofErr w:type="gramStart"/>
      <w:r w:rsidRPr="0056446F">
        <w:rPr>
          <w:rFonts w:ascii="Calibri" w:hAnsi="Calibri"/>
          <w:color w:val="000000"/>
          <w:sz w:val="22"/>
          <w:szCs w:val="22"/>
        </w:rPr>
        <w:t>anualidade .</w:t>
      </w:r>
      <w:proofErr w:type="gramEnd"/>
    </w:p>
    <w:p w14:paraId="012473D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7.31. Nos reajustes subsequentes ao primeiro, o interregno mínimo de um ano será contado a partir dos efeitos financeiros do último reajuste.</w:t>
      </w:r>
    </w:p>
    <w:p w14:paraId="6E7CB85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7.32. No caso de atraso ou não divulgação </w:t>
      </w:r>
      <w:proofErr w:type="gramStart"/>
      <w:r w:rsidRPr="0056446F">
        <w:rPr>
          <w:rFonts w:ascii="Calibri" w:hAnsi="Calibri"/>
          <w:color w:val="000000"/>
          <w:sz w:val="22"/>
          <w:szCs w:val="22"/>
        </w:rPr>
        <w:t>do(</w:t>
      </w:r>
      <w:proofErr w:type="gramEnd"/>
      <w:r w:rsidRPr="0056446F">
        <w:rPr>
          <w:rFonts w:ascii="Calibri" w:hAnsi="Calibri"/>
          <w:color w:val="000000"/>
          <w:sz w:val="22"/>
          <w:szCs w:val="22"/>
        </w:rPr>
        <w:t>s) índice (s) de reajustamento, o contratante pagará ao contratado a importância calculada pela última variação conhecida, liquidando a diferença correspondente tão logo seja(m) divulgado(s) o(s) índice(s) definitivo(s).</w:t>
      </w:r>
    </w:p>
    <w:p w14:paraId="41B925D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7.33. Nas aferições finais, </w:t>
      </w:r>
      <w:proofErr w:type="gramStart"/>
      <w:r w:rsidRPr="0056446F">
        <w:rPr>
          <w:rFonts w:ascii="Calibri" w:hAnsi="Calibri"/>
          <w:color w:val="000000"/>
          <w:sz w:val="22"/>
          <w:szCs w:val="22"/>
        </w:rPr>
        <w:t>o(</w:t>
      </w:r>
      <w:proofErr w:type="gramEnd"/>
      <w:r w:rsidRPr="0056446F">
        <w:rPr>
          <w:rFonts w:ascii="Calibri" w:hAnsi="Calibri"/>
          <w:color w:val="000000"/>
          <w:sz w:val="22"/>
          <w:szCs w:val="22"/>
        </w:rPr>
        <w:t>s) índice(s) utilizado(s) para reajuste será(</w:t>
      </w:r>
      <w:proofErr w:type="spellStart"/>
      <w:r w:rsidRPr="0056446F">
        <w:rPr>
          <w:rFonts w:ascii="Calibri" w:hAnsi="Calibri"/>
          <w:color w:val="000000"/>
          <w:sz w:val="22"/>
          <w:szCs w:val="22"/>
        </w:rPr>
        <w:t>ão</w:t>
      </w:r>
      <w:proofErr w:type="spellEnd"/>
      <w:r w:rsidRPr="0056446F">
        <w:rPr>
          <w:rFonts w:ascii="Calibri" w:hAnsi="Calibri"/>
          <w:color w:val="000000"/>
          <w:sz w:val="22"/>
          <w:szCs w:val="22"/>
        </w:rPr>
        <w:t>), obrigatoriamente, o(s) definitivo(s).</w:t>
      </w:r>
    </w:p>
    <w:p w14:paraId="76EDAA0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 xml:space="preserve">7.34. Caso </w:t>
      </w:r>
      <w:proofErr w:type="gramStart"/>
      <w:r w:rsidRPr="0056446F">
        <w:rPr>
          <w:rFonts w:ascii="Calibri" w:hAnsi="Calibri"/>
          <w:color w:val="000000"/>
          <w:sz w:val="22"/>
          <w:szCs w:val="22"/>
        </w:rPr>
        <w:t>o(</w:t>
      </w:r>
      <w:proofErr w:type="gramEnd"/>
      <w:r w:rsidRPr="0056446F">
        <w:rPr>
          <w:rFonts w:ascii="Calibri" w:hAnsi="Calibri"/>
          <w:color w:val="000000"/>
          <w:sz w:val="22"/>
          <w:szCs w:val="22"/>
        </w:rPr>
        <w:t>s) índice(s) estabelecido(s) para reajustamento venha(m) a ser extinto(s) ou de qualquer forma não possa(m) mais ser utilizado(s), será(</w:t>
      </w:r>
      <w:proofErr w:type="spellStart"/>
      <w:r w:rsidRPr="0056446F">
        <w:rPr>
          <w:rFonts w:ascii="Calibri" w:hAnsi="Calibri"/>
          <w:color w:val="000000"/>
          <w:sz w:val="22"/>
          <w:szCs w:val="22"/>
        </w:rPr>
        <w:t>ão</w:t>
      </w:r>
      <w:proofErr w:type="spellEnd"/>
      <w:r w:rsidRPr="0056446F">
        <w:rPr>
          <w:rFonts w:ascii="Calibri" w:hAnsi="Calibri"/>
          <w:color w:val="000000"/>
          <w:sz w:val="22"/>
          <w:szCs w:val="22"/>
        </w:rPr>
        <w:t>) adotado(s), em substituição, o(s) que vier(em) a ser determinado(s) pela legislação então em vigor.</w:t>
      </w:r>
    </w:p>
    <w:p w14:paraId="16A1CC1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7.35. Na ausência de previsão legal quanto ao índice substituto, as partes elegerão novo índice oficial, para reajustamento do preço do valor remanescente, por meio de termo aditivo.</w:t>
      </w:r>
    </w:p>
    <w:p w14:paraId="581EF1C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7.36. O reajuste será realizado por </w:t>
      </w:r>
      <w:proofErr w:type="spellStart"/>
      <w:r w:rsidRPr="0056446F">
        <w:rPr>
          <w:rFonts w:ascii="Calibri" w:hAnsi="Calibri"/>
          <w:color w:val="000000"/>
          <w:sz w:val="22"/>
          <w:szCs w:val="22"/>
        </w:rPr>
        <w:t>apostilamento</w:t>
      </w:r>
      <w:proofErr w:type="spellEnd"/>
      <w:r w:rsidRPr="0056446F">
        <w:rPr>
          <w:rFonts w:ascii="Calibri" w:hAnsi="Calibri"/>
          <w:color w:val="000000"/>
          <w:sz w:val="22"/>
          <w:szCs w:val="22"/>
        </w:rPr>
        <w:t>.</w:t>
      </w:r>
    </w:p>
    <w:p w14:paraId="362F642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8. Critérios de Seleção do Fornecedor</w:t>
      </w:r>
    </w:p>
    <w:p w14:paraId="5322BAE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Forma de seleção e critério de julgamento da proposta</w:t>
      </w:r>
    </w:p>
    <w:p w14:paraId="7668543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w:t>
      </w:r>
    </w:p>
    <w:p w14:paraId="1B73428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Forma de fornecimento</w:t>
      </w:r>
    </w:p>
    <w:p w14:paraId="2FCB333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 O fornecimento do objeto será integral;</w:t>
      </w:r>
    </w:p>
    <w:p w14:paraId="2177C0F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Exigências de habilitação</w:t>
      </w:r>
    </w:p>
    <w:p w14:paraId="0A324EE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8.3. Para fins de habilitação, deverá o licitante comprovar os seguintes requisitos:</w:t>
      </w:r>
    </w:p>
    <w:p w14:paraId="4709838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Habilitação jurídica</w:t>
      </w:r>
    </w:p>
    <w:p w14:paraId="5306BD4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8.4. </w:t>
      </w:r>
      <w:r w:rsidRPr="0056446F">
        <w:rPr>
          <w:rFonts w:ascii="Calibri" w:hAnsi="Calibri"/>
          <w:b/>
          <w:bCs/>
          <w:color w:val="000000"/>
          <w:sz w:val="22"/>
          <w:szCs w:val="22"/>
        </w:rPr>
        <w:t>Pessoa física</w:t>
      </w:r>
      <w:r w:rsidRPr="0056446F">
        <w:rPr>
          <w:rFonts w:ascii="Calibri" w:hAnsi="Calibri"/>
          <w:color w:val="000000"/>
          <w:sz w:val="22"/>
          <w:szCs w:val="22"/>
        </w:rPr>
        <w:t>: cédula de identidade (RG) ou documento equivalente que, por força de lei, tenha validade para fins de identificação em todo o território nacional;</w:t>
      </w:r>
    </w:p>
    <w:p w14:paraId="44996A8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8.5. </w:t>
      </w:r>
      <w:r w:rsidRPr="0056446F">
        <w:rPr>
          <w:rFonts w:ascii="Calibri" w:hAnsi="Calibri"/>
          <w:b/>
          <w:bCs/>
          <w:color w:val="000000"/>
          <w:sz w:val="22"/>
          <w:szCs w:val="22"/>
        </w:rPr>
        <w:t>Empresário individual</w:t>
      </w:r>
      <w:r w:rsidRPr="0056446F">
        <w:rPr>
          <w:rFonts w:ascii="Calibri" w:hAnsi="Calibri"/>
          <w:color w:val="000000"/>
          <w:sz w:val="22"/>
          <w:szCs w:val="22"/>
        </w:rPr>
        <w:t>: inscrição no Registro Público de Empresas Mercantis, a cargo da Junta Comercial da respectiva sede;</w:t>
      </w:r>
    </w:p>
    <w:p w14:paraId="4C99577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8.6.</w:t>
      </w:r>
      <w:r w:rsidRPr="0056446F">
        <w:rPr>
          <w:rFonts w:ascii="Calibri" w:hAnsi="Calibri"/>
          <w:b/>
          <w:bCs/>
          <w:color w:val="000000"/>
          <w:sz w:val="22"/>
          <w:szCs w:val="22"/>
        </w:rPr>
        <w:t> Microempreendedor Individual - MEI</w:t>
      </w:r>
      <w:r w:rsidRPr="0056446F">
        <w:rPr>
          <w:rFonts w:ascii="Calibri" w:hAnsi="Calibri"/>
          <w:color w:val="000000"/>
          <w:sz w:val="22"/>
          <w:szCs w:val="22"/>
        </w:rPr>
        <w:t>: Certificado da Condição de Microempreendedor Individual - CCMEI, cuja aceitação ficará condicionada à verificação da autenticidade no sítio https://www.gov.br/empresas-e-negocios/pt-br/empreendedor;</w:t>
      </w:r>
    </w:p>
    <w:p w14:paraId="31BCA16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8.7. </w:t>
      </w:r>
      <w:r w:rsidRPr="0056446F">
        <w:rPr>
          <w:rFonts w:ascii="Calibri" w:hAnsi="Calibri"/>
          <w:b/>
          <w:bCs/>
          <w:color w:val="000000"/>
          <w:sz w:val="22"/>
          <w:szCs w:val="22"/>
        </w:rPr>
        <w:t>Sociedade empresária, sociedade limitada unipessoal – SLU ou sociedade identificada como empresa individual de responsabilidade limitada - EIRELI</w:t>
      </w:r>
      <w:r w:rsidRPr="0056446F">
        <w:rPr>
          <w:rFonts w:ascii="Calibri" w:hAnsi="Calibri"/>
          <w:color w:val="000000"/>
          <w:sz w:val="22"/>
          <w:szCs w:val="22"/>
        </w:rPr>
        <w:t>: inscrição do ato constitutivo, estatuto ou contrato social no Registro Público de Empresas Mercantis, a cargo da Junta Comercial da respectiva sede, acompanhada de documento comprobatório de seus administradores;</w:t>
      </w:r>
    </w:p>
    <w:p w14:paraId="2C88E95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8.8. </w:t>
      </w:r>
      <w:r w:rsidRPr="0056446F">
        <w:rPr>
          <w:rFonts w:ascii="Calibri" w:hAnsi="Calibri"/>
          <w:b/>
          <w:bCs/>
          <w:color w:val="000000"/>
          <w:sz w:val="22"/>
          <w:szCs w:val="22"/>
        </w:rPr>
        <w:t>Sociedade empresária estrangeira</w:t>
      </w:r>
      <w:r w:rsidRPr="0056446F">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B6BE72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8.9. </w:t>
      </w:r>
      <w:r w:rsidRPr="0056446F">
        <w:rPr>
          <w:rFonts w:ascii="Calibri" w:hAnsi="Calibri"/>
          <w:b/>
          <w:bCs/>
          <w:color w:val="000000"/>
          <w:sz w:val="22"/>
          <w:szCs w:val="22"/>
        </w:rPr>
        <w:t>Sociedade simples</w:t>
      </w:r>
      <w:r w:rsidRPr="0056446F">
        <w:rPr>
          <w:rFonts w:ascii="Calibri" w:hAnsi="Calibri"/>
          <w:color w:val="000000"/>
          <w:sz w:val="22"/>
          <w:szCs w:val="22"/>
        </w:rPr>
        <w:t>: inscrição do ato constitutivo no Registro Civil de Pessoas Jurídicas do local de sua sede, acompanhada de documento comprobatório de seus administradores;</w:t>
      </w:r>
    </w:p>
    <w:p w14:paraId="158E858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8.10. </w:t>
      </w:r>
      <w:r w:rsidRPr="0056446F">
        <w:rPr>
          <w:rFonts w:ascii="Calibri" w:hAnsi="Calibri"/>
          <w:b/>
          <w:bCs/>
          <w:color w:val="000000"/>
          <w:sz w:val="22"/>
          <w:szCs w:val="22"/>
        </w:rPr>
        <w:t>Filial, sucursal ou agência de sociedade simples ou empresária</w:t>
      </w:r>
      <w:r w:rsidRPr="0056446F">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7A549C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8.11. </w:t>
      </w:r>
      <w:r w:rsidRPr="0056446F">
        <w:rPr>
          <w:rFonts w:ascii="Calibri" w:hAnsi="Calibri"/>
          <w:b/>
          <w:bCs/>
          <w:color w:val="000000"/>
          <w:sz w:val="22"/>
          <w:szCs w:val="22"/>
        </w:rPr>
        <w:t>Sociedade cooperativa</w:t>
      </w:r>
      <w:r w:rsidRPr="0056446F">
        <w:rPr>
          <w:rFonts w:ascii="Calibri" w:hAnsi="Calibri"/>
          <w:color w:val="000000"/>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B0C714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8.12. Os documentos apresentados deverão estar acompanhados de todas as alterações ou da consolidação respectiva.</w:t>
      </w:r>
    </w:p>
    <w:p w14:paraId="6762485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Habilitação fiscal, social e trabalhista</w:t>
      </w:r>
    </w:p>
    <w:p w14:paraId="407D4CF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8.15. Prova de inscrição no Cadastro Nacional de Pessoas Jurídicas ou no Cadastro de Pessoas Físicas, conforme o caso;</w:t>
      </w:r>
    </w:p>
    <w:p w14:paraId="21FEEED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C1D3D5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8.17. Prova de regularidade com o Fundo de Garantia do Tempo de Serviço (FGTS);</w:t>
      </w:r>
    </w:p>
    <w:p w14:paraId="18C6216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FBF8C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8.19. Prova de inscrição no cadastro de contribuintes Estadual/Distrital relativo ao domicílio ou sede do fornecedor, pertinente ao seu ramo de atividade e compatível com o objeto contratual;</w:t>
      </w:r>
    </w:p>
    <w:p w14:paraId="7483E95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8.20. Prova de regularidade com a Fazenda Estadual/Distrital do domicílio ou sede do fornecedor, relativa à atividade em cujo exercício contrata ou concorre;</w:t>
      </w:r>
    </w:p>
    <w:p w14:paraId="039CBDC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8.21. 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2F28394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8.22.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52B34E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lastRenderedPageBreak/>
        <w:t>Qualificação Econômico-Financeira</w:t>
      </w:r>
    </w:p>
    <w:p w14:paraId="5599A4B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0251B53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8.24. Certidão negativa de falência expedida pelo distribuidor da sede do fornecedor (Lei nº 14.133, de 2021, art. 69, caput, inciso II);</w:t>
      </w:r>
    </w:p>
    <w:p w14:paraId="13A0B3B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8.25. Balanço patrimonial, demonstração de resultado de exercício e demais demonstrações contábeis dos 2 (dois) últimos exercícios sociais, comprovando;</w:t>
      </w:r>
    </w:p>
    <w:p w14:paraId="171ABBE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8.25.1. </w:t>
      </w:r>
      <w:proofErr w:type="gramStart"/>
      <w:r w:rsidRPr="0056446F">
        <w:rPr>
          <w:rFonts w:ascii="Calibri" w:hAnsi="Calibri"/>
          <w:color w:val="000000"/>
          <w:sz w:val="22"/>
          <w:szCs w:val="22"/>
        </w:rPr>
        <w:t>índices</w:t>
      </w:r>
      <w:proofErr w:type="gramEnd"/>
      <w:r w:rsidRPr="0056446F">
        <w:rPr>
          <w:rFonts w:ascii="Calibri" w:hAnsi="Calibri"/>
          <w:color w:val="000000"/>
          <w:sz w:val="22"/>
          <w:szCs w:val="22"/>
        </w:rPr>
        <w:t xml:space="preserve"> de Liquidez Geral (LG), Liquidez Corrente (LC), e Solvência Geral (SG) superiores a 1 (um);</w:t>
      </w:r>
    </w:p>
    <w:p w14:paraId="77A6C67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8.25.2. As empresas criadas no exercício financeiro da licitação deverão atender a todas as exigências da habilitação e poderão substituir os demonstrativos contábeis pelo balanço de abertura.</w:t>
      </w:r>
    </w:p>
    <w:p w14:paraId="541966C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8.25.3. Os documentos referidos acima limitar-se-ão ao último exercício no caso de a pessoa jurídica ter sido constituída há menos de 2 (dois) anos;</w:t>
      </w:r>
    </w:p>
    <w:p w14:paraId="6D88B12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8.25.4. Os documentos referidos acima deverão ser exigidos com base no limite definido pela Receita Federal do Brasil para transmissão da Escrituração Contábil Digital - ECD ao </w:t>
      </w:r>
      <w:proofErr w:type="spellStart"/>
      <w:r w:rsidRPr="0056446F">
        <w:rPr>
          <w:rFonts w:ascii="Calibri" w:hAnsi="Calibri"/>
          <w:color w:val="000000"/>
          <w:sz w:val="22"/>
          <w:szCs w:val="22"/>
        </w:rPr>
        <w:t>Sped</w:t>
      </w:r>
      <w:proofErr w:type="spellEnd"/>
      <w:r w:rsidRPr="0056446F">
        <w:rPr>
          <w:rFonts w:ascii="Calibri" w:hAnsi="Calibri"/>
          <w:color w:val="000000"/>
          <w:sz w:val="22"/>
          <w:szCs w:val="22"/>
        </w:rPr>
        <w:t>.</w:t>
      </w:r>
    </w:p>
    <w:p w14:paraId="30008B8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8.26.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275FAA53" w14:textId="77777777" w:rsidR="003F06FA"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8.27. As empresas criadas no exercício financeiro da licitação deverão atender a todas as </w:t>
      </w:r>
    </w:p>
    <w:p w14:paraId="1FF628D7" w14:textId="1C15FCC9"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exigências</w:t>
      </w:r>
      <w:proofErr w:type="gramEnd"/>
      <w:r w:rsidRPr="0056446F">
        <w:rPr>
          <w:rFonts w:ascii="Calibri" w:hAnsi="Calibri"/>
          <w:color w:val="000000"/>
          <w:sz w:val="22"/>
          <w:szCs w:val="22"/>
        </w:rPr>
        <w:t xml:space="preserve"> da habilitação e poderão substituir os demonstrativos contábeis pelo balanço de abertura. (Lei nº 14.133, de 2021, art. 65, §1º).</w:t>
      </w:r>
    </w:p>
    <w:p w14:paraId="418995A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i/>
          <w:iCs/>
          <w:color w:val="000000"/>
          <w:sz w:val="22"/>
          <w:szCs w:val="22"/>
          <w:u w:val="single"/>
        </w:rPr>
        <w:t>Qualificação Técnica</w:t>
      </w:r>
    </w:p>
    <w:p w14:paraId="563FD1F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8.28. Comprovação de aptidão para o fornecimento de bens em características, quantidades e prazos compatíveis com o objeto desta licitação, ou com o item pertinente, por meio da apresentação de certidões ou atestados, por pessoas jurídicas de direito público ou privado.</w:t>
      </w:r>
    </w:p>
    <w:p w14:paraId="6966821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8.29. Para fins da comprovação de que trata este subitem, os atestados deverão dizer respeito a contratos executados com as seguintes características mínimas:</w:t>
      </w:r>
    </w:p>
    <w:p w14:paraId="1C9A71C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8.29.1. Comprovação de aptidão, através de Atestados de Capacidade Técnica, fornecidos por Pessoas Jurídicas de Direito Público ou Privado, que demonstrem que a sociedade empresária prestou serviços compatíveis em características, quantidades (de até 20% de cada item, no mínimo) e prazos semelhantes com o objeto desta licitação;</w:t>
      </w:r>
    </w:p>
    <w:p w14:paraId="6C0B673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8.29.2. Poderá ser apresentado mais de um atestado de capacidade técnica, sendo aceito o seu somatório para que se perfaça o percentual mínimo de 20% da quantidade estipulada para cada item.</w:t>
      </w:r>
    </w:p>
    <w:p w14:paraId="0C844C6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w:t>
      </w:r>
      <w:proofErr w:type="gramStart"/>
      <w:r w:rsidRPr="0056446F">
        <w:rPr>
          <w:rFonts w:ascii="Calibri" w:hAnsi="Calibri"/>
          <w:color w:val="000000"/>
          <w:sz w:val="22"/>
          <w:szCs w:val="22"/>
        </w:rPr>
        <w:t>30.Certificado</w:t>
      </w:r>
      <w:proofErr w:type="gramEnd"/>
      <w:r w:rsidRPr="0056446F">
        <w:rPr>
          <w:rFonts w:ascii="Calibri" w:hAnsi="Calibri"/>
          <w:color w:val="000000"/>
          <w:sz w:val="22"/>
          <w:szCs w:val="22"/>
        </w:rPr>
        <w:t xml:space="preserve"> de regular inscrição da sociedade junto ao Conselho Regional de Nutricionista, ou documento que o valha, com a indicação do responsável técnico e acompanhado do comprovante de quitação correspondente;</w:t>
      </w:r>
    </w:p>
    <w:p w14:paraId="4A72E82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8.31. Licença de Funcionamento conferida pelo Órgão Municipal ou Estadual de Vigilância Sanitária (Não serão aceitos protocolos em caso de emissão de primeira licença ou, no caso das revalidações, na forma da legislação específica, requeridos intempestivamente), como comprovação do cumprimento dos requisitos previstos na Lei 6.360/1976, no Decreto 8.077/2013 e na Resolução 16/2014/Anvisa, de modo a garantir que o produto a ser licitado atenda às exigências técnicas necessárias.</w:t>
      </w:r>
    </w:p>
    <w:p w14:paraId="3540DB8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8.32. Autorização de funcionamento (AF ou AFE), comum e/ou especial, emitida pela Agência Nacional de Vigilância Sanitária (ANVISA), como comprovação do cumprimento dos requisitos previstos na Lei 6.360/1976, no Decreto 8.077/2013 e na Resolução 16/2014/Anvisa, de modo a garantir que o produto a ser licitado atenda às exigências técnicas necessárias.</w:t>
      </w:r>
    </w:p>
    <w:p w14:paraId="1432050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9. Estimativas do Valor da Contratação</w:t>
      </w:r>
    </w:p>
    <w:p w14:paraId="5DF7F8F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 O custo estimado total da contratação é de </w:t>
      </w:r>
      <w:r w:rsidRPr="0056446F">
        <w:rPr>
          <w:rFonts w:ascii="Calibri" w:hAnsi="Calibri"/>
          <w:b/>
          <w:bCs/>
          <w:color w:val="000000"/>
          <w:sz w:val="22"/>
          <w:szCs w:val="22"/>
        </w:rPr>
        <w:t>R$ 339.350,10 (Trezentos e trinta e nove mil trezentos e cinquenta reais e dez centavos</w:t>
      </w:r>
      <w:proofErr w:type="gramStart"/>
      <w:r w:rsidRPr="0056446F">
        <w:rPr>
          <w:rFonts w:ascii="Calibri" w:hAnsi="Calibri"/>
          <w:b/>
          <w:bCs/>
          <w:color w:val="000000"/>
          <w:sz w:val="22"/>
          <w:szCs w:val="22"/>
        </w:rPr>
        <w:t>) </w:t>
      </w:r>
      <w:r w:rsidRPr="0056446F">
        <w:rPr>
          <w:rFonts w:ascii="Calibri" w:hAnsi="Calibri"/>
          <w:color w:val="000000"/>
          <w:sz w:val="22"/>
          <w:szCs w:val="22"/>
        </w:rPr>
        <w:t>,</w:t>
      </w:r>
      <w:proofErr w:type="gramEnd"/>
      <w:r w:rsidRPr="0056446F">
        <w:rPr>
          <w:rFonts w:ascii="Calibri" w:hAnsi="Calibri"/>
          <w:color w:val="000000"/>
          <w:sz w:val="22"/>
          <w:szCs w:val="22"/>
        </w:rPr>
        <w:t xml:space="preserve"> conforme custos unitários apostos na tabela abaixo:</w:t>
      </w:r>
    </w:p>
    <w:p w14:paraId="0D162B1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680D12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
    <w:p w14:paraId="36E481F0" w14:textId="1B31479A"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r w:rsidR="00596D24">
        <w:rPr>
          <w:rFonts w:ascii="Calibri" w:hAnsi="Calibri"/>
          <w:noProof/>
          <w:color w:val="000000"/>
          <w:sz w:val="22"/>
          <w:szCs w:val="22"/>
        </w:rPr>
        <w:drawing>
          <wp:inline distT="0" distB="0" distL="0" distR="0" wp14:anchorId="464E7037" wp14:editId="1DAD0CCD">
            <wp:extent cx="6333490" cy="1895321"/>
            <wp:effectExtent l="0" t="0" r="0" b="0"/>
            <wp:docPr id="1" name="Imagem 1" descr="C:\Users\ana.laurindo\AppData\Local\Microsoft\Windows\INetCache\Content.MSO\C98F9C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a.laurindo\AppData\Local\Microsoft\Windows\INetCache\Content.MSO\C98F9C0C.t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39614" cy="1927079"/>
                    </a:xfrm>
                    <a:prstGeom prst="rect">
                      <a:avLst/>
                    </a:prstGeom>
                    <a:noFill/>
                    <a:ln>
                      <a:noFill/>
                    </a:ln>
                  </pic:spPr>
                </pic:pic>
              </a:graphicData>
            </a:graphic>
          </wp:inline>
        </w:drawing>
      </w:r>
    </w:p>
    <w:p w14:paraId="77599393" w14:textId="2C821160" w:rsidR="00532EEA"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4E14899" w14:textId="77777777" w:rsidR="00532EEA" w:rsidRDefault="00532EEA">
      <w:pPr>
        <w:rPr>
          <w:rFonts w:ascii="Calibri" w:eastAsia="Times New Roman" w:hAnsi="Calibri" w:cs="Times New Roman"/>
          <w:color w:val="000000"/>
          <w:lang w:eastAsia="pt-BR"/>
        </w:rPr>
      </w:pPr>
      <w:r>
        <w:rPr>
          <w:rFonts w:ascii="Calibri" w:hAnsi="Calibri"/>
          <w:color w:val="000000"/>
        </w:rPr>
        <w:br w:type="page"/>
      </w:r>
    </w:p>
    <w:p w14:paraId="62FA044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bookmarkStart w:id="21" w:name="_GoBack"/>
      <w:bookmarkEnd w:id="21"/>
    </w:p>
    <w:tbl>
      <w:tblPr>
        <w:tblW w:w="8513" w:type="dxa"/>
        <w:tblCellMar>
          <w:top w:w="15" w:type="dxa"/>
          <w:left w:w="15" w:type="dxa"/>
          <w:bottom w:w="15" w:type="dxa"/>
          <w:right w:w="15" w:type="dxa"/>
        </w:tblCellMar>
        <w:tblLook w:val="04A0" w:firstRow="1" w:lastRow="0" w:firstColumn="1" w:lastColumn="0" w:noHBand="0" w:noVBand="1"/>
      </w:tblPr>
      <w:tblGrid>
        <w:gridCol w:w="1740"/>
        <w:gridCol w:w="6773"/>
      </w:tblGrid>
      <w:tr w:rsidR="0056446F" w:rsidRPr="003F06FA" w14:paraId="2BDA580B" w14:textId="77777777" w:rsidTr="003F06FA">
        <w:trPr>
          <w:trHeight w:val="240"/>
        </w:trPr>
        <w:tc>
          <w:tcPr>
            <w:tcW w:w="8513" w:type="dxa"/>
            <w:gridSpan w:val="2"/>
            <w:tcBorders>
              <w:top w:val="single" w:sz="6" w:space="0" w:color="000000"/>
              <w:left w:val="single" w:sz="6" w:space="0" w:color="000000"/>
              <w:bottom w:val="single" w:sz="6" w:space="0" w:color="000000"/>
              <w:right w:val="single" w:sz="6" w:space="0" w:color="000000"/>
            </w:tcBorders>
            <w:shd w:val="clear" w:color="auto" w:fill="auto"/>
            <w:tcMar>
              <w:top w:w="2" w:type="dxa"/>
              <w:left w:w="2" w:type="dxa"/>
              <w:bottom w:w="2" w:type="dxa"/>
              <w:right w:w="2" w:type="dxa"/>
            </w:tcMar>
            <w:vAlign w:val="center"/>
            <w:hideMark/>
          </w:tcPr>
          <w:p w14:paraId="427F61DE"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b/>
                <w:bCs/>
                <w:color w:val="000000"/>
                <w:sz w:val="20"/>
                <w:szCs w:val="20"/>
              </w:rPr>
              <w:t>VALORES POR ÓRGÃO</w:t>
            </w:r>
          </w:p>
        </w:tc>
      </w:tr>
      <w:tr w:rsidR="0056446F" w:rsidRPr="003F06FA" w14:paraId="753B43C9" w14:textId="77777777" w:rsidTr="003F06FA">
        <w:trPr>
          <w:trHeight w:val="255"/>
        </w:trPr>
        <w:tc>
          <w:tcPr>
            <w:tcW w:w="0" w:type="auto"/>
            <w:tcBorders>
              <w:top w:val="nil"/>
              <w:left w:val="single" w:sz="6" w:space="0" w:color="000000"/>
              <w:bottom w:val="single" w:sz="6" w:space="0" w:color="000000"/>
              <w:right w:val="single" w:sz="6" w:space="0" w:color="000000"/>
            </w:tcBorders>
            <w:shd w:val="clear" w:color="auto" w:fill="auto"/>
            <w:noWrap/>
            <w:tcMar>
              <w:top w:w="2" w:type="dxa"/>
              <w:left w:w="2" w:type="dxa"/>
              <w:bottom w:w="2" w:type="dxa"/>
              <w:right w:w="2" w:type="dxa"/>
            </w:tcMar>
            <w:vAlign w:val="center"/>
            <w:hideMark/>
          </w:tcPr>
          <w:p w14:paraId="72706207"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b/>
                <w:bCs/>
                <w:color w:val="000000"/>
                <w:sz w:val="20"/>
                <w:szCs w:val="20"/>
              </w:rPr>
              <w:t>ÓRGÃO</w:t>
            </w:r>
          </w:p>
        </w:tc>
        <w:tc>
          <w:tcPr>
            <w:tcW w:w="6773" w:type="dxa"/>
            <w:tcBorders>
              <w:top w:val="nil"/>
              <w:left w:val="nil"/>
              <w:bottom w:val="single" w:sz="6" w:space="0" w:color="000000"/>
              <w:right w:val="single" w:sz="6" w:space="0" w:color="000000"/>
            </w:tcBorders>
            <w:shd w:val="clear" w:color="auto" w:fill="auto"/>
            <w:noWrap/>
            <w:tcMar>
              <w:top w:w="2" w:type="dxa"/>
              <w:left w:w="2" w:type="dxa"/>
              <w:bottom w:w="2" w:type="dxa"/>
              <w:right w:w="2" w:type="dxa"/>
            </w:tcMar>
            <w:vAlign w:val="center"/>
            <w:hideMark/>
          </w:tcPr>
          <w:p w14:paraId="5C6DA40C"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b/>
                <w:bCs/>
                <w:color w:val="000000"/>
                <w:sz w:val="20"/>
                <w:szCs w:val="20"/>
              </w:rPr>
              <w:t>TOTAL</w:t>
            </w:r>
          </w:p>
        </w:tc>
      </w:tr>
      <w:tr w:rsidR="0056446F" w:rsidRPr="003F06FA" w14:paraId="6804105D" w14:textId="77777777" w:rsidTr="003F06FA">
        <w:trPr>
          <w:trHeight w:val="255"/>
        </w:trPr>
        <w:tc>
          <w:tcPr>
            <w:tcW w:w="0" w:type="auto"/>
            <w:tcBorders>
              <w:top w:val="nil"/>
              <w:left w:val="single" w:sz="6" w:space="0" w:color="000000"/>
              <w:bottom w:val="single" w:sz="6" w:space="0" w:color="000000"/>
              <w:right w:val="single" w:sz="6" w:space="0" w:color="000000"/>
            </w:tcBorders>
            <w:shd w:val="clear" w:color="auto" w:fill="auto"/>
            <w:noWrap/>
            <w:tcMar>
              <w:top w:w="2" w:type="dxa"/>
              <w:left w:w="2" w:type="dxa"/>
              <w:bottom w:w="2" w:type="dxa"/>
              <w:right w:w="2" w:type="dxa"/>
            </w:tcMar>
            <w:vAlign w:val="center"/>
            <w:hideMark/>
          </w:tcPr>
          <w:p w14:paraId="7DA477A4"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color w:val="000000"/>
                <w:sz w:val="20"/>
                <w:szCs w:val="20"/>
              </w:rPr>
              <w:t>HFI</w:t>
            </w:r>
          </w:p>
        </w:tc>
        <w:tc>
          <w:tcPr>
            <w:tcW w:w="6773" w:type="dxa"/>
            <w:tcBorders>
              <w:top w:val="nil"/>
              <w:left w:val="nil"/>
              <w:bottom w:val="single" w:sz="6" w:space="0" w:color="000000"/>
              <w:right w:val="single" w:sz="6" w:space="0" w:color="000000"/>
            </w:tcBorders>
            <w:shd w:val="clear" w:color="auto" w:fill="auto"/>
            <w:noWrap/>
            <w:tcMar>
              <w:top w:w="2" w:type="dxa"/>
              <w:left w:w="2" w:type="dxa"/>
              <w:bottom w:w="2" w:type="dxa"/>
              <w:right w:w="2" w:type="dxa"/>
            </w:tcMar>
            <w:vAlign w:val="center"/>
            <w:hideMark/>
          </w:tcPr>
          <w:p w14:paraId="298ED813"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color w:val="000000"/>
                <w:sz w:val="20"/>
                <w:szCs w:val="20"/>
              </w:rPr>
              <w:t>R$ 169.675,05</w:t>
            </w:r>
          </w:p>
        </w:tc>
      </w:tr>
      <w:tr w:rsidR="0056446F" w:rsidRPr="003F06FA" w14:paraId="39523A03" w14:textId="77777777" w:rsidTr="003F06FA">
        <w:trPr>
          <w:trHeight w:val="255"/>
        </w:trPr>
        <w:tc>
          <w:tcPr>
            <w:tcW w:w="0" w:type="auto"/>
            <w:tcBorders>
              <w:top w:val="nil"/>
              <w:left w:val="single" w:sz="6" w:space="0" w:color="000000"/>
              <w:bottom w:val="single" w:sz="6" w:space="0" w:color="000000"/>
              <w:right w:val="single" w:sz="6" w:space="0" w:color="000000"/>
            </w:tcBorders>
            <w:shd w:val="clear" w:color="auto" w:fill="auto"/>
            <w:noWrap/>
            <w:tcMar>
              <w:top w:w="2" w:type="dxa"/>
              <w:left w:w="2" w:type="dxa"/>
              <w:bottom w:w="2" w:type="dxa"/>
              <w:right w:w="2" w:type="dxa"/>
            </w:tcMar>
            <w:vAlign w:val="center"/>
            <w:hideMark/>
          </w:tcPr>
          <w:p w14:paraId="7EF4BA37"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color w:val="000000"/>
                <w:sz w:val="20"/>
                <w:szCs w:val="20"/>
              </w:rPr>
              <w:t>HFB</w:t>
            </w:r>
          </w:p>
        </w:tc>
        <w:tc>
          <w:tcPr>
            <w:tcW w:w="6773" w:type="dxa"/>
            <w:tcBorders>
              <w:top w:val="nil"/>
              <w:left w:val="nil"/>
              <w:bottom w:val="single" w:sz="6" w:space="0" w:color="000000"/>
              <w:right w:val="single" w:sz="6" w:space="0" w:color="000000"/>
            </w:tcBorders>
            <w:shd w:val="clear" w:color="auto" w:fill="auto"/>
            <w:noWrap/>
            <w:tcMar>
              <w:top w:w="2" w:type="dxa"/>
              <w:left w:w="2" w:type="dxa"/>
              <w:bottom w:w="2" w:type="dxa"/>
              <w:right w:w="2" w:type="dxa"/>
            </w:tcMar>
            <w:vAlign w:val="center"/>
            <w:hideMark/>
          </w:tcPr>
          <w:p w14:paraId="0D98C88B"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color w:val="000000"/>
                <w:sz w:val="20"/>
                <w:szCs w:val="20"/>
              </w:rPr>
              <w:t>R$ 169.675,05</w:t>
            </w:r>
          </w:p>
        </w:tc>
      </w:tr>
      <w:tr w:rsidR="0056446F" w:rsidRPr="003F06FA" w14:paraId="1A6FAEA3" w14:textId="77777777" w:rsidTr="003F06FA">
        <w:trPr>
          <w:trHeight w:val="255"/>
        </w:trPr>
        <w:tc>
          <w:tcPr>
            <w:tcW w:w="1740" w:type="dxa"/>
            <w:tcBorders>
              <w:top w:val="nil"/>
              <w:left w:val="single" w:sz="6" w:space="0" w:color="000000"/>
              <w:bottom w:val="single" w:sz="6" w:space="0" w:color="000000"/>
              <w:right w:val="single" w:sz="6" w:space="0" w:color="000000"/>
            </w:tcBorders>
            <w:shd w:val="clear" w:color="auto" w:fill="auto"/>
            <w:tcMar>
              <w:top w:w="2" w:type="dxa"/>
              <w:left w:w="2" w:type="dxa"/>
              <w:bottom w:w="2" w:type="dxa"/>
              <w:right w:w="2" w:type="dxa"/>
            </w:tcMar>
            <w:vAlign w:val="center"/>
            <w:hideMark/>
          </w:tcPr>
          <w:p w14:paraId="228863CD"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b/>
                <w:bCs/>
                <w:color w:val="000000"/>
                <w:sz w:val="20"/>
                <w:szCs w:val="20"/>
              </w:rPr>
              <w:t>TOTAL DO PREGÃO</w:t>
            </w:r>
          </w:p>
        </w:tc>
        <w:tc>
          <w:tcPr>
            <w:tcW w:w="6773" w:type="dxa"/>
            <w:tcBorders>
              <w:top w:val="nil"/>
              <w:left w:val="nil"/>
              <w:bottom w:val="single" w:sz="6" w:space="0" w:color="000000"/>
              <w:right w:val="single" w:sz="6" w:space="0" w:color="000000"/>
            </w:tcBorders>
            <w:shd w:val="clear" w:color="auto" w:fill="auto"/>
            <w:noWrap/>
            <w:tcMar>
              <w:top w:w="2" w:type="dxa"/>
              <w:left w:w="2" w:type="dxa"/>
              <w:bottom w:w="2" w:type="dxa"/>
              <w:right w:w="2" w:type="dxa"/>
            </w:tcMar>
            <w:vAlign w:val="center"/>
            <w:hideMark/>
          </w:tcPr>
          <w:p w14:paraId="656979BA" w14:textId="77777777" w:rsidR="0056446F" w:rsidRPr="003F06FA" w:rsidRDefault="0056446F" w:rsidP="003F06FA">
            <w:pPr>
              <w:pStyle w:val="NormalWeb"/>
              <w:spacing w:before="0" w:beforeAutospacing="0" w:after="0" w:afterAutospacing="0"/>
              <w:jc w:val="center"/>
              <w:rPr>
                <w:rFonts w:ascii="Calibri" w:hAnsi="Calibri"/>
                <w:color w:val="000000"/>
                <w:sz w:val="20"/>
                <w:szCs w:val="20"/>
              </w:rPr>
            </w:pPr>
            <w:r w:rsidRPr="003F06FA">
              <w:rPr>
                <w:rFonts w:ascii="Calibri" w:hAnsi="Calibri"/>
                <w:b/>
                <w:bCs/>
                <w:color w:val="000000"/>
                <w:sz w:val="20"/>
                <w:szCs w:val="20"/>
              </w:rPr>
              <w:t>R$ 339.350,10</w:t>
            </w:r>
          </w:p>
        </w:tc>
      </w:tr>
    </w:tbl>
    <w:p w14:paraId="001E9091" w14:textId="77777777" w:rsidR="003F06FA" w:rsidRDefault="003F06FA" w:rsidP="0056446F">
      <w:pPr>
        <w:pStyle w:val="NormalWeb"/>
        <w:spacing w:before="0" w:beforeAutospacing="0" w:after="0" w:afterAutospacing="0" w:line="360" w:lineRule="auto"/>
        <w:jc w:val="both"/>
        <w:rPr>
          <w:rFonts w:ascii="Calibri" w:hAnsi="Calibri"/>
          <w:color w:val="000000"/>
          <w:sz w:val="22"/>
          <w:szCs w:val="22"/>
        </w:rPr>
      </w:pPr>
    </w:p>
    <w:p w14:paraId="498B636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9.2. </w:t>
      </w:r>
      <w:proofErr w:type="gramStart"/>
      <w:r w:rsidRPr="0056446F">
        <w:rPr>
          <w:rFonts w:ascii="Calibri" w:hAnsi="Calibri"/>
          <w:color w:val="000000"/>
          <w:sz w:val="22"/>
          <w:szCs w:val="22"/>
        </w:rPr>
        <w:t>em</w:t>
      </w:r>
      <w:proofErr w:type="gramEnd"/>
      <w:r w:rsidRPr="0056446F">
        <w:rPr>
          <w:rFonts w:ascii="Calibri" w:hAnsi="Calibri"/>
          <w:color w:val="000000"/>
          <w:sz w:val="22"/>
          <w:szCs w:val="22"/>
        </w:rPr>
        <w:t xml:space="preserve"> caso de força maior, caso fortuito ou fato do príncipe ou em decorrência de fatos imprevisíveis ou previsíveis de consequências incalculáveis, que inviabilizem a execução da ata tal como pactuada, nos termos do disposto na </w:t>
      </w:r>
      <w:r w:rsidRPr="0056446F">
        <w:rPr>
          <w:rFonts w:ascii="Calibri" w:hAnsi="Calibri"/>
          <w:color w:val="000000"/>
          <w:sz w:val="22"/>
          <w:szCs w:val="22"/>
          <w:u w:val="single"/>
        </w:rPr>
        <w:t>alínea “d” do inciso II do caput do art. 124 da Lei nº 14.133, de 2021;</w:t>
      </w:r>
    </w:p>
    <w:p w14:paraId="03723FF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9.2.1. </w:t>
      </w:r>
      <w:proofErr w:type="gramStart"/>
      <w:r w:rsidRPr="0056446F">
        <w:rPr>
          <w:rFonts w:ascii="Calibri" w:hAnsi="Calibri"/>
          <w:color w:val="000000"/>
          <w:sz w:val="22"/>
          <w:szCs w:val="22"/>
        </w:rPr>
        <w:t>em</w:t>
      </w:r>
      <w:proofErr w:type="gramEnd"/>
      <w:r w:rsidRPr="0056446F">
        <w:rPr>
          <w:rFonts w:ascii="Calibri" w:hAnsi="Calibri"/>
          <w:color w:val="000000"/>
          <w:sz w:val="22"/>
          <w:szCs w:val="22"/>
        </w:rPr>
        <w:t xml:space="preserve"> caso de criação, alteração ou extinção de quaisquer tributos ou encargos legais ou superveniência de disposições legais, com comprovada repercussão sobre os preços registrados;</w:t>
      </w:r>
    </w:p>
    <w:p w14:paraId="510D9C4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9.2.2. </w:t>
      </w:r>
      <w:proofErr w:type="gramStart"/>
      <w:r w:rsidRPr="0056446F">
        <w:rPr>
          <w:rFonts w:ascii="Calibri" w:hAnsi="Calibri"/>
          <w:color w:val="000000"/>
          <w:sz w:val="22"/>
          <w:szCs w:val="22"/>
        </w:rPr>
        <w:t>serão</w:t>
      </w:r>
      <w:proofErr w:type="gramEnd"/>
      <w:r w:rsidRPr="0056446F">
        <w:rPr>
          <w:rFonts w:ascii="Calibri" w:hAnsi="Calibri"/>
          <w:color w:val="000000"/>
          <w:sz w:val="22"/>
          <w:szCs w:val="22"/>
        </w:rPr>
        <w:t xml:space="preserve"> reajustados os preços registrados, respeitada a contagem da anualidade e o índice previsto para a contratação; ou</w:t>
      </w:r>
    </w:p>
    <w:p w14:paraId="1230778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9.2.3. </w:t>
      </w:r>
      <w:proofErr w:type="gramStart"/>
      <w:r w:rsidRPr="0056446F">
        <w:rPr>
          <w:rFonts w:ascii="Calibri" w:hAnsi="Calibri"/>
          <w:color w:val="000000"/>
          <w:sz w:val="22"/>
          <w:szCs w:val="22"/>
        </w:rPr>
        <w:t>poderão</w:t>
      </w:r>
      <w:proofErr w:type="gramEnd"/>
      <w:r w:rsidRPr="0056446F">
        <w:rPr>
          <w:rFonts w:ascii="Calibri" w:hAnsi="Calibri"/>
          <w:color w:val="000000"/>
          <w:sz w:val="22"/>
          <w:szCs w:val="22"/>
        </w:rPr>
        <w:t xml:space="preserve"> ser repactuados, a pedido do interessado, conforme critérios definidos para a contratação.</w:t>
      </w:r>
    </w:p>
    <w:p w14:paraId="686650E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83BA0F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10. Adequação Orçamentária</w:t>
      </w:r>
    </w:p>
    <w:p w14:paraId="629AE9C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10.1. As despesas decorrentes da presente contratação correrão à conta de recursos específicos consignados no Orçamento Geral da União.</w:t>
      </w:r>
    </w:p>
    <w:p w14:paraId="6C07BDD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2F9CBF0D" w14:textId="77777777" w:rsidR="003F06FA" w:rsidRDefault="003F06FA" w:rsidP="0056446F">
      <w:pPr>
        <w:pStyle w:val="NormalWeb"/>
        <w:spacing w:before="0" w:beforeAutospacing="0" w:after="0" w:afterAutospacing="0" w:line="360" w:lineRule="auto"/>
        <w:jc w:val="both"/>
        <w:rPr>
          <w:rFonts w:ascii="Calibri" w:hAnsi="Calibri"/>
          <w:b/>
          <w:bCs/>
          <w:color w:val="000000"/>
          <w:sz w:val="22"/>
          <w:szCs w:val="22"/>
        </w:rPr>
      </w:pPr>
    </w:p>
    <w:p w14:paraId="000B3B6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11. Infração e Sanções Administrativas</w:t>
      </w:r>
    </w:p>
    <w:p w14:paraId="49F189F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11.1. Comete infração administrativa, nos termos da Lei nº 14.133, de 2021, o contratado que:</w:t>
      </w:r>
    </w:p>
    <w:p w14:paraId="5247D75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 der causa à inexecução parcial do contrato;</w:t>
      </w:r>
    </w:p>
    <w:p w14:paraId="291D656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b) der causa à inexecução parcial do contrato que cause grave dano à Administração ou ao funcionamento dos serviços públicos ou ao interesse coletivo;</w:t>
      </w:r>
    </w:p>
    <w:p w14:paraId="67C7BB6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 der causa à inexecução total do contrato;</w:t>
      </w:r>
    </w:p>
    <w:p w14:paraId="746CD42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d) ensejar o retardamento da execução ou da entrega do objeto da contratação sem motivo justificado;</w:t>
      </w:r>
    </w:p>
    <w:p w14:paraId="0E13BA6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e) apresentar documentação falsa ou prestar declaração falsa durante a execução do contrato;</w:t>
      </w:r>
    </w:p>
    <w:p w14:paraId="25E3D4E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f) praticar ato fraudulento na execução do contrato;</w:t>
      </w:r>
    </w:p>
    <w:p w14:paraId="306C15B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g) comportar-se de modo inidôneo ou cometer fraude de qualquer natureza;</w:t>
      </w:r>
    </w:p>
    <w:p w14:paraId="3D8AA96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h) praticar ato lesivo previsto no art. 5º da Lei nº 12.846, de 1º de agosto de 2013.</w:t>
      </w:r>
    </w:p>
    <w:p w14:paraId="0B90F78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11.2. Serão aplicadas ao contratado que incorrer nas infrações acima descritas as seguintes sanções:</w:t>
      </w:r>
    </w:p>
    <w:p w14:paraId="5374071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 - </w:t>
      </w:r>
      <w:r w:rsidRPr="0056446F">
        <w:rPr>
          <w:rFonts w:ascii="Calibri" w:hAnsi="Calibri"/>
          <w:b/>
          <w:bCs/>
          <w:color w:val="000000"/>
          <w:sz w:val="22"/>
          <w:szCs w:val="22"/>
        </w:rPr>
        <w:t>Advertência</w:t>
      </w:r>
      <w:r w:rsidRPr="0056446F">
        <w:rPr>
          <w:rFonts w:ascii="Calibri" w:hAnsi="Calibri"/>
          <w:color w:val="000000"/>
          <w:sz w:val="22"/>
          <w:szCs w:val="22"/>
        </w:rPr>
        <w:t>, quando o contratado der causa à inexecução parcial do contrato, sempre que não se justificar a imposição de penalidade mais grave (art. 156, §2º, da Lei nº 14.133, de 2021);</w:t>
      </w:r>
    </w:p>
    <w:p w14:paraId="25403D5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II - </w:t>
      </w:r>
      <w:r w:rsidRPr="0056446F">
        <w:rPr>
          <w:rFonts w:ascii="Calibri" w:hAnsi="Calibri"/>
          <w:b/>
          <w:bCs/>
          <w:color w:val="000000"/>
          <w:sz w:val="22"/>
          <w:szCs w:val="22"/>
        </w:rPr>
        <w:t>Impedimento de licitar e contratar</w:t>
      </w:r>
      <w:r w:rsidRPr="0056446F">
        <w:rPr>
          <w:rFonts w:ascii="Calibri" w:hAnsi="Calibri"/>
          <w:color w:val="000000"/>
          <w:sz w:val="22"/>
          <w:szCs w:val="22"/>
        </w:rPr>
        <w:t>, quando praticadas as condutas descritas nas alíneas “b”, “c” e “d” do subitem acima deste Contrato, sempre que não se justificar a imposição de penalidade mais grave (art. 156, § 4º, da Lei nº 14.133, de 2021);</w:t>
      </w:r>
    </w:p>
    <w:p w14:paraId="2C7F145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III - </w:t>
      </w:r>
      <w:r w:rsidRPr="0056446F">
        <w:rPr>
          <w:rFonts w:ascii="Calibri" w:hAnsi="Calibri"/>
          <w:b/>
          <w:bCs/>
          <w:color w:val="000000"/>
          <w:sz w:val="22"/>
          <w:szCs w:val="22"/>
        </w:rPr>
        <w:t>Declaração de inidoneidade para licitar e contratar</w:t>
      </w:r>
      <w:r w:rsidRPr="0056446F">
        <w:rPr>
          <w:rFonts w:ascii="Calibri" w:hAnsi="Calibri"/>
          <w:color w:val="000000"/>
          <w:sz w:val="22"/>
          <w:szCs w:val="22"/>
        </w:rPr>
        <w:t>, quando praticadas as condutas descritas nas alíneas “e”, “f”, “g” e “h” do subitem acima deste Contrato, bem como nas alíneas “b”, “c” e “d”, que justifiquem a imposição de penalidade mais grave (art. 156, §5º, da Lei nº 14.133, de 2021).</w:t>
      </w:r>
    </w:p>
    <w:p w14:paraId="223C3B9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IV - </w:t>
      </w:r>
      <w:r w:rsidRPr="0056446F">
        <w:rPr>
          <w:rFonts w:ascii="Calibri" w:hAnsi="Calibri"/>
          <w:b/>
          <w:bCs/>
          <w:color w:val="000000"/>
          <w:sz w:val="22"/>
          <w:szCs w:val="22"/>
        </w:rPr>
        <w:t>Multa:</w:t>
      </w:r>
    </w:p>
    <w:p w14:paraId="7BC74F4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 Moratória de 0,33% (zero vírgula trinta e três por cento) por dia de atraso injustificado sobre o valor da parcela inadimplida, até o limite de 30 (trinta) dias;</w:t>
      </w:r>
    </w:p>
    <w:p w14:paraId="2839F3F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b) Compensatória de 10% (</w:t>
      </w:r>
      <w:r w:rsidRPr="0056446F">
        <w:rPr>
          <w:rFonts w:ascii="Calibri" w:hAnsi="Calibri"/>
          <w:i/>
          <w:iCs/>
          <w:color w:val="000000"/>
          <w:sz w:val="22"/>
          <w:szCs w:val="22"/>
        </w:rPr>
        <w:t>dez por cento</w:t>
      </w:r>
      <w:r w:rsidRPr="0056446F">
        <w:rPr>
          <w:rFonts w:ascii="Calibri" w:hAnsi="Calibri"/>
          <w:color w:val="000000"/>
          <w:sz w:val="22"/>
          <w:szCs w:val="22"/>
        </w:rPr>
        <w:t>) sobre o valor total do contrato, no caso de inexecução total do objeto;</w:t>
      </w:r>
    </w:p>
    <w:p w14:paraId="5251578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 A aplicação das sanções previstas neste Contrato não exclui, em hipótese alguma, a obrigação de reparação integral do dano causado ao Contratante (art. 156, §9º, da Lei nº 14.133, de 2021).</w:t>
      </w:r>
    </w:p>
    <w:p w14:paraId="15976EC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11.3. Todas as sanções previstas neste Contrato poderão ser aplicadas cumulativamente com a multa (art. 156, §7º, da Lei nº 14.133, de 2021).</w:t>
      </w:r>
    </w:p>
    <w:p w14:paraId="6D81532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11.3.1. Antes da aplicação da multa será facultada a defesa do interessado no prazo de 15 (quinze) dias úteis, contado da data de sua intimação (art. 157, da Lei nº 14.133, de 2021)</w:t>
      </w:r>
    </w:p>
    <w:p w14:paraId="15600C5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11.3.2.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2B5A2E4A" w14:textId="77777777" w:rsidR="003F06FA"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11.3.3. Previamente ao encaminhamento à cobrança judicial, a multa poderá ser recolhida </w:t>
      </w:r>
    </w:p>
    <w:p w14:paraId="20C5FAD0" w14:textId="3DAEA992"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administrativamente</w:t>
      </w:r>
      <w:proofErr w:type="gramEnd"/>
      <w:r w:rsidRPr="0056446F">
        <w:rPr>
          <w:rFonts w:ascii="Calibri" w:hAnsi="Calibri"/>
          <w:color w:val="000000"/>
          <w:sz w:val="22"/>
          <w:szCs w:val="22"/>
        </w:rPr>
        <w:t xml:space="preserve"> no prazo máximo de 30</w:t>
      </w:r>
      <w:r w:rsidRPr="0056446F">
        <w:rPr>
          <w:rFonts w:ascii="Calibri" w:hAnsi="Calibri"/>
          <w:i/>
          <w:iCs/>
          <w:color w:val="000000"/>
          <w:sz w:val="22"/>
          <w:szCs w:val="22"/>
        </w:rPr>
        <w:t> (trinta) </w:t>
      </w:r>
      <w:r w:rsidRPr="0056446F">
        <w:rPr>
          <w:rFonts w:ascii="Calibri" w:hAnsi="Calibri"/>
          <w:color w:val="000000"/>
          <w:sz w:val="22"/>
          <w:szCs w:val="22"/>
        </w:rPr>
        <w:t>dias, a contar da data do recebimento da comunicação enviada pela autoridade competente.</w:t>
      </w:r>
    </w:p>
    <w:p w14:paraId="6633C08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11.4. A aplicação das sanções realizar-se-á em processo administrativo que assegure o contraditório e a ampla defesa ao Contratado, observando-se o procedimento previsto </w:t>
      </w:r>
      <w:r w:rsidRPr="0056446F">
        <w:rPr>
          <w:rFonts w:ascii="Calibri" w:hAnsi="Calibri"/>
          <w:color w:val="000000"/>
          <w:sz w:val="22"/>
          <w:szCs w:val="22"/>
        </w:rPr>
        <w:lastRenderedPageBreak/>
        <w:t>no </w:t>
      </w:r>
      <w:r w:rsidRPr="0056446F">
        <w:rPr>
          <w:rFonts w:ascii="Calibri" w:hAnsi="Calibri"/>
          <w:b/>
          <w:bCs/>
          <w:color w:val="000000"/>
          <w:sz w:val="22"/>
          <w:szCs w:val="22"/>
        </w:rPr>
        <w:t>caput </w:t>
      </w:r>
      <w:r w:rsidRPr="0056446F">
        <w:rPr>
          <w:rFonts w:ascii="Calibri" w:hAnsi="Calibri"/>
          <w:color w:val="000000"/>
          <w:sz w:val="22"/>
          <w:szCs w:val="22"/>
        </w:rPr>
        <w:t>e parágrafos do art. 158 da Lei nº 14.133, de 2021, para as penalidades de impedimento de licitar e contratar e de declaração de inidoneidade para licitar ou contratar.</w:t>
      </w:r>
    </w:p>
    <w:p w14:paraId="6A6EA38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11.5. Na aplicação das sanções serão considerados (art. 156, §1º, da Lei nº 14.133, de 2021):</w:t>
      </w:r>
    </w:p>
    <w:p w14:paraId="31848F1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 natureza e a gravidade da infração cometida;</w:t>
      </w:r>
    </w:p>
    <w:p w14:paraId="45725AC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b) as peculiaridades do caso concreto;</w:t>
      </w:r>
    </w:p>
    <w:p w14:paraId="4F11033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 as circunstâncias agravantes ou atenuantes;</w:t>
      </w:r>
    </w:p>
    <w:p w14:paraId="5AB64CE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d) os danos que dela provierem para o Contratante;</w:t>
      </w:r>
    </w:p>
    <w:p w14:paraId="1EB0D23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e) a implantação ou o aperfeiçoamento de programa de integridade, conforme normas e orientações dos órgãos de controle.</w:t>
      </w:r>
    </w:p>
    <w:p w14:paraId="007C9C5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7855BD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2220CF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6446F">
        <w:rPr>
          <w:rFonts w:ascii="Calibri" w:hAnsi="Calibri"/>
          <w:color w:val="000000"/>
          <w:sz w:val="22"/>
          <w:szCs w:val="22"/>
        </w:rPr>
        <w:t>Ceis</w:t>
      </w:r>
      <w:proofErr w:type="spellEnd"/>
      <w:r w:rsidRPr="0056446F">
        <w:rPr>
          <w:rFonts w:ascii="Calibri" w:hAnsi="Calibri"/>
          <w:color w:val="000000"/>
          <w:sz w:val="22"/>
          <w:szCs w:val="22"/>
        </w:rPr>
        <w:t>) e no Cadastro Nacional de Empresas Punidas (</w:t>
      </w:r>
      <w:proofErr w:type="spellStart"/>
      <w:r w:rsidRPr="0056446F">
        <w:rPr>
          <w:rFonts w:ascii="Calibri" w:hAnsi="Calibri"/>
          <w:color w:val="000000"/>
          <w:sz w:val="22"/>
          <w:szCs w:val="22"/>
        </w:rPr>
        <w:t>Cnep</w:t>
      </w:r>
      <w:proofErr w:type="spellEnd"/>
      <w:r w:rsidRPr="0056446F">
        <w:rPr>
          <w:rFonts w:ascii="Calibri" w:hAnsi="Calibri"/>
          <w:color w:val="000000"/>
          <w:sz w:val="22"/>
          <w:szCs w:val="22"/>
        </w:rPr>
        <w:t>), instituídos no âmbito do Poder Executivo Federal. (Art. 161, da Lei nº 14.133, de 2021).</w:t>
      </w:r>
    </w:p>
    <w:p w14:paraId="4F5869A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11.9. As sanções de impedimento de licitar e contratar e declaração de inidoneidade para licitar ou contratar são passíveis de reabilitação na forma do art. 163 da Lei nº 14.133/21.</w:t>
      </w:r>
    </w:p>
    <w:p w14:paraId="0DDAD4B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F1E185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0978DA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lastRenderedPageBreak/>
        <w:t>12. APROVAÇÃO</w:t>
      </w:r>
    </w:p>
    <w:p w14:paraId="312127C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12.1. Respondendo exclusivamente por especificações técnicas do presente Termo de Referência - Aprovação tão somente no que tange à justificativa técnica, às especificações técnicas descritas no paragrafo 1.2. (descrição dos insumos), não abrangendo os valores e estimativas de valores constantes do Termo de Referência.</w:t>
      </w:r>
    </w:p>
    <w:p w14:paraId="6000431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51B2AAB" w14:textId="7530EA45" w:rsidR="0056446F" w:rsidRPr="00AF6801" w:rsidRDefault="00AF6801" w:rsidP="00AF6801">
      <w:pPr>
        <w:pStyle w:val="NormalWeb"/>
        <w:spacing w:before="0" w:beforeAutospacing="0" w:after="0" w:afterAutospacing="0" w:line="360" w:lineRule="auto"/>
        <w:jc w:val="center"/>
        <w:rPr>
          <w:rFonts w:ascii="Calibri" w:hAnsi="Calibri"/>
          <w:b/>
          <w:color w:val="000000"/>
          <w:sz w:val="22"/>
          <w:szCs w:val="22"/>
        </w:rPr>
      </w:pPr>
      <w:r w:rsidRPr="00AF6801">
        <w:rPr>
          <w:rFonts w:ascii="Calibri" w:hAnsi="Calibri"/>
          <w:b/>
          <w:color w:val="000000"/>
          <w:sz w:val="22"/>
          <w:szCs w:val="22"/>
        </w:rPr>
        <w:t>SÉRGIO DOMINGOS BOCARDO</w:t>
      </w:r>
    </w:p>
    <w:p w14:paraId="7E409D03"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color w:val="000000"/>
          <w:sz w:val="22"/>
          <w:szCs w:val="22"/>
        </w:rPr>
        <w:t>Médico</w:t>
      </w:r>
    </w:p>
    <w:p w14:paraId="0FD4737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45DEA4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1F09389"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LUIZ GUSTAVO DE OLIVEIRA E SILVA</w:t>
      </w:r>
    </w:p>
    <w:p w14:paraId="0558B308"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color w:val="000000"/>
          <w:sz w:val="22"/>
          <w:szCs w:val="22"/>
        </w:rPr>
        <w:t>Substituto Eventual do Diretor do Hospital Federal de Ipanema</w:t>
      </w:r>
    </w:p>
    <w:p w14:paraId="36D8FF98"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color w:val="000000"/>
          <w:sz w:val="22"/>
          <w:szCs w:val="22"/>
        </w:rPr>
        <w:t>PORTARIA/SAA/MS nº 638 de 01 de junho de 2023</w:t>
      </w:r>
    </w:p>
    <w:p w14:paraId="3DD231D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F9A3F60" w14:textId="2C613ABB" w:rsidR="00596D24" w:rsidRDefault="0056446F" w:rsidP="00596D24">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916E20A" w14:textId="77777777" w:rsidR="00596D24" w:rsidRDefault="00596D24">
      <w:pPr>
        <w:rPr>
          <w:rFonts w:ascii="Calibri" w:eastAsia="Times New Roman" w:hAnsi="Calibri" w:cs="Times New Roman"/>
          <w:color w:val="000000"/>
          <w:lang w:eastAsia="pt-BR"/>
        </w:rPr>
      </w:pPr>
      <w:r>
        <w:rPr>
          <w:rFonts w:ascii="Calibri" w:hAnsi="Calibri"/>
          <w:color w:val="000000"/>
        </w:rPr>
        <w:br w:type="page"/>
      </w:r>
    </w:p>
    <w:p w14:paraId="7F138EFB" w14:textId="77777777" w:rsidR="0056446F" w:rsidRDefault="0056446F" w:rsidP="00596D24">
      <w:pPr>
        <w:pStyle w:val="NormalWeb"/>
        <w:spacing w:before="0" w:beforeAutospacing="0" w:after="0" w:afterAutospacing="0" w:line="360" w:lineRule="auto"/>
        <w:jc w:val="both"/>
        <w:rPr>
          <w:rFonts w:ascii="Calibri" w:hAnsi="Calibri"/>
          <w:color w:val="000000"/>
          <w:sz w:val="22"/>
          <w:szCs w:val="22"/>
        </w:rPr>
      </w:pPr>
    </w:p>
    <w:p w14:paraId="70983CDE"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1B640EC1"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6896D090"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7CCC04F7"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39E78412"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01C288A0"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1F000CB0"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5FF37602"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1A0312CE"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02F527C8" w14:textId="77777777" w:rsidR="00AF6801" w:rsidRPr="0056446F" w:rsidRDefault="00AF6801" w:rsidP="0056446F">
      <w:pPr>
        <w:pStyle w:val="NormalWeb"/>
        <w:spacing w:before="0" w:beforeAutospacing="0" w:after="0" w:afterAutospacing="0" w:line="360" w:lineRule="auto"/>
        <w:jc w:val="both"/>
        <w:rPr>
          <w:rFonts w:ascii="Calibri" w:hAnsi="Calibri"/>
          <w:color w:val="000000"/>
          <w:sz w:val="22"/>
          <w:szCs w:val="22"/>
        </w:rPr>
      </w:pPr>
    </w:p>
    <w:p w14:paraId="2B7DFC76"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ANEXO II</w:t>
      </w:r>
    </w:p>
    <w:p w14:paraId="1B4B0E01"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ATA DE REGISTRO DE PREÇOS Nº XX/2024</w:t>
      </w:r>
    </w:p>
    <w:p w14:paraId="2964F10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07E6AC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O Hospital Federal de Ipanema, com sede na Rua Antônio Parreiras, 67/69 – 3º andar – Ipanema - Rio de Janeiro, CEP.: 22411-020, inscrito no Cadastro Nacional de Pessoa Jurídica do Ministério da Fazenda sob o nº 00.394.544/0210-00, neste ato representado pela sua Diretora, Dra. SELENE MARIA RENDEIRO BEZERRA, nomeada pela Portaria GM/MS nº. 416, de 27 de fevereiro de 2023, publicada no DOU n° 61, Seção 2, de 29/03/2023, portadora da matrícula funcional nº </w:t>
      </w:r>
      <w:proofErr w:type="gramStart"/>
      <w:r w:rsidRPr="0056446F">
        <w:rPr>
          <w:rFonts w:ascii="Calibri" w:hAnsi="Calibri"/>
          <w:color w:val="000000"/>
          <w:sz w:val="22"/>
          <w:szCs w:val="22"/>
        </w:rPr>
        <w:t>6654174,considerando</w:t>
      </w:r>
      <w:proofErr w:type="gramEnd"/>
      <w:r w:rsidRPr="0056446F">
        <w:rPr>
          <w:rFonts w:ascii="Calibri" w:hAnsi="Calibri"/>
          <w:color w:val="000000"/>
          <w:sz w:val="22"/>
          <w:szCs w:val="22"/>
        </w:rPr>
        <w:t xml:space="preserve"> o julgamento da licitação na modalidade de pregão, na forma eletrônica, para REGISTRO DE PREÇOS nº </w:t>
      </w:r>
      <w:r w:rsidRPr="0056446F">
        <w:rPr>
          <w:rFonts w:ascii="Calibri" w:hAnsi="Calibri"/>
          <w:b/>
          <w:bCs/>
          <w:color w:val="000000"/>
          <w:sz w:val="22"/>
          <w:szCs w:val="22"/>
        </w:rPr>
        <w:t>XX/2024</w:t>
      </w:r>
      <w:r w:rsidRPr="0056446F">
        <w:rPr>
          <w:rFonts w:ascii="Calibri" w:hAnsi="Calibri"/>
          <w:color w:val="000000"/>
          <w:sz w:val="22"/>
          <w:szCs w:val="22"/>
        </w:rPr>
        <w:t>, processo administrativo n.º </w:t>
      </w:r>
      <w:r w:rsidRPr="0056446F">
        <w:rPr>
          <w:rFonts w:ascii="Calibri" w:hAnsi="Calibri"/>
          <w:b/>
          <w:bCs/>
          <w:color w:val="000000"/>
          <w:sz w:val="22"/>
          <w:szCs w:val="22"/>
        </w:rPr>
        <w:t>33401.078376/2024-41</w:t>
      </w:r>
      <w:r w:rsidRPr="0056446F">
        <w:rPr>
          <w:rFonts w:ascii="Calibri" w:hAnsi="Calibri"/>
          <w:color w:val="000000"/>
          <w:sz w:val="22"/>
          <w:szCs w:val="22"/>
        </w:rPr>
        <w:t>, referente ao pregão </w:t>
      </w:r>
      <w:r w:rsidRPr="0056446F">
        <w:rPr>
          <w:rFonts w:ascii="Calibri" w:hAnsi="Calibri"/>
          <w:b/>
          <w:bCs/>
          <w:color w:val="000000"/>
          <w:sz w:val="22"/>
          <w:szCs w:val="22"/>
        </w:rPr>
        <w:t>XX/2024</w:t>
      </w:r>
      <w:r w:rsidRPr="0056446F">
        <w:rPr>
          <w:rFonts w:ascii="Calibri" w:hAnsi="Calibri"/>
          <w:color w:val="000000"/>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203C6F3" w14:textId="77777777" w:rsidR="00AF6801" w:rsidRDefault="00AF6801" w:rsidP="0056446F">
      <w:pPr>
        <w:pStyle w:val="NormalWeb"/>
        <w:spacing w:before="0" w:beforeAutospacing="0" w:after="0" w:afterAutospacing="0" w:line="360" w:lineRule="auto"/>
        <w:jc w:val="both"/>
        <w:rPr>
          <w:rFonts w:ascii="Calibri" w:hAnsi="Calibri"/>
          <w:b/>
          <w:bCs/>
          <w:color w:val="000000"/>
          <w:sz w:val="22"/>
          <w:szCs w:val="22"/>
        </w:rPr>
      </w:pPr>
    </w:p>
    <w:p w14:paraId="2CD300F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 DO OBJETO</w:t>
      </w:r>
    </w:p>
    <w:p w14:paraId="35D9BDF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 A presente ata tem por objeto o registro de preços para a eventual aquisição de insumos – </w:t>
      </w:r>
      <w:r w:rsidRPr="0056446F">
        <w:rPr>
          <w:rFonts w:ascii="Calibri" w:hAnsi="Calibri"/>
          <w:b/>
          <w:bCs/>
          <w:color w:val="000000"/>
          <w:sz w:val="22"/>
          <w:szCs w:val="22"/>
        </w:rPr>
        <w:t>DERMATOMO ELÉTRICO SEM FIO</w:t>
      </w:r>
      <w:r w:rsidRPr="0056446F">
        <w:rPr>
          <w:rFonts w:ascii="Calibri" w:hAnsi="Calibri"/>
          <w:color w:val="000000"/>
          <w:sz w:val="22"/>
          <w:szCs w:val="22"/>
        </w:rPr>
        <w:t xml:space="preserve"> padronizado para atender às necessidades do Serviço de Cirurgia Plástica do Hospital Federal de Ipanema e demais órgãos participantes, especificados nos itens: </w:t>
      </w:r>
      <w:proofErr w:type="spellStart"/>
      <w:r w:rsidRPr="0056446F">
        <w:rPr>
          <w:rFonts w:ascii="Calibri" w:hAnsi="Calibri"/>
          <w:color w:val="000000"/>
          <w:sz w:val="22"/>
          <w:szCs w:val="22"/>
        </w:rPr>
        <w:t>xxxdo</w:t>
      </w:r>
      <w:proofErr w:type="spellEnd"/>
      <w:r w:rsidRPr="0056446F">
        <w:rPr>
          <w:rFonts w:ascii="Calibri" w:hAnsi="Calibri"/>
          <w:color w:val="000000"/>
          <w:sz w:val="22"/>
          <w:szCs w:val="22"/>
        </w:rPr>
        <w:t xml:space="preserve"> Termo de Referência Anexo I do Edital do Pregão nº </w:t>
      </w:r>
      <w:r w:rsidRPr="0056446F">
        <w:rPr>
          <w:rFonts w:ascii="Calibri" w:hAnsi="Calibri"/>
          <w:b/>
          <w:bCs/>
          <w:color w:val="000000"/>
          <w:sz w:val="22"/>
          <w:szCs w:val="22"/>
        </w:rPr>
        <w:t>XX/2024</w:t>
      </w:r>
      <w:r w:rsidRPr="0056446F">
        <w:rPr>
          <w:rFonts w:ascii="Calibri" w:hAnsi="Calibri"/>
          <w:color w:val="000000"/>
          <w:sz w:val="22"/>
          <w:szCs w:val="22"/>
        </w:rPr>
        <w:t>, que é parte integrante desta Ata, assim como as propostas cujos preços tenham sido registrados, independentemente de transcrição.</w:t>
      </w:r>
    </w:p>
    <w:p w14:paraId="7D58A87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 </w:t>
      </w:r>
    </w:p>
    <w:p w14:paraId="4D42F02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2. DOS PREÇOS, ESPECIFICAÇÕES E QUANTITATIVOS.</w:t>
      </w:r>
    </w:p>
    <w:p w14:paraId="4251604C" w14:textId="35F420F6" w:rsid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2.1 O preço registrado, as especificações do objeto, as quantidades mínimas e máximas de cada item, </w:t>
      </w:r>
      <w:proofErr w:type="gramStart"/>
      <w:r w:rsidRPr="0056446F">
        <w:rPr>
          <w:rFonts w:ascii="Calibri" w:hAnsi="Calibri"/>
          <w:color w:val="000000"/>
          <w:sz w:val="22"/>
          <w:szCs w:val="22"/>
        </w:rPr>
        <w:t>fornecedor(</w:t>
      </w:r>
      <w:proofErr w:type="gramEnd"/>
      <w:r w:rsidRPr="0056446F">
        <w:rPr>
          <w:rFonts w:ascii="Calibri" w:hAnsi="Calibri"/>
          <w:color w:val="000000"/>
          <w:sz w:val="22"/>
          <w:szCs w:val="22"/>
        </w:rPr>
        <w:t>es) e as demais condições ofertadas na(s) proposta(s) são as que seguem: </w:t>
      </w:r>
    </w:p>
    <w:p w14:paraId="049DADAC"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301C4F5D"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491D7F3F" w14:textId="77777777" w:rsidR="00AF6801" w:rsidRPr="0056446F" w:rsidRDefault="00AF6801" w:rsidP="0056446F">
      <w:pPr>
        <w:pStyle w:val="NormalWeb"/>
        <w:spacing w:before="0" w:beforeAutospacing="0" w:after="0" w:afterAutospacing="0" w:line="360" w:lineRule="auto"/>
        <w:jc w:val="both"/>
        <w:rPr>
          <w:rFonts w:ascii="Calibri" w:hAnsi="Calibri"/>
          <w:color w:val="000000"/>
          <w:sz w:val="22"/>
          <w:szCs w:val="22"/>
        </w:rPr>
      </w:pPr>
    </w:p>
    <w:tbl>
      <w:tblPr>
        <w:tblW w:w="8785" w:type="dxa"/>
        <w:tblInd w:w="15" w:type="dxa"/>
        <w:tblLayout w:type="fixed"/>
        <w:tblCellMar>
          <w:top w:w="15" w:type="dxa"/>
          <w:left w:w="15" w:type="dxa"/>
          <w:bottom w:w="15" w:type="dxa"/>
          <w:right w:w="15" w:type="dxa"/>
        </w:tblCellMar>
        <w:tblLook w:val="04A0" w:firstRow="1" w:lastRow="0" w:firstColumn="1" w:lastColumn="0" w:noHBand="0" w:noVBand="1"/>
      </w:tblPr>
      <w:tblGrid>
        <w:gridCol w:w="755"/>
        <w:gridCol w:w="801"/>
        <w:gridCol w:w="1275"/>
        <w:gridCol w:w="1276"/>
        <w:gridCol w:w="851"/>
        <w:gridCol w:w="851"/>
        <w:gridCol w:w="992"/>
        <w:gridCol w:w="850"/>
        <w:gridCol w:w="1134"/>
      </w:tblGrid>
      <w:tr w:rsidR="0056446F" w:rsidRPr="00AF6801" w14:paraId="6599C640" w14:textId="77777777" w:rsidTr="00AF6801">
        <w:trPr>
          <w:trHeight w:val="510"/>
        </w:trPr>
        <w:tc>
          <w:tcPr>
            <w:tcW w:w="755" w:type="dxa"/>
            <w:tcBorders>
              <w:top w:val="single" w:sz="6" w:space="0" w:color="000000"/>
              <w:left w:val="single" w:sz="6" w:space="0" w:color="000000"/>
              <w:bottom w:val="single" w:sz="6" w:space="0" w:color="000000"/>
              <w:right w:val="single" w:sz="6" w:space="0" w:color="000000"/>
            </w:tcBorders>
            <w:tcMar>
              <w:top w:w="0" w:type="dxa"/>
              <w:left w:w="11" w:type="dxa"/>
              <w:bottom w:w="0" w:type="dxa"/>
              <w:right w:w="11" w:type="dxa"/>
            </w:tcMar>
            <w:vAlign w:val="center"/>
            <w:hideMark/>
          </w:tcPr>
          <w:p w14:paraId="46E8149B"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ITEM</w:t>
            </w:r>
          </w:p>
          <w:p w14:paraId="506B65B5"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DO</w:t>
            </w:r>
          </w:p>
          <w:p w14:paraId="4329C412"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TR</w:t>
            </w:r>
          </w:p>
        </w:tc>
        <w:tc>
          <w:tcPr>
            <w:tcW w:w="8030" w:type="dxa"/>
            <w:gridSpan w:val="8"/>
            <w:tcBorders>
              <w:top w:val="single" w:sz="6" w:space="0" w:color="000000"/>
              <w:left w:val="nil"/>
              <w:bottom w:val="single" w:sz="6" w:space="0" w:color="000000"/>
              <w:right w:val="single" w:sz="6" w:space="0" w:color="000000"/>
            </w:tcBorders>
            <w:tcMar>
              <w:top w:w="0" w:type="dxa"/>
              <w:left w:w="11" w:type="dxa"/>
              <w:bottom w:w="0" w:type="dxa"/>
              <w:right w:w="11" w:type="dxa"/>
            </w:tcMar>
            <w:hideMark/>
          </w:tcPr>
          <w:p w14:paraId="3453AEEC"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p w14:paraId="096A590C"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FORNECEDOR </w:t>
            </w:r>
            <w:r w:rsidRPr="00AF6801">
              <w:rPr>
                <w:rFonts w:ascii="Calibri" w:hAnsi="Calibri"/>
                <w:b/>
                <w:bCs/>
                <w:i/>
                <w:iCs/>
                <w:color w:val="000000"/>
                <w:sz w:val="18"/>
                <w:szCs w:val="18"/>
              </w:rPr>
              <w:t>(RAZÃO SOCIAL, CNPJ/MF, ENDEREÇO, CONTATOS, REPRESENTANTE)</w:t>
            </w:r>
          </w:p>
          <w:p w14:paraId="4FE6D582"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r>
      <w:tr w:rsidR="0056446F" w:rsidRPr="00AF6801" w14:paraId="12109940" w14:textId="77777777" w:rsidTr="00AF6801">
        <w:trPr>
          <w:trHeight w:val="675"/>
        </w:trPr>
        <w:tc>
          <w:tcPr>
            <w:tcW w:w="755"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57575FEA"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X</w:t>
            </w:r>
          </w:p>
        </w:tc>
        <w:tc>
          <w:tcPr>
            <w:tcW w:w="801"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6FE8FB01" w14:textId="77777777" w:rsidR="00AF6801" w:rsidRDefault="0056446F" w:rsidP="00AF6801">
            <w:pPr>
              <w:pStyle w:val="NormalWeb"/>
              <w:spacing w:before="0" w:beforeAutospacing="0" w:after="0" w:afterAutospacing="0"/>
              <w:jc w:val="center"/>
              <w:rPr>
                <w:rFonts w:ascii="Calibri" w:hAnsi="Calibri"/>
                <w:b/>
                <w:bCs/>
                <w:color w:val="000000"/>
                <w:sz w:val="18"/>
                <w:szCs w:val="18"/>
              </w:rPr>
            </w:pPr>
            <w:r w:rsidRPr="00AF6801">
              <w:rPr>
                <w:rFonts w:ascii="Calibri" w:hAnsi="Calibri"/>
                <w:b/>
                <w:bCs/>
                <w:color w:val="000000"/>
                <w:sz w:val="18"/>
                <w:szCs w:val="18"/>
              </w:rPr>
              <w:t>ESPECIFI</w:t>
            </w:r>
          </w:p>
          <w:p w14:paraId="4E07659B" w14:textId="57F2391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CAÇÃO</w:t>
            </w:r>
          </w:p>
        </w:tc>
        <w:tc>
          <w:tcPr>
            <w:tcW w:w="1275"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0CD1BDBC"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MARCA</w:t>
            </w:r>
          </w:p>
          <w:p w14:paraId="65688147"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(SE EXIGIDA NO EDITAL)</w:t>
            </w:r>
          </w:p>
        </w:tc>
        <w:tc>
          <w:tcPr>
            <w:tcW w:w="1276"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75347288"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MODELO</w:t>
            </w:r>
          </w:p>
          <w:p w14:paraId="781AC144"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(SE EXIGIDO NO EDITAL)</w:t>
            </w:r>
          </w:p>
        </w:tc>
        <w:tc>
          <w:tcPr>
            <w:tcW w:w="851"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35754344"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UNIDADE</w:t>
            </w:r>
          </w:p>
        </w:tc>
        <w:tc>
          <w:tcPr>
            <w:tcW w:w="851"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0BA77346" w14:textId="77777777" w:rsidR="00AF6801" w:rsidRDefault="0056446F" w:rsidP="00AF6801">
            <w:pPr>
              <w:pStyle w:val="NormalWeb"/>
              <w:spacing w:before="0" w:beforeAutospacing="0" w:after="0" w:afterAutospacing="0"/>
              <w:jc w:val="center"/>
              <w:rPr>
                <w:rFonts w:ascii="Calibri" w:hAnsi="Calibri"/>
                <w:b/>
                <w:bCs/>
                <w:color w:val="000000"/>
                <w:sz w:val="18"/>
                <w:szCs w:val="18"/>
              </w:rPr>
            </w:pPr>
            <w:r w:rsidRPr="00AF6801">
              <w:rPr>
                <w:rFonts w:ascii="Calibri" w:hAnsi="Calibri"/>
                <w:b/>
                <w:bCs/>
                <w:color w:val="000000"/>
                <w:sz w:val="18"/>
                <w:szCs w:val="18"/>
              </w:rPr>
              <w:t>QUANTI</w:t>
            </w:r>
          </w:p>
          <w:p w14:paraId="6EA26164" w14:textId="31FE00AC"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DADE</w:t>
            </w:r>
          </w:p>
          <w:p w14:paraId="667F236D"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MÁXIMA</w:t>
            </w:r>
          </w:p>
        </w:tc>
        <w:tc>
          <w:tcPr>
            <w:tcW w:w="992" w:type="dxa"/>
            <w:tcBorders>
              <w:top w:val="nil"/>
              <w:left w:val="single" w:sz="6" w:space="0" w:color="000000"/>
              <w:bottom w:val="single" w:sz="6" w:space="0" w:color="000000"/>
              <w:right w:val="single" w:sz="6" w:space="0" w:color="000000"/>
            </w:tcBorders>
            <w:tcMar>
              <w:top w:w="0" w:type="dxa"/>
              <w:left w:w="11" w:type="dxa"/>
              <w:bottom w:w="0" w:type="dxa"/>
              <w:right w:w="11" w:type="dxa"/>
            </w:tcMar>
            <w:vAlign w:val="center"/>
            <w:hideMark/>
          </w:tcPr>
          <w:p w14:paraId="786CA1D2" w14:textId="77777777" w:rsidR="00AF6801" w:rsidRDefault="0056446F" w:rsidP="00AF6801">
            <w:pPr>
              <w:pStyle w:val="NormalWeb"/>
              <w:spacing w:before="0" w:beforeAutospacing="0" w:after="0" w:afterAutospacing="0"/>
              <w:jc w:val="center"/>
              <w:rPr>
                <w:rFonts w:ascii="Calibri" w:hAnsi="Calibri"/>
                <w:b/>
                <w:bCs/>
                <w:color w:val="000000"/>
                <w:sz w:val="18"/>
                <w:szCs w:val="18"/>
              </w:rPr>
            </w:pPr>
            <w:r w:rsidRPr="00AF6801">
              <w:rPr>
                <w:rFonts w:ascii="Calibri" w:hAnsi="Calibri"/>
                <w:b/>
                <w:bCs/>
                <w:color w:val="000000"/>
                <w:sz w:val="18"/>
                <w:szCs w:val="18"/>
              </w:rPr>
              <w:t>QUANTI</w:t>
            </w:r>
          </w:p>
          <w:p w14:paraId="367EEE3B" w14:textId="7A88DF3C"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DADE</w:t>
            </w:r>
          </w:p>
          <w:p w14:paraId="3E861AE9"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MÍNIMA</w:t>
            </w:r>
          </w:p>
        </w:tc>
        <w:tc>
          <w:tcPr>
            <w:tcW w:w="850" w:type="dxa"/>
            <w:tcBorders>
              <w:top w:val="nil"/>
              <w:left w:val="nil"/>
              <w:bottom w:val="single" w:sz="6" w:space="0" w:color="000000"/>
              <w:right w:val="nil"/>
            </w:tcBorders>
            <w:tcMar>
              <w:top w:w="0" w:type="dxa"/>
              <w:left w:w="11" w:type="dxa"/>
              <w:bottom w:w="0" w:type="dxa"/>
              <w:right w:w="11" w:type="dxa"/>
            </w:tcMar>
            <w:vAlign w:val="center"/>
            <w:hideMark/>
          </w:tcPr>
          <w:p w14:paraId="39C32F71"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VALOR</w:t>
            </w:r>
          </w:p>
          <w:p w14:paraId="0FFFD0E1"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UNITÁRIO</w:t>
            </w:r>
          </w:p>
        </w:tc>
        <w:tc>
          <w:tcPr>
            <w:tcW w:w="1134" w:type="dxa"/>
            <w:tcBorders>
              <w:top w:val="nil"/>
              <w:left w:val="single" w:sz="6" w:space="0" w:color="000000"/>
              <w:bottom w:val="single" w:sz="6" w:space="0" w:color="000000"/>
              <w:right w:val="single" w:sz="6" w:space="0" w:color="000000"/>
            </w:tcBorders>
            <w:tcMar>
              <w:top w:w="0" w:type="dxa"/>
              <w:left w:w="11" w:type="dxa"/>
              <w:bottom w:w="0" w:type="dxa"/>
              <w:right w:w="11" w:type="dxa"/>
            </w:tcMar>
            <w:vAlign w:val="center"/>
            <w:hideMark/>
          </w:tcPr>
          <w:p w14:paraId="63FCFE82"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PRAZO</w:t>
            </w:r>
          </w:p>
          <w:p w14:paraId="7BBCB8F5"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b/>
                <w:bCs/>
                <w:color w:val="000000"/>
                <w:sz w:val="18"/>
                <w:szCs w:val="18"/>
              </w:rPr>
              <w:t>GARANTIA OU VALIDADE</w:t>
            </w:r>
          </w:p>
        </w:tc>
      </w:tr>
      <w:tr w:rsidR="0056446F" w:rsidRPr="00AF6801" w14:paraId="1A7EE186" w14:textId="77777777" w:rsidTr="00AF6801">
        <w:trPr>
          <w:trHeight w:val="180"/>
        </w:trPr>
        <w:tc>
          <w:tcPr>
            <w:tcW w:w="755" w:type="dxa"/>
            <w:tcBorders>
              <w:top w:val="nil"/>
              <w:left w:val="single" w:sz="6" w:space="0" w:color="000000"/>
              <w:bottom w:val="single" w:sz="6" w:space="0" w:color="000000"/>
              <w:right w:val="nil"/>
            </w:tcBorders>
            <w:tcMar>
              <w:top w:w="0" w:type="dxa"/>
              <w:left w:w="11" w:type="dxa"/>
              <w:bottom w:w="0" w:type="dxa"/>
              <w:right w:w="11" w:type="dxa"/>
            </w:tcMar>
            <w:hideMark/>
          </w:tcPr>
          <w:p w14:paraId="21D3E4AC"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801" w:type="dxa"/>
            <w:tcBorders>
              <w:top w:val="nil"/>
              <w:left w:val="single" w:sz="6" w:space="0" w:color="000000"/>
              <w:bottom w:val="single" w:sz="6" w:space="0" w:color="000000"/>
              <w:right w:val="nil"/>
            </w:tcBorders>
            <w:tcMar>
              <w:top w:w="0" w:type="dxa"/>
              <w:left w:w="11" w:type="dxa"/>
              <w:bottom w:w="0" w:type="dxa"/>
              <w:right w:w="11" w:type="dxa"/>
            </w:tcMar>
            <w:hideMark/>
          </w:tcPr>
          <w:p w14:paraId="58F86BB5"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1275" w:type="dxa"/>
            <w:tcBorders>
              <w:top w:val="nil"/>
              <w:left w:val="single" w:sz="6" w:space="0" w:color="000000"/>
              <w:bottom w:val="single" w:sz="6" w:space="0" w:color="000000"/>
              <w:right w:val="nil"/>
            </w:tcBorders>
            <w:tcMar>
              <w:top w:w="0" w:type="dxa"/>
              <w:left w:w="11" w:type="dxa"/>
              <w:bottom w:w="0" w:type="dxa"/>
              <w:right w:w="11" w:type="dxa"/>
            </w:tcMar>
            <w:hideMark/>
          </w:tcPr>
          <w:p w14:paraId="4D48D4B2"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1276" w:type="dxa"/>
            <w:tcBorders>
              <w:top w:val="nil"/>
              <w:left w:val="single" w:sz="6" w:space="0" w:color="000000"/>
              <w:bottom w:val="single" w:sz="6" w:space="0" w:color="000000"/>
              <w:right w:val="nil"/>
            </w:tcBorders>
            <w:tcMar>
              <w:top w:w="0" w:type="dxa"/>
              <w:left w:w="11" w:type="dxa"/>
              <w:bottom w:w="0" w:type="dxa"/>
              <w:right w:w="11" w:type="dxa"/>
            </w:tcMar>
            <w:hideMark/>
          </w:tcPr>
          <w:p w14:paraId="7E14979D"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851" w:type="dxa"/>
            <w:tcBorders>
              <w:top w:val="nil"/>
              <w:left w:val="single" w:sz="6" w:space="0" w:color="000000"/>
              <w:bottom w:val="single" w:sz="6" w:space="0" w:color="000000"/>
              <w:right w:val="nil"/>
            </w:tcBorders>
            <w:tcMar>
              <w:top w:w="0" w:type="dxa"/>
              <w:left w:w="11" w:type="dxa"/>
              <w:bottom w:w="0" w:type="dxa"/>
              <w:right w:w="11" w:type="dxa"/>
            </w:tcMar>
            <w:hideMark/>
          </w:tcPr>
          <w:p w14:paraId="770951E6"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851" w:type="dxa"/>
            <w:tcBorders>
              <w:top w:val="nil"/>
              <w:left w:val="single" w:sz="6" w:space="0" w:color="000000"/>
              <w:bottom w:val="single" w:sz="6" w:space="0" w:color="000000"/>
              <w:right w:val="nil"/>
            </w:tcBorders>
            <w:tcMar>
              <w:top w:w="0" w:type="dxa"/>
              <w:left w:w="11" w:type="dxa"/>
              <w:bottom w:w="0" w:type="dxa"/>
              <w:right w:w="11" w:type="dxa"/>
            </w:tcMar>
            <w:hideMark/>
          </w:tcPr>
          <w:p w14:paraId="3B97EC1A"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992"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4E496B8D"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850" w:type="dxa"/>
            <w:tcBorders>
              <w:top w:val="nil"/>
              <w:left w:val="nil"/>
              <w:bottom w:val="single" w:sz="6" w:space="0" w:color="000000"/>
              <w:right w:val="nil"/>
            </w:tcBorders>
            <w:tcMar>
              <w:top w:w="0" w:type="dxa"/>
              <w:left w:w="11" w:type="dxa"/>
              <w:bottom w:w="0" w:type="dxa"/>
              <w:right w:w="11" w:type="dxa"/>
            </w:tcMar>
            <w:hideMark/>
          </w:tcPr>
          <w:p w14:paraId="71AFCC59"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c>
          <w:tcPr>
            <w:tcW w:w="1134"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003F6128"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 </w:t>
            </w:r>
          </w:p>
        </w:tc>
      </w:tr>
    </w:tbl>
    <w:p w14:paraId="109E88A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CEE497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2.2 A listagem do cadastro de reserva referente ao presente registro de preços consta como anexo a esta Ata.</w:t>
      </w:r>
    </w:p>
    <w:p w14:paraId="4C86415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5859F7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3. ÓRGÃO(S) PARTICIPANTE(S)</w:t>
      </w:r>
    </w:p>
    <w:p w14:paraId="0243718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3.1 O órgão gerenciador e participante será o Hospital Federal de Ipanema (HFI);</w:t>
      </w:r>
    </w:p>
    <w:p w14:paraId="7067CF1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3.2 Além do gerenciador, são órgãos e entidades públicas participantes do registro de preços:</w:t>
      </w:r>
    </w:p>
    <w:p w14:paraId="598181C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3.2.1 Hospital Federal de Bonsucesso (HFB)</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8"/>
        <w:gridCol w:w="3016"/>
        <w:gridCol w:w="2106"/>
        <w:gridCol w:w="2234"/>
      </w:tblGrid>
      <w:tr w:rsidR="0056446F" w:rsidRPr="00AF6801" w14:paraId="30C459F1" w14:textId="77777777" w:rsidTr="00AF6801">
        <w:trPr>
          <w:tblCellSpacing w:w="15" w:type="dxa"/>
        </w:trPr>
        <w:tc>
          <w:tcPr>
            <w:tcW w:w="1275" w:type="dxa"/>
            <w:tcMar>
              <w:top w:w="0" w:type="dxa"/>
              <w:left w:w="0" w:type="dxa"/>
              <w:bottom w:w="0" w:type="dxa"/>
              <w:right w:w="0" w:type="dxa"/>
            </w:tcMar>
            <w:vAlign w:val="center"/>
            <w:hideMark/>
          </w:tcPr>
          <w:p w14:paraId="585C6B9C"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ITEM Nº</w:t>
            </w:r>
          </w:p>
        </w:tc>
        <w:tc>
          <w:tcPr>
            <w:tcW w:w="3450" w:type="dxa"/>
            <w:tcMar>
              <w:top w:w="0" w:type="dxa"/>
              <w:left w:w="0" w:type="dxa"/>
              <w:bottom w:w="0" w:type="dxa"/>
              <w:right w:w="0" w:type="dxa"/>
            </w:tcMar>
            <w:vAlign w:val="center"/>
            <w:hideMark/>
          </w:tcPr>
          <w:p w14:paraId="6C9921FA"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ÓRGÃOS PARTICIPANTES</w:t>
            </w:r>
          </w:p>
        </w:tc>
        <w:tc>
          <w:tcPr>
            <w:tcW w:w="2430" w:type="dxa"/>
            <w:tcMar>
              <w:top w:w="0" w:type="dxa"/>
              <w:left w:w="0" w:type="dxa"/>
              <w:bottom w:w="0" w:type="dxa"/>
              <w:right w:w="0" w:type="dxa"/>
            </w:tcMar>
            <w:vAlign w:val="center"/>
            <w:hideMark/>
          </w:tcPr>
          <w:p w14:paraId="49B959A6"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UNIDADE</w:t>
            </w:r>
          </w:p>
        </w:tc>
        <w:tc>
          <w:tcPr>
            <w:tcW w:w="2475" w:type="dxa"/>
            <w:tcMar>
              <w:top w:w="0" w:type="dxa"/>
              <w:left w:w="0" w:type="dxa"/>
              <w:bottom w:w="0" w:type="dxa"/>
              <w:right w:w="0" w:type="dxa"/>
            </w:tcMar>
            <w:vAlign w:val="center"/>
            <w:hideMark/>
          </w:tcPr>
          <w:p w14:paraId="66B10972"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QUANTIDADE</w:t>
            </w:r>
          </w:p>
        </w:tc>
      </w:tr>
      <w:tr w:rsidR="0056446F" w:rsidRPr="00AF6801" w14:paraId="5F7B871E" w14:textId="77777777" w:rsidTr="00AF6801">
        <w:trPr>
          <w:trHeight w:val="270"/>
          <w:tblCellSpacing w:w="15" w:type="dxa"/>
        </w:trPr>
        <w:tc>
          <w:tcPr>
            <w:tcW w:w="1275" w:type="dxa"/>
            <w:tcMar>
              <w:top w:w="0" w:type="dxa"/>
              <w:left w:w="0" w:type="dxa"/>
              <w:bottom w:w="0" w:type="dxa"/>
              <w:right w:w="0" w:type="dxa"/>
            </w:tcMar>
            <w:vAlign w:val="center"/>
            <w:hideMark/>
          </w:tcPr>
          <w:p w14:paraId="77BB523B"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3450" w:type="dxa"/>
            <w:tcMar>
              <w:top w:w="0" w:type="dxa"/>
              <w:left w:w="0" w:type="dxa"/>
              <w:bottom w:w="0" w:type="dxa"/>
              <w:right w:w="0" w:type="dxa"/>
            </w:tcMar>
            <w:hideMark/>
          </w:tcPr>
          <w:p w14:paraId="684E9FE9"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2430" w:type="dxa"/>
            <w:tcMar>
              <w:top w:w="0" w:type="dxa"/>
              <w:left w:w="0" w:type="dxa"/>
              <w:bottom w:w="0" w:type="dxa"/>
              <w:right w:w="0" w:type="dxa"/>
            </w:tcMar>
            <w:vAlign w:val="center"/>
            <w:hideMark/>
          </w:tcPr>
          <w:p w14:paraId="2B599EDD"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2475" w:type="dxa"/>
            <w:tcMar>
              <w:top w:w="0" w:type="dxa"/>
              <w:left w:w="0" w:type="dxa"/>
              <w:bottom w:w="0" w:type="dxa"/>
              <w:right w:w="0" w:type="dxa"/>
            </w:tcMar>
            <w:vAlign w:val="center"/>
            <w:hideMark/>
          </w:tcPr>
          <w:p w14:paraId="2830495F"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r>
      <w:tr w:rsidR="0056446F" w:rsidRPr="00AF6801" w14:paraId="1E380E54" w14:textId="77777777" w:rsidTr="00AF6801">
        <w:trPr>
          <w:trHeight w:val="270"/>
          <w:tblCellSpacing w:w="15" w:type="dxa"/>
        </w:trPr>
        <w:tc>
          <w:tcPr>
            <w:tcW w:w="1275" w:type="dxa"/>
            <w:tcMar>
              <w:top w:w="0" w:type="dxa"/>
              <w:left w:w="0" w:type="dxa"/>
              <w:bottom w:w="0" w:type="dxa"/>
              <w:right w:w="0" w:type="dxa"/>
            </w:tcMar>
            <w:vAlign w:val="center"/>
            <w:hideMark/>
          </w:tcPr>
          <w:p w14:paraId="20FB804A"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3450" w:type="dxa"/>
            <w:tcMar>
              <w:top w:w="0" w:type="dxa"/>
              <w:left w:w="0" w:type="dxa"/>
              <w:bottom w:w="0" w:type="dxa"/>
              <w:right w:w="0" w:type="dxa"/>
            </w:tcMar>
            <w:hideMark/>
          </w:tcPr>
          <w:p w14:paraId="6B754A0E"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2430" w:type="dxa"/>
            <w:tcMar>
              <w:top w:w="0" w:type="dxa"/>
              <w:left w:w="0" w:type="dxa"/>
              <w:bottom w:w="0" w:type="dxa"/>
              <w:right w:w="0" w:type="dxa"/>
            </w:tcMar>
            <w:vAlign w:val="center"/>
            <w:hideMark/>
          </w:tcPr>
          <w:p w14:paraId="0DA6FD9D"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2475" w:type="dxa"/>
            <w:tcMar>
              <w:top w:w="0" w:type="dxa"/>
              <w:left w:w="0" w:type="dxa"/>
              <w:bottom w:w="0" w:type="dxa"/>
              <w:right w:w="0" w:type="dxa"/>
            </w:tcMar>
            <w:vAlign w:val="center"/>
            <w:hideMark/>
          </w:tcPr>
          <w:p w14:paraId="5A5C33B2"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r>
    </w:tbl>
    <w:p w14:paraId="678A7E1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714F0F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b/>
          <w:bCs/>
          <w:color w:val="000000"/>
          <w:sz w:val="22"/>
          <w:szCs w:val="22"/>
        </w:rPr>
        <w:t>4. DA ADESÃO À ATA DE REGISTRO DE PREÇOS</w:t>
      </w:r>
    </w:p>
    <w:p w14:paraId="096CB95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B0F7D13"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4.1.1 apresentação de justificativa da vantagem da adesão, inclusive em situações de provável desabastecimento ou descontinuidade de serviço público;</w:t>
      </w:r>
    </w:p>
    <w:p w14:paraId="0C3E116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4.1.2 demonstração</w:t>
      </w:r>
      <w:proofErr w:type="gramEnd"/>
      <w:r w:rsidRPr="0056446F">
        <w:rPr>
          <w:rFonts w:ascii="Calibri" w:hAnsi="Calibri" w:cs="Arial"/>
          <w:color w:val="000000"/>
          <w:sz w:val="22"/>
          <w:szCs w:val="22"/>
        </w:rPr>
        <w:t xml:space="preserve"> de que os valores registrados estão compatíveis com os valores praticados pelo mercado na forma do art. 23 da Lei nº 14.133, de 2021; e</w:t>
      </w:r>
    </w:p>
    <w:p w14:paraId="442E6B8B"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4.1.3 consulta e aceitação prévias do órgão ou da entidade gerenciadora e do fornecedor.</w:t>
      </w:r>
    </w:p>
    <w:p w14:paraId="43E0862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lastRenderedPageBreak/>
        <w:t>4.2 A autorização do órgão ou entidade gerenciadora apenas será realizada após a aceitação da adesão pelo fornecedor.</w:t>
      </w:r>
    </w:p>
    <w:p w14:paraId="1786FA55"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4.2.1 O órgão ou entidade gerenciadora poderá rejeitar adesões caso elas possam acarretar prejuízo à execução de seus próprios contratos ou à sua capacidade de gerenciamento.</w:t>
      </w:r>
    </w:p>
    <w:p w14:paraId="303E4DE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4.3 Após a autorização do órgão ou da entidade gerenciadora, o órgão ou entidade não participante deverá efetivar a aquisição ou a contratação solicitada em até noventa dias, observado o prazo de vigência da ata.</w:t>
      </w:r>
    </w:p>
    <w:p w14:paraId="613F1AD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CF4887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5C24DE9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b/>
          <w:bCs/>
          <w:color w:val="000000"/>
          <w:sz w:val="22"/>
          <w:szCs w:val="22"/>
        </w:rPr>
        <w:t>Dos limites para as adesões</w:t>
      </w:r>
    </w:p>
    <w:p w14:paraId="0D7CA6D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021876D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F940AE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6D73BA0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0BB49B9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b/>
          <w:bCs/>
          <w:color w:val="000000"/>
          <w:sz w:val="22"/>
          <w:szCs w:val="22"/>
        </w:rPr>
        <w:t>Vedação a acréscimo de quantitativos</w:t>
      </w:r>
    </w:p>
    <w:p w14:paraId="2AC21C9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4.10 É</w:t>
      </w:r>
      <w:proofErr w:type="gramEnd"/>
      <w:r w:rsidRPr="0056446F">
        <w:rPr>
          <w:rFonts w:ascii="Calibri" w:hAnsi="Calibri" w:cs="Arial"/>
          <w:color w:val="000000"/>
          <w:sz w:val="22"/>
          <w:szCs w:val="22"/>
        </w:rPr>
        <w:t xml:space="preserve"> vedado efetuar acréscimos nos quantitativos fixados na ata de registro de preços.</w:t>
      </w:r>
    </w:p>
    <w:p w14:paraId="73CEB44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 </w:t>
      </w:r>
    </w:p>
    <w:p w14:paraId="5BE7CEB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5. VALIDADE, FORMALIZAÇÃO DA ATA DE REGISTRO DE PREÇOS E CADASTRO RESERVA</w:t>
      </w:r>
    </w:p>
    <w:p w14:paraId="66F1BC6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2D5ECFF"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3F1DF35"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5.1.2 Na formalização do contrato ou do instrumento substituto deverá haver a indicação da disponibilidade dos créditos orçamentários respectivos.</w:t>
      </w:r>
    </w:p>
    <w:p w14:paraId="310CD5A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546D9354"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 xml:space="preserve">5.2.1 O instrumento contratual de que trata o item 5.2. </w:t>
      </w:r>
      <w:proofErr w:type="gramStart"/>
      <w:r w:rsidRPr="0056446F">
        <w:rPr>
          <w:rFonts w:ascii="Calibri" w:hAnsi="Calibri" w:cs="Arial"/>
          <w:color w:val="000000"/>
          <w:sz w:val="22"/>
          <w:szCs w:val="22"/>
        </w:rPr>
        <w:t>deverá</w:t>
      </w:r>
      <w:proofErr w:type="gramEnd"/>
      <w:r w:rsidRPr="0056446F">
        <w:rPr>
          <w:rFonts w:ascii="Calibri" w:hAnsi="Calibri" w:cs="Arial"/>
          <w:color w:val="000000"/>
          <w:sz w:val="22"/>
          <w:szCs w:val="22"/>
        </w:rPr>
        <w:t xml:space="preserve"> ser assinado no prazo de validade da ata de registro de preços.</w:t>
      </w:r>
    </w:p>
    <w:p w14:paraId="0AB9DCA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5.3 Os contratos decorrentes do sistema de registro de preços poderão ser alterados, observado o art. 124 da Lei nº 14.133, de 2021.</w:t>
      </w:r>
    </w:p>
    <w:p w14:paraId="1753A68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5.4 Após</w:t>
      </w:r>
      <w:proofErr w:type="gramEnd"/>
      <w:r w:rsidRPr="0056446F">
        <w:rPr>
          <w:rFonts w:ascii="Calibri" w:hAnsi="Calibri" w:cs="Arial"/>
          <w:color w:val="000000"/>
          <w:sz w:val="22"/>
          <w:szCs w:val="22"/>
        </w:rPr>
        <w:t xml:space="preserve"> a homologação da licitação ou da contratação direta, deverão ser observadas as seguintes condições para formalização da ata de registro de preços:</w:t>
      </w:r>
    </w:p>
    <w:p w14:paraId="7F29308E"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5.4.1 Serão registrados na ata os preços e os quantitativos do adjudicatário, devendo ser observada a possibilidade de o licitante oferecer ou não proposta em quantitativo inferior ao máximo previsto </w:t>
      </w:r>
      <w:r w:rsidRPr="0056446F">
        <w:rPr>
          <w:rFonts w:ascii="Calibri" w:hAnsi="Calibri" w:cs="Arial"/>
          <w:i/>
          <w:iCs/>
          <w:color w:val="000000"/>
          <w:sz w:val="22"/>
          <w:szCs w:val="22"/>
        </w:rPr>
        <w:t>no edital </w:t>
      </w:r>
      <w:r w:rsidRPr="0056446F">
        <w:rPr>
          <w:rFonts w:ascii="Calibri" w:hAnsi="Calibri" w:cs="Arial"/>
          <w:color w:val="000000"/>
          <w:sz w:val="22"/>
          <w:szCs w:val="22"/>
        </w:rPr>
        <w:t>e se obrigar nos limites dela;</w:t>
      </w:r>
    </w:p>
    <w:p w14:paraId="6A38C6C6"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5.4.2 Será incluído na ata, na forma de anexo, o registro dos licitantes ou dos fornecedores que:</w:t>
      </w:r>
    </w:p>
    <w:p w14:paraId="1F2E7844" w14:textId="77777777" w:rsidR="0056446F" w:rsidRPr="0056446F" w:rsidRDefault="0056446F" w:rsidP="00AF6801">
      <w:pPr>
        <w:pStyle w:val="NormalWeb"/>
        <w:spacing w:before="0" w:beforeAutospacing="0" w:after="0" w:afterAutospacing="0" w:line="360" w:lineRule="auto"/>
        <w:ind w:left="1702"/>
        <w:jc w:val="both"/>
        <w:rPr>
          <w:rFonts w:ascii="Calibri" w:hAnsi="Calibri"/>
          <w:color w:val="000000"/>
          <w:sz w:val="22"/>
          <w:szCs w:val="22"/>
        </w:rPr>
      </w:pPr>
      <w:proofErr w:type="gramStart"/>
      <w:r w:rsidRPr="0056446F">
        <w:rPr>
          <w:rFonts w:ascii="Calibri" w:hAnsi="Calibri" w:cs="Arial"/>
          <w:color w:val="000000"/>
          <w:sz w:val="22"/>
          <w:szCs w:val="22"/>
        </w:rPr>
        <w:t>5.4.2.1 Aceitarem</w:t>
      </w:r>
      <w:proofErr w:type="gramEnd"/>
      <w:r w:rsidRPr="0056446F">
        <w:rPr>
          <w:rFonts w:ascii="Calibri" w:hAnsi="Calibri" w:cs="Arial"/>
          <w:color w:val="000000"/>
          <w:sz w:val="22"/>
          <w:szCs w:val="22"/>
        </w:rPr>
        <w:t xml:space="preserve"> cotar os bens, as obras ou os serviços com preços iguais aos do adjudicatário, observada a classificação da licitação; e</w:t>
      </w:r>
    </w:p>
    <w:p w14:paraId="54C8967A" w14:textId="77777777" w:rsidR="0056446F" w:rsidRPr="0056446F" w:rsidRDefault="0056446F" w:rsidP="00AF6801">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s="Arial"/>
          <w:color w:val="000000"/>
          <w:sz w:val="22"/>
          <w:szCs w:val="22"/>
        </w:rPr>
        <w:t>5.4.2.2 Mantiverem sua proposta original.</w:t>
      </w:r>
      <w:bookmarkStart w:id="22" w:name="cadastro_reserva"/>
      <w:bookmarkEnd w:id="22"/>
    </w:p>
    <w:p w14:paraId="2E41B4FE"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5.4.3 Será respeitada, nas contratações, a ordem de classificação dos licitantes ou dos fornecedores registrados na ata.</w:t>
      </w:r>
    </w:p>
    <w:p w14:paraId="29C9329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5.5 O registro a que se refere o item 5.4.2tem por objetivo a formação de cadastro de reserva para o caso de impossibilidade de atendimento pelo signatário da ata.</w:t>
      </w:r>
    </w:p>
    <w:p w14:paraId="26A78FA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lastRenderedPageBreak/>
        <w:t>5.6 Para fins da ordem de classificação, os licitantes ou fornecedores que aceitarem reduzir suas propostas para o preço do adjudicatário antecederão aqueles que mantiverem sua proposta original.</w:t>
      </w:r>
    </w:p>
    <w:p w14:paraId="053F7CC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5.7 A habilitação dos licitantes que comporão o cadastro de reserva a que se refere o item 0 somente será efetuada quando houver necessidade de contratação dos licitantes remanescentes, nas seguintes hipóteses:</w:t>
      </w:r>
      <w:bookmarkStart w:id="23" w:name="habilitacao_reserva"/>
      <w:bookmarkEnd w:id="23"/>
    </w:p>
    <w:p w14:paraId="6FA26FC0"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5.7.1 Quando</w:t>
      </w:r>
      <w:proofErr w:type="gramEnd"/>
      <w:r w:rsidRPr="0056446F">
        <w:rPr>
          <w:rFonts w:ascii="Calibri" w:hAnsi="Calibri" w:cs="Arial"/>
          <w:color w:val="000000"/>
          <w:sz w:val="22"/>
          <w:szCs w:val="22"/>
        </w:rPr>
        <w:t xml:space="preserve"> o licitante vencedor não assinar a ata de registro de preços, no prazo e</w:t>
      </w:r>
    </w:p>
    <w:p w14:paraId="45A5FEF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nas</w:t>
      </w:r>
      <w:proofErr w:type="gramEnd"/>
      <w:r w:rsidRPr="0056446F">
        <w:rPr>
          <w:rFonts w:ascii="Calibri" w:hAnsi="Calibri" w:cs="Arial"/>
          <w:color w:val="000000"/>
          <w:sz w:val="22"/>
          <w:szCs w:val="22"/>
        </w:rPr>
        <w:t xml:space="preserve"> condições estabelecidos </w:t>
      </w:r>
      <w:r w:rsidRPr="0056446F">
        <w:rPr>
          <w:rFonts w:ascii="Calibri" w:hAnsi="Calibri" w:cs="Arial"/>
          <w:i/>
          <w:iCs/>
          <w:color w:val="000000"/>
          <w:sz w:val="22"/>
          <w:szCs w:val="22"/>
        </w:rPr>
        <w:t xml:space="preserve">no </w:t>
      </w:r>
      <w:proofErr w:type="spellStart"/>
      <w:r w:rsidRPr="0056446F">
        <w:rPr>
          <w:rFonts w:ascii="Calibri" w:hAnsi="Calibri" w:cs="Arial"/>
          <w:i/>
          <w:iCs/>
          <w:color w:val="000000"/>
          <w:sz w:val="22"/>
          <w:szCs w:val="22"/>
        </w:rPr>
        <w:t>edital;</w:t>
      </w:r>
      <w:r w:rsidRPr="0056446F">
        <w:rPr>
          <w:rFonts w:ascii="Calibri" w:hAnsi="Calibri" w:cs="Arial"/>
          <w:color w:val="000000"/>
          <w:sz w:val="22"/>
          <w:szCs w:val="22"/>
        </w:rPr>
        <w:t>e</w:t>
      </w:r>
      <w:proofErr w:type="spellEnd"/>
    </w:p>
    <w:p w14:paraId="0C32A731"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5.7.2 Quando</w:t>
      </w:r>
      <w:proofErr w:type="gramEnd"/>
      <w:r w:rsidRPr="0056446F">
        <w:rPr>
          <w:rFonts w:ascii="Calibri" w:hAnsi="Calibri" w:cs="Arial"/>
          <w:color w:val="000000"/>
          <w:sz w:val="22"/>
          <w:szCs w:val="22"/>
        </w:rPr>
        <w:t xml:space="preserve"> houver o cancelamento do registro do licitante ou do registro de preços nas hipóteses previstas no item 0.</w:t>
      </w:r>
    </w:p>
    <w:p w14:paraId="0E44C06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5.8 O preço registrado com indicação dos licitantes e fornecedores será divulgado no PNCP e ficará disponibilizado durante a vigência da ata de registro de preços.</w:t>
      </w:r>
    </w:p>
    <w:p w14:paraId="7E95A20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5.9 Após</w:t>
      </w:r>
      <w:proofErr w:type="gramEnd"/>
      <w:r w:rsidRPr="0056446F">
        <w:rPr>
          <w:rFonts w:ascii="Calibri" w:hAnsi="Calibri" w:cs="Arial"/>
          <w:color w:val="000000"/>
          <w:sz w:val="22"/>
          <w:szCs w:val="22"/>
        </w:rPr>
        <w:t xml:space="preserve">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D74ECDC"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19AF8E5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5.10 A ata de registro de preços será assinada por meio de assinatura digital e disponibilizada no Sistema de Registro de Preços.</w:t>
      </w:r>
    </w:p>
    <w:p w14:paraId="7EF5427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5.11 Quando</w:t>
      </w:r>
      <w:proofErr w:type="gramEnd"/>
      <w:r w:rsidRPr="0056446F">
        <w:rPr>
          <w:rFonts w:ascii="Calibri" w:hAnsi="Calibri" w:cs="Arial"/>
          <w:color w:val="000000"/>
          <w:sz w:val="22"/>
          <w:szCs w:val="22"/>
        </w:rPr>
        <w:t xml:space="preserve"> o convocado não assinar a ata de registro de preços no prazo e nas condições estabelecidos no edital ou no aviso de contratação, e observado o disposto no item 0, observando o item 5.7 e subitens, fica facultado à Administração convocar os licitantes remanescentes do cadastro de reserva, na ordem de classificação, para fazê-lo em igual prazo e nas condições propostas pelo primeiro classificado.</w:t>
      </w:r>
      <w:bookmarkStart w:id="24" w:name="recusa_dos_que_baixaram_preco"/>
      <w:bookmarkEnd w:id="24"/>
    </w:p>
    <w:p w14:paraId="2204211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5.12 Na</w:t>
      </w:r>
      <w:proofErr w:type="gramEnd"/>
      <w:r w:rsidRPr="0056446F">
        <w:rPr>
          <w:rFonts w:ascii="Calibri" w:hAnsi="Calibri" w:cs="Arial"/>
          <w:color w:val="000000"/>
          <w:sz w:val="22"/>
          <w:szCs w:val="22"/>
        </w:rPr>
        <w:t xml:space="preserve"> hipótese de nenhum dos licitantes que trata o item 5.4.2.1, aceitar a contratação nos termos do item anterior, a Administração, observados o valor estimado e sua eventual atualização nos termos </w:t>
      </w:r>
      <w:r w:rsidRPr="0056446F">
        <w:rPr>
          <w:rFonts w:ascii="Calibri" w:hAnsi="Calibri" w:cs="Arial"/>
          <w:i/>
          <w:iCs/>
          <w:color w:val="000000"/>
          <w:sz w:val="22"/>
          <w:szCs w:val="22"/>
        </w:rPr>
        <w:t>do edital</w:t>
      </w:r>
      <w:r w:rsidRPr="0056446F">
        <w:rPr>
          <w:rFonts w:ascii="Calibri" w:hAnsi="Calibri" w:cs="Arial"/>
          <w:color w:val="000000"/>
          <w:sz w:val="22"/>
          <w:szCs w:val="22"/>
        </w:rPr>
        <w:t>, poderá:</w:t>
      </w:r>
    </w:p>
    <w:p w14:paraId="1376DA1C"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5.12.1 Convocar</w:t>
      </w:r>
      <w:proofErr w:type="gramEnd"/>
      <w:r w:rsidRPr="0056446F">
        <w:rPr>
          <w:rFonts w:ascii="Calibri" w:hAnsi="Calibri" w:cs="Arial"/>
          <w:color w:val="000000"/>
          <w:sz w:val="22"/>
          <w:szCs w:val="22"/>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519A1AB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lastRenderedPageBreak/>
        <w:t>5.12.2 Adjudicar e firmar o contrato nas condições ofertadas pelos licitantes ou fornecedores remanescentes, atendida a ordem classificatória, quando frustrada a negociação de melhor condição.</w:t>
      </w:r>
    </w:p>
    <w:p w14:paraId="1FFFE7A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5.13 A existência de preços registrados implicará compromisso de fornecimento nas condições</w:t>
      </w:r>
    </w:p>
    <w:p w14:paraId="3767A1B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estabelecidas</w:t>
      </w:r>
      <w:proofErr w:type="gramEnd"/>
      <w:r w:rsidRPr="0056446F">
        <w:rPr>
          <w:rFonts w:ascii="Calibri" w:hAnsi="Calibri" w:cs="Arial"/>
          <w:color w:val="000000"/>
          <w:sz w:val="22"/>
          <w:szCs w:val="22"/>
        </w:rPr>
        <w:t>, mas não obrigará a Administração a contratar, facultada a realização de</w:t>
      </w:r>
    </w:p>
    <w:p w14:paraId="1DB43A2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licitação</w:t>
      </w:r>
      <w:proofErr w:type="gramEnd"/>
      <w:r w:rsidRPr="0056446F">
        <w:rPr>
          <w:rFonts w:ascii="Calibri" w:hAnsi="Calibri" w:cs="Arial"/>
          <w:color w:val="000000"/>
          <w:sz w:val="22"/>
          <w:szCs w:val="22"/>
        </w:rPr>
        <w:t xml:space="preserve"> específica para a aquisição pretendida, desde que devidamente justificada.</w:t>
      </w:r>
    </w:p>
    <w:p w14:paraId="2627E55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39678D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6. ALTERAÇÃO OU ATUALIZAÇÃO DOS PREÇOS REGISTRADOS</w:t>
      </w:r>
    </w:p>
    <w:p w14:paraId="1EA6FDC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6.1 Os preços registrados poderão ser alterados ou atualizados em decorrência de eventual</w:t>
      </w:r>
    </w:p>
    <w:p w14:paraId="076309E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redução</w:t>
      </w:r>
      <w:proofErr w:type="gramEnd"/>
      <w:r w:rsidRPr="0056446F">
        <w:rPr>
          <w:rFonts w:ascii="Calibri" w:hAnsi="Calibri" w:cs="Arial"/>
          <w:color w:val="000000"/>
          <w:sz w:val="22"/>
          <w:szCs w:val="22"/>
        </w:rPr>
        <w:t xml:space="preserve"> dos preços praticados no mercado ou de fato que eleve o custo dos bens, das obras ou dos serviços registrados, nas seguintes situações:</w:t>
      </w:r>
    </w:p>
    <w:p w14:paraId="7D7E818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93C303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6.1.2 Em caso de criação, alteração ou extinção de quaisquer tributos ou encargos legais ou a superveniência de disposições legais, com comprovada repercussão sobre os preços registrados;</w:t>
      </w:r>
    </w:p>
    <w:p w14:paraId="1512D141"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6.1.3 Na hipótese de previsão no edital ou no aviso de contratação direta de cláusula de reajustamento ou repactuação sobre os preços registrados, nos termos da Lei nº 14.133, de 2021.</w:t>
      </w:r>
    </w:p>
    <w:p w14:paraId="0DF2564D" w14:textId="77777777" w:rsidR="0056446F" w:rsidRPr="0056446F" w:rsidRDefault="0056446F" w:rsidP="00AF6801">
      <w:pPr>
        <w:pStyle w:val="NormalWeb"/>
        <w:spacing w:before="0" w:beforeAutospacing="0" w:after="0" w:afterAutospacing="0" w:line="360" w:lineRule="auto"/>
        <w:ind w:left="1702"/>
        <w:jc w:val="both"/>
        <w:rPr>
          <w:rFonts w:ascii="Calibri" w:hAnsi="Calibri"/>
          <w:color w:val="000000"/>
          <w:sz w:val="22"/>
          <w:szCs w:val="22"/>
        </w:rPr>
      </w:pPr>
      <w:proofErr w:type="gramStart"/>
      <w:r w:rsidRPr="0056446F">
        <w:rPr>
          <w:rFonts w:ascii="Calibri" w:hAnsi="Calibri" w:cs="Arial"/>
          <w:color w:val="000000"/>
          <w:sz w:val="22"/>
          <w:szCs w:val="22"/>
        </w:rPr>
        <w:t>6.1.3.1 No</w:t>
      </w:r>
      <w:proofErr w:type="gramEnd"/>
      <w:r w:rsidRPr="0056446F">
        <w:rPr>
          <w:rFonts w:ascii="Calibri" w:hAnsi="Calibri" w:cs="Arial"/>
          <w:color w:val="000000"/>
          <w:sz w:val="22"/>
          <w:szCs w:val="22"/>
        </w:rPr>
        <w:t xml:space="preserve"> caso do reajustamento, deverá ser respeitada a contagem da anualidade e o índice previstos para a contratação;</w:t>
      </w:r>
    </w:p>
    <w:p w14:paraId="24E5777B" w14:textId="77777777" w:rsidR="0056446F" w:rsidRPr="0056446F" w:rsidRDefault="0056446F" w:rsidP="00AF6801">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s="Arial"/>
          <w:color w:val="000000"/>
          <w:sz w:val="22"/>
          <w:szCs w:val="22"/>
        </w:rPr>
        <w:t>6.1.3.2 No caso da repactuação, poderá ser a pedido do interessado, conforme critérios definidos para a contratação.</w:t>
      </w:r>
    </w:p>
    <w:p w14:paraId="1225634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F5F74F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7. NEGOCIAÇÃO DE PREÇOS REGISTRADOS</w:t>
      </w:r>
    </w:p>
    <w:p w14:paraId="4C16E21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7.1 Na hipótese de o preço registrado tornar-se superior ao preço praticado no mercado por motivo superveniente, o órgão ou entidade gerenciadora convocará o fornecedor para negociar a redução do preço registrado.</w:t>
      </w:r>
    </w:p>
    <w:p w14:paraId="24ECC60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7.1.1 Caso não aceite reduzir seu preço aos valores praticados pelo mercado, o fornecedor será liberado do compromisso assumido quanto ao item registrado, sem aplicação de penalidades administrativas.</w:t>
      </w:r>
    </w:p>
    <w:p w14:paraId="2A75D86E"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lastRenderedPageBreak/>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05FCBE4B"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7.1.3 Se</w:t>
      </w:r>
      <w:proofErr w:type="gramEnd"/>
      <w:r w:rsidRPr="0056446F">
        <w:rPr>
          <w:rFonts w:ascii="Calibri" w:hAnsi="Calibri" w:cs="Arial"/>
          <w:color w:val="000000"/>
          <w:sz w:val="22"/>
          <w:szCs w:val="22"/>
        </w:rPr>
        <w:t xml:space="preserve"> não obtiver êxito nas negociações, o órgão ou entidade gerenciadora</w:t>
      </w:r>
    </w:p>
    <w:p w14:paraId="4C1CFDE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procederá</w:t>
      </w:r>
      <w:proofErr w:type="gramEnd"/>
      <w:r w:rsidRPr="0056446F">
        <w:rPr>
          <w:rFonts w:ascii="Calibri" w:hAnsi="Calibri" w:cs="Arial"/>
          <w:color w:val="000000"/>
          <w:sz w:val="22"/>
          <w:szCs w:val="22"/>
        </w:rPr>
        <w:t xml:space="preserve"> ao cancelamento da ata de registro de preços, adotando as medidas cabíveis para obtenção de contratação mais vantajosa.</w:t>
      </w:r>
      <w:bookmarkStart w:id="25" w:name="reducao_preco_mercado_negociacao_frustra"/>
      <w:bookmarkEnd w:id="25"/>
    </w:p>
    <w:p w14:paraId="0F45DC7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7.1.4 Na</w:t>
      </w:r>
      <w:proofErr w:type="gramEnd"/>
      <w:r w:rsidRPr="0056446F">
        <w:rPr>
          <w:rFonts w:ascii="Calibri" w:hAnsi="Calibri" w:cs="Arial"/>
          <w:color w:val="000000"/>
          <w:sz w:val="22"/>
          <w:szCs w:val="22"/>
        </w:rPr>
        <w:t xml:space="preserve">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6278EA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6" w:name="hipotese_preco_mercado_maior"/>
      <w:bookmarkEnd w:id="26"/>
    </w:p>
    <w:p w14:paraId="3697A8AE"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27" w:name="prova_preco_mercado_maior"/>
      <w:bookmarkEnd w:id="27"/>
    </w:p>
    <w:p w14:paraId="732EEE27"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7.2.2 Não</w:t>
      </w:r>
      <w:proofErr w:type="gramEnd"/>
      <w:r w:rsidRPr="0056446F">
        <w:rPr>
          <w:rFonts w:ascii="Calibri" w:hAnsi="Calibri" w:cs="Arial"/>
          <w:color w:val="000000"/>
          <w:sz w:val="22"/>
          <w:szCs w:val="22"/>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0, sem prejuízo das sanções previstas na Lei nº 14.133, de 2021, e na legislação aplicável.</w:t>
      </w:r>
      <w:bookmarkStart w:id="28" w:name="nao_comprovacao_majoracao_mercado"/>
      <w:bookmarkEnd w:id="28"/>
    </w:p>
    <w:p w14:paraId="6A73514A"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7.2.3 Na</w:t>
      </w:r>
      <w:proofErr w:type="gramEnd"/>
      <w:r w:rsidRPr="0056446F">
        <w:rPr>
          <w:rFonts w:ascii="Calibri" w:hAnsi="Calibri" w:cs="Arial"/>
          <w:color w:val="000000"/>
          <w:sz w:val="22"/>
          <w:szCs w:val="22"/>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5027F4A"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7.2.4 Se</w:t>
      </w:r>
      <w:proofErr w:type="gramEnd"/>
      <w:r w:rsidRPr="0056446F">
        <w:rPr>
          <w:rFonts w:ascii="Calibri" w:hAnsi="Calibri" w:cs="Arial"/>
          <w:color w:val="000000"/>
          <w:sz w:val="22"/>
          <w:szCs w:val="22"/>
        </w:rPr>
        <w:t xml:space="preserve"> não obtiver êxito nas negociações, o órgão ou entidade gerenciadora procederá ao cancelamento da ata de registro de preços, nos termos do item 0, e adotará as medidas cabíveis para a obtenção da contratação mais vantajosa.</w:t>
      </w:r>
      <w:bookmarkStart w:id="29" w:name="majora_preco_mercado_negociacao_frustra"/>
      <w:bookmarkEnd w:id="29"/>
    </w:p>
    <w:p w14:paraId="2BDA19F1"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7.2.5 Na</w:t>
      </w:r>
      <w:proofErr w:type="gramEnd"/>
      <w:r w:rsidRPr="0056446F">
        <w:rPr>
          <w:rFonts w:ascii="Calibri" w:hAnsi="Calibri" w:cs="Arial"/>
          <w:color w:val="000000"/>
          <w:sz w:val="22"/>
          <w:szCs w:val="22"/>
        </w:rPr>
        <w:t xml:space="preserve"> hipótese de comprovação da majoração do preço de mercado que inviabilize o preço registrado, conforme previsto no item 0 e no item 0, o órgão ou entidade </w:t>
      </w:r>
      <w:r w:rsidRPr="0056446F">
        <w:rPr>
          <w:rFonts w:ascii="Calibri" w:hAnsi="Calibri" w:cs="Arial"/>
          <w:color w:val="000000"/>
          <w:sz w:val="22"/>
          <w:szCs w:val="22"/>
        </w:rPr>
        <w:lastRenderedPageBreak/>
        <w:t>gerenciadora atualizará o preço registrado, de acordo com a realidade dos valores praticados pelo mercado.</w:t>
      </w:r>
    </w:p>
    <w:p w14:paraId="69220725"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7.2.6 O órgão ou entidade gerenciadora comunicará aos órgãos e às entidades que tiverem firmado contratos decorrentes da ata de registro de preços sobre a efetiva alteração do preço registrado, para que avaliem a necessidade de alteração</w:t>
      </w:r>
    </w:p>
    <w:p w14:paraId="5978F30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contratual</w:t>
      </w:r>
      <w:proofErr w:type="gramEnd"/>
      <w:r w:rsidRPr="0056446F">
        <w:rPr>
          <w:rFonts w:ascii="Calibri" w:hAnsi="Calibri" w:cs="Arial"/>
          <w:color w:val="000000"/>
          <w:sz w:val="22"/>
          <w:szCs w:val="22"/>
        </w:rPr>
        <w:t>, observado o disposto no art. 124 da Lei nº 14.133, de 2021.</w:t>
      </w:r>
    </w:p>
    <w:p w14:paraId="1011270C" w14:textId="77777777" w:rsid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36FE826" w14:textId="77777777" w:rsidR="00AF6801" w:rsidRPr="0056446F" w:rsidRDefault="00AF6801" w:rsidP="0056446F">
      <w:pPr>
        <w:pStyle w:val="NormalWeb"/>
        <w:spacing w:before="0" w:beforeAutospacing="0" w:after="0" w:afterAutospacing="0" w:line="360" w:lineRule="auto"/>
        <w:jc w:val="both"/>
        <w:rPr>
          <w:rFonts w:ascii="Calibri" w:hAnsi="Calibri"/>
          <w:color w:val="000000"/>
          <w:sz w:val="22"/>
          <w:szCs w:val="22"/>
        </w:rPr>
      </w:pPr>
    </w:p>
    <w:p w14:paraId="7D13AB5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8. REMANEJAMENTO DAS QUANTIDADES REGISTRADAS NA ATA DE REGISTRO DE PREÇOS</w:t>
      </w:r>
    </w:p>
    <w:p w14:paraId="76A1C48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36FC923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8.2 O remanejamento somente poderá ser feito:</w:t>
      </w:r>
    </w:p>
    <w:p w14:paraId="1281D326"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8.2.1 De</w:t>
      </w:r>
      <w:proofErr w:type="gramEnd"/>
      <w:r w:rsidRPr="0056446F">
        <w:rPr>
          <w:rFonts w:ascii="Calibri" w:hAnsi="Calibri" w:cs="Arial"/>
          <w:color w:val="000000"/>
          <w:sz w:val="22"/>
          <w:szCs w:val="22"/>
        </w:rPr>
        <w:t xml:space="preserve"> órgão ou entidade participante para órgão ou entidade participante; ou</w:t>
      </w:r>
    </w:p>
    <w:p w14:paraId="198E0EC1"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8.2.2 De órgão ou entidade participante para órgão ou entidade não participante.</w:t>
      </w:r>
    </w:p>
    <w:p w14:paraId="79D8D38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8.3 O órgão ou entidade gerenciadora que tiver estimado as quantidades que pretende contratar será considerado participante para efeito do remanejamento.</w:t>
      </w:r>
      <w:bookmarkStart w:id="30" w:name="gerenciador_estimador_é_partic_em_remane"/>
      <w:bookmarkEnd w:id="30"/>
    </w:p>
    <w:p w14:paraId="0E38FFC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8.4 Na hipótese de remanejamento de órgão ou entidade participante para órgão ou entidade não participante, serão observados os limites previstos no art. 32 do Decreto nº 11.462, de 2023.</w:t>
      </w:r>
    </w:p>
    <w:p w14:paraId="3BBA0FD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BFED06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98DA75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8.7 Na</w:t>
      </w:r>
      <w:proofErr w:type="gramEnd"/>
      <w:r w:rsidRPr="0056446F">
        <w:rPr>
          <w:rFonts w:ascii="Calibri" w:hAnsi="Calibri" w:cs="Arial"/>
          <w:color w:val="000000"/>
          <w:sz w:val="22"/>
          <w:szCs w:val="22"/>
        </w:rPr>
        <w:t xml:space="preserve"> hipótese da compra centralizada, não havendo indicação pelo órgão ou pela entidade gerenciadora, dos quantitativos dos participantes da compra centralizada, nos termos do item 0, a distribuição das quantidades para a execução descentralizada será por meio do remanejamento.</w:t>
      </w:r>
    </w:p>
    <w:p w14:paraId="3A5A20DB" w14:textId="77777777" w:rsidR="0056446F" w:rsidRPr="0056446F" w:rsidRDefault="0056446F" w:rsidP="0056446F">
      <w:pPr>
        <w:pStyle w:val="NormalWeb"/>
        <w:spacing w:before="0" w:beforeAutospacing="0" w:after="0" w:afterAutospacing="0" w:line="360" w:lineRule="auto"/>
        <w:ind w:hanging="360"/>
        <w:jc w:val="both"/>
        <w:rPr>
          <w:rFonts w:ascii="Calibri" w:hAnsi="Calibri"/>
          <w:color w:val="000000"/>
          <w:sz w:val="22"/>
          <w:szCs w:val="22"/>
        </w:rPr>
      </w:pPr>
      <w:r w:rsidRPr="0056446F">
        <w:rPr>
          <w:rFonts w:ascii="Calibri" w:hAnsi="Calibri"/>
          <w:color w:val="000000"/>
          <w:sz w:val="22"/>
          <w:szCs w:val="22"/>
        </w:rPr>
        <w:t> </w:t>
      </w:r>
    </w:p>
    <w:p w14:paraId="2EAB406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9. CANCELAMENTO DO REGISTRO DO LICITANTE VENCEDOR E DOS PREÇOS REGISTRADOS</w:t>
      </w:r>
      <w:bookmarkStart w:id="31" w:name="cancelamento"/>
      <w:bookmarkEnd w:id="31"/>
    </w:p>
    <w:p w14:paraId="7AD1CCB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9.1 O registro do fornecedor será cancelado pelo gerenciador, quando o fornecedor:</w:t>
      </w:r>
      <w:bookmarkStart w:id="32" w:name="cancelamento_do_fornecedor"/>
      <w:bookmarkEnd w:id="32"/>
    </w:p>
    <w:p w14:paraId="5DA8400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lastRenderedPageBreak/>
        <w:t>9.1.1 Descumprir as condições da ata de registro de preços, sem motivo justificado;</w:t>
      </w:r>
    </w:p>
    <w:p w14:paraId="1AAD56F0"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9.1.2 Não retirar a nota de empenho, ou instrumento equivalente, no prazo estabelecido pela Administração sem justificativa razoável;</w:t>
      </w:r>
    </w:p>
    <w:p w14:paraId="06ECFB79"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9.1.3 Não</w:t>
      </w:r>
      <w:proofErr w:type="gramEnd"/>
      <w:r w:rsidRPr="0056446F">
        <w:rPr>
          <w:rFonts w:ascii="Calibri" w:hAnsi="Calibri" w:cs="Arial"/>
          <w:color w:val="000000"/>
          <w:sz w:val="22"/>
          <w:szCs w:val="22"/>
        </w:rPr>
        <w:t xml:space="preserve"> aceitar manter seu preço registrado, na hipótese prevista no artigo 27, § 2º, do Decreto nº 11.462, de 2023; ou</w:t>
      </w:r>
    </w:p>
    <w:p w14:paraId="4C7812F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9.1.4 Sofrer sanção prevista nos incisos III ou IV do caput do art. 156 da Lei nº 14.133, de 2021.</w:t>
      </w:r>
    </w:p>
    <w:p w14:paraId="357C8EE8" w14:textId="77777777" w:rsidR="0056446F" w:rsidRPr="0056446F" w:rsidRDefault="0056446F" w:rsidP="00AF6801">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s="Arial"/>
          <w:color w:val="000000"/>
          <w:sz w:val="22"/>
          <w:szCs w:val="22"/>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68339D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9.2 O cancelamento de registros nas hipóteses previstas no item 0 será formalizado por despacho do órgão ou da entidade gerenciadora, garantidos os princípios do contraditório e da ampla defesa.</w:t>
      </w:r>
    </w:p>
    <w:p w14:paraId="734DD11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9.3 Na hipótese de cancelamento do registro do fornecedor, o órgão ou a entidade gerenciadora poderá convocar os licitantes que compõem o cadastro de reserva, observada a ordem de classificação.</w:t>
      </w:r>
    </w:p>
    <w:p w14:paraId="0B5BCBE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9.4 O cancelamento dos preços registrados poderá ser realizado pelo gerenciador, em determinada ata de registro de preços, total ou parcialmente, nas seguintes hipóteses, desde que devidamente comprovadas e justificadas:</w:t>
      </w:r>
      <w:bookmarkStart w:id="33" w:name="cancelamento_da_ata"/>
      <w:bookmarkEnd w:id="33"/>
    </w:p>
    <w:p w14:paraId="5BAA47B0"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9.4.1 Por razão de interesse público;</w:t>
      </w:r>
    </w:p>
    <w:p w14:paraId="2E8D24EC"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9.4.2 A pedido do fornecedor, decorrente de caso fortuito ou força maior; ou</w:t>
      </w:r>
    </w:p>
    <w:p w14:paraId="77CE407B"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proofErr w:type="gramStart"/>
      <w:r w:rsidRPr="0056446F">
        <w:rPr>
          <w:rFonts w:ascii="Calibri" w:hAnsi="Calibri" w:cs="Arial"/>
          <w:color w:val="000000"/>
          <w:sz w:val="22"/>
          <w:szCs w:val="22"/>
        </w:rPr>
        <w:t>9.4.3 Se</w:t>
      </w:r>
      <w:proofErr w:type="gramEnd"/>
      <w:r w:rsidRPr="0056446F">
        <w:rPr>
          <w:rFonts w:ascii="Calibri" w:hAnsi="Calibri" w:cs="Arial"/>
          <w:color w:val="000000"/>
          <w:sz w:val="22"/>
          <w:szCs w:val="22"/>
        </w:rPr>
        <w:t xml:space="preserve"> não houver êxito nas negociações, nas hipóteses em que o preço de mercado tornar-se superior ou inferior ao preço registrado, nos termos do artigos 26, § 3º e 27, § 4º, ambos do Decreto nº 11.462, de 2023.</w:t>
      </w:r>
    </w:p>
    <w:p w14:paraId="3E8CAB37" w14:textId="77777777" w:rsidR="0056446F" w:rsidRPr="0056446F" w:rsidRDefault="0056446F" w:rsidP="0056446F">
      <w:pPr>
        <w:pStyle w:val="NormalWeb"/>
        <w:spacing w:before="0" w:beforeAutospacing="0" w:after="0" w:afterAutospacing="0" w:line="360" w:lineRule="auto"/>
        <w:ind w:hanging="360"/>
        <w:jc w:val="both"/>
        <w:rPr>
          <w:rFonts w:ascii="Calibri" w:hAnsi="Calibri"/>
          <w:color w:val="000000"/>
          <w:sz w:val="22"/>
          <w:szCs w:val="22"/>
        </w:rPr>
      </w:pPr>
      <w:r w:rsidRPr="0056446F">
        <w:rPr>
          <w:rFonts w:ascii="Calibri" w:hAnsi="Calibri"/>
          <w:color w:val="000000"/>
          <w:sz w:val="22"/>
          <w:szCs w:val="22"/>
        </w:rPr>
        <w:t> </w:t>
      </w:r>
    </w:p>
    <w:p w14:paraId="359132A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10. DAS PENALIDADES</w:t>
      </w:r>
    </w:p>
    <w:p w14:paraId="1E4FEF3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10.1 O descumprimento da Ata de Registro de Preços ensejará aplicação das penalidades estabelecidas </w:t>
      </w:r>
      <w:r w:rsidRPr="0056446F">
        <w:rPr>
          <w:rFonts w:ascii="Calibri" w:hAnsi="Calibri" w:cs="Arial"/>
          <w:i/>
          <w:iCs/>
          <w:color w:val="000000"/>
          <w:sz w:val="22"/>
          <w:szCs w:val="22"/>
        </w:rPr>
        <w:t>no edital</w:t>
      </w:r>
      <w:r w:rsidRPr="0056446F">
        <w:rPr>
          <w:rFonts w:ascii="Calibri" w:hAnsi="Calibri" w:cs="Arial"/>
          <w:color w:val="000000"/>
          <w:sz w:val="22"/>
          <w:szCs w:val="22"/>
        </w:rPr>
        <w:t>.</w:t>
      </w:r>
    </w:p>
    <w:p w14:paraId="7B9877E0"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s="Arial"/>
          <w:color w:val="000000"/>
          <w:sz w:val="22"/>
          <w:szCs w:val="22"/>
        </w:rPr>
        <w:t>10.1.1 As sanções também se aplicam aos integrantes do cadastro de reserva no registro de preços que, convocados, não honrarem o compromisso assumido injustificadamente após terem assinado a ata.</w:t>
      </w:r>
    </w:p>
    <w:p w14:paraId="233BD25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lastRenderedPageBreak/>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729ADE2" w14:textId="77777777" w:rsidR="00AF6801" w:rsidRDefault="0056446F" w:rsidP="0056446F">
      <w:pPr>
        <w:pStyle w:val="NormalWeb"/>
        <w:spacing w:before="0" w:beforeAutospacing="0" w:after="0" w:afterAutospacing="0" w:line="360" w:lineRule="auto"/>
        <w:jc w:val="both"/>
        <w:rPr>
          <w:rFonts w:ascii="Calibri" w:hAnsi="Calibri" w:cs="Arial"/>
          <w:color w:val="000000"/>
          <w:sz w:val="22"/>
          <w:szCs w:val="22"/>
        </w:rPr>
      </w:pPr>
      <w:r w:rsidRPr="0056446F">
        <w:rPr>
          <w:rFonts w:ascii="Calibri" w:hAnsi="Calibri" w:cs="Arial"/>
          <w:color w:val="000000"/>
          <w:sz w:val="22"/>
          <w:szCs w:val="22"/>
        </w:rPr>
        <w:t xml:space="preserve">10.3 O órgão ou entidade participante deverá comunicar ao órgão gerenciador qualquer das </w:t>
      </w:r>
    </w:p>
    <w:p w14:paraId="4901717B" w14:textId="350073CB"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s="Arial"/>
          <w:color w:val="000000"/>
          <w:sz w:val="22"/>
          <w:szCs w:val="22"/>
        </w:rPr>
        <w:t>ocorrências</w:t>
      </w:r>
      <w:proofErr w:type="gramEnd"/>
      <w:r w:rsidRPr="0056446F">
        <w:rPr>
          <w:rFonts w:ascii="Calibri" w:hAnsi="Calibri" w:cs="Arial"/>
          <w:color w:val="000000"/>
          <w:sz w:val="22"/>
          <w:szCs w:val="22"/>
        </w:rPr>
        <w:t xml:space="preserve"> previstas no item 9.1, dada a necessidade de instauração de procedimento para cancelamento do registro do fornecedor.</w:t>
      </w:r>
    </w:p>
    <w:p w14:paraId="576B4AA8" w14:textId="77777777" w:rsidR="0056446F" w:rsidRPr="0056446F" w:rsidRDefault="0056446F" w:rsidP="0056446F">
      <w:pPr>
        <w:pStyle w:val="NormalWeb"/>
        <w:spacing w:before="0" w:beforeAutospacing="0" w:after="0" w:afterAutospacing="0" w:line="360" w:lineRule="auto"/>
        <w:ind w:hanging="360"/>
        <w:jc w:val="both"/>
        <w:rPr>
          <w:rFonts w:ascii="Calibri" w:hAnsi="Calibri"/>
          <w:color w:val="000000"/>
          <w:sz w:val="22"/>
          <w:szCs w:val="22"/>
        </w:rPr>
      </w:pPr>
      <w:r w:rsidRPr="0056446F">
        <w:rPr>
          <w:rFonts w:ascii="Calibri" w:hAnsi="Calibri"/>
          <w:color w:val="000000"/>
          <w:sz w:val="22"/>
          <w:szCs w:val="22"/>
        </w:rPr>
        <w:t> </w:t>
      </w:r>
    </w:p>
    <w:p w14:paraId="4A1BFA1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11. CONDIÇÕES GERAIS</w:t>
      </w:r>
    </w:p>
    <w:p w14:paraId="2E56A6F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11.1 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D4F29D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s="Arial"/>
          <w:color w:val="000000"/>
          <w:sz w:val="22"/>
          <w:szCs w:val="22"/>
        </w:rPr>
        <w:t>11.2 No caso de adjudicação por preço global de grupo de itens, só será admitida a contratação de parte de itens do grupo se houver prévia pesquisa de mercado e demonstração de sua vantagem para o órgão ou a entidade.</w:t>
      </w:r>
    </w:p>
    <w:p w14:paraId="71040E9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3B0A4A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Para firmeza e validade do pactuado, a presente Ata foi lavrada em 02 (duas) vias de igual teor, que, depois de lida e achada em ordem, vai assinada pelas partes e encaminhada cópia aos demais órgãos participantes (se houver).</w:t>
      </w:r>
    </w:p>
    <w:p w14:paraId="6AA86C0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A44796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Rio de Janeiro, </w:t>
      </w:r>
      <w:proofErr w:type="spellStart"/>
      <w:r w:rsidRPr="0056446F">
        <w:rPr>
          <w:rFonts w:ascii="Calibri" w:hAnsi="Calibri"/>
          <w:color w:val="000000"/>
          <w:sz w:val="22"/>
          <w:szCs w:val="22"/>
        </w:rPr>
        <w:t>xx</w:t>
      </w:r>
      <w:proofErr w:type="spellEnd"/>
      <w:r w:rsidRPr="0056446F">
        <w:rPr>
          <w:rFonts w:ascii="Calibri" w:hAnsi="Calibri"/>
          <w:color w:val="000000"/>
          <w:sz w:val="22"/>
          <w:szCs w:val="22"/>
        </w:rPr>
        <w:t xml:space="preserve"> de </w:t>
      </w:r>
      <w:proofErr w:type="spellStart"/>
      <w:r w:rsidRPr="0056446F">
        <w:rPr>
          <w:rFonts w:ascii="Calibri" w:hAnsi="Calibri"/>
          <w:color w:val="000000"/>
          <w:sz w:val="22"/>
          <w:szCs w:val="22"/>
        </w:rPr>
        <w:t>xxxx</w:t>
      </w:r>
      <w:proofErr w:type="spellEnd"/>
      <w:r w:rsidRPr="0056446F">
        <w:rPr>
          <w:rFonts w:ascii="Calibri" w:hAnsi="Calibri"/>
          <w:color w:val="000000"/>
          <w:sz w:val="22"/>
          <w:szCs w:val="22"/>
        </w:rPr>
        <w:t xml:space="preserve"> de 2024.</w:t>
      </w:r>
    </w:p>
    <w:p w14:paraId="0FF2DEE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35E265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_________________________________</w:t>
      </w:r>
    </w:p>
    <w:p w14:paraId="7DF2FE4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Dra. Selene Maria Rendeiro Bezerra</w:t>
      </w:r>
    </w:p>
    <w:p w14:paraId="6E11B5B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Diretora Geral</w:t>
      </w:r>
    </w:p>
    <w:p w14:paraId="387447A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Portaria nº. 416, publicada no DOU n° 61, Seção 2, de 29/03/2023</w:t>
      </w:r>
    </w:p>
    <w:p w14:paraId="5FEDB15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CB9A1D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_______________________________________________</w:t>
      </w:r>
    </w:p>
    <w:p w14:paraId="3881736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b/>
          <w:bCs/>
          <w:color w:val="000000"/>
          <w:sz w:val="22"/>
          <w:szCs w:val="22"/>
        </w:rPr>
        <w:t>Representante(</w:t>
      </w:r>
      <w:proofErr w:type="gramEnd"/>
      <w:r w:rsidRPr="0056446F">
        <w:rPr>
          <w:rFonts w:ascii="Calibri" w:hAnsi="Calibri"/>
          <w:b/>
          <w:bCs/>
          <w:color w:val="000000"/>
          <w:sz w:val="22"/>
          <w:szCs w:val="22"/>
        </w:rPr>
        <w:t>s) legal(</w:t>
      </w:r>
      <w:proofErr w:type="spellStart"/>
      <w:r w:rsidRPr="0056446F">
        <w:rPr>
          <w:rFonts w:ascii="Calibri" w:hAnsi="Calibri"/>
          <w:b/>
          <w:bCs/>
          <w:color w:val="000000"/>
          <w:sz w:val="22"/>
          <w:szCs w:val="22"/>
        </w:rPr>
        <w:t>is</w:t>
      </w:r>
      <w:proofErr w:type="spellEnd"/>
      <w:r w:rsidRPr="0056446F">
        <w:rPr>
          <w:rFonts w:ascii="Calibri" w:hAnsi="Calibri"/>
          <w:b/>
          <w:bCs/>
          <w:color w:val="000000"/>
          <w:sz w:val="22"/>
          <w:szCs w:val="22"/>
        </w:rPr>
        <w:t>) do(s) fornecedor(s) registrado(s)</w:t>
      </w:r>
    </w:p>
    <w:p w14:paraId="593594F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7A0409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9DB970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i/>
          <w:iCs/>
          <w:color w:val="000000"/>
          <w:sz w:val="22"/>
          <w:szCs w:val="22"/>
        </w:rPr>
        <w:t>Atualização: maio/2023</w:t>
      </w:r>
    </w:p>
    <w:p w14:paraId="583EF3F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i/>
          <w:iCs/>
          <w:color w:val="000000"/>
          <w:sz w:val="22"/>
          <w:szCs w:val="22"/>
        </w:rPr>
        <w:t>Ata de Registro de Preços – Lei nº 14.133, de 2021.</w:t>
      </w:r>
    </w:p>
    <w:p w14:paraId="02230D1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 </w:t>
      </w:r>
    </w:p>
    <w:p w14:paraId="15B9556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20E903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3C03EA5" w14:textId="77777777" w:rsid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D671187" w14:textId="77777777" w:rsidR="00AF6801" w:rsidRPr="0056446F" w:rsidRDefault="00AF6801" w:rsidP="0056446F">
      <w:pPr>
        <w:pStyle w:val="NormalWeb"/>
        <w:spacing w:before="0" w:beforeAutospacing="0" w:after="0" w:afterAutospacing="0" w:line="360" w:lineRule="auto"/>
        <w:jc w:val="both"/>
        <w:rPr>
          <w:rFonts w:ascii="Calibri" w:hAnsi="Calibri"/>
          <w:color w:val="000000"/>
          <w:sz w:val="22"/>
          <w:szCs w:val="22"/>
        </w:rPr>
      </w:pPr>
    </w:p>
    <w:p w14:paraId="012FE231"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ANEXO III</w:t>
      </w:r>
    </w:p>
    <w:p w14:paraId="25051649"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MINUTA DO CONTRATO DE AQUISIÇÃO</w:t>
      </w:r>
    </w:p>
    <w:p w14:paraId="3F9CD381" w14:textId="1019796F"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E6ACD75"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b/>
          <w:bCs/>
          <w:color w:val="000000"/>
          <w:sz w:val="22"/>
          <w:szCs w:val="22"/>
        </w:rPr>
        <w:t>CONTRATO QUE ENTRE SI CELEBRAM A UNIÃO FEDERAL, POR INTERMÉDIO DO HOSPITAL FEDERAL DE IPANEMA DO MINISTÉRIO DA SAÚDE E A EMPRESA ___________________.</w:t>
      </w:r>
    </w:p>
    <w:p w14:paraId="6258FA4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DC991CF" w14:textId="3C5457EA"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A União Federal, por intermédio do </w:t>
      </w:r>
      <w:r w:rsidRPr="0056446F">
        <w:rPr>
          <w:rFonts w:ascii="Calibri" w:hAnsi="Calibri"/>
          <w:b/>
          <w:bCs/>
          <w:color w:val="000000"/>
          <w:sz w:val="22"/>
          <w:szCs w:val="22"/>
        </w:rPr>
        <w:t>HOSPITAL FEDERAL DE IPANEMA</w:t>
      </w:r>
      <w:r w:rsidRPr="0056446F">
        <w:rPr>
          <w:rFonts w:ascii="Calibri" w:hAnsi="Calibri"/>
          <w:color w:val="000000"/>
          <w:sz w:val="22"/>
          <w:szCs w:val="22"/>
        </w:rPr>
        <w:t>, inscrito no CNPJ/MF sob o nº. </w:t>
      </w:r>
      <w:r w:rsidRPr="0056446F">
        <w:rPr>
          <w:rFonts w:ascii="Calibri" w:hAnsi="Calibri"/>
          <w:b/>
          <w:bCs/>
          <w:color w:val="000000"/>
          <w:sz w:val="22"/>
          <w:szCs w:val="22"/>
        </w:rPr>
        <w:t>00.394.544/0210-00,</w:t>
      </w:r>
      <w:r w:rsidRPr="0056446F">
        <w:rPr>
          <w:rFonts w:ascii="Calibri" w:hAnsi="Calibri"/>
          <w:color w:val="000000"/>
          <w:sz w:val="22"/>
          <w:szCs w:val="22"/>
        </w:rPr>
        <w:t> neste ato representado Diretora </w:t>
      </w:r>
      <w:r w:rsidRPr="0056446F">
        <w:rPr>
          <w:rFonts w:ascii="Calibri" w:hAnsi="Calibri"/>
          <w:b/>
          <w:bCs/>
          <w:color w:val="000000"/>
          <w:sz w:val="22"/>
          <w:szCs w:val="22"/>
        </w:rPr>
        <w:t>SELENE MARIA RENDEIRO BEZERRA</w:t>
      </w:r>
      <w:r w:rsidRPr="0056446F">
        <w:rPr>
          <w:rFonts w:ascii="Calibri" w:hAnsi="Calibri"/>
          <w:color w:val="000000"/>
          <w:sz w:val="22"/>
          <w:szCs w:val="22"/>
        </w:rPr>
        <w:t>, nomeada pela Portaria GM/MS nº 416, de 27 de fevereiro de 2023, publicada no DOU nº 61, Seção 2, de 29 de março de 2023, portadora da matrícula funcional nº 6654174, doravante denominado </w:t>
      </w:r>
      <w:r w:rsidRPr="0056446F">
        <w:rPr>
          <w:rFonts w:ascii="Calibri" w:hAnsi="Calibri"/>
          <w:b/>
          <w:bCs/>
          <w:color w:val="000000"/>
          <w:sz w:val="22"/>
          <w:szCs w:val="22"/>
        </w:rPr>
        <w:t>CONTRATANTE</w:t>
      </w:r>
      <w:r w:rsidRPr="0056446F">
        <w:rPr>
          <w:rFonts w:ascii="Calibri" w:hAnsi="Calibri"/>
          <w:color w:val="000000"/>
          <w:sz w:val="22"/>
          <w:szCs w:val="22"/>
        </w:rPr>
        <w:t>, e o(a) [CONTRATADO], inscrito(a) no CNPJ/MF sob o nº [CNPJ], sediado(a) na [endereço], na cidade de [cidade]/[UF], doravante designado CONTRATADO, neste ato representado(a) por [nome e função no CONTRATADO], conforme [atos constitutivos da empresa] OU [procuração apresentada nos autos], tendo em vista o que consta no Processo nº 33401.078376/2024-41 e em observância às disposições da Lei nº 14.133, de 1º de abril de 2021, e demais legislação aplicável, resolvem celebrar o presente Termo de Contrato, decorrente do</w:t>
      </w:r>
      <w:r w:rsidRPr="0056446F">
        <w:rPr>
          <w:rFonts w:ascii="Calibri" w:hAnsi="Calibri"/>
          <w:i/>
          <w:iCs/>
          <w:color w:val="000000"/>
          <w:sz w:val="22"/>
          <w:szCs w:val="22"/>
        </w:rPr>
        <w:t> </w:t>
      </w:r>
      <w:r w:rsidRPr="0056446F">
        <w:rPr>
          <w:rFonts w:ascii="Calibri" w:hAnsi="Calibri"/>
          <w:color w:val="000000"/>
          <w:sz w:val="22"/>
          <w:szCs w:val="22"/>
        </w:rPr>
        <w:t>Pregão</w:t>
      </w:r>
      <w:r w:rsidRPr="0056446F">
        <w:rPr>
          <w:rFonts w:ascii="Calibri" w:hAnsi="Calibri"/>
          <w:i/>
          <w:iCs/>
          <w:color w:val="000000"/>
          <w:sz w:val="22"/>
          <w:szCs w:val="22"/>
        </w:rPr>
        <w:t> </w:t>
      </w:r>
      <w:r w:rsidRPr="0056446F">
        <w:rPr>
          <w:rFonts w:ascii="Calibri" w:hAnsi="Calibri"/>
          <w:color w:val="000000"/>
          <w:sz w:val="22"/>
          <w:szCs w:val="22"/>
        </w:rPr>
        <w:t>Eletrônico n. __</w:t>
      </w:r>
      <w:r w:rsidRPr="0056446F">
        <w:rPr>
          <w:rFonts w:ascii="Calibri" w:hAnsi="Calibri"/>
          <w:i/>
          <w:iCs/>
          <w:color w:val="000000"/>
          <w:sz w:val="22"/>
          <w:szCs w:val="22"/>
        </w:rPr>
        <w:t>/__</w:t>
      </w:r>
      <w:r w:rsidRPr="0056446F">
        <w:rPr>
          <w:rFonts w:ascii="Calibri" w:hAnsi="Calibri"/>
          <w:color w:val="000000"/>
          <w:sz w:val="22"/>
          <w:szCs w:val="22"/>
        </w:rPr>
        <w:t>, mediante as cláusulas e condições a seguir enunciadas.</w:t>
      </w:r>
    </w:p>
    <w:p w14:paraId="68EBA80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39B3D0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1. </w:t>
      </w:r>
      <w:r w:rsidRPr="0056446F">
        <w:rPr>
          <w:rFonts w:ascii="Calibri" w:hAnsi="Calibri"/>
          <w:b/>
          <w:bCs/>
          <w:color w:val="000000"/>
          <w:sz w:val="22"/>
          <w:szCs w:val="22"/>
        </w:rPr>
        <w:t>CLÁUSULA PRIMEIRA – OBJETO</w:t>
      </w:r>
    </w:p>
    <w:p w14:paraId="658075B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1.0. O objeto do presente instrumento é AQUISIÇÃO DE DERMATOMO ELETRICO SEM FIO padronizados para o Serviço de Cirurgia Plástica do Hospital Federal de Ipanema, nos termos da tabela abaixo, conforme condições e exigências estabelecidas neste Termo de Referência.</w:t>
      </w:r>
    </w:p>
    <w:p w14:paraId="0C305D86" w14:textId="41B8F41A" w:rsidR="00596D24"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1.1. Objeto da contratação</w:t>
      </w:r>
      <w:r w:rsidR="00596D24">
        <w:rPr>
          <w:rFonts w:ascii="Calibri" w:hAnsi="Calibri"/>
          <w:color w:val="000000"/>
          <w:sz w:val="22"/>
          <w:szCs w:val="22"/>
        </w:rPr>
        <w:t>:</w:t>
      </w:r>
    </w:p>
    <w:p w14:paraId="6F796202" w14:textId="77777777" w:rsidR="00596D24" w:rsidRDefault="00596D24">
      <w:pPr>
        <w:rPr>
          <w:rFonts w:ascii="Calibri" w:eastAsia="Times New Roman" w:hAnsi="Calibri" w:cs="Times New Roman"/>
          <w:color w:val="000000"/>
          <w:lang w:eastAsia="pt-BR"/>
        </w:rPr>
      </w:pPr>
      <w:r>
        <w:rPr>
          <w:rFonts w:ascii="Calibri" w:hAnsi="Calibri"/>
          <w:color w:val="000000"/>
        </w:rPr>
        <w:br w:type="page"/>
      </w:r>
    </w:p>
    <w:p w14:paraId="06568F0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
    <w:tbl>
      <w:tblPr>
        <w:tblW w:w="85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7"/>
        <w:gridCol w:w="851"/>
        <w:gridCol w:w="3544"/>
        <w:gridCol w:w="850"/>
        <w:gridCol w:w="1090"/>
        <w:gridCol w:w="895"/>
        <w:gridCol w:w="708"/>
      </w:tblGrid>
      <w:tr w:rsidR="0056446F" w:rsidRPr="00AF6801" w14:paraId="1A06B455" w14:textId="77777777" w:rsidTr="00AF6801">
        <w:trPr>
          <w:trHeight w:val="165"/>
        </w:trPr>
        <w:tc>
          <w:tcPr>
            <w:tcW w:w="567" w:type="dxa"/>
            <w:noWrap/>
            <w:tcMar>
              <w:top w:w="30" w:type="dxa"/>
              <w:left w:w="30" w:type="dxa"/>
              <w:bottom w:w="30" w:type="dxa"/>
              <w:right w:w="30" w:type="dxa"/>
            </w:tcMar>
            <w:vAlign w:val="center"/>
            <w:hideMark/>
          </w:tcPr>
          <w:p w14:paraId="36809D12" w14:textId="77777777" w:rsidR="0056446F" w:rsidRPr="00AF6801" w:rsidRDefault="0056446F" w:rsidP="00AF6801">
            <w:pPr>
              <w:pStyle w:val="NormalWeb"/>
              <w:spacing w:before="0" w:beforeAutospacing="0" w:after="0" w:afterAutospacing="0"/>
              <w:jc w:val="center"/>
              <w:rPr>
                <w:rFonts w:ascii="Calibri" w:hAnsi="Calibri"/>
                <w:b/>
                <w:color w:val="000000"/>
                <w:sz w:val="18"/>
                <w:szCs w:val="18"/>
              </w:rPr>
            </w:pPr>
            <w:r w:rsidRPr="00AF6801">
              <w:rPr>
                <w:rFonts w:ascii="Calibri" w:hAnsi="Calibri"/>
                <w:b/>
                <w:bCs/>
                <w:color w:val="000000"/>
                <w:sz w:val="18"/>
                <w:szCs w:val="18"/>
              </w:rPr>
              <w:t>ITEM</w:t>
            </w:r>
          </w:p>
        </w:tc>
        <w:tc>
          <w:tcPr>
            <w:tcW w:w="851" w:type="dxa"/>
            <w:noWrap/>
            <w:tcMar>
              <w:top w:w="30" w:type="dxa"/>
              <w:left w:w="30" w:type="dxa"/>
              <w:bottom w:w="30" w:type="dxa"/>
              <w:right w:w="30" w:type="dxa"/>
            </w:tcMar>
            <w:vAlign w:val="center"/>
            <w:hideMark/>
          </w:tcPr>
          <w:p w14:paraId="7F1688A3" w14:textId="77777777" w:rsidR="0056446F" w:rsidRPr="00AF6801" w:rsidRDefault="0056446F" w:rsidP="00AF6801">
            <w:pPr>
              <w:pStyle w:val="NormalWeb"/>
              <w:spacing w:before="0" w:beforeAutospacing="0" w:after="0" w:afterAutospacing="0"/>
              <w:jc w:val="center"/>
              <w:rPr>
                <w:rFonts w:ascii="Calibri" w:hAnsi="Calibri"/>
                <w:b/>
                <w:color w:val="000000"/>
                <w:sz w:val="18"/>
                <w:szCs w:val="18"/>
              </w:rPr>
            </w:pPr>
            <w:r w:rsidRPr="00AF6801">
              <w:rPr>
                <w:rFonts w:ascii="Calibri" w:hAnsi="Calibri"/>
                <w:b/>
                <w:bCs/>
                <w:color w:val="000000"/>
                <w:sz w:val="18"/>
                <w:szCs w:val="18"/>
              </w:rPr>
              <w:t>CATMAT</w:t>
            </w:r>
          </w:p>
        </w:tc>
        <w:tc>
          <w:tcPr>
            <w:tcW w:w="3544" w:type="dxa"/>
            <w:noWrap/>
            <w:tcMar>
              <w:top w:w="30" w:type="dxa"/>
              <w:left w:w="30" w:type="dxa"/>
              <w:bottom w:w="30" w:type="dxa"/>
              <w:right w:w="30" w:type="dxa"/>
            </w:tcMar>
            <w:vAlign w:val="center"/>
            <w:hideMark/>
          </w:tcPr>
          <w:p w14:paraId="1E84D1E6" w14:textId="77777777" w:rsidR="0056446F" w:rsidRPr="00AF6801" w:rsidRDefault="0056446F" w:rsidP="00AF6801">
            <w:pPr>
              <w:pStyle w:val="NormalWeb"/>
              <w:spacing w:before="0" w:beforeAutospacing="0" w:after="0" w:afterAutospacing="0"/>
              <w:jc w:val="center"/>
              <w:rPr>
                <w:rFonts w:ascii="Calibri" w:hAnsi="Calibri"/>
                <w:b/>
                <w:color w:val="000000"/>
                <w:sz w:val="18"/>
                <w:szCs w:val="18"/>
              </w:rPr>
            </w:pPr>
            <w:r w:rsidRPr="00AF6801">
              <w:rPr>
                <w:rFonts w:ascii="Calibri" w:hAnsi="Calibri"/>
                <w:b/>
                <w:bCs/>
                <w:color w:val="000000"/>
                <w:sz w:val="18"/>
                <w:szCs w:val="18"/>
              </w:rPr>
              <w:t>DESCRIÇÃO</w:t>
            </w:r>
          </w:p>
        </w:tc>
        <w:tc>
          <w:tcPr>
            <w:tcW w:w="850" w:type="dxa"/>
            <w:noWrap/>
            <w:tcMar>
              <w:top w:w="30" w:type="dxa"/>
              <w:left w:w="30" w:type="dxa"/>
              <w:bottom w:w="30" w:type="dxa"/>
              <w:right w:w="30" w:type="dxa"/>
            </w:tcMar>
            <w:vAlign w:val="center"/>
            <w:hideMark/>
          </w:tcPr>
          <w:p w14:paraId="6875219E" w14:textId="77777777" w:rsidR="0056446F" w:rsidRPr="00AF6801" w:rsidRDefault="0056446F" w:rsidP="00AF6801">
            <w:pPr>
              <w:pStyle w:val="NormalWeb"/>
              <w:spacing w:before="0" w:beforeAutospacing="0" w:after="0" w:afterAutospacing="0"/>
              <w:jc w:val="center"/>
              <w:rPr>
                <w:rFonts w:ascii="Calibri" w:hAnsi="Calibri"/>
                <w:b/>
                <w:color w:val="000000"/>
                <w:sz w:val="18"/>
                <w:szCs w:val="18"/>
              </w:rPr>
            </w:pPr>
            <w:r w:rsidRPr="00AF6801">
              <w:rPr>
                <w:rFonts w:ascii="Calibri" w:hAnsi="Calibri"/>
                <w:b/>
                <w:bCs/>
                <w:color w:val="000000"/>
                <w:sz w:val="18"/>
                <w:szCs w:val="18"/>
              </w:rPr>
              <w:t>UNIDADE</w:t>
            </w:r>
          </w:p>
        </w:tc>
        <w:tc>
          <w:tcPr>
            <w:tcW w:w="1090" w:type="dxa"/>
            <w:noWrap/>
            <w:tcMar>
              <w:top w:w="30" w:type="dxa"/>
              <w:left w:w="30" w:type="dxa"/>
              <w:bottom w:w="30" w:type="dxa"/>
              <w:right w:w="30" w:type="dxa"/>
            </w:tcMar>
            <w:vAlign w:val="center"/>
            <w:hideMark/>
          </w:tcPr>
          <w:p w14:paraId="7097AC06" w14:textId="77777777" w:rsidR="0056446F" w:rsidRPr="00AF6801" w:rsidRDefault="0056446F" w:rsidP="00AF6801">
            <w:pPr>
              <w:pStyle w:val="NormalWeb"/>
              <w:spacing w:before="0" w:beforeAutospacing="0" w:after="0" w:afterAutospacing="0"/>
              <w:jc w:val="center"/>
              <w:rPr>
                <w:rFonts w:ascii="Calibri" w:hAnsi="Calibri"/>
                <w:b/>
                <w:color w:val="000000"/>
                <w:sz w:val="18"/>
                <w:szCs w:val="18"/>
              </w:rPr>
            </w:pPr>
            <w:r w:rsidRPr="00AF6801">
              <w:rPr>
                <w:rFonts w:ascii="Calibri" w:hAnsi="Calibri"/>
                <w:b/>
                <w:bCs/>
                <w:color w:val="000000"/>
                <w:sz w:val="18"/>
                <w:szCs w:val="18"/>
              </w:rPr>
              <w:t>QUANTIDADE</w:t>
            </w:r>
          </w:p>
        </w:tc>
        <w:tc>
          <w:tcPr>
            <w:tcW w:w="895" w:type="dxa"/>
            <w:noWrap/>
            <w:tcMar>
              <w:top w:w="30" w:type="dxa"/>
              <w:left w:w="30" w:type="dxa"/>
              <w:bottom w:w="30" w:type="dxa"/>
              <w:right w:w="30" w:type="dxa"/>
            </w:tcMar>
            <w:vAlign w:val="center"/>
            <w:hideMark/>
          </w:tcPr>
          <w:p w14:paraId="05AF452A" w14:textId="77777777" w:rsidR="0056446F" w:rsidRPr="00AF6801" w:rsidRDefault="0056446F" w:rsidP="00AF6801">
            <w:pPr>
              <w:pStyle w:val="NormalWeb"/>
              <w:spacing w:before="0" w:beforeAutospacing="0" w:after="0" w:afterAutospacing="0"/>
              <w:jc w:val="center"/>
              <w:rPr>
                <w:rFonts w:ascii="Calibri" w:hAnsi="Calibri"/>
                <w:b/>
                <w:color w:val="000000"/>
                <w:sz w:val="18"/>
                <w:szCs w:val="18"/>
              </w:rPr>
            </w:pPr>
            <w:r w:rsidRPr="00AF6801">
              <w:rPr>
                <w:rFonts w:ascii="Calibri" w:hAnsi="Calibri"/>
                <w:b/>
                <w:bCs/>
                <w:color w:val="000000"/>
                <w:sz w:val="18"/>
                <w:szCs w:val="18"/>
              </w:rPr>
              <w:t>VALOR UNITÁRIO</w:t>
            </w:r>
          </w:p>
        </w:tc>
        <w:tc>
          <w:tcPr>
            <w:tcW w:w="708" w:type="dxa"/>
            <w:noWrap/>
            <w:tcMar>
              <w:top w:w="30" w:type="dxa"/>
              <w:left w:w="30" w:type="dxa"/>
              <w:bottom w:w="30" w:type="dxa"/>
              <w:right w:w="30" w:type="dxa"/>
            </w:tcMar>
            <w:vAlign w:val="center"/>
            <w:hideMark/>
          </w:tcPr>
          <w:p w14:paraId="2FFD0DC9" w14:textId="77777777" w:rsidR="0056446F" w:rsidRPr="00AF6801" w:rsidRDefault="0056446F" w:rsidP="00AF6801">
            <w:pPr>
              <w:pStyle w:val="NormalWeb"/>
              <w:spacing w:before="0" w:beforeAutospacing="0" w:after="0" w:afterAutospacing="0"/>
              <w:jc w:val="center"/>
              <w:rPr>
                <w:rFonts w:ascii="Calibri" w:hAnsi="Calibri"/>
                <w:b/>
                <w:color w:val="000000"/>
                <w:sz w:val="18"/>
                <w:szCs w:val="18"/>
              </w:rPr>
            </w:pPr>
            <w:r w:rsidRPr="00AF6801">
              <w:rPr>
                <w:rFonts w:ascii="Calibri" w:hAnsi="Calibri"/>
                <w:b/>
                <w:bCs/>
                <w:color w:val="000000"/>
                <w:sz w:val="18"/>
                <w:szCs w:val="18"/>
              </w:rPr>
              <w:t>VALOR TOTAL</w:t>
            </w:r>
          </w:p>
        </w:tc>
      </w:tr>
      <w:tr w:rsidR="0056446F" w:rsidRPr="00AF6801" w14:paraId="166B965B" w14:textId="77777777" w:rsidTr="00AF6801">
        <w:tc>
          <w:tcPr>
            <w:tcW w:w="567" w:type="dxa"/>
            <w:noWrap/>
            <w:tcMar>
              <w:top w:w="30" w:type="dxa"/>
              <w:left w:w="30" w:type="dxa"/>
              <w:bottom w:w="30" w:type="dxa"/>
              <w:right w:w="30" w:type="dxa"/>
            </w:tcMar>
            <w:vAlign w:val="center"/>
            <w:hideMark/>
          </w:tcPr>
          <w:p w14:paraId="0E40F254"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1</w:t>
            </w:r>
          </w:p>
        </w:tc>
        <w:tc>
          <w:tcPr>
            <w:tcW w:w="851" w:type="dxa"/>
            <w:noWrap/>
            <w:tcMar>
              <w:top w:w="30" w:type="dxa"/>
              <w:left w:w="30" w:type="dxa"/>
              <w:bottom w:w="30" w:type="dxa"/>
              <w:right w:w="30" w:type="dxa"/>
            </w:tcMar>
            <w:vAlign w:val="center"/>
            <w:hideMark/>
          </w:tcPr>
          <w:p w14:paraId="6C9D44FF"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445331</w:t>
            </w:r>
          </w:p>
        </w:tc>
        <w:tc>
          <w:tcPr>
            <w:tcW w:w="3544" w:type="dxa"/>
            <w:tcMar>
              <w:top w:w="30" w:type="dxa"/>
              <w:left w:w="30" w:type="dxa"/>
              <w:bottom w:w="30" w:type="dxa"/>
              <w:right w:w="30" w:type="dxa"/>
            </w:tcMar>
            <w:vAlign w:val="center"/>
            <w:hideMark/>
          </w:tcPr>
          <w:p w14:paraId="686CEB96" w14:textId="77777777" w:rsidR="0056446F" w:rsidRPr="00AF6801" w:rsidRDefault="0056446F" w:rsidP="00AF6801">
            <w:pPr>
              <w:pStyle w:val="NormalWeb"/>
              <w:spacing w:before="0" w:beforeAutospacing="0" w:after="0" w:afterAutospacing="0"/>
              <w:jc w:val="both"/>
              <w:rPr>
                <w:rFonts w:ascii="Calibri" w:hAnsi="Calibri"/>
                <w:color w:val="000000"/>
                <w:sz w:val="18"/>
                <w:szCs w:val="18"/>
              </w:rPr>
            </w:pPr>
            <w:r w:rsidRPr="00AF6801">
              <w:rPr>
                <w:rFonts w:ascii="Calibri" w:hAnsi="Calibri"/>
                <w:color w:val="000000"/>
                <w:sz w:val="18"/>
                <w:szCs w:val="18"/>
              </w:rPr>
              <w:t>DERMÁTOMO ELÉTRICO SEM FIO: POSSIBILITA CORTE DE 80 MM (3,15 "), O QUAL PODE SER REDUZIDA PARA 65, 50 E 35 MM (2,56, 1,97 E 1,38") POR MEIO DE GRAMPOS DE REDUÇÃO DE LARGURA.CORTE PRECISO DE 0,1 A 1,2 MM COM INCREMENTOS DE 0,1 MM E TRAVA DE AJUSTE PARA SEGURANÇA. TEM UMA CABEÇA MAIS LARGA (104 MM / 4,09 ") E ADERÊNCIA MAIOR, CONTA COM UMA PODEROSA BATERIA DE LI-ION DE 2400 MAH PODENDO SER UTILIZADA POR 75 MINUTOS, EM MÉDIA, SEM PARAR, COM PROTEÇÃO CONTRA CURTO-CIRCUITOS, EXCESSO DE CARGA, SOBRE-DESCARGA E SUPERAQUECIMENTO POR MEIO DE UMA PLACA DE CIRCUITO DE PROTEÇÃO INTEGRADA. LEVE E SEM FIO, OPERADO POR BATERIA E DESIGN LEVE OFERECE A MELHOR MANOBRABILIDADE E MOBILIDADE. TROCA PRÁTICA E SEGURA DA LÂMINA. ACONDICIONADO EM MALETA DE TRANSPORTE E CAIXA DE ESTERILIZAÇÃO.</w:t>
            </w:r>
          </w:p>
        </w:tc>
        <w:tc>
          <w:tcPr>
            <w:tcW w:w="850" w:type="dxa"/>
            <w:tcMar>
              <w:top w:w="30" w:type="dxa"/>
              <w:left w:w="30" w:type="dxa"/>
              <w:bottom w:w="30" w:type="dxa"/>
              <w:right w:w="30" w:type="dxa"/>
            </w:tcMar>
            <w:vAlign w:val="center"/>
            <w:hideMark/>
          </w:tcPr>
          <w:p w14:paraId="3596CA8F"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UNIDADE</w:t>
            </w:r>
          </w:p>
        </w:tc>
        <w:tc>
          <w:tcPr>
            <w:tcW w:w="1090" w:type="dxa"/>
            <w:tcMar>
              <w:top w:w="30" w:type="dxa"/>
              <w:left w:w="30" w:type="dxa"/>
              <w:bottom w:w="30" w:type="dxa"/>
              <w:right w:w="30" w:type="dxa"/>
            </w:tcMar>
            <w:vAlign w:val="center"/>
            <w:hideMark/>
          </w:tcPr>
          <w:p w14:paraId="74E5AD75"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1</w:t>
            </w:r>
          </w:p>
        </w:tc>
        <w:tc>
          <w:tcPr>
            <w:tcW w:w="895" w:type="dxa"/>
            <w:tcMar>
              <w:top w:w="30" w:type="dxa"/>
              <w:left w:w="30" w:type="dxa"/>
              <w:bottom w:w="30" w:type="dxa"/>
              <w:right w:w="30" w:type="dxa"/>
            </w:tcMar>
            <w:vAlign w:val="center"/>
            <w:hideMark/>
          </w:tcPr>
          <w:p w14:paraId="2A3C55B8"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R$</w:t>
            </w:r>
          </w:p>
        </w:tc>
        <w:tc>
          <w:tcPr>
            <w:tcW w:w="708" w:type="dxa"/>
            <w:tcMar>
              <w:top w:w="30" w:type="dxa"/>
              <w:left w:w="30" w:type="dxa"/>
              <w:bottom w:w="30" w:type="dxa"/>
              <w:right w:w="30" w:type="dxa"/>
            </w:tcMar>
            <w:vAlign w:val="center"/>
            <w:hideMark/>
          </w:tcPr>
          <w:p w14:paraId="67B14331" w14:textId="77777777" w:rsidR="0056446F" w:rsidRPr="00AF6801" w:rsidRDefault="0056446F" w:rsidP="00AF6801">
            <w:pPr>
              <w:pStyle w:val="NormalWeb"/>
              <w:spacing w:before="0" w:beforeAutospacing="0" w:after="0" w:afterAutospacing="0"/>
              <w:jc w:val="center"/>
              <w:rPr>
                <w:rFonts w:ascii="Calibri" w:hAnsi="Calibri"/>
                <w:color w:val="000000"/>
                <w:sz w:val="18"/>
                <w:szCs w:val="18"/>
              </w:rPr>
            </w:pPr>
            <w:r w:rsidRPr="00AF6801">
              <w:rPr>
                <w:rFonts w:ascii="Calibri" w:hAnsi="Calibri"/>
                <w:color w:val="000000"/>
                <w:sz w:val="18"/>
                <w:szCs w:val="18"/>
              </w:rPr>
              <w:t>R$</w:t>
            </w:r>
          </w:p>
        </w:tc>
      </w:tr>
    </w:tbl>
    <w:p w14:paraId="3873D59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ED59BA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 Vinculam esta contratação, independentemente de transcrição:</w:t>
      </w:r>
    </w:p>
    <w:p w14:paraId="73C05BE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1.2.1. O Termo de Referência;</w:t>
      </w:r>
    </w:p>
    <w:p w14:paraId="3592CD1E"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1.2.2. O Edital da Licitação;</w:t>
      </w:r>
    </w:p>
    <w:p w14:paraId="5BD3B8DC"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1.2.3. A Proposta do contratado;</w:t>
      </w:r>
    </w:p>
    <w:p w14:paraId="6467BC44"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1.2.4. Eventuais anexos dos documentos supracitados.</w:t>
      </w:r>
    </w:p>
    <w:p w14:paraId="7AAE6F9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0FAF8F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2. CLÁUSULA SEGUNDA – VIGÊNCIA E PRORROGAÇÃO</w:t>
      </w:r>
    </w:p>
    <w:p w14:paraId="072E467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2.1. O prazo de vigência da contratação é de 12 meses contados a partir da assinatura deste termo de contrato, na forma do artigo 105 da Lei n° 14.133, de 2021.</w:t>
      </w:r>
    </w:p>
    <w:p w14:paraId="1553280B"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3233E06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2.2. O licitante vencedor do certame terá que fornecer garantia de no mínimo 01 (um) ano para o equipamento, assim como fornecer assistência técnica preventiva e corretiva pelo mesmo período quando necessário e solicitado pelo Serviço de Cirurgia Plástica.</w:t>
      </w:r>
    </w:p>
    <w:p w14:paraId="0B35727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C741F6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3. CLÁUSULA TERCEIRA – MODELOS DE EXECUÇÃO E GESTÃO CONTRATUAIS</w:t>
      </w:r>
    </w:p>
    <w:p w14:paraId="2DE5C82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3.1. O regime de execução contratual, os modelos de gestão e de execução, assim como os prazos e condições de conclusão, entrega, observação e recebimento do objeto constam no Termo de Referência, anexo a este Contrato.</w:t>
      </w:r>
    </w:p>
    <w:p w14:paraId="633B4A5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49EE55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4. CLÁUSULA QUARTA – SUBCONTRATAÇÃO</w:t>
      </w:r>
    </w:p>
    <w:p w14:paraId="0ED0DAE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4.</w:t>
      </w:r>
      <w:proofErr w:type="gramStart"/>
      <w:r w:rsidRPr="0056446F">
        <w:rPr>
          <w:rFonts w:ascii="Calibri" w:hAnsi="Calibri"/>
          <w:color w:val="000000"/>
          <w:sz w:val="22"/>
          <w:szCs w:val="22"/>
        </w:rPr>
        <w:t>1.Não</w:t>
      </w:r>
      <w:proofErr w:type="gramEnd"/>
      <w:r w:rsidRPr="0056446F">
        <w:rPr>
          <w:rFonts w:ascii="Calibri" w:hAnsi="Calibri"/>
          <w:color w:val="000000"/>
          <w:sz w:val="22"/>
          <w:szCs w:val="22"/>
        </w:rPr>
        <w:t xml:space="preserve"> será admitida a subcontratação do objeto contratual.</w:t>
      </w:r>
    </w:p>
    <w:p w14:paraId="7D6A8E7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BE8F83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5. CLÁUSULA QUINTA – PREÇO</w:t>
      </w:r>
    </w:p>
    <w:p w14:paraId="3387802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5.1. ​O valor total da contratação é de R$ ....... (.......).</w:t>
      </w:r>
    </w:p>
    <w:p w14:paraId="704BD26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7D36D6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5.3. O valor acima é meramente estimativo, de forma que os pagamentos devidos ao CONTRATADO dependerão dos quantitativos efetivamente fornecidos.</w:t>
      </w:r>
    </w:p>
    <w:p w14:paraId="75197E1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E07C2A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6. CLÁUSULA SEXTA – PAGAMENTO</w:t>
      </w:r>
    </w:p>
    <w:p w14:paraId="3AC3496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6.1. O prazo para pagamento ao contratado e demais condições a ele referentes encontram-se definidos no Termo de Referência, anexo a este Contrato.</w:t>
      </w:r>
    </w:p>
    <w:p w14:paraId="70E49C7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D5327B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7. CLÁUSULA SÉTIMA – REAJUSTE</w:t>
      </w:r>
    </w:p>
    <w:p w14:paraId="4A288BF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 As regras acerca do reajuste do valor contratual são aquelas definidas no Termo de Referência, anexo a este Contrato.</w:t>
      </w:r>
    </w:p>
    <w:p w14:paraId="108DC0A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9244BD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8. CLÁUSULA OITAVA – OBRIGAÇÕES DO CONTRATANTE</w:t>
      </w:r>
    </w:p>
    <w:p w14:paraId="707E3F0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 São obrigações do Contratante:</w:t>
      </w:r>
    </w:p>
    <w:p w14:paraId="3645247F"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8.1.1. Exigir o cumprimento de todas as obrigações assumidas pelo Contratado, de acordo com o contrato e seus anexos;</w:t>
      </w:r>
    </w:p>
    <w:p w14:paraId="1595E917"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8.1.2. Receber o objeto no prazo e condições estabelecidas no Termo de Referência;</w:t>
      </w:r>
    </w:p>
    <w:p w14:paraId="331BDFBD"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8.1.3.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4F631AF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lastRenderedPageBreak/>
        <w:t>8.1.4. Acompanhar e fiscalizar a execução do contrato e o cumprimento das obrigações pelo Contratado;</w:t>
      </w:r>
    </w:p>
    <w:p w14:paraId="280E769C"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8.1.5. Efetuar o pagamento ao Contratado do valor correspondente ao fornecimento do objeto, no prazo, forma e condições estabelecidos no presente Contrato;</w:t>
      </w:r>
    </w:p>
    <w:p w14:paraId="4DE90255"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8.1.6. Aplicar ao Contratado as sanções previstas na lei e neste Contrato;</w:t>
      </w:r>
    </w:p>
    <w:p w14:paraId="7F0B518A"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8.1.7. Cientificar o órgão de representação judicial da Advocacia-Geral da União para adoção das medidas cabíveis quando do descumprimento de obrigações pelo Contratado;</w:t>
      </w:r>
    </w:p>
    <w:p w14:paraId="70441317"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E9D5236" w14:textId="77777777" w:rsidR="0056446F" w:rsidRPr="0056446F" w:rsidRDefault="0056446F" w:rsidP="00AF6801">
      <w:pPr>
        <w:pStyle w:val="NormalWeb"/>
        <w:spacing w:before="0" w:beforeAutospacing="0" w:after="0" w:afterAutospacing="0" w:line="360" w:lineRule="auto"/>
        <w:ind w:left="1702"/>
        <w:jc w:val="both"/>
        <w:rPr>
          <w:rFonts w:ascii="Calibri" w:hAnsi="Calibri"/>
          <w:color w:val="000000"/>
          <w:sz w:val="22"/>
          <w:szCs w:val="22"/>
        </w:rPr>
      </w:pPr>
      <w:r w:rsidRPr="0056446F">
        <w:rPr>
          <w:rFonts w:ascii="Calibri" w:hAnsi="Calibri"/>
          <w:color w:val="000000"/>
          <w:sz w:val="22"/>
          <w:szCs w:val="22"/>
        </w:rPr>
        <w:t>8.1.8.1. A Administração terá o prazo de</w:t>
      </w:r>
      <w:r w:rsidRPr="0056446F">
        <w:rPr>
          <w:rFonts w:ascii="Calibri" w:hAnsi="Calibri"/>
          <w:i/>
          <w:iCs/>
          <w:color w:val="000000"/>
          <w:sz w:val="22"/>
          <w:szCs w:val="22"/>
        </w:rPr>
        <w:t> </w:t>
      </w:r>
      <w:r w:rsidRPr="0056446F">
        <w:rPr>
          <w:rFonts w:ascii="Calibri" w:hAnsi="Calibri"/>
          <w:color w:val="000000"/>
          <w:sz w:val="22"/>
          <w:szCs w:val="22"/>
        </w:rPr>
        <w:t>60 (sessenta) dias, a contar da data do protocolo do requerimento para decidir, admitida a prorrogação motivada, por igual período.</w:t>
      </w:r>
    </w:p>
    <w:p w14:paraId="7467E15E"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8.1.9. Responder eventuais pedidos de reestabelecimento do equilíbrio econômico-financeiro feitos pelo contratado no prazo máximo de 90 (noventa) dias.</w:t>
      </w:r>
    </w:p>
    <w:p w14:paraId="503DC7D0"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8.1.10. Notificar os emitentes das garantias quanto ao início de processo administrativo para apuração de descumprimento de cláusulas contratuais.</w:t>
      </w:r>
    </w:p>
    <w:p w14:paraId="6D27495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7361D4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20CD70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9. CLÁUSULA NONA - OBRIGAÇÕES DO CONTRATADO</w:t>
      </w:r>
    </w:p>
    <w:p w14:paraId="11A1D28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08174F1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9.2. Atender às determinações regulares emitidas pelo fiscal ou gestor do contrato ou autoridade superior e prestar todo esclarecimento ou informação por eles solicitados;</w:t>
      </w:r>
    </w:p>
    <w:p w14:paraId="0142772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9.3. 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DE203C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9.4.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2B8101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9.5.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3A4DE7BF"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9.5.1. </w:t>
      </w:r>
      <w:proofErr w:type="gramStart"/>
      <w:r w:rsidRPr="0056446F">
        <w:rPr>
          <w:rFonts w:ascii="Calibri" w:hAnsi="Calibri"/>
          <w:color w:val="000000"/>
          <w:sz w:val="22"/>
          <w:szCs w:val="22"/>
        </w:rPr>
        <w:t>prova</w:t>
      </w:r>
      <w:proofErr w:type="gramEnd"/>
      <w:r w:rsidRPr="0056446F">
        <w:rPr>
          <w:rFonts w:ascii="Calibri" w:hAnsi="Calibri"/>
          <w:color w:val="000000"/>
          <w:sz w:val="22"/>
          <w:szCs w:val="22"/>
        </w:rPr>
        <w:t xml:space="preserve"> de regularidade relativa à Seguridade Social;</w:t>
      </w:r>
    </w:p>
    <w:p w14:paraId="59C0565D"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9.5.2. </w:t>
      </w:r>
      <w:proofErr w:type="gramStart"/>
      <w:r w:rsidRPr="0056446F">
        <w:rPr>
          <w:rFonts w:ascii="Calibri" w:hAnsi="Calibri"/>
          <w:color w:val="000000"/>
          <w:sz w:val="22"/>
          <w:szCs w:val="22"/>
        </w:rPr>
        <w:t>certidão</w:t>
      </w:r>
      <w:proofErr w:type="gramEnd"/>
      <w:r w:rsidRPr="0056446F">
        <w:rPr>
          <w:rFonts w:ascii="Calibri" w:hAnsi="Calibri"/>
          <w:color w:val="000000"/>
          <w:sz w:val="22"/>
          <w:szCs w:val="22"/>
        </w:rPr>
        <w:t xml:space="preserve"> conjunta relativa aos tributos federais e à Dívida Ativa da União;</w:t>
      </w:r>
    </w:p>
    <w:p w14:paraId="42BE0EAB"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9.5.3. </w:t>
      </w:r>
      <w:proofErr w:type="gramStart"/>
      <w:r w:rsidRPr="0056446F">
        <w:rPr>
          <w:rFonts w:ascii="Calibri" w:hAnsi="Calibri"/>
          <w:color w:val="000000"/>
          <w:sz w:val="22"/>
          <w:szCs w:val="22"/>
        </w:rPr>
        <w:t>certidões</w:t>
      </w:r>
      <w:proofErr w:type="gramEnd"/>
      <w:r w:rsidRPr="0056446F">
        <w:rPr>
          <w:rFonts w:ascii="Calibri" w:hAnsi="Calibri"/>
          <w:color w:val="000000"/>
          <w:sz w:val="22"/>
          <w:szCs w:val="22"/>
        </w:rPr>
        <w:t xml:space="preserve"> que comprovem a regularidade perante a Fazenda Estadual ou Distrital do domicílio ou sede do CONTRATADO;</w:t>
      </w:r>
    </w:p>
    <w:p w14:paraId="10458AA5"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9.5.4. Certidão de Regularidade do FGTS – CRF; e</w:t>
      </w:r>
    </w:p>
    <w:p w14:paraId="56E48B3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9.5.5. Certidão Negativa de Débitos Trabalhistas – CNDT.</w:t>
      </w:r>
    </w:p>
    <w:p w14:paraId="18BDD4C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9.6. 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4598FD0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9.7. Comunicar ao Fiscal do contrato tempestivamente, observada a urgência da situação, qualquer ocorrência anormal ou acidente que se verifique no local da execução do objeto contratual, não ultrapassando o prazo de 24 (vinte e quatro) horas;</w:t>
      </w:r>
    </w:p>
    <w:p w14:paraId="192F155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9.8. Paralisar, por determinação do CONTRATANTE, qualquer atividade que não esteja sendo executada de acordo com a boa técnica ou que ponha em risco a segurança de pessoas ou bens de terceiros;</w:t>
      </w:r>
    </w:p>
    <w:p w14:paraId="3E52556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9.9. Manter durante toda a vigência do contrato, em compatibilidade com as obrigações assumidas, todas as condições exigidas para habilitação na licitação;</w:t>
      </w:r>
    </w:p>
    <w:p w14:paraId="77A2AC4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9.10. Cumprir, durante todo o período de execução do contrato, a reserva de cargos prevista em lei para pessoa com deficiência, para reabilitado da Previdência Social ou para aprendiz, bem como as reservas de cargos previstas na legislação;</w:t>
      </w:r>
    </w:p>
    <w:p w14:paraId="36B8F10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9.11. Comprovar a reserva de cargos a que se refere a cláusula acima, no prazo fixado pelo fiscal do contrato, com a indicação dos empregados que preencheram as referidas vagas;</w:t>
      </w:r>
    </w:p>
    <w:p w14:paraId="7004229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9.12. Guardar sigilo sobre todas as informações obtidas em decorrência do cumprimento do contrato;</w:t>
      </w:r>
    </w:p>
    <w:p w14:paraId="69AED9E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9.13.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3EA933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9.14. Cumprir, além dos postulados legais vigentes de âmbito federal, estadual ou municipal, as normas de segurança do CONTRATANTE;</w:t>
      </w:r>
    </w:p>
    <w:p w14:paraId="091D869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9.15. Fornecer todos os materiais, equipamentos, ferramentas e utensílios demandados, em quantidade, qualidade e tecnologia adequadas, com a observância às recomendações aceitas pela boa técnica, normas e legislação de regência;</w:t>
      </w:r>
    </w:p>
    <w:p w14:paraId="4CC0DC9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9.16. Conduzir os trabalhos com estrita observância às normas da legislação pertinente, cumprindo as determinações dos Poderes Públicos, mantendo sempre limpo o local de execução do objeto e nas melhores condições de segurança, higiene e disciplina;</w:t>
      </w:r>
    </w:p>
    <w:p w14:paraId="1DDA89B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9.17. Submeter previamente, por escrito, ao CONTRATANTE, para análise e aprovação, quaisquer mudanças nos métodos executivos que fujam às especificações do memorial descritivo ou instrumento congênere;</w:t>
      </w:r>
    </w:p>
    <w:p w14:paraId="63E2A9B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9.18. Não permitir a utilização de qualquer trabalho do menor de dezesseis anos, exceto na condição de aprendiz para os maiores de quatorze anos, nem permitir a utilização do trabalho do menor de dezoito anos em trabalho noturno, perigoso ou insalubre.</w:t>
      </w:r>
    </w:p>
    <w:p w14:paraId="0995C91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9.19. Entregar o objeto acompanhado do manual do usuário, com uma versão em português, e da relação da rede de assistência técnica autorizada;</w:t>
      </w:r>
    </w:p>
    <w:p w14:paraId="524F671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9.20. Responsabilizar-se pelos vícios e danos decorrentes do objeto, de acordo com o Código de Defesa do Consumidor (Lei nº 8.078, de 1990);</w:t>
      </w:r>
    </w:p>
    <w:p w14:paraId="4B33D0D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9.21. Comunicar ao CONTRATANTE, no prazo máximo de 24 (vinte e quatro) horas que antecede a data da entrega, os motivos que impossibilitem o cumprimento do prazo previsto, com a devida comprovação;</w:t>
      </w:r>
    </w:p>
    <w:p w14:paraId="1DE004B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9.22. Orientar e treinar seus empregados sobre os deveres previstos na Lei nº 13.709, de 14 de agosto de 2018, adotando medidas eficazes para proteção de dados pessoais a que tenha acesso por força da execução deste contrato;</w:t>
      </w:r>
    </w:p>
    <w:p w14:paraId="3621282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10D89C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10. CLÁUSULA DÉCIMA – GARANTIA DE EXECUÇÃO</w:t>
      </w:r>
    </w:p>
    <w:p w14:paraId="6F6B609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10.1. Não haverá exigência de garantia contratual da execução.</w:t>
      </w:r>
    </w:p>
    <w:p w14:paraId="0564B39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34B10D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bookmarkStart w:id="34" w:name="_msocom_2"/>
      <w:bookmarkEnd w:id="34"/>
      <w:r w:rsidRPr="0056446F">
        <w:rPr>
          <w:rFonts w:ascii="Calibri" w:hAnsi="Calibri"/>
          <w:b/>
          <w:bCs/>
          <w:color w:val="000000"/>
          <w:sz w:val="22"/>
          <w:szCs w:val="22"/>
        </w:rPr>
        <w:t>11. CLÁUSULA DÉCIMA PRIMEIRA – INFRAÇÕES E SANÇÕES ADMINISTRATIVAS</w:t>
      </w:r>
    </w:p>
    <w:p w14:paraId="71D0A45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11.1. As regras acerca de infrações e sanções administrativas referentes à execução do contrato são aquelas definidas no Termo de Referência, anexo a este Contrato.</w:t>
      </w:r>
    </w:p>
    <w:p w14:paraId="0110222D" w14:textId="2A38262F"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2FBCA7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12.CLÁUSULA DÉCIMA SEGUNDA – DA EXTINÇÃO CONTRATUAL</w:t>
      </w:r>
    </w:p>
    <w:p w14:paraId="709371A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12.1. O contrato será extinto quando cumpridas as obrigações de ambas as partes, ainda que isso ocorra antes do prazo estipulado para tanto.</w:t>
      </w:r>
    </w:p>
    <w:p w14:paraId="637BF5F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12.2. O contrato poderá ser extinto antes de cumpridas as obrigações nele estipuladas, ou antes do prazo nele fixado, por algum dos motivos previstos no artigo 137 da Lei nº 14.133, de 2021, bem como amigavelmente, assegurados o contraditório e a ampla defesa.</w:t>
      </w:r>
    </w:p>
    <w:p w14:paraId="2598374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12.3. Nesta hipótese, aplicam-se também os artigos 138 e 139 da mesma Lei.</w:t>
      </w:r>
    </w:p>
    <w:p w14:paraId="5B8DBF9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12.4. A alteração social ou a modificação da finalidade ou da estrutura da empresa não ensejará a extinção se não restringir sua capacidade de concluir o contrato.</w:t>
      </w:r>
    </w:p>
    <w:p w14:paraId="67FBD60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12.5. Se a operação implicar mudança da pessoa jurídica contratada, deverá ser formalizado termo aditivo para alteração subjetiva.</w:t>
      </w:r>
    </w:p>
    <w:p w14:paraId="434F948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12.6. O termo de extinção, sempre que possível, será precedido:</w:t>
      </w:r>
    </w:p>
    <w:p w14:paraId="5F01D6C8"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12.6.1. Do balanço dos eventos contratuais já cumpridos ou parcialmente cumpridos;</w:t>
      </w:r>
    </w:p>
    <w:p w14:paraId="6499AB65"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12.6.2. Da relação dos pagamentos já efetuados e ainda devidos;</w:t>
      </w:r>
    </w:p>
    <w:p w14:paraId="76511B61"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12.6.3. Das indenizações e multas.</w:t>
      </w:r>
    </w:p>
    <w:p w14:paraId="2094425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12.7. A extinção do contrato não configura óbice para o reconhecimento do desequilíbrio econômico financeiro, hipótese em que será concedida indenização por meio de termo indenizatório.</w:t>
      </w:r>
    </w:p>
    <w:p w14:paraId="72C1BED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12.8. O contrato poderá ser extinto:</w:t>
      </w:r>
    </w:p>
    <w:p w14:paraId="0DC464DB"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12.8.1. </w:t>
      </w:r>
      <w:proofErr w:type="gramStart"/>
      <w:r w:rsidRPr="0056446F">
        <w:rPr>
          <w:rFonts w:ascii="Calibri" w:hAnsi="Calibri"/>
          <w:color w:val="000000"/>
          <w:sz w:val="22"/>
          <w:szCs w:val="22"/>
        </w:rPr>
        <w:t>nos</w:t>
      </w:r>
      <w:proofErr w:type="gramEnd"/>
      <w:r w:rsidRPr="0056446F">
        <w:rPr>
          <w:rFonts w:ascii="Calibri" w:hAnsi="Calibri"/>
          <w:color w:val="000000"/>
          <w:sz w:val="22"/>
          <w:szCs w:val="22"/>
        </w:rPr>
        <w:t xml:space="preserve"> casos de obrigação de pagamento de multa pelo CONTRATADO, reter a garantia prestada a ser executada, conforme legislação que rege a matéria; e</w:t>
      </w:r>
    </w:p>
    <w:p w14:paraId="425DD224" w14:textId="77777777" w:rsidR="0056446F" w:rsidRPr="0056446F" w:rsidRDefault="0056446F" w:rsidP="00AF6801">
      <w:pPr>
        <w:pStyle w:val="NormalWeb"/>
        <w:spacing w:before="0" w:beforeAutospacing="0" w:after="0" w:afterAutospacing="0" w:line="360" w:lineRule="auto"/>
        <w:ind w:left="851"/>
        <w:jc w:val="both"/>
        <w:rPr>
          <w:rFonts w:ascii="Calibri" w:hAnsi="Calibri"/>
          <w:color w:val="000000"/>
          <w:sz w:val="22"/>
          <w:szCs w:val="22"/>
        </w:rPr>
      </w:pPr>
      <w:r w:rsidRPr="0056446F">
        <w:rPr>
          <w:rFonts w:ascii="Calibri" w:hAnsi="Calibri"/>
          <w:color w:val="000000"/>
          <w:sz w:val="22"/>
          <w:szCs w:val="22"/>
        </w:rPr>
        <w:t xml:space="preserve">12.8.2. </w:t>
      </w:r>
      <w:proofErr w:type="gramStart"/>
      <w:r w:rsidRPr="0056446F">
        <w:rPr>
          <w:rFonts w:ascii="Calibri" w:hAnsi="Calibri"/>
          <w:color w:val="000000"/>
          <w:sz w:val="22"/>
          <w:szCs w:val="22"/>
        </w:rPr>
        <w:t>nos</w:t>
      </w:r>
      <w:proofErr w:type="gramEnd"/>
      <w:r w:rsidRPr="0056446F">
        <w:rPr>
          <w:rFonts w:ascii="Calibri" w:hAnsi="Calibri"/>
          <w:color w:val="000000"/>
          <w:sz w:val="22"/>
          <w:szCs w:val="22"/>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24538BD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12.9.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34288C0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28FAE2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13.CLÁUSULA DÉCIMA TERCEIRA – ALTERAÇÕES</w:t>
      </w:r>
    </w:p>
    <w:p w14:paraId="2D17B81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 xml:space="preserve">13.1. Eventuais alterações contratuais reger-se-ão pela disciplina dos </w:t>
      </w:r>
      <w:proofErr w:type="spellStart"/>
      <w:r w:rsidRPr="0056446F">
        <w:rPr>
          <w:rFonts w:ascii="Calibri" w:hAnsi="Calibri"/>
          <w:color w:val="000000"/>
          <w:sz w:val="22"/>
          <w:szCs w:val="22"/>
        </w:rPr>
        <w:t>arts</w:t>
      </w:r>
      <w:proofErr w:type="spellEnd"/>
      <w:r w:rsidRPr="0056446F">
        <w:rPr>
          <w:rFonts w:ascii="Calibri" w:hAnsi="Calibri"/>
          <w:color w:val="000000"/>
          <w:sz w:val="22"/>
          <w:szCs w:val="22"/>
        </w:rPr>
        <w:t>. 124 e seguintes da Lei nº 14.133, de 2021.</w:t>
      </w:r>
    </w:p>
    <w:p w14:paraId="01FE72F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13.2. O contratado é obrigado a aceitar, nas mesmas condições contratuais, os acréscimos ou supressões que se fizerem necessários, até o limite de 25% (vinte e cinco por cento) do valor inicial atualizado do contrato.</w:t>
      </w:r>
    </w:p>
    <w:p w14:paraId="198C7BE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13.3. As supressões resultantes de acordo celebrado entre as partes contratantes poderão exceder o limite de 25% (vinte e cinco por cento) do valor inicial atualizado do contrato.</w:t>
      </w:r>
    </w:p>
    <w:p w14:paraId="3D7A9D3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3EE5CB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13.5. Registros que não caracterizam alteração do contrato podem ser realizados por simples apostila, dispensada a celebração de termo aditivo, na forma do art. 136 da Lei nº 14.133, de 2021.</w:t>
      </w:r>
    </w:p>
    <w:p w14:paraId="0A66A2A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E79DA6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CLÁUSULA DÉCIMA QUARTA – DOTAÇÃO ORÇAMENTÁRIA</w:t>
      </w:r>
    </w:p>
    <w:p w14:paraId="43BC41B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14.1. As despesas decorrentes da presente contratação correrão à conta de recursos específicos consignados no Orçamento Geral da União deste exercício, na dotação abaixo discriminada:</w:t>
      </w:r>
    </w:p>
    <w:p w14:paraId="2831C7F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Gestão/Unidade:</w:t>
      </w:r>
    </w:p>
    <w:p w14:paraId="18D161A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Fonte de Recursos:</w:t>
      </w:r>
    </w:p>
    <w:p w14:paraId="339C982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Programa de Trabalho:</w:t>
      </w:r>
    </w:p>
    <w:p w14:paraId="1986623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Elemento de Despesa:</w:t>
      </w:r>
    </w:p>
    <w:p w14:paraId="5371D0F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Plano Interno:</w:t>
      </w:r>
    </w:p>
    <w:p w14:paraId="506A3B1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Nota de Empenho:</w:t>
      </w:r>
    </w:p>
    <w:p w14:paraId="1668E2E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0D4943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15. CLÁUSULA DÉCIMA QUINTA – DA POLÍTICA ANTICORRUPÇÃO</w:t>
      </w:r>
    </w:p>
    <w:p w14:paraId="064646C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15.1.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w:t>
      </w:r>
      <w:r w:rsidRPr="0056446F">
        <w:rPr>
          <w:rFonts w:ascii="Calibri" w:hAnsi="Calibri"/>
          <w:color w:val="000000"/>
          <w:sz w:val="22"/>
          <w:szCs w:val="22"/>
        </w:rPr>
        <w:lastRenderedPageBreak/>
        <w:t>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51167A30" w14:textId="77777777" w:rsid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71DB16A"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592C0F44" w14:textId="77777777" w:rsidR="00AF6801" w:rsidRPr="0056446F" w:rsidRDefault="00AF6801" w:rsidP="0056446F">
      <w:pPr>
        <w:pStyle w:val="NormalWeb"/>
        <w:spacing w:before="0" w:beforeAutospacing="0" w:after="0" w:afterAutospacing="0" w:line="360" w:lineRule="auto"/>
        <w:jc w:val="both"/>
        <w:rPr>
          <w:rFonts w:ascii="Calibri" w:hAnsi="Calibri"/>
          <w:color w:val="000000"/>
          <w:sz w:val="22"/>
          <w:szCs w:val="22"/>
        </w:rPr>
      </w:pPr>
    </w:p>
    <w:p w14:paraId="665A763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16. CLÁUSULA DÉCIMA SEXTA – DOS CASOS OMISSOS CLÁUSULA DÉCIMA QUINTA</w:t>
      </w:r>
    </w:p>
    <w:p w14:paraId="3776736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16.1.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5635F23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E99D98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17. CLÁUSULA DÉCIMA SÉTIMA – PUBLICAÇÃO</w:t>
      </w:r>
    </w:p>
    <w:p w14:paraId="1F3A2C8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15CB7B9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A50C79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18. CLÁUSULA DÉCIMA OITAVA – FORO</w:t>
      </w:r>
    </w:p>
    <w:p w14:paraId="4806ACA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18.1. Fica eleito o Foro da Justiça Federal, Seção Judiciária do Rio de Janeiro para dirimir os litígios que decorrerem da execução deste Termo de Contrato que não puderem ser compostos pela conciliação, conforme art. 92, §1º, da Lei nº 14.133/21.</w:t>
      </w:r>
    </w:p>
    <w:p w14:paraId="431940C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AD602A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F30B90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TESTEMUNHAS:</w:t>
      </w:r>
    </w:p>
    <w:p w14:paraId="4B362A4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1-</w:t>
      </w:r>
    </w:p>
    <w:p w14:paraId="7800307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2-</w:t>
      </w:r>
    </w:p>
    <w:p w14:paraId="3A4F52A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023281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FC5B62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Câmara Nacional de Modelos de Licitações e Contratos da Consultoria-Geral da União</w:t>
      </w:r>
    </w:p>
    <w:p w14:paraId="4EE9A7B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Modelo de Termo de Contrato para Licitações – Compras – Lei nº 14.133, de 2021</w:t>
      </w:r>
    </w:p>
    <w:p w14:paraId="74D333F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Aprovado pela Secretaria de Gestão e Inovação</w:t>
      </w:r>
    </w:p>
    <w:p w14:paraId="657DCF4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Identidade visual pela Secretaria de Gestão e Inovação</w:t>
      </w:r>
    </w:p>
    <w:p w14:paraId="26854EA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Atualização: AGO/2024</w:t>
      </w:r>
    </w:p>
    <w:p w14:paraId="632631AE" w14:textId="77777777" w:rsid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A5282CA"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1A70461E" w14:textId="77777777" w:rsidR="00AF6801" w:rsidRPr="0056446F" w:rsidRDefault="00AF6801" w:rsidP="0056446F">
      <w:pPr>
        <w:pStyle w:val="NormalWeb"/>
        <w:spacing w:before="0" w:beforeAutospacing="0" w:after="0" w:afterAutospacing="0" w:line="360" w:lineRule="auto"/>
        <w:jc w:val="both"/>
        <w:rPr>
          <w:rFonts w:ascii="Calibri" w:hAnsi="Calibri"/>
          <w:color w:val="000000"/>
          <w:sz w:val="22"/>
          <w:szCs w:val="22"/>
        </w:rPr>
      </w:pPr>
    </w:p>
    <w:p w14:paraId="4B4CCD1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C64758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03EB25B" w14:textId="77777777" w:rsidR="00AF6801" w:rsidRDefault="00AF6801" w:rsidP="0056446F">
      <w:pPr>
        <w:pStyle w:val="NormalWeb"/>
        <w:spacing w:before="0" w:beforeAutospacing="0" w:after="0" w:afterAutospacing="0" w:line="360" w:lineRule="auto"/>
        <w:jc w:val="both"/>
        <w:rPr>
          <w:rFonts w:ascii="Calibri" w:hAnsi="Calibri"/>
          <w:b/>
          <w:bCs/>
          <w:color w:val="000000"/>
          <w:sz w:val="22"/>
          <w:szCs w:val="22"/>
        </w:rPr>
      </w:pPr>
    </w:p>
    <w:p w14:paraId="14FE4A50"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ANEXO IV</w:t>
      </w:r>
    </w:p>
    <w:p w14:paraId="7A75995A"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CADASTRO RESERVA</w:t>
      </w:r>
    </w:p>
    <w:p w14:paraId="0C891E0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352215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Seguindo a ordem de classificação, segue relação de fornecedores que aceitaram cotar os itens com preços iguais ao adjudicatário:</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495"/>
        <w:gridCol w:w="794"/>
        <w:gridCol w:w="936"/>
        <w:gridCol w:w="954"/>
        <w:gridCol w:w="883"/>
        <w:gridCol w:w="1216"/>
        <w:gridCol w:w="1166"/>
        <w:gridCol w:w="959"/>
        <w:gridCol w:w="1070"/>
      </w:tblGrid>
      <w:tr w:rsidR="0056446F" w:rsidRPr="00AF6801" w14:paraId="014498F5" w14:textId="77777777" w:rsidTr="0056446F">
        <w:trPr>
          <w:trHeight w:val="510"/>
        </w:trPr>
        <w:tc>
          <w:tcPr>
            <w:tcW w:w="750" w:type="dxa"/>
            <w:tcBorders>
              <w:top w:val="single" w:sz="6" w:space="0" w:color="000000"/>
              <w:left w:val="single" w:sz="6" w:space="0" w:color="000000"/>
              <w:bottom w:val="single" w:sz="6" w:space="0" w:color="000000"/>
              <w:right w:val="single" w:sz="6" w:space="0" w:color="000000"/>
            </w:tcBorders>
            <w:tcMar>
              <w:top w:w="0" w:type="dxa"/>
              <w:left w:w="11" w:type="dxa"/>
              <w:bottom w:w="0" w:type="dxa"/>
              <w:right w:w="11" w:type="dxa"/>
            </w:tcMar>
            <w:vAlign w:val="center"/>
            <w:hideMark/>
          </w:tcPr>
          <w:p w14:paraId="00D64A9F"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ITEM</w:t>
            </w:r>
          </w:p>
          <w:p w14:paraId="37F96FD6"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DO</w:t>
            </w:r>
          </w:p>
          <w:p w14:paraId="77442672"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TR</w:t>
            </w:r>
          </w:p>
        </w:tc>
        <w:tc>
          <w:tcPr>
            <w:tcW w:w="12435" w:type="dxa"/>
            <w:gridSpan w:val="8"/>
            <w:tcBorders>
              <w:top w:val="single" w:sz="6" w:space="0" w:color="000000"/>
              <w:left w:val="nil"/>
              <w:bottom w:val="single" w:sz="6" w:space="0" w:color="000000"/>
              <w:right w:val="single" w:sz="6" w:space="0" w:color="000000"/>
            </w:tcBorders>
            <w:tcMar>
              <w:top w:w="0" w:type="dxa"/>
              <w:left w:w="11" w:type="dxa"/>
              <w:bottom w:w="0" w:type="dxa"/>
              <w:right w:w="11" w:type="dxa"/>
            </w:tcMar>
            <w:hideMark/>
          </w:tcPr>
          <w:p w14:paraId="0C83DBFA"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p w14:paraId="399AC356" w14:textId="77777777" w:rsidR="0056446F" w:rsidRPr="00AF6801" w:rsidRDefault="0056446F" w:rsidP="00AF6801">
            <w:pPr>
              <w:pStyle w:val="NormalWeb"/>
              <w:spacing w:before="0" w:beforeAutospacing="0" w:after="0" w:afterAutospacing="0"/>
              <w:rPr>
                <w:rFonts w:ascii="Calibri" w:hAnsi="Calibri"/>
                <w:color w:val="000000"/>
                <w:sz w:val="20"/>
                <w:szCs w:val="20"/>
              </w:rPr>
            </w:pPr>
            <w:r w:rsidRPr="00AF6801">
              <w:rPr>
                <w:rFonts w:ascii="Calibri" w:hAnsi="Calibri"/>
                <w:b/>
                <w:bCs/>
                <w:color w:val="000000"/>
                <w:sz w:val="20"/>
                <w:szCs w:val="20"/>
              </w:rPr>
              <w:t>FORNECEDOR </w:t>
            </w:r>
            <w:r w:rsidRPr="00AF6801">
              <w:rPr>
                <w:rFonts w:ascii="Calibri" w:hAnsi="Calibri"/>
                <w:b/>
                <w:bCs/>
                <w:i/>
                <w:iCs/>
                <w:color w:val="000000"/>
                <w:sz w:val="20"/>
                <w:szCs w:val="20"/>
              </w:rPr>
              <w:t>(RAZÃO SOCIAL, CNPJ/MF, ENDEREÇO, CONTATOS, REPRESENTANTE)</w:t>
            </w:r>
          </w:p>
        </w:tc>
      </w:tr>
      <w:tr w:rsidR="0056446F" w:rsidRPr="00AF6801" w14:paraId="0E2372D4" w14:textId="77777777" w:rsidTr="0056446F">
        <w:trPr>
          <w:trHeight w:val="675"/>
        </w:trPr>
        <w:tc>
          <w:tcPr>
            <w:tcW w:w="750"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3FAC92E5"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X</w:t>
            </w:r>
          </w:p>
        </w:tc>
        <w:tc>
          <w:tcPr>
            <w:tcW w:w="1170" w:type="dxa"/>
            <w:tcBorders>
              <w:top w:val="nil"/>
              <w:left w:val="single" w:sz="6" w:space="0" w:color="000000"/>
              <w:bottom w:val="single" w:sz="6" w:space="0" w:color="000000"/>
              <w:right w:val="nil"/>
            </w:tcBorders>
            <w:tcMar>
              <w:top w:w="0" w:type="dxa"/>
              <w:left w:w="11" w:type="dxa"/>
              <w:bottom w:w="0" w:type="dxa"/>
              <w:right w:w="11" w:type="dxa"/>
            </w:tcMar>
            <w:hideMark/>
          </w:tcPr>
          <w:p w14:paraId="5A8C3541"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ESPECIFI</w:t>
            </w:r>
          </w:p>
          <w:p w14:paraId="4FE3F0A7"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CAÇÃO</w:t>
            </w:r>
          </w:p>
        </w:tc>
        <w:tc>
          <w:tcPr>
            <w:tcW w:w="2130" w:type="dxa"/>
            <w:tcBorders>
              <w:top w:val="nil"/>
              <w:left w:val="single" w:sz="6" w:space="0" w:color="000000"/>
              <w:bottom w:val="single" w:sz="6" w:space="0" w:color="000000"/>
              <w:right w:val="nil"/>
            </w:tcBorders>
            <w:tcMar>
              <w:top w:w="0" w:type="dxa"/>
              <w:left w:w="11" w:type="dxa"/>
              <w:bottom w:w="0" w:type="dxa"/>
              <w:right w:w="11" w:type="dxa"/>
            </w:tcMar>
            <w:hideMark/>
          </w:tcPr>
          <w:p w14:paraId="7694220A"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MARCA</w:t>
            </w:r>
          </w:p>
          <w:p w14:paraId="2BEABEA3"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(SE EXIGIDA NO EDITAL)</w:t>
            </w:r>
          </w:p>
        </w:tc>
        <w:tc>
          <w:tcPr>
            <w:tcW w:w="1920" w:type="dxa"/>
            <w:tcBorders>
              <w:top w:val="nil"/>
              <w:left w:val="single" w:sz="6" w:space="0" w:color="000000"/>
              <w:bottom w:val="single" w:sz="6" w:space="0" w:color="000000"/>
              <w:right w:val="nil"/>
            </w:tcBorders>
            <w:tcMar>
              <w:top w:w="0" w:type="dxa"/>
              <w:left w:w="11" w:type="dxa"/>
              <w:bottom w:w="0" w:type="dxa"/>
              <w:right w:w="11" w:type="dxa"/>
            </w:tcMar>
            <w:hideMark/>
          </w:tcPr>
          <w:p w14:paraId="67A0475B"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MODELO</w:t>
            </w:r>
          </w:p>
          <w:p w14:paraId="0ADE6D97"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(SE EXIGIDO NO EDITAL)</w:t>
            </w:r>
          </w:p>
        </w:tc>
        <w:tc>
          <w:tcPr>
            <w:tcW w:w="1275" w:type="dxa"/>
            <w:tcBorders>
              <w:top w:val="nil"/>
              <w:left w:val="single" w:sz="6" w:space="0" w:color="000000"/>
              <w:bottom w:val="single" w:sz="6" w:space="0" w:color="000000"/>
              <w:right w:val="nil"/>
            </w:tcBorders>
            <w:tcMar>
              <w:top w:w="0" w:type="dxa"/>
              <w:left w:w="11" w:type="dxa"/>
              <w:bottom w:w="0" w:type="dxa"/>
              <w:right w:w="11" w:type="dxa"/>
            </w:tcMar>
            <w:hideMark/>
          </w:tcPr>
          <w:p w14:paraId="121EF32E"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p w14:paraId="4863DD77"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UNIDADE</w:t>
            </w:r>
          </w:p>
        </w:tc>
        <w:tc>
          <w:tcPr>
            <w:tcW w:w="1485" w:type="dxa"/>
            <w:tcBorders>
              <w:top w:val="nil"/>
              <w:left w:val="single" w:sz="6" w:space="0" w:color="000000"/>
              <w:bottom w:val="single" w:sz="6" w:space="0" w:color="000000"/>
              <w:right w:val="nil"/>
            </w:tcBorders>
            <w:tcMar>
              <w:top w:w="0" w:type="dxa"/>
              <w:left w:w="11" w:type="dxa"/>
              <w:bottom w:w="0" w:type="dxa"/>
              <w:right w:w="11" w:type="dxa"/>
            </w:tcMar>
            <w:hideMark/>
          </w:tcPr>
          <w:p w14:paraId="3A33E916"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QUANTIDADE</w:t>
            </w:r>
          </w:p>
          <w:p w14:paraId="7481B613"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MÁXIMA</w:t>
            </w:r>
          </w:p>
        </w:tc>
        <w:tc>
          <w:tcPr>
            <w:tcW w:w="1065"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2F32E2E0"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QUANTIDADE</w:t>
            </w:r>
          </w:p>
          <w:p w14:paraId="4E367B79"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MÍNIMA</w:t>
            </w:r>
          </w:p>
        </w:tc>
        <w:tc>
          <w:tcPr>
            <w:tcW w:w="1485" w:type="dxa"/>
            <w:tcBorders>
              <w:top w:val="nil"/>
              <w:left w:val="nil"/>
              <w:bottom w:val="single" w:sz="6" w:space="0" w:color="000000"/>
              <w:right w:val="nil"/>
            </w:tcBorders>
            <w:tcMar>
              <w:top w:w="0" w:type="dxa"/>
              <w:left w:w="11" w:type="dxa"/>
              <w:bottom w:w="0" w:type="dxa"/>
              <w:right w:w="11" w:type="dxa"/>
            </w:tcMar>
            <w:hideMark/>
          </w:tcPr>
          <w:p w14:paraId="1B2BB178"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p w14:paraId="7643FA45"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VALOR</w:t>
            </w:r>
          </w:p>
          <w:p w14:paraId="28E51351"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UNITÁRIO</w:t>
            </w:r>
          </w:p>
        </w:tc>
        <w:tc>
          <w:tcPr>
            <w:tcW w:w="192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7722D3C7"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PRAZO GARANTIA OU VALIDADE</w:t>
            </w:r>
          </w:p>
        </w:tc>
      </w:tr>
      <w:tr w:rsidR="0056446F" w:rsidRPr="00AF6801" w14:paraId="70CC1B0F" w14:textId="77777777" w:rsidTr="0056446F">
        <w:trPr>
          <w:trHeight w:val="180"/>
        </w:trPr>
        <w:tc>
          <w:tcPr>
            <w:tcW w:w="750" w:type="dxa"/>
            <w:tcBorders>
              <w:top w:val="nil"/>
              <w:left w:val="single" w:sz="6" w:space="0" w:color="000000"/>
              <w:bottom w:val="single" w:sz="6" w:space="0" w:color="000000"/>
              <w:right w:val="nil"/>
            </w:tcBorders>
            <w:tcMar>
              <w:top w:w="0" w:type="dxa"/>
              <w:left w:w="11" w:type="dxa"/>
              <w:bottom w:w="0" w:type="dxa"/>
              <w:right w:w="11" w:type="dxa"/>
            </w:tcMar>
            <w:hideMark/>
          </w:tcPr>
          <w:p w14:paraId="00F8FA79"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170" w:type="dxa"/>
            <w:tcBorders>
              <w:top w:val="nil"/>
              <w:left w:val="single" w:sz="6" w:space="0" w:color="000000"/>
              <w:bottom w:val="single" w:sz="6" w:space="0" w:color="000000"/>
              <w:right w:val="nil"/>
            </w:tcBorders>
            <w:tcMar>
              <w:top w:w="0" w:type="dxa"/>
              <w:left w:w="11" w:type="dxa"/>
              <w:bottom w:w="0" w:type="dxa"/>
              <w:right w:w="11" w:type="dxa"/>
            </w:tcMar>
            <w:hideMark/>
          </w:tcPr>
          <w:p w14:paraId="6AADA40F"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2130" w:type="dxa"/>
            <w:tcBorders>
              <w:top w:val="nil"/>
              <w:left w:val="single" w:sz="6" w:space="0" w:color="000000"/>
              <w:bottom w:val="single" w:sz="6" w:space="0" w:color="000000"/>
              <w:right w:val="nil"/>
            </w:tcBorders>
            <w:tcMar>
              <w:top w:w="0" w:type="dxa"/>
              <w:left w:w="11" w:type="dxa"/>
              <w:bottom w:w="0" w:type="dxa"/>
              <w:right w:w="11" w:type="dxa"/>
            </w:tcMar>
            <w:hideMark/>
          </w:tcPr>
          <w:p w14:paraId="227BC4D2"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920" w:type="dxa"/>
            <w:tcBorders>
              <w:top w:val="nil"/>
              <w:left w:val="single" w:sz="6" w:space="0" w:color="000000"/>
              <w:bottom w:val="single" w:sz="6" w:space="0" w:color="000000"/>
              <w:right w:val="nil"/>
            </w:tcBorders>
            <w:tcMar>
              <w:top w:w="0" w:type="dxa"/>
              <w:left w:w="11" w:type="dxa"/>
              <w:bottom w:w="0" w:type="dxa"/>
              <w:right w:w="11" w:type="dxa"/>
            </w:tcMar>
            <w:hideMark/>
          </w:tcPr>
          <w:p w14:paraId="013A646A"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275" w:type="dxa"/>
            <w:tcBorders>
              <w:top w:val="nil"/>
              <w:left w:val="single" w:sz="6" w:space="0" w:color="000000"/>
              <w:bottom w:val="single" w:sz="6" w:space="0" w:color="000000"/>
              <w:right w:val="nil"/>
            </w:tcBorders>
            <w:tcMar>
              <w:top w:w="0" w:type="dxa"/>
              <w:left w:w="11" w:type="dxa"/>
              <w:bottom w:w="0" w:type="dxa"/>
              <w:right w:w="11" w:type="dxa"/>
            </w:tcMar>
            <w:hideMark/>
          </w:tcPr>
          <w:p w14:paraId="382AEBDC"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485" w:type="dxa"/>
            <w:tcBorders>
              <w:top w:val="nil"/>
              <w:left w:val="single" w:sz="6" w:space="0" w:color="000000"/>
              <w:bottom w:val="single" w:sz="6" w:space="0" w:color="000000"/>
              <w:right w:val="nil"/>
            </w:tcBorders>
            <w:tcMar>
              <w:top w:w="0" w:type="dxa"/>
              <w:left w:w="11" w:type="dxa"/>
              <w:bottom w:w="0" w:type="dxa"/>
              <w:right w:w="11" w:type="dxa"/>
            </w:tcMar>
            <w:hideMark/>
          </w:tcPr>
          <w:p w14:paraId="61A716FC"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065"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6229B276"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485" w:type="dxa"/>
            <w:tcBorders>
              <w:top w:val="nil"/>
              <w:left w:val="nil"/>
              <w:bottom w:val="single" w:sz="6" w:space="0" w:color="000000"/>
              <w:right w:val="nil"/>
            </w:tcBorders>
            <w:tcMar>
              <w:top w:w="0" w:type="dxa"/>
              <w:left w:w="11" w:type="dxa"/>
              <w:bottom w:w="0" w:type="dxa"/>
              <w:right w:w="11" w:type="dxa"/>
            </w:tcMar>
            <w:hideMark/>
          </w:tcPr>
          <w:p w14:paraId="74B04ECD"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92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2ACC0AEE"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r>
    </w:tbl>
    <w:p w14:paraId="6136FD0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5966CB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Seguindo a ordem de classificação, segue relação de fornecedores que mantiveram sua proposta original:</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480"/>
        <w:gridCol w:w="812"/>
        <w:gridCol w:w="940"/>
        <w:gridCol w:w="958"/>
        <w:gridCol w:w="884"/>
        <w:gridCol w:w="1217"/>
        <w:gridCol w:w="1181"/>
        <w:gridCol w:w="924"/>
        <w:gridCol w:w="1077"/>
      </w:tblGrid>
      <w:tr w:rsidR="0056446F" w:rsidRPr="00AF6801" w14:paraId="79CFF0F5" w14:textId="77777777" w:rsidTr="0056446F">
        <w:trPr>
          <w:trHeight w:val="510"/>
        </w:trPr>
        <w:tc>
          <w:tcPr>
            <w:tcW w:w="645" w:type="dxa"/>
            <w:tcBorders>
              <w:top w:val="single" w:sz="6" w:space="0" w:color="000000"/>
              <w:left w:val="single" w:sz="6" w:space="0" w:color="000000"/>
              <w:bottom w:val="single" w:sz="6" w:space="0" w:color="000000"/>
              <w:right w:val="single" w:sz="6" w:space="0" w:color="000000"/>
            </w:tcBorders>
            <w:tcMar>
              <w:top w:w="0" w:type="dxa"/>
              <w:left w:w="11" w:type="dxa"/>
              <w:bottom w:w="0" w:type="dxa"/>
              <w:right w:w="11" w:type="dxa"/>
            </w:tcMar>
            <w:vAlign w:val="center"/>
            <w:hideMark/>
          </w:tcPr>
          <w:p w14:paraId="46D624B0"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ITEM</w:t>
            </w:r>
          </w:p>
          <w:p w14:paraId="204A5D37"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DO</w:t>
            </w:r>
          </w:p>
          <w:p w14:paraId="5FE6C252"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TR</w:t>
            </w:r>
          </w:p>
        </w:tc>
        <w:tc>
          <w:tcPr>
            <w:tcW w:w="12540" w:type="dxa"/>
            <w:gridSpan w:val="8"/>
            <w:tcBorders>
              <w:top w:val="single" w:sz="6" w:space="0" w:color="000000"/>
              <w:left w:val="nil"/>
              <w:bottom w:val="single" w:sz="6" w:space="0" w:color="000000"/>
              <w:right w:val="single" w:sz="6" w:space="0" w:color="000000"/>
            </w:tcBorders>
            <w:tcMar>
              <w:top w:w="0" w:type="dxa"/>
              <w:left w:w="11" w:type="dxa"/>
              <w:bottom w:w="0" w:type="dxa"/>
              <w:right w:w="11" w:type="dxa"/>
            </w:tcMar>
            <w:hideMark/>
          </w:tcPr>
          <w:p w14:paraId="32B9BE99"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p w14:paraId="1AD1C242" w14:textId="77777777" w:rsidR="0056446F" w:rsidRPr="00AF6801" w:rsidRDefault="0056446F" w:rsidP="00AF6801">
            <w:pPr>
              <w:pStyle w:val="NormalWeb"/>
              <w:spacing w:before="0" w:beforeAutospacing="0" w:after="0" w:afterAutospacing="0"/>
              <w:rPr>
                <w:rFonts w:ascii="Calibri" w:hAnsi="Calibri"/>
                <w:color w:val="000000"/>
                <w:sz w:val="20"/>
                <w:szCs w:val="20"/>
              </w:rPr>
            </w:pPr>
            <w:r w:rsidRPr="00AF6801">
              <w:rPr>
                <w:rFonts w:ascii="Calibri" w:hAnsi="Calibri"/>
                <w:b/>
                <w:bCs/>
                <w:color w:val="000000"/>
                <w:sz w:val="20"/>
                <w:szCs w:val="20"/>
              </w:rPr>
              <w:t>FORNECEDOR </w:t>
            </w:r>
            <w:r w:rsidRPr="00AF6801">
              <w:rPr>
                <w:rFonts w:ascii="Calibri" w:hAnsi="Calibri"/>
                <w:b/>
                <w:bCs/>
                <w:i/>
                <w:iCs/>
                <w:color w:val="000000"/>
                <w:sz w:val="20"/>
                <w:szCs w:val="20"/>
              </w:rPr>
              <w:t>(RAZÃO SOCIAL, CNPJ/MF, ENDEREÇO, CONTATOS, REPRESENTANTE)</w:t>
            </w:r>
          </w:p>
          <w:p w14:paraId="7C162D2C"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r>
      <w:tr w:rsidR="0056446F" w:rsidRPr="00AF6801" w14:paraId="3B7FF60C" w14:textId="77777777" w:rsidTr="0056446F">
        <w:trPr>
          <w:trHeight w:val="675"/>
        </w:trPr>
        <w:tc>
          <w:tcPr>
            <w:tcW w:w="645"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14:paraId="395BF080"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X</w:t>
            </w:r>
          </w:p>
        </w:tc>
        <w:tc>
          <w:tcPr>
            <w:tcW w:w="1275" w:type="dxa"/>
            <w:tcBorders>
              <w:top w:val="nil"/>
              <w:left w:val="single" w:sz="6" w:space="0" w:color="000000"/>
              <w:bottom w:val="single" w:sz="6" w:space="0" w:color="000000"/>
              <w:right w:val="nil"/>
            </w:tcBorders>
            <w:tcMar>
              <w:top w:w="0" w:type="dxa"/>
              <w:left w:w="11" w:type="dxa"/>
              <w:bottom w:w="0" w:type="dxa"/>
              <w:right w:w="11" w:type="dxa"/>
            </w:tcMar>
            <w:hideMark/>
          </w:tcPr>
          <w:p w14:paraId="17261DF8"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p w14:paraId="2C5860CD"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ESPECIFI</w:t>
            </w:r>
          </w:p>
          <w:p w14:paraId="55866AAB"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CAÇÃO</w:t>
            </w:r>
          </w:p>
        </w:tc>
        <w:tc>
          <w:tcPr>
            <w:tcW w:w="2130" w:type="dxa"/>
            <w:tcBorders>
              <w:top w:val="nil"/>
              <w:left w:val="single" w:sz="6" w:space="0" w:color="000000"/>
              <w:bottom w:val="single" w:sz="6" w:space="0" w:color="000000"/>
              <w:right w:val="nil"/>
            </w:tcBorders>
            <w:tcMar>
              <w:top w:w="0" w:type="dxa"/>
              <w:left w:w="11" w:type="dxa"/>
              <w:bottom w:w="0" w:type="dxa"/>
              <w:right w:w="11" w:type="dxa"/>
            </w:tcMar>
            <w:hideMark/>
          </w:tcPr>
          <w:p w14:paraId="20B705EE"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MARCA</w:t>
            </w:r>
          </w:p>
          <w:p w14:paraId="286B2CD7"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(SE EXIGIDA NO EDITAL)</w:t>
            </w:r>
          </w:p>
        </w:tc>
        <w:tc>
          <w:tcPr>
            <w:tcW w:w="1920" w:type="dxa"/>
            <w:tcBorders>
              <w:top w:val="nil"/>
              <w:left w:val="single" w:sz="6" w:space="0" w:color="000000"/>
              <w:bottom w:val="single" w:sz="6" w:space="0" w:color="000000"/>
              <w:right w:val="nil"/>
            </w:tcBorders>
            <w:tcMar>
              <w:top w:w="0" w:type="dxa"/>
              <w:left w:w="11" w:type="dxa"/>
              <w:bottom w:w="0" w:type="dxa"/>
              <w:right w:w="11" w:type="dxa"/>
            </w:tcMar>
            <w:hideMark/>
          </w:tcPr>
          <w:p w14:paraId="32A4027B"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MODELO</w:t>
            </w:r>
          </w:p>
          <w:p w14:paraId="5900025F"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(SE EXIGIDO NO EDITAL)</w:t>
            </w:r>
          </w:p>
        </w:tc>
        <w:tc>
          <w:tcPr>
            <w:tcW w:w="1275" w:type="dxa"/>
            <w:tcBorders>
              <w:top w:val="nil"/>
              <w:left w:val="single" w:sz="6" w:space="0" w:color="000000"/>
              <w:bottom w:val="single" w:sz="6" w:space="0" w:color="000000"/>
              <w:right w:val="nil"/>
            </w:tcBorders>
            <w:tcMar>
              <w:top w:w="0" w:type="dxa"/>
              <w:left w:w="11" w:type="dxa"/>
              <w:bottom w:w="0" w:type="dxa"/>
              <w:right w:w="11" w:type="dxa"/>
            </w:tcMar>
            <w:hideMark/>
          </w:tcPr>
          <w:p w14:paraId="7067E09C"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p w14:paraId="5C20A24D"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UNIDADE</w:t>
            </w:r>
          </w:p>
        </w:tc>
        <w:tc>
          <w:tcPr>
            <w:tcW w:w="1485" w:type="dxa"/>
            <w:tcBorders>
              <w:top w:val="nil"/>
              <w:left w:val="single" w:sz="6" w:space="0" w:color="000000"/>
              <w:bottom w:val="single" w:sz="6" w:space="0" w:color="000000"/>
              <w:right w:val="nil"/>
            </w:tcBorders>
            <w:tcMar>
              <w:top w:w="0" w:type="dxa"/>
              <w:left w:w="11" w:type="dxa"/>
              <w:bottom w:w="0" w:type="dxa"/>
              <w:right w:w="11" w:type="dxa"/>
            </w:tcMar>
            <w:hideMark/>
          </w:tcPr>
          <w:p w14:paraId="6AFF57E2"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QUANTIDADE</w:t>
            </w:r>
          </w:p>
          <w:p w14:paraId="60DB793A"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MÁXIMA</w:t>
            </w:r>
          </w:p>
        </w:tc>
        <w:tc>
          <w:tcPr>
            <w:tcW w:w="126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5EC69749"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QUANTIDADE MÍNIMA</w:t>
            </w:r>
          </w:p>
        </w:tc>
        <w:tc>
          <w:tcPr>
            <w:tcW w:w="1260" w:type="dxa"/>
            <w:tcBorders>
              <w:top w:val="nil"/>
              <w:left w:val="nil"/>
              <w:bottom w:val="single" w:sz="6" w:space="0" w:color="000000"/>
              <w:right w:val="nil"/>
            </w:tcBorders>
            <w:tcMar>
              <w:top w:w="0" w:type="dxa"/>
              <w:left w:w="11" w:type="dxa"/>
              <w:bottom w:w="0" w:type="dxa"/>
              <w:right w:w="11" w:type="dxa"/>
            </w:tcMar>
            <w:hideMark/>
          </w:tcPr>
          <w:p w14:paraId="03A6B6F9"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VALOR</w:t>
            </w:r>
          </w:p>
          <w:p w14:paraId="2DC60DB4"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color w:val="000000"/>
                <w:sz w:val="20"/>
                <w:szCs w:val="20"/>
              </w:rPr>
              <w:t>UNITÁRIO</w:t>
            </w:r>
          </w:p>
        </w:tc>
        <w:tc>
          <w:tcPr>
            <w:tcW w:w="195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2208826B"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b/>
                <w:bCs/>
                <w:i/>
                <w:iCs/>
                <w:color w:val="000000"/>
                <w:sz w:val="20"/>
                <w:szCs w:val="20"/>
              </w:rPr>
              <w:t>PRAZO GARANTIA OU VALIDADE</w:t>
            </w:r>
          </w:p>
        </w:tc>
      </w:tr>
      <w:tr w:rsidR="0056446F" w:rsidRPr="00AF6801" w14:paraId="02034C31" w14:textId="77777777" w:rsidTr="0056446F">
        <w:trPr>
          <w:trHeight w:val="180"/>
        </w:trPr>
        <w:tc>
          <w:tcPr>
            <w:tcW w:w="645" w:type="dxa"/>
            <w:tcBorders>
              <w:top w:val="nil"/>
              <w:left w:val="single" w:sz="6" w:space="0" w:color="000000"/>
              <w:bottom w:val="single" w:sz="6" w:space="0" w:color="000000"/>
              <w:right w:val="nil"/>
            </w:tcBorders>
            <w:tcMar>
              <w:top w:w="0" w:type="dxa"/>
              <w:left w:w="11" w:type="dxa"/>
              <w:bottom w:w="0" w:type="dxa"/>
              <w:right w:w="11" w:type="dxa"/>
            </w:tcMar>
            <w:hideMark/>
          </w:tcPr>
          <w:p w14:paraId="370F0686"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275" w:type="dxa"/>
            <w:tcBorders>
              <w:top w:val="nil"/>
              <w:left w:val="single" w:sz="6" w:space="0" w:color="000000"/>
              <w:bottom w:val="single" w:sz="6" w:space="0" w:color="000000"/>
              <w:right w:val="nil"/>
            </w:tcBorders>
            <w:tcMar>
              <w:top w:w="0" w:type="dxa"/>
              <w:left w:w="11" w:type="dxa"/>
              <w:bottom w:w="0" w:type="dxa"/>
              <w:right w:w="11" w:type="dxa"/>
            </w:tcMar>
            <w:hideMark/>
          </w:tcPr>
          <w:p w14:paraId="567A0630"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2130" w:type="dxa"/>
            <w:tcBorders>
              <w:top w:val="nil"/>
              <w:left w:val="single" w:sz="6" w:space="0" w:color="000000"/>
              <w:bottom w:val="single" w:sz="6" w:space="0" w:color="000000"/>
              <w:right w:val="nil"/>
            </w:tcBorders>
            <w:tcMar>
              <w:top w:w="0" w:type="dxa"/>
              <w:left w:w="11" w:type="dxa"/>
              <w:bottom w:w="0" w:type="dxa"/>
              <w:right w:w="11" w:type="dxa"/>
            </w:tcMar>
            <w:hideMark/>
          </w:tcPr>
          <w:p w14:paraId="224C5288"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920" w:type="dxa"/>
            <w:tcBorders>
              <w:top w:val="nil"/>
              <w:left w:val="single" w:sz="6" w:space="0" w:color="000000"/>
              <w:bottom w:val="single" w:sz="6" w:space="0" w:color="000000"/>
              <w:right w:val="nil"/>
            </w:tcBorders>
            <w:tcMar>
              <w:top w:w="0" w:type="dxa"/>
              <w:left w:w="11" w:type="dxa"/>
              <w:bottom w:w="0" w:type="dxa"/>
              <w:right w:w="11" w:type="dxa"/>
            </w:tcMar>
            <w:hideMark/>
          </w:tcPr>
          <w:p w14:paraId="6506DEE1"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275" w:type="dxa"/>
            <w:tcBorders>
              <w:top w:val="nil"/>
              <w:left w:val="single" w:sz="6" w:space="0" w:color="000000"/>
              <w:bottom w:val="single" w:sz="6" w:space="0" w:color="000000"/>
              <w:right w:val="nil"/>
            </w:tcBorders>
            <w:tcMar>
              <w:top w:w="0" w:type="dxa"/>
              <w:left w:w="11" w:type="dxa"/>
              <w:bottom w:w="0" w:type="dxa"/>
              <w:right w:w="11" w:type="dxa"/>
            </w:tcMar>
            <w:hideMark/>
          </w:tcPr>
          <w:p w14:paraId="53A155C6"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485" w:type="dxa"/>
            <w:tcBorders>
              <w:top w:val="nil"/>
              <w:left w:val="single" w:sz="6" w:space="0" w:color="000000"/>
              <w:bottom w:val="single" w:sz="6" w:space="0" w:color="000000"/>
              <w:right w:val="nil"/>
            </w:tcBorders>
            <w:tcMar>
              <w:top w:w="0" w:type="dxa"/>
              <w:left w:w="11" w:type="dxa"/>
              <w:bottom w:w="0" w:type="dxa"/>
              <w:right w:w="11" w:type="dxa"/>
            </w:tcMar>
            <w:hideMark/>
          </w:tcPr>
          <w:p w14:paraId="6F646651"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26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79B62603"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260" w:type="dxa"/>
            <w:tcBorders>
              <w:top w:val="nil"/>
              <w:left w:val="nil"/>
              <w:bottom w:val="single" w:sz="6" w:space="0" w:color="000000"/>
              <w:right w:val="nil"/>
            </w:tcBorders>
            <w:tcMar>
              <w:top w:w="0" w:type="dxa"/>
              <w:left w:w="11" w:type="dxa"/>
              <w:bottom w:w="0" w:type="dxa"/>
              <w:right w:w="11" w:type="dxa"/>
            </w:tcMar>
            <w:hideMark/>
          </w:tcPr>
          <w:p w14:paraId="5BDD3334"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c>
          <w:tcPr>
            <w:tcW w:w="195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14:paraId="5002444E" w14:textId="77777777" w:rsidR="0056446F" w:rsidRPr="00AF6801" w:rsidRDefault="0056446F" w:rsidP="00AF6801">
            <w:pPr>
              <w:pStyle w:val="NormalWeb"/>
              <w:spacing w:before="0" w:beforeAutospacing="0" w:after="0" w:afterAutospacing="0"/>
              <w:jc w:val="center"/>
              <w:rPr>
                <w:rFonts w:ascii="Calibri" w:hAnsi="Calibri"/>
                <w:color w:val="000000"/>
                <w:sz w:val="20"/>
                <w:szCs w:val="20"/>
              </w:rPr>
            </w:pPr>
            <w:r w:rsidRPr="00AF6801">
              <w:rPr>
                <w:rFonts w:ascii="Calibri" w:hAnsi="Calibri"/>
                <w:color w:val="000000"/>
                <w:sz w:val="20"/>
                <w:szCs w:val="20"/>
              </w:rPr>
              <w:t> </w:t>
            </w:r>
          </w:p>
        </w:tc>
      </w:tr>
    </w:tbl>
    <w:p w14:paraId="538E9DD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149F0C4" w14:textId="77777777" w:rsid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38ED2C91"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7DD39AA0"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39DFF82B"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60404FD4"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1E43596D"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18CA632C"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274B47C8"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0E0D915C" w14:textId="77777777" w:rsidR="00AF6801" w:rsidRDefault="00AF6801" w:rsidP="0056446F">
      <w:pPr>
        <w:pStyle w:val="NormalWeb"/>
        <w:spacing w:before="0" w:beforeAutospacing="0" w:after="0" w:afterAutospacing="0" w:line="360" w:lineRule="auto"/>
        <w:jc w:val="both"/>
        <w:rPr>
          <w:rFonts w:ascii="Calibri" w:hAnsi="Calibri"/>
          <w:color w:val="000000"/>
          <w:sz w:val="22"/>
          <w:szCs w:val="22"/>
        </w:rPr>
      </w:pPr>
    </w:p>
    <w:p w14:paraId="398E37C3" w14:textId="77777777" w:rsidR="00AF6801" w:rsidRPr="0056446F" w:rsidRDefault="00AF6801" w:rsidP="0056446F">
      <w:pPr>
        <w:pStyle w:val="NormalWeb"/>
        <w:spacing w:before="0" w:beforeAutospacing="0" w:after="0" w:afterAutospacing="0" w:line="360" w:lineRule="auto"/>
        <w:jc w:val="both"/>
        <w:rPr>
          <w:rFonts w:ascii="Calibri" w:hAnsi="Calibri"/>
          <w:color w:val="000000"/>
          <w:sz w:val="22"/>
          <w:szCs w:val="22"/>
        </w:rPr>
      </w:pPr>
    </w:p>
    <w:p w14:paraId="2CA6476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020DF6B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CBF6C9A"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ANEXO V</w:t>
      </w:r>
    </w:p>
    <w:p w14:paraId="06B635C7" w14:textId="77777777" w:rsidR="0056446F" w:rsidRPr="0056446F" w:rsidRDefault="0056446F" w:rsidP="00AF6801">
      <w:pPr>
        <w:pStyle w:val="NormalWeb"/>
        <w:spacing w:before="0" w:beforeAutospacing="0" w:after="0" w:afterAutospacing="0" w:line="360" w:lineRule="auto"/>
        <w:jc w:val="center"/>
        <w:rPr>
          <w:rFonts w:ascii="Calibri" w:hAnsi="Calibri"/>
          <w:color w:val="000000"/>
          <w:sz w:val="22"/>
          <w:szCs w:val="22"/>
        </w:rPr>
      </w:pPr>
      <w:r w:rsidRPr="0056446F">
        <w:rPr>
          <w:rFonts w:ascii="Calibri" w:hAnsi="Calibri"/>
          <w:b/>
          <w:bCs/>
          <w:color w:val="000000"/>
          <w:sz w:val="22"/>
          <w:szCs w:val="22"/>
        </w:rPr>
        <w:t>MANUAL DE BOAS PRÁTICAS </w:t>
      </w:r>
      <w:r w:rsidRPr="0056446F">
        <w:rPr>
          <w:rFonts w:ascii="Calibri" w:hAnsi="Calibri"/>
          <w:b/>
          <w:bCs/>
          <w:color w:val="000000"/>
          <w:spacing w:val="-10"/>
          <w:sz w:val="22"/>
          <w:szCs w:val="22"/>
        </w:rPr>
        <w:t>PARA FORNECEDORES DO HOSPITAL FEDERAL DE IPANEMA</w:t>
      </w:r>
    </w:p>
    <w:p w14:paraId="1739D80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732F3166" w14:textId="1FFDF64E"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r w:rsidRPr="0056446F">
        <w:rPr>
          <w:rFonts w:ascii="Calibri" w:hAnsi="Calibri"/>
          <w:b/>
          <w:bCs/>
          <w:color w:val="000000"/>
          <w:spacing w:val="-6"/>
          <w:sz w:val="22"/>
          <w:szCs w:val="22"/>
        </w:rPr>
        <w:t>1. APRESENTAÇÃO</w:t>
      </w:r>
    </w:p>
    <w:p w14:paraId="7487141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1.1 O Hospital federal de Ipanema detentor de plano de </w:t>
      </w:r>
      <w:proofErr w:type="spellStart"/>
      <w:r w:rsidRPr="0056446F">
        <w:rPr>
          <w:rFonts w:ascii="Calibri" w:hAnsi="Calibri"/>
          <w:color w:val="000000"/>
          <w:sz w:val="22"/>
          <w:szCs w:val="22"/>
        </w:rPr>
        <w:t>integridadedesde</w:t>
      </w:r>
      <w:proofErr w:type="spellEnd"/>
      <w:r w:rsidRPr="0056446F">
        <w:rPr>
          <w:rFonts w:ascii="Calibri" w:hAnsi="Calibri"/>
          <w:color w:val="000000"/>
          <w:sz w:val="22"/>
          <w:szCs w:val="22"/>
        </w:rPr>
        <w:t xml:space="preserve"> 04 de julho de 2017e participante do programa nacional de prevenção a corrupção desde 2021, que de acordo a Portaria n.°1.089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7D1A578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1.2 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769D81A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1.3 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1384D8B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A7B8D1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pacing w:val="-6"/>
          <w:sz w:val="22"/>
          <w:szCs w:val="22"/>
        </w:rPr>
        <w:t>2. MANUAL DE BOAS PRÁTICAS PARA FORNECEDORES </w:t>
      </w:r>
      <w:r w:rsidRPr="0056446F">
        <w:rPr>
          <w:rFonts w:ascii="Calibri" w:hAnsi="Calibri"/>
          <w:b/>
          <w:bCs/>
          <w:color w:val="000000"/>
          <w:sz w:val="22"/>
          <w:szCs w:val="22"/>
        </w:rPr>
        <w:t>DO HFI</w:t>
      </w:r>
    </w:p>
    <w:p w14:paraId="20E1BC86" w14:textId="3DE1FA0D"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231F20"/>
          <w:sz w:val="22"/>
          <w:szCs w:val="22"/>
        </w:rPr>
        <w:t>2.1 O Hospital Federal de Ipanema está engajado no combate à corrupção, fraudes, lavagem de dinheiro, cartel e demais ilicitudes contra a administração pública. Dessa maneira, conta com um Mecanismo de Integridade, em consonância com as leis aplicáveis, em especial a Lei 12.846/13 e seu Decreto 11.129/22. Assim sendo, entendemos ser fundamental a adoção de princípios básicos por toda a nossa cadeia de fornecimento, os quais estão descritos nos tópicos deste</w:t>
      </w:r>
      <w:r w:rsidRPr="0056446F">
        <w:rPr>
          <w:rFonts w:ascii="Calibri" w:hAnsi="Calibri"/>
          <w:color w:val="231F20"/>
          <w:spacing w:val="-16"/>
          <w:sz w:val="22"/>
          <w:szCs w:val="22"/>
        </w:rPr>
        <w:t> Código de Boas Praticas</w:t>
      </w:r>
      <w:r w:rsidRPr="0056446F">
        <w:rPr>
          <w:rFonts w:ascii="Calibri" w:hAnsi="Calibri"/>
          <w:color w:val="231F20"/>
          <w:sz w:val="22"/>
          <w:szCs w:val="22"/>
        </w:rPr>
        <w:t>.</w:t>
      </w:r>
      <w:r w:rsidR="00C94BD4">
        <w:rPr>
          <w:rFonts w:ascii="Calibri" w:hAnsi="Calibri"/>
          <w:color w:val="231F20"/>
          <w:sz w:val="22"/>
          <w:szCs w:val="22"/>
        </w:rPr>
        <w:t xml:space="preserve"> </w:t>
      </w:r>
      <w:proofErr w:type="spellStart"/>
      <w:proofErr w:type="gramStart"/>
      <w:r w:rsidRPr="0056446F">
        <w:rPr>
          <w:rFonts w:ascii="Calibri" w:hAnsi="Calibri"/>
          <w:color w:val="231F20"/>
          <w:sz w:val="22"/>
          <w:szCs w:val="22"/>
        </w:rPr>
        <w:t>Portanto,o</w:t>
      </w:r>
      <w:proofErr w:type="spellEnd"/>
      <w:proofErr w:type="gramEnd"/>
      <w:r w:rsidRPr="0056446F">
        <w:rPr>
          <w:rFonts w:ascii="Calibri" w:hAnsi="Calibri"/>
          <w:color w:val="231F20"/>
          <w:sz w:val="22"/>
          <w:szCs w:val="22"/>
        </w:rPr>
        <w:t xml:space="preserve"> nosso fornecedor </w:t>
      </w:r>
      <w:r w:rsidRPr="0056446F">
        <w:rPr>
          <w:rFonts w:ascii="Calibri" w:hAnsi="Calibri"/>
          <w:color w:val="231F20"/>
          <w:spacing w:val="-2"/>
          <w:sz w:val="22"/>
          <w:szCs w:val="22"/>
        </w:rPr>
        <w:t>deve:</w:t>
      </w:r>
    </w:p>
    <w:p w14:paraId="7646261B" w14:textId="77777777" w:rsid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56446F">
        <w:rPr>
          <w:rFonts w:ascii="Calibri" w:hAnsi="Calibri"/>
          <w:color w:val="231F20"/>
          <w:sz w:val="22"/>
          <w:szCs w:val="22"/>
        </w:rPr>
        <w:lastRenderedPageBreak/>
        <w:t>Cumprir todas as leis </w:t>
      </w:r>
      <w:r w:rsidRPr="0056446F">
        <w:rPr>
          <w:rFonts w:ascii="Calibri" w:hAnsi="Calibri"/>
          <w:color w:val="231F20"/>
          <w:spacing w:val="-2"/>
          <w:sz w:val="22"/>
          <w:szCs w:val="22"/>
        </w:rPr>
        <w:t>aplicáveis.</w:t>
      </w:r>
    </w:p>
    <w:p w14:paraId="710E05E9" w14:textId="77777777" w:rsid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Proibir atos de </w:t>
      </w:r>
      <w:r w:rsidRPr="00C94BD4">
        <w:rPr>
          <w:rFonts w:ascii="Calibri" w:hAnsi="Calibri"/>
          <w:color w:val="231F20"/>
          <w:spacing w:val="-2"/>
          <w:sz w:val="22"/>
          <w:szCs w:val="22"/>
        </w:rPr>
        <w:t>corrupção.</w:t>
      </w:r>
    </w:p>
    <w:p w14:paraId="1CDBE70C" w14:textId="77777777" w:rsid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Engajar-se na implementação de mecanismos de combate à corrupção, fraude, lavagem de dinheiro, cartel e outras ilicitudes à administração pública.</w:t>
      </w:r>
    </w:p>
    <w:p w14:paraId="6AA9EED2" w14:textId="77777777" w:rsid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 </w:t>
      </w:r>
      <w:r w:rsidRPr="00C94BD4">
        <w:rPr>
          <w:rFonts w:ascii="Calibri" w:hAnsi="Calibri"/>
          <w:color w:val="231F20"/>
          <w:sz w:val="22"/>
          <w:szCs w:val="22"/>
        </w:rPr>
        <w:t>Respeitar os direitos humanos básicos dos </w:t>
      </w:r>
      <w:r w:rsidRPr="00C94BD4">
        <w:rPr>
          <w:rFonts w:ascii="Calibri" w:hAnsi="Calibri"/>
          <w:color w:val="231F20"/>
          <w:spacing w:val="-2"/>
          <w:sz w:val="22"/>
          <w:szCs w:val="22"/>
        </w:rPr>
        <w:t>colaboradores.</w:t>
      </w:r>
    </w:p>
    <w:p w14:paraId="5691BD13" w14:textId="77777777" w:rsid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Proibir o trabalho escravo e o trabalho </w:t>
      </w:r>
      <w:r w:rsidRPr="00C94BD4">
        <w:rPr>
          <w:rFonts w:ascii="Calibri" w:hAnsi="Calibri"/>
          <w:color w:val="231F20"/>
          <w:spacing w:val="-2"/>
          <w:sz w:val="22"/>
          <w:szCs w:val="22"/>
        </w:rPr>
        <w:t>infantil.</w:t>
      </w:r>
    </w:p>
    <w:p w14:paraId="779C4E95" w14:textId="77777777" w:rsidR="00C94BD4" w:rsidRP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Assumir responsabilidade pela saúde e a segurança dos seus </w:t>
      </w:r>
      <w:r w:rsidRPr="00C94BD4">
        <w:rPr>
          <w:rFonts w:ascii="Calibri" w:hAnsi="Calibri"/>
          <w:color w:val="231F20"/>
          <w:spacing w:val="-2"/>
          <w:sz w:val="22"/>
          <w:szCs w:val="22"/>
        </w:rPr>
        <w:t>colaboradores.</w:t>
      </w:r>
    </w:p>
    <w:p w14:paraId="0180FB32" w14:textId="77777777" w:rsid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Agir de acordo com as normas locais e internacionais aplicáveis relativas à proteção </w:t>
      </w:r>
      <w:r w:rsidRPr="00C94BD4">
        <w:rPr>
          <w:rFonts w:ascii="Calibri" w:hAnsi="Calibri"/>
          <w:color w:val="231F20"/>
          <w:spacing w:val="-2"/>
          <w:sz w:val="22"/>
          <w:szCs w:val="22"/>
        </w:rPr>
        <w:t>ambiental.</w:t>
      </w:r>
    </w:p>
    <w:p w14:paraId="53C872D9" w14:textId="747846EC" w:rsidR="0056446F" w:rsidRPr="00C94BD4" w:rsidRDefault="0056446F" w:rsidP="00C94BD4">
      <w:pPr>
        <w:pStyle w:val="NormalWeb"/>
        <w:numPr>
          <w:ilvl w:val="0"/>
          <w:numId w:val="36"/>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Promover</w:t>
      </w:r>
      <w:r w:rsidR="00C94BD4">
        <w:rPr>
          <w:rFonts w:ascii="Calibri" w:hAnsi="Calibri"/>
          <w:color w:val="231F20"/>
          <w:sz w:val="22"/>
          <w:szCs w:val="22"/>
        </w:rPr>
        <w:t xml:space="preserve"> </w:t>
      </w:r>
      <w:r w:rsidRPr="00C94BD4">
        <w:rPr>
          <w:rFonts w:ascii="Calibri" w:hAnsi="Calibri"/>
          <w:color w:val="231F20"/>
          <w:sz w:val="22"/>
          <w:szCs w:val="22"/>
        </w:rPr>
        <w:t>dentro de sua cadeia de fornecedores,</w:t>
      </w:r>
      <w:r w:rsidR="00C94BD4">
        <w:rPr>
          <w:rFonts w:ascii="Calibri" w:hAnsi="Calibri"/>
          <w:color w:val="231F20"/>
          <w:sz w:val="22"/>
          <w:szCs w:val="22"/>
        </w:rPr>
        <w:t xml:space="preserve"> </w:t>
      </w:r>
      <w:r w:rsidRPr="00C94BD4">
        <w:rPr>
          <w:rFonts w:ascii="Calibri" w:hAnsi="Calibri"/>
          <w:color w:val="231F20"/>
          <w:sz w:val="22"/>
          <w:szCs w:val="22"/>
        </w:rPr>
        <w:t>o cumprimento desses </w:t>
      </w:r>
      <w:r w:rsidRPr="00C94BD4">
        <w:rPr>
          <w:rFonts w:ascii="Calibri" w:hAnsi="Calibri"/>
          <w:color w:val="231F20"/>
          <w:spacing w:val="-2"/>
          <w:sz w:val="22"/>
          <w:szCs w:val="22"/>
        </w:rPr>
        <w:t>requisitos.</w:t>
      </w:r>
    </w:p>
    <w:p w14:paraId="4BEAE06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231F20"/>
          <w:sz w:val="22"/>
          <w:szCs w:val="22"/>
        </w:rPr>
        <w:t>2.2 Este</w:t>
      </w:r>
      <w:proofErr w:type="gramEnd"/>
      <w:r w:rsidRPr="0056446F">
        <w:rPr>
          <w:rFonts w:ascii="Calibri" w:hAnsi="Calibri"/>
          <w:color w:val="231F20"/>
          <w:sz w:val="22"/>
          <w:szCs w:val="22"/>
        </w:rPr>
        <w:t xml:space="preserve"> é o Manual de Boas Práticas do Fornecedor do HFI, que define as políticas, padrões de conduta e comportamentos, em complementação aos exigidos pela lei brasileira e pelo Contrato a serem observados por nossos fornecedores e seus empregados quando em relacionamento direto ou indireto com o HFI.</w:t>
      </w:r>
    </w:p>
    <w:p w14:paraId="0CB0772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231F20"/>
          <w:sz w:val="22"/>
          <w:szCs w:val="22"/>
        </w:rPr>
        <w:t xml:space="preserve">2.3 As condutas aqui indicadas são padrões esperados de todos os fornecedores, em decorrência do cumprimento de previsões legais, políticas que afetam o nosso negócio, dos direitos universais e de nossos valores, como integridade, transparência, ética e sustentabilidade, como intuito de manter a credibilidade do </w:t>
      </w:r>
      <w:proofErr w:type="spellStart"/>
      <w:r w:rsidRPr="0056446F">
        <w:rPr>
          <w:rFonts w:ascii="Calibri" w:hAnsi="Calibri"/>
          <w:color w:val="231F20"/>
          <w:sz w:val="22"/>
          <w:szCs w:val="22"/>
        </w:rPr>
        <w:t>fornecedore</w:t>
      </w:r>
      <w:proofErr w:type="spellEnd"/>
      <w:r w:rsidRPr="0056446F">
        <w:rPr>
          <w:rFonts w:ascii="Calibri" w:hAnsi="Calibri"/>
          <w:color w:val="231F20"/>
          <w:sz w:val="22"/>
          <w:szCs w:val="22"/>
        </w:rPr>
        <w:t xml:space="preserve"> do HFI.</w:t>
      </w:r>
    </w:p>
    <w:p w14:paraId="68D8374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2.4 </w:t>
      </w:r>
      <w:r w:rsidRPr="0056446F">
        <w:rPr>
          <w:rFonts w:ascii="Calibri" w:hAnsi="Calibri"/>
          <w:color w:val="231F20"/>
          <w:sz w:val="22"/>
          <w:szCs w:val="22"/>
        </w:rPr>
        <w:t>Todo</w:t>
      </w:r>
      <w:proofErr w:type="gramEnd"/>
      <w:r w:rsidRPr="0056446F">
        <w:rPr>
          <w:rFonts w:ascii="Calibri" w:hAnsi="Calibri"/>
          <w:color w:val="231F20"/>
          <w:sz w:val="22"/>
          <w:szCs w:val="22"/>
        </w:rPr>
        <w:t xml:space="preserve"> fornecedor para ser reconhecido precisa além da qualidade dos seus produtos e serviços, ter compromisso com a ética. As condutas previstas neste documento, devem servir de guia para tomada de decisão, observando sempre os princípios da legalidade, impessoalidade, moralidade, publicidade e eficiência.</w:t>
      </w:r>
    </w:p>
    <w:p w14:paraId="49CCD73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26A071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3. PRÁTICAS </w:t>
      </w:r>
      <w:r w:rsidRPr="0056446F">
        <w:rPr>
          <w:rFonts w:ascii="Calibri" w:hAnsi="Calibri"/>
          <w:b/>
          <w:bCs/>
          <w:color w:val="000000"/>
          <w:spacing w:val="-2"/>
          <w:sz w:val="22"/>
          <w:szCs w:val="22"/>
        </w:rPr>
        <w:t>TRABALHISTAS</w:t>
      </w:r>
    </w:p>
    <w:p w14:paraId="489EE595"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231F20"/>
          <w:sz w:val="22"/>
          <w:szCs w:val="22"/>
        </w:rPr>
        <w:t>3.1 Para assegurar que as atividades do Fornecedor não violem os direitos humanos </w:t>
      </w:r>
      <w:r w:rsidRPr="0056446F">
        <w:rPr>
          <w:rFonts w:ascii="Calibri" w:hAnsi="Calibri"/>
          <w:color w:val="231F20"/>
          <w:spacing w:val="-2"/>
          <w:sz w:val="22"/>
          <w:szCs w:val="22"/>
        </w:rPr>
        <w:t>e as Leis trabalhistas descritas na Consolidação das Leis do Trabalho, </w:t>
      </w:r>
      <w:r w:rsidRPr="0056446F">
        <w:rPr>
          <w:rFonts w:ascii="Calibri" w:hAnsi="Calibri"/>
          <w:color w:val="000000"/>
          <w:sz w:val="22"/>
          <w:szCs w:val="22"/>
        </w:rPr>
        <w:t>Decreto-Lei Nº 5.452 de 1943</w:t>
      </w:r>
      <w:r w:rsidRPr="0056446F">
        <w:rPr>
          <w:rFonts w:ascii="Calibri" w:hAnsi="Calibri"/>
          <w:color w:val="231F20"/>
          <w:spacing w:val="-2"/>
          <w:sz w:val="22"/>
          <w:szCs w:val="22"/>
        </w:rPr>
        <w:t>, </w:t>
      </w:r>
      <w:r w:rsidRPr="0056446F">
        <w:rPr>
          <w:rFonts w:ascii="Calibri" w:hAnsi="Calibri"/>
          <w:color w:val="231F20"/>
          <w:sz w:val="22"/>
          <w:szCs w:val="22"/>
        </w:rPr>
        <w:t xml:space="preserve">deverá este cumprir e fazer cumprir por si e seus subordinados os itens abaixo relacionados e demais condições deste manual de Boas </w:t>
      </w:r>
      <w:proofErr w:type="gramStart"/>
      <w:r w:rsidRPr="0056446F">
        <w:rPr>
          <w:rFonts w:ascii="Calibri" w:hAnsi="Calibri"/>
          <w:color w:val="231F20"/>
          <w:sz w:val="22"/>
          <w:szCs w:val="22"/>
        </w:rPr>
        <w:t>Práticas .</w:t>
      </w:r>
      <w:proofErr w:type="gramEnd"/>
    </w:p>
    <w:p w14:paraId="28478BBE" w14:textId="77777777" w:rsidR="00C94BD4" w:rsidRDefault="0056446F" w:rsidP="00C94BD4">
      <w:pPr>
        <w:pStyle w:val="NormalWeb"/>
        <w:numPr>
          <w:ilvl w:val="0"/>
          <w:numId w:val="37"/>
        </w:numPr>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Não utilizar mão de obra infantil ou trabalho degradante ou análogo ao escravo, conforme previsão da CLT Art. 403 e do Código Penal brasileiro Art. 149 alterado pela lei 10.803 de 2003.</w:t>
      </w:r>
    </w:p>
    <w:p w14:paraId="77619E21" w14:textId="4A62BB07" w:rsidR="00C94BD4" w:rsidRDefault="0056446F" w:rsidP="00C94BD4">
      <w:pPr>
        <w:pStyle w:val="NormalWeb"/>
        <w:numPr>
          <w:ilvl w:val="0"/>
          <w:numId w:val="37"/>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 xml:space="preserve">Não adotar tratamento ilegal ou inaceitável com seus colaboradores, como punição física, abuso de mulheres e menores, discriminação, trabalho forçado, remuneração </w:t>
      </w:r>
      <w:r w:rsidRPr="00C94BD4">
        <w:rPr>
          <w:rFonts w:ascii="Calibri" w:hAnsi="Calibri"/>
          <w:color w:val="231F20"/>
          <w:sz w:val="22"/>
          <w:szCs w:val="22"/>
        </w:rPr>
        <w:lastRenderedPageBreak/>
        <w:t>irrisória ou inferior ao salário-mínimo, local de trabalho precário, assédios, jornada exaustiva,</w:t>
      </w:r>
      <w:r w:rsidR="00C94BD4">
        <w:rPr>
          <w:rFonts w:ascii="Calibri" w:hAnsi="Calibri"/>
          <w:color w:val="231F20"/>
          <w:sz w:val="22"/>
          <w:szCs w:val="22"/>
        </w:rPr>
        <w:t xml:space="preserve"> </w:t>
      </w:r>
      <w:r w:rsidRPr="00C94BD4">
        <w:rPr>
          <w:rFonts w:ascii="Calibri" w:hAnsi="Calibri"/>
          <w:color w:val="231F20"/>
          <w:sz w:val="22"/>
          <w:szCs w:val="22"/>
        </w:rPr>
        <w:t>ou outras formas de trabalho irregular ou ilegal.</w:t>
      </w:r>
    </w:p>
    <w:p w14:paraId="71749719" w14:textId="77777777" w:rsidR="00C94BD4" w:rsidRDefault="0056446F" w:rsidP="00C94BD4">
      <w:pPr>
        <w:pStyle w:val="NormalWeb"/>
        <w:numPr>
          <w:ilvl w:val="0"/>
          <w:numId w:val="37"/>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 Adotar a legislação trabalhista vigente, bem como medidas que visem à observância dos direitos humanos, tais como a equidade de gênero, o combate ao racismo e a acessibilidade, conforme legislações pertinentes.</w:t>
      </w:r>
    </w:p>
    <w:p w14:paraId="7A78A35D" w14:textId="20D595A4" w:rsidR="0056446F" w:rsidRPr="00C94BD4" w:rsidRDefault="0056446F" w:rsidP="00C94BD4">
      <w:pPr>
        <w:pStyle w:val="NormalWeb"/>
        <w:numPr>
          <w:ilvl w:val="0"/>
          <w:numId w:val="37"/>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01201456"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6B8C9E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pacing w:val="-4"/>
          <w:sz w:val="22"/>
          <w:szCs w:val="22"/>
        </w:rPr>
        <w:t>4. PROTEÇÃO AO MEIO AMBIENTE DO TRABALHO</w:t>
      </w:r>
    </w:p>
    <w:p w14:paraId="506CC586" w14:textId="77777777" w:rsidR="00C94BD4" w:rsidRDefault="0056446F" w:rsidP="00C94BD4">
      <w:pPr>
        <w:pStyle w:val="NormalWeb"/>
        <w:numPr>
          <w:ilvl w:val="0"/>
          <w:numId w:val="38"/>
        </w:numPr>
        <w:spacing w:before="0" w:beforeAutospacing="0" w:after="0" w:afterAutospacing="0" w:line="360" w:lineRule="auto"/>
        <w:jc w:val="both"/>
        <w:rPr>
          <w:rFonts w:ascii="Calibri" w:hAnsi="Calibri"/>
          <w:color w:val="000000"/>
          <w:sz w:val="22"/>
          <w:szCs w:val="22"/>
        </w:rPr>
      </w:pPr>
      <w:r w:rsidRPr="0056446F">
        <w:rPr>
          <w:rFonts w:ascii="Calibri" w:hAnsi="Calibri"/>
          <w:color w:val="231F20"/>
          <w:sz w:val="22"/>
          <w:szCs w:val="22"/>
        </w:rPr>
        <w:t>Os</w:t>
      </w:r>
      <w:r w:rsidR="00C94BD4">
        <w:rPr>
          <w:rFonts w:ascii="Calibri" w:hAnsi="Calibri"/>
          <w:color w:val="231F20"/>
          <w:sz w:val="22"/>
          <w:szCs w:val="22"/>
        </w:rPr>
        <w:t xml:space="preserve"> </w:t>
      </w:r>
      <w:r w:rsidRPr="0056446F">
        <w:rPr>
          <w:rFonts w:ascii="Calibri" w:hAnsi="Calibri"/>
          <w:color w:val="231F20"/>
          <w:sz w:val="22"/>
          <w:szCs w:val="22"/>
        </w:rPr>
        <w:t>fornecedores do HFI devem cumprir </w:t>
      </w:r>
      <w:r w:rsidRPr="0056446F">
        <w:rPr>
          <w:rFonts w:ascii="Calibri" w:hAnsi="Calibri"/>
          <w:color w:val="000000"/>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1AB1A83F" w14:textId="77777777" w:rsidR="00C94BD4" w:rsidRDefault="0056446F" w:rsidP="00C94BD4">
      <w:pPr>
        <w:pStyle w:val="NormalWeb"/>
        <w:numPr>
          <w:ilvl w:val="0"/>
          <w:numId w:val="38"/>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 xml:space="preserve">Adotar e estimular a </w:t>
      </w:r>
      <w:proofErr w:type="spellStart"/>
      <w:r w:rsidRPr="00C94BD4">
        <w:rPr>
          <w:rFonts w:ascii="Calibri" w:hAnsi="Calibri"/>
          <w:color w:val="000000"/>
          <w:sz w:val="22"/>
          <w:szCs w:val="22"/>
        </w:rPr>
        <w:t>ecoeficiência</w:t>
      </w:r>
      <w:proofErr w:type="spellEnd"/>
      <w:r w:rsidRPr="00C94BD4">
        <w:rPr>
          <w:rFonts w:ascii="Calibri" w:hAnsi="Calibri"/>
          <w:color w:val="000000"/>
          <w:sz w:val="22"/>
          <w:szCs w:val="22"/>
        </w:rPr>
        <w:t xml:space="preserve">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7FBE441B" w14:textId="77777777" w:rsidR="00C94BD4" w:rsidRDefault="0056446F" w:rsidP="00C94BD4">
      <w:pPr>
        <w:pStyle w:val="NormalWeb"/>
        <w:numPr>
          <w:ilvl w:val="0"/>
          <w:numId w:val="38"/>
        </w:numPr>
        <w:spacing w:before="0" w:beforeAutospacing="0" w:after="0" w:afterAutospacing="0" w:line="360" w:lineRule="auto"/>
        <w:jc w:val="both"/>
        <w:rPr>
          <w:rFonts w:ascii="Calibri" w:hAnsi="Calibri"/>
          <w:color w:val="000000"/>
          <w:sz w:val="22"/>
          <w:szCs w:val="22"/>
        </w:rPr>
      </w:pPr>
      <w:r w:rsidRPr="00C94BD4">
        <w:rPr>
          <w:rFonts w:ascii="Calibri" w:hAnsi="Calibri"/>
          <w:color w:val="231F20"/>
          <w:sz w:val="22"/>
          <w:szCs w:val="22"/>
        </w:rPr>
        <w:t>O HFI, a qualquer tempo, poderá solicitar informações, documentos, afim de constatar sua conformidade com as obrigações legais, fiscais, contratuais, trabalhistas e de segurança e saúde do trabalho, além das normas deste Manual e do Contrato de Prestação de Serviços.</w:t>
      </w:r>
    </w:p>
    <w:p w14:paraId="58D69B7D" w14:textId="0F868B70" w:rsidR="00C94BD4" w:rsidRDefault="0056446F" w:rsidP="00C94BD4">
      <w:pPr>
        <w:pStyle w:val="NormalWeb"/>
        <w:numPr>
          <w:ilvl w:val="0"/>
          <w:numId w:val="38"/>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 </w:t>
      </w:r>
      <w:r w:rsidRPr="00C94BD4">
        <w:rPr>
          <w:rFonts w:ascii="Calibri" w:hAnsi="Calibri"/>
          <w:color w:val="231F20"/>
          <w:sz w:val="22"/>
          <w:szCs w:val="22"/>
        </w:rPr>
        <w:t>O fornecedor do HFI deverá estar em</w:t>
      </w:r>
      <w:r w:rsidR="00C94BD4">
        <w:rPr>
          <w:rFonts w:ascii="Calibri" w:hAnsi="Calibri"/>
          <w:color w:val="231F20"/>
          <w:sz w:val="22"/>
          <w:szCs w:val="22"/>
        </w:rPr>
        <w:t xml:space="preserve"> </w:t>
      </w:r>
      <w:r w:rsidRPr="00C94BD4">
        <w:rPr>
          <w:rFonts w:ascii="Calibri" w:hAnsi="Calibri"/>
          <w:color w:val="231F20"/>
          <w:sz w:val="22"/>
          <w:szCs w:val="22"/>
        </w:rPr>
        <w:t>situação</w:t>
      </w:r>
      <w:r w:rsidR="00C94BD4">
        <w:rPr>
          <w:rFonts w:ascii="Calibri" w:hAnsi="Calibri"/>
          <w:color w:val="231F20"/>
          <w:sz w:val="22"/>
          <w:szCs w:val="22"/>
        </w:rPr>
        <w:t xml:space="preserve"> </w:t>
      </w:r>
      <w:r w:rsidRPr="00C94BD4">
        <w:rPr>
          <w:rFonts w:ascii="Calibri" w:hAnsi="Calibri"/>
          <w:color w:val="231F20"/>
          <w:sz w:val="22"/>
          <w:szCs w:val="22"/>
        </w:rPr>
        <w:t>regular</w:t>
      </w:r>
      <w:r w:rsidR="00C94BD4">
        <w:rPr>
          <w:rFonts w:ascii="Calibri" w:hAnsi="Calibri"/>
          <w:color w:val="231F20"/>
          <w:sz w:val="22"/>
          <w:szCs w:val="22"/>
        </w:rPr>
        <w:t xml:space="preserve"> </w:t>
      </w:r>
      <w:r w:rsidRPr="00C94BD4">
        <w:rPr>
          <w:rFonts w:ascii="Calibri" w:hAnsi="Calibri"/>
          <w:color w:val="231F20"/>
          <w:sz w:val="22"/>
          <w:szCs w:val="22"/>
        </w:rPr>
        <w:t>em</w:t>
      </w:r>
      <w:r w:rsidR="00C94BD4">
        <w:rPr>
          <w:rFonts w:ascii="Calibri" w:hAnsi="Calibri"/>
          <w:color w:val="231F20"/>
          <w:sz w:val="22"/>
          <w:szCs w:val="22"/>
        </w:rPr>
        <w:t xml:space="preserve"> </w:t>
      </w:r>
      <w:r w:rsidRPr="00C94BD4">
        <w:rPr>
          <w:rFonts w:ascii="Calibri" w:hAnsi="Calibri"/>
          <w:color w:val="231F20"/>
          <w:sz w:val="22"/>
          <w:szCs w:val="22"/>
        </w:rPr>
        <w:t>todos</w:t>
      </w:r>
      <w:r w:rsidR="00C94BD4">
        <w:rPr>
          <w:rFonts w:ascii="Calibri" w:hAnsi="Calibri"/>
          <w:color w:val="231F20"/>
          <w:sz w:val="22"/>
          <w:szCs w:val="22"/>
        </w:rPr>
        <w:t xml:space="preserve"> </w:t>
      </w:r>
      <w:r w:rsidRPr="00C94BD4">
        <w:rPr>
          <w:rFonts w:ascii="Calibri" w:hAnsi="Calibri"/>
          <w:color w:val="231F20"/>
          <w:sz w:val="22"/>
          <w:szCs w:val="22"/>
        </w:rPr>
        <w:t>os</w:t>
      </w:r>
      <w:r w:rsidR="00C94BD4">
        <w:rPr>
          <w:rFonts w:ascii="Calibri" w:hAnsi="Calibri"/>
          <w:color w:val="231F20"/>
          <w:sz w:val="22"/>
          <w:szCs w:val="22"/>
        </w:rPr>
        <w:t xml:space="preserve"> </w:t>
      </w:r>
      <w:r w:rsidRPr="00C94BD4">
        <w:rPr>
          <w:rFonts w:ascii="Calibri" w:hAnsi="Calibri"/>
          <w:color w:val="231F20"/>
          <w:sz w:val="22"/>
          <w:szCs w:val="22"/>
        </w:rPr>
        <w:t>aspectos e</w:t>
      </w:r>
      <w:r w:rsidR="00C94BD4">
        <w:rPr>
          <w:rFonts w:ascii="Calibri" w:hAnsi="Calibri"/>
          <w:color w:val="231F20"/>
          <w:sz w:val="22"/>
          <w:szCs w:val="22"/>
        </w:rPr>
        <w:t xml:space="preserve"> </w:t>
      </w:r>
      <w:r w:rsidRPr="00C94BD4">
        <w:rPr>
          <w:rFonts w:ascii="Calibri" w:hAnsi="Calibri"/>
          <w:color w:val="231F20"/>
          <w:sz w:val="22"/>
          <w:szCs w:val="22"/>
        </w:rPr>
        <w:t>observar a legislação trabalhista, fiscal e ambiental, e para sustentar, proteger e recuperar o meio ambiente, por meio de economia de recursos, reciclagem, tratamento ou destinação de resíduos.</w:t>
      </w:r>
    </w:p>
    <w:p w14:paraId="174EF555" w14:textId="3C17E898" w:rsidR="0056446F" w:rsidRPr="00C94BD4" w:rsidRDefault="0056446F" w:rsidP="00C94BD4">
      <w:pPr>
        <w:pStyle w:val="NormalWeb"/>
        <w:numPr>
          <w:ilvl w:val="0"/>
          <w:numId w:val="38"/>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4B26791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DFF946A" w14:textId="123C2BDC"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pacing w:val="-4"/>
          <w:sz w:val="22"/>
          <w:szCs w:val="22"/>
        </w:rPr>
        <w:lastRenderedPageBreak/>
        <w:t>5.</w:t>
      </w:r>
      <w:r w:rsidR="00C94BD4">
        <w:rPr>
          <w:rFonts w:ascii="Calibri" w:hAnsi="Calibri"/>
          <w:b/>
          <w:bCs/>
          <w:color w:val="000000"/>
          <w:spacing w:val="-4"/>
          <w:sz w:val="22"/>
          <w:szCs w:val="22"/>
        </w:rPr>
        <w:t xml:space="preserve"> </w:t>
      </w:r>
      <w:r w:rsidRPr="0056446F">
        <w:rPr>
          <w:rFonts w:ascii="Calibri" w:hAnsi="Calibri"/>
          <w:b/>
          <w:bCs/>
          <w:color w:val="000000"/>
          <w:spacing w:val="-4"/>
          <w:sz w:val="22"/>
          <w:szCs w:val="22"/>
        </w:rPr>
        <w:t>CONFLITO DE INTERESSES</w:t>
      </w:r>
    </w:p>
    <w:p w14:paraId="70ED570F" w14:textId="37A00DBF"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231F20"/>
          <w:sz w:val="22"/>
          <w:szCs w:val="22"/>
        </w:rPr>
        <w:t>5.1 Os</w:t>
      </w:r>
      <w:proofErr w:type="gramEnd"/>
      <w:r w:rsidRPr="0056446F">
        <w:rPr>
          <w:rFonts w:ascii="Calibri" w:hAnsi="Calibri"/>
          <w:color w:val="231F20"/>
          <w:sz w:val="22"/>
          <w:szCs w:val="22"/>
        </w:rPr>
        <w:t xml:space="preserve"> fornecedores do HFI não deverão</w:t>
      </w:r>
      <w:r w:rsidR="00C94BD4">
        <w:rPr>
          <w:rFonts w:ascii="Calibri" w:hAnsi="Calibri"/>
          <w:color w:val="231F20"/>
          <w:sz w:val="22"/>
          <w:szCs w:val="22"/>
        </w:rPr>
        <w:t xml:space="preserve"> </w:t>
      </w:r>
      <w:r w:rsidRPr="0056446F">
        <w:rPr>
          <w:rFonts w:ascii="Calibri" w:hAnsi="Calibri"/>
          <w:color w:val="000000"/>
          <w:sz w:val="22"/>
          <w:szCs w:val="22"/>
        </w:rPr>
        <w:t xml:space="preserve">adotar, com relação ao setor público, qualquer iniciativa que possa ser interpretada como tráfico de influência e como ato lesivo à Administração Pública, descritos no </w:t>
      </w:r>
      <w:proofErr w:type="spellStart"/>
      <w:r w:rsidRPr="0056446F">
        <w:rPr>
          <w:rFonts w:ascii="Calibri" w:hAnsi="Calibri"/>
          <w:color w:val="000000"/>
          <w:sz w:val="22"/>
          <w:szCs w:val="22"/>
        </w:rPr>
        <w:t>Art</w:t>
      </w:r>
      <w:proofErr w:type="spellEnd"/>
      <w:r w:rsidRPr="0056446F">
        <w:rPr>
          <w:rFonts w:ascii="Calibri" w:hAnsi="Calibri"/>
          <w:color w:val="000000"/>
          <w:sz w:val="22"/>
          <w:szCs w:val="22"/>
        </w:rPr>
        <w:t xml:space="preserve"> 5º e seus respectivos incisos, da Lei Federal nº 12.846 de 2013</w:t>
      </w:r>
    </w:p>
    <w:p w14:paraId="5C31CF43"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231F20"/>
          <w:sz w:val="22"/>
          <w:szCs w:val="22"/>
        </w:rPr>
        <w:t>5.2 Por</w:t>
      </w:r>
      <w:proofErr w:type="gramEnd"/>
      <w:r w:rsidRPr="0056446F">
        <w:rPr>
          <w:rFonts w:ascii="Calibri" w:hAnsi="Calibri"/>
          <w:color w:val="231F20"/>
          <w:sz w:val="22"/>
          <w:szCs w:val="22"/>
        </w:rPr>
        <w:t xml:space="preserve"> exemplo: os fornecedores não devem empregar, fazer pagamentos ou conceder vantagens direta ou indiretamente para nenhum agente público do HFI durante a realização de uma transação ou cumprimento de um contrato entre o fornecedor e o HFI.</w:t>
      </w:r>
    </w:p>
    <w:p w14:paraId="7DE91E1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5.3 Os fornecedores devem agir de forma íntegra, comprometendo-se a aderir aos mais elevados padrões de transparência, ética e conformidade legal, evitando situações de </w:t>
      </w:r>
      <w:r w:rsidRPr="0056446F">
        <w:rPr>
          <w:rFonts w:ascii="Calibri" w:hAnsi="Calibri"/>
          <w:b/>
          <w:bCs/>
          <w:color w:val="000000"/>
          <w:sz w:val="22"/>
          <w:szCs w:val="22"/>
        </w:rPr>
        <w:t>conflito de interesses</w:t>
      </w:r>
      <w:r w:rsidRPr="0056446F">
        <w:rPr>
          <w:rFonts w:ascii="Calibri" w:hAnsi="Calibri"/>
          <w:color w:val="000000"/>
          <w:sz w:val="22"/>
          <w:szCs w:val="22"/>
        </w:rPr>
        <w:t>.</w:t>
      </w:r>
    </w:p>
    <w:p w14:paraId="7333857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1A94C416" w14:textId="77777777" w:rsidR="0056446F" w:rsidRPr="00C94BD4" w:rsidRDefault="0056446F" w:rsidP="0056446F">
      <w:pPr>
        <w:pStyle w:val="Ttulo1"/>
        <w:spacing w:before="0" w:line="360" w:lineRule="auto"/>
        <w:jc w:val="both"/>
        <w:rPr>
          <w:rFonts w:ascii="Calibri" w:hAnsi="Calibri"/>
          <w:color w:val="auto"/>
          <w:sz w:val="22"/>
          <w:szCs w:val="22"/>
        </w:rPr>
      </w:pPr>
      <w:r w:rsidRPr="00C94BD4">
        <w:rPr>
          <w:rFonts w:ascii="Calibri" w:hAnsi="Calibri"/>
          <w:color w:val="auto"/>
          <w:sz w:val="22"/>
          <w:szCs w:val="22"/>
        </w:rPr>
        <w:t>6. ÉTICA NOS </w:t>
      </w:r>
      <w:r w:rsidRPr="00C94BD4">
        <w:rPr>
          <w:rFonts w:ascii="Calibri" w:hAnsi="Calibri"/>
          <w:color w:val="auto"/>
          <w:spacing w:val="-2"/>
          <w:sz w:val="22"/>
          <w:szCs w:val="22"/>
        </w:rPr>
        <w:t>NEGÓCIOS</w:t>
      </w:r>
    </w:p>
    <w:p w14:paraId="1598FE17" w14:textId="77777777" w:rsidR="00C94BD4" w:rsidRDefault="0056446F" w:rsidP="00C94BD4">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6.1 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w:t>
      </w:r>
      <w:r w:rsidR="00C94BD4">
        <w:rPr>
          <w:rFonts w:ascii="Calibri" w:hAnsi="Calibri"/>
          <w:color w:val="000000"/>
          <w:sz w:val="22"/>
          <w:szCs w:val="22"/>
        </w:rPr>
        <w:t>da sociedade, como por exemplo:</w:t>
      </w:r>
    </w:p>
    <w:p w14:paraId="60785E8D" w14:textId="7EE6D365" w:rsidR="00C94BD4" w:rsidRDefault="0056446F" w:rsidP="00C94BD4">
      <w:pPr>
        <w:pStyle w:val="NormalWeb"/>
        <w:numPr>
          <w:ilvl w:val="0"/>
          <w:numId w:val="39"/>
        </w:numPr>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u w:val="single"/>
        </w:rPr>
        <w:t>Combate à corrupção</w:t>
      </w:r>
      <w:r w:rsidRPr="0056446F">
        <w:rPr>
          <w:rFonts w:ascii="Calibri" w:hAnsi="Calibri"/>
          <w:color w:val="000000"/>
          <w:sz w:val="22"/>
          <w:szCs w:val="22"/>
        </w:rPr>
        <w:t>:</w:t>
      </w:r>
      <w:r w:rsidR="00C94BD4">
        <w:rPr>
          <w:rFonts w:ascii="Calibri" w:hAnsi="Calibri"/>
          <w:color w:val="000000"/>
          <w:sz w:val="22"/>
          <w:szCs w:val="22"/>
        </w:rPr>
        <w:t xml:space="preserve"> </w:t>
      </w:r>
      <w:r w:rsidRPr="0056446F">
        <w:rPr>
          <w:rFonts w:ascii="Calibri" w:hAnsi="Calibri"/>
          <w:color w:val="000000"/>
          <w:sz w:val="22"/>
          <w:szCs w:val="22"/>
        </w:rPr>
        <w:t>Proibição de qualquer forma de corrupção, suborno ou extorsão, conforme a Lei Anticorrupção n° 12.846 de 2013 c/c Decreto n° 11.129 de 2022.</w:t>
      </w:r>
    </w:p>
    <w:p w14:paraId="3B97E9AD" w14:textId="7848C578" w:rsidR="00C94BD4" w:rsidRDefault="0056446F" w:rsidP="00C94BD4">
      <w:pPr>
        <w:pStyle w:val="NormalWeb"/>
        <w:numPr>
          <w:ilvl w:val="0"/>
          <w:numId w:val="39"/>
        </w:numPr>
        <w:spacing w:before="0" w:beforeAutospacing="0" w:after="0" w:afterAutospacing="0" w:line="360" w:lineRule="auto"/>
        <w:jc w:val="both"/>
        <w:rPr>
          <w:rFonts w:ascii="Calibri" w:hAnsi="Calibri"/>
          <w:color w:val="000000"/>
          <w:sz w:val="22"/>
          <w:szCs w:val="22"/>
        </w:rPr>
      </w:pPr>
      <w:r w:rsidRPr="00C94BD4">
        <w:rPr>
          <w:rFonts w:ascii="Calibri" w:hAnsi="Calibri"/>
          <w:b/>
          <w:bCs/>
          <w:color w:val="000000"/>
          <w:sz w:val="22"/>
          <w:szCs w:val="22"/>
          <w:u w:val="single"/>
        </w:rPr>
        <w:t>Concorrência Leal</w:t>
      </w:r>
      <w:r w:rsidRPr="00C94BD4">
        <w:rPr>
          <w:rFonts w:ascii="Calibri" w:hAnsi="Calibri"/>
          <w:color w:val="000000"/>
          <w:sz w:val="22"/>
          <w:szCs w:val="22"/>
        </w:rPr>
        <w:t>:</w:t>
      </w:r>
      <w:r w:rsidR="00C94BD4">
        <w:rPr>
          <w:rFonts w:ascii="Calibri" w:hAnsi="Calibri"/>
          <w:color w:val="000000"/>
          <w:sz w:val="22"/>
          <w:szCs w:val="22"/>
        </w:rPr>
        <w:t xml:space="preserve"> </w:t>
      </w:r>
      <w:r w:rsidRPr="00C94BD4">
        <w:rPr>
          <w:rFonts w:ascii="Calibri" w:hAnsi="Calibri"/>
          <w:color w:val="000000"/>
          <w:sz w:val="22"/>
          <w:szCs w:val="22"/>
        </w:rPr>
        <w:t>Promoção de práticas de livre concorrência, em conformidade com a Lei n° 12.529 de 2011 que Estrutura o Sistema Brasileiro de Defesa da Concorrência.</w:t>
      </w:r>
    </w:p>
    <w:p w14:paraId="5954B8E3" w14:textId="4DEC5788" w:rsidR="0056446F" w:rsidRPr="00C94BD4" w:rsidRDefault="0056446F" w:rsidP="00C94BD4">
      <w:pPr>
        <w:pStyle w:val="NormalWeb"/>
        <w:numPr>
          <w:ilvl w:val="0"/>
          <w:numId w:val="39"/>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 </w:t>
      </w:r>
      <w:r w:rsidRPr="00C94BD4">
        <w:rPr>
          <w:rFonts w:ascii="Calibri" w:hAnsi="Calibri"/>
          <w:b/>
          <w:bCs/>
          <w:color w:val="000000"/>
          <w:sz w:val="22"/>
          <w:szCs w:val="22"/>
          <w:u w:val="single"/>
        </w:rPr>
        <w:t>Oferta de Presentes</w:t>
      </w:r>
      <w:r w:rsidRPr="00C94BD4">
        <w:rPr>
          <w:rFonts w:ascii="Calibri" w:hAnsi="Calibri"/>
          <w:color w:val="000000"/>
          <w:sz w:val="22"/>
          <w:szCs w:val="22"/>
          <w:u w:val="single"/>
        </w:rPr>
        <w:t>:</w:t>
      </w:r>
      <w:r w:rsidRPr="00C94BD4">
        <w:rPr>
          <w:rFonts w:ascii="Calibri" w:hAnsi="Calibri"/>
          <w:color w:val="000000"/>
          <w:sz w:val="22"/>
          <w:szCs w:val="22"/>
        </w:rPr>
        <w:t xml:space="preserve"> O oferecimento de presentes, brindes ou hospitalidade deverá observar as estrita disposição da Lei nº 12.846 de </w:t>
      </w:r>
      <w:proofErr w:type="gramStart"/>
      <w:r w:rsidRPr="00C94BD4">
        <w:rPr>
          <w:rFonts w:ascii="Calibri" w:hAnsi="Calibri"/>
          <w:color w:val="000000"/>
          <w:sz w:val="22"/>
          <w:szCs w:val="22"/>
        </w:rPr>
        <w:t>2013 ,</w:t>
      </w:r>
      <w:proofErr w:type="gramEnd"/>
      <w:r w:rsidRPr="00C94BD4">
        <w:rPr>
          <w:rFonts w:ascii="Calibri" w:hAnsi="Calibri"/>
          <w:color w:val="000000"/>
          <w:sz w:val="22"/>
          <w:szCs w:val="22"/>
        </w:rPr>
        <w:t xml:space="preserve"> </w:t>
      </w:r>
      <w:proofErr w:type="spellStart"/>
      <w:r w:rsidRPr="00C94BD4">
        <w:rPr>
          <w:rFonts w:ascii="Calibri" w:hAnsi="Calibri"/>
          <w:color w:val="000000"/>
          <w:sz w:val="22"/>
          <w:szCs w:val="22"/>
        </w:rPr>
        <w:t>Art</w:t>
      </w:r>
      <w:proofErr w:type="spellEnd"/>
      <w:r w:rsidRPr="00C94BD4">
        <w:rPr>
          <w:rFonts w:ascii="Calibri" w:hAnsi="Calibri"/>
          <w:color w:val="000000"/>
          <w:sz w:val="22"/>
          <w:szCs w:val="22"/>
        </w:rPr>
        <w:t xml:space="preserve"> 5° Inciso VI, na Lei 8.112 de 1990 </w:t>
      </w:r>
      <w:proofErr w:type="spellStart"/>
      <w:r w:rsidRPr="00C94BD4">
        <w:rPr>
          <w:rFonts w:ascii="Calibri" w:hAnsi="Calibri"/>
          <w:color w:val="000000"/>
          <w:sz w:val="22"/>
          <w:szCs w:val="22"/>
        </w:rPr>
        <w:t>Art</w:t>
      </w:r>
      <w:proofErr w:type="spellEnd"/>
      <w:r w:rsidRPr="00C94BD4">
        <w:rPr>
          <w:rFonts w:ascii="Calibri" w:hAnsi="Calibri"/>
          <w:color w:val="000000"/>
          <w:sz w:val="22"/>
          <w:szCs w:val="22"/>
        </w:rPr>
        <w:t xml:space="preserve"> 117 Inciso XII e no Decreto n° 10.889/2021 </w:t>
      </w:r>
      <w:proofErr w:type="spellStart"/>
      <w:r w:rsidRPr="00C94BD4">
        <w:rPr>
          <w:rFonts w:ascii="Calibri" w:hAnsi="Calibri"/>
          <w:color w:val="000000"/>
          <w:sz w:val="22"/>
          <w:szCs w:val="22"/>
        </w:rPr>
        <w:t>Art</w:t>
      </w:r>
      <w:proofErr w:type="spellEnd"/>
      <w:r w:rsidRPr="00C94BD4">
        <w:rPr>
          <w:rFonts w:ascii="Calibri" w:hAnsi="Calibri"/>
          <w:color w:val="000000"/>
          <w:sz w:val="22"/>
          <w:szCs w:val="22"/>
        </w:rPr>
        <w:t xml:space="preserve"> 17. Desta forma, é </w:t>
      </w:r>
      <w:proofErr w:type="spellStart"/>
      <w:r w:rsidRPr="00C94BD4">
        <w:rPr>
          <w:rFonts w:ascii="Calibri" w:hAnsi="Calibri"/>
          <w:color w:val="000000"/>
          <w:sz w:val="22"/>
          <w:szCs w:val="22"/>
        </w:rPr>
        <w:t>proíbida</w:t>
      </w:r>
      <w:proofErr w:type="spellEnd"/>
      <w:r w:rsidRPr="00C94BD4">
        <w:rPr>
          <w:rFonts w:ascii="Calibri" w:hAnsi="Calibri"/>
          <w:color w:val="000000"/>
          <w:sz w:val="22"/>
          <w:szCs w:val="22"/>
        </w:rPr>
        <w:t xml:space="preserve"> essa prática em troca de qualquer benefício pessoal ou favorecimento, para si ou para outrem.</w:t>
      </w:r>
    </w:p>
    <w:p w14:paraId="2245C84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A2180F8"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7. CONTRATOS</w:t>
      </w:r>
    </w:p>
    <w:p w14:paraId="225D8BE1"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7.1 Nos contratos com o HFI, os fornecedores deverão, cumpridas todas as Leis, Regulamentos e Normas aplicáveis em vigor, </w:t>
      </w:r>
      <w:r w:rsidRPr="0056446F">
        <w:rPr>
          <w:rFonts w:ascii="Calibri" w:hAnsi="Calibri"/>
          <w:color w:val="000000"/>
          <w:spacing w:val="-4"/>
          <w:sz w:val="22"/>
          <w:szCs w:val="22"/>
        </w:rPr>
        <w:t xml:space="preserve">incluindo, mas não se limitando, as Leis de Licitações e Contratos n° 14.133 de </w:t>
      </w:r>
      <w:proofErr w:type="gramStart"/>
      <w:r w:rsidRPr="0056446F">
        <w:rPr>
          <w:rFonts w:ascii="Calibri" w:hAnsi="Calibri"/>
          <w:color w:val="000000"/>
          <w:spacing w:val="-4"/>
          <w:sz w:val="22"/>
          <w:szCs w:val="22"/>
        </w:rPr>
        <w:t>2021 ,</w:t>
      </w:r>
      <w:proofErr w:type="gramEnd"/>
      <w:r w:rsidRPr="0056446F">
        <w:rPr>
          <w:rFonts w:ascii="Calibri" w:hAnsi="Calibri"/>
          <w:color w:val="000000"/>
          <w:spacing w:val="-4"/>
          <w:sz w:val="22"/>
          <w:szCs w:val="22"/>
        </w:rPr>
        <w:t xml:space="preserve"> trabalhistas, ambientais, de saúde e segurança, aos direitos humanos, fiscais e tributárias </w:t>
      </w:r>
      <w:r w:rsidRPr="0056446F">
        <w:rPr>
          <w:rFonts w:ascii="Calibri" w:hAnsi="Calibri"/>
          <w:color w:val="000000"/>
          <w:sz w:val="22"/>
          <w:szCs w:val="22"/>
        </w:rPr>
        <w:t>e de combate à corrupção Lei n° 12.846 de 2013. A Pessoa Jurídica, na pessoa dos seus representantes, e todo o seu corpo funcional deverá se comprometer a combater quaisquer práticas lesivas à Administração Pública, tais como:</w:t>
      </w:r>
    </w:p>
    <w:p w14:paraId="452845BC" w14:textId="77777777" w:rsidR="00C94BD4" w:rsidRDefault="0056446F" w:rsidP="00C94BD4">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lastRenderedPageBreak/>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265C1ED7" w14:textId="77777777" w:rsidR="00C94BD4" w:rsidRDefault="0056446F" w:rsidP="00C94BD4">
      <w:pPr>
        <w:pStyle w:val="NormalWeb"/>
        <w:numPr>
          <w:ilvl w:val="0"/>
          <w:numId w:val="40"/>
        </w:numPr>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Manipular ou fraudar o equilíbrio econômico-financeiro dos contratos celebrados com a administração pública.</w:t>
      </w:r>
    </w:p>
    <w:p w14:paraId="4DBEFBC3" w14:textId="77777777" w:rsidR="00C94BD4" w:rsidRDefault="0056446F" w:rsidP="00C94BD4">
      <w:pPr>
        <w:pStyle w:val="NormalWeb"/>
        <w:numPr>
          <w:ilvl w:val="0"/>
          <w:numId w:val="40"/>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Dificultar atividade de investigação ou fiscalização de órgãos, entidades ou agentes públicos, ou intervir em sua atuação.</w:t>
      </w:r>
    </w:p>
    <w:p w14:paraId="42A9FCF6" w14:textId="77777777" w:rsidR="00C94BD4" w:rsidRDefault="0056446F" w:rsidP="00C94BD4">
      <w:pPr>
        <w:pStyle w:val="NormalWeb"/>
        <w:numPr>
          <w:ilvl w:val="0"/>
          <w:numId w:val="40"/>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Prometer, oferecer ou dar, direta ou indiretamente, vantagem indevida a agente público, ou a terceiros a ele relacionados.</w:t>
      </w:r>
    </w:p>
    <w:p w14:paraId="60F1323A" w14:textId="0E5A3DAA" w:rsidR="0056446F" w:rsidRPr="00C94BD4" w:rsidRDefault="0056446F" w:rsidP="00C94BD4">
      <w:pPr>
        <w:pStyle w:val="NormalWeb"/>
        <w:numPr>
          <w:ilvl w:val="0"/>
          <w:numId w:val="40"/>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Cumprir o disposto neste código, sobre a adoção de boas práticas de integridade, em contratos e acordos celebrados pelo Hospital Federal de Ipanema.</w:t>
      </w:r>
    </w:p>
    <w:p w14:paraId="2020CF49"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5BCF2CC"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pacing w:val="-6"/>
          <w:sz w:val="22"/>
          <w:szCs w:val="22"/>
        </w:rPr>
        <w:t>8. DISCRIMINAÇÃO E ASSÉDIO</w:t>
      </w:r>
    </w:p>
    <w:p w14:paraId="470D0F72" w14:textId="2D3FE309" w:rsidR="00C94BD4" w:rsidRDefault="0056446F" w:rsidP="00C94BD4">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8.1 O assédio moral e sexual e todas as formas de discriminação constituem violação de direitos humanos e ameaçam a igualdade de oportunidades de trabalho, em especial para mulheres, pessoas negras, pessoas com deficiência e pessoas LGBTQIAP+. E</w:t>
      </w:r>
      <w:r w:rsidR="00C94BD4">
        <w:rPr>
          <w:rFonts w:ascii="Calibri" w:hAnsi="Calibri"/>
          <w:color w:val="000000"/>
          <w:sz w:val="22"/>
          <w:szCs w:val="22"/>
        </w:rPr>
        <w:t>n</w:t>
      </w:r>
      <w:r w:rsidRPr="0056446F">
        <w:rPr>
          <w:rFonts w:ascii="Calibri" w:hAnsi="Calibri"/>
          <w:color w:val="000000"/>
          <w:sz w:val="22"/>
          <w:szCs w:val="22"/>
        </w:rPr>
        <w:t>contra-se descrito no Guia Lilás CGU, instituído pela Portaria Normativa SE/CGU n° 58 de 2023. É importante que todos os colaboradores</w:t>
      </w:r>
      <w:r w:rsidR="00C94BD4">
        <w:rPr>
          <w:rFonts w:ascii="Calibri" w:hAnsi="Calibri"/>
          <w:color w:val="000000"/>
          <w:sz w:val="22"/>
          <w:szCs w:val="22"/>
        </w:rPr>
        <w:t xml:space="preserve"> </w:t>
      </w:r>
      <w:r w:rsidRPr="0056446F">
        <w:rPr>
          <w:rFonts w:ascii="Calibri" w:hAnsi="Calibri"/>
          <w:color w:val="000000"/>
          <w:sz w:val="22"/>
          <w:szCs w:val="22"/>
        </w:rPr>
        <w:t>dos fornecedores trabalhem em um ambiente seguro e respeitoso, onde a igualdade, a imparcialidade e</w:t>
      </w:r>
      <w:r w:rsidR="00C94BD4">
        <w:rPr>
          <w:rFonts w:ascii="Calibri" w:hAnsi="Calibri"/>
          <w:color w:val="000000"/>
          <w:sz w:val="22"/>
          <w:szCs w:val="22"/>
        </w:rPr>
        <w:t xml:space="preserve"> a dignidade sejam valorizadas.</w:t>
      </w:r>
    </w:p>
    <w:p w14:paraId="141B001C" w14:textId="77777777" w:rsidR="00C94BD4" w:rsidRDefault="0056446F" w:rsidP="00C94BD4">
      <w:pPr>
        <w:pStyle w:val="NormalWeb"/>
        <w:numPr>
          <w:ilvl w:val="0"/>
          <w:numId w:val="41"/>
        </w:numPr>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xml:space="preserve">Promover ações de sensibilização de seus colaboradores sobre a temática combate à discriminação no trabalho (sexo, raça, cor, deficiência, orientação sexual, </w:t>
      </w:r>
      <w:proofErr w:type="spellStart"/>
      <w:r w:rsidRPr="0056446F">
        <w:rPr>
          <w:rFonts w:ascii="Calibri" w:hAnsi="Calibri"/>
          <w:color w:val="000000"/>
          <w:sz w:val="22"/>
          <w:szCs w:val="22"/>
        </w:rPr>
        <w:t>etarismo</w:t>
      </w:r>
      <w:proofErr w:type="spellEnd"/>
      <w:r w:rsidRPr="0056446F">
        <w:rPr>
          <w:rFonts w:ascii="Calibri" w:hAnsi="Calibri"/>
          <w:color w:val="000000"/>
          <w:sz w:val="22"/>
          <w:szCs w:val="22"/>
        </w:rPr>
        <w:t>,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0A99E1CF" w14:textId="61BACB41" w:rsidR="0056446F" w:rsidRPr="00C94BD4" w:rsidRDefault="0056446F" w:rsidP="00C94BD4">
      <w:pPr>
        <w:pStyle w:val="NormalWeb"/>
        <w:numPr>
          <w:ilvl w:val="0"/>
          <w:numId w:val="41"/>
        </w:numPr>
        <w:spacing w:before="0" w:beforeAutospacing="0" w:after="0" w:afterAutospacing="0" w:line="360" w:lineRule="auto"/>
        <w:jc w:val="both"/>
        <w:rPr>
          <w:rFonts w:ascii="Calibri" w:hAnsi="Calibri"/>
          <w:color w:val="000000"/>
          <w:sz w:val="22"/>
          <w:szCs w:val="22"/>
        </w:rPr>
      </w:pPr>
      <w:r w:rsidRPr="00C94BD4">
        <w:rPr>
          <w:rFonts w:ascii="Calibri" w:hAnsi="Calibri"/>
          <w:color w:val="000000"/>
          <w:sz w:val="22"/>
          <w:szCs w:val="22"/>
        </w:rPr>
        <w:t>Relatos de assédio deverão ser</w:t>
      </w:r>
      <w:r w:rsidR="00C94BD4">
        <w:rPr>
          <w:rFonts w:ascii="Calibri" w:hAnsi="Calibri"/>
          <w:color w:val="000000"/>
          <w:sz w:val="22"/>
          <w:szCs w:val="22"/>
        </w:rPr>
        <w:t xml:space="preserve"> </w:t>
      </w:r>
      <w:r w:rsidRPr="00C94BD4">
        <w:rPr>
          <w:rFonts w:ascii="Calibri" w:hAnsi="Calibri"/>
          <w:color w:val="000000"/>
          <w:sz w:val="22"/>
          <w:szCs w:val="22"/>
        </w:rPr>
        <w:t>investigados de forma confidencial e prontamente.</w:t>
      </w:r>
      <w:r w:rsidR="00C94BD4">
        <w:rPr>
          <w:rFonts w:ascii="Calibri" w:hAnsi="Calibri"/>
          <w:color w:val="000000"/>
          <w:sz w:val="22"/>
          <w:szCs w:val="22"/>
        </w:rPr>
        <w:t xml:space="preserve"> </w:t>
      </w:r>
      <w:r w:rsidRPr="00C94BD4">
        <w:rPr>
          <w:rFonts w:ascii="Calibri" w:hAnsi="Calibri"/>
          <w:color w:val="000000"/>
          <w:sz w:val="22"/>
          <w:szCs w:val="22"/>
        </w:rPr>
        <w:t>As identidades de denunciantes e testemunhas devem ser protegidas</w:t>
      </w:r>
      <w:r w:rsidR="00C94BD4">
        <w:rPr>
          <w:rFonts w:ascii="Calibri" w:hAnsi="Calibri"/>
          <w:color w:val="000000"/>
          <w:sz w:val="22"/>
          <w:szCs w:val="22"/>
        </w:rPr>
        <w:t xml:space="preserve"> </w:t>
      </w:r>
      <w:r w:rsidRPr="00C94BD4">
        <w:rPr>
          <w:rFonts w:ascii="Calibri" w:hAnsi="Calibri"/>
          <w:color w:val="000000"/>
          <w:sz w:val="22"/>
          <w:szCs w:val="22"/>
        </w:rPr>
        <w:t>conforme a Lei 12.527/2011(</w:t>
      </w:r>
      <w:proofErr w:type="gramStart"/>
      <w:r w:rsidRPr="00C94BD4">
        <w:rPr>
          <w:rFonts w:ascii="Calibri" w:hAnsi="Calibri"/>
          <w:color w:val="000000"/>
          <w:sz w:val="22"/>
          <w:szCs w:val="22"/>
        </w:rPr>
        <w:t>LAI )</w:t>
      </w:r>
      <w:proofErr w:type="gramEnd"/>
      <w:r w:rsidRPr="00C94BD4">
        <w:rPr>
          <w:rFonts w:ascii="Calibri" w:hAnsi="Calibri"/>
          <w:color w:val="000000"/>
          <w:sz w:val="22"/>
          <w:szCs w:val="22"/>
        </w:rPr>
        <w:t xml:space="preserve">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4C788BC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797395E"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00000"/>
          <w:sz w:val="22"/>
          <w:szCs w:val="22"/>
        </w:rPr>
        <w:t>9. </w:t>
      </w:r>
      <w:r w:rsidRPr="0056446F">
        <w:rPr>
          <w:rFonts w:ascii="Calibri" w:hAnsi="Calibri"/>
          <w:b/>
          <w:bCs/>
          <w:color w:val="000000"/>
          <w:spacing w:val="-8"/>
          <w:sz w:val="22"/>
          <w:szCs w:val="22"/>
        </w:rPr>
        <w:t>CONDIÇÕES DE TRABALHO SEGURO</w:t>
      </w:r>
    </w:p>
    <w:p w14:paraId="0F80B074"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231F20"/>
          <w:sz w:val="22"/>
          <w:szCs w:val="22"/>
        </w:rPr>
        <w:lastRenderedPageBreak/>
        <w:t>9.1 Deverão </w:t>
      </w:r>
      <w:r w:rsidRPr="0056446F">
        <w:rPr>
          <w:rFonts w:ascii="Calibri" w:hAnsi="Calibri"/>
          <w:color w:val="000000"/>
          <w:sz w:val="22"/>
          <w:szCs w:val="22"/>
        </w:rPr>
        <w:t>adotar medidas e ações para mitigar, corrigir, prevenir ou compensar danos/impactos relacionados à saúde e segurança de seus funcionários em decorrência das atividades da empresa.</w:t>
      </w:r>
    </w:p>
    <w:p w14:paraId="56FE1BC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D7D29C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231F20"/>
          <w:sz w:val="22"/>
          <w:szCs w:val="22"/>
        </w:rPr>
        <w:t>O HFI RESERVA-SE O DIREITO DE VERIFICAR O CUMPRIMENTO DESSAS NORMAS E O GERENCIAMENTO DE RISCOS DE SAÚDE E SEGURANÇA POR PARTE DE SEUS FORNECEDORES.</w:t>
      </w:r>
    </w:p>
    <w:p w14:paraId="75B90B90"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56FD83C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0F243E"/>
          <w:spacing w:val="-2"/>
          <w:sz w:val="22"/>
          <w:szCs w:val="22"/>
        </w:rPr>
        <w:t>10. OUVIDORIA</w:t>
      </w:r>
    </w:p>
    <w:p w14:paraId="56B55BD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231F20"/>
          <w:sz w:val="22"/>
          <w:szCs w:val="22"/>
        </w:rPr>
        <w:t xml:space="preserve">10.1 As denúncias devem ocorrer quando uma pessoa </w:t>
      </w:r>
      <w:proofErr w:type="spellStart"/>
      <w:r w:rsidRPr="0056446F">
        <w:rPr>
          <w:rFonts w:ascii="Calibri" w:hAnsi="Calibri"/>
          <w:color w:val="231F20"/>
          <w:sz w:val="22"/>
          <w:szCs w:val="22"/>
        </w:rPr>
        <w:t>tiverc</w:t>
      </w:r>
      <w:proofErr w:type="spellEnd"/>
      <w:r w:rsidRPr="0056446F">
        <w:rPr>
          <w:rFonts w:ascii="Calibri" w:hAnsi="Calibri"/>
          <w:color w:val="231F20"/>
          <w:sz w:val="22"/>
          <w:szCs w:val="22"/>
        </w:rPr>
        <w:t xml:space="preserve"> </w:t>
      </w:r>
      <w:proofErr w:type="spellStart"/>
      <w:r w:rsidRPr="0056446F">
        <w:rPr>
          <w:rFonts w:ascii="Calibri" w:hAnsi="Calibri"/>
          <w:color w:val="231F20"/>
          <w:sz w:val="22"/>
          <w:szCs w:val="22"/>
        </w:rPr>
        <w:t>onhecimento</w:t>
      </w:r>
      <w:proofErr w:type="spellEnd"/>
      <w:r w:rsidRPr="0056446F">
        <w:rPr>
          <w:rFonts w:ascii="Calibri" w:hAnsi="Calibri"/>
          <w:color w:val="231F20"/>
          <w:sz w:val="22"/>
          <w:szCs w:val="22"/>
        </w:rPr>
        <w:t xml:space="preserve"> de dados e fatos concretos que estejam beneficiando alguém, em prejuízo de outros, ou de comportamentos que não se enquadrem em algumas das hipóteses vedadas por este documento.</w:t>
      </w:r>
    </w:p>
    <w:p w14:paraId="0691D65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proofErr w:type="gramStart"/>
      <w:r w:rsidRPr="0056446F">
        <w:rPr>
          <w:rFonts w:ascii="Calibri" w:hAnsi="Calibri"/>
          <w:color w:val="000000"/>
          <w:sz w:val="22"/>
          <w:szCs w:val="22"/>
        </w:rPr>
        <w:t>10.2 As</w:t>
      </w:r>
      <w:proofErr w:type="gramEnd"/>
      <w:r w:rsidRPr="0056446F">
        <w:rPr>
          <w:rFonts w:ascii="Calibri" w:hAnsi="Calibri"/>
          <w:color w:val="000000"/>
          <w:sz w:val="22"/>
          <w:szCs w:val="22"/>
        </w:rPr>
        <w:t xml:space="preserve"> formas de atendimento que os cidadãos podem utilizar para acesso à Ouvidoria do HFI são: presencial, carta, telefone, e-mail e por meio da plataforma fala.BR.</w:t>
      </w:r>
    </w:p>
    <w:p w14:paraId="23D8DC7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10.3 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518F7E2D"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Telefone: (21) 3111-2368</w:t>
      </w:r>
    </w:p>
    <w:p w14:paraId="08E86B3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Endereço: Rua Antônio Parreiras n.º 67/69, 3º andar, Unidade de Pacientes Internos (UPI), Ipanema. CEP: 22411-020 – Rio de Janeiro/RJ.</w:t>
      </w:r>
    </w:p>
    <w:p w14:paraId="5766529B"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E-mail: ouvidoriahi@hgi.rj.saude.gov.br</w:t>
      </w:r>
    </w:p>
    <w:p w14:paraId="0B7BE98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Fala.BR link: </w:t>
      </w:r>
      <w:hyperlink r:id="rId25" w:tgtFrame="_blank" w:history="1">
        <w:r w:rsidRPr="0056446F">
          <w:rPr>
            <w:rStyle w:val="Hyperlink"/>
            <w:rFonts w:ascii="Calibri" w:hAnsi="Calibri"/>
            <w:sz w:val="22"/>
            <w:szCs w:val="22"/>
          </w:rPr>
          <w:t>https://falabr.cgu.gov.br/web/home</w:t>
        </w:r>
      </w:hyperlink>
    </w:p>
    <w:p w14:paraId="2BBB15D2"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4340E617"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b/>
          <w:bCs/>
          <w:color w:val="231F20"/>
          <w:sz w:val="22"/>
          <w:szCs w:val="22"/>
        </w:rPr>
        <w:t>O HFI SE RESERVA O DIREITO DE MODIFICAR, SUSPENDER OU REVOGAR ESTE MANUAL A QUALQUER MOMENTO, SEM AVISO PRÉVIO AO FORNECEDOR.</w:t>
      </w:r>
    </w:p>
    <w:p w14:paraId="2BC7E12A"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2E15D5CF" w14:textId="77777777" w:rsidR="0056446F" w:rsidRPr="0056446F" w:rsidRDefault="0056446F" w:rsidP="0056446F">
      <w:pPr>
        <w:pStyle w:val="NormalWeb"/>
        <w:spacing w:before="0" w:beforeAutospacing="0" w:after="0" w:afterAutospacing="0" w:line="360" w:lineRule="auto"/>
        <w:jc w:val="both"/>
        <w:rPr>
          <w:rFonts w:ascii="Calibri" w:hAnsi="Calibri"/>
          <w:color w:val="000000"/>
          <w:sz w:val="22"/>
          <w:szCs w:val="22"/>
        </w:rPr>
      </w:pPr>
      <w:r w:rsidRPr="0056446F">
        <w:rPr>
          <w:rFonts w:ascii="Calibri" w:hAnsi="Calibri"/>
          <w:color w:val="000000"/>
          <w:sz w:val="22"/>
          <w:szCs w:val="22"/>
        </w:rPr>
        <w:t> </w:t>
      </w:r>
    </w:p>
    <w:p w14:paraId="6A70F227" w14:textId="77777777" w:rsidR="00010629" w:rsidRPr="0056446F" w:rsidRDefault="00010629" w:rsidP="0056446F">
      <w:pPr>
        <w:spacing w:after="0" w:line="360" w:lineRule="auto"/>
        <w:jc w:val="both"/>
        <w:rPr>
          <w:rFonts w:ascii="Calibri" w:hAnsi="Calibri"/>
        </w:rPr>
      </w:pPr>
    </w:p>
    <w:sectPr w:rsidR="00010629" w:rsidRPr="0056446F" w:rsidSect="00B47939">
      <w:headerReference w:type="default" r:id="rId26"/>
      <w:footerReference w:type="default" r:id="rId27"/>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56446F" w:rsidRDefault="0056446F" w:rsidP="004517A6">
      <w:pPr>
        <w:spacing w:after="0" w:line="240" w:lineRule="auto"/>
      </w:pPr>
      <w:r>
        <w:separator/>
      </w:r>
    </w:p>
  </w:endnote>
  <w:endnote w:type="continuationSeparator" w:id="0">
    <w:p w14:paraId="3EBBF27B" w14:textId="77777777" w:rsidR="0056446F" w:rsidRDefault="0056446F"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7B386764" w:rsidR="0056446F" w:rsidRPr="00244403" w:rsidRDefault="0056446F"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532EEA">
          <w:rPr>
            <w:rFonts w:ascii="Arial" w:hAnsi="Arial" w:cs="Arial"/>
            <w:b/>
            <w:bCs/>
            <w:noProof/>
            <w:sz w:val="14"/>
            <w:szCs w:val="14"/>
          </w:rPr>
          <w:t>52</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532EEA">
          <w:rPr>
            <w:rFonts w:ascii="Arial" w:hAnsi="Arial" w:cs="Arial"/>
            <w:b/>
            <w:bCs/>
            <w:noProof/>
            <w:sz w:val="14"/>
            <w:szCs w:val="14"/>
          </w:rPr>
          <w:t>71</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56446F" w:rsidRDefault="0056446F" w:rsidP="00011FFC">
        <w:pPr>
          <w:pStyle w:val="Rodap"/>
          <w:rPr>
            <w:rFonts w:ascii="Arial" w:hAnsi="Arial" w:cs="Arial"/>
            <w:sz w:val="14"/>
            <w:szCs w:val="14"/>
          </w:rPr>
        </w:pPr>
        <w:bookmarkStart w:id="35" w:name="_Hlk135299665"/>
        <w:r>
          <w:rPr>
            <w:rFonts w:ascii="Arial" w:hAnsi="Arial" w:cs="Arial"/>
            <w:sz w:val="14"/>
            <w:szCs w:val="14"/>
          </w:rPr>
          <w:t>Atualização: maio/2023</w:t>
        </w:r>
      </w:p>
      <w:bookmarkEnd w:id="35"/>
      <w:p w14:paraId="5CD1A905" w14:textId="77777777" w:rsidR="0056446F" w:rsidRDefault="0056446F" w:rsidP="00011FFC">
        <w:pPr>
          <w:pStyle w:val="Rodap"/>
          <w:rPr>
            <w:rFonts w:ascii="Arial" w:hAnsi="Arial" w:cs="Arial"/>
            <w:sz w:val="14"/>
            <w:szCs w:val="14"/>
          </w:rPr>
        </w:pPr>
        <w:r>
          <w:rPr>
            <w:rFonts w:ascii="Arial" w:hAnsi="Arial" w:cs="Arial"/>
            <w:sz w:val="14"/>
            <w:szCs w:val="14"/>
          </w:rPr>
          <w:t xml:space="preserve">Edital modelo para Pregão Eletrônico </w:t>
        </w:r>
        <w:bookmarkStart w:id="36" w:name="_Hlk135299681"/>
        <w:r>
          <w:rPr>
            <w:rFonts w:ascii="Arial" w:hAnsi="Arial" w:cs="Arial"/>
            <w:sz w:val="14"/>
            <w:szCs w:val="14"/>
          </w:rPr>
          <w:t>- Lei nº 14.133, de 2021.</w:t>
        </w:r>
        <w:bookmarkEnd w:id="36"/>
      </w:p>
      <w:p w14:paraId="724E0AA4" w14:textId="77777777" w:rsidR="0056446F" w:rsidRDefault="0056446F" w:rsidP="00011FFC">
        <w:pPr>
          <w:pStyle w:val="Rodap"/>
          <w:rPr>
            <w:rFonts w:ascii="Arial" w:hAnsi="Arial" w:cs="Arial"/>
            <w:sz w:val="14"/>
            <w:szCs w:val="14"/>
          </w:rPr>
        </w:pPr>
        <w:bookmarkStart w:id="37" w:name="_Hlk135299703"/>
        <w:r>
          <w:rPr>
            <w:rFonts w:ascii="Arial" w:hAnsi="Arial" w:cs="Arial"/>
            <w:sz w:val="14"/>
            <w:szCs w:val="14"/>
          </w:rPr>
          <w:t>Aprovado pela Secretaria de Gestão e Inovação.</w:t>
        </w:r>
      </w:p>
      <w:p w14:paraId="5F4C27C0" w14:textId="6E92F98F" w:rsidR="0056446F" w:rsidRPr="00244403" w:rsidRDefault="0056446F"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37"/>
        <w:r>
          <w:rPr>
            <w:rFonts w:ascii="Arial" w:hAnsi="Arial" w:cs="Arial"/>
            <w:sz w:val="14"/>
            <w:szCs w:val="14"/>
          </w:rPr>
          <w:t xml:space="preserve">       </w:t>
        </w:r>
      </w:p>
      <w:p w14:paraId="6DF5F398" w14:textId="2AD16BE6" w:rsidR="0056446F" w:rsidRPr="00244403" w:rsidRDefault="00532EEA" w:rsidP="009F14FC">
        <w:pPr>
          <w:pStyle w:val="Rodap"/>
          <w:rPr>
            <w:rFonts w:ascii="Arial" w:hAnsi="Arial" w:cs="Arial"/>
            <w:sz w:val="14"/>
            <w:szCs w:val="14"/>
          </w:rPr>
        </w:pPr>
      </w:p>
    </w:sdtContent>
  </w:sdt>
  <w:p w14:paraId="0D67B735" w14:textId="4446A298" w:rsidR="0056446F" w:rsidRDefault="0056446F">
    <w:pPr>
      <w:pStyle w:val="Rodap"/>
    </w:pPr>
  </w:p>
  <w:p w14:paraId="49A3DA8C" w14:textId="77777777" w:rsidR="0056446F" w:rsidRDefault="0056446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56446F" w:rsidRDefault="0056446F" w:rsidP="004517A6">
      <w:pPr>
        <w:spacing w:after="0" w:line="240" w:lineRule="auto"/>
      </w:pPr>
      <w:r>
        <w:separator/>
      </w:r>
    </w:p>
  </w:footnote>
  <w:footnote w:type="continuationSeparator" w:id="0">
    <w:p w14:paraId="3EA0AD64" w14:textId="77777777" w:rsidR="0056446F" w:rsidRDefault="0056446F"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56446F" w:rsidRDefault="0056446F"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56446F" w:rsidRDefault="0056446F" w:rsidP="004517A6">
    <w:pPr>
      <w:pStyle w:val="Cabealho"/>
      <w:jc w:val="center"/>
      <w:rPr>
        <w:rFonts w:ascii="Times New Roman" w:hAnsi="Times New Roman" w:cs="Times New Roman"/>
        <w:lang w:eastAsia="ar-SA"/>
      </w:rPr>
    </w:pPr>
  </w:p>
  <w:p w14:paraId="22BFF2C8" w14:textId="77777777" w:rsidR="0056446F" w:rsidRDefault="0056446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FA0"/>
    <w:multiLevelType w:val="hybridMultilevel"/>
    <w:tmpl w:val="516C0E4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4624C2"/>
    <w:multiLevelType w:val="multilevel"/>
    <w:tmpl w:val="D59090B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50C3A09"/>
    <w:multiLevelType w:val="hybridMultilevel"/>
    <w:tmpl w:val="41BE917E"/>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08085659"/>
    <w:multiLevelType w:val="hybridMultilevel"/>
    <w:tmpl w:val="0092274C"/>
    <w:lvl w:ilvl="0" w:tplc="FDA8A066">
      <w:start w:val="1"/>
      <w:numFmt w:val="bullet"/>
      <w:lvlText w:val=""/>
      <w:lvlJc w:val="left"/>
      <w:pPr>
        <w:ind w:left="823" w:hanging="360"/>
      </w:pPr>
      <w:rPr>
        <w:rFonts w:ascii="Wingdings" w:hAnsi="Wingdings" w:hint="default"/>
        <w:color w:val="auto"/>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4" w15:restartNumberingAfterBreak="0">
    <w:nsid w:val="0BDC2785"/>
    <w:multiLevelType w:val="multilevel"/>
    <w:tmpl w:val="B4DCD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C204E3"/>
    <w:multiLevelType w:val="hybridMultilevel"/>
    <w:tmpl w:val="76AC31B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DE1CBE"/>
    <w:multiLevelType w:val="multilevel"/>
    <w:tmpl w:val="A332446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137773F4"/>
    <w:multiLevelType w:val="hybridMultilevel"/>
    <w:tmpl w:val="33F4A71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3902DC8"/>
    <w:multiLevelType w:val="multilevel"/>
    <w:tmpl w:val="2FF2D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364DFA"/>
    <w:multiLevelType w:val="hybridMultilevel"/>
    <w:tmpl w:val="80167258"/>
    <w:lvl w:ilvl="0" w:tplc="0416000B">
      <w:start w:val="1"/>
      <w:numFmt w:val="bullet"/>
      <w:lvlText w:val=""/>
      <w:lvlJc w:val="left"/>
      <w:pPr>
        <w:ind w:left="823" w:hanging="360"/>
      </w:pPr>
      <w:rPr>
        <w:rFonts w:ascii="Wingdings" w:hAnsi="Wingdings" w:hint="default"/>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11" w15:restartNumberingAfterBreak="0">
    <w:nsid w:val="208F516E"/>
    <w:multiLevelType w:val="multilevel"/>
    <w:tmpl w:val="740ED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1BF44CB"/>
    <w:multiLevelType w:val="multilevel"/>
    <w:tmpl w:val="DE20F1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F95189"/>
    <w:multiLevelType w:val="multilevel"/>
    <w:tmpl w:val="70FA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8F3772"/>
    <w:multiLevelType w:val="hybridMultilevel"/>
    <w:tmpl w:val="E6FABCFE"/>
    <w:lvl w:ilvl="0" w:tplc="0416000B">
      <w:start w:val="1"/>
      <w:numFmt w:val="bullet"/>
      <w:lvlText w:val=""/>
      <w:lvlJc w:val="left"/>
      <w:pPr>
        <w:ind w:left="934" w:hanging="360"/>
      </w:pPr>
      <w:rPr>
        <w:rFonts w:ascii="Wingdings" w:hAnsi="Wingdings" w:hint="default"/>
      </w:rPr>
    </w:lvl>
    <w:lvl w:ilvl="1" w:tplc="04160003" w:tentative="1">
      <w:start w:val="1"/>
      <w:numFmt w:val="bullet"/>
      <w:lvlText w:val="o"/>
      <w:lvlJc w:val="left"/>
      <w:pPr>
        <w:ind w:left="1654" w:hanging="360"/>
      </w:pPr>
      <w:rPr>
        <w:rFonts w:ascii="Courier New" w:hAnsi="Courier New" w:cs="Courier New" w:hint="default"/>
      </w:rPr>
    </w:lvl>
    <w:lvl w:ilvl="2" w:tplc="04160005" w:tentative="1">
      <w:start w:val="1"/>
      <w:numFmt w:val="bullet"/>
      <w:lvlText w:val=""/>
      <w:lvlJc w:val="left"/>
      <w:pPr>
        <w:ind w:left="2374" w:hanging="360"/>
      </w:pPr>
      <w:rPr>
        <w:rFonts w:ascii="Wingdings" w:hAnsi="Wingdings" w:hint="default"/>
      </w:rPr>
    </w:lvl>
    <w:lvl w:ilvl="3" w:tplc="04160001" w:tentative="1">
      <w:start w:val="1"/>
      <w:numFmt w:val="bullet"/>
      <w:lvlText w:val=""/>
      <w:lvlJc w:val="left"/>
      <w:pPr>
        <w:ind w:left="3094" w:hanging="360"/>
      </w:pPr>
      <w:rPr>
        <w:rFonts w:ascii="Symbol" w:hAnsi="Symbol" w:hint="default"/>
      </w:rPr>
    </w:lvl>
    <w:lvl w:ilvl="4" w:tplc="04160003" w:tentative="1">
      <w:start w:val="1"/>
      <w:numFmt w:val="bullet"/>
      <w:lvlText w:val="o"/>
      <w:lvlJc w:val="left"/>
      <w:pPr>
        <w:ind w:left="3814" w:hanging="360"/>
      </w:pPr>
      <w:rPr>
        <w:rFonts w:ascii="Courier New" w:hAnsi="Courier New" w:cs="Courier New" w:hint="default"/>
      </w:rPr>
    </w:lvl>
    <w:lvl w:ilvl="5" w:tplc="04160005" w:tentative="1">
      <w:start w:val="1"/>
      <w:numFmt w:val="bullet"/>
      <w:lvlText w:val=""/>
      <w:lvlJc w:val="left"/>
      <w:pPr>
        <w:ind w:left="4534" w:hanging="360"/>
      </w:pPr>
      <w:rPr>
        <w:rFonts w:ascii="Wingdings" w:hAnsi="Wingdings" w:hint="default"/>
      </w:rPr>
    </w:lvl>
    <w:lvl w:ilvl="6" w:tplc="04160001" w:tentative="1">
      <w:start w:val="1"/>
      <w:numFmt w:val="bullet"/>
      <w:lvlText w:val=""/>
      <w:lvlJc w:val="left"/>
      <w:pPr>
        <w:ind w:left="5254" w:hanging="360"/>
      </w:pPr>
      <w:rPr>
        <w:rFonts w:ascii="Symbol" w:hAnsi="Symbol" w:hint="default"/>
      </w:rPr>
    </w:lvl>
    <w:lvl w:ilvl="7" w:tplc="04160003" w:tentative="1">
      <w:start w:val="1"/>
      <w:numFmt w:val="bullet"/>
      <w:lvlText w:val="o"/>
      <w:lvlJc w:val="left"/>
      <w:pPr>
        <w:ind w:left="5974" w:hanging="360"/>
      </w:pPr>
      <w:rPr>
        <w:rFonts w:ascii="Courier New" w:hAnsi="Courier New" w:cs="Courier New" w:hint="default"/>
      </w:rPr>
    </w:lvl>
    <w:lvl w:ilvl="8" w:tplc="04160005" w:tentative="1">
      <w:start w:val="1"/>
      <w:numFmt w:val="bullet"/>
      <w:lvlText w:val=""/>
      <w:lvlJc w:val="left"/>
      <w:pPr>
        <w:ind w:left="6694" w:hanging="360"/>
      </w:pPr>
      <w:rPr>
        <w:rFonts w:ascii="Wingdings" w:hAnsi="Wingdings" w:hint="default"/>
      </w:rPr>
    </w:lvl>
  </w:abstractNum>
  <w:abstractNum w:abstractNumId="17"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941C99"/>
    <w:multiLevelType w:val="multilevel"/>
    <w:tmpl w:val="C0BA40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36F16A43"/>
    <w:multiLevelType w:val="multilevel"/>
    <w:tmpl w:val="A32C37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E503101"/>
    <w:multiLevelType w:val="multilevel"/>
    <w:tmpl w:val="7F2A16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F630987"/>
    <w:multiLevelType w:val="hybridMultilevel"/>
    <w:tmpl w:val="5DAC041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4886338"/>
    <w:multiLevelType w:val="multilevel"/>
    <w:tmpl w:val="649E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945D0D"/>
    <w:multiLevelType w:val="hybridMultilevel"/>
    <w:tmpl w:val="92E00A90"/>
    <w:lvl w:ilvl="0" w:tplc="B422FB0E">
      <w:start w:val="1"/>
      <w:numFmt w:val="bullet"/>
      <w:lvlText w:val=""/>
      <w:lvlJc w:val="left"/>
      <w:pPr>
        <w:ind w:left="823" w:hanging="360"/>
      </w:pPr>
      <w:rPr>
        <w:rFonts w:ascii="Wingdings" w:hAnsi="Wingdings" w:hint="default"/>
        <w:color w:val="auto"/>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26"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8" w15:restartNumberingAfterBreak="0">
    <w:nsid w:val="4E1B2524"/>
    <w:multiLevelType w:val="multilevel"/>
    <w:tmpl w:val="13900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3DF6184"/>
    <w:multiLevelType w:val="hybridMultilevel"/>
    <w:tmpl w:val="AF249D3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931D0E"/>
    <w:multiLevelType w:val="hybridMultilevel"/>
    <w:tmpl w:val="A8E6F61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17A54BA"/>
    <w:multiLevelType w:val="multilevel"/>
    <w:tmpl w:val="522026E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4"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64E05DE"/>
    <w:multiLevelType w:val="hybridMultilevel"/>
    <w:tmpl w:val="C11CFA7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225429"/>
    <w:multiLevelType w:val="hybridMultilevel"/>
    <w:tmpl w:val="9690AFEC"/>
    <w:lvl w:ilvl="0" w:tplc="0416000B">
      <w:start w:val="1"/>
      <w:numFmt w:val="bullet"/>
      <w:lvlText w:val=""/>
      <w:lvlJc w:val="left"/>
      <w:pPr>
        <w:ind w:left="823" w:hanging="360"/>
      </w:pPr>
      <w:rPr>
        <w:rFonts w:ascii="Wingdings" w:hAnsi="Wingdings" w:hint="default"/>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39"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D72FFD"/>
    <w:multiLevelType w:val="hybridMultilevel"/>
    <w:tmpl w:val="E8D86DA2"/>
    <w:lvl w:ilvl="0" w:tplc="88908982">
      <w:start w:val="1"/>
      <w:numFmt w:val="decimal"/>
      <w:lvlText w:val="%1."/>
      <w:lvlJc w:val="left"/>
      <w:pPr>
        <w:ind w:left="376" w:hanging="360"/>
      </w:pPr>
      <w:rPr>
        <w:rFonts w:hint="default"/>
      </w:rPr>
    </w:lvl>
    <w:lvl w:ilvl="1" w:tplc="04160019" w:tentative="1">
      <w:start w:val="1"/>
      <w:numFmt w:val="lowerLetter"/>
      <w:lvlText w:val="%2."/>
      <w:lvlJc w:val="left"/>
      <w:pPr>
        <w:ind w:left="1096" w:hanging="360"/>
      </w:pPr>
    </w:lvl>
    <w:lvl w:ilvl="2" w:tplc="0416001B" w:tentative="1">
      <w:start w:val="1"/>
      <w:numFmt w:val="lowerRoman"/>
      <w:lvlText w:val="%3."/>
      <w:lvlJc w:val="right"/>
      <w:pPr>
        <w:ind w:left="1816" w:hanging="180"/>
      </w:pPr>
    </w:lvl>
    <w:lvl w:ilvl="3" w:tplc="0416000F" w:tentative="1">
      <w:start w:val="1"/>
      <w:numFmt w:val="decimal"/>
      <w:lvlText w:val="%4."/>
      <w:lvlJc w:val="left"/>
      <w:pPr>
        <w:ind w:left="2536" w:hanging="360"/>
      </w:pPr>
    </w:lvl>
    <w:lvl w:ilvl="4" w:tplc="04160019" w:tentative="1">
      <w:start w:val="1"/>
      <w:numFmt w:val="lowerLetter"/>
      <w:lvlText w:val="%5."/>
      <w:lvlJc w:val="left"/>
      <w:pPr>
        <w:ind w:left="3256" w:hanging="360"/>
      </w:pPr>
    </w:lvl>
    <w:lvl w:ilvl="5" w:tplc="0416001B" w:tentative="1">
      <w:start w:val="1"/>
      <w:numFmt w:val="lowerRoman"/>
      <w:lvlText w:val="%6."/>
      <w:lvlJc w:val="right"/>
      <w:pPr>
        <w:ind w:left="3976" w:hanging="180"/>
      </w:pPr>
    </w:lvl>
    <w:lvl w:ilvl="6" w:tplc="0416000F" w:tentative="1">
      <w:start w:val="1"/>
      <w:numFmt w:val="decimal"/>
      <w:lvlText w:val="%7."/>
      <w:lvlJc w:val="left"/>
      <w:pPr>
        <w:ind w:left="4696" w:hanging="360"/>
      </w:pPr>
    </w:lvl>
    <w:lvl w:ilvl="7" w:tplc="04160019" w:tentative="1">
      <w:start w:val="1"/>
      <w:numFmt w:val="lowerLetter"/>
      <w:lvlText w:val="%8."/>
      <w:lvlJc w:val="left"/>
      <w:pPr>
        <w:ind w:left="5416" w:hanging="360"/>
      </w:pPr>
    </w:lvl>
    <w:lvl w:ilvl="8" w:tplc="0416001B" w:tentative="1">
      <w:start w:val="1"/>
      <w:numFmt w:val="lowerRoman"/>
      <w:lvlText w:val="%9."/>
      <w:lvlJc w:val="right"/>
      <w:pPr>
        <w:ind w:left="6136" w:hanging="180"/>
      </w:pPr>
    </w:lvl>
  </w:abstractNum>
  <w:num w:numId="1">
    <w:abstractNumId w:val="13"/>
  </w:num>
  <w:num w:numId="2">
    <w:abstractNumId w:val="37"/>
  </w:num>
  <w:num w:numId="3">
    <w:abstractNumId w:val="31"/>
  </w:num>
  <w:num w:numId="4">
    <w:abstractNumId w:val="15"/>
  </w:num>
  <w:num w:numId="5">
    <w:abstractNumId w:val="17"/>
  </w:num>
  <w:num w:numId="6">
    <w:abstractNumId w:val="6"/>
  </w:num>
  <w:num w:numId="7">
    <w:abstractNumId w:val="39"/>
  </w:num>
  <w:num w:numId="8">
    <w:abstractNumId w:val="27"/>
  </w:num>
  <w:num w:numId="9">
    <w:abstractNumId w:val="24"/>
  </w:num>
  <w:num w:numId="10">
    <w:abstractNumId w:val="4"/>
  </w:num>
  <w:num w:numId="11">
    <w:abstractNumId w:val="28"/>
  </w:num>
  <w:num w:numId="12">
    <w:abstractNumId w:val="14"/>
  </w:num>
  <w:num w:numId="13">
    <w:abstractNumId w:val="7"/>
  </w:num>
  <w:num w:numId="14">
    <w:abstractNumId w:val="11"/>
  </w:num>
  <w:num w:numId="15">
    <w:abstractNumId w:val="1"/>
  </w:num>
  <w:num w:numId="16">
    <w:abstractNumId w:val="12"/>
  </w:num>
  <w:num w:numId="17">
    <w:abstractNumId w:val="9"/>
  </w:num>
  <w:num w:numId="18">
    <w:abstractNumId w:val="18"/>
  </w:num>
  <w:num w:numId="19">
    <w:abstractNumId w:val="21"/>
  </w:num>
  <w:num w:numId="20">
    <w:abstractNumId w:val="33"/>
  </w:num>
  <w:num w:numId="21">
    <w:abstractNumId w:val="19"/>
  </w:num>
  <w:num w:numId="22">
    <w:abstractNumId w:val="40"/>
  </w:num>
  <w:num w:numId="23">
    <w:abstractNumId w:val="16"/>
  </w:num>
  <w:num w:numId="24">
    <w:abstractNumId w:val="10"/>
  </w:num>
  <w:num w:numId="25">
    <w:abstractNumId w:val="3"/>
  </w:num>
  <w:num w:numId="26">
    <w:abstractNumId w:val="38"/>
  </w:num>
  <w:num w:numId="27">
    <w:abstractNumId w:val="30"/>
  </w:num>
  <w:num w:numId="28">
    <w:abstractNumId w:val="34"/>
  </w:num>
  <w:num w:numId="29">
    <w:abstractNumId w:val="26"/>
  </w:num>
  <w:num w:numId="30">
    <w:abstractNumId w:val="29"/>
  </w:num>
  <w:num w:numId="31">
    <w:abstractNumId w:val="36"/>
  </w:num>
  <w:num w:numId="32">
    <w:abstractNumId w:val="35"/>
  </w:num>
  <w:num w:numId="33">
    <w:abstractNumId w:val="23"/>
  </w:num>
  <w:num w:numId="34">
    <w:abstractNumId w:val="25"/>
  </w:num>
  <w:num w:numId="35">
    <w:abstractNumId w:val="20"/>
  </w:num>
  <w:num w:numId="36">
    <w:abstractNumId w:val="2"/>
  </w:num>
  <w:num w:numId="37">
    <w:abstractNumId w:val="32"/>
  </w:num>
  <w:num w:numId="38">
    <w:abstractNumId w:val="5"/>
  </w:num>
  <w:num w:numId="39">
    <w:abstractNumId w:val="22"/>
  </w:num>
  <w:num w:numId="40">
    <w:abstractNumId w:val="8"/>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D4B"/>
    <w:rsid w:val="00001FD1"/>
    <w:rsid w:val="00004EAE"/>
    <w:rsid w:val="00010629"/>
    <w:rsid w:val="00011FFC"/>
    <w:rsid w:val="00015361"/>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6001E"/>
    <w:rsid w:val="00066CE2"/>
    <w:rsid w:val="000754E5"/>
    <w:rsid w:val="00083ECE"/>
    <w:rsid w:val="00087640"/>
    <w:rsid w:val="00092274"/>
    <w:rsid w:val="00095A4C"/>
    <w:rsid w:val="00097CA8"/>
    <w:rsid w:val="000A1D38"/>
    <w:rsid w:val="000A356A"/>
    <w:rsid w:val="000A5577"/>
    <w:rsid w:val="000B4076"/>
    <w:rsid w:val="000C0208"/>
    <w:rsid w:val="000C1BC8"/>
    <w:rsid w:val="000C4858"/>
    <w:rsid w:val="000C5902"/>
    <w:rsid w:val="000D0A0F"/>
    <w:rsid w:val="000D4A9D"/>
    <w:rsid w:val="000F2EAB"/>
    <w:rsid w:val="000F5AD9"/>
    <w:rsid w:val="000F6A69"/>
    <w:rsid w:val="000F763D"/>
    <w:rsid w:val="00100C4A"/>
    <w:rsid w:val="0010737C"/>
    <w:rsid w:val="001113A7"/>
    <w:rsid w:val="001137D0"/>
    <w:rsid w:val="0011434A"/>
    <w:rsid w:val="00121231"/>
    <w:rsid w:val="001217BC"/>
    <w:rsid w:val="00123D71"/>
    <w:rsid w:val="001249F5"/>
    <w:rsid w:val="00126C20"/>
    <w:rsid w:val="00131A5D"/>
    <w:rsid w:val="00141278"/>
    <w:rsid w:val="001438A1"/>
    <w:rsid w:val="00146119"/>
    <w:rsid w:val="00155969"/>
    <w:rsid w:val="00160B0E"/>
    <w:rsid w:val="001665EE"/>
    <w:rsid w:val="00167E75"/>
    <w:rsid w:val="001711C3"/>
    <w:rsid w:val="00175B3E"/>
    <w:rsid w:val="00184D84"/>
    <w:rsid w:val="00187571"/>
    <w:rsid w:val="00192702"/>
    <w:rsid w:val="001A1610"/>
    <w:rsid w:val="001A35DA"/>
    <w:rsid w:val="001A43B0"/>
    <w:rsid w:val="001C137B"/>
    <w:rsid w:val="001C1F6B"/>
    <w:rsid w:val="001C28D1"/>
    <w:rsid w:val="001D500F"/>
    <w:rsid w:val="001E0D7D"/>
    <w:rsid w:val="001E1617"/>
    <w:rsid w:val="001E2CE5"/>
    <w:rsid w:val="001E3C52"/>
    <w:rsid w:val="001E598B"/>
    <w:rsid w:val="001F0484"/>
    <w:rsid w:val="00204254"/>
    <w:rsid w:val="00204AEE"/>
    <w:rsid w:val="002171EE"/>
    <w:rsid w:val="00224807"/>
    <w:rsid w:val="00225165"/>
    <w:rsid w:val="00225AD7"/>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92B79"/>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73F0"/>
    <w:rsid w:val="002E1705"/>
    <w:rsid w:val="002E577C"/>
    <w:rsid w:val="002F417D"/>
    <w:rsid w:val="002F498F"/>
    <w:rsid w:val="00300BDD"/>
    <w:rsid w:val="00306D56"/>
    <w:rsid w:val="003141EB"/>
    <w:rsid w:val="00316C59"/>
    <w:rsid w:val="00322DCA"/>
    <w:rsid w:val="00323658"/>
    <w:rsid w:val="00330EAC"/>
    <w:rsid w:val="00337C82"/>
    <w:rsid w:val="00340D5D"/>
    <w:rsid w:val="00343067"/>
    <w:rsid w:val="00355DE0"/>
    <w:rsid w:val="00357E67"/>
    <w:rsid w:val="00371E68"/>
    <w:rsid w:val="00372BDE"/>
    <w:rsid w:val="0037334E"/>
    <w:rsid w:val="00376C01"/>
    <w:rsid w:val="003847EE"/>
    <w:rsid w:val="003902D7"/>
    <w:rsid w:val="00392A2C"/>
    <w:rsid w:val="00394710"/>
    <w:rsid w:val="00395E5B"/>
    <w:rsid w:val="003A1354"/>
    <w:rsid w:val="003A4954"/>
    <w:rsid w:val="003A748A"/>
    <w:rsid w:val="003B1885"/>
    <w:rsid w:val="003B2F1F"/>
    <w:rsid w:val="003B5CCC"/>
    <w:rsid w:val="003C516B"/>
    <w:rsid w:val="003C6504"/>
    <w:rsid w:val="003C7EDC"/>
    <w:rsid w:val="003D09C8"/>
    <w:rsid w:val="003D0D06"/>
    <w:rsid w:val="003D38E5"/>
    <w:rsid w:val="003D5234"/>
    <w:rsid w:val="003E11C0"/>
    <w:rsid w:val="003E23F9"/>
    <w:rsid w:val="003F06FA"/>
    <w:rsid w:val="00400C9A"/>
    <w:rsid w:val="004043B6"/>
    <w:rsid w:val="00404900"/>
    <w:rsid w:val="00404A89"/>
    <w:rsid w:val="00405250"/>
    <w:rsid w:val="00412872"/>
    <w:rsid w:val="00413CC3"/>
    <w:rsid w:val="004214E9"/>
    <w:rsid w:val="0042311E"/>
    <w:rsid w:val="00425C1F"/>
    <w:rsid w:val="00427892"/>
    <w:rsid w:val="00430B37"/>
    <w:rsid w:val="00433436"/>
    <w:rsid w:val="004356A0"/>
    <w:rsid w:val="0044689B"/>
    <w:rsid w:val="004517A6"/>
    <w:rsid w:val="00451F83"/>
    <w:rsid w:val="00463BF1"/>
    <w:rsid w:val="0046491B"/>
    <w:rsid w:val="004719F5"/>
    <w:rsid w:val="00482C6E"/>
    <w:rsid w:val="004857DF"/>
    <w:rsid w:val="00485D57"/>
    <w:rsid w:val="00487013"/>
    <w:rsid w:val="004875E2"/>
    <w:rsid w:val="004A6EF5"/>
    <w:rsid w:val="004C3DFA"/>
    <w:rsid w:val="004C5D84"/>
    <w:rsid w:val="004C7836"/>
    <w:rsid w:val="004D07DA"/>
    <w:rsid w:val="004D3D5E"/>
    <w:rsid w:val="004D40DE"/>
    <w:rsid w:val="004E0F4C"/>
    <w:rsid w:val="004E43D4"/>
    <w:rsid w:val="004E5F39"/>
    <w:rsid w:val="004F0B0E"/>
    <w:rsid w:val="004F70EA"/>
    <w:rsid w:val="00500EE8"/>
    <w:rsid w:val="00502B10"/>
    <w:rsid w:val="005104C5"/>
    <w:rsid w:val="00514E31"/>
    <w:rsid w:val="005214B0"/>
    <w:rsid w:val="00521C20"/>
    <w:rsid w:val="00524FD3"/>
    <w:rsid w:val="005304A3"/>
    <w:rsid w:val="005323A8"/>
    <w:rsid w:val="00532EEA"/>
    <w:rsid w:val="00541325"/>
    <w:rsid w:val="005626D6"/>
    <w:rsid w:val="0056446F"/>
    <w:rsid w:val="00576467"/>
    <w:rsid w:val="005811BB"/>
    <w:rsid w:val="00584549"/>
    <w:rsid w:val="00590340"/>
    <w:rsid w:val="0059342A"/>
    <w:rsid w:val="00596D24"/>
    <w:rsid w:val="005A3606"/>
    <w:rsid w:val="005B1968"/>
    <w:rsid w:val="005B3512"/>
    <w:rsid w:val="005C6831"/>
    <w:rsid w:val="005D4260"/>
    <w:rsid w:val="005E2955"/>
    <w:rsid w:val="005E402C"/>
    <w:rsid w:val="005F42C6"/>
    <w:rsid w:val="005F6D09"/>
    <w:rsid w:val="006037B0"/>
    <w:rsid w:val="00610A8E"/>
    <w:rsid w:val="0061161A"/>
    <w:rsid w:val="00611A3E"/>
    <w:rsid w:val="006134F0"/>
    <w:rsid w:val="00615BDA"/>
    <w:rsid w:val="00621044"/>
    <w:rsid w:val="00622881"/>
    <w:rsid w:val="00622D55"/>
    <w:rsid w:val="00624CF7"/>
    <w:rsid w:val="006266E6"/>
    <w:rsid w:val="006328C9"/>
    <w:rsid w:val="006345AE"/>
    <w:rsid w:val="006348B3"/>
    <w:rsid w:val="00637446"/>
    <w:rsid w:val="006409F0"/>
    <w:rsid w:val="00642268"/>
    <w:rsid w:val="00643754"/>
    <w:rsid w:val="00645C63"/>
    <w:rsid w:val="00656F16"/>
    <w:rsid w:val="00663637"/>
    <w:rsid w:val="00665296"/>
    <w:rsid w:val="006668A0"/>
    <w:rsid w:val="00670A56"/>
    <w:rsid w:val="00674E69"/>
    <w:rsid w:val="006814E4"/>
    <w:rsid w:val="006839AF"/>
    <w:rsid w:val="00686F91"/>
    <w:rsid w:val="006917B5"/>
    <w:rsid w:val="00693433"/>
    <w:rsid w:val="00694ABB"/>
    <w:rsid w:val="006A1737"/>
    <w:rsid w:val="006B5D11"/>
    <w:rsid w:val="006C1E4F"/>
    <w:rsid w:val="006C4B97"/>
    <w:rsid w:val="006D3F1E"/>
    <w:rsid w:val="006D4CB3"/>
    <w:rsid w:val="006D67E0"/>
    <w:rsid w:val="006E1404"/>
    <w:rsid w:val="006E1A4E"/>
    <w:rsid w:val="006E3502"/>
    <w:rsid w:val="006E39DA"/>
    <w:rsid w:val="006F0315"/>
    <w:rsid w:val="006F2871"/>
    <w:rsid w:val="00711955"/>
    <w:rsid w:val="00712F72"/>
    <w:rsid w:val="00727273"/>
    <w:rsid w:val="007273F4"/>
    <w:rsid w:val="00736048"/>
    <w:rsid w:val="00737098"/>
    <w:rsid w:val="00742588"/>
    <w:rsid w:val="0074470B"/>
    <w:rsid w:val="00745C63"/>
    <w:rsid w:val="00751BC7"/>
    <w:rsid w:val="007700B2"/>
    <w:rsid w:val="00772B91"/>
    <w:rsid w:val="00774EDC"/>
    <w:rsid w:val="00781FA7"/>
    <w:rsid w:val="00782168"/>
    <w:rsid w:val="007865C7"/>
    <w:rsid w:val="00794148"/>
    <w:rsid w:val="007A24B8"/>
    <w:rsid w:val="007B252D"/>
    <w:rsid w:val="007B2835"/>
    <w:rsid w:val="007B6135"/>
    <w:rsid w:val="007C55D2"/>
    <w:rsid w:val="007D1479"/>
    <w:rsid w:val="007D1685"/>
    <w:rsid w:val="007D3ACE"/>
    <w:rsid w:val="007E64B5"/>
    <w:rsid w:val="007F1A9E"/>
    <w:rsid w:val="007F2AF8"/>
    <w:rsid w:val="007F6134"/>
    <w:rsid w:val="008042A7"/>
    <w:rsid w:val="00804342"/>
    <w:rsid w:val="00806524"/>
    <w:rsid w:val="00823D5B"/>
    <w:rsid w:val="0084228B"/>
    <w:rsid w:val="00843EAD"/>
    <w:rsid w:val="00845C86"/>
    <w:rsid w:val="008470AE"/>
    <w:rsid w:val="00847F2F"/>
    <w:rsid w:val="008572CD"/>
    <w:rsid w:val="00860B8C"/>
    <w:rsid w:val="00861CB9"/>
    <w:rsid w:val="00861D6D"/>
    <w:rsid w:val="008667A5"/>
    <w:rsid w:val="008836C2"/>
    <w:rsid w:val="0088387B"/>
    <w:rsid w:val="008912B9"/>
    <w:rsid w:val="008926B5"/>
    <w:rsid w:val="00896191"/>
    <w:rsid w:val="008A14FE"/>
    <w:rsid w:val="008A296E"/>
    <w:rsid w:val="008B6527"/>
    <w:rsid w:val="008C1B01"/>
    <w:rsid w:val="008C4090"/>
    <w:rsid w:val="008D210A"/>
    <w:rsid w:val="008D7986"/>
    <w:rsid w:val="008E0244"/>
    <w:rsid w:val="008E081E"/>
    <w:rsid w:val="008E3FA5"/>
    <w:rsid w:val="008E6E50"/>
    <w:rsid w:val="00907C8E"/>
    <w:rsid w:val="0091702F"/>
    <w:rsid w:val="009222E3"/>
    <w:rsid w:val="00924437"/>
    <w:rsid w:val="00942B96"/>
    <w:rsid w:val="00943CD1"/>
    <w:rsid w:val="00947640"/>
    <w:rsid w:val="00950468"/>
    <w:rsid w:val="00962B57"/>
    <w:rsid w:val="0096359B"/>
    <w:rsid w:val="0097301B"/>
    <w:rsid w:val="00973D8D"/>
    <w:rsid w:val="00982CB2"/>
    <w:rsid w:val="009845B7"/>
    <w:rsid w:val="009868BD"/>
    <w:rsid w:val="009959B6"/>
    <w:rsid w:val="0099767B"/>
    <w:rsid w:val="009A0C31"/>
    <w:rsid w:val="009A6125"/>
    <w:rsid w:val="009B68DB"/>
    <w:rsid w:val="009C0EF7"/>
    <w:rsid w:val="009D0BD9"/>
    <w:rsid w:val="009D24D5"/>
    <w:rsid w:val="009E2342"/>
    <w:rsid w:val="009E2909"/>
    <w:rsid w:val="009E3A77"/>
    <w:rsid w:val="009E5FA1"/>
    <w:rsid w:val="009F0BF6"/>
    <w:rsid w:val="009F0C25"/>
    <w:rsid w:val="009F14FC"/>
    <w:rsid w:val="009F570B"/>
    <w:rsid w:val="009F7AA9"/>
    <w:rsid w:val="00A04185"/>
    <w:rsid w:val="00A048C2"/>
    <w:rsid w:val="00A04CBC"/>
    <w:rsid w:val="00A10003"/>
    <w:rsid w:val="00A12CFD"/>
    <w:rsid w:val="00A15F10"/>
    <w:rsid w:val="00A36B07"/>
    <w:rsid w:val="00A4401F"/>
    <w:rsid w:val="00A44632"/>
    <w:rsid w:val="00A450EA"/>
    <w:rsid w:val="00A46638"/>
    <w:rsid w:val="00A50128"/>
    <w:rsid w:val="00A51DA5"/>
    <w:rsid w:val="00A52246"/>
    <w:rsid w:val="00A53A19"/>
    <w:rsid w:val="00A53CF1"/>
    <w:rsid w:val="00A578F8"/>
    <w:rsid w:val="00A612F2"/>
    <w:rsid w:val="00A624FE"/>
    <w:rsid w:val="00A62ED8"/>
    <w:rsid w:val="00A6355A"/>
    <w:rsid w:val="00A64B61"/>
    <w:rsid w:val="00A72F6C"/>
    <w:rsid w:val="00A8681E"/>
    <w:rsid w:val="00A9121E"/>
    <w:rsid w:val="00A93AA3"/>
    <w:rsid w:val="00A9658F"/>
    <w:rsid w:val="00AA0211"/>
    <w:rsid w:val="00AA0412"/>
    <w:rsid w:val="00AB0422"/>
    <w:rsid w:val="00AC3891"/>
    <w:rsid w:val="00AC42BF"/>
    <w:rsid w:val="00AD0CEC"/>
    <w:rsid w:val="00AF0BDD"/>
    <w:rsid w:val="00AF31EE"/>
    <w:rsid w:val="00AF5D5B"/>
    <w:rsid w:val="00AF6801"/>
    <w:rsid w:val="00B039A0"/>
    <w:rsid w:val="00B0608B"/>
    <w:rsid w:val="00B07D3D"/>
    <w:rsid w:val="00B140D5"/>
    <w:rsid w:val="00B179A4"/>
    <w:rsid w:val="00B17C4E"/>
    <w:rsid w:val="00B2122C"/>
    <w:rsid w:val="00B25FF8"/>
    <w:rsid w:val="00B32AEA"/>
    <w:rsid w:val="00B345AB"/>
    <w:rsid w:val="00B35F76"/>
    <w:rsid w:val="00B40103"/>
    <w:rsid w:val="00B42B08"/>
    <w:rsid w:val="00B44634"/>
    <w:rsid w:val="00B45E1B"/>
    <w:rsid w:val="00B47939"/>
    <w:rsid w:val="00B5318F"/>
    <w:rsid w:val="00B56A5C"/>
    <w:rsid w:val="00B6600F"/>
    <w:rsid w:val="00B67799"/>
    <w:rsid w:val="00B7750F"/>
    <w:rsid w:val="00B8380C"/>
    <w:rsid w:val="00B84E16"/>
    <w:rsid w:val="00B909A1"/>
    <w:rsid w:val="00B9228F"/>
    <w:rsid w:val="00B95985"/>
    <w:rsid w:val="00B95A94"/>
    <w:rsid w:val="00B96541"/>
    <w:rsid w:val="00B974D0"/>
    <w:rsid w:val="00BB133E"/>
    <w:rsid w:val="00BB23AC"/>
    <w:rsid w:val="00BB6756"/>
    <w:rsid w:val="00BB7582"/>
    <w:rsid w:val="00BC030A"/>
    <w:rsid w:val="00BD0610"/>
    <w:rsid w:val="00BD1F6E"/>
    <w:rsid w:val="00BE10D1"/>
    <w:rsid w:val="00BF2517"/>
    <w:rsid w:val="00BF3739"/>
    <w:rsid w:val="00BF48AE"/>
    <w:rsid w:val="00C00B9F"/>
    <w:rsid w:val="00C14CBF"/>
    <w:rsid w:val="00C15B45"/>
    <w:rsid w:val="00C21DA5"/>
    <w:rsid w:val="00C23DA6"/>
    <w:rsid w:val="00C24529"/>
    <w:rsid w:val="00C261E5"/>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94BD4"/>
    <w:rsid w:val="00CB3DB4"/>
    <w:rsid w:val="00CB63FB"/>
    <w:rsid w:val="00CC12C3"/>
    <w:rsid w:val="00CC14FB"/>
    <w:rsid w:val="00CC376A"/>
    <w:rsid w:val="00CD5CD7"/>
    <w:rsid w:val="00CD6321"/>
    <w:rsid w:val="00CE43EC"/>
    <w:rsid w:val="00CF1304"/>
    <w:rsid w:val="00CF17F9"/>
    <w:rsid w:val="00CF1D83"/>
    <w:rsid w:val="00D16070"/>
    <w:rsid w:val="00D16D40"/>
    <w:rsid w:val="00D21489"/>
    <w:rsid w:val="00D22F9D"/>
    <w:rsid w:val="00D300A2"/>
    <w:rsid w:val="00D4411D"/>
    <w:rsid w:val="00D44B50"/>
    <w:rsid w:val="00D518AA"/>
    <w:rsid w:val="00D54533"/>
    <w:rsid w:val="00D5637F"/>
    <w:rsid w:val="00D57ABC"/>
    <w:rsid w:val="00D61824"/>
    <w:rsid w:val="00D7124D"/>
    <w:rsid w:val="00D74763"/>
    <w:rsid w:val="00D74A0B"/>
    <w:rsid w:val="00D7581E"/>
    <w:rsid w:val="00D8292C"/>
    <w:rsid w:val="00D829FC"/>
    <w:rsid w:val="00D82BE1"/>
    <w:rsid w:val="00D91CCE"/>
    <w:rsid w:val="00D92683"/>
    <w:rsid w:val="00D94CB4"/>
    <w:rsid w:val="00D9510D"/>
    <w:rsid w:val="00D97622"/>
    <w:rsid w:val="00DA14B1"/>
    <w:rsid w:val="00DA201C"/>
    <w:rsid w:val="00DA52AA"/>
    <w:rsid w:val="00DB1F76"/>
    <w:rsid w:val="00DB4E32"/>
    <w:rsid w:val="00DB6511"/>
    <w:rsid w:val="00DC5EC1"/>
    <w:rsid w:val="00DC7A1B"/>
    <w:rsid w:val="00DD0152"/>
    <w:rsid w:val="00DD036A"/>
    <w:rsid w:val="00DD3C10"/>
    <w:rsid w:val="00DE32BB"/>
    <w:rsid w:val="00DE3F66"/>
    <w:rsid w:val="00DF0631"/>
    <w:rsid w:val="00DF2F65"/>
    <w:rsid w:val="00E00E77"/>
    <w:rsid w:val="00E063E7"/>
    <w:rsid w:val="00E0783B"/>
    <w:rsid w:val="00E07960"/>
    <w:rsid w:val="00E079B7"/>
    <w:rsid w:val="00E115B4"/>
    <w:rsid w:val="00E14567"/>
    <w:rsid w:val="00E15FA3"/>
    <w:rsid w:val="00E20A4B"/>
    <w:rsid w:val="00E312D1"/>
    <w:rsid w:val="00E31301"/>
    <w:rsid w:val="00E31E2C"/>
    <w:rsid w:val="00E32157"/>
    <w:rsid w:val="00E34043"/>
    <w:rsid w:val="00E3487D"/>
    <w:rsid w:val="00E55B04"/>
    <w:rsid w:val="00E601C7"/>
    <w:rsid w:val="00E61630"/>
    <w:rsid w:val="00E6429B"/>
    <w:rsid w:val="00E66808"/>
    <w:rsid w:val="00E67AF1"/>
    <w:rsid w:val="00E77F49"/>
    <w:rsid w:val="00E87A78"/>
    <w:rsid w:val="00E906CE"/>
    <w:rsid w:val="00E91CC5"/>
    <w:rsid w:val="00E91E60"/>
    <w:rsid w:val="00E978A3"/>
    <w:rsid w:val="00EA52A3"/>
    <w:rsid w:val="00EA6571"/>
    <w:rsid w:val="00EB7463"/>
    <w:rsid w:val="00EB7EF9"/>
    <w:rsid w:val="00EC0F75"/>
    <w:rsid w:val="00EC433A"/>
    <w:rsid w:val="00EC6701"/>
    <w:rsid w:val="00ED2061"/>
    <w:rsid w:val="00ED2C42"/>
    <w:rsid w:val="00ED3E1D"/>
    <w:rsid w:val="00EE0A4B"/>
    <w:rsid w:val="00EE0DFC"/>
    <w:rsid w:val="00EE39C0"/>
    <w:rsid w:val="00EE462D"/>
    <w:rsid w:val="00EE65F2"/>
    <w:rsid w:val="00EE7297"/>
    <w:rsid w:val="00EF218D"/>
    <w:rsid w:val="00EF44CD"/>
    <w:rsid w:val="00F0059B"/>
    <w:rsid w:val="00F015BE"/>
    <w:rsid w:val="00F12A3F"/>
    <w:rsid w:val="00F16179"/>
    <w:rsid w:val="00F23A7F"/>
    <w:rsid w:val="00F244F6"/>
    <w:rsid w:val="00F30C61"/>
    <w:rsid w:val="00F32982"/>
    <w:rsid w:val="00F54FF9"/>
    <w:rsid w:val="00F56696"/>
    <w:rsid w:val="00F6502B"/>
    <w:rsid w:val="00F75B6B"/>
    <w:rsid w:val="00F80134"/>
    <w:rsid w:val="00F845B7"/>
    <w:rsid w:val="00F90533"/>
    <w:rsid w:val="00F93841"/>
    <w:rsid w:val="00F9748F"/>
    <w:rsid w:val="00FB0B79"/>
    <w:rsid w:val="00FC02EF"/>
    <w:rsid w:val="00FC0A33"/>
    <w:rsid w:val="00FC5327"/>
    <w:rsid w:val="00FC7055"/>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66E093D3"/>
  <w15:docId w15:val="{73FA9198-F6CE-4302-A4F3-0C6D6BD5D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DF0631"/>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DF0631"/>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DF0631"/>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DF0631"/>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88819276">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19936804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67680819">
      <w:bodyDiv w:val="1"/>
      <w:marLeft w:val="0"/>
      <w:marRight w:val="0"/>
      <w:marTop w:val="0"/>
      <w:marBottom w:val="0"/>
      <w:divBdr>
        <w:top w:val="none" w:sz="0" w:space="0" w:color="auto"/>
        <w:left w:val="none" w:sz="0" w:space="0" w:color="auto"/>
        <w:bottom w:val="none" w:sz="0" w:space="0" w:color="auto"/>
        <w:right w:val="none" w:sz="0" w:space="0" w:color="auto"/>
      </w:divBdr>
    </w:div>
    <w:div w:id="369039183">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0401453">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26691355">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22445916">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80157871">
      <w:bodyDiv w:val="1"/>
      <w:marLeft w:val="0"/>
      <w:marRight w:val="0"/>
      <w:marTop w:val="0"/>
      <w:marBottom w:val="0"/>
      <w:divBdr>
        <w:top w:val="none" w:sz="0" w:space="0" w:color="auto"/>
        <w:left w:val="none" w:sz="0" w:space="0" w:color="auto"/>
        <w:bottom w:val="none" w:sz="0" w:space="0" w:color="auto"/>
        <w:right w:val="none" w:sz="0" w:space="0" w:color="auto"/>
      </w:divBdr>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19986866">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s://falabr.cgu.gov.br/web/home"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cplhi@hgi.rj.saude.gov.br" TargetMode="External"/><Relationship Id="rId28" Type="http://schemas.openxmlformats.org/officeDocument/2006/relationships/fontTable" Target="fontTable.xm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555C9-A088-427E-AB26-4A3BFDD9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24474</Words>
  <Characters>132162</Characters>
  <Application>Microsoft Office Word</Application>
  <DocSecurity>0</DocSecurity>
  <Lines>1101</Lines>
  <Paragraphs>312</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156324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3</cp:revision>
  <cp:lastPrinted>2024-04-01T17:05:00Z</cp:lastPrinted>
  <dcterms:created xsi:type="dcterms:W3CDTF">2024-12-03T11:22:00Z</dcterms:created>
  <dcterms:modified xsi:type="dcterms:W3CDTF">2024-12-03T11:22:00Z</dcterms:modified>
</cp:coreProperties>
</file>