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3B2D7" w14:textId="61EDA073" w:rsidR="0007474C" w:rsidRPr="0007474C" w:rsidRDefault="0007474C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7474C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1401E966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34F9EAF3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07474C" w:rsidRPr="0007474C">
        <w:rPr>
          <w:rFonts w:ascii="Times New Roman" w:hAnsi="Times New Roman" w:cs="Times New Roman"/>
          <w:sz w:val="22"/>
          <w:szCs w:val="22"/>
        </w:rPr>
        <w:t>25800.005508/2025-76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07474C">
      <w:pPr>
        <w:spacing w:line="360" w:lineRule="auto"/>
        <w:ind w:right="-15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3AFFDBF8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495665">
        <w:rPr>
          <w:rFonts w:ascii="Times New Roman" w:hAnsi="Times New Roman" w:cs="Times New Roman"/>
          <w:sz w:val="22"/>
          <w:szCs w:val="22"/>
        </w:rPr>
        <w:t>1</w:t>
      </w:r>
      <w:r w:rsidR="00413DE8" w:rsidRPr="00777101">
        <w:rPr>
          <w:rFonts w:ascii="Times New Roman" w:hAnsi="Times New Roman" w:cs="Times New Roman"/>
          <w:sz w:val="22"/>
          <w:szCs w:val="22"/>
        </w:rPr>
        <w:t xml:space="preserve">ª Assembleia Geral Extraordinária de </w:t>
      </w:r>
      <w:r w:rsidR="00495665">
        <w:rPr>
          <w:rFonts w:ascii="Times New Roman" w:hAnsi="Times New Roman" w:cs="Times New Roman"/>
          <w:sz w:val="22"/>
          <w:szCs w:val="22"/>
        </w:rPr>
        <w:t>08 de janeiro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530CA2A9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07474C" w:rsidRPr="0007474C">
        <w:rPr>
          <w:rFonts w:ascii="Times New Roman" w:hAnsi="Times New Roman" w:cs="Times New Roman"/>
          <w:sz w:val="22"/>
          <w:szCs w:val="22"/>
        </w:rPr>
        <w:t>25800.005508/2025-76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4840DCAB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5E595E" w14:textId="77777777" w:rsidR="00A238F4" w:rsidRDefault="00A238F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7F46B439" w:rsidR="00B01E82" w:rsidRPr="001244E6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</w:t>
      </w: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presente </w:t>
      </w:r>
      <w:r w:rsidR="00A40017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 </w:t>
      </w:r>
      <w:r w:rsidR="00915306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aquisição</w:t>
      </w:r>
      <w:r w:rsidR="00EF2567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</w:t>
      </w: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07474C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químicos, reagentes e nutrientes necessários à operação das estações de tratamento de efluentes da unidade fabril da Hemobrás em Goiana/PE</w:t>
      </w:r>
      <w:r w:rsidR="00B01E82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serão </w:t>
      </w:r>
      <w:r w:rsidR="00915306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fornecidos</w:t>
      </w:r>
      <w:r w:rsidR="00B01E82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1244E6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567CF966" w:rsidR="000575AE" w:rsidRPr="001244E6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1244E6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562" w:type="dxa"/>
        <w:tblLook w:val="04A0" w:firstRow="1" w:lastRow="0" w:firstColumn="1" w:lastColumn="0" w:noHBand="0" w:noVBand="1"/>
      </w:tblPr>
      <w:tblGrid>
        <w:gridCol w:w="506"/>
        <w:gridCol w:w="506"/>
        <w:gridCol w:w="3222"/>
        <w:gridCol w:w="695"/>
        <w:gridCol w:w="1559"/>
        <w:gridCol w:w="1034"/>
        <w:gridCol w:w="977"/>
      </w:tblGrid>
      <w:tr w:rsidR="001244E6" w:rsidRPr="0007474C" w14:paraId="6D908225" w14:textId="77777777" w:rsidTr="001244E6">
        <w:tc>
          <w:tcPr>
            <w:tcW w:w="506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4A2DD26E" w14:textId="023B05A1" w:rsidR="0007474C" w:rsidRPr="001244E6" w:rsidRDefault="0007474C" w:rsidP="0007474C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GRUPO</w:t>
            </w:r>
          </w:p>
        </w:tc>
        <w:tc>
          <w:tcPr>
            <w:tcW w:w="506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5AEE978E" w14:textId="6D5E89F4" w:rsidR="0007474C" w:rsidRPr="001244E6" w:rsidRDefault="0007474C" w:rsidP="0007474C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253" w:type="dxa"/>
            <w:vMerge w:val="restart"/>
            <w:shd w:val="clear" w:color="auto" w:fill="BFBFBF" w:themeFill="background1" w:themeFillShade="BF"/>
            <w:vAlign w:val="center"/>
          </w:tcPr>
          <w:p w14:paraId="0E391B60" w14:textId="60B8E73E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697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3FDBDDDC" w14:textId="0EC08E8C" w:rsidR="0007474C" w:rsidRPr="001244E6" w:rsidRDefault="0007474C" w:rsidP="0007474C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QUANT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14:paraId="70DB0C4C" w14:textId="51811819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UNID</w:t>
            </w:r>
            <w:r w:rsidR="001244E6">
              <w:rPr>
                <w:rFonts w:ascii="Times New Roman" w:hAnsi="Times New Roman" w:cs="Times New Roman"/>
                <w:b/>
                <w:sz w:val="16"/>
                <w:szCs w:val="16"/>
              </w:rPr>
              <w:t>ADE DE</w:t>
            </w: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FORNECIMENTO</w:t>
            </w:r>
          </w:p>
        </w:tc>
        <w:tc>
          <w:tcPr>
            <w:tcW w:w="1978" w:type="dxa"/>
            <w:gridSpan w:val="2"/>
            <w:shd w:val="clear" w:color="auto" w:fill="BFBFBF" w:themeFill="background1" w:themeFillShade="BF"/>
            <w:vAlign w:val="center"/>
          </w:tcPr>
          <w:p w14:paraId="5805B228" w14:textId="745B3F68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1244E6" w:rsidRPr="0007474C" w14:paraId="49F1F8EE" w14:textId="77777777" w:rsidTr="001244E6">
        <w:trPr>
          <w:trHeight w:val="679"/>
        </w:trPr>
        <w:tc>
          <w:tcPr>
            <w:tcW w:w="506" w:type="dxa"/>
            <w:vMerge/>
            <w:shd w:val="clear" w:color="auto" w:fill="BFBFBF" w:themeFill="background1" w:themeFillShade="BF"/>
            <w:vAlign w:val="center"/>
          </w:tcPr>
          <w:p w14:paraId="5BDDA892" w14:textId="77777777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06" w:type="dxa"/>
            <w:vMerge/>
            <w:shd w:val="clear" w:color="auto" w:fill="BFBFBF" w:themeFill="background1" w:themeFillShade="BF"/>
            <w:vAlign w:val="center"/>
          </w:tcPr>
          <w:p w14:paraId="6198CEDD" w14:textId="77777777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53" w:type="dxa"/>
            <w:vMerge/>
            <w:shd w:val="clear" w:color="auto" w:fill="BFBFBF" w:themeFill="background1" w:themeFillShade="BF"/>
            <w:vAlign w:val="center"/>
          </w:tcPr>
          <w:p w14:paraId="3E44EEB8" w14:textId="77777777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7" w:type="dxa"/>
            <w:vMerge/>
            <w:shd w:val="clear" w:color="auto" w:fill="BFBFBF" w:themeFill="background1" w:themeFillShade="BF"/>
            <w:vAlign w:val="center"/>
          </w:tcPr>
          <w:p w14:paraId="7586DB0A" w14:textId="77777777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14:paraId="518DF270" w14:textId="77777777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D9A8A6E" w14:textId="3F33F0DD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986" w:type="dxa"/>
            <w:shd w:val="clear" w:color="auto" w:fill="BFBFBF" w:themeFill="background1" w:themeFillShade="BF"/>
            <w:vAlign w:val="center"/>
          </w:tcPr>
          <w:p w14:paraId="3CBD6C56" w14:textId="1B904914" w:rsidR="0007474C" w:rsidRPr="001244E6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44E6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1244E6" w:rsidRPr="0007474C" w14:paraId="75C3D98D" w14:textId="77777777" w:rsidTr="001244E6">
        <w:tc>
          <w:tcPr>
            <w:tcW w:w="506" w:type="dxa"/>
            <w:vMerge w:val="restart"/>
            <w:vAlign w:val="center"/>
          </w:tcPr>
          <w:p w14:paraId="62E7AC8F" w14:textId="154296F5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6" w:type="dxa"/>
            <w:vAlign w:val="center"/>
          </w:tcPr>
          <w:p w14:paraId="6CD3CB94" w14:textId="29BECF49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53" w:type="dxa"/>
            <w:vAlign w:val="center"/>
          </w:tcPr>
          <w:p w14:paraId="1435E09C" w14:textId="5ECE0F72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Soda Cáustica/Hidróxido de Sódio (</w:t>
            </w:r>
            <w:proofErr w:type="spellStart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NaOH</w:t>
            </w:r>
            <w:proofErr w:type="spellEnd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), em solução de concentração 50%, nº CAS 1310-73-2, acompanhado de FDS</w:t>
            </w:r>
          </w:p>
        </w:tc>
        <w:tc>
          <w:tcPr>
            <w:tcW w:w="697" w:type="dxa"/>
            <w:vAlign w:val="center"/>
          </w:tcPr>
          <w:p w14:paraId="71F66D40" w14:textId="02C2D5E1" w:rsidR="0007474C" w:rsidRPr="0007474C" w:rsidRDefault="001244E6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41.040</w:t>
            </w:r>
          </w:p>
        </w:tc>
        <w:tc>
          <w:tcPr>
            <w:tcW w:w="1559" w:type="dxa"/>
            <w:vAlign w:val="center"/>
          </w:tcPr>
          <w:p w14:paraId="15CA3361" w14:textId="5CBF2C36" w:rsidR="0007474C" w:rsidRPr="0007474C" w:rsidRDefault="001244E6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0921BEEC" w14:textId="77777777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6EA61D6D" w14:textId="77777777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798CDD0E" w14:textId="77777777" w:rsidTr="001244E6">
        <w:tc>
          <w:tcPr>
            <w:tcW w:w="506" w:type="dxa"/>
            <w:vMerge/>
            <w:vAlign w:val="center"/>
          </w:tcPr>
          <w:p w14:paraId="757DF945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14:paraId="7CD0C06D" w14:textId="1822DDF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53" w:type="dxa"/>
            <w:vAlign w:val="center"/>
          </w:tcPr>
          <w:p w14:paraId="6F73193E" w14:textId="3DD37D44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 xml:space="preserve">Nitrogênio, na forma de </w:t>
            </w:r>
            <w:proofErr w:type="spellStart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Uréia</w:t>
            </w:r>
            <w:proofErr w:type="spellEnd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 xml:space="preserve"> industrial (CH4ON2), com 46% de Nitrogênio, nº CAS 57-13-6, acompanhado de FDS</w:t>
            </w:r>
          </w:p>
        </w:tc>
        <w:tc>
          <w:tcPr>
            <w:tcW w:w="697" w:type="dxa"/>
            <w:vAlign w:val="center"/>
          </w:tcPr>
          <w:p w14:paraId="2D9C6546" w14:textId="225A55A5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1.700</w:t>
            </w:r>
          </w:p>
        </w:tc>
        <w:tc>
          <w:tcPr>
            <w:tcW w:w="1559" w:type="dxa"/>
            <w:vAlign w:val="center"/>
          </w:tcPr>
          <w:p w14:paraId="63E5EABF" w14:textId="1D7B1685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066B83B2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65A80320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6DDFED79" w14:textId="77777777" w:rsidTr="001244E6">
        <w:tc>
          <w:tcPr>
            <w:tcW w:w="506" w:type="dxa"/>
            <w:vMerge/>
            <w:vAlign w:val="center"/>
          </w:tcPr>
          <w:p w14:paraId="2C095AA6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14:paraId="7DE74FD1" w14:textId="0CAA1A49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53" w:type="dxa"/>
            <w:vAlign w:val="center"/>
          </w:tcPr>
          <w:p w14:paraId="2DEE0A00" w14:textId="4FB9E883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Polímero Aniônico para uso industrial, sólido em granulado ou pó, acompanhado de FDS</w:t>
            </w:r>
          </w:p>
        </w:tc>
        <w:tc>
          <w:tcPr>
            <w:tcW w:w="697" w:type="dxa"/>
            <w:vAlign w:val="center"/>
          </w:tcPr>
          <w:p w14:paraId="20026C42" w14:textId="5CCCCEE9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559" w:type="dxa"/>
            <w:vAlign w:val="center"/>
          </w:tcPr>
          <w:p w14:paraId="17FFD3AE" w14:textId="161BA172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4C687A6D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5F2D749F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4F9AA21D" w14:textId="77777777" w:rsidTr="001244E6">
        <w:tc>
          <w:tcPr>
            <w:tcW w:w="506" w:type="dxa"/>
            <w:vMerge/>
            <w:vAlign w:val="center"/>
          </w:tcPr>
          <w:p w14:paraId="42A62282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14:paraId="7A86B043" w14:textId="321AC1D0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53" w:type="dxa"/>
            <w:vAlign w:val="center"/>
          </w:tcPr>
          <w:p w14:paraId="1C24EEC8" w14:textId="3A231C5B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Polímero Catiônico para uso industrial, sólido em granulado ou pó, acompanhado de FDS</w:t>
            </w:r>
          </w:p>
        </w:tc>
        <w:tc>
          <w:tcPr>
            <w:tcW w:w="697" w:type="dxa"/>
            <w:vAlign w:val="center"/>
          </w:tcPr>
          <w:p w14:paraId="4FE92C9F" w14:textId="555B79E2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559" w:type="dxa"/>
            <w:vAlign w:val="center"/>
          </w:tcPr>
          <w:p w14:paraId="3F61B1EB" w14:textId="3D0D3D93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21F35C44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102752A8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232169CF" w14:textId="77777777" w:rsidTr="001244E6">
        <w:tc>
          <w:tcPr>
            <w:tcW w:w="506" w:type="dxa"/>
            <w:vMerge/>
            <w:vAlign w:val="center"/>
          </w:tcPr>
          <w:p w14:paraId="7A4A1D61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14:paraId="08561332" w14:textId="478A1B95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53" w:type="dxa"/>
            <w:vAlign w:val="center"/>
          </w:tcPr>
          <w:p w14:paraId="692B0981" w14:textId="581A09B9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Solução de Hipoclorito de sódio (</w:t>
            </w:r>
            <w:proofErr w:type="spellStart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NaClO</w:t>
            </w:r>
            <w:proofErr w:type="spellEnd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) concentrado a 12%, n° CAS 7681-52-9, acompanhado de FDS</w:t>
            </w:r>
          </w:p>
        </w:tc>
        <w:tc>
          <w:tcPr>
            <w:tcW w:w="697" w:type="dxa"/>
            <w:vAlign w:val="center"/>
          </w:tcPr>
          <w:p w14:paraId="33187760" w14:textId="16EFAFA5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1320</w:t>
            </w:r>
          </w:p>
        </w:tc>
        <w:tc>
          <w:tcPr>
            <w:tcW w:w="1559" w:type="dxa"/>
            <w:vAlign w:val="center"/>
          </w:tcPr>
          <w:p w14:paraId="4CA86BBA" w14:textId="3FFFFBDB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74398DD7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5F03780D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425B58D6" w14:textId="77777777" w:rsidTr="001244E6">
        <w:tc>
          <w:tcPr>
            <w:tcW w:w="506" w:type="dxa"/>
            <w:vMerge w:val="restart"/>
            <w:vAlign w:val="center"/>
          </w:tcPr>
          <w:p w14:paraId="53E4F0EE" w14:textId="1E7F5091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06" w:type="dxa"/>
            <w:vAlign w:val="center"/>
          </w:tcPr>
          <w:p w14:paraId="10FBC649" w14:textId="7780F6B1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53" w:type="dxa"/>
            <w:vAlign w:val="center"/>
          </w:tcPr>
          <w:p w14:paraId="25F2A09C" w14:textId="1F0F63DB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Ácido Clorídrico (</w:t>
            </w:r>
            <w:proofErr w:type="spellStart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HCl</w:t>
            </w:r>
            <w:proofErr w:type="spellEnd"/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), em solução de concentração 35%, nº CAS 7647-01-0, acondicionado em container IBC, acompanhado de FDS</w:t>
            </w:r>
          </w:p>
        </w:tc>
        <w:tc>
          <w:tcPr>
            <w:tcW w:w="697" w:type="dxa"/>
            <w:vAlign w:val="center"/>
          </w:tcPr>
          <w:p w14:paraId="68083C17" w14:textId="5E84FD8B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31860</w:t>
            </w:r>
          </w:p>
        </w:tc>
        <w:tc>
          <w:tcPr>
            <w:tcW w:w="1559" w:type="dxa"/>
            <w:vAlign w:val="center"/>
          </w:tcPr>
          <w:p w14:paraId="1EF619C5" w14:textId="5A6DD706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6247651E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67FF25D5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5F3FA2FF" w14:textId="77777777" w:rsidTr="001244E6">
        <w:tc>
          <w:tcPr>
            <w:tcW w:w="506" w:type="dxa"/>
            <w:vMerge/>
            <w:vAlign w:val="center"/>
          </w:tcPr>
          <w:p w14:paraId="716AC761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14:paraId="286FC2FC" w14:textId="69254748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53" w:type="dxa"/>
            <w:vAlign w:val="center"/>
          </w:tcPr>
          <w:p w14:paraId="62980301" w14:textId="5A4D223F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Fósforo, na forma de Ácido Fosfórico (H3PO4), em solução de concentração 85%, nº CAS 7664-38-2, acompanhado de FDS</w:t>
            </w:r>
          </w:p>
        </w:tc>
        <w:tc>
          <w:tcPr>
            <w:tcW w:w="697" w:type="dxa"/>
            <w:vAlign w:val="center"/>
          </w:tcPr>
          <w:p w14:paraId="7CB825CF" w14:textId="1F7E7F11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1955</w:t>
            </w:r>
          </w:p>
        </w:tc>
        <w:tc>
          <w:tcPr>
            <w:tcW w:w="1559" w:type="dxa"/>
            <w:vAlign w:val="center"/>
          </w:tcPr>
          <w:p w14:paraId="3F8F7E58" w14:textId="42DEF28C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7EEED174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2AE64707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44E6" w:rsidRPr="0007474C" w14:paraId="269C8F50" w14:textId="77777777" w:rsidTr="001244E6">
        <w:tc>
          <w:tcPr>
            <w:tcW w:w="506" w:type="dxa"/>
            <w:vMerge/>
            <w:vAlign w:val="center"/>
          </w:tcPr>
          <w:p w14:paraId="0BAD36F1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6" w:type="dxa"/>
            <w:vAlign w:val="center"/>
          </w:tcPr>
          <w:p w14:paraId="0F216EBB" w14:textId="18075B69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53" w:type="dxa"/>
            <w:vAlign w:val="center"/>
          </w:tcPr>
          <w:p w14:paraId="10A1B1BC" w14:textId="7C81D03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Ácido Sulfúrico (H2SO4), em solução de concentração 98%, nº CAS 7664-93-9, acompanhado de FDS</w:t>
            </w:r>
          </w:p>
        </w:tc>
        <w:tc>
          <w:tcPr>
            <w:tcW w:w="697" w:type="dxa"/>
            <w:vAlign w:val="center"/>
          </w:tcPr>
          <w:p w14:paraId="262C3CCF" w14:textId="0F7D0280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598</w:t>
            </w:r>
          </w:p>
        </w:tc>
        <w:tc>
          <w:tcPr>
            <w:tcW w:w="1559" w:type="dxa"/>
            <w:vAlign w:val="center"/>
          </w:tcPr>
          <w:p w14:paraId="0A259DEE" w14:textId="7E0BB7E0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482E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992" w:type="dxa"/>
            <w:vAlign w:val="center"/>
          </w:tcPr>
          <w:p w14:paraId="602866EF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6" w:type="dxa"/>
            <w:vAlign w:val="center"/>
          </w:tcPr>
          <w:p w14:paraId="0901D6DD" w14:textId="77777777" w:rsidR="001244E6" w:rsidRPr="0007474C" w:rsidRDefault="001244E6" w:rsidP="001244E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474C" w:rsidRPr="0007474C" w14:paraId="58B7A37A" w14:textId="77777777" w:rsidTr="001244E6">
        <w:tc>
          <w:tcPr>
            <w:tcW w:w="7513" w:type="dxa"/>
            <w:gridSpan w:val="6"/>
            <w:vAlign w:val="center"/>
          </w:tcPr>
          <w:p w14:paraId="57C0E13B" w14:textId="245803AB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474C"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986" w:type="dxa"/>
            <w:vAlign w:val="center"/>
          </w:tcPr>
          <w:p w14:paraId="1D8D81C2" w14:textId="77777777" w:rsidR="0007474C" w:rsidRPr="0007474C" w:rsidRDefault="0007474C" w:rsidP="0007474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378A04A" w14:textId="77777777" w:rsidR="0007474C" w:rsidRPr="003F29C4" w:rsidRDefault="0007474C" w:rsidP="0007474C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2BF4DD39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</w:t>
      </w: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de </w:t>
      </w:r>
      <w:bookmarkStart w:id="0" w:name="_Hlk15568169"/>
      <w:r w:rsidR="001244E6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1244E6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470A935A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</w:t>
      </w: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da </w:t>
      </w:r>
      <w:r w:rsidR="00C35976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A238F4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01.02.113302.00.242200.20004.00.00</w:t>
      </w:r>
      <w:r w:rsidR="00AE367E"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BF73D35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244E6">
        <w:rPr>
          <w:rFonts w:ascii="Times New Roman" w:hAnsi="Times New Roman" w:cs="Times New Roman"/>
          <w:b/>
          <w:sz w:val="22"/>
          <w:szCs w:val="22"/>
        </w:rPr>
        <w:t>NONA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7FC2D7C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244E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Pr="00A238F4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1" w:name="_GoBack"/>
    </w:p>
    <w:p w14:paraId="352722A0" w14:textId="500C9FCC" w:rsidR="00224134" w:rsidRPr="00A238F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244E6" w:rsidRPr="00A238F4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A238F4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A238F4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A238F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1C769C37" w:rsidR="00224134" w:rsidRPr="00A238F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244E6" w:rsidRPr="00A238F4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A238F4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238F4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C2BE1A" w14:textId="13AC6AEC" w:rsidR="00224134" w:rsidRPr="00A238F4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244E6" w:rsidRPr="00A238F4">
        <w:rPr>
          <w:rFonts w:ascii="Times New Roman" w:hAnsi="Times New Roman"/>
          <w:color w:val="000000" w:themeColor="text1"/>
          <w:sz w:val="22"/>
          <w:szCs w:val="22"/>
        </w:rPr>
        <w:t>TERCEIRA</w:t>
      </w:r>
      <w:r w:rsidR="00FF578B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A238F4">
        <w:rPr>
          <w:rFonts w:ascii="Times New Roman" w:hAnsi="Times New Roman"/>
          <w:color w:val="000000" w:themeColor="text1"/>
          <w:sz w:val="22"/>
          <w:szCs w:val="22"/>
        </w:rPr>
        <w:t>–</w:t>
      </w:r>
      <w:r w:rsidR="00FF578B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A238F4">
        <w:rPr>
          <w:rFonts w:ascii="Times New Roman" w:hAnsi="Times New Roman"/>
          <w:color w:val="000000" w:themeColor="text1"/>
          <w:sz w:val="22"/>
          <w:szCs w:val="22"/>
        </w:rPr>
        <w:t xml:space="preserve">DA </w:t>
      </w:r>
      <w:r w:rsidRPr="00A238F4">
        <w:rPr>
          <w:rFonts w:ascii="Times New Roman" w:hAnsi="Times New Roman"/>
          <w:color w:val="000000" w:themeColor="text1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238F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admissível a fusão, cisão ou incorporação </w:t>
      </w:r>
      <w:bookmarkEnd w:id="1"/>
      <w:r w:rsidRPr="00AE367E">
        <w:rPr>
          <w:rFonts w:ascii="Times New Roman" w:hAnsi="Times New Roman" w:cs="Times New Roman"/>
          <w:sz w:val="22"/>
          <w:szCs w:val="22"/>
        </w:rPr>
        <w:t>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59DF20E3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244E6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122FEF80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244E6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3FCEFFE9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244E6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1CE0CB43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244E6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6ECB0236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244E6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4D36DB68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244E6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7A7F6B48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 w:rsidR="001244E6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10465A47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244E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70E17B00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244E6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695D95E5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244E6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 compromete a tratar os dados dispostos no presente contrato apenas para a estrita e exclusiva finalidade e necessidade da realização do objeto do contrato. A CONTRATADA deverá manter todas as informações deste Contrato sob sigilo e não deve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357054C0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244E6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F075D" w14:textId="77777777" w:rsidR="00D71CFC" w:rsidRDefault="00D71CFC">
      <w:r>
        <w:separator/>
      </w:r>
    </w:p>
  </w:endnote>
  <w:endnote w:type="continuationSeparator" w:id="0">
    <w:p w14:paraId="349FB34A" w14:textId="77777777" w:rsidR="00D71CFC" w:rsidRDefault="00D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DAB6A" w14:textId="77777777" w:rsidR="00D71CFC" w:rsidRDefault="00D71CFC">
      <w:r>
        <w:separator/>
      </w:r>
    </w:p>
  </w:footnote>
  <w:footnote w:type="continuationSeparator" w:id="0">
    <w:p w14:paraId="02E5376A" w14:textId="77777777" w:rsidR="00D71CFC" w:rsidRDefault="00D7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474C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4E6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38F4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074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72</TotalTime>
  <Pages>8</Pages>
  <Words>1970</Words>
  <Characters>10993</Characters>
  <Application>Microsoft Office Word</Application>
  <DocSecurity>0</DocSecurity>
  <Lines>91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28</cp:revision>
  <cp:lastPrinted>2017-09-20T20:17:00Z</cp:lastPrinted>
  <dcterms:created xsi:type="dcterms:W3CDTF">2023-01-05T12:56:00Z</dcterms:created>
  <dcterms:modified xsi:type="dcterms:W3CDTF">2026-03-31T13:41:00Z</dcterms:modified>
</cp:coreProperties>
</file>