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png" ContentType="image/png"/>
  <Override PartName="/word/media/image5.jpeg" ContentType="image/jpeg"/>
  <Override PartName="/word/media/image7.png" ContentType="image/png"/>
  <Override PartName="/word/media/image6.png" ContentType="image/png"/>
  <Override PartName="/word/footer4.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691" w:type="dxa"/>
        <w:jc w:val="left"/>
        <w:tblInd w:w="20" w:type="dxa"/>
        <w:tblLayout w:type="fixed"/>
        <w:tblCellMar>
          <w:top w:w="55" w:type="dxa"/>
          <w:left w:w="4" w:type="dxa"/>
          <w:bottom w:w="55" w:type="dxa"/>
          <w:right w:w="55" w:type="dxa"/>
        </w:tblCellMar>
      </w:tblPr>
      <w:tblGrid>
        <w:gridCol w:w="1348"/>
        <w:gridCol w:w="8342"/>
      </w:tblGrid>
      <w:tr>
        <w:trPr>
          <w:trHeight w:val="1309" w:hRule="atLeast"/>
        </w:trPr>
        <w:tc>
          <w:tcPr>
            <w:tcW w:w="1348" w:type="dxa"/>
            <w:tcBorders>
              <w:top w:val="single" w:sz="2" w:space="0" w:color="000001"/>
              <w:left w:val="single" w:sz="2" w:space="0" w:color="000001"/>
              <w:bottom w:val="single" w:sz="2" w:space="0" w:color="000001"/>
            </w:tcBorders>
            <w:shd w:color="auto" w:fill="FFFFFF" w:val="clear"/>
          </w:tcPr>
          <w:p>
            <w:pPr>
              <w:pStyle w:val="Contedodatabela"/>
              <w:widowControl w:val="false"/>
              <w:jc w:val="center"/>
              <w:rPr/>
            </w:pPr>
            <w:r>
              <w:rPr/>
              <w:drawing>
                <wp:anchor behindDoc="0" distT="0" distB="0" distL="0" distR="0" simplePos="0" locked="0" layoutInCell="1" allowOverlap="1" relativeHeight="42">
                  <wp:simplePos x="0" y="0"/>
                  <wp:positionH relativeFrom="column">
                    <wp:posOffset>55245</wp:posOffset>
                  </wp:positionH>
                  <wp:positionV relativeFrom="paragraph">
                    <wp:posOffset>110490</wp:posOffset>
                  </wp:positionV>
                  <wp:extent cx="794385" cy="603250"/>
                  <wp:effectExtent l="0" t="0" r="0" b="0"/>
                  <wp:wrapSquare wrapText="largest"/>
                  <wp:docPr id="1"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
                          <pic:cNvPicPr>
                            <a:picLocks noChangeAspect="1" noChangeArrowheads="1"/>
                          </pic:cNvPicPr>
                        </pic:nvPicPr>
                        <pic:blipFill>
                          <a:blip r:embed="rId2"/>
                          <a:stretch>
                            <a:fillRect/>
                          </a:stretch>
                        </pic:blipFill>
                        <pic:spPr bwMode="auto">
                          <a:xfrm>
                            <a:off x="0" y="0"/>
                            <a:ext cx="794385" cy="603250"/>
                          </a:xfrm>
                          <a:prstGeom prst="rect">
                            <a:avLst/>
                          </a:prstGeom>
                        </pic:spPr>
                      </pic:pic>
                    </a:graphicData>
                  </a:graphic>
                </wp:anchor>
              </w:drawing>
            </w:r>
          </w:p>
        </w:tc>
        <w:tc>
          <w:tcPr>
            <w:tcW w:w="8342" w:type="dxa"/>
            <w:tcBorders>
              <w:top w:val="single" w:sz="2" w:space="0" w:color="000001"/>
              <w:left w:val="single" w:sz="2" w:space="0" w:color="000001"/>
              <w:bottom w:val="single" w:sz="2" w:space="0" w:color="000001"/>
              <w:right w:val="single" w:sz="2" w:space="0" w:color="000001"/>
            </w:tcBorders>
            <w:shd w:color="auto" w:fill="FFFFFF" w:val="clear"/>
          </w:tcPr>
          <w:p>
            <w:pPr>
              <w:pStyle w:val="Normal"/>
              <w:widowControl w:val="false"/>
              <w:spacing w:lineRule="auto" w:line="360"/>
              <w:jc w:val="center"/>
              <w:rPr>
                <w:b/>
                <w:color w:val="00000A"/>
                <w:sz w:val="8"/>
                <w:szCs w:val="8"/>
              </w:rPr>
            </w:pPr>
            <w:r>
              <w:rPr>
                <w:b/>
                <w:color w:val="00000A"/>
                <w:sz w:val="8"/>
                <w:szCs w:val="8"/>
              </w:rPr>
            </w:r>
          </w:p>
          <w:p>
            <w:pPr>
              <w:pStyle w:val="Normal"/>
              <w:widowControl w:val="false"/>
              <w:spacing w:lineRule="auto" w:line="360"/>
              <w:jc w:val="center"/>
              <w:rPr>
                <w:rFonts w:ascii="Times New Roman" w:hAnsi="Times New Roman"/>
              </w:rPr>
            </w:pPr>
            <w:r>
              <w:rPr>
                <w:rFonts w:ascii="Times New Roman" w:hAnsi="Times New Roman"/>
                <w:b/>
                <w:color w:val="00000A"/>
              </w:rPr>
              <w:t>INDÚSTRIA DE MATERIAL BÉLICO DO BRASIL – IMBEL</w:t>
            </w:r>
          </w:p>
          <w:p>
            <w:pPr>
              <w:pStyle w:val="Normal"/>
              <w:widowControl w:val="false"/>
              <w:spacing w:lineRule="auto" w:line="360"/>
              <w:jc w:val="center"/>
              <w:rPr>
                <w:rFonts w:ascii="Times New Roman" w:hAnsi="Times New Roman"/>
              </w:rPr>
            </w:pPr>
            <w:r>
              <w:rPr>
                <w:rFonts w:ascii="Times New Roman" w:hAnsi="Times New Roman"/>
                <w:b/>
                <w:bCs/>
                <w:i/>
                <w:iCs/>
                <w:color w:val="00000A"/>
              </w:rPr>
              <w:t>Vinculada ao Ministério da Defesa por intermédio do</w:t>
            </w:r>
          </w:p>
          <w:p>
            <w:pPr>
              <w:pStyle w:val="Normal"/>
              <w:widowControl w:val="false"/>
              <w:spacing w:lineRule="auto" w:line="360"/>
              <w:jc w:val="center"/>
              <w:rPr>
                <w:rFonts w:ascii="Times New Roman" w:hAnsi="Times New Roman"/>
              </w:rPr>
            </w:pPr>
            <w:r>
              <w:rPr>
                <w:rFonts w:ascii="Times New Roman" w:hAnsi="Times New Roman"/>
                <w:b/>
                <w:bCs/>
                <w:i/>
                <w:iCs/>
                <w:color w:val="00000A"/>
              </w:rPr>
              <w:t xml:space="preserve"> </w:t>
            </w:r>
            <w:r>
              <w:rPr>
                <w:rFonts w:ascii="Times New Roman" w:hAnsi="Times New Roman"/>
                <w:b/>
                <w:bCs/>
                <w:i/>
                <w:iCs/>
                <w:color w:val="00000A"/>
              </w:rPr>
              <w:t>Comando do Exército</w:t>
            </w:r>
          </w:p>
        </w:tc>
      </w:tr>
    </w:tbl>
    <w:p>
      <w:pPr>
        <w:pStyle w:val="Normal"/>
        <w:jc w:val="center"/>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jc w:val="center"/>
        <w:rPr>
          <w:rFonts w:ascii="Times New Roman" w:hAnsi="Times New Roman"/>
          <w:sz w:val="22"/>
          <w:szCs w:val="22"/>
        </w:rPr>
      </w:pPr>
      <w:r>
        <w:rPr>
          <w:rFonts w:cs="Arial" w:ascii="Times New Roman" w:hAnsi="Times New Roman"/>
          <w:b/>
          <w:bCs/>
          <w:color w:val="00000A"/>
          <w:sz w:val="22"/>
          <w:szCs w:val="22"/>
        </w:rPr>
        <w:t>PREGÃO ELETRÔNICO Nº 90090/2026</w:t>
      </w:r>
    </w:p>
    <w:p>
      <w:pPr>
        <w:pStyle w:val="Normal"/>
        <w:jc w:val="center"/>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jc w:val="center"/>
        <w:rPr>
          <w:rFonts w:ascii="Times New Roman" w:hAnsi="Times New Roman"/>
          <w:sz w:val="22"/>
          <w:szCs w:val="22"/>
        </w:rPr>
      </w:pPr>
      <w:r>
        <w:rPr>
          <w:rFonts w:cs="Arial" w:ascii="Times New Roman" w:hAnsi="Times New Roman"/>
          <w:b/>
          <w:bCs/>
          <w:color w:val="00000A"/>
          <w:sz w:val="22"/>
          <w:szCs w:val="22"/>
        </w:rPr>
        <w:t>PROCESSO ADMINISTRATIVO N° 2026PR000090</w:t>
      </w:r>
    </w:p>
    <w:p>
      <w:pPr>
        <w:pStyle w:val="Normal"/>
        <w:jc w:val="center"/>
        <w:rPr>
          <w:rFonts w:ascii="Times New Roman" w:hAnsi="Times New Roman" w:eastAsia="SimSun" w:cs="Arial"/>
          <w:b/>
          <w:bCs/>
          <w:color w:val="00000A"/>
          <w:kern w:val="0"/>
          <w:sz w:val="22"/>
          <w:szCs w:val="22"/>
          <w:lang w:val="pt-BR" w:eastAsia="pt-BR" w:bidi="ar-SA"/>
        </w:rPr>
      </w:pPr>
      <w:r>
        <w:rPr>
          <w:rFonts w:eastAsia="SimSun" w:cs="Arial" w:ascii="Times New Roman" w:hAnsi="Times New Roman"/>
          <w:b/>
          <w:bCs/>
          <w:color w:val="00000A"/>
          <w:kern w:val="0"/>
          <w:sz w:val="22"/>
          <w:szCs w:val="22"/>
          <w:lang w:val="pt-BR" w:eastAsia="pt-BR" w:bidi="ar-SA"/>
        </w:rPr>
        <w:t>Contratação 0230/2026</w:t>
      </w:r>
    </w:p>
    <w:p>
      <w:pPr>
        <w:pStyle w:val="Normal"/>
        <w:jc w:val="center"/>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spacing w:lineRule="auto" w:line="276"/>
        <w:jc w:val="both"/>
        <w:rPr/>
      </w:pPr>
      <w:r>
        <w:rPr>
          <w:rFonts w:eastAsia="SimSun" w:cs="Arial" w:ascii="Times New Roman" w:hAnsi="Times New Roman"/>
          <w:b w:val="false"/>
          <w:bCs w:val="false"/>
          <w:color w:val="00000A"/>
          <w:kern w:val="0"/>
          <w:sz w:val="22"/>
          <w:szCs w:val="22"/>
          <w:shd w:fill="auto" w:val="clear"/>
          <w:lang w:val="pt-BR" w:eastAsia="pt-BR" w:bidi="ar-SA"/>
        </w:rPr>
        <w:t xml:space="preserve">Torna-se público, para conhecimento dos interessados, que a </w:t>
      </w:r>
      <w:r>
        <w:rPr>
          <w:rFonts w:eastAsia="SimSun" w:cs="Arial" w:ascii="Times New Roman" w:hAnsi="Times New Roman"/>
          <w:b/>
          <w:bCs/>
          <w:color w:val="00000A"/>
          <w:kern w:val="0"/>
          <w:sz w:val="22"/>
          <w:szCs w:val="22"/>
          <w:shd w:fill="auto" w:val="clear"/>
          <w:lang w:val="pt-BR" w:eastAsia="pt-BR" w:bidi="ar-SA"/>
        </w:rPr>
        <w:t>INDÚSTRIA DE MATERIAL BÉLICO DO BRASIL - IMBEL</w:t>
      </w:r>
      <w:r>
        <w:rPr>
          <w:rFonts w:eastAsia="SimSun" w:cs="Arial" w:ascii="Times New Roman" w:hAnsi="Times New Roman"/>
          <w:b w:val="false"/>
          <w:bCs w:val="false"/>
          <w:color w:val="00000A"/>
          <w:kern w:val="0"/>
          <w:sz w:val="22"/>
          <w:szCs w:val="22"/>
          <w:shd w:fill="auto" w:val="clear"/>
          <w:lang w:val="pt-BR" w:eastAsia="pt-BR" w:bidi="ar-SA"/>
        </w:rPr>
        <w:t xml:space="preserve">, </w:t>
      </w:r>
      <w:r>
        <w:rPr>
          <w:rFonts w:eastAsia="SimSun" w:cs="Times New Roman" w:ascii="Times New Roman" w:hAnsi="Times New Roman"/>
          <w:b w:val="false"/>
          <w:bCs w:val="false"/>
          <w:color w:val="000000"/>
          <w:kern w:val="0"/>
          <w:sz w:val="22"/>
          <w:szCs w:val="22"/>
          <w:shd w:fill="auto" w:val="clear"/>
          <w:lang w:val="pt-BR" w:eastAsia="pt-BR" w:bidi="pt-BR"/>
        </w:rPr>
        <w:t xml:space="preserve">Empresa Pública Federal, vinculada ao Ministério da Defesa, por intermédio do Comando do Exército, constituída pela Lei nº 6.227, de 14/07/1975, com seu Estatuto Social aprovado pela Assembleia Geral Extraordinária nº </w:t>
      </w:r>
      <w:r>
        <w:rPr>
          <w:rFonts w:eastAsia="SimSun" w:cs="Times New Roman" w:ascii="Times New Roman" w:hAnsi="Times New Roman"/>
          <w:b w:val="false"/>
          <w:bCs w:val="false"/>
          <w:color w:val="00000A"/>
          <w:kern w:val="0"/>
          <w:sz w:val="22"/>
          <w:szCs w:val="22"/>
          <w:shd w:fill="auto" w:val="clear"/>
          <w:lang w:val="pt-BR" w:eastAsia="pt-BR" w:bidi="pt-BR"/>
        </w:rPr>
        <w:t xml:space="preserve">01/2026, realizada </w:t>
      </w:r>
      <w:r>
        <w:rPr>
          <w:rFonts w:eastAsia="SimSun" w:cs="Times New Roman" w:ascii="Times New Roman" w:hAnsi="Times New Roman"/>
          <w:b w:val="false"/>
          <w:bCs w:val="false"/>
          <w:color w:val="000000"/>
          <w:kern w:val="0"/>
          <w:sz w:val="22"/>
          <w:szCs w:val="22"/>
          <w:shd w:fill="auto" w:val="clear"/>
          <w:lang w:val="pt-BR" w:eastAsia="pt-BR" w:bidi="pt-BR"/>
        </w:rPr>
        <w:t xml:space="preserve">em </w:t>
      </w:r>
      <w:r>
        <w:rPr>
          <w:rFonts w:eastAsia="SimSun" w:cs="Times New Roman" w:ascii="Times New Roman" w:hAnsi="Times New Roman"/>
          <w:b w:val="false"/>
          <w:bCs w:val="false"/>
          <w:color w:val="00000A"/>
          <w:kern w:val="0"/>
          <w:sz w:val="22"/>
          <w:szCs w:val="22"/>
          <w:shd w:fill="auto" w:val="clear"/>
          <w:lang w:val="pt-BR" w:eastAsia="pt-BR" w:bidi="pt-BR"/>
        </w:rPr>
        <w:t>28/01/2026, registrado perante a Junta Comercial, Industrial e Serviços do Distrito Federal - JUCISDF, em 19/02/2026, conforme NIRE 53500000275 e sob nº 2968375, publicado no Diário Oficial União de 24/02/2026, Seção 1, páginas 15 a 21, arquivado e publicado na JUCISDF sob nº 2978251, em 27/02/2026, regida pela Lei nº 13.303, de</w:t>
      </w:r>
      <w:r>
        <w:rPr>
          <w:rFonts w:eastAsia="SimSun" w:cs="Times New Roman" w:ascii="Times New Roman" w:hAnsi="Times New Roman"/>
          <w:b w:val="false"/>
          <w:bCs w:val="false"/>
          <w:color w:val="000000"/>
          <w:kern w:val="0"/>
          <w:sz w:val="22"/>
          <w:szCs w:val="22"/>
          <w:shd w:fill="auto" w:val="clear"/>
          <w:lang w:val="pt-BR" w:eastAsia="pt-BR" w:bidi="pt-BR"/>
        </w:rPr>
        <w:t xml:space="preserve"> 30/06/2016, Lei nº 6.404, de 15/12/1976, Decreto nº 8.945, de 27/12/2016, e demais legislações aplicáveis, classificada como Empresa Pública Dependente, nos termos do art. 2º, III, da Lei Complementar nº 101, de 04/05/2000 e da Portaria nº 289, de 29/05/2008, da Secretaria do Tesouro Nacional - STN, publicada no DOU, Seção I, de 30/05/2008, com capital integralmente subscrito pela</w:t>
      </w:r>
      <w:r>
        <w:rPr>
          <w:rFonts w:eastAsia="SimSun" w:cs="Times New Roman" w:ascii="Times New Roman" w:hAnsi="Times New Roman"/>
          <w:b/>
          <w:bCs/>
          <w:color w:val="000000"/>
          <w:kern w:val="0"/>
          <w:sz w:val="22"/>
          <w:szCs w:val="22"/>
          <w:shd w:fill="auto" w:val="clear"/>
          <w:lang w:val="pt-BR" w:eastAsia="pt-BR" w:bidi="pt-BR"/>
        </w:rPr>
        <w:t xml:space="preserve"> UNIÃO</w:t>
      </w:r>
      <w:r>
        <w:rPr>
          <w:rFonts w:eastAsia="SimSun" w:cs="Arial" w:ascii="Times New Roman" w:hAnsi="Times New Roman"/>
          <w:b w:val="false"/>
          <w:bCs w:val="false"/>
          <w:color w:val="00000A"/>
          <w:kern w:val="0"/>
          <w:sz w:val="22"/>
          <w:szCs w:val="22"/>
          <w:shd w:fill="auto" w:val="clear"/>
          <w:lang w:val="pt-BR" w:eastAsia="pt-BR" w:bidi="ar-SA"/>
        </w:rPr>
        <w:t xml:space="preserve">, inscrita no CNPJ/MF sob n° 00.444.232/0001-39, com </w:t>
      </w:r>
      <w:r>
        <w:rPr>
          <w:rFonts w:eastAsia="SimSun" w:cs="Arial" w:ascii="Times New Roman" w:hAnsi="Times New Roman"/>
          <w:b/>
          <w:bCs/>
          <w:color w:val="00000A"/>
          <w:kern w:val="0"/>
          <w:sz w:val="22"/>
          <w:szCs w:val="22"/>
          <w:shd w:fill="auto" w:val="clear"/>
          <w:lang w:val="pt-BR" w:eastAsia="pt-BR" w:bidi="ar-SA"/>
        </w:rPr>
        <w:t>SEDE</w:t>
      </w:r>
      <w:r>
        <w:rPr>
          <w:rFonts w:eastAsia="SimSun" w:cs="Arial" w:ascii="Times New Roman" w:hAnsi="Times New Roman"/>
          <w:b w:val="false"/>
          <w:bCs w:val="false"/>
          <w:color w:val="00000A"/>
          <w:kern w:val="0"/>
          <w:sz w:val="22"/>
          <w:szCs w:val="22"/>
          <w:shd w:fill="auto" w:val="clear"/>
          <w:lang w:val="pt-BR" w:eastAsia="pt-BR" w:bidi="ar-SA"/>
        </w:rPr>
        <w:t xml:space="preserve"> e foro na cidade de Brasília - Distrito Federal, localizada no Quartel General do Exército, Bloco “H”, 3° Pavimento, Setor Militar Urbano - SMU, Brasília - Distrito Federal, CEP: 70630-901, e com</w:t>
      </w:r>
      <w:r>
        <w:rPr>
          <w:rFonts w:eastAsia="SimSun" w:cs="Calibri" w:ascii="Times New Roman" w:hAnsi="Times New Roman"/>
          <w:b/>
          <w:bCs/>
          <w:color w:val="000000"/>
          <w:kern w:val="0"/>
          <w:sz w:val="22"/>
          <w:szCs w:val="22"/>
          <w:shd w:fill="auto" w:val="clear"/>
          <w:lang w:val="pt-BR" w:eastAsia="pt-BR" w:bidi="pt-BR"/>
        </w:rPr>
        <w:t xml:space="preserve"> FILIAL</w:t>
      </w:r>
      <w:r>
        <w:rPr>
          <w:rFonts w:eastAsia="SimSun" w:cs="Times New Roman" w:ascii="Times New Roman" w:hAnsi="Times New Roman"/>
          <w:b w:val="false"/>
          <w:bCs w:val="false"/>
          <w:color w:val="00000A"/>
          <w:kern w:val="0"/>
          <w:sz w:val="22"/>
          <w:szCs w:val="22"/>
          <w:shd w:fill="auto" w:val="clear"/>
          <w:lang w:val="pt-BR" w:eastAsia="pt-BR" w:bidi="pt-BR"/>
        </w:rPr>
        <w:t xml:space="preserve"> denominada, FÁBRICA DE </w:t>
      </w:r>
      <w:r>
        <w:rPr>
          <w:rFonts w:eastAsia="SimSun" w:cs="Times New Roman" w:ascii="Times New Roman" w:hAnsi="Times New Roman"/>
          <w:b w:val="false"/>
          <w:bCs w:val="false"/>
          <w:color w:val="000000"/>
          <w:kern w:val="0"/>
          <w:sz w:val="22"/>
          <w:szCs w:val="22"/>
          <w:shd w:fill="auto" w:val="clear"/>
          <w:lang w:val="pt-BR" w:eastAsia="pt-BR" w:bidi="pt-BR"/>
        </w:rPr>
        <w:t>ITAJUBÁ – MG, inscrita no CNPJ/MF sob o nº 00.444.232/0007-24, Inscrição Estadual nº 324.219.741.0138, localizada na Av. Coronel Aventino Ribeiro N° 1099 - Bairro Imbel, CEP: 37.501-345</w:t>
      </w:r>
      <w:r>
        <w:rPr>
          <w:rFonts w:eastAsia="SimSun" w:cs="Arial" w:ascii="Times New Roman" w:hAnsi="Times New Roman"/>
          <w:b w:val="false"/>
          <w:bCs w:val="false"/>
          <w:color w:val="00000A"/>
          <w:kern w:val="0"/>
          <w:sz w:val="22"/>
          <w:szCs w:val="22"/>
          <w:shd w:fill="auto" w:val="clear"/>
          <w:lang w:val="pt-BR" w:eastAsia="pt-BR" w:bidi="ar-SA"/>
        </w:rPr>
        <w:t xml:space="preserve">, por intermédio de seu pregoeiro designado pela portaria n° 557-CHFI, de 29 de abril de 2026, realizará licitação na modalidade Pregão, na forma eletrônica, tipo </w:t>
      </w:r>
      <w:r>
        <w:rPr>
          <w:rStyle w:val="Strong2"/>
          <w:rFonts w:eastAsia="Arial Narrow" w:cs="Verdana" w:ascii="Times New Roman" w:hAnsi="Times New Roman"/>
          <w:b w:val="false"/>
          <w:bCs w:val="false"/>
          <w:i w:val="false"/>
          <w:iCs w:val="false"/>
          <w:caps w:val="false"/>
          <w:smallCaps w:val="false"/>
          <w:strike w:val="false"/>
          <w:dstrike w:val="false"/>
          <w:outline w:val="false"/>
          <w:shadow w:val="false"/>
          <w:color w:val="0000FF"/>
          <w:kern w:val="2"/>
          <w:sz w:val="22"/>
          <w:szCs w:val="22"/>
          <w:u w:val="none"/>
          <w:shd w:fill="FFFFFF" w:val="clear"/>
          <w:em w:val="none"/>
          <w:lang w:val="pt-BR" w:eastAsia="ar-SA" w:bidi="ar-SA"/>
        </w:rPr>
        <w:t>menor preço do item</w:t>
      </w:r>
      <w:r>
        <w:rPr>
          <w:rFonts w:cs="Arial" w:ascii="Times New Roman" w:hAnsi="Times New Roman"/>
          <w:b w:val="false"/>
          <w:bCs w:val="false"/>
          <w:color w:val="00000A"/>
          <w:sz w:val="22"/>
          <w:szCs w:val="22"/>
          <w:shd w:fill="auto" w:val="clear"/>
        </w:rPr>
        <w:t>, com o fim de escolher a proposta mais vantajosa e realizar o re</w:t>
      </w:r>
      <w:r>
        <w:rPr>
          <w:rFonts w:cs="Arial" w:ascii="Times New Roman" w:hAnsi="Times New Roman"/>
          <w:b/>
          <w:bCs/>
          <w:color w:val="00000A"/>
          <w:sz w:val="22"/>
          <w:szCs w:val="22"/>
          <w:shd w:fill="auto" w:val="clear"/>
        </w:rPr>
        <w:t xml:space="preserve">gistro de preços </w:t>
      </w:r>
      <w:r>
        <w:rPr>
          <w:rStyle w:val="Strong"/>
          <w:rFonts w:eastAsia="SimSun" w:cs="Times New Roman" w:ascii="Times New Roman" w:hAnsi="Times New Roman"/>
          <w:b w:val="false"/>
          <w:bCs w:val="false"/>
          <w:i w:val="false"/>
          <w:iCs w:val="false"/>
          <w:caps w:val="false"/>
          <w:smallCaps w:val="false"/>
          <w:strike w:val="false"/>
          <w:dstrike w:val="false"/>
          <w:outline w:val="false"/>
          <w:shadow w:val="false"/>
          <w:color w:val="00000A"/>
          <w:kern w:val="0"/>
          <w:sz w:val="22"/>
          <w:szCs w:val="22"/>
          <w:u w:val="none"/>
          <w:shd w:fill="FFFFFF" w:val="clear"/>
          <w:em w:val="none"/>
          <w:lang w:val="pt-BR" w:eastAsia="pt-BR" w:bidi="ar-SA"/>
        </w:rPr>
        <w:t>para futura e eventual</w:t>
      </w:r>
      <w:r>
        <w:rPr>
          <w:rStyle w:val="Hyperlink"/>
          <w:rFonts w:eastAsia="Times New Roman" w:cs="Times New Roman" w:ascii="Times New Roman" w:hAnsi="Times New Roman"/>
          <w:b/>
          <w:bCs/>
          <w:color w:val="0000FF"/>
          <w:kern w:val="2"/>
          <w:sz w:val="22"/>
          <w:szCs w:val="22"/>
          <w:u w:val="none"/>
          <w:shd w:fill="auto" w:val="clear"/>
          <w:lang w:val="pt-BR" w:eastAsia="zh-CN" w:bidi="ar-SA"/>
        </w:rPr>
        <w:t xml:space="preserve"> </w:t>
      </w:r>
      <w:r>
        <w:rPr>
          <w:rStyle w:val="Hyperlink"/>
          <w:rFonts w:eastAsia="Times New Roman" w:cs="Arial" w:ascii="Times New Roman" w:hAnsi="Times New Roman"/>
          <w:b/>
          <w:bCs/>
          <w:color w:val="0000FF"/>
          <w:kern w:val="2"/>
          <w:sz w:val="24"/>
          <w:szCs w:val="24"/>
          <w:u w:val="none"/>
          <w:shd w:fill="auto" w:val="clear"/>
          <w:lang w:val="pt-BR" w:eastAsia="zh-CN" w:bidi="ar-SA"/>
        </w:rPr>
        <w:t>AQUISIÇÃO DE MATERIAIS PARA PROMOVER A SIPAT 2026,</w:t>
      </w:r>
      <w:r>
        <w:rPr>
          <w:rFonts w:cs="Arial" w:ascii="Times New Roman" w:hAnsi="Times New Roman"/>
          <w:b w:val="false"/>
          <w:bCs w:val="false"/>
          <w:color w:val="0000FF"/>
          <w:sz w:val="22"/>
          <w:szCs w:val="22"/>
          <w:shd w:fill="auto" w:val="clear"/>
        </w:rPr>
        <w:t>,</w:t>
      </w:r>
      <w:r>
        <w:rPr>
          <w:rFonts w:cs="Arial" w:ascii="Times New Roman" w:hAnsi="Times New Roman"/>
          <w:b w:val="false"/>
          <w:bCs w:val="false"/>
          <w:color w:val="00000A"/>
          <w:sz w:val="22"/>
          <w:szCs w:val="22"/>
          <w:shd w:fill="auto" w:val="clear"/>
        </w:rPr>
        <w:t xml:space="preserve"> nos termos da lei nº 13.303, de 30 de junho de 2016, do decreto nº 10.024, de 20 de setembro de 2019, </w:t>
      </w:r>
      <w:r>
        <w:rPr>
          <w:rFonts w:eastAsia="Times New Roman" w:cs="Arial" w:ascii="Times New Roman" w:hAnsi="Times New Roman"/>
          <w:b w:val="false"/>
          <w:bCs w:val="false"/>
          <w:color w:val="00000A"/>
          <w:sz w:val="22"/>
          <w:szCs w:val="22"/>
          <w:shd w:fill="auto" w:val="clear"/>
        </w:rPr>
        <w:t xml:space="preserve"> decreto nº 11.462 de 31 de março de 2023,</w:t>
      </w:r>
      <w:r>
        <w:rPr>
          <w:rFonts w:cs="Arial" w:ascii="Times New Roman" w:hAnsi="Times New Roman"/>
          <w:b w:val="false"/>
          <w:bCs w:val="false"/>
          <w:color w:val="00000A"/>
          <w:sz w:val="22"/>
          <w:szCs w:val="22"/>
          <w:shd w:fill="auto" w:val="clear"/>
        </w:rPr>
        <w:t xml:space="preserve"> </w:t>
      </w:r>
      <w:r>
        <w:rPr>
          <w:rFonts w:eastAsia="Times New Roman" w:cs="Arial" w:ascii="Times New Roman" w:hAnsi="Times New Roman"/>
          <w:b w:val="false"/>
          <w:bCs w:val="false"/>
          <w:color w:val="00000A"/>
          <w:sz w:val="22"/>
          <w:szCs w:val="22"/>
          <w:shd w:fill="auto" w:val="clear"/>
        </w:rPr>
        <w:t>da instrução normativa SLTI/MP nº 01, de 19 de janeiro de 2010,</w:t>
      </w:r>
      <w:r>
        <w:rPr>
          <w:rFonts w:cs="Arial" w:ascii="Times New Roman" w:hAnsi="Times New Roman"/>
          <w:b w:val="false"/>
          <w:bCs w:val="false"/>
          <w:color w:val="00000A"/>
          <w:sz w:val="22"/>
          <w:szCs w:val="22"/>
          <w:shd w:fill="auto" w:val="clear"/>
        </w:rPr>
        <w:t xml:space="preserve"> da instrução normativa SEGES/MP nº 03, de 26 de abril, de 2018, da Instrução Normativa nº 73, de 05 de agosto de 2020 , da lei complementar n° 123, de 14 de dezembro de 2006, da lei nº 11.488, de 15 de junho de 2007, do decreto n° 8.538, de 06 de outubro de 2015, </w:t>
      </w:r>
      <w:r>
        <w:rPr>
          <w:rFonts w:eastAsia="SimSun" w:cs="Arial" w:ascii="Times New Roman" w:hAnsi="Times New Roman"/>
          <w:b w:val="false"/>
          <w:bCs w:val="false"/>
          <w:color w:val="00000A"/>
          <w:sz w:val="22"/>
          <w:szCs w:val="22"/>
          <w:shd w:fill="auto" w:val="clear"/>
        </w:rPr>
        <w:t>R</w:t>
      </w:r>
      <w:r>
        <w:rPr>
          <w:rFonts w:cs="Arial" w:ascii="Times New Roman" w:hAnsi="Times New Roman"/>
          <w:b w:val="false"/>
          <w:bCs w:val="false"/>
          <w:color w:val="00000A"/>
          <w:sz w:val="22"/>
          <w:szCs w:val="22"/>
          <w:shd w:fill="auto" w:val="clear"/>
        </w:rPr>
        <w:t xml:space="preserve">egulamento de </w:t>
      </w:r>
      <w:r>
        <w:rPr>
          <w:rFonts w:eastAsia="SimSun" w:cs="Arial" w:ascii="Times New Roman" w:hAnsi="Times New Roman"/>
          <w:b w:val="false"/>
          <w:bCs w:val="false"/>
          <w:color w:val="00000A"/>
          <w:sz w:val="22"/>
          <w:szCs w:val="22"/>
          <w:shd w:fill="auto" w:val="clear"/>
        </w:rPr>
        <w:t>L</w:t>
      </w:r>
      <w:r>
        <w:rPr>
          <w:rFonts w:cs="Arial" w:ascii="Times New Roman" w:hAnsi="Times New Roman"/>
          <w:b w:val="false"/>
          <w:bCs w:val="false"/>
          <w:color w:val="00000A"/>
          <w:sz w:val="22"/>
          <w:szCs w:val="22"/>
          <w:shd w:fill="auto" w:val="clear"/>
        </w:rPr>
        <w:t xml:space="preserve">icitações e </w:t>
      </w:r>
      <w:r>
        <w:rPr>
          <w:rFonts w:eastAsia="SimSun" w:cs="Arial" w:ascii="Times New Roman" w:hAnsi="Times New Roman"/>
          <w:b w:val="false"/>
          <w:bCs w:val="false"/>
          <w:color w:val="00000A"/>
          <w:sz w:val="22"/>
          <w:szCs w:val="22"/>
          <w:shd w:fill="auto" w:val="clear"/>
        </w:rPr>
        <w:t>C</w:t>
      </w:r>
      <w:r>
        <w:rPr>
          <w:rFonts w:cs="Arial" w:ascii="Times New Roman" w:hAnsi="Times New Roman"/>
          <w:b w:val="false"/>
          <w:bCs w:val="false"/>
          <w:color w:val="00000A"/>
          <w:sz w:val="22"/>
          <w:szCs w:val="22"/>
          <w:shd w:fill="auto" w:val="clear"/>
        </w:rPr>
        <w:t>ontratos da Imbel – aprovado na 368ª reunião do CA/Imbel, aplicando-se, subsidiariamente, a lei nº 14.133, de 1°</w:t>
      </w:r>
      <w:r>
        <w:rPr>
          <w:rFonts w:cs="Arial" w:ascii="Times New Roman" w:hAnsi="Times New Roman"/>
          <w:b w:val="false"/>
          <w:bCs w:val="false"/>
          <w:color w:val="00000A"/>
          <w:sz w:val="22"/>
          <w:szCs w:val="22"/>
        </w:rPr>
        <w:t xml:space="preserve"> de abril de 2021, e as exigências estabelecidas neste edital. </w:t>
      </w:r>
    </w:p>
    <w:p>
      <w:pPr>
        <w:pStyle w:val="Normal"/>
        <w:spacing w:lineRule="auto" w:line="276"/>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tbl>
      <w:tblPr>
        <w:tblW w:w="9810" w:type="dxa"/>
        <w:jc w:val="left"/>
        <w:tblInd w:w="-15" w:type="dxa"/>
        <w:tblLayout w:type="fixed"/>
        <w:tblCellMar>
          <w:top w:w="55" w:type="dxa"/>
          <w:left w:w="11" w:type="dxa"/>
          <w:bottom w:w="55" w:type="dxa"/>
          <w:right w:w="55" w:type="dxa"/>
        </w:tblCellMar>
      </w:tblPr>
      <w:tblGrid>
        <w:gridCol w:w="6624"/>
        <w:gridCol w:w="3185"/>
      </w:tblGrid>
      <w:tr>
        <w:trPr/>
        <w:tc>
          <w:tcPr>
            <w:tcW w:w="6624" w:type="dxa"/>
            <w:tcBorders>
              <w:top w:val="single" w:sz="2" w:space="0" w:color="000001"/>
              <w:left w:val="single" w:sz="2" w:space="0" w:color="000001"/>
              <w:bottom w:val="single" w:sz="2" w:space="0" w:color="000001"/>
            </w:tcBorders>
            <w:shd w:fill="EEEEEE" w:val="clear"/>
            <w:vAlign w:val="center"/>
          </w:tcPr>
          <w:p>
            <w:pPr>
              <w:pStyle w:val="Contedodatabela"/>
              <w:widowControl w:val="false"/>
              <w:spacing w:lineRule="atLeast" w:line="300"/>
              <w:jc w:val="center"/>
              <w:rPr>
                <w:rFonts w:ascii="Times New Roman" w:hAnsi="Times New Roman" w:cs="Times New Roman"/>
                <w:b/>
                <w:bCs/>
                <w:sz w:val="22"/>
                <w:szCs w:val="22"/>
                <w:lang w:val="pt-BR" w:eastAsia="en-US" w:bidi="en-US"/>
              </w:rPr>
            </w:pPr>
            <w:r>
              <w:rPr>
                <w:rFonts w:cs="Times New Roman" w:ascii="Times New Roman" w:hAnsi="Times New Roman"/>
                <w:b/>
                <w:bCs/>
                <w:sz w:val="22"/>
                <w:szCs w:val="22"/>
                <w:lang w:val="pt-BR" w:eastAsia="en-US" w:bidi="en-US"/>
              </w:rPr>
              <w:t>ATIVIDADE</w:t>
            </w:r>
          </w:p>
        </w:tc>
        <w:tc>
          <w:tcPr>
            <w:tcW w:w="3185" w:type="dxa"/>
            <w:tcBorders>
              <w:top w:val="single" w:sz="2" w:space="0" w:color="000001"/>
              <w:left w:val="single" w:sz="2" w:space="0" w:color="000001"/>
              <w:bottom w:val="single" w:sz="2" w:space="0" w:color="000001"/>
              <w:right w:val="single" w:sz="2" w:space="0" w:color="000001"/>
            </w:tcBorders>
            <w:shd w:fill="EEEEEE" w:val="clear"/>
          </w:tcPr>
          <w:p>
            <w:pPr>
              <w:pStyle w:val="Contedodatabela"/>
              <w:widowControl w:val="false"/>
              <w:spacing w:lineRule="atLeast" w:line="300"/>
              <w:jc w:val="center"/>
              <w:rPr>
                <w:rFonts w:ascii="Times New Roman" w:hAnsi="Times New Roman" w:cs="Times New Roman"/>
                <w:b/>
                <w:bCs/>
                <w:sz w:val="22"/>
                <w:szCs w:val="22"/>
                <w:lang w:val="pt-BR" w:eastAsia="en-US" w:bidi="en-US"/>
              </w:rPr>
            </w:pPr>
            <w:r>
              <w:rPr>
                <w:rFonts w:cs="Times New Roman" w:ascii="Times New Roman" w:hAnsi="Times New Roman"/>
                <w:b/>
                <w:bCs/>
                <w:sz w:val="22"/>
                <w:szCs w:val="22"/>
                <w:lang w:val="pt-BR" w:eastAsia="en-US" w:bidi="en-US"/>
              </w:rPr>
              <w:t>DATA E HORÁRIO OFICIAL DE BRASÍLIA</w:t>
            </w:r>
          </w:p>
        </w:tc>
      </w:tr>
      <w:tr>
        <w:trPr>
          <w:trHeight w:val="368" w:hRule="atLeast"/>
        </w:trPr>
        <w:tc>
          <w:tcPr>
            <w:tcW w:w="6624" w:type="dxa"/>
            <w:tcBorders>
              <w:top w:val="single" w:sz="2" w:space="0" w:color="000001"/>
              <w:left w:val="single" w:sz="2" w:space="0" w:color="000001"/>
              <w:bottom w:val="single" w:sz="2" w:space="0" w:color="000001"/>
            </w:tcBorders>
            <w:shd w:fill="auto" w:val="clear"/>
          </w:tcPr>
          <w:p>
            <w:pPr>
              <w:pStyle w:val="Contedodatabela"/>
              <w:widowControl w:val="false"/>
              <w:spacing w:lineRule="atLeast" w:line="300"/>
              <w:rPr>
                <w:rFonts w:ascii="Times New Roman" w:hAnsi="Times New Roman" w:cs="Times New Roman"/>
                <w:color w:val="auto"/>
                <w:sz w:val="22"/>
                <w:szCs w:val="22"/>
                <w:lang w:val="pt-BR" w:eastAsia="en-US" w:bidi="en-US"/>
              </w:rPr>
            </w:pPr>
            <w:r>
              <w:rPr>
                <w:rFonts w:cs="Times New Roman" w:ascii="Times New Roman" w:hAnsi="Times New Roman"/>
                <w:color w:val="auto"/>
                <w:sz w:val="22"/>
                <w:szCs w:val="22"/>
                <w:lang w:val="pt-BR" w:eastAsia="en-US" w:bidi="en-US"/>
              </w:rPr>
              <w:t>DATA E HORÁRIO PARA INÍCIO DE CADASTRO DE PROPOSTAS</w:t>
            </w:r>
          </w:p>
        </w:tc>
        <w:tc>
          <w:tcPr>
            <w:tcW w:w="3185" w:type="dxa"/>
            <w:tcBorders>
              <w:top w:val="single" w:sz="2" w:space="0" w:color="000001"/>
              <w:left w:val="single" w:sz="2" w:space="0" w:color="000001"/>
              <w:bottom w:val="single" w:sz="2" w:space="0" w:color="000001"/>
              <w:right w:val="single" w:sz="2" w:space="0" w:color="000001"/>
            </w:tcBorders>
            <w:shd w:fill="auto" w:val="clear"/>
          </w:tcPr>
          <w:p>
            <w:pPr>
              <w:pStyle w:val="Contedodatabela"/>
              <w:widowControl w:val="false"/>
              <w:spacing w:lineRule="atLeast" w:line="300"/>
              <w:jc w:val="center"/>
              <w:rPr>
                <w:rFonts w:ascii="Times New Roman" w:hAnsi="Times New Roman"/>
                <w:sz w:val="22"/>
                <w:szCs w:val="22"/>
              </w:rPr>
            </w:pPr>
            <w:r>
              <w:rPr>
                <w:rFonts w:eastAsia="SimSun" w:cs="Times New Roman" w:ascii="Times New Roman" w:hAnsi="Times New Roman"/>
                <w:b/>
                <w:bCs/>
                <w:color w:val="0000FF"/>
                <w:kern w:val="0"/>
                <w:sz w:val="22"/>
                <w:szCs w:val="22"/>
                <w:u w:val="none"/>
                <w:lang w:val="pt-BR" w:eastAsia="pt-BR" w:bidi="ar-SA"/>
              </w:rPr>
              <w:t>08/10/</w:t>
            </w:r>
            <w:r>
              <w:rPr>
                <w:rFonts w:eastAsia="SimSun" w:cs="Times New Roman" w:ascii="Times New Roman" w:hAnsi="Times New Roman"/>
                <w:b/>
                <w:bCs/>
                <w:color w:val="0000FF"/>
                <w:kern w:val="0"/>
                <w:sz w:val="22"/>
                <w:szCs w:val="22"/>
                <w:lang w:val="pt-BR" w:eastAsia="pt-BR" w:bidi="ar-SA"/>
              </w:rPr>
              <w:t>2026</w:t>
            </w:r>
            <w:r>
              <w:rPr>
                <w:rFonts w:cs="Times New Roman" w:ascii="Times New Roman" w:hAnsi="Times New Roman"/>
                <w:b/>
                <w:bCs/>
                <w:color w:val="0000FF"/>
                <w:sz w:val="22"/>
                <w:szCs w:val="22"/>
              </w:rPr>
              <w:t xml:space="preserve"> – 08:00</w:t>
            </w:r>
          </w:p>
        </w:tc>
      </w:tr>
      <w:tr>
        <w:trPr/>
        <w:tc>
          <w:tcPr>
            <w:tcW w:w="6624" w:type="dxa"/>
            <w:tcBorders>
              <w:top w:val="single" w:sz="2" w:space="0" w:color="000001"/>
              <w:left w:val="single" w:sz="2" w:space="0" w:color="000001"/>
              <w:bottom w:val="single" w:sz="2" w:space="0" w:color="000001"/>
            </w:tcBorders>
            <w:shd w:fill="auto" w:val="clear"/>
          </w:tcPr>
          <w:p>
            <w:pPr>
              <w:pStyle w:val="Contedodatabela"/>
              <w:widowControl w:val="false"/>
              <w:spacing w:lineRule="atLeast" w:line="300"/>
              <w:rPr>
                <w:rFonts w:ascii="Times New Roman" w:hAnsi="Times New Roman" w:cs="Times New Roman"/>
                <w:color w:val="auto"/>
                <w:sz w:val="22"/>
                <w:szCs w:val="22"/>
                <w:lang w:val="pt-BR" w:eastAsia="en-US" w:bidi="en-US"/>
              </w:rPr>
            </w:pPr>
            <w:r>
              <w:rPr>
                <w:rFonts w:cs="Times New Roman" w:ascii="Times New Roman" w:hAnsi="Times New Roman"/>
                <w:color w:val="auto"/>
                <w:sz w:val="22"/>
                <w:szCs w:val="22"/>
                <w:lang w:val="pt-BR" w:eastAsia="en-US" w:bidi="en-US"/>
              </w:rPr>
              <w:t>DATA E HORÁRIO LIMITES PARA CADASTRO DE PROPOSTAS</w:t>
            </w:r>
          </w:p>
        </w:tc>
        <w:tc>
          <w:tcPr>
            <w:tcW w:w="3185" w:type="dxa"/>
            <w:tcBorders>
              <w:top w:val="single" w:sz="2" w:space="0" w:color="000001"/>
              <w:left w:val="single" w:sz="2" w:space="0" w:color="000001"/>
              <w:bottom w:val="single" w:sz="2" w:space="0" w:color="000001"/>
              <w:right w:val="single" w:sz="2" w:space="0" w:color="000001"/>
            </w:tcBorders>
            <w:shd w:fill="auto" w:val="clear"/>
          </w:tcPr>
          <w:p>
            <w:pPr>
              <w:pStyle w:val="Contedodatabela"/>
              <w:widowControl w:val="false"/>
              <w:spacing w:lineRule="atLeast" w:line="300"/>
              <w:jc w:val="center"/>
              <w:rPr>
                <w:rFonts w:ascii="Times New Roman" w:hAnsi="Times New Roman"/>
                <w:sz w:val="22"/>
                <w:szCs w:val="22"/>
              </w:rPr>
            </w:pPr>
            <w:r>
              <w:rPr>
                <w:rFonts w:eastAsia="SimSun" w:cs="Times New Roman" w:ascii="Times New Roman" w:hAnsi="Times New Roman"/>
                <w:b/>
                <w:bCs/>
                <w:color w:val="0000FF"/>
                <w:kern w:val="0"/>
                <w:sz w:val="22"/>
                <w:szCs w:val="22"/>
                <w:u w:val="none"/>
                <w:lang w:val="pt-BR" w:eastAsia="pt-BR" w:bidi="ar-SA"/>
              </w:rPr>
              <w:t>16/10/2026</w:t>
            </w:r>
            <w:r>
              <w:rPr>
                <w:rFonts w:cs="Times New Roman" w:ascii="Times New Roman" w:hAnsi="Times New Roman"/>
                <w:b/>
                <w:bCs/>
                <w:color w:val="0000FF"/>
                <w:sz w:val="22"/>
                <w:szCs w:val="22"/>
                <w:u w:val="none"/>
              </w:rPr>
              <w:t xml:space="preserve"> – 09:00</w:t>
            </w:r>
          </w:p>
        </w:tc>
      </w:tr>
      <w:tr>
        <w:trPr/>
        <w:tc>
          <w:tcPr>
            <w:tcW w:w="6624" w:type="dxa"/>
            <w:tcBorders>
              <w:top w:val="single" w:sz="2" w:space="0" w:color="000001"/>
              <w:left w:val="single" w:sz="2" w:space="0" w:color="000001"/>
              <w:bottom w:val="single" w:sz="2" w:space="0" w:color="000001"/>
            </w:tcBorders>
            <w:shd w:fill="auto" w:val="clear"/>
          </w:tcPr>
          <w:p>
            <w:pPr>
              <w:pStyle w:val="Contedodatabela"/>
              <w:widowControl w:val="false"/>
              <w:spacing w:lineRule="atLeast" w:line="300"/>
              <w:rPr>
                <w:rFonts w:ascii="Times New Roman" w:hAnsi="Times New Roman" w:cs="Times New Roman"/>
                <w:color w:val="auto"/>
                <w:sz w:val="22"/>
                <w:szCs w:val="22"/>
                <w:lang w:val="pt-BR" w:eastAsia="en-US" w:bidi="en-US"/>
              </w:rPr>
            </w:pPr>
            <w:r>
              <w:rPr>
                <w:rFonts w:cs="Times New Roman" w:ascii="Times New Roman" w:hAnsi="Times New Roman"/>
                <w:color w:val="auto"/>
                <w:sz w:val="22"/>
                <w:szCs w:val="22"/>
                <w:lang w:val="pt-BR" w:eastAsia="en-US" w:bidi="en-US"/>
              </w:rPr>
              <w:t>DATA E HORÁRIO PARA INÍCIO DA SESSÃO PÚBLICA</w:t>
            </w:r>
          </w:p>
        </w:tc>
        <w:tc>
          <w:tcPr>
            <w:tcW w:w="3185" w:type="dxa"/>
            <w:tcBorders>
              <w:top w:val="single" w:sz="2" w:space="0" w:color="000001"/>
              <w:left w:val="single" w:sz="2" w:space="0" w:color="000001"/>
              <w:bottom w:val="single" w:sz="2" w:space="0" w:color="000001"/>
              <w:right w:val="single" w:sz="2" w:space="0" w:color="000001"/>
            </w:tcBorders>
            <w:shd w:fill="auto" w:val="clear"/>
          </w:tcPr>
          <w:p>
            <w:pPr>
              <w:pStyle w:val="Contedodatabela"/>
              <w:widowControl w:val="false"/>
              <w:spacing w:lineRule="atLeast" w:line="300"/>
              <w:jc w:val="center"/>
              <w:rPr>
                <w:rFonts w:ascii="Times New Roman" w:hAnsi="Times New Roman"/>
                <w:sz w:val="22"/>
                <w:szCs w:val="22"/>
              </w:rPr>
            </w:pPr>
            <w:r>
              <w:rPr>
                <w:rFonts w:eastAsia="SimSun" w:cs="Times New Roman" w:ascii="Times New Roman" w:hAnsi="Times New Roman"/>
                <w:b/>
                <w:bCs/>
                <w:color w:val="0000FF"/>
                <w:kern w:val="0"/>
                <w:sz w:val="22"/>
                <w:szCs w:val="22"/>
                <w:u w:val="none"/>
                <w:lang w:val="pt-BR" w:eastAsia="pt-BR" w:bidi="ar-SA"/>
              </w:rPr>
              <w:t xml:space="preserve">16/10/2026 </w:t>
            </w:r>
            <w:r>
              <w:rPr>
                <w:rFonts w:cs="Times New Roman" w:ascii="Times New Roman" w:hAnsi="Times New Roman"/>
                <w:b/>
                <w:bCs/>
                <w:color w:val="0000FF"/>
                <w:sz w:val="22"/>
                <w:szCs w:val="22"/>
                <w:u w:val="none"/>
              </w:rPr>
              <w:t>– 09:01</w:t>
            </w:r>
          </w:p>
        </w:tc>
      </w:tr>
      <w:tr>
        <w:trPr/>
        <w:tc>
          <w:tcPr>
            <w:tcW w:w="9809" w:type="dxa"/>
            <w:gridSpan w:val="2"/>
            <w:tcBorders>
              <w:top w:val="single" w:sz="2" w:space="0" w:color="000001"/>
              <w:left w:val="single" w:sz="2" w:space="0" w:color="000001"/>
              <w:bottom w:val="single" w:sz="2" w:space="0" w:color="000001"/>
              <w:right w:val="single" w:sz="2" w:space="0" w:color="000001"/>
            </w:tcBorders>
            <w:shd w:fill="EEEEEE" w:val="clear"/>
          </w:tcPr>
          <w:p>
            <w:pPr>
              <w:pStyle w:val="Contedodatabela"/>
              <w:widowControl w:val="false"/>
              <w:spacing w:lineRule="atLeast" w:line="300"/>
              <w:rPr/>
            </w:pPr>
            <w:r>
              <w:rPr>
                <w:rFonts w:cs="Times New Roman" w:ascii="Times New Roman" w:hAnsi="Times New Roman"/>
                <w:color w:val="auto"/>
                <w:sz w:val="22"/>
                <w:szCs w:val="22"/>
                <w:lang w:val="pt-BR" w:eastAsia="en-US" w:bidi="en-US"/>
              </w:rPr>
              <w:t xml:space="preserve">ENDEREÇO ELETRÔNICO: </w:t>
            </w:r>
            <w:hyperlink r:id="rId3">
              <w:r>
                <w:rPr>
                  <w:rStyle w:val="Hyperlink"/>
                  <w:rFonts w:cs="Arial" w:ascii="Times New Roman" w:hAnsi="Times New Roman"/>
                  <w:b/>
                  <w:bCs/>
                  <w:color w:val="000080"/>
                  <w:sz w:val="22"/>
                  <w:szCs w:val="22"/>
                  <w:u w:val="single"/>
                  <w:lang w:val="zxx" w:eastAsia="zxx" w:bidi="zxx"/>
                </w:rPr>
                <w:t>www.gov.br/compras</w:t>
              </w:r>
            </w:hyperlink>
            <w:r>
              <w:rPr>
                <w:rStyle w:val="Hyperlink"/>
                <w:rFonts w:cs="Arial" w:ascii="Times New Roman" w:hAnsi="Times New Roman"/>
                <w:b/>
                <w:bCs/>
                <w:color w:val="auto"/>
                <w:sz w:val="22"/>
                <w:szCs w:val="22"/>
                <w:u w:val="none"/>
                <w:lang w:val="pt-BR" w:eastAsia="en-US" w:bidi="en-US"/>
              </w:rPr>
              <w:t xml:space="preserve"> </w:t>
            </w:r>
            <w:r>
              <w:rPr>
                <w:rStyle w:val="Hyperlink"/>
                <w:rFonts w:cs="Arial" w:ascii="Times New Roman" w:hAnsi="Times New Roman"/>
                <w:b w:val="false"/>
                <w:bCs w:val="false"/>
                <w:color w:val="auto"/>
                <w:sz w:val="22"/>
                <w:szCs w:val="22"/>
                <w:u w:val="none"/>
                <w:lang w:val="pt-BR" w:eastAsia="en-US" w:bidi="en-US"/>
              </w:rPr>
              <w:t xml:space="preserve">UASG </w:t>
            </w:r>
            <w:r>
              <w:rPr>
                <w:rStyle w:val="Hyperlink"/>
                <w:rFonts w:cs="Arial" w:ascii="Times New Roman" w:hAnsi="Times New Roman"/>
                <w:b/>
                <w:bCs/>
                <w:color w:val="auto"/>
                <w:sz w:val="22"/>
                <w:szCs w:val="22"/>
                <w:u w:val="none"/>
                <w:lang w:val="pt-BR" w:eastAsia="en-US" w:bidi="en-US"/>
              </w:rPr>
              <w:t>168005</w:t>
            </w:r>
          </w:p>
          <w:p>
            <w:pPr>
              <w:pStyle w:val="Contedodatabela"/>
              <w:widowControl w:val="false"/>
              <w:spacing w:lineRule="atLeast" w:line="300"/>
              <w:rPr>
                <w:rStyle w:val="Hyperlink"/>
                <w:rFonts w:ascii="Times New Roman" w:hAnsi="Times New Roman" w:cs="Arial"/>
                <w:b w:val="false"/>
                <w:bCs w:val="false"/>
                <w:color w:val="000000"/>
                <w:sz w:val="22"/>
                <w:szCs w:val="22"/>
                <w:u w:val="none"/>
                <w:lang w:val="pt-BR" w:eastAsia="en-US" w:bidi="en-US"/>
              </w:rPr>
            </w:pPr>
            <w:r>
              <w:rPr>
                <w:rStyle w:val="Hyperlink"/>
                <w:rFonts w:cs="Arial" w:ascii="Times New Roman" w:hAnsi="Times New Roman"/>
                <w:b w:val="false"/>
                <w:bCs w:val="false"/>
                <w:color w:val="auto"/>
                <w:sz w:val="22"/>
                <w:szCs w:val="22"/>
                <w:u w:val="none"/>
                <w:lang w:val="pt-BR" w:eastAsia="en-US" w:bidi="en-US"/>
              </w:rPr>
              <w:t>CONTATO: 35 3629 9422 E-mail:</w:t>
            </w:r>
            <w:r>
              <w:rPr>
                <w:rStyle w:val="Hyperlink"/>
                <w:rFonts w:cs="Arial" w:ascii="Times New Roman" w:hAnsi="Times New Roman"/>
                <w:b w:val="false"/>
                <w:bCs w:val="false"/>
                <w:color w:val="000000"/>
                <w:sz w:val="22"/>
                <w:szCs w:val="22"/>
                <w:u w:val="none"/>
                <w:lang w:val="pt-BR" w:eastAsia="en-US" w:bidi="en-US"/>
              </w:rPr>
              <w:t xml:space="preserve"> </w:t>
            </w:r>
            <w:r>
              <w:rPr>
                <w:rStyle w:val="Hyperlink"/>
                <w:rFonts w:cs="Arial" w:ascii="Times New Roman" w:hAnsi="Times New Roman"/>
                <w:b w:val="false"/>
                <w:bCs w:val="false"/>
                <w:color w:val="000000"/>
                <w:sz w:val="22"/>
                <w:szCs w:val="22"/>
                <w:u w:val="single"/>
                <w:lang w:val="zxx" w:eastAsia="zxx" w:bidi="zxx"/>
              </w:rPr>
              <w:t>milene.fi@imbel.gov.br</w:t>
            </w:r>
            <w:r>
              <w:rPr>
                <w:rStyle w:val="Hyperlink"/>
                <w:rFonts w:cs="Arial" w:ascii="Times New Roman" w:hAnsi="Times New Roman"/>
                <w:b w:val="false"/>
                <w:bCs w:val="false"/>
                <w:color w:val="000000"/>
                <w:sz w:val="22"/>
                <w:szCs w:val="22"/>
                <w:u w:val="none"/>
                <w:lang w:val="pt-BR" w:eastAsia="en-US" w:bidi="en-US"/>
              </w:rPr>
              <w:t xml:space="preserve">  / milene.</w:t>
            </w:r>
            <w:r>
              <w:rPr>
                <w:rStyle w:val="Hyperlink"/>
                <w:rFonts w:cs="Arial" w:ascii="Times New Roman" w:hAnsi="Times New Roman"/>
                <w:b w:val="false"/>
                <w:bCs w:val="false"/>
                <w:color w:val="000000"/>
                <w:sz w:val="22"/>
                <w:szCs w:val="22"/>
                <w:u w:val="single"/>
                <w:lang w:val="zxx" w:eastAsia="zxx" w:bidi="zxx"/>
              </w:rPr>
              <w:t>salcfi@gmail.com</w:t>
            </w:r>
          </w:p>
        </w:tc>
      </w:tr>
    </w:tbl>
    <w:p>
      <w:pPr>
        <w:pStyle w:val="Normal"/>
        <w:spacing w:lineRule="auto" w:line="276"/>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spacing w:lineRule="auto" w:line="276"/>
        <w:rPr/>
      </w:pPr>
      <w:r>
        <w:rPr>
          <w:rFonts w:cs="Arial" w:ascii="Times New Roman" w:hAnsi="Times New Roman"/>
          <w:b/>
          <w:bCs/>
          <w:color w:val="00000A"/>
          <w:sz w:val="22"/>
          <w:szCs w:val="22"/>
        </w:rPr>
        <w:t>1. DO OBJETO</w:t>
      </w:r>
    </w:p>
    <w:p>
      <w:pPr>
        <w:pStyle w:val="Normal"/>
        <w:spacing w:lineRule="auto" w:line="276"/>
        <w:rPr>
          <w:rFonts w:ascii="Times New Roman" w:hAnsi="Times New Roman" w:eastAsia="SimSun" w:cs="Arial"/>
          <w:b/>
          <w:bCs/>
          <w:color w:val="00000A"/>
          <w:sz w:val="22"/>
          <w:szCs w:val="22"/>
          <w:lang w:val="pt-BR" w:eastAsia="pt-BR" w:bidi="ar-SA"/>
        </w:rPr>
      </w:pPr>
      <w:r>
        <w:rPr>
          <w:rFonts w:eastAsia="SimSun" w:cs="Arial" w:ascii="Times New Roman" w:hAnsi="Times New Roman"/>
          <w:b/>
          <w:bCs/>
          <w:color w:val="00000A"/>
          <w:sz w:val="22"/>
          <w:szCs w:val="22"/>
          <w:lang w:val="pt-BR" w:eastAsia="pt-BR" w:bidi="ar-SA"/>
        </w:rPr>
      </w:r>
    </w:p>
    <w:p>
      <w:pPr>
        <w:pStyle w:val="Normal"/>
        <w:widowControl/>
        <w:suppressAutoHyphens w:val="true"/>
        <w:bidi w:val="0"/>
        <w:spacing w:lineRule="auto" w:line="276" w:before="4" w:after="4"/>
        <w:ind w:firstLine="340" w:left="0" w:right="0"/>
        <w:contextualSpacing/>
        <w:jc w:val="both"/>
        <w:rPr/>
      </w:pPr>
      <w:r>
        <w:rPr>
          <w:rFonts w:cs="Arial" w:ascii="Times New Roman" w:hAnsi="Times New Roman"/>
          <w:b/>
          <w:bCs/>
          <w:sz w:val="22"/>
          <w:szCs w:val="22"/>
        </w:rPr>
        <w:t>1.1.</w:t>
      </w:r>
      <w:r>
        <w:rPr>
          <w:rFonts w:cs="Arial" w:ascii="Times New Roman" w:hAnsi="Times New Roman"/>
          <w:sz w:val="22"/>
          <w:szCs w:val="22"/>
        </w:rPr>
        <w:t xml:space="preserve"> O objeto da presente licitação é a escolha da proposta mais vantajosa para </w:t>
      </w:r>
      <w:r>
        <w:rPr>
          <w:rStyle w:val="Hyperlink"/>
          <w:rFonts w:eastAsia="Times New Roman" w:cs="Arial" w:ascii="Times New Roman" w:hAnsi="Times New Roman"/>
          <w:b/>
          <w:bCs/>
          <w:color w:val="0000FF"/>
          <w:kern w:val="2"/>
          <w:sz w:val="24"/>
          <w:szCs w:val="24"/>
          <w:u w:val="none"/>
          <w:shd w:fill="auto" w:val="clear"/>
          <w:lang w:val="pt-BR" w:eastAsia="zh-CN" w:bidi="ar-SA"/>
        </w:rPr>
        <w:t>AQUISIÇÃO DE MATERIAIS PARA PROMOVER A SIPAT 2026</w:t>
      </w:r>
      <w:r>
        <w:rPr>
          <w:rFonts w:cs="Arial" w:ascii="Times New Roman" w:hAnsi="Times New Roman"/>
          <w:sz w:val="22"/>
          <w:szCs w:val="22"/>
        </w:rPr>
        <w:t>, conforme condições, quantidades e exigências estabelecidas neste edital e seus anexos.</w:t>
      </w:r>
    </w:p>
    <w:p>
      <w:pPr>
        <w:pStyle w:val="Normal"/>
        <w:widowControl/>
        <w:suppressAutoHyphens w:val="true"/>
        <w:bidi w:val="0"/>
        <w:spacing w:lineRule="auto" w:line="276" w:before="4" w:after="4"/>
        <w:ind w:firstLine="340" w:left="0" w:right="0"/>
        <w:contextualSpacing/>
        <w:jc w:val="both"/>
        <w:rPr>
          <w:rFonts w:ascii="Times New Roman" w:hAnsi="Times New Roman" w:cs="Arial"/>
          <w:sz w:val="22"/>
          <w:szCs w:val="22"/>
        </w:rPr>
      </w:pPr>
      <w:r>
        <w:rPr>
          <w:rFonts w:cs="Arial" w:ascii="Times New Roman" w:hAnsi="Times New Roman"/>
          <w:sz w:val="22"/>
          <w:szCs w:val="22"/>
        </w:rPr>
      </w:r>
    </w:p>
    <w:p>
      <w:pPr>
        <w:pStyle w:val="Normal"/>
        <w:widowControl/>
        <w:tabs>
          <w:tab w:val="clear" w:pos="720"/>
          <w:tab w:val="left" w:pos="338" w:leader="none"/>
        </w:tabs>
        <w:suppressAutoHyphens w:val="true"/>
        <w:bidi w:val="0"/>
        <w:spacing w:before="4" w:after="4"/>
        <w:ind w:firstLine="340" w:left="0" w:right="0"/>
        <w:contextualSpacing/>
        <w:jc w:val="both"/>
        <w:rPr>
          <w:rFonts w:ascii="Times New Roman" w:hAnsi="Times New Roman"/>
        </w:rPr>
      </w:pPr>
      <w:r>
        <w:rPr>
          <w:rFonts w:cs="Arial" w:ascii="Times New Roman" w:hAnsi="Times New Roman"/>
          <w:b/>
          <w:bCs/>
          <w:i w:val="false"/>
          <w:iCs w:val="false"/>
          <w:color w:val="00000A"/>
          <w:sz w:val="22"/>
          <w:szCs w:val="22"/>
        </w:rPr>
        <w:t xml:space="preserve">1.2. </w:t>
      </w:r>
      <w:r>
        <w:rPr>
          <w:rFonts w:cs="Times New Roman" w:ascii="Times New Roman" w:hAnsi="Times New Roman"/>
          <w:b w:val="false"/>
          <w:bCs w:val="false"/>
          <w:i w:val="false"/>
          <w:iCs w:val="false"/>
          <w:color w:val="00000A"/>
          <w:sz w:val="22"/>
          <w:szCs w:val="22"/>
        </w:rPr>
        <w:t>A licitação será realizada em itens,</w:t>
      </w:r>
      <w:r>
        <w:rPr>
          <w:rFonts w:cs="Arial" w:ascii="Times New Roman" w:hAnsi="Times New Roman"/>
          <w:b w:val="false"/>
          <w:bCs w:val="false"/>
          <w:i w:val="false"/>
          <w:iCs w:val="false"/>
          <w:color w:val="00000A"/>
          <w:sz w:val="22"/>
          <w:szCs w:val="22"/>
        </w:rPr>
        <w:t xml:space="preserve"> conforme tabela constante do Termo de Referência,</w:t>
      </w:r>
      <w:r>
        <w:rPr>
          <w:rFonts w:cs="Times New Roman" w:ascii="Times New Roman" w:hAnsi="Times New Roman"/>
          <w:b w:val="false"/>
          <w:bCs w:val="false"/>
          <w:i w:val="false"/>
          <w:iCs w:val="false"/>
          <w:color w:val="00000A"/>
          <w:sz w:val="22"/>
          <w:szCs w:val="22"/>
        </w:rPr>
        <w:t xml:space="preserve"> facultando-se ao licitante a participação em quantos itens forem de seu interesse.</w:t>
      </w:r>
    </w:p>
    <w:p>
      <w:pPr>
        <w:pStyle w:val="Normal"/>
        <w:widowControl/>
        <w:tabs>
          <w:tab w:val="clear" w:pos="720"/>
          <w:tab w:val="left" w:pos="338" w:leader="none"/>
        </w:tabs>
        <w:suppressAutoHyphens w:val="true"/>
        <w:bidi w:val="0"/>
        <w:spacing w:lineRule="auto" w:line="240" w:before="4" w:after="4"/>
        <w:ind w:firstLine="340" w:left="0" w:right="0"/>
        <w:contextualSpacing/>
        <w:jc w:val="both"/>
        <w:rPr>
          <w:rFonts w:ascii="Times New Roman" w:hAnsi="Times New Roman"/>
          <w:sz w:val="22"/>
        </w:rPr>
      </w:pPr>
      <w:r>
        <w:rPr>
          <w:rFonts w:ascii="Times New Roman" w:hAnsi="Times New Roman"/>
          <w:sz w:val="22"/>
        </w:rPr>
      </w:r>
    </w:p>
    <w:p>
      <w:pPr>
        <w:pStyle w:val="Normal"/>
        <w:tabs>
          <w:tab w:val="clear" w:pos="720"/>
          <w:tab w:val="left" w:pos="338" w:leader="none"/>
        </w:tabs>
        <w:spacing w:lineRule="auto" w:line="240" w:before="4" w:after="4"/>
        <w:ind w:hanging="0" w:left="0" w:right="0"/>
        <w:contextualSpacing/>
        <w:jc w:val="both"/>
        <w:rPr>
          <w:rFonts w:ascii="Times New Roman" w:hAnsi="Times New Roman"/>
        </w:rPr>
      </w:pPr>
      <w:r>
        <w:rPr>
          <w:rFonts w:cs="Arial" w:ascii="Times New Roman" w:hAnsi="Times New Roman"/>
          <w:b/>
          <w:bCs/>
          <w:color w:val="00000A"/>
          <w:sz w:val="22"/>
          <w:szCs w:val="22"/>
        </w:rPr>
        <w:tab/>
        <w:t xml:space="preserve">1.3. </w:t>
      </w:r>
      <w:r>
        <w:rPr>
          <w:rFonts w:cs="Arial" w:ascii="Times New Roman" w:hAnsi="Times New Roman"/>
          <w:color w:val="00000A"/>
          <w:sz w:val="22"/>
          <w:szCs w:val="22"/>
        </w:rPr>
        <w:t>O critério de julgamento adotado será o menor preço do item, observadas as exigências contidas neste Edital e seus Anexos quanto às especificações do objeto.</w:t>
      </w:r>
    </w:p>
    <w:p>
      <w:pPr>
        <w:pStyle w:val="Normal"/>
        <w:tabs>
          <w:tab w:val="clear" w:pos="720"/>
          <w:tab w:val="left" w:pos="338" w:leader="none"/>
        </w:tabs>
        <w:spacing w:lineRule="auto" w:line="240" w:before="4" w:after="4"/>
        <w:ind w:hanging="0" w:left="0" w:right="0"/>
        <w:contextualSpacing/>
        <w:jc w:val="both"/>
        <w:rPr>
          <w:rFonts w:ascii="Times New Roman" w:hAnsi="Times New Roman" w:cs="Arial"/>
          <w:color w:val="00000A"/>
          <w:sz w:val="22"/>
          <w:szCs w:val="22"/>
        </w:rPr>
      </w:pPr>
      <w:r>
        <w:rPr>
          <w:rFonts w:cs="Arial" w:ascii="Times New Roman" w:hAnsi="Times New Roman"/>
          <w:color w:val="00000A"/>
          <w:sz w:val="22"/>
          <w:szCs w:val="22"/>
        </w:rPr>
      </w:r>
    </w:p>
    <w:p>
      <w:pPr>
        <w:pStyle w:val="Normal"/>
        <w:shd w:val="clear" w:color="auto" w:themeTint="0" w:themeShade="0" w:fill="FFFFFF" w:themeFillTint="0" w:themeFillShade="0"/>
        <w:spacing w:lineRule="auto" w:line="276" w:before="4" w:after="4"/>
        <w:contextualSpacing/>
        <w:rPr/>
      </w:pPr>
      <w:r>
        <w:rPr>
          <w:rFonts w:ascii="Times New Roman" w:hAnsi="Times New Roman"/>
          <w:b/>
          <w:bCs/>
          <w:color w:val="00000A"/>
          <w:sz w:val="22"/>
          <w:szCs w:val="22"/>
        </w:rPr>
        <w:t>2. DO REGISTRO DE PREÇOS</w:t>
      </w:r>
    </w:p>
    <w:p>
      <w:pPr>
        <w:pStyle w:val="Normal"/>
        <w:shd w:val="clear" w:color="auto" w:themeTint="0" w:themeShade="0" w:fill="FFFFFF" w:themeFillTint="0" w:themeFillShade="0"/>
        <w:spacing w:lineRule="auto" w:line="276" w:before="4" w:after="4"/>
        <w:contextualSpacing/>
        <w:rPr>
          <w:rFonts w:ascii="Times New Roman" w:hAnsi="Times New Roman" w:eastAsia="SimSun" w:cs="Tahoma"/>
          <w:b/>
          <w:bCs/>
          <w:color w:val="00000A"/>
          <w:sz w:val="22"/>
          <w:szCs w:val="22"/>
          <w:lang w:val="pt-BR" w:eastAsia="pt-BR" w:bidi="ar-SA"/>
        </w:rPr>
      </w:pPr>
      <w:r>
        <w:rPr>
          <w:rFonts w:eastAsia="SimSun" w:cs="Tahoma" w:ascii="Times New Roman" w:hAnsi="Times New Roman"/>
          <w:b/>
          <w:bCs/>
          <w:color w:val="00000A"/>
          <w:sz w:val="22"/>
          <w:szCs w:val="22"/>
          <w:lang w:val="pt-BR" w:eastAsia="pt-BR" w:bidi="ar-SA"/>
        </w:rPr>
      </w:r>
    </w:p>
    <w:p>
      <w:pPr>
        <w:pStyle w:val="Normal"/>
        <w:shd w:val="clear" w:color="auto" w:themeTint="0" w:themeShade="0" w:fill="FFFFFF" w:themeFillTint="0" w:themeFillShade="0"/>
        <w:tabs>
          <w:tab w:val="clear" w:pos="720"/>
          <w:tab w:val="left" w:pos="338" w:leader="none"/>
        </w:tabs>
        <w:spacing w:lineRule="auto" w:line="276" w:before="4" w:after="4"/>
        <w:contextualSpacing/>
        <w:rPr/>
      </w:pPr>
      <w:r>
        <w:rPr>
          <w:rFonts w:ascii="Times New Roman" w:hAnsi="Times New Roman"/>
          <w:b/>
          <w:bCs/>
          <w:color w:val="00000A"/>
          <w:sz w:val="22"/>
          <w:szCs w:val="22"/>
        </w:rPr>
        <w:tab/>
        <w:t>2.1.</w:t>
      </w:r>
      <w:r>
        <w:rPr>
          <w:rFonts w:ascii="Times New Roman" w:hAnsi="Times New Roman"/>
          <w:color w:val="00000A"/>
          <w:sz w:val="22"/>
          <w:szCs w:val="22"/>
        </w:rPr>
        <w:t xml:space="preserve"> As regras referentes aos órgãos gerenciador e participantes, bem como eventuais adesões são as que constam da minuta da Ata de Registro de Preços.</w:t>
      </w:r>
    </w:p>
    <w:p>
      <w:pPr>
        <w:pStyle w:val="Normal"/>
        <w:shd w:val="clear" w:color="auto" w:themeTint="0" w:themeShade="0" w:fill="FFFFFF" w:themeFillTint="0" w:themeFillShade="0"/>
        <w:spacing w:lineRule="auto" w:line="276" w:before="4" w:after="4"/>
        <w:contextualSpacing/>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shd w:val="clear" w:color="auto" w:themeTint="0" w:themeShade="0" w:fill="FFFFFF" w:themeFillTint="0" w:themeFillShade="0"/>
        <w:spacing w:lineRule="auto" w:line="276" w:before="4" w:after="4"/>
        <w:contextualSpacing/>
        <w:jc w:val="both"/>
        <w:rPr/>
      </w:pPr>
      <w:r>
        <w:rPr>
          <w:rFonts w:cs="Arial" w:ascii="Times New Roman" w:hAnsi="Times New Roman"/>
          <w:b/>
          <w:bCs/>
          <w:color w:val="00000A"/>
          <w:sz w:val="22"/>
          <w:szCs w:val="22"/>
        </w:rPr>
        <w:t>3. DO CREDENCIAMENTO</w:t>
      </w:r>
    </w:p>
    <w:p>
      <w:pPr>
        <w:pStyle w:val="Normal"/>
        <w:spacing w:lineRule="auto" w:line="276" w:before="4" w:after="4"/>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tabs>
          <w:tab w:val="clear" w:pos="720"/>
          <w:tab w:val="left" w:pos="338" w:leader="none"/>
        </w:tabs>
        <w:spacing w:lineRule="auto" w:line="276" w:before="4" w:after="4"/>
        <w:contextualSpacing/>
        <w:jc w:val="both"/>
        <w:rPr/>
      </w:pPr>
      <w:r>
        <w:rPr>
          <w:rFonts w:cs="Arial" w:ascii="Times New Roman" w:hAnsi="Times New Roman"/>
          <w:bCs/>
          <w:iCs/>
          <w:color w:val="00000A"/>
          <w:sz w:val="22"/>
          <w:szCs w:val="22"/>
        </w:rPr>
        <w:tab/>
      </w:r>
      <w:r>
        <w:rPr>
          <w:rFonts w:cs="Arial" w:ascii="Times New Roman" w:hAnsi="Times New Roman"/>
          <w:b/>
          <w:bCs/>
          <w:iCs/>
          <w:color w:val="00000A"/>
          <w:sz w:val="22"/>
          <w:szCs w:val="22"/>
        </w:rPr>
        <w:t>3.1.</w:t>
      </w:r>
      <w:r>
        <w:rPr>
          <w:rFonts w:cs="Arial" w:ascii="Times New Roman" w:hAnsi="Times New Roman"/>
          <w:bCs/>
          <w:iCs/>
          <w:color w:val="00000A"/>
          <w:sz w:val="22"/>
          <w:szCs w:val="22"/>
        </w:rPr>
        <w:t xml:space="preserve"> O Credenciamento é o nível básico do registro cadastral no SICAF, que permite a participação dos interessados na modalidade licitatória Pregão, em sua forma eletrônica.</w:t>
      </w:r>
    </w:p>
    <w:p>
      <w:pPr>
        <w:pStyle w:val="BodyText"/>
        <w:tabs>
          <w:tab w:val="clear" w:pos="720"/>
          <w:tab w:val="left" w:pos="338" w:leader="none"/>
        </w:tabs>
        <w:spacing w:lineRule="auto" w:line="276" w:before="4" w:after="4"/>
        <w:contextualSpacing/>
        <w:jc w:val="both"/>
        <w:rPr/>
      </w:pPr>
      <w:r>
        <w:rPr>
          <w:rFonts w:cs="Arial" w:ascii="Times New Roman" w:hAnsi="Times New Roman"/>
          <w:bCs/>
          <w:iCs/>
          <w:color w:val="00000A"/>
          <w:sz w:val="22"/>
          <w:szCs w:val="22"/>
        </w:rPr>
        <w:tab/>
      </w:r>
      <w:r>
        <w:rPr>
          <w:rFonts w:cs="Arial" w:ascii="Times New Roman" w:hAnsi="Times New Roman"/>
          <w:b/>
          <w:bCs/>
          <w:iCs/>
          <w:color w:val="00000A"/>
          <w:sz w:val="22"/>
          <w:szCs w:val="22"/>
        </w:rPr>
        <w:t xml:space="preserve">3.2. </w:t>
      </w:r>
      <w:r>
        <w:rPr>
          <w:rFonts w:cs="Arial" w:ascii="Times New Roman" w:hAnsi="Times New Roman"/>
          <w:bCs/>
          <w:iCs/>
          <w:color w:val="00000A"/>
          <w:sz w:val="22"/>
          <w:szCs w:val="22"/>
        </w:rPr>
        <w:t xml:space="preserve">O credenciamento exigido nos </w:t>
      </w:r>
      <w:r>
        <w:rPr>
          <w:rFonts w:ascii="Times New Roman" w:hAnsi="Times New Roman"/>
          <w:color w:val="00000A"/>
          <w:sz w:val="22"/>
          <w:szCs w:val="22"/>
        </w:rPr>
        <w:t>arts. 9º a 11 do Decreto n. 10.024, de 2019</w:t>
      </w:r>
      <w:r>
        <w:rPr>
          <w:rFonts w:cs="Arial" w:ascii="Times New Roman" w:hAnsi="Times New Roman"/>
          <w:bCs/>
          <w:iCs/>
          <w:color w:val="00000A"/>
          <w:sz w:val="22"/>
          <w:szCs w:val="22"/>
        </w:rPr>
        <w:t>, constitui-se em cadastro prévio de identificação, com a finalidade de agilizar o procedimento e permitir a efetiva participação dos</w:t>
      </w:r>
      <w:r>
        <w:rPr>
          <w:rFonts w:cs="Arial" w:ascii="Times New Roman" w:hAnsi="Times New Roman"/>
          <w:bCs/>
          <w:iCs/>
          <w:color w:val="000000"/>
          <w:sz w:val="22"/>
          <w:szCs w:val="22"/>
        </w:rPr>
        <w:t xml:space="preserve"> interessados no certame – Parecer n. 129/2011/DECOR/CGU/AGU.</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0"/>
          <w:sz w:val="22"/>
          <w:szCs w:val="22"/>
        </w:rPr>
        <w:tab/>
      </w:r>
      <w:r>
        <w:rPr>
          <w:rFonts w:cs="Arial" w:ascii="Times New Roman" w:hAnsi="Times New Roman"/>
          <w:b/>
          <w:bCs/>
          <w:color w:val="000000"/>
          <w:sz w:val="22"/>
          <w:szCs w:val="22"/>
        </w:rPr>
        <w:t>3.3.</w:t>
      </w:r>
      <w:r>
        <w:rPr>
          <w:rFonts w:cs="Arial" w:ascii="Times New Roman" w:hAnsi="Times New Roman"/>
          <w:color w:val="000000"/>
          <w:sz w:val="22"/>
          <w:szCs w:val="22"/>
        </w:rPr>
        <w:t xml:space="preserve"> O cadastro no SICAF deverá ser feito no Portal de Compras do Governo Federal, no sítio </w:t>
      </w:r>
      <w:r>
        <w:rPr>
          <w:rStyle w:val="Hyperlink"/>
          <w:rFonts w:cs="Arial" w:ascii="Times New Roman" w:hAnsi="Times New Roman"/>
          <w:color w:val="000000"/>
          <w:sz w:val="22"/>
          <w:szCs w:val="22"/>
        </w:rPr>
        <w:t>www.gov.br/compras</w:t>
      </w:r>
      <w:r>
        <w:rPr>
          <w:rFonts w:cs="Arial" w:ascii="Times New Roman" w:hAnsi="Times New Roman"/>
          <w:color w:val="000000"/>
          <w:sz w:val="22"/>
          <w:szCs w:val="22"/>
        </w:rPr>
        <w:t>, por meio de certificado digital conferido pela Infraestrutura de Chaves Públicas Brasileira – ICP – Brasil.</w:t>
      </w:r>
    </w:p>
    <w:p>
      <w:pPr>
        <w:pStyle w:val="Normal"/>
        <w:tabs>
          <w:tab w:val="clear" w:pos="720"/>
          <w:tab w:val="left" w:pos="338" w:leader="none"/>
        </w:tabs>
        <w:spacing w:lineRule="auto" w:line="276" w:before="4" w:after="4"/>
        <w:contextualSpacing/>
        <w:jc w:val="both"/>
        <w:rPr/>
      </w:pPr>
      <w:r>
        <w:rPr>
          <w:rFonts w:cs="Arial" w:ascii="Times New Roman" w:hAnsi="Times New Roman"/>
          <w:color w:val="000000"/>
          <w:sz w:val="22"/>
          <w:szCs w:val="22"/>
        </w:rPr>
        <w:tab/>
      </w:r>
      <w:r>
        <w:rPr>
          <w:rFonts w:cs="Arial" w:ascii="Times New Roman" w:hAnsi="Times New Roman"/>
          <w:b/>
          <w:bCs/>
          <w:color w:val="000000"/>
          <w:sz w:val="22"/>
          <w:szCs w:val="22"/>
        </w:rPr>
        <w:t>3.4.</w:t>
      </w:r>
      <w:r>
        <w:rPr>
          <w:rFonts w:cs="Arial" w:ascii="Times New Roman" w:hAnsi="Times New Roman"/>
          <w:color w:val="000000"/>
          <w:sz w:val="22"/>
          <w:szCs w:val="22"/>
        </w:rPr>
        <w:t xml:space="preserve"> O credenciamento junto ao provedor do sistema implica a responsabilidade do licitante ou de seu representante legal e a pre</w:t>
      </w:r>
      <w:r>
        <w:rPr>
          <w:rFonts w:cs="Arial" w:ascii="Times New Roman" w:hAnsi="Times New Roman"/>
          <w:color w:val="00000A"/>
          <w:sz w:val="22"/>
          <w:szCs w:val="22"/>
        </w:rPr>
        <w:t>sunção de sua capacidade técnica para realização das transações inerentes a este Pregão.</w:t>
      </w:r>
    </w:p>
    <w:p>
      <w:pPr>
        <w:pStyle w:val="Normal"/>
        <w:tabs>
          <w:tab w:val="clear" w:pos="720"/>
          <w:tab w:val="left" w:pos="338" w:leader="none"/>
        </w:tabs>
        <w:spacing w:lineRule="auto" w:line="276" w:before="4" w:after="4"/>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3.5.</w:t>
      </w:r>
      <w:r>
        <w:rPr>
          <w:rFonts w:cs="Arial" w:ascii="Times New Roman" w:hAnsi="Times New Roman"/>
          <w:color w:val="00000A"/>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ormal"/>
        <w:tabs>
          <w:tab w:val="clear" w:pos="720"/>
          <w:tab w:val="left" w:pos="338" w:leader="none"/>
        </w:tabs>
        <w:spacing w:lineRule="auto" w:line="276" w:before="4" w:after="4"/>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3.6.</w:t>
      </w:r>
      <w:r>
        <w:rPr>
          <w:rFonts w:cs="Arial" w:ascii="Times New Roman" w:hAnsi="Times New Roman"/>
          <w:color w:val="00000A"/>
          <w:sz w:val="22"/>
          <w:szCs w:val="22"/>
        </w:rPr>
        <w:t xml:space="preserve"> 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A não observância deste disposto poderá ensejar desclassificação no momento da habilitação.</w:t>
      </w:r>
    </w:p>
    <w:p>
      <w:pPr>
        <w:pStyle w:val="Normal"/>
        <w:spacing w:lineRule="auto" w:line="276" w:before="4" w:after="4"/>
        <w:contextualSpacing/>
        <w:jc w:val="both"/>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p>
      <w:pPr>
        <w:pStyle w:val="Nivel01"/>
        <w:spacing w:lineRule="auto" w:line="276" w:before="4" w:after="4"/>
        <w:contextualSpacing/>
        <w:rPr/>
      </w:pPr>
      <w:r>
        <w:rPr>
          <w:rFonts w:cs="Arial" w:ascii="Times New Roman" w:hAnsi="Times New Roman"/>
          <w:color w:val="00000A"/>
          <w:sz w:val="22"/>
          <w:szCs w:val="22"/>
        </w:rPr>
        <w:t>4. DA PARTICIPAÇÃO NO PREGÃO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 xml:space="preserve">4.1. </w:t>
      </w:r>
      <w:r>
        <w:rPr>
          <w:rFonts w:cs="Arial" w:ascii="Times New Roman" w:hAnsi="Times New Roman"/>
          <w:bCs/>
          <w:color w:val="00000A"/>
          <w:sz w:val="22"/>
          <w:szCs w:val="22"/>
        </w:rPr>
        <w:t>Poderão participar deste Pregão somente os interessados cujo ramo de atividade seja compatível com o objeto desta licitação, e que estejam com Credenciamento regular no</w:t>
      </w:r>
      <w:r>
        <w:rPr>
          <w:rFonts w:cs="Arial" w:ascii="Times New Roman" w:hAnsi="Times New Roman"/>
          <w:color w:val="00000A"/>
          <w:sz w:val="22"/>
          <w:szCs w:val="22"/>
        </w:rPr>
        <w:t xml:space="preserve"> Sistema de Cadastramento Unificado de Fornecedores – SICAF, </w:t>
      </w:r>
      <w:r>
        <w:rPr>
          <w:rFonts w:cs="Arial" w:ascii="Times New Roman" w:hAnsi="Times New Roman"/>
          <w:bCs/>
          <w:color w:val="00000A"/>
          <w:sz w:val="22"/>
          <w:szCs w:val="22"/>
        </w:rPr>
        <w:t>conforme disposto no art. 9º da IN SEGES/MP nº 3, de 2018.</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 xml:space="preserve">4.2. </w:t>
      </w:r>
      <w:r>
        <w:rPr>
          <w:rFonts w:cs="Arial" w:ascii="Times New Roman" w:hAnsi="Times New Roman"/>
          <w:color w:val="00000A"/>
          <w:sz w:val="22"/>
          <w:szCs w:val="22"/>
        </w:rPr>
        <w:t>Os licitantes deverão utilizar o certificado digital para acesso ao Sistema.</w:t>
      </w:r>
    </w:p>
    <w:p>
      <w:pPr>
        <w:pStyle w:val="Normal"/>
        <w:tabs>
          <w:tab w:val="clear" w:pos="720"/>
          <w:tab w:val="left" w:pos="338" w:leader="none"/>
        </w:tabs>
        <w:spacing w:lineRule="auto" w:line="276" w:before="4" w:after="4"/>
        <w:contextualSpacing/>
        <w:jc w:val="both"/>
        <w:rPr/>
      </w:pPr>
      <w:r>
        <w:rPr>
          <w:rFonts w:cs="Arial" w:ascii="Times New Roman" w:hAnsi="Times New Roman"/>
          <w:b/>
          <w:bCs/>
          <w:iCs/>
          <w:color w:val="00000A"/>
          <w:sz w:val="22"/>
          <w:szCs w:val="22"/>
        </w:rPr>
        <w:tab/>
        <w:t>4.3.</w:t>
      </w:r>
      <w:r>
        <w:rPr>
          <w:rFonts w:cs="Arial" w:ascii="Times New Roman" w:hAnsi="Times New Roman"/>
          <w:bCs/>
          <w:iCs/>
          <w:color w:val="00000A"/>
          <w:sz w:val="22"/>
          <w:szCs w:val="22"/>
        </w:rPr>
        <w:t xml:space="preserve">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 xml:space="preserve">4.4. </w:t>
      </w:r>
      <w:r>
        <w:rPr>
          <w:rFonts w:cs="Arial" w:ascii="Times New Roman" w:hAnsi="Times New Roman"/>
          <w:bCs/>
          <w:color w:val="00000A"/>
          <w:sz w:val="22"/>
          <w:szCs w:val="22"/>
        </w:rPr>
        <w:t>Não poderão participar desta licitação os interessados:</w:t>
      </w:r>
    </w:p>
    <w:p>
      <w:pPr>
        <w:pStyle w:val="Normal"/>
        <w:tabs>
          <w:tab w:val="clear" w:pos="720"/>
          <w:tab w:val="left" w:pos="1134" w:leader="none"/>
        </w:tabs>
        <w:spacing w:lineRule="auto" w:line="276" w:before="4" w:after="4"/>
        <w:ind w:firstLine="567"/>
        <w:contextualSpacing/>
        <w:jc w:val="both"/>
        <w:rPr/>
      </w:pPr>
      <w:r>
        <w:rPr>
          <w:rFonts w:cs="Arial" w:ascii="Times New Roman" w:hAnsi="Times New Roman"/>
          <w:b/>
          <w:bCs/>
          <w:color w:val="00000A"/>
          <w:sz w:val="22"/>
          <w:szCs w:val="22"/>
        </w:rPr>
        <w:t xml:space="preserve">4.4.1. </w:t>
      </w:r>
      <w:r>
        <w:rPr>
          <w:rFonts w:cs="Arial" w:ascii="Times New Roman" w:hAnsi="Times New Roman"/>
          <w:bCs/>
          <w:color w:val="00000A"/>
          <w:sz w:val="22"/>
          <w:szCs w:val="22"/>
        </w:rPr>
        <w:t>proibidos de participar de licitações e celebrar contratos administrativos, na forma da legislação vigente;</w:t>
      </w:r>
    </w:p>
    <w:p>
      <w:pPr>
        <w:pStyle w:val="Normal"/>
        <w:tabs>
          <w:tab w:val="clear" w:pos="720"/>
          <w:tab w:val="left" w:pos="1134" w:leader="none"/>
        </w:tabs>
        <w:spacing w:lineRule="auto" w:line="276" w:before="4" w:after="4"/>
        <w:ind w:firstLine="567"/>
        <w:contextualSpacing/>
        <w:jc w:val="both"/>
        <w:rPr/>
      </w:pPr>
      <w:r>
        <w:rPr>
          <w:rFonts w:cs="Arial" w:ascii="Times New Roman" w:hAnsi="Times New Roman"/>
          <w:b/>
          <w:bCs/>
          <w:color w:val="00000A"/>
          <w:sz w:val="22"/>
          <w:szCs w:val="22"/>
        </w:rPr>
        <w:t>4.4.2.</w:t>
      </w:r>
      <w:r>
        <w:rPr>
          <w:rFonts w:cs="Arial" w:ascii="Times New Roman" w:hAnsi="Times New Roman"/>
          <w:bCs/>
          <w:color w:val="00000A"/>
          <w:sz w:val="22"/>
          <w:szCs w:val="22"/>
        </w:rPr>
        <w:t xml:space="preserve"> que não atendam às condições deste Edital e seu(s) anexo(s);</w:t>
      </w:r>
    </w:p>
    <w:p>
      <w:pPr>
        <w:pStyle w:val="Normal"/>
        <w:tabs>
          <w:tab w:val="clear" w:pos="720"/>
          <w:tab w:val="left" w:pos="1134"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4.4.3.</w:t>
      </w:r>
      <w:r>
        <w:rPr>
          <w:rFonts w:cs="Arial" w:ascii="Times New Roman" w:hAnsi="Times New Roman"/>
          <w:bCs/>
          <w:color w:val="00000A"/>
          <w:sz w:val="22"/>
          <w:szCs w:val="22"/>
        </w:rPr>
        <w:t xml:space="preserve"> estrangeiros que não tenham representação legal no Brasil com poderes expressos para receber citação e responder administrativa ou judicialmente;</w:t>
      </w:r>
    </w:p>
    <w:p>
      <w:pPr>
        <w:pStyle w:val="Normal"/>
        <w:tabs>
          <w:tab w:val="clear" w:pos="720"/>
          <w:tab w:val="left" w:pos="1134" w:leader="none"/>
          <w:tab w:val="left" w:pos="1440" w:leader="none"/>
        </w:tabs>
        <w:spacing w:lineRule="auto" w:line="276" w:before="4" w:after="4"/>
        <w:ind w:firstLine="567"/>
        <w:contextualSpacing/>
        <w:jc w:val="both"/>
        <w:rPr/>
      </w:pPr>
      <w:r>
        <w:rPr>
          <w:rFonts w:eastAsia="Arial Unicode MS" w:cs="Arial" w:ascii="Times New Roman" w:hAnsi="Times New Roman"/>
          <w:b/>
          <w:bCs/>
          <w:color w:val="00000A"/>
          <w:sz w:val="22"/>
          <w:szCs w:val="22"/>
        </w:rPr>
        <w:t>4.4.4.</w:t>
      </w:r>
      <w:r>
        <w:rPr>
          <w:rFonts w:eastAsia="Arial Unicode MS" w:cs="Arial" w:ascii="Times New Roman" w:hAnsi="Times New Roman"/>
          <w:color w:val="00000A"/>
          <w:sz w:val="22"/>
          <w:szCs w:val="22"/>
        </w:rPr>
        <w:t xml:space="preserve"> que se enquadrem nas vedações previstas no artigo 38 e 44 da Lei nº 13.303, de 2016;</w:t>
      </w:r>
    </w:p>
    <w:p>
      <w:pPr>
        <w:pStyle w:val="Normal"/>
        <w:tabs>
          <w:tab w:val="clear" w:pos="720"/>
          <w:tab w:val="left" w:pos="1134"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 xml:space="preserve">4.4.5. </w:t>
      </w:r>
      <w:r>
        <w:rPr>
          <w:rFonts w:cs="Arial" w:ascii="Times New Roman" w:hAnsi="Times New Roman"/>
          <w:color w:val="00000A"/>
          <w:sz w:val="22"/>
          <w:szCs w:val="22"/>
        </w:rPr>
        <w:t>que estejam sob falência, concurso de credores, concordata ou em processo de dissolução ou liquidação;</w:t>
      </w:r>
    </w:p>
    <w:p>
      <w:pPr>
        <w:pStyle w:val="Normal"/>
        <w:tabs>
          <w:tab w:val="clear" w:pos="720"/>
          <w:tab w:val="left" w:pos="1134"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4.4.6.</w:t>
      </w:r>
      <w:r>
        <w:rPr>
          <w:rFonts w:cs="Arial" w:ascii="Times New Roman" w:hAnsi="Times New Roman"/>
          <w:color w:val="00000A"/>
          <w:sz w:val="22"/>
          <w:szCs w:val="22"/>
        </w:rPr>
        <w:t xml:space="preserve"> entidades empresariais que estejam reunidas em consórcio;</w:t>
      </w:r>
    </w:p>
    <w:p>
      <w:pPr>
        <w:pStyle w:val="Normal"/>
        <w:tabs>
          <w:tab w:val="clear" w:pos="720"/>
          <w:tab w:val="left" w:pos="1134"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4.4.7.</w:t>
      </w:r>
      <w:r>
        <w:rPr>
          <w:rFonts w:cs="Arial" w:ascii="Times New Roman" w:hAnsi="Times New Roman"/>
          <w:color w:val="00000A"/>
          <w:sz w:val="22"/>
          <w:szCs w:val="22"/>
        </w:rPr>
        <w:t xml:space="preserve"> Organizações da Sociedade Civil de Interesse Público - OSCIP, atuando nessa condição (Acórdão nº 746/2014-TCU-Plenário).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4.5.</w:t>
      </w:r>
      <w:r>
        <w:rPr>
          <w:rFonts w:cs="Arial" w:ascii="Times New Roman" w:hAnsi="Times New Roman"/>
          <w:color w:val="00000A"/>
          <w:sz w:val="22"/>
          <w:szCs w:val="22"/>
        </w:rPr>
        <w:t xml:space="preserve"> Como condição para participação no Pregão, a licitante assinalará “sim” ou “não” em campo próprio do sistema eletrônico, relativo às seguintes declarações:</w:t>
      </w:r>
      <w:r>
        <w:rPr>
          <w:rFonts w:eastAsia="Zurich BT" w:cs="Arial" w:ascii="Times New Roman" w:hAnsi="Times New Roman"/>
          <w:bCs/>
          <w:color w:val="00000A"/>
          <w:sz w:val="22"/>
          <w:szCs w:val="22"/>
        </w:rPr>
        <w:t xml:space="preserve"> </w:t>
      </w:r>
    </w:p>
    <w:p>
      <w:pPr>
        <w:pStyle w:val="Normal"/>
        <w:tabs>
          <w:tab w:val="clear" w:pos="720"/>
          <w:tab w:val="left" w:pos="426" w:leader="none"/>
          <w:tab w:val="left" w:pos="567"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4.5.1.</w:t>
      </w:r>
      <w:r>
        <w:rPr>
          <w:rFonts w:cs="Arial" w:ascii="Times New Roman" w:hAnsi="Times New Roman"/>
          <w:bCs/>
          <w:color w:val="00000A"/>
          <w:sz w:val="22"/>
          <w:szCs w:val="22"/>
        </w:rPr>
        <w:t xml:space="preserve"> que cumpre os requisitos estabelecidos no artigo 3° </w:t>
      </w:r>
      <w:r>
        <w:rPr>
          <w:rFonts w:cs="Arial" w:ascii="Times New Roman" w:hAnsi="Times New Roman"/>
          <w:color w:val="00000A"/>
          <w:sz w:val="22"/>
          <w:szCs w:val="22"/>
        </w:rPr>
        <w:t xml:space="preserve">da Lei Complementar nº 123, de 2006, estando apta a usufruir do tratamento favorecido estabelecido em seus arts. 42 a 49; </w:t>
      </w:r>
    </w:p>
    <w:p>
      <w:pPr>
        <w:pStyle w:val="Normal"/>
        <w:tabs>
          <w:tab w:val="clear" w:pos="720"/>
          <w:tab w:val="left" w:pos="426" w:leader="none"/>
          <w:tab w:val="left" w:pos="960" w:leader="none"/>
        </w:tabs>
        <w:spacing w:lineRule="auto" w:line="276" w:before="4" w:after="4"/>
        <w:ind w:firstLine="567"/>
        <w:contextualSpacing/>
        <w:jc w:val="both"/>
        <w:rPr/>
      </w:pPr>
      <w:r>
        <w:rPr>
          <w:rFonts w:cs="Arial" w:ascii="Times New Roman" w:hAnsi="Times New Roman"/>
          <w:b/>
          <w:bCs/>
          <w:color w:val="00000A"/>
          <w:sz w:val="22"/>
          <w:szCs w:val="22"/>
        </w:rPr>
        <w:tab/>
        <w:t>4.5.1.1.</w:t>
      </w:r>
      <w:r>
        <w:rPr>
          <w:rFonts w:cs="Arial" w:ascii="Times New Roman" w:hAnsi="Times New Roman"/>
          <w:bCs/>
          <w:color w:val="00000A"/>
          <w:sz w:val="22"/>
          <w:szCs w:val="22"/>
        </w:rPr>
        <w:t xml:space="preserve"> nos itens exclusivos para participação de microempresas e empresas de pequeno porte, a assinalação do campo “não” impedirá o prosseguimento no certame;</w:t>
      </w:r>
    </w:p>
    <w:p>
      <w:pPr>
        <w:pStyle w:val="Normal"/>
        <w:tabs>
          <w:tab w:val="clear" w:pos="720"/>
          <w:tab w:val="left" w:pos="426" w:leader="none"/>
          <w:tab w:val="left" w:pos="960" w:leader="none"/>
        </w:tabs>
        <w:spacing w:lineRule="auto" w:line="276" w:before="4" w:after="4"/>
        <w:ind w:firstLine="567"/>
        <w:contextualSpacing/>
        <w:jc w:val="both"/>
        <w:rPr/>
      </w:pPr>
      <w:r>
        <w:rPr>
          <w:rFonts w:cs="Arial" w:ascii="Times New Roman" w:hAnsi="Times New Roman"/>
          <w:b/>
          <w:bCs/>
          <w:color w:val="00000A"/>
          <w:sz w:val="22"/>
          <w:szCs w:val="22"/>
        </w:rPr>
        <w:tab/>
        <w:t>4.5.1.2.</w:t>
      </w:r>
      <w:r>
        <w:rPr>
          <w:rFonts w:cs="Arial" w:ascii="Times New Roman" w:hAnsi="Times New Roman"/>
          <w:bCs/>
          <w:color w:val="00000A"/>
          <w:sz w:val="22"/>
          <w:szCs w:val="22"/>
        </w:rPr>
        <w:t xml:space="preserv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pPr>
        <w:pStyle w:val="Normal"/>
        <w:tabs>
          <w:tab w:val="clear" w:pos="720"/>
          <w:tab w:val="left" w:pos="426"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4.5.2.</w:t>
      </w:r>
      <w:r>
        <w:rPr>
          <w:rFonts w:cs="Arial" w:ascii="Times New Roman" w:hAnsi="Times New Roman"/>
          <w:bCs/>
          <w:color w:val="00000A"/>
          <w:sz w:val="22"/>
          <w:szCs w:val="22"/>
        </w:rPr>
        <w:t xml:space="preserve"> que está ciente e concorda com as condições contidas no Edital e seus anexos;</w:t>
      </w:r>
    </w:p>
    <w:p>
      <w:pPr>
        <w:pStyle w:val="Normal"/>
        <w:tabs>
          <w:tab w:val="clear" w:pos="720"/>
          <w:tab w:val="left" w:pos="426"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4.5.3.</w:t>
      </w:r>
      <w:r>
        <w:rPr>
          <w:rFonts w:cs="Arial" w:ascii="Times New Roman" w:hAnsi="Times New Roman"/>
          <w:bCs/>
          <w:color w:val="00000A"/>
          <w:sz w:val="22"/>
          <w:szCs w:val="22"/>
        </w:rPr>
        <w:t xml:space="preserve"> que cumpre os requisitos para habilitação definidos no Edital e que a proposta apresentada está em conformidade com as exigências editalícias;</w:t>
      </w:r>
    </w:p>
    <w:p>
      <w:pPr>
        <w:pStyle w:val="Normal"/>
        <w:tabs>
          <w:tab w:val="clear" w:pos="720"/>
          <w:tab w:val="left" w:pos="426"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4.5.4.</w:t>
      </w:r>
      <w:r>
        <w:rPr>
          <w:rFonts w:cs="Arial" w:ascii="Times New Roman" w:hAnsi="Times New Roman"/>
          <w:bCs/>
          <w:color w:val="00000A"/>
          <w:sz w:val="22"/>
          <w:szCs w:val="22"/>
        </w:rPr>
        <w:t xml:space="preserve"> que inexistem fatos impeditivos para sua habilitação no certame, ciente da obrigatoriedade de declarar ocorrências posteriores;</w:t>
      </w:r>
    </w:p>
    <w:p>
      <w:pPr>
        <w:pStyle w:val="Normal"/>
        <w:tabs>
          <w:tab w:val="clear" w:pos="720"/>
          <w:tab w:val="left" w:pos="426"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4.5.5.</w:t>
      </w:r>
      <w:r>
        <w:rPr>
          <w:rFonts w:cs="Arial" w:ascii="Times New Roman" w:hAnsi="Times New Roman"/>
          <w:bCs/>
          <w:color w:val="00000A"/>
          <w:sz w:val="22"/>
          <w:szCs w:val="22"/>
        </w:rPr>
        <w:t xml:space="preserve"> que não emprega menor de 18 anos em trabalho noturno, perigoso ou insalubre e não emprega menor de 16 anos, salvo menor, a partir de 14 anos, na condição de aprendiz, nos termos do artigo 7°, XXXIII, da Constituição;</w:t>
      </w:r>
    </w:p>
    <w:p>
      <w:pPr>
        <w:pStyle w:val="Normal"/>
        <w:tabs>
          <w:tab w:val="clear" w:pos="720"/>
          <w:tab w:val="left" w:pos="426" w:leader="none"/>
          <w:tab w:val="left" w:pos="1440" w:leader="none"/>
          <w:tab w:val="left" w:pos="9009" w:leader="none"/>
        </w:tabs>
        <w:spacing w:lineRule="auto" w:line="276" w:before="4" w:after="4"/>
        <w:ind w:firstLine="567"/>
        <w:contextualSpacing/>
        <w:jc w:val="both"/>
        <w:rPr/>
      </w:pPr>
      <w:r>
        <w:rPr>
          <w:rFonts w:cs="Arial" w:ascii="Times New Roman" w:hAnsi="Times New Roman"/>
          <w:b/>
          <w:bCs/>
          <w:color w:val="00000A"/>
          <w:sz w:val="22"/>
          <w:szCs w:val="22"/>
        </w:rPr>
        <w:t>4.5.6.</w:t>
      </w:r>
      <w:r>
        <w:rPr>
          <w:rFonts w:cs="Arial" w:ascii="Times New Roman" w:hAnsi="Times New Roman"/>
          <w:bCs/>
          <w:color w:val="00000A"/>
          <w:sz w:val="22"/>
          <w:szCs w:val="22"/>
        </w:rPr>
        <w:t xml:space="preserve"> que a proposta foi elaborada de forma independente, nos termos da Instrução Normativa SLTI/MP nº 2, de 16 de setembro de 2009.</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4.5.7.</w:t>
      </w:r>
      <w:r>
        <w:rPr>
          <w:rFonts w:cs="Arial" w:ascii="Times New Roman" w:hAnsi="Times New Roman"/>
          <w:bCs/>
          <w:color w:val="00000A"/>
          <w:sz w:val="22"/>
          <w:szCs w:val="22"/>
        </w:rPr>
        <w:t xml:space="preserve"> que não possui, em sua cadeia produtiva, empregados executando trabalho degradante ou forçado, observando o disposto nos incisos III e IV do art. 1º e no inciso III do art. 5º da Constituição Federal;</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 xml:space="preserve">4.5.8. </w:t>
      </w:r>
      <w:r>
        <w:rPr>
          <w:rFonts w:cs="Arial" w:ascii="Times New Roman" w:hAnsi="Times New Roman"/>
          <w:bCs/>
          <w:color w:val="00000A"/>
          <w:sz w:val="22"/>
          <w:szCs w:val="22"/>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4.5.9.</w:t>
      </w:r>
      <w:r>
        <w:rPr>
          <w:rFonts w:cs="Arial" w:ascii="Times New Roman" w:hAnsi="Times New Roman"/>
          <w:bCs/>
          <w:color w:val="00000A"/>
          <w:sz w:val="22"/>
          <w:szCs w:val="22"/>
        </w:rPr>
        <w:t xml:space="preserve"> que cumpre os requisitos do Decreto n. 7.174, de 2010, estando apto a usufruir dos critérios de preferência em caso de fornecimento de bens de informática.</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4.5.10.</w:t>
      </w:r>
      <w:r>
        <w:rPr>
          <w:rFonts w:cs="Arial" w:ascii="Times New Roman" w:hAnsi="Times New Roman"/>
          <w:bCs/>
          <w:color w:val="00000A"/>
          <w:sz w:val="22"/>
          <w:szCs w:val="22"/>
        </w:rPr>
        <w:t xml:space="preserve"> </w:t>
      </w:r>
      <w:r>
        <w:rPr>
          <w:rFonts w:cs="Arial" w:ascii="Times New Roman" w:hAnsi="Times New Roman"/>
          <w:color w:val="00000A"/>
          <w:sz w:val="22"/>
          <w:szCs w:val="22"/>
        </w:rPr>
        <w:t>A declaração falsa relativa ao cumprimento de qualquer condição sujeitará o licitante às sanções previstas em lei e neste Edital.</w:t>
      </w:r>
    </w:p>
    <w:p>
      <w:pPr>
        <w:pStyle w:val="Normal"/>
        <w:tabs>
          <w:tab w:val="clear" w:pos="720"/>
          <w:tab w:val="left" w:pos="1440" w:leader="none"/>
        </w:tabs>
        <w:spacing w:lineRule="auto" w:line="276" w:before="4" w:after="4"/>
        <w:ind w:firstLine="567"/>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tabs>
          <w:tab w:val="clear" w:pos="720"/>
          <w:tab w:val="left" w:pos="1440" w:leader="none"/>
        </w:tabs>
        <w:spacing w:lineRule="auto" w:line="276" w:before="4" w:after="4"/>
        <w:ind w:firstLine="567"/>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tabs>
          <w:tab w:val="clear" w:pos="720"/>
          <w:tab w:val="left" w:pos="1440" w:leader="none"/>
        </w:tabs>
        <w:spacing w:lineRule="auto" w:line="276" w:before="4" w:after="4"/>
        <w:ind w:firstLine="567"/>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tabs>
          <w:tab w:val="clear" w:pos="720"/>
          <w:tab w:val="left" w:pos="1440" w:leader="none"/>
        </w:tabs>
        <w:spacing w:lineRule="auto" w:line="276" w:before="4" w:after="4"/>
        <w:contextualSpacing/>
        <w:jc w:val="both"/>
        <w:rPr/>
      </w:pPr>
      <w:r>
        <w:rPr>
          <w:rFonts w:cs="Arial" w:ascii="Times New Roman" w:hAnsi="Times New Roman"/>
          <w:b/>
          <w:bCs/>
          <w:color w:val="00000A"/>
          <w:sz w:val="22"/>
          <w:szCs w:val="22"/>
        </w:rPr>
        <w:t>5. DA ABERTURA E APRESENTAÇÃO DA PROPOSTA E DOS DOCUMENTOS DE HABILITAÇÃO</w:t>
      </w:r>
    </w:p>
    <w:p>
      <w:pPr>
        <w:pStyle w:val="Normal"/>
        <w:tabs>
          <w:tab w:val="clear" w:pos="720"/>
          <w:tab w:val="left" w:pos="1440" w:leader="none"/>
        </w:tabs>
        <w:spacing w:lineRule="auto" w:line="276" w:before="4" w:after="4"/>
        <w:contextualSpacing/>
        <w:jc w:val="both"/>
        <w:rPr>
          <w:rFonts w:ascii="Times New Roman" w:hAnsi="Times New Roman" w:eastAsia="SimSun" w:cs="Arial"/>
          <w:b/>
          <w:bCs/>
          <w:color w:val="00000A"/>
          <w:sz w:val="22"/>
          <w:szCs w:val="22"/>
          <w:lang w:val="pt-BR" w:eastAsia="pt-BR" w:bidi="ar-SA"/>
        </w:rPr>
      </w:pPr>
      <w:r>
        <w:rPr>
          <w:rFonts w:eastAsia="SimSun" w:cs="Arial" w:ascii="Times New Roman" w:hAnsi="Times New Roman"/>
          <w:b/>
          <w:bCs/>
          <w:color w:val="00000A"/>
          <w:sz w:val="22"/>
          <w:szCs w:val="22"/>
          <w:lang w:val="pt-BR" w:eastAsia="pt-BR" w:bidi="ar-SA"/>
        </w:rPr>
      </w:r>
    </w:p>
    <w:p>
      <w:pPr>
        <w:pStyle w:val="Normal"/>
        <w:tabs>
          <w:tab w:val="clear" w:pos="720"/>
          <w:tab w:val="left" w:pos="338" w:leader="none"/>
          <w:tab w:val="left" w:pos="1440" w:leader="none"/>
        </w:tabs>
        <w:spacing w:lineRule="auto" w:line="276" w:before="4" w:after="4"/>
        <w:contextualSpacing/>
        <w:jc w:val="both"/>
        <w:rPr/>
      </w:pPr>
      <w:r>
        <w:rPr>
          <w:rFonts w:cs="Arial" w:ascii="Times New Roman" w:hAnsi="Times New Roman"/>
          <w:b/>
          <w:bCs/>
          <w:color w:val="00000A"/>
          <w:sz w:val="22"/>
          <w:szCs w:val="22"/>
        </w:rPr>
        <w:tab/>
        <w:t>5.1.</w:t>
      </w:r>
      <w:r>
        <w:rPr>
          <w:rFonts w:cs="Arial" w:ascii="Times New Roman" w:hAnsi="Times New Roman"/>
          <w:color w:val="00000A"/>
          <w:sz w:val="22"/>
          <w:szCs w:val="22"/>
        </w:rPr>
        <w:t xml:space="preserve"> A sessão pública deste Pregão Eletrônico será aberta às </w:t>
      </w:r>
      <w:r>
        <w:rPr>
          <w:rFonts w:cs="Arial" w:ascii="Times New Roman" w:hAnsi="Times New Roman"/>
          <w:b/>
          <w:bCs/>
          <w:color w:val="0000FF"/>
          <w:sz w:val="22"/>
          <w:szCs w:val="22"/>
          <w:shd w:fill="auto" w:val="clear"/>
        </w:rPr>
        <w:t>09 h e 01 min, do dia</w:t>
      </w:r>
      <w:r>
        <w:rPr>
          <w:rFonts w:cs="Arial" w:ascii="Times New Roman" w:hAnsi="Times New Roman"/>
          <w:b/>
          <w:bCs/>
          <w:color w:val="0000FF"/>
          <w:sz w:val="22"/>
          <w:szCs w:val="22"/>
          <w:shd w:fill="FFFF00" w:val="clear"/>
        </w:rPr>
        <w:t xml:space="preserve"> 16 de Outubro de 2026</w:t>
      </w:r>
      <w:r>
        <w:rPr>
          <w:rFonts w:cs="Arial" w:ascii="Times New Roman" w:hAnsi="Times New Roman"/>
          <w:b/>
          <w:bCs/>
          <w:color w:val="0000FF"/>
          <w:sz w:val="22"/>
          <w:szCs w:val="22"/>
          <w:shd w:fill="auto" w:val="clear"/>
        </w:rPr>
        <w:t xml:space="preserve"> (horário de Brasília-DF).</w:t>
      </w:r>
    </w:p>
    <w:p>
      <w:pPr>
        <w:pStyle w:val="Normal"/>
        <w:tabs>
          <w:tab w:val="clear" w:pos="720"/>
          <w:tab w:val="left" w:pos="338" w:leader="none"/>
          <w:tab w:val="left" w:pos="1440" w:leader="none"/>
        </w:tabs>
        <w:spacing w:lineRule="auto" w:line="276" w:before="4" w:after="4"/>
        <w:contextualSpacing/>
        <w:jc w:val="both"/>
        <w:rPr/>
      </w:pPr>
      <w:r>
        <w:rPr>
          <w:rFonts w:cs="Arial" w:ascii="Times New Roman" w:hAnsi="Times New Roman"/>
          <w:b/>
          <w:bCs/>
          <w:color w:val="00000A"/>
          <w:sz w:val="22"/>
          <w:szCs w:val="22"/>
        </w:rPr>
        <w:tab/>
        <w:t>5.2.</w:t>
      </w:r>
      <w:r>
        <w:rPr>
          <w:rFonts w:cs="Arial" w:ascii="Times New Roman" w:hAnsi="Times New Roman"/>
          <w:color w:val="00000A"/>
          <w:sz w:val="22"/>
          <w:szCs w:val="22"/>
        </w:rPr>
        <w:t xml:space="preserve"> Os licitantes encaminharão, exclusivamente por meio do sistema, concomitantemente com os documentos de habilitação exigidos no edital, proposta com a descrição do objeto ofertado e o preço, até a data e horário estabelecidos para abertura da sessão pública, quando, então, encerrar-se-á automaticamente a etapa de envio dessa documentação.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5.3.</w:t>
      </w:r>
      <w:r>
        <w:rPr>
          <w:rFonts w:cs="Arial" w:ascii="Times New Roman" w:hAnsi="Times New Roman"/>
          <w:color w:val="00000A"/>
          <w:sz w:val="22"/>
          <w:szCs w:val="22"/>
        </w:rPr>
        <w:t xml:space="preserve"> O envio da proposta, acompanhada dos documentos de habilitação exigidos neste Edital, ocorrerá por meio de chave de acesso e senha.</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5.4.</w:t>
      </w:r>
      <w:r>
        <w:rPr>
          <w:rFonts w:cs="Arial" w:ascii="Times New Roman" w:hAnsi="Times New Roman"/>
          <w:color w:val="00000A"/>
          <w:sz w:val="22"/>
          <w:szCs w:val="22"/>
        </w:rPr>
        <w:t xml:space="preserve"> Os licitantes poderão deixar de apresentar os documentos de habilitação que constem do SICAF, assegurado aos demais licitantes o direito de acesso aos dados constantes dos sistemas.</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 xml:space="preserve">5.5. </w:t>
      </w:r>
      <w:r>
        <w:rPr>
          <w:rFonts w:cs="Arial" w:ascii="Times New Roman" w:hAnsi="Times New Roman"/>
          <w:color w:val="00000A"/>
          <w:sz w:val="22"/>
          <w:szCs w:val="22"/>
        </w:rPr>
        <w:t>As Microempresas e Empresas de Pequeno Porte deverão encaminhar a documentação de habilitação, ainda que haja alguma restrição de regularidade fiscal e trabalhista, nos termos do art. 43, § 1° da LC n° 123, de 2006.</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5.6.</w:t>
      </w:r>
      <w:r>
        <w:rPr>
          <w:rFonts w:cs="Arial" w:ascii="Times New Roman" w:hAnsi="Times New Roman"/>
          <w:color w:val="00000A"/>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5.7.</w:t>
      </w:r>
      <w:r>
        <w:rPr>
          <w:rFonts w:cs="Arial" w:ascii="Times New Roman" w:hAnsi="Times New Roman"/>
          <w:color w:val="00000A"/>
          <w:sz w:val="22"/>
          <w:szCs w:val="22"/>
        </w:rPr>
        <w:t xml:space="preserve"> Até a abertura da sessão pública, os licitantes poderão retirar ou substituir a proposta e os documentos de habilitação anteriormente inseridos no sistema;</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5.8.</w:t>
      </w:r>
      <w:r>
        <w:rPr>
          <w:rFonts w:cs="Arial" w:ascii="Times New Roman" w:hAnsi="Times New Roman"/>
          <w:color w:val="00000A"/>
          <w:sz w:val="22"/>
          <w:szCs w:val="22"/>
        </w:rPr>
        <w:t xml:space="preserve"> Não será estabelecida, nesta etapa do certame, ordem de classificação entre as propostas apresentadas, o que somente ocorrerá após a realização dos procedimentos de negociação e julgamento da proposta.</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5.9.</w:t>
      </w:r>
      <w:r>
        <w:rPr>
          <w:rFonts w:cs="Arial" w:ascii="Times New Roman" w:hAnsi="Times New Roman"/>
          <w:color w:val="00000A"/>
          <w:sz w:val="22"/>
          <w:szCs w:val="22"/>
        </w:rPr>
        <w:t xml:space="preserve"> Os documentos que compõem a proposta e a habilitação do licitante melhor classificado somente serão disponibilizados para avaliação do pregoeiro e para acesso público após o encerramento do envio de lances.</w:t>
      </w:r>
    </w:p>
    <w:p>
      <w:pPr>
        <w:pStyle w:val="Normal"/>
        <w:tabs>
          <w:tab w:val="clear" w:pos="720"/>
          <w:tab w:val="left" w:pos="338" w:leader="none"/>
        </w:tabs>
        <w:spacing w:lineRule="auto" w:line="276" w:before="4" w:after="4"/>
        <w:contextualSpacing/>
        <w:jc w:val="both"/>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p>
      <w:pPr>
        <w:pStyle w:val="Nivel01"/>
        <w:spacing w:lineRule="auto" w:line="276" w:before="4" w:after="4"/>
        <w:contextualSpacing/>
        <w:rPr/>
      </w:pPr>
      <w:r>
        <w:rPr>
          <w:rFonts w:cs="Arial" w:ascii="Times New Roman" w:hAnsi="Times New Roman"/>
          <w:color w:val="00000A"/>
          <w:sz w:val="22"/>
          <w:szCs w:val="22"/>
        </w:rPr>
        <w:t>6. DO PREENCHIMENTO DA PROPOSTA</w:t>
      </w:r>
    </w:p>
    <w:p>
      <w:pPr>
        <w:pStyle w:val="Normal"/>
        <w:spacing w:lineRule="auto" w:line="276" w:before="4" w:after="4"/>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6.1.</w:t>
      </w:r>
      <w:r>
        <w:rPr>
          <w:rFonts w:cs="Arial" w:ascii="Times New Roman" w:hAnsi="Times New Roman"/>
          <w:color w:val="00000A"/>
          <w:sz w:val="22"/>
          <w:szCs w:val="22"/>
        </w:rPr>
        <w:t xml:space="preserve"> O licitante deverá enviar sua proposta mediante o preenchimento, no sistema eletrônico, dos seguintes campos:</w:t>
      </w:r>
    </w:p>
    <w:p>
      <w:pPr>
        <w:pStyle w:val="Normal"/>
        <w:tabs>
          <w:tab w:val="clear" w:pos="720"/>
          <w:tab w:val="left" w:pos="576" w:leader="none"/>
        </w:tabs>
        <w:spacing w:lineRule="auto" w:line="276" w:before="4" w:after="4"/>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6.1.1.</w:t>
      </w:r>
      <w:r>
        <w:rPr>
          <w:rFonts w:cs="Arial" w:ascii="Times New Roman" w:hAnsi="Times New Roman"/>
          <w:color w:val="00000A"/>
          <w:sz w:val="22"/>
          <w:szCs w:val="22"/>
        </w:rPr>
        <w:t>Valor unitário e total do item;</w:t>
      </w:r>
    </w:p>
    <w:p>
      <w:pPr>
        <w:pStyle w:val="Normal"/>
        <w:tabs>
          <w:tab w:val="clear" w:pos="720"/>
          <w:tab w:val="left" w:pos="680" w:leader="none"/>
        </w:tabs>
        <w:spacing w:lineRule="auto" w:line="276" w:before="4" w:after="4"/>
        <w:ind w:firstLine="567"/>
        <w:contextualSpacing/>
        <w:jc w:val="both"/>
        <w:rPr/>
      </w:pPr>
      <w:r>
        <w:rPr>
          <w:rFonts w:cs="Arial" w:ascii="Times New Roman" w:hAnsi="Times New Roman"/>
          <w:b/>
          <w:bCs/>
          <w:iCs/>
          <w:color w:val="00000A"/>
          <w:sz w:val="22"/>
          <w:szCs w:val="22"/>
        </w:rPr>
        <w:t>6.1.2.</w:t>
      </w:r>
      <w:r>
        <w:rPr>
          <w:rFonts w:cs="Arial" w:ascii="Times New Roman" w:hAnsi="Times New Roman"/>
          <w:bCs/>
          <w:iCs/>
          <w:color w:val="00000A"/>
          <w:sz w:val="22"/>
          <w:szCs w:val="22"/>
        </w:rPr>
        <w:t xml:space="preserve"> Marca;</w:t>
      </w:r>
    </w:p>
    <w:p>
      <w:pPr>
        <w:pStyle w:val="Normal"/>
        <w:tabs>
          <w:tab w:val="clear" w:pos="720"/>
          <w:tab w:val="left" w:pos="680" w:leader="none"/>
        </w:tabs>
        <w:spacing w:lineRule="auto" w:line="276" w:before="4" w:after="4"/>
        <w:ind w:firstLine="567"/>
        <w:contextualSpacing/>
        <w:jc w:val="both"/>
        <w:rPr/>
      </w:pPr>
      <w:r>
        <w:rPr>
          <w:rFonts w:cs="Arial" w:ascii="Times New Roman" w:hAnsi="Times New Roman"/>
          <w:b/>
          <w:bCs/>
          <w:iCs/>
          <w:color w:val="00000A"/>
          <w:sz w:val="22"/>
          <w:szCs w:val="22"/>
        </w:rPr>
        <w:t>6.1.3.</w:t>
      </w:r>
      <w:r>
        <w:rPr>
          <w:rFonts w:cs="Arial" w:ascii="Times New Roman" w:hAnsi="Times New Roman"/>
          <w:bCs/>
          <w:iCs/>
          <w:color w:val="00000A"/>
          <w:sz w:val="22"/>
          <w:szCs w:val="22"/>
        </w:rPr>
        <w:t xml:space="preserve"> Fabricante; </w:t>
      </w:r>
    </w:p>
    <w:p>
      <w:pPr>
        <w:pStyle w:val="Normal"/>
        <w:tabs>
          <w:tab w:val="clear" w:pos="720"/>
          <w:tab w:val="left" w:pos="567" w:leader="none"/>
        </w:tabs>
        <w:spacing w:lineRule="auto" w:line="276" w:before="4" w:after="4"/>
        <w:contextualSpacing/>
        <w:jc w:val="both"/>
        <w:rPr/>
      </w:pPr>
      <w:r>
        <w:rPr>
          <w:rFonts w:cs="Arial" w:ascii="Times New Roman" w:hAnsi="Times New Roman"/>
          <w:bCs/>
          <w:iCs/>
          <w:color w:val="00000A"/>
          <w:sz w:val="22"/>
          <w:szCs w:val="22"/>
        </w:rPr>
        <w:tab/>
      </w:r>
      <w:r>
        <w:rPr>
          <w:rFonts w:cs="Arial" w:ascii="Times New Roman" w:hAnsi="Times New Roman"/>
          <w:b/>
          <w:bCs/>
          <w:iCs/>
          <w:color w:val="00000A"/>
          <w:sz w:val="22"/>
          <w:szCs w:val="22"/>
        </w:rPr>
        <w:t xml:space="preserve">6.1.4. </w:t>
      </w:r>
      <w:r>
        <w:rPr>
          <w:rFonts w:cs="Arial" w:ascii="Times New Roman" w:hAnsi="Times New Roman"/>
          <w:bCs/>
          <w:iCs/>
          <w:color w:val="00000A"/>
          <w:sz w:val="22"/>
          <w:szCs w:val="22"/>
        </w:rPr>
        <w:t>Descrição detalhada do objeto, contendo as informações similares à especificação do Termo de Referência: indicando, no que for aplicável</w:t>
      </w:r>
      <w:r>
        <w:rPr>
          <w:rFonts w:cs="Arial" w:ascii="Times New Roman" w:hAnsi="Times New Roman"/>
          <w:color w:val="00000A"/>
          <w:sz w:val="22"/>
          <w:szCs w:val="22"/>
        </w:rPr>
        <w:t xml:space="preserve">, </w:t>
      </w:r>
      <w:r>
        <w:rPr>
          <w:rFonts w:cs="Arial" w:ascii="Times New Roman" w:hAnsi="Times New Roman"/>
          <w:i/>
          <w:color w:val="00000A"/>
          <w:sz w:val="22"/>
          <w:szCs w:val="22"/>
        </w:rPr>
        <w:t xml:space="preserve">o modelo, prazo de validade ou de garantia, número do registro ou inscrição do bem no órgão competente, quando for o caso; </w:t>
      </w:r>
    </w:p>
    <w:p>
      <w:pPr>
        <w:pStyle w:val="ListParagraph"/>
        <w:tabs>
          <w:tab w:val="clear" w:pos="720"/>
          <w:tab w:val="left" w:pos="567" w:leader="none"/>
        </w:tabs>
        <w:spacing w:lineRule="auto" w:line="276" w:before="4" w:after="4"/>
        <w:ind w:firstLine="567" w:left="0"/>
        <w:contextualSpacing/>
        <w:jc w:val="both"/>
        <w:rPr/>
      </w:pPr>
      <w:r>
        <w:rPr>
          <w:rFonts w:cs="Arial" w:ascii="Times New Roman" w:hAnsi="Times New Roman"/>
          <w:b/>
          <w:bCs/>
          <w:color w:val="00000A"/>
          <w:sz w:val="22"/>
          <w:szCs w:val="22"/>
        </w:rPr>
        <w:t>6.1.5.</w:t>
      </w:r>
      <w:r>
        <w:rPr>
          <w:rFonts w:cs="Arial" w:ascii="Times New Roman" w:hAnsi="Times New Roman"/>
          <w:color w:val="00000A"/>
          <w:sz w:val="22"/>
          <w:szCs w:val="22"/>
        </w:rPr>
        <w:t xml:space="preserve"> Todas as especificações do objeto contidas na proposta vinculam a Contratada.</w:t>
      </w:r>
    </w:p>
    <w:p>
      <w:pPr>
        <w:pStyle w:val="ListParagraph"/>
        <w:tabs>
          <w:tab w:val="clear" w:pos="720"/>
          <w:tab w:val="left" w:pos="567" w:leader="none"/>
        </w:tabs>
        <w:spacing w:lineRule="auto" w:line="276" w:before="4" w:after="4"/>
        <w:ind w:firstLine="567" w:left="0"/>
        <w:contextualSpacing/>
        <w:jc w:val="both"/>
        <w:rPr/>
      </w:pPr>
      <w:r>
        <w:rPr>
          <w:rFonts w:cs="Arial" w:ascii="Times New Roman" w:hAnsi="Times New Roman"/>
          <w:b/>
          <w:bCs/>
          <w:color w:val="00000A"/>
          <w:sz w:val="22"/>
          <w:szCs w:val="22"/>
        </w:rPr>
        <w:t>6.1.6.</w:t>
      </w:r>
      <w:r>
        <w:rPr>
          <w:rFonts w:cs="Arial" w:ascii="Times New Roman" w:hAnsi="Times New Roman"/>
          <w:color w:val="00000A"/>
          <w:sz w:val="22"/>
          <w:szCs w:val="22"/>
        </w:rPr>
        <w:t xml:space="preserve"> Nos valores propostos estarão inclusos todos os custos operacionais, encargos previdenciários, trabalhistas, tributários, comerciais e quaisquer outros que incidam direta ou indiretamente no fornecimento dos bens.</w:t>
      </w:r>
    </w:p>
    <w:p>
      <w:pPr>
        <w:pStyle w:val="ListParagraph"/>
        <w:tabs>
          <w:tab w:val="clear" w:pos="720"/>
          <w:tab w:val="left" w:pos="567" w:leader="none"/>
        </w:tabs>
        <w:spacing w:lineRule="auto" w:line="276" w:before="4" w:after="4"/>
        <w:ind w:firstLine="567" w:left="0"/>
        <w:contextualSpacing/>
        <w:jc w:val="both"/>
        <w:rPr/>
      </w:pPr>
      <w:r>
        <w:rPr>
          <w:rFonts w:cs="Arial" w:ascii="Times New Roman" w:hAnsi="Times New Roman"/>
          <w:b/>
          <w:bCs/>
          <w:color w:val="00000A"/>
          <w:sz w:val="22"/>
          <w:szCs w:val="22"/>
        </w:rPr>
        <w:t xml:space="preserve">6.1.7. </w:t>
      </w:r>
      <w:r>
        <w:rPr>
          <w:rFonts w:cs="Arial" w:ascii="Times New Roman" w:hAnsi="Times New Roman"/>
          <w:color w:val="00000A"/>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tabs>
          <w:tab w:val="clear" w:pos="720"/>
          <w:tab w:val="left" w:pos="567" w:leader="none"/>
        </w:tabs>
        <w:spacing w:lineRule="auto" w:line="276" w:before="4" w:after="4"/>
        <w:ind w:firstLine="567" w:left="0"/>
        <w:contextualSpacing/>
        <w:jc w:val="both"/>
        <w:rPr/>
      </w:pPr>
      <w:r>
        <w:rPr>
          <w:rFonts w:cs="Arial" w:ascii="Times New Roman" w:hAnsi="Times New Roman"/>
          <w:b/>
          <w:bCs/>
          <w:color w:val="00000A"/>
          <w:sz w:val="22"/>
          <w:szCs w:val="22"/>
        </w:rPr>
        <w:t xml:space="preserve">6.1.8. </w:t>
      </w:r>
      <w:r>
        <w:rPr>
          <w:rFonts w:cs="Arial" w:ascii="Times New Roman" w:hAnsi="Times New Roman"/>
          <w:color w:val="00000A"/>
          <w:sz w:val="22"/>
          <w:szCs w:val="22"/>
        </w:rPr>
        <w:t>O prazo de validade da proposta não será inferior a 60 (sessenta)</w:t>
      </w:r>
      <w:r>
        <w:rPr>
          <w:rFonts w:cs="Arial" w:ascii="Times New Roman" w:hAnsi="Times New Roman"/>
          <w:bCs/>
          <w:iCs/>
          <w:color w:val="00000A"/>
          <w:sz w:val="22"/>
          <w:szCs w:val="22"/>
        </w:rPr>
        <w:t xml:space="preserve"> dias</w:t>
      </w:r>
      <w:r>
        <w:rPr>
          <w:rFonts w:cs="Arial" w:ascii="Times New Roman" w:hAnsi="Times New Roman"/>
          <w:b/>
          <w:color w:val="00000A"/>
          <w:sz w:val="22"/>
          <w:szCs w:val="22"/>
        </w:rPr>
        <w:t>,</w:t>
      </w:r>
      <w:r>
        <w:rPr>
          <w:rFonts w:cs="Arial" w:ascii="Times New Roman" w:hAnsi="Times New Roman"/>
          <w:color w:val="00000A"/>
          <w:sz w:val="22"/>
          <w:szCs w:val="22"/>
        </w:rPr>
        <w:t xml:space="preserve"> a contar da data de sua apresentação.</w:t>
      </w:r>
    </w:p>
    <w:p>
      <w:pPr>
        <w:pStyle w:val="ListParagraph"/>
        <w:tabs>
          <w:tab w:val="clear" w:pos="720"/>
          <w:tab w:val="left" w:pos="567" w:leader="none"/>
        </w:tabs>
        <w:spacing w:lineRule="auto" w:line="276" w:before="4" w:after="4"/>
        <w:ind w:firstLine="567" w:left="0"/>
        <w:contextualSpacing/>
        <w:jc w:val="both"/>
        <w:rPr/>
      </w:pPr>
      <w:r>
        <w:rPr>
          <w:rFonts w:cs="Arial" w:ascii="Times New Roman" w:hAnsi="Times New Roman"/>
          <w:b/>
          <w:bCs/>
          <w:color w:val="00000A"/>
          <w:sz w:val="22"/>
          <w:szCs w:val="22"/>
        </w:rPr>
        <w:t>6.1.9.</w:t>
      </w:r>
      <w:r>
        <w:rPr>
          <w:rFonts w:cs="Arial" w:ascii="Times New Roman" w:hAnsi="Times New Roman"/>
          <w:color w:val="00000A"/>
          <w:sz w:val="22"/>
          <w:szCs w:val="22"/>
        </w:rPr>
        <w:t xml:space="preserve"> O licitante deverá declarar, para cada item, em campo próprio do sistema COMPRASNET, se o produto ofertado é manufaturado nacional beneficiado por um dos critérios de margem de preferência, indicados no Termo de Referência.</w:t>
      </w:r>
    </w:p>
    <w:p>
      <w:pPr>
        <w:pStyle w:val="ListParagraph"/>
        <w:widowControl/>
        <w:tabs>
          <w:tab w:val="clear" w:pos="720"/>
          <w:tab w:val="left" w:pos="568" w:leader="none"/>
        </w:tabs>
        <w:suppressAutoHyphens w:val="true"/>
        <w:bidi w:val="0"/>
        <w:spacing w:lineRule="auto" w:line="276" w:before="4" w:after="4"/>
        <w:ind w:firstLine="567" w:left="0" w:right="0"/>
        <w:contextualSpacing/>
        <w:jc w:val="both"/>
        <w:rPr/>
      </w:pPr>
      <w:r>
        <w:rPr>
          <w:rFonts w:cs="Arial" w:ascii="Times New Roman" w:hAnsi="Times New Roman"/>
          <w:b/>
          <w:bCs/>
          <w:color w:val="00000A"/>
          <w:sz w:val="22"/>
          <w:szCs w:val="22"/>
        </w:rPr>
        <w:t>6.1.10.</w:t>
      </w:r>
      <w:r>
        <w:rPr>
          <w:rFonts w:cs="Arial" w:ascii="Times New Roman" w:hAnsi="Times New Roman"/>
          <w:color w:val="00000A"/>
          <w:sz w:val="22"/>
          <w:szCs w:val="22"/>
        </w:rPr>
        <w:t xml:space="preserve"> Os licitantes devem respeitar os preços máximos estabelecidos nas normas de regência de contratações públicas federais, quando participarem de licitações públicas;</w:t>
      </w:r>
    </w:p>
    <w:p>
      <w:pPr>
        <w:pStyle w:val="ListParagraph"/>
        <w:tabs>
          <w:tab w:val="clear" w:pos="720"/>
          <w:tab w:val="left" w:pos="960" w:leader="none"/>
        </w:tabs>
        <w:spacing w:lineRule="auto" w:line="276" w:before="4" w:after="4"/>
        <w:ind w:firstLine="851" w:left="0"/>
        <w:contextualSpacing/>
        <w:jc w:val="both"/>
        <w:rPr/>
      </w:pPr>
      <w:r>
        <w:rPr>
          <w:rFonts w:cs="Arial" w:ascii="Times New Roman" w:hAnsi="Times New Roman"/>
          <w:b/>
          <w:bCs/>
          <w:color w:val="00000A"/>
          <w:sz w:val="22"/>
          <w:szCs w:val="22"/>
        </w:rPr>
        <w:tab/>
        <w:t>6.1.10.1.</w:t>
      </w:r>
      <w:r>
        <w:rPr>
          <w:rFonts w:cs="Arial" w:ascii="Times New Roman" w:hAnsi="Times New Roman"/>
          <w:color w:val="00000A"/>
          <w:sz w:val="22"/>
          <w:szCs w:val="22"/>
        </w:rPr>
        <w:t xml:space="preserve"> 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w:t>
      </w:r>
      <w:r>
        <w:rPr>
          <w:rFonts w:eastAsia="SimSun" w:cs="Verdana" w:ascii="Times New Roman" w:hAnsi="Times New Roman"/>
          <w:color w:val="auto"/>
          <w:kern w:val="0"/>
          <w:sz w:val="22"/>
          <w:szCs w:val="22"/>
          <w:lang w:val="pt-BR" w:eastAsia="pt-BR" w:bidi="ar-SA"/>
        </w:rPr>
        <w:t>CONTRATADA</w:t>
      </w:r>
      <w:r>
        <w:rPr>
          <w:rFonts w:cs="Arial" w:ascii="Times New Roman" w:hAnsi="Times New Roman"/>
          <w:color w:val="00000A"/>
          <w:sz w:val="22"/>
          <w:szCs w:val="22"/>
        </w:rPr>
        <w:t xml:space="preserve"> ao pagamento dos prejuízos ao erário, caso verificada a ocorrência de superfaturamento por sobrepreço na execução do contrato.</w:t>
      </w:r>
    </w:p>
    <w:p>
      <w:pPr>
        <w:pStyle w:val="ListParagraph"/>
        <w:spacing w:lineRule="auto" w:line="276" w:before="4" w:after="4"/>
        <w:ind w:firstLine="851"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ivel01"/>
        <w:spacing w:lineRule="auto" w:line="276" w:before="4" w:after="4"/>
        <w:contextualSpacing/>
        <w:rPr/>
      </w:pPr>
      <w:r>
        <w:rPr>
          <w:rFonts w:cs="Arial" w:ascii="Times New Roman" w:hAnsi="Times New Roman"/>
          <w:color w:val="00000A"/>
          <w:sz w:val="22"/>
          <w:szCs w:val="22"/>
        </w:rPr>
        <w:t>7. DA ABERTURA DA SESSÃO, CLASSIFICAÇÃO DAS PROPOSTAS E FORMULAÇÃO DE LANCES</w:t>
      </w:r>
    </w:p>
    <w:p>
      <w:pPr>
        <w:pStyle w:val="Normal"/>
        <w:spacing w:lineRule="auto" w:line="276" w:before="4" w:after="4"/>
        <w:contextualSpacing/>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p>
      <w:pPr>
        <w:pStyle w:val="Nivel01"/>
        <w:tabs>
          <w:tab w:val="left" w:pos="284" w:leader="none"/>
          <w:tab w:val="left" w:pos="338" w:leader="none"/>
          <w:tab w:val="left" w:pos="567" w:leader="none"/>
        </w:tabs>
        <w:spacing w:lineRule="auto" w:line="276" w:before="4" w:after="4"/>
        <w:contextualSpacing/>
        <w:rPr/>
      </w:pPr>
      <w:r>
        <w:rPr>
          <w:rFonts w:cs="Arial" w:ascii="Times New Roman" w:hAnsi="Times New Roman"/>
          <w:b/>
          <w:bCs/>
          <w:color w:val="00000A"/>
          <w:sz w:val="22"/>
          <w:szCs w:val="22"/>
          <w:lang w:eastAsia="en-US"/>
        </w:rPr>
        <w:tab/>
        <w:tab/>
        <w:t>7.1.</w:t>
      </w:r>
      <w:r>
        <w:rPr>
          <w:rFonts w:cs="Arial" w:ascii="Times New Roman" w:hAnsi="Times New Roman"/>
          <w:b w:val="false"/>
          <w:bCs w:val="false"/>
          <w:color w:val="00000A"/>
          <w:sz w:val="22"/>
          <w:szCs w:val="22"/>
          <w:lang w:eastAsia="en-US"/>
        </w:rPr>
        <w:t xml:space="preserve"> A </w:t>
      </w:r>
      <w:r>
        <w:rPr>
          <w:rFonts w:cs="Arial" w:ascii="Times New Roman" w:hAnsi="Times New Roman"/>
          <w:b w:val="false"/>
          <w:bCs w:val="false"/>
          <w:color w:val="00000A"/>
          <w:sz w:val="22"/>
          <w:szCs w:val="22"/>
        </w:rPr>
        <w:t>abertura</w:t>
      </w:r>
      <w:r>
        <w:rPr>
          <w:rFonts w:cs="Arial" w:ascii="Times New Roman" w:hAnsi="Times New Roman"/>
          <w:b w:val="false"/>
          <w:bCs w:val="false"/>
          <w:color w:val="00000A"/>
          <w:sz w:val="22"/>
          <w:szCs w:val="22"/>
          <w:lang w:eastAsia="en-US"/>
        </w:rPr>
        <w:t xml:space="preserve"> da presente licitação dar-se-á em sessão pública, por meio de sistema eletrônico, na data, horário e local indicados neste Edita</w:t>
      </w:r>
      <w:r>
        <w:rPr>
          <w:rFonts w:cs="Arial" w:ascii="Times New Roman" w:hAnsi="Times New Roman"/>
          <w:color w:val="00000A"/>
          <w:sz w:val="22"/>
          <w:szCs w:val="22"/>
          <w:lang w:eastAsia="en-US"/>
        </w:rPr>
        <w:t>l.</w:t>
      </w:r>
    </w:p>
    <w:p>
      <w:pPr>
        <w:pStyle w:val="Nivel01"/>
        <w:tabs>
          <w:tab w:val="left" w:pos="338" w:leader="none"/>
          <w:tab w:val="left" w:pos="567" w:leader="none"/>
        </w:tabs>
        <w:spacing w:lineRule="auto" w:line="276" w:before="4" w:after="4"/>
        <w:contextualSpacing/>
        <w:rPr/>
      </w:pPr>
      <w:r>
        <w:rPr>
          <w:rFonts w:cs="Arial" w:ascii="Times New Roman" w:hAnsi="Times New Roman"/>
          <w:b/>
          <w:bCs/>
          <w:color w:val="00000A"/>
          <w:sz w:val="22"/>
          <w:szCs w:val="22"/>
          <w:lang w:eastAsia="en-US"/>
        </w:rPr>
        <w:tab/>
        <w:t>7.2.</w:t>
      </w:r>
      <w:r>
        <w:rPr>
          <w:rFonts w:cs="Arial" w:ascii="Times New Roman" w:hAnsi="Times New Roman"/>
          <w:b w:val="false"/>
          <w:bCs w:val="false"/>
          <w:color w:val="00000A"/>
          <w:sz w:val="22"/>
          <w:szCs w:val="22"/>
          <w:lang w:eastAsia="en-US"/>
        </w:rPr>
        <w:t xml:space="preserve"> O</w:t>
      </w:r>
      <w:r>
        <w:rPr>
          <w:rFonts w:cs="Arial" w:ascii="Times New Roman" w:hAnsi="Times New Roman"/>
          <w:b w:val="false"/>
          <w:bCs w:val="false"/>
          <w:color w:val="00000A"/>
          <w:sz w:val="22"/>
          <w:szCs w:val="22"/>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r>
        <w:rPr>
          <w:rFonts w:cs="Arial" w:ascii="Times New Roman" w:hAnsi="Times New Roman"/>
          <w:color w:val="00000A"/>
          <w:sz w:val="22"/>
          <w:szCs w:val="22"/>
        </w:rPr>
        <w:t xml:space="preserve"> </w:t>
      </w:r>
    </w:p>
    <w:p>
      <w:pPr>
        <w:pStyle w:val="Normal"/>
        <w:tabs>
          <w:tab w:val="clear" w:pos="720"/>
          <w:tab w:val="left" w:pos="654"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lang w:eastAsia="en-US"/>
        </w:rPr>
        <w:t xml:space="preserve">7.2.1. </w:t>
      </w:r>
      <w:r>
        <w:rPr>
          <w:rFonts w:cs="Arial" w:ascii="Times New Roman" w:hAnsi="Times New Roman"/>
          <w:color w:val="00000A"/>
          <w:sz w:val="22"/>
          <w:szCs w:val="22"/>
          <w:lang w:eastAsia="en-US"/>
        </w:rPr>
        <w:t>Também será desclassificada a proposta que identifique o licitante.</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7.2.2.</w:t>
      </w:r>
      <w:r>
        <w:rPr>
          <w:rFonts w:cs="Arial" w:ascii="Times New Roman" w:hAnsi="Times New Roman"/>
          <w:color w:val="00000A"/>
          <w:sz w:val="22"/>
          <w:szCs w:val="22"/>
        </w:rPr>
        <w:t xml:space="preserve"> A desclassificação será sempre fundamentada e registrada no sistema, com acompanhamento em tempo real por todos os participantes.</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 xml:space="preserve">7.2.3. </w:t>
      </w:r>
      <w:r>
        <w:rPr>
          <w:rFonts w:cs="Arial" w:ascii="Times New Roman" w:hAnsi="Times New Roman"/>
          <w:color w:val="00000A"/>
          <w:sz w:val="22"/>
          <w:szCs w:val="22"/>
        </w:rPr>
        <w:t>A não desclassificação da proposta não impede o seu julgamento definitivo em sentido contrário, levado a efeito na fase de aceitação.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7.3.</w:t>
      </w:r>
      <w:r>
        <w:rPr>
          <w:rFonts w:cs="Arial" w:ascii="Times New Roman" w:hAnsi="Times New Roman"/>
          <w:color w:val="00000A"/>
          <w:sz w:val="22"/>
          <w:szCs w:val="22"/>
        </w:rPr>
        <w:t xml:space="preserve"> O sistema ordenará automaticamente as propostas classificadas, sendo que somente estas participarão da fase de lances.</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7.4.</w:t>
      </w:r>
      <w:r>
        <w:rPr>
          <w:rFonts w:cs="Arial" w:ascii="Times New Roman" w:hAnsi="Times New Roman"/>
          <w:color w:val="00000A"/>
          <w:sz w:val="22"/>
          <w:szCs w:val="22"/>
        </w:rPr>
        <w:t xml:space="preserve"> O sistema disponibilizará campo próprio para troca de mensagens entre o Pregoeiro e os licitantes.</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7.5. </w:t>
      </w:r>
      <w:r>
        <w:rPr>
          <w:rFonts w:cs="Arial" w:ascii="Times New Roman" w:hAnsi="Times New Roman"/>
          <w:color w:val="00000A"/>
          <w:sz w:val="22"/>
          <w:szCs w:val="22"/>
        </w:rPr>
        <w:t xml:space="preserve">Iniciada a etapa competitiva, os licitantes deverão encaminhar lances </w:t>
      </w:r>
      <w:r>
        <w:rPr>
          <w:rFonts w:cs="Arial" w:ascii="Times New Roman" w:hAnsi="Times New Roman"/>
          <w:color w:val="00000A"/>
          <w:sz w:val="22"/>
          <w:szCs w:val="22"/>
          <w:lang w:eastAsia="en-US"/>
        </w:rPr>
        <w:t>exclusivamente por meio do sistema eletrônico, sendo imediatamente</w:t>
      </w:r>
      <w:r>
        <w:rPr>
          <w:rFonts w:cs="Arial" w:ascii="Times New Roman" w:hAnsi="Times New Roman"/>
          <w:color w:val="00000A"/>
          <w:sz w:val="22"/>
          <w:szCs w:val="22"/>
        </w:rPr>
        <w:t xml:space="preserve"> informados do seu recebimento e do valor consignado no registro. </w:t>
      </w:r>
    </w:p>
    <w:p>
      <w:pPr>
        <w:pStyle w:val="Normal"/>
        <w:tabs>
          <w:tab w:val="clear" w:pos="720"/>
          <w:tab w:val="left" w:pos="567"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7.5.1.</w:t>
      </w:r>
      <w:r>
        <w:rPr>
          <w:rFonts w:cs="Arial" w:ascii="Times New Roman" w:hAnsi="Times New Roman"/>
          <w:color w:val="00000A"/>
          <w:sz w:val="22"/>
          <w:szCs w:val="22"/>
        </w:rPr>
        <w:t xml:space="preserve"> O lance deverá ser ofertado pelo </w:t>
      </w:r>
      <w:r>
        <w:rPr>
          <w:rFonts w:cs="Arial" w:ascii="Times New Roman" w:hAnsi="Times New Roman"/>
          <w:b/>
          <w:bCs/>
          <w:color w:val="00000A"/>
          <w:sz w:val="22"/>
          <w:szCs w:val="22"/>
        </w:rPr>
        <w:t>valor total/unitário</w:t>
      </w:r>
      <w:r>
        <w:rPr>
          <w:rFonts w:cs="Arial" w:ascii="Times New Roman" w:hAnsi="Times New Roman"/>
          <w:color w:val="00000A"/>
          <w:sz w:val="22"/>
          <w:szCs w:val="22"/>
        </w:rPr>
        <w:t xml:space="preserve"> do item. </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7.6.</w:t>
      </w:r>
      <w:r>
        <w:rPr>
          <w:rFonts w:cs="Arial" w:ascii="Times New Roman" w:hAnsi="Times New Roman"/>
          <w:color w:val="00000A"/>
          <w:sz w:val="22"/>
          <w:szCs w:val="22"/>
        </w:rPr>
        <w:t xml:space="preserve"> Os licitantes poderão oferecer lances sucessivos, observando o horário fixado para abertura da sessão e as regras estabelecidas no Edital.</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7.7. </w:t>
      </w:r>
      <w:r>
        <w:rPr>
          <w:rFonts w:cs="Arial" w:ascii="Times New Roman" w:hAnsi="Times New Roman"/>
          <w:color w:val="00000A"/>
          <w:sz w:val="22"/>
          <w:szCs w:val="22"/>
        </w:rPr>
        <w:t>O licitante somente poderá oferecer lance de valor inferior ao último por ele ofertado e registrado pelo sistema.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7.8.</w:t>
      </w:r>
      <w:r>
        <w:rPr>
          <w:rFonts w:cs="Arial" w:ascii="Times New Roman" w:hAnsi="Times New Roman"/>
          <w:color w:val="00000A"/>
          <w:sz w:val="22"/>
          <w:szCs w:val="22"/>
        </w:rPr>
        <w:t xml:space="preserve"> O intervalo mínimo de diferença de valores entre os lances, que incidirá tanto em relação aos lances intermediários quanto em relação à proposta que cobrir a melhor oferta deverá ser ao mínimo de:</w:t>
      </w:r>
    </w:p>
    <w:p>
      <w:pPr>
        <w:pStyle w:val="Normal"/>
        <w:tabs>
          <w:tab w:val="clear" w:pos="720"/>
          <w:tab w:val="left" w:pos="338" w:leader="none"/>
        </w:tabs>
        <w:spacing w:lineRule="auto" w:line="276" w:before="4" w:after="4"/>
        <w:ind w:hanging="0" w:left="0" w:right="0"/>
        <w:contextualSpacing/>
        <w:jc w:val="both"/>
        <w:rPr>
          <w:rFonts w:ascii="Times New Roman" w:hAnsi="Times New Roman" w:eastAsia="SimSun" w:cs="Times New Roman"/>
          <w:b w:val="false"/>
          <w:bCs w:val="false"/>
          <w:color w:val="00000A"/>
          <w:kern w:val="0"/>
          <w:sz w:val="22"/>
          <w:szCs w:val="22"/>
          <w:lang w:val="pt-BR" w:eastAsia="pt-BR" w:bidi="ar-SA"/>
        </w:rPr>
      </w:pPr>
      <w:r>
        <w:rPr>
          <w:rFonts w:eastAsia="SimSun" w:cs="Times New Roman" w:ascii="Times New Roman" w:hAnsi="Times New Roman"/>
          <w:b w:val="false"/>
          <w:bCs w:val="false"/>
          <w:color w:val="00000A"/>
          <w:kern w:val="0"/>
          <w:sz w:val="22"/>
          <w:szCs w:val="22"/>
          <w:lang w:val="pt-BR" w:eastAsia="pt-BR" w:bidi="ar-SA"/>
        </w:rPr>
      </w:r>
    </w:p>
    <w:tbl>
      <w:tblPr>
        <w:tblW w:w="9055" w:type="dxa"/>
        <w:jc w:val="left"/>
        <w:tblInd w:w="1" w:type="dxa"/>
        <w:tblLayout w:type="fixed"/>
        <w:tblCellMar>
          <w:top w:w="0" w:type="dxa"/>
          <w:left w:w="0" w:type="dxa"/>
          <w:bottom w:w="0" w:type="dxa"/>
          <w:right w:w="0" w:type="dxa"/>
        </w:tblCellMar>
      </w:tblPr>
      <w:tblGrid>
        <w:gridCol w:w="9055"/>
      </w:tblGrid>
      <w:tr>
        <w:trPr/>
        <w:tc>
          <w:tcPr>
            <w:tcW w:w="9055" w:type="dxa"/>
            <w:tcBorders/>
            <w:shd w:fill="EEEEEE" w:val="clear"/>
          </w:tcPr>
          <w:p>
            <w:pPr>
              <w:pStyle w:val="ListParagraph"/>
              <w:widowControl w:val="false"/>
              <w:numPr>
                <w:ilvl w:val="0"/>
                <w:numId w:val="2"/>
              </w:numPr>
              <w:spacing w:lineRule="auto" w:line="276" w:before="4" w:after="4"/>
              <w:contextualSpacing/>
              <w:jc w:val="both"/>
              <w:rPr/>
            </w:pPr>
            <w:r>
              <w:rPr>
                <w:rFonts w:cs="Times New Roman" w:ascii="Times New Roman" w:hAnsi="Times New Roman"/>
                <w:b w:val="false"/>
                <w:bCs w:val="false"/>
                <w:color w:val="00000A"/>
                <w:sz w:val="22"/>
                <w:szCs w:val="22"/>
              </w:rPr>
              <w:t>R$ 5,00  (cinco reais) quando o valor unitário for superior a R$ 100,00 (cem reais)</w:t>
            </w:r>
          </w:p>
        </w:tc>
      </w:tr>
      <w:tr>
        <w:trPr/>
        <w:tc>
          <w:tcPr>
            <w:tcW w:w="9055" w:type="dxa"/>
            <w:tcBorders/>
            <w:shd w:fill="EEEEEE" w:val="clear"/>
          </w:tcPr>
          <w:p>
            <w:pPr>
              <w:pStyle w:val="ListParagraph"/>
              <w:widowControl w:val="false"/>
              <w:numPr>
                <w:ilvl w:val="0"/>
                <w:numId w:val="2"/>
              </w:numPr>
              <w:tabs>
                <w:tab w:val="clear" w:pos="720"/>
                <w:tab w:val="left" w:pos="338" w:leader="none"/>
              </w:tabs>
              <w:spacing w:lineRule="auto" w:line="276" w:before="4" w:after="4"/>
              <w:contextualSpacing/>
              <w:jc w:val="both"/>
              <w:rPr/>
            </w:pPr>
            <w:r>
              <w:rPr>
                <w:rFonts w:eastAsia="SimSun" w:cs="Times New Roman" w:ascii="Times New Roman" w:hAnsi="Times New Roman"/>
                <w:b w:val="false"/>
                <w:bCs w:val="false"/>
                <w:color w:val="00000A"/>
                <w:kern w:val="0"/>
                <w:sz w:val="22"/>
                <w:szCs w:val="22"/>
                <w:lang w:val="pt-BR" w:eastAsia="pt-BR" w:bidi="ar-SA"/>
              </w:rPr>
              <w:t>5% (cinco por cento) quando o valor unitário for inferior a R$ 100,00 (cem reais)</w:t>
            </w:r>
          </w:p>
        </w:tc>
      </w:tr>
    </w:tbl>
    <w:p>
      <w:pPr>
        <w:pStyle w:val="Normal"/>
        <w:tabs>
          <w:tab w:val="clear" w:pos="720"/>
          <w:tab w:val="left" w:pos="338" w:leader="none"/>
        </w:tabs>
        <w:spacing w:lineRule="auto" w:line="276" w:before="4" w:after="4"/>
        <w:ind w:hanging="0" w:left="0"/>
        <w:contextualSpacing/>
        <w:jc w:val="both"/>
        <w:rPr>
          <w:rFonts w:ascii="Times New Roman" w:hAnsi="Times New Roman" w:cs="Arial"/>
          <w:color w:val="00000A"/>
          <w:sz w:val="22"/>
          <w:szCs w:val="22"/>
        </w:rPr>
      </w:pPr>
      <w:r>
        <w:rPr>
          <w:rFonts w:cs="Arial" w:ascii="Times New Roman" w:hAnsi="Times New Roman"/>
          <w:color w:val="00000A"/>
          <w:sz w:val="22"/>
          <w:szCs w:val="22"/>
        </w:rPr>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7.9.</w:t>
      </w:r>
      <w:r>
        <w:rPr>
          <w:rFonts w:cs="Arial" w:ascii="Times New Roman" w:hAnsi="Times New Roman"/>
          <w:color w:val="00000A"/>
          <w:sz w:val="22"/>
          <w:szCs w:val="22"/>
        </w:rPr>
        <w:t xml:space="preserve"> Será adotado para o envio de lances no pregão eletrônico o modo de disputa </w:t>
      </w:r>
      <w:r>
        <w:rPr>
          <w:rFonts w:cs="Arial" w:ascii="Times New Roman" w:hAnsi="Times New Roman"/>
          <w:b/>
          <w:bCs/>
          <w:color w:val="00000A"/>
          <w:sz w:val="22"/>
          <w:szCs w:val="22"/>
        </w:rPr>
        <w:t>“aberto”</w:t>
      </w:r>
      <w:r>
        <w:rPr>
          <w:rFonts w:cs="Arial" w:ascii="Times New Roman" w:hAnsi="Times New Roman"/>
          <w:color w:val="00000A"/>
          <w:sz w:val="22"/>
          <w:szCs w:val="22"/>
        </w:rPr>
        <w:t>, em que os licitantes apresentarão lances públicos e sucessivos, com prorrogações.</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7.10. </w:t>
      </w:r>
      <w:r>
        <w:rPr>
          <w:rFonts w:cs="Arial" w:ascii="Times New Roman" w:hAnsi="Times New Roman"/>
          <w:color w:val="00000A"/>
          <w:sz w:val="22"/>
          <w:szCs w:val="22"/>
        </w:rPr>
        <w:t>A etapa de lances da sessão pública terá duração de dez minutos e, após isso, será prorrogada automaticamente pelo sistema quando houver lance ofertado nos últimos dois minutos do período de duração da sessão pública.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7.11. </w:t>
      </w:r>
      <w:r>
        <w:rPr>
          <w:rFonts w:cs="Arial" w:ascii="Times New Roman" w:hAnsi="Times New Roman"/>
          <w:color w:val="00000A"/>
          <w:sz w:val="22"/>
          <w:szCs w:val="22"/>
        </w:rPr>
        <w:t>A prorrogação automática da etapa de lances, de que trata do item anterior, será de dois minutos e ocorrerá sucessivamente sempre que houver lances enviados nesse período de prorrogação, inclusive no caso de lances intermediários.</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7.12. </w:t>
      </w:r>
      <w:r>
        <w:rPr>
          <w:rFonts w:cs="Arial" w:ascii="Times New Roman" w:hAnsi="Times New Roman"/>
          <w:color w:val="00000A"/>
          <w:sz w:val="22"/>
          <w:szCs w:val="22"/>
        </w:rPr>
        <w:t>Não havendo novos lances na forma estabelecida nos itens anteriores, a sessão pública encerrar-se-á automaticamente.</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7.13. </w:t>
      </w:r>
      <w:r>
        <w:rPr>
          <w:rFonts w:cs="Arial" w:ascii="Times New Roman" w:hAnsi="Times New Roman"/>
          <w:color w:val="00000A"/>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pPr>
        <w:pStyle w:val="ListParagraph"/>
        <w:tabs>
          <w:tab w:val="clear" w:pos="720"/>
          <w:tab w:val="left" w:pos="338" w:leader="none"/>
        </w:tabs>
        <w:spacing w:lineRule="auto" w:line="276" w:before="4" w:after="4"/>
        <w:ind w:hanging="0" w:left="0"/>
        <w:contextualSpacing/>
        <w:jc w:val="both"/>
        <w:rPr/>
      </w:pPr>
      <w:r>
        <w:rPr>
          <w:rFonts w:eastAsia="Times New Roman" w:cs="Arial" w:ascii="Times New Roman" w:hAnsi="Times New Roman"/>
          <w:b/>
          <w:bCs/>
          <w:i/>
          <w:iCs/>
          <w:color w:val="0000FF"/>
          <w:sz w:val="22"/>
          <w:szCs w:val="22"/>
        </w:rPr>
        <w:tab/>
      </w:r>
      <w:r>
        <w:rPr>
          <w:rFonts w:cs="Arial" w:ascii="Times New Roman" w:hAnsi="Times New Roman"/>
          <w:b/>
          <w:bCs/>
          <w:color w:val="00000A"/>
          <w:sz w:val="22"/>
          <w:szCs w:val="22"/>
        </w:rPr>
        <w:t>7.14.</w:t>
      </w:r>
      <w:r>
        <w:rPr>
          <w:rFonts w:cs="Arial" w:ascii="Times New Roman" w:hAnsi="Times New Roman"/>
          <w:color w:val="00000A"/>
          <w:sz w:val="22"/>
          <w:szCs w:val="22"/>
        </w:rPr>
        <w:t xml:space="preserve"> Em caso de falha no sistema, os lances em desacordo com os subitens anteriores deverão ser desconsiderados pelo pregoeiro, devendo a ocorrência ser comunicada imediatamente à Secretaria de Gestão do Ministério da Economia;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7.15.</w:t>
      </w:r>
      <w:r>
        <w:rPr>
          <w:rFonts w:cs="Arial" w:ascii="Times New Roman" w:hAnsi="Times New Roman"/>
          <w:color w:val="00000A"/>
          <w:sz w:val="22"/>
          <w:szCs w:val="22"/>
        </w:rPr>
        <w:t xml:space="preserve"> Na hipótese do subitem anterior, a ocorrência será registrada em campo próprio do sistema.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7.16.</w:t>
      </w:r>
      <w:r>
        <w:rPr>
          <w:rFonts w:cs="Arial" w:ascii="Times New Roman" w:hAnsi="Times New Roman"/>
          <w:color w:val="00000A"/>
          <w:sz w:val="22"/>
          <w:szCs w:val="22"/>
        </w:rPr>
        <w:t xml:space="preserve"> Não serão aceitos dois ou mais lances de mesmo valor, prevalecendo aquele que for recebido e registrado em primeiro lugar.</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7.17. </w:t>
      </w:r>
      <w:r>
        <w:rPr>
          <w:rFonts w:cs="Arial" w:ascii="Times New Roman" w:hAnsi="Times New Roman"/>
          <w:color w:val="00000A"/>
          <w:sz w:val="22"/>
          <w:szCs w:val="22"/>
        </w:rPr>
        <w:t>Durante o transcurso da sessão pública, os licitantes serão informados, em tempo real, do valor do menor lance registrado, vedada a identificação do licitante.</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7.18.</w:t>
      </w:r>
      <w:r>
        <w:rPr>
          <w:rFonts w:cs="Arial" w:ascii="Times New Roman" w:hAnsi="Times New Roman"/>
          <w:color w:val="00000A"/>
          <w:sz w:val="22"/>
          <w:szCs w:val="22"/>
        </w:rPr>
        <w:t xml:space="preserve"> No caso de desconexão com o Pregoeiro, no decorrer da etapa competitiva do Pregão, o sistema eletrônico poderá permanecer acessível aos licitantes para a recepção dos lances.</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7.19. </w:t>
      </w:r>
      <w:r>
        <w:rPr>
          <w:rFonts w:cs="Arial" w:ascii="Times New Roman" w:hAnsi="Times New Roman"/>
          <w:color w:val="00000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7.20. </w:t>
      </w:r>
      <w:r>
        <w:rPr>
          <w:rFonts w:cs="Arial" w:ascii="Times New Roman" w:hAnsi="Times New Roman"/>
          <w:color w:val="00000A"/>
          <w:sz w:val="22"/>
          <w:szCs w:val="22"/>
        </w:rPr>
        <w:t>O Critério de julgamento adotado será o menor preço, conforme definido neste Edital e seus anexos.</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7.20.1.</w:t>
      </w:r>
      <w:r>
        <w:rPr>
          <w:rFonts w:cs="Arial" w:ascii="Times New Roman" w:hAnsi="Times New Roman"/>
          <w:color w:val="00000A"/>
          <w:sz w:val="22"/>
          <w:szCs w:val="22"/>
        </w:rPr>
        <w:t xml:space="preserve"> Caso o licitante não apresente lances, concorrerá com o valor de sua proposta.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 xml:space="preserve">7.21. </w:t>
      </w:r>
      <w:r>
        <w:rPr>
          <w:rFonts w:cs="Arial" w:ascii="Times New Roman" w:hAnsi="Times New Roman"/>
          <w:color w:val="00000A"/>
          <w:sz w:val="22"/>
          <w:szCs w:val="22"/>
          <w:lang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 xml:space="preserve">7.22. </w:t>
      </w:r>
      <w:r>
        <w:rPr>
          <w:rFonts w:cs="Arial" w:ascii="Times New Roman" w:hAnsi="Times New Roman"/>
          <w:color w:val="00000A"/>
          <w:sz w:val="22"/>
          <w:szCs w:val="22"/>
          <w:lang w:eastAsia="en-US"/>
        </w:rPr>
        <w:t>Nessas condições, as propostas de microempresas e empresas de pequeno porte que se encontrarem na faixa de até 5% (cinco por cento) acima da melhor proposta ou melhor lance serão consideradas empatadas com a primeira colocada.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 xml:space="preserve">7.23. </w:t>
      </w:r>
      <w:r>
        <w:rPr>
          <w:rFonts w:cs="Arial" w:ascii="Times New Roman" w:hAnsi="Times New Roman"/>
          <w:color w:val="00000A"/>
          <w:sz w:val="22"/>
          <w:szCs w:val="22"/>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tabs>
          <w:tab w:val="clear" w:pos="720"/>
          <w:tab w:val="left" w:pos="338" w:leader="none"/>
          <w:tab w:val="left" w:pos="394"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7.24.</w:t>
      </w:r>
      <w:r>
        <w:rPr>
          <w:rFonts w:cs="Arial" w:ascii="Times New Roman" w:hAnsi="Times New Roman"/>
          <w:color w:val="00000A"/>
          <w:sz w:val="22"/>
          <w:szCs w:val="22"/>
          <w:lang w:eastAsia="en-US"/>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7.25.</w:t>
      </w:r>
      <w:r>
        <w:rPr>
          <w:rFonts w:cs="Arial" w:ascii="Times New Roman" w:hAnsi="Times New Roman"/>
          <w:color w:val="00000A"/>
          <w:sz w:val="22"/>
          <w:szCs w:val="22"/>
          <w:lang w:eastAsia="en-US"/>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7.26.</w:t>
      </w:r>
      <w:r>
        <w:rPr>
          <w:rFonts w:cs="Arial" w:ascii="Times New Roman" w:hAnsi="Times New Roman"/>
          <w:color w:val="00000A"/>
          <w:sz w:val="22"/>
          <w:szCs w:val="22"/>
          <w:lang w:eastAsia="en-US"/>
        </w:rPr>
        <w:t xml:space="preserve"> Quando houver propostas beneficiadas com as margens de preferência em relação ao produto estrangeiro, o critério de desempate será aplicado exclusivamente entre as propostas que fizerem jus às margens de preferência, conforme regulamento.</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7.27.</w:t>
      </w:r>
      <w:r>
        <w:rPr>
          <w:rFonts w:cs="Arial" w:ascii="Times New Roman" w:hAnsi="Times New Roman"/>
          <w:color w:val="00000A"/>
          <w:sz w:val="22"/>
          <w:szCs w:val="22"/>
          <w:lang w:eastAsia="en-US"/>
        </w:rPr>
        <w:t xml:space="preserve"> A ordem de apresentação pelos licitantes é utilizada como um dos critérios de classificação, de maneira que só poderá haver empate entre propostas iguais (não seguidas de lances).</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7.28.</w:t>
      </w:r>
      <w:r>
        <w:rPr>
          <w:rFonts w:cs="Arial" w:ascii="Times New Roman" w:hAnsi="Times New Roman"/>
          <w:color w:val="00000A"/>
          <w:sz w:val="22"/>
          <w:szCs w:val="22"/>
          <w:lang w:eastAsia="en-US"/>
        </w:rPr>
        <w:t xml:space="preserve"> </w:t>
      </w:r>
      <w:r>
        <w:rPr>
          <w:rFonts w:cs="Arial" w:ascii="Times New Roman" w:hAnsi="Times New Roman"/>
          <w:bCs/>
          <w:color w:val="00000A"/>
          <w:sz w:val="22"/>
          <w:szCs w:val="22"/>
          <w:lang w:eastAsia="en-US"/>
        </w:rPr>
        <w:t>Havendo eventual empate entre propostas ou lances, o critério de desempate será aquele previsto no art. 60 da Lei 14.133/2021.</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7.29.</w:t>
      </w:r>
      <w:r>
        <w:rPr>
          <w:rFonts w:cs="Arial" w:ascii="Times New Roman" w:hAnsi="Times New Roman"/>
          <w:color w:val="00000A"/>
          <w:sz w:val="22"/>
          <w:szCs w:val="22"/>
          <w:lang w:eastAsia="en-US"/>
        </w:rPr>
        <w:t xml:space="preserve"> Persistindo o empate, a proposta vencedora será sorteada pelo sistema eletrônico dentre as propostas empatadas.</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 xml:space="preserve">7.30. </w:t>
      </w:r>
      <w:r>
        <w:rPr>
          <w:rFonts w:cs="Arial" w:ascii="Times New Roman" w:hAnsi="Times New Roman"/>
          <w:color w:val="00000A"/>
          <w:sz w:val="22"/>
          <w:szCs w:val="22"/>
          <w:lang w:eastAsia="en-US"/>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pPr>
        <w:pStyle w:val="ListParagraph"/>
        <w:tabs>
          <w:tab w:val="clear" w:pos="720"/>
          <w:tab w:val="left" w:pos="567" w:leader="none"/>
        </w:tabs>
        <w:spacing w:lineRule="auto" w:line="276" w:before="4" w:after="4"/>
        <w:ind w:firstLine="567" w:left="0"/>
        <w:contextualSpacing/>
        <w:jc w:val="both"/>
        <w:rPr/>
      </w:pPr>
      <w:r>
        <w:rPr>
          <w:rFonts w:cs="Arial" w:ascii="Times New Roman" w:hAnsi="Times New Roman"/>
          <w:b/>
          <w:bCs/>
          <w:color w:val="00000A"/>
          <w:sz w:val="22"/>
          <w:szCs w:val="22"/>
          <w:lang w:eastAsia="en-US"/>
        </w:rPr>
        <w:t>7.30.1.</w:t>
      </w:r>
      <w:r>
        <w:rPr>
          <w:rFonts w:cs="Arial" w:ascii="Times New Roman" w:hAnsi="Times New Roman"/>
          <w:color w:val="00000A"/>
          <w:sz w:val="22"/>
          <w:szCs w:val="22"/>
          <w:lang w:eastAsia="en-US"/>
        </w:rPr>
        <w:t xml:space="preserve"> A negociação será por meio do sistema, podendo ser acompanhada pelos demais licitantes.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7.30.2.</w:t>
      </w:r>
      <w:r>
        <w:rPr>
          <w:rFonts w:cs="Arial" w:ascii="Times New Roman" w:hAnsi="Times New Roman"/>
          <w:color w:val="00000A"/>
          <w:sz w:val="22"/>
          <w:szCs w:val="22"/>
          <w:lang w:eastAsia="en-US"/>
        </w:rPr>
        <w:t xml:space="preserve"> O pregoeiro solicitará ao licitante melhor classificado que, no prazo de 2 horas envie a proposta adequada ao último lance ofertado após a negociação realizada, acompanhada, se for o caso, dos documentos complementares, quando necessários à confirmação daqueles exigidos nesse Edital e já apresentados.</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 xml:space="preserve">7.31. </w:t>
      </w:r>
      <w:r>
        <w:rPr>
          <w:rFonts w:cs="Arial" w:ascii="Times New Roman" w:hAnsi="Times New Roman"/>
          <w:color w:val="00000A"/>
          <w:sz w:val="22"/>
          <w:szCs w:val="22"/>
          <w:lang w:eastAsia="en-US"/>
        </w:rPr>
        <w:t>Após a negociação do preço, o Pregoeiro iniciará a fase de aceitação e julgamento da proposta.</w:t>
      </w:r>
    </w:p>
    <w:p>
      <w:pPr>
        <w:pStyle w:val="ListParagraph"/>
        <w:tabs>
          <w:tab w:val="clear" w:pos="720"/>
          <w:tab w:val="left" w:pos="338" w:leader="none"/>
        </w:tabs>
        <w:spacing w:lineRule="auto" w:line="276" w:before="4" w:after="4"/>
        <w:ind w:hanging="0" w:left="0"/>
        <w:contextualSpacing/>
        <w:jc w:val="both"/>
        <w:rPr/>
      </w:pPr>
      <w:r>
        <w:rPr>
          <w:rFonts w:eastAsia="Zurich BT" w:cs="Arial" w:ascii="Times New Roman" w:hAnsi="Times New Roman"/>
          <w:bCs/>
          <w:i/>
          <w:color w:val="00000A"/>
          <w:sz w:val="22"/>
          <w:szCs w:val="22"/>
        </w:rPr>
        <w:tab/>
      </w:r>
      <w:r>
        <w:rPr>
          <w:rFonts w:cs="Arial" w:ascii="Times New Roman" w:hAnsi="Times New Roman"/>
          <w:b/>
          <w:bCs/>
          <w:color w:val="00000A"/>
          <w:sz w:val="22"/>
          <w:szCs w:val="22"/>
        </w:rPr>
        <w:t>7.32.</w:t>
      </w:r>
      <w:r>
        <w:rPr>
          <w:rFonts w:cs="Arial" w:ascii="Times New Roman" w:hAnsi="Times New Roman"/>
          <w:color w:val="00000A"/>
          <w:sz w:val="22"/>
          <w:szCs w:val="22"/>
        </w:rPr>
        <w:t xml:space="preserve"> Encerrada a etapa de negociação, o pregoeiro examinará a proposta classificada em primeiro lugar quanto à adequação ao objeto e à compatibilidade do preço em relação ao máximo estipulado para contratação neste Edital e seus anexos, observado o dispositivo no parágrafo único do art. 7° e no § </w:t>
      </w:r>
      <w:r>
        <w:rPr>
          <w:rFonts w:cs="Arial" w:ascii="Times New Roman" w:hAnsi="Times New Roman"/>
          <w:color w:val="auto"/>
          <w:sz w:val="22"/>
          <w:szCs w:val="22"/>
        </w:rPr>
        <w:t>9° do art. 26 do Decreto n° 10.024/2019.</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auto"/>
          <w:sz w:val="22"/>
          <w:szCs w:val="22"/>
        </w:rPr>
        <w:tab/>
        <w:t xml:space="preserve">7.33. </w:t>
      </w:r>
      <w:r>
        <w:rPr>
          <w:rFonts w:cs="Arial" w:ascii="Times New Roman" w:hAnsi="Times New Roman"/>
          <w:color w:val="auto"/>
          <w:sz w:val="22"/>
          <w:szCs w:val="22"/>
        </w:rPr>
        <w:t>Se</w:t>
      </w:r>
      <w:r>
        <w:rPr>
          <w:rFonts w:cs="Arial" w:ascii="Times New Roman" w:hAnsi="Times New Roman"/>
          <w:color w:val="00000A"/>
          <w:sz w:val="22"/>
          <w:szCs w:val="22"/>
        </w:rPr>
        <w:t>rá desclassificada a proposta ou o lance vencedor, que apresentar preço final superior ao preço máximo fixado (Acórdão nº 1455/2018-TCU-Plenário), ou que apresentar preço manifestamente inexequível.</w:t>
      </w:r>
    </w:p>
    <w:p>
      <w:pPr>
        <w:pStyle w:val="ListParagraph"/>
        <w:tabs>
          <w:tab w:val="clear" w:pos="720"/>
          <w:tab w:val="left" w:pos="502" w:leader="none"/>
          <w:tab w:val="left" w:pos="567" w:leader="none"/>
        </w:tabs>
        <w:spacing w:lineRule="auto" w:line="276" w:before="4" w:after="4"/>
        <w:ind w:firstLine="567" w:left="0"/>
        <w:contextualSpacing/>
        <w:jc w:val="both"/>
        <w:rPr/>
      </w:pPr>
      <w:r>
        <w:rPr>
          <w:rFonts w:cs="Arial" w:ascii="Times New Roman" w:hAnsi="Times New Roman"/>
          <w:b/>
          <w:bCs/>
          <w:color w:val="00000A"/>
          <w:sz w:val="22"/>
          <w:szCs w:val="22"/>
        </w:rPr>
        <w:t>7.33.1.</w:t>
      </w:r>
      <w:r>
        <w:rPr>
          <w:rFonts w:cs="Arial" w:ascii="Times New Roman" w:hAnsi="Times New Roman"/>
          <w:color w:val="00000A"/>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7.34.</w:t>
      </w:r>
      <w:r>
        <w:rPr>
          <w:rFonts w:cs="Arial" w:ascii="Times New Roman" w:hAnsi="Times New Roman"/>
          <w:color w:val="00000A"/>
          <w:sz w:val="22"/>
          <w:szCs w:val="22"/>
        </w:rPr>
        <w:t xml:space="preserve"> Qualquer interessado poderá requerer que se realizem diligências para aferir a exequibilidade e a legalidade das propostas devendo apresentar as provas ou os indícios que fundamentem sua suspeita.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7.35.</w:t>
      </w:r>
      <w:r>
        <w:rPr>
          <w:rFonts w:cs="Arial" w:ascii="Times New Roman" w:hAnsi="Times New Roman"/>
          <w:color w:val="00000A"/>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7.36. </w:t>
      </w:r>
      <w:r>
        <w:rPr>
          <w:rFonts w:cs="Arial" w:ascii="Times New Roman" w:hAnsi="Times New Roman"/>
          <w:color w:val="00000A"/>
          <w:sz w:val="22"/>
          <w:szCs w:val="22"/>
        </w:rPr>
        <w:t>O Pregoeiro poderá convocar o licitante para enviar documento digital complementar, por meio de funcionalidade disponível no sistema, no prazo de 02 horas (duas horas), sob pena de não aceitação da proposta.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7.37. </w:t>
      </w:r>
      <w:r>
        <w:rPr>
          <w:rFonts w:cs="Arial" w:ascii="Times New Roman" w:hAnsi="Times New Roman"/>
          <w:color w:val="00000A"/>
          <w:sz w:val="22"/>
          <w:szCs w:val="22"/>
        </w:rPr>
        <w:t>O prazo estabelecido poderá ser prorrogado pelo Pregoeiro por solicitação escrita e justificada do licitante, formulada antes de findo o prazo, e formalmente aceita pelo Pregoeiro.</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7.38.</w:t>
      </w:r>
      <w:r>
        <w:rPr>
          <w:rFonts w:cs="Arial" w:ascii="Times New Roman" w:hAnsi="Times New Roman"/>
          <w:color w:val="00000A"/>
          <w:sz w:val="22"/>
          <w:szCs w:val="22"/>
          <w:lang w:eastAsia="en-US"/>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i/>
          <w:iCs/>
          <w:color w:val="0000FF"/>
          <w:sz w:val="22"/>
          <w:szCs w:val="22"/>
        </w:rPr>
        <w:tab/>
      </w:r>
      <w:r>
        <w:rPr>
          <w:rFonts w:cs="Arial" w:ascii="Times New Roman" w:hAnsi="Times New Roman"/>
          <w:b/>
          <w:bCs/>
          <w:i w:val="false"/>
          <w:iCs w:val="false"/>
          <w:color w:val="00000A"/>
          <w:sz w:val="22"/>
          <w:szCs w:val="22"/>
        </w:rPr>
        <w:t>7.39.</w:t>
      </w:r>
      <w:r>
        <w:rPr>
          <w:rFonts w:cs="Arial" w:ascii="Times New Roman" w:hAnsi="Times New Roman"/>
          <w:bCs/>
          <w:i w:val="false"/>
          <w:iCs w:val="false"/>
          <w:color w:val="00000A"/>
          <w:sz w:val="22"/>
          <w:szCs w:val="22"/>
        </w:rPr>
        <w:t xml:space="preserve">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05 (cinco) dias úteis contados da solicitação.</w:t>
      </w:r>
    </w:p>
    <w:p>
      <w:pPr>
        <w:pStyle w:val="Normal"/>
        <w:tabs>
          <w:tab w:val="clear" w:pos="720"/>
          <w:tab w:val="left" w:pos="338" w:leader="none"/>
        </w:tabs>
        <w:spacing w:lineRule="auto" w:line="276" w:before="4" w:after="4"/>
        <w:contextualSpacing/>
        <w:jc w:val="both"/>
        <w:rPr/>
      </w:pPr>
      <w:r>
        <w:rPr>
          <w:rFonts w:cs="Arial" w:ascii="Times New Roman" w:hAnsi="Times New Roman"/>
          <w:b/>
          <w:bCs/>
          <w:i w:val="false"/>
          <w:iCs w:val="false"/>
          <w:color w:val="00000A"/>
          <w:sz w:val="22"/>
          <w:szCs w:val="22"/>
        </w:rPr>
        <w:tab/>
        <w:t>7.40.</w:t>
      </w:r>
      <w:r>
        <w:rPr>
          <w:rFonts w:cs="Arial" w:ascii="Times New Roman" w:hAnsi="Times New Roman"/>
          <w:bCs/>
          <w:i w:val="false"/>
          <w:iCs w:val="false"/>
          <w:color w:val="00000A"/>
          <w:sz w:val="22"/>
          <w:szCs w:val="22"/>
        </w:rPr>
        <w:t xml:space="preserve"> Por meio de mensagem no sistema, será divulgado o local e horário de realização do procedimento para a avaliação das amostras, cuja presença será facultada a todos os interessados, incluindo os demais licitantes.</w:t>
      </w:r>
    </w:p>
    <w:p>
      <w:pPr>
        <w:pStyle w:val="Normal"/>
        <w:tabs>
          <w:tab w:val="clear" w:pos="720"/>
          <w:tab w:val="left" w:pos="338" w:leader="none"/>
          <w:tab w:val="left" w:pos="1440" w:leader="none"/>
        </w:tabs>
        <w:spacing w:lineRule="auto" w:line="276" w:before="4" w:after="4"/>
        <w:contextualSpacing/>
        <w:jc w:val="both"/>
        <w:rPr/>
      </w:pPr>
      <w:r>
        <w:rPr>
          <w:rFonts w:cs="Arial" w:ascii="Times New Roman" w:hAnsi="Times New Roman"/>
          <w:b/>
          <w:bCs/>
          <w:i w:val="false"/>
          <w:iCs w:val="false"/>
          <w:color w:val="00000A"/>
          <w:sz w:val="22"/>
          <w:szCs w:val="22"/>
        </w:rPr>
        <w:tab/>
        <w:t>7.41.</w:t>
      </w:r>
      <w:r>
        <w:rPr>
          <w:rFonts w:cs="Arial" w:ascii="Times New Roman" w:hAnsi="Times New Roman"/>
          <w:bCs/>
          <w:i w:val="false"/>
          <w:iCs w:val="false"/>
          <w:color w:val="00000A"/>
          <w:sz w:val="22"/>
          <w:szCs w:val="22"/>
        </w:rPr>
        <w:t xml:space="preserve"> Os resultados das avaliações serão divulgados por meio de mensagem no sistema.</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b/>
          <w:bCs/>
          <w:i w:val="false"/>
          <w:iCs w:val="false"/>
          <w:color w:val="00000A"/>
          <w:sz w:val="22"/>
          <w:szCs w:val="22"/>
        </w:rPr>
        <w:tab/>
        <w:t>7.41.1.</w:t>
      </w:r>
      <w:r>
        <w:rPr>
          <w:rFonts w:cs="Arial" w:ascii="Times New Roman" w:hAnsi="Times New Roman"/>
          <w:bCs/>
          <w:i w:val="false"/>
          <w:iCs w:val="false"/>
          <w:color w:val="00000A"/>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b/>
          <w:bCs/>
          <w:i w:val="false"/>
          <w:iCs w:val="false"/>
          <w:color w:val="00000A"/>
          <w:sz w:val="22"/>
          <w:szCs w:val="22"/>
        </w:rPr>
        <w:tab/>
        <w:t>7.41.2.</w:t>
      </w:r>
      <w:r>
        <w:rPr>
          <w:rFonts w:cs="Arial" w:ascii="Times New Roman" w:hAnsi="Times New Roman"/>
          <w:bCs/>
          <w:i w:val="false"/>
          <w:iCs w:val="false"/>
          <w:color w:val="00000A"/>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pPr>
        <w:pStyle w:val="Normal"/>
        <w:tabs>
          <w:tab w:val="clear" w:pos="720"/>
          <w:tab w:val="left" w:pos="567" w:leader="none"/>
          <w:tab w:val="left" w:pos="1440" w:leader="none"/>
        </w:tabs>
        <w:spacing w:lineRule="auto" w:line="276" w:before="4" w:after="4"/>
        <w:ind w:hanging="0"/>
        <w:contextualSpacing/>
        <w:jc w:val="both"/>
        <w:rPr/>
      </w:pPr>
      <w:r>
        <w:rPr>
          <w:rFonts w:cs="Arial" w:ascii="Times New Roman" w:hAnsi="Times New Roman"/>
          <w:b/>
          <w:bCs/>
          <w:i w:val="false"/>
          <w:iCs w:val="false"/>
          <w:color w:val="00000A"/>
          <w:sz w:val="22"/>
          <w:szCs w:val="22"/>
        </w:rPr>
        <w:tab/>
        <w:t>7.41.3.</w:t>
      </w:r>
      <w:r>
        <w:rPr>
          <w:rFonts w:cs="Arial" w:ascii="Times New Roman" w:hAnsi="Times New Roman"/>
          <w:bCs/>
          <w:i w:val="false"/>
          <w:iCs w:val="false"/>
          <w:color w:val="00000A"/>
          <w:sz w:val="22"/>
          <w:szCs w:val="22"/>
        </w:rPr>
        <w:t xml:space="preserve"> Os exemplares colocados à disposição da Administração serão tratados como protótipos, podendo ser manuseados e desmontados pela equipe técnica responsável pela análise, não gerando direito a ressarcimento.</w:t>
      </w:r>
    </w:p>
    <w:p>
      <w:pPr>
        <w:pStyle w:val="Normal"/>
        <w:tabs>
          <w:tab w:val="clear" w:pos="720"/>
          <w:tab w:val="left" w:pos="567" w:leader="none"/>
        </w:tabs>
        <w:spacing w:lineRule="auto" w:line="276" w:before="4" w:after="4"/>
        <w:ind w:firstLine="567"/>
        <w:contextualSpacing/>
        <w:jc w:val="both"/>
        <w:rPr/>
      </w:pPr>
      <w:r>
        <w:rPr>
          <w:rFonts w:cs="Arial" w:ascii="Times New Roman" w:hAnsi="Times New Roman"/>
          <w:b/>
          <w:bCs/>
          <w:i w:val="false"/>
          <w:iCs w:val="false"/>
          <w:color w:val="00000A"/>
          <w:sz w:val="22"/>
          <w:szCs w:val="22"/>
        </w:rPr>
        <w:t>7.41.4.</w:t>
      </w:r>
      <w:r>
        <w:rPr>
          <w:rFonts w:cs="Arial" w:ascii="Times New Roman" w:hAnsi="Times New Roman"/>
          <w:bCs/>
          <w:i w:val="false"/>
          <w:iCs w:val="false"/>
          <w:color w:val="00000A"/>
          <w:sz w:val="22"/>
          <w:szCs w:val="22"/>
        </w:rPr>
        <w:t xml:space="preserve"> Após a divulgação do resultado final da licitação, as amostras entregues deverão ser recolhidas pelos licitantes no prazo de 05 (dias) quando for o caso, após o qual poderão ser descartadas pela Administração, sem direito a ressarcimento.</w:t>
      </w:r>
    </w:p>
    <w:p>
      <w:pPr>
        <w:pStyle w:val="Normal"/>
        <w:tabs>
          <w:tab w:val="clear" w:pos="720"/>
          <w:tab w:val="left" w:pos="567" w:leader="none"/>
          <w:tab w:val="left" w:pos="1762" w:leader="none"/>
        </w:tabs>
        <w:spacing w:lineRule="auto" w:line="276" w:before="4" w:after="4"/>
        <w:ind w:hanging="0"/>
        <w:contextualSpacing/>
        <w:jc w:val="both"/>
        <w:rPr/>
      </w:pPr>
      <w:r>
        <w:rPr>
          <w:rFonts w:cs="Arial" w:ascii="Times New Roman" w:hAnsi="Times New Roman"/>
          <w:b/>
          <w:bCs/>
          <w:i w:val="false"/>
          <w:iCs w:val="false"/>
          <w:color w:val="00000A"/>
          <w:sz w:val="22"/>
          <w:szCs w:val="22"/>
        </w:rPr>
        <w:tab/>
        <w:t>7.41.5.</w:t>
      </w:r>
      <w:r>
        <w:rPr>
          <w:rFonts w:cs="Arial" w:ascii="Times New Roman" w:hAnsi="Times New Roman"/>
          <w:bCs/>
          <w:i w:val="false"/>
          <w:iCs w:val="false"/>
          <w:color w:val="00000A"/>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pPr>
        <w:pStyle w:val="Normal"/>
        <w:tabs>
          <w:tab w:val="clear" w:pos="720"/>
          <w:tab w:val="left" w:pos="340" w:leader="none"/>
          <w:tab w:val="left" w:pos="1440" w:leader="none"/>
        </w:tabs>
        <w:spacing w:lineRule="auto" w:line="276" w:before="4" w:after="4"/>
        <w:contextualSpacing/>
        <w:jc w:val="both"/>
        <w:rPr/>
      </w:pPr>
      <w:r>
        <w:rPr>
          <w:rFonts w:cs="Arial" w:ascii="Times New Roman" w:hAnsi="Times New Roman"/>
          <w:b/>
          <w:bCs/>
          <w:i w:val="false"/>
          <w:iCs w:val="false"/>
          <w:color w:val="00000A"/>
          <w:sz w:val="22"/>
          <w:szCs w:val="22"/>
        </w:rPr>
        <w:tab/>
        <w:t xml:space="preserve">7.42. </w:t>
      </w:r>
      <w:r>
        <w:rPr>
          <w:rFonts w:cs="Arial" w:ascii="Times New Roman" w:hAnsi="Times New Roman"/>
          <w:bCs/>
          <w:i w:val="false"/>
          <w:iCs w:val="false"/>
          <w:color w:val="00000A"/>
          <w:sz w:val="22"/>
          <w:szCs w:val="22"/>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pPr>
        <w:pStyle w:val="Normal"/>
        <w:tabs>
          <w:tab w:val="clear" w:pos="720"/>
          <w:tab w:val="left" w:pos="567" w:leader="none"/>
        </w:tabs>
        <w:spacing w:lineRule="auto" w:line="276" w:before="4" w:after="4"/>
        <w:ind w:hanging="0"/>
        <w:contextualSpacing/>
        <w:jc w:val="both"/>
        <w:rPr/>
      </w:pPr>
      <w:r>
        <w:rPr>
          <w:rFonts w:cs="Arial" w:ascii="Times New Roman" w:hAnsi="Times New Roman"/>
          <w:b/>
          <w:bCs/>
          <w:i w:val="false"/>
          <w:iCs w:val="false"/>
          <w:color w:val="00000A"/>
          <w:sz w:val="22"/>
          <w:szCs w:val="22"/>
        </w:rPr>
        <w:tab/>
        <w:t>7.42.1.</w:t>
      </w:r>
      <w:r>
        <w:rPr>
          <w:rFonts w:cs="Arial" w:ascii="Times New Roman" w:hAnsi="Times New Roman"/>
          <w:bCs/>
          <w:i w:val="false"/>
          <w:iCs w:val="false"/>
          <w:color w:val="00000A"/>
          <w:sz w:val="22"/>
          <w:szCs w:val="22"/>
        </w:rPr>
        <w:t xml:space="preserve"> Nessa hipótese, bem como em caso de inabilitação do licitante, as propostas serão reclassificadas, para fins de nova aplicação da margem de preferência.</w:t>
      </w:r>
    </w:p>
    <w:p>
      <w:pPr>
        <w:pStyle w:val="ListParagraph"/>
        <w:tabs>
          <w:tab w:val="clear" w:pos="720"/>
          <w:tab w:val="left" w:pos="340" w:leader="none"/>
        </w:tabs>
        <w:spacing w:lineRule="auto" w:line="276" w:before="4" w:after="4"/>
        <w:ind w:hanging="0" w:left="0"/>
        <w:contextualSpacing/>
        <w:jc w:val="both"/>
        <w:rPr/>
      </w:pPr>
      <w:r>
        <w:rPr>
          <w:rFonts w:cs="Arial" w:ascii="Times New Roman" w:hAnsi="Times New Roman"/>
          <w:b/>
          <w:bCs/>
          <w:iCs/>
          <w:color w:val="00000A"/>
          <w:sz w:val="22"/>
          <w:szCs w:val="22"/>
        </w:rPr>
        <w:tab/>
        <w:t>7.43.</w:t>
      </w:r>
      <w:r>
        <w:rPr>
          <w:rFonts w:cs="Arial" w:ascii="Times New Roman" w:hAnsi="Times New Roman"/>
          <w:bCs/>
          <w:iCs/>
          <w:color w:val="00000A"/>
          <w:sz w:val="22"/>
          <w:szCs w:val="22"/>
        </w:rPr>
        <w:t xml:space="preserve"> Se a proposta ou lance vencedor for desclassificado, o Pregoeiro examinará a proposta ou lance subsequente, e, assim sucessivamente, na ordem de classificação.</w:t>
      </w:r>
    </w:p>
    <w:p>
      <w:pPr>
        <w:pStyle w:val="ListParagraph"/>
        <w:tabs>
          <w:tab w:val="clear" w:pos="720"/>
          <w:tab w:val="left" w:pos="340"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7.44.</w:t>
      </w:r>
      <w:r>
        <w:rPr>
          <w:rFonts w:cs="Arial" w:ascii="Times New Roman" w:hAnsi="Times New Roman"/>
          <w:color w:val="00000A"/>
          <w:sz w:val="22"/>
          <w:szCs w:val="22"/>
          <w:lang w:eastAsia="en-US"/>
        </w:rPr>
        <w:t xml:space="preserve"> Havendo necessidade, o Pregoeiro suspenderá a sessão, informando no “</w:t>
      </w:r>
      <w:r>
        <w:rPr>
          <w:rFonts w:cs="Arial" w:ascii="Times New Roman" w:hAnsi="Times New Roman"/>
          <w:i/>
          <w:color w:val="00000A"/>
          <w:sz w:val="22"/>
          <w:szCs w:val="22"/>
          <w:lang w:eastAsia="en-US"/>
        </w:rPr>
        <w:t>chat</w:t>
      </w:r>
      <w:r>
        <w:rPr>
          <w:rFonts w:cs="Arial" w:ascii="Times New Roman" w:hAnsi="Times New Roman"/>
          <w:color w:val="00000A"/>
          <w:sz w:val="22"/>
          <w:szCs w:val="22"/>
          <w:lang w:eastAsia="en-US"/>
        </w:rPr>
        <w:t>” a nova data e horário para a sua continuidade.</w:t>
      </w:r>
    </w:p>
    <w:p>
      <w:pPr>
        <w:pStyle w:val="ListParagraph"/>
        <w:tabs>
          <w:tab w:val="clear" w:pos="720"/>
          <w:tab w:val="left" w:pos="340" w:leader="none"/>
        </w:tabs>
        <w:spacing w:lineRule="auto" w:line="276" w:before="4" w:after="4"/>
        <w:ind w:hanging="0" w:left="0"/>
        <w:contextualSpacing/>
        <w:jc w:val="both"/>
        <w:rPr/>
      </w:pPr>
      <w:r>
        <w:rPr>
          <w:rFonts w:cs="Arial" w:ascii="Times New Roman" w:hAnsi="Times New Roman"/>
          <w:b/>
          <w:bCs/>
          <w:color w:val="00000A"/>
          <w:sz w:val="22"/>
          <w:szCs w:val="22"/>
        </w:rPr>
        <w:tab/>
        <w:t>7.45.</w:t>
      </w:r>
      <w:r>
        <w:rPr>
          <w:rFonts w:cs="Arial" w:ascii="Times New Roman" w:hAnsi="Times New Roman"/>
          <w:color w:val="00000A"/>
          <w:sz w:val="22"/>
          <w:szCs w:val="22"/>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 xml:space="preserve">7.45.1. </w:t>
      </w:r>
      <w:r>
        <w:rPr>
          <w:rFonts w:cs="Arial" w:ascii="Times New Roman" w:hAnsi="Times New Roman"/>
          <w:color w:val="00000A"/>
          <w:sz w:val="22"/>
          <w:szCs w:val="22"/>
        </w:rPr>
        <w:t>Também nas hipóteses em que o Pregoeiro não aceitar a proposta e passar à subsequente, poderá negociar com o licitante para que seja obtido preço melhor.</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 xml:space="preserve">7.45.2. </w:t>
      </w:r>
      <w:r>
        <w:rPr>
          <w:rFonts w:cs="Arial" w:ascii="Times New Roman" w:hAnsi="Times New Roman"/>
          <w:color w:val="00000A"/>
          <w:sz w:val="22"/>
          <w:szCs w:val="22"/>
        </w:rPr>
        <w:t>A negociação será realizada por meio do sistema, podendo ser acompanhada pelos demais licitantes.</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7.46. </w:t>
      </w:r>
      <w:r>
        <w:rPr>
          <w:rFonts w:cs="Arial" w:ascii="Times New Roman" w:hAnsi="Times New Roman"/>
          <w:color w:val="00000A"/>
          <w:sz w:val="22"/>
          <w:szCs w:val="22"/>
        </w:rPr>
        <w:t>Nos itens não exclusivos para a participação de microempresas e empresas de pequeno porte, sempre que a proposta não for aceita, e antes de o Pregoeiro passar à subsequente, haverá nova verificação, pelo sistema, da eventual o</w:t>
      </w:r>
      <w:r>
        <w:rPr>
          <w:rFonts w:cs="Arial" w:ascii="Times New Roman" w:hAnsi="Times New Roman"/>
          <w:color w:val="auto"/>
          <w:sz w:val="22"/>
          <w:szCs w:val="22"/>
        </w:rPr>
        <w:t>corrência do empate ficto, previsto nos artigos 44 e 45 da LC nº 123, de 2006, seguindo-se a disciplina antes estabelecida, se for o caso.</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auto"/>
          <w:sz w:val="22"/>
          <w:szCs w:val="22"/>
        </w:rPr>
        <w:tab/>
        <w:t>7.47.</w:t>
      </w:r>
      <w:r>
        <w:rPr>
          <w:rFonts w:cs="Arial" w:ascii="Times New Roman" w:hAnsi="Times New Roman"/>
          <w:color w:val="auto"/>
          <w:sz w:val="22"/>
          <w:szCs w:val="22"/>
        </w:rPr>
        <w:t xml:space="preserve"> Encerrada a análise quanto à aceitação da proposta, o pregoeiro verificará a habilitação do licitante, observado o disposto neste Edital.</w:t>
      </w:r>
    </w:p>
    <w:p>
      <w:pPr>
        <w:pStyle w:val="ListParagraph"/>
        <w:tabs>
          <w:tab w:val="clear" w:pos="720"/>
          <w:tab w:val="left" w:pos="284" w:leader="none"/>
        </w:tabs>
        <w:spacing w:lineRule="auto" w:line="276" w:before="4" w:after="4"/>
        <w:ind w:hanging="0" w:left="0"/>
        <w:contextualSpacing/>
        <w:jc w:val="both"/>
        <w:rPr>
          <w:rFonts w:ascii="Times New Roman" w:hAnsi="Times New Roman" w:cs="Arial"/>
          <w:color w:val="auto"/>
          <w:sz w:val="22"/>
          <w:szCs w:val="22"/>
        </w:rPr>
      </w:pPr>
      <w:r>
        <w:rPr>
          <w:rFonts w:cs="Arial" w:ascii="Times New Roman" w:hAnsi="Times New Roman"/>
          <w:color w:val="auto"/>
          <w:sz w:val="22"/>
          <w:szCs w:val="22"/>
        </w:rPr>
      </w:r>
    </w:p>
    <w:p>
      <w:pPr>
        <w:pStyle w:val="Nivel01"/>
        <w:spacing w:lineRule="auto" w:line="276" w:before="4" w:after="4"/>
        <w:contextualSpacing/>
        <w:rPr/>
      </w:pPr>
      <w:r>
        <w:rPr>
          <w:rFonts w:cs="Arial" w:ascii="Times New Roman" w:hAnsi="Times New Roman"/>
          <w:color w:val="00000A"/>
          <w:sz w:val="22"/>
          <w:szCs w:val="22"/>
          <w:lang w:eastAsia="en-US"/>
        </w:rPr>
        <w:t>8. DA HABILITAÇÃO</w:t>
      </w:r>
    </w:p>
    <w:p>
      <w:pPr>
        <w:pStyle w:val="Normal"/>
        <w:spacing w:lineRule="auto" w:line="276" w:before="4" w:after="4"/>
        <w:contextualSpacing/>
        <w:rPr>
          <w:rFonts w:ascii="Times New Roman" w:hAnsi="Times New Roman" w:eastAsia="SimSun" w:cs="Arial"/>
          <w:color w:val="00000A"/>
          <w:sz w:val="22"/>
          <w:szCs w:val="22"/>
          <w:lang w:val="pt-BR" w:eastAsia="en-US" w:bidi="ar-SA"/>
        </w:rPr>
      </w:pPr>
      <w:r>
        <w:rPr>
          <w:rFonts w:eastAsia="SimSun" w:cs="Arial" w:ascii="Times New Roman" w:hAnsi="Times New Roman"/>
          <w:color w:val="00000A"/>
          <w:sz w:val="22"/>
          <w:szCs w:val="22"/>
          <w:lang w:val="pt-BR" w:eastAsia="en-US" w:bidi="ar-SA"/>
        </w:rPr>
      </w:r>
    </w:p>
    <w:p>
      <w:pPr>
        <w:pStyle w:val="Nivel01"/>
        <w:tabs>
          <w:tab w:val="left" w:pos="284" w:leader="none"/>
          <w:tab w:val="left" w:pos="567" w:leader="none"/>
        </w:tabs>
        <w:spacing w:lineRule="auto" w:line="276" w:before="4" w:after="4"/>
        <w:contextualSpacing/>
        <w:rPr/>
      </w:pPr>
      <w:r>
        <w:rPr>
          <w:rFonts w:cs="Arial" w:ascii="Times New Roman" w:hAnsi="Times New Roman"/>
          <w:b/>
          <w:bCs/>
          <w:color w:val="00000A"/>
          <w:sz w:val="22"/>
          <w:szCs w:val="22"/>
          <w:lang w:eastAsia="ar-SA"/>
        </w:rPr>
        <w:tab/>
        <w:t>8.1.</w:t>
      </w:r>
      <w:r>
        <w:rPr>
          <w:rFonts w:cs="Arial" w:ascii="Times New Roman" w:hAnsi="Times New Roman"/>
          <w:b w:val="false"/>
          <w:bCs w:val="false"/>
          <w:color w:val="00000A"/>
          <w:sz w:val="22"/>
          <w:szCs w:val="22"/>
          <w:lang w:eastAsia="ar-SA"/>
        </w:rPr>
        <w:t xml:space="preserve"> Como condição prévia ao exame da documentação de habilitação</w:t>
      </w:r>
      <w:r>
        <w:rPr>
          <w:rFonts w:cs="Arial" w:ascii="Times New Roman" w:hAnsi="Times New Roman"/>
          <w:b w:val="false"/>
          <w:bCs w:val="false"/>
          <w:color w:val="00000A"/>
          <w:sz w:val="22"/>
          <w:szCs w:val="22"/>
        </w:rPr>
        <w:t xml:space="preserve"> do licitante detentor da proposta classificada em primeiro lugar</w:t>
      </w:r>
      <w:r>
        <w:rPr>
          <w:rFonts w:cs="Arial" w:ascii="Times New Roman" w:hAnsi="Times New Roman"/>
          <w:b w:val="false"/>
          <w:bCs w:val="false"/>
          <w:color w:val="00000A"/>
          <w:sz w:val="22"/>
          <w:szCs w:val="22"/>
          <w:lang w:eastAsia="ar-SA"/>
        </w:rPr>
        <w:t xml:space="preserve">, </w:t>
      </w:r>
      <w:r>
        <w:rPr>
          <w:rFonts w:cs="Arial" w:ascii="Times New Roman" w:hAnsi="Times New Roman"/>
          <w:b w:val="false"/>
          <w:bCs w:val="false"/>
          <w:color w:val="00000A"/>
          <w:sz w:val="22"/>
          <w:szCs w:val="22"/>
        </w:rPr>
        <w:t xml:space="preserve">o Pregoeiro </w:t>
      </w:r>
      <w:r>
        <w:rPr>
          <w:rFonts w:cs="Arial" w:ascii="Times New Roman" w:hAnsi="Times New Roman"/>
          <w:b w:val="false"/>
          <w:bCs w:val="false"/>
          <w:color w:val="00000A"/>
          <w:sz w:val="22"/>
          <w:szCs w:val="22"/>
          <w:lang w:eastAsia="ar-SA"/>
        </w:rPr>
        <w:t>verificará o eventual descumprimento das condições de participação, especialmente quanto à</w:t>
      </w:r>
      <w:r>
        <w:rPr>
          <w:rFonts w:cs="Arial" w:ascii="Times New Roman" w:hAnsi="Times New Roman"/>
          <w:b w:val="false"/>
          <w:bCs w:val="false"/>
          <w:color w:val="00000A"/>
          <w:sz w:val="22"/>
          <w:szCs w:val="22"/>
        </w:rPr>
        <w:t xml:space="preserve"> existência de sanção que impeça a participação no certame ou a futura contratação, mediante a consulta aos seguintes cadastros:</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8.2. </w:t>
      </w:r>
      <w:r>
        <w:rPr>
          <w:rFonts w:cs="Arial" w:ascii="Times New Roman" w:hAnsi="Times New Roman"/>
          <w:color w:val="00000A"/>
          <w:sz w:val="22"/>
          <w:szCs w:val="22"/>
        </w:rPr>
        <w:t>SICAF;</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8.2.1.</w:t>
      </w:r>
      <w:r>
        <w:rPr>
          <w:rFonts w:cs="Arial" w:ascii="Times New Roman" w:hAnsi="Times New Roman"/>
          <w:color w:val="00000A"/>
          <w:sz w:val="22"/>
          <w:szCs w:val="22"/>
        </w:rPr>
        <w:t xml:space="preserve"> Consulta Consolidada de Pessoa Jurídica do Tribunal de Contas da União (</w:t>
      </w:r>
      <w:hyperlink r:id="rId4">
        <w:r>
          <w:rPr>
            <w:rStyle w:val="Hyperlink"/>
            <w:rFonts w:cs="Arial" w:ascii="Times New Roman" w:hAnsi="Times New Roman"/>
            <w:color w:val="00000A"/>
            <w:sz w:val="22"/>
            <w:szCs w:val="22"/>
          </w:rPr>
          <w:t>https://certidoes-apf.apps.tcu.gov.br/</w:t>
        </w:r>
      </w:hyperlink>
      <w:r>
        <w:rPr>
          <w:rFonts w:cs="Arial" w:ascii="Times New Roman" w:hAnsi="Times New Roman"/>
          <w:color w:val="00000A"/>
          <w:sz w:val="22"/>
          <w:szCs w:val="22"/>
        </w:rPr>
        <w:t>)</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8.3.</w:t>
      </w:r>
      <w:r>
        <w:rPr>
          <w:rFonts w:cs="Arial" w:ascii="Times New Roman" w:hAnsi="Times New Roman"/>
          <w:bCs/>
          <w:color w:val="00000A"/>
          <w:sz w:val="22"/>
          <w:szCs w:val="22"/>
        </w:rPr>
        <w:t xml:space="preserve">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8.3.1.</w:t>
      </w:r>
      <w:r>
        <w:rPr>
          <w:rFonts w:cs="Arial" w:ascii="Times New Roman" w:hAnsi="Times New Roman"/>
          <w:bCs/>
          <w:color w:val="00000A"/>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8.3.2.</w:t>
      </w:r>
      <w:r>
        <w:rPr>
          <w:rFonts w:cs="Arial" w:ascii="Times New Roman" w:hAnsi="Times New Roman"/>
          <w:bCs/>
          <w:color w:val="00000A"/>
          <w:sz w:val="22"/>
          <w:szCs w:val="22"/>
        </w:rPr>
        <w:t xml:space="preserve"> A tentativa de burla será verificada por meio dos vínculos societários, linhas de fornecimento similares, dentre outros.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8.3.3.</w:t>
      </w:r>
      <w:r>
        <w:rPr>
          <w:rFonts w:cs="Arial" w:ascii="Times New Roman" w:hAnsi="Times New Roman"/>
          <w:bCs/>
          <w:color w:val="00000A"/>
          <w:sz w:val="22"/>
          <w:szCs w:val="22"/>
        </w:rPr>
        <w:t xml:space="preserve"> O licitante será convocado para manifestação previamente à sua desclassificação.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8.3.4.</w:t>
      </w:r>
      <w:r>
        <w:rPr>
          <w:rFonts w:cs="Arial" w:ascii="Times New Roman" w:hAnsi="Times New Roman"/>
          <w:bCs/>
          <w:color w:val="00000A"/>
          <w:sz w:val="22"/>
          <w:szCs w:val="22"/>
        </w:rPr>
        <w:t xml:space="preserve"> Constatada a existência de sanção, o Pregoeiro reputará o licitante inabilitado, por falta de condição de participação.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8.3.5.</w:t>
      </w:r>
      <w:r>
        <w:rPr>
          <w:rFonts w:cs="Arial" w:ascii="Times New Roman" w:hAnsi="Times New Roman"/>
          <w:bCs/>
          <w:color w:val="00000A"/>
          <w:sz w:val="22"/>
          <w:szCs w:val="22"/>
        </w:rPr>
        <w:t xml:space="preserve"> No caso de inabilitação, haverá nova verificação, pelo sistema, da eventual ocorrência do empate ficto, previsto nos arts. 44 e 45 da Lei Complementar nº 123, de 2006, seguindo-se a disciplina antes estabelecida para aceitação da proposta subsequente.</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lang w:eastAsia="ar-SA"/>
        </w:rPr>
        <w:tab/>
        <w:t>8.4.</w:t>
      </w:r>
      <w:r>
        <w:rPr>
          <w:rFonts w:cs="Arial" w:ascii="Times New Roman" w:hAnsi="Times New Roman"/>
          <w:color w:val="00000A"/>
          <w:sz w:val="22"/>
          <w:szCs w:val="22"/>
          <w:lang w:eastAsia="ar-SA"/>
        </w:rPr>
        <w:t xml:space="preserve"> </w:t>
      </w:r>
      <w:r>
        <w:rPr>
          <w:rFonts w:cs="Arial" w:ascii="Times New Roman" w:hAnsi="Times New Roman"/>
          <w:color w:val="00000A"/>
          <w:sz w:val="22"/>
          <w:szCs w:val="22"/>
        </w:rPr>
        <w:t>Caso atendidas as condições de participação, a habilitação do(s) licitante(s) será verificada por meio do SICAF, nos documentos por ele abrangidos</w:t>
      </w:r>
      <w:r>
        <w:rPr>
          <w:rFonts w:cs="Arial" w:ascii="Times New Roman" w:hAnsi="Times New Roman"/>
          <w:color w:val="00000A"/>
          <w:sz w:val="22"/>
          <w:szCs w:val="22"/>
          <w:lang w:eastAsia="ar-SA"/>
        </w:rPr>
        <w:t xml:space="preserve"> em relação à habilitação jurídica, à regularidade fiscal e trabalhista, à qualificação econômica financeira e habilitação técnica, conforme o disposto na Instrução Normativa SEGES/MP nº 03, de 2018.</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ar-SA"/>
        </w:rPr>
        <w:t xml:space="preserve">8.4.1. </w:t>
      </w:r>
      <w:r>
        <w:rPr>
          <w:rFonts w:cs="Arial" w:ascii="Times New Roman" w:hAnsi="Times New Roman"/>
          <w:color w:val="00000A"/>
          <w:sz w:val="22"/>
          <w:szCs w:val="22"/>
          <w:lang w:eastAsia="ar-SA"/>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pPr>
        <w:pStyle w:val="Normal"/>
        <w:spacing w:lineRule="auto" w:line="276" w:before="4" w:after="4"/>
        <w:ind w:firstLine="567"/>
        <w:contextualSpacing/>
        <w:jc w:val="both"/>
        <w:rPr/>
      </w:pPr>
      <w:r>
        <w:rPr>
          <w:rFonts w:cs="Arial" w:ascii="Times New Roman" w:hAnsi="Times New Roman"/>
          <w:b/>
          <w:bCs/>
          <w:color w:val="00000A"/>
          <w:sz w:val="22"/>
          <w:szCs w:val="22"/>
        </w:rPr>
        <w:t>8.4.2.</w:t>
      </w:r>
      <w:r>
        <w:rPr>
          <w:rFonts w:cs="Arial" w:ascii="Times New Roman" w:hAnsi="Times New Roman"/>
          <w:color w:val="00000A"/>
          <w:sz w:val="22"/>
          <w:szCs w:val="22"/>
        </w:rPr>
        <w:t xml:space="preserve"> É dever do licitante atualizar previamente as comprovações constantes do SICAF para que estejam vigentes na data da abertura da sessão pública, ou encaminhar, em conjunto com a apresentação da proposta, a respectiva documentação atualizada.</w:t>
      </w:r>
    </w:p>
    <w:p>
      <w:pPr>
        <w:pStyle w:val="Normal"/>
        <w:spacing w:lineRule="auto" w:line="276" w:before="4" w:after="4"/>
        <w:ind w:firstLine="567"/>
        <w:contextualSpacing/>
        <w:jc w:val="both"/>
        <w:rPr/>
      </w:pPr>
      <w:r>
        <w:rPr>
          <w:rFonts w:cs="Arial" w:ascii="Times New Roman" w:hAnsi="Times New Roman"/>
          <w:b/>
          <w:bCs/>
          <w:color w:val="00000A"/>
          <w:sz w:val="22"/>
          <w:szCs w:val="22"/>
        </w:rPr>
        <w:t>8.4.3.</w:t>
      </w:r>
      <w:r>
        <w:rPr>
          <w:rFonts w:cs="Arial" w:ascii="Times New Roman" w:hAnsi="Times New Roman"/>
          <w:color w:val="00000A"/>
          <w:sz w:val="22"/>
          <w:szCs w:val="22"/>
        </w:rPr>
        <w:t xml:space="preserve"> 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pPr>
        <w:pStyle w:val="PADRO"/>
        <w:widowControl/>
        <w:shd w:val="clear" w:color="000000" w:themeTint="0" w:themeShade="0" w:fill="FFFFFF" w:themeFillTint="0" w:themeFillShade="0"/>
        <w:spacing w:lineRule="auto" w:line="276" w:before="4" w:after="4"/>
        <w:contextualSpacing/>
        <w:rPr/>
      </w:pPr>
      <w:r>
        <w:rPr>
          <w:rFonts w:cs="Arial" w:ascii="Times New Roman" w:hAnsi="Times New Roman"/>
          <w:b/>
          <w:bCs/>
          <w:color w:val="00000A"/>
          <w:sz w:val="22"/>
          <w:szCs w:val="22"/>
        </w:rPr>
        <w:t>8.4.4.</w:t>
      </w:r>
      <w:r>
        <w:rPr>
          <w:rFonts w:cs="Arial" w:ascii="Times New Roman" w:hAnsi="Times New Roman"/>
          <w:color w:val="00000A"/>
          <w:sz w:val="22"/>
          <w:szCs w:val="22"/>
        </w:rPr>
        <w:t xml:space="preserve"> Havendo a necessidade de envio de documentos de habilitação complementares, necessários à confirmação daqueles exigidos neste Edital e já apresentados, o licitante será convocado a encaminhá-los, em formato digital, via sistema, no prazo de 2 horas, sob pena de inabilitação.</w:t>
      </w:r>
    </w:p>
    <w:p>
      <w:pPr>
        <w:pStyle w:val="Normal"/>
        <w:tabs>
          <w:tab w:val="clear" w:pos="720"/>
          <w:tab w:val="left" w:pos="284" w:leader="none"/>
        </w:tabs>
        <w:spacing w:lineRule="auto" w:line="276" w:before="4" w:after="4"/>
        <w:contextualSpacing/>
        <w:jc w:val="both"/>
        <w:rPr/>
      </w:pPr>
      <w:r>
        <w:rPr>
          <w:rFonts w:cs="Arial" w:ascii="Times New Roman" w:hAnsi="Times New Roman"/>
          <w:b/>
          <w:bCs/>
          <w:color w:val="00000A"/>
          <w:sz w:val="22"/>
          <w:szCs w:val="22"/>
        </w:rPr>
        <w:tab/>
        <w:t>8.5.</w:t>
      </w:r>
      <w:r>
        <w:rPr>
          <w:rFonts w:cs="Arial" w:ascii="Times New Roman" w:hAnsi="Times New Roman"/>
          <w:color w:val="00000A"/>
          <w:sz w:val="22"/>
          <w:szCs w:val="22"/>
        </w:rPr>
        <w:t xml:space="preserve"> Somente haverá a necessidade de comprovação do preenchimento de requisitos mediante apresentação dos documentos originais não-digitais quando houver dúvida em relação à integridade do documento digital.</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8.6. </w:t>
      </w:r>
      <w:r>
        <w:rPr>
          <w:rFonts w:cs="Arial" w:ascii="Times New Roman" w:hAnsi="Times New Roman"/>
          <w:color w:val="00000A"/>
          <w:sz w:val="22"/>
          <w:szCs w:val="22"/>
        </w:rPr>
        <w:t>Não serão aceitos documentos de habilitação com indicação de CNPJ/CPF diferentes, salvo aqueles legalmente permitidos.</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8.7.</w:t>
      </w:r>
      <w:r>
        <w:rPr>
          <w:rFonts w:cs="Arial" w:ascii="Times New Roman" w:hAnsi="Times New Roman"/>
          <w:color w:val="00000A"/>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8.7.1.</w:t>
      </w:r>
      <w:r>
        <w:rPr>
          <w:rFonts w:cs="Arial" w:ascii="Times New Roman" w:hAnsi="Times New Roman"/>
          <w:color w:val="00000A"/>
          <w:sz w:val="22"/>
          <w:szCs w:val="22"/>
        </w:rPr>
        <w:t xml:space="preserve"> Serão aceitos registros de CNPJ de licitante matriz e filial com diferenças de números de documentos pertinentes ao CND e ao CRF/FGTS, quando for comprovada a centralização do recolhimento dessas contribuições.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8.7.2.</w:t>
      </w:r>
      <w:r>
        <w:rPr>
          <w:rFonts w:cs="Arial" w:ascii="Times New Roman" w:hAnsi="Times New Roman"/>
          <w:color w:val="00000A"/>
          <w:sz w:val="22"/>
          <w:szCs w:val="22"/>
        </w:rPr>
        <w:t xml:space="preserve"> Ressalvado o disposto no item 8.3, os licitantes deverão encaminhar, nos termos deste Edital, a documentação relacionada nos itens a seguir, para fins de habilitação:</w:t>
      </w:r>
    </w:p>
    <w:p>
      <w:pPr>
        <w:pStyle w:val="ListParagraph"/>
        <w:spacing w:lineRule="auto" w:line="276" w:before="4" w:after="4"/>
        <w:ind w:hanging="0"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spacing w:lineRule="auto" w:line="276" w:before="4" w:after="4"/>
        <w:ind w:hanging="0"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8.8. Habilitação jurídica:</w:t>
      </w:r>
    </w:p>
    <w:p>
      <w:pPr>
        <w:pStyle w:val="ListParagraph"/>
        <w:spacing w:lineRule="auto" w:line="276" w:before="4" w:after="4"/>
        <w:ind w:hanging="0" w:left="0"/>
        <w:contextualSpacing/>
        <w:jc w:val="both"/>
        <w:rPr/>
      </w:pPr>
      <w:r>
        <w:rPr>
          <w:rFonts w:cs="Arial" w:ascii="Times New Roman" w:hAnsi="Times New Roman"/>
          <w:b/>
          <w:bCs/>
          <w:color w:val="00000A"/>
          <w:sz w:val="22"/>
          <w:szCs w:val="22"/>
        </w:rPr>
        <w:t xml:space="preserve"> </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8.8.1.</w:t>
      </w:r>
      <w:r>
        <w:rPr>
          <w:rFonts w:cs="Arial" w:ascii="Times New Roman" w:hAnsi="Times New Roman"/>
          <w:bCs/>
          <w:color w:val="00000A"/>
          <w:sz w:val="22"/>
          <w:szCs w:val="22"/>
        </w:rPr>
        <w:t xml:space="preserve"> No caso de empresário individual: inscrição no Registro Público de Empresas Mercantis, a cargo da Junta Comercial da respectiva sede;</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8.8.2.</w:t>
      </w:r>
      <w:r>
        <w:rPr>
          <w:rFonts w:cs="Arial" w:ascii="Times New Roman" w:hAnsi="Times New Roman"/>
          <w:bCs/>
          <w:color w:val="00000A"/>
          <w:sz w:val="22"/>
          <w:szCs w:val="22"/>
        </w:rPr>
        <w:t xml:space="preserve"> Em se tratando de microempreendedor individual – MEI: Certificado da Condição de Microempreendedor Individual - CCMEI, cuja aceitação ficará condicionada à verificação da autenticidade no sítio </w:t>
      </w:r>
      <w:r>
        <w:rPr>
          <w:rStyle w:val="Hyperlink"/>
          <w:rFonts w:cs="Arial" w:ascii="Times New Roman" w:hAnsi="Times New Roman"/>
          <w:bCs/>
          <w:color w:val="00000A"/>
          <w:sz w:val="22"/>
          <w:szCs w:val="22"/>
        </w:rPr>
        <w:t>www.portaldoempreendedor.gov.br</w:t>
      </w:r>
      <w:r>
        <w:rPr>
          <w:rFonts w:cs="Arial" w:ascii="Times New Roman" w:hAnsi="Times New Roman"/>
          <w:bCs/>
          <w:color w:val="00000A"/>
          <w:sz w:val="22"/>
          <w:szCs w:val="22"/>
        </w:rPr>
        <w:t>;</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8.8.3.</w:t>
      </w:r>
      <w:r>
        <w:rPr>
          <w:rFonts w:cs="Arial" w:ascii="Times New Roman" w:hAnsi="Times New Roman"/>
          <w:bCs/>
          <w:color w:val="00000A"/>
          <w:sz w:val="22"/>
          <w:szCs w:val="22"/>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8.8.4.</w:t>
      </w:r>
      <w:r>
        <w:rPr>
          <w:rFonts w:cs="Arial" w:ascii="Times New Roman" w:hAnsi="Times New Roman"/>
          <w:bCs/>
          <w:color w:val="00000A"/>
          <w:sz w:val="22"/>
          <w:szCs w:val="22"/>
        </w:rPr>
        <w:t xml:space="preserve"> Inscrição no Registro Público de Empresas Mercantis onde opera, com averbação no Registro onde tem sede a matriz, no caso de ser o participante sucursal, filial ou agência;</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8.8.5.</w:t>
      </w:r>
      <w:r>
        <w:rPr>
          <w:rFonts w:cs="Arial" w:ascii="Times New Roman" w:hAnsi="Times New Roman"/>
          <w:bCs/>
          <w:color w:val="00000A"/>
          <w:sz w:val="22"/>
          <w:szCs w:val="22"/>
        </w:rPr>
        <w:t xml:space="preserve"> No caso de sociedade simples: inscrição do ato constitutivo no Registro Civil das Pessoas Jurídicas do local de sua sede, acompanhada de prova da indicação dos seus administradores;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8.8.6.</w:t>
      </w:r>
      <w:r>
        <w:rPr>
          <w:rFonts w:cs="Arial" w:ascii="Times New Roman" w:hAnsi="Times New Roman"/>
          <w:bCs/>
          <w:color w:val="00000A"/>
          <w:sz w:val="22"/>
          <w:szCs w:val="22"/>
        </w:rPr>
        <w:t xml:space="preserve">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pStyle w:val="ListParagraph"/>
        <w:tabs>
          <w:tab w:val="clear" w:pos="720"/>
          <w:tab w:val="left" w:pos="4209" w:leader="none"/>
        </w:tabs>
        <w:spacing w:lineRule="auto" w:line="276" w:before="4" w:after="4"/>
        <w:ind w:firstLine="567" w:left="0"/>
        <w:contextualSpacing/>
        <w:jc w:val="both"/>
        <w:rPr/>
      </w:pPr>
      <w:r>
        <w:rPr>
          <w:rFonts w:cs="Arial" w:ascii="Times New Roman" w:hAnsi="Times New Roman"/>
          <w:b/>
          <w:bCs/>
          <w:color w:val="00000A"/>
          <w:sz w:val="22"/>
          <w:szCs w:val="22"/>
        </w:rPr>
        <w:t>8.8.7.</w:t>
      </w:r>
      <w:r>
        <w:rPr>
          <w:rFonts w:cs="Arial" w:ascii="Times New Roman" w:hAnsi="Times New Roman"/>
          <w:bCs/>
          <w:color w:val="00000A"/>
          <w:sz w:val="22"/>
          <w:szCs w:val="22"/>
        </w:rPr>
        <w:t xml:space="preserve"> No caso de agricultor familiar: Declaração de Aptidão ao PRONAF – DAP ou DAP-P válida, ou, ainda, outros documentos definidos pela Secretaria Especial de Agricultura Familiar e do Desenvolvimento Agrário, nos termos do art. 4º, §2º do Decreto n. 7.775, de 2012.</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bCs/>
          <w:color w:val="00000A"/>
          <w:sz w:val="22"/>
          <w:szCs w:val="22"/>
        </w:rPr>
        <w:tab/>
      </w:r>
      <w:r>
        <w:rPr>
          <w:rFonts w:cs="Arial" w:ascii="Times New Roman" w:hAnsi="Times New Roman"/>
          <w:b/>
          <w:bCs/>
          <w:color w:val="00000A"/>
          <w:sz w:val="22"/>
          <w:szCs w:val="22"/>
        </w:rPr>
        <w:t>8.8.8.</w:t>
      </w:r>
      <w:r>
        <w:rPr>
          <w:rFonts w:cs="Arial" w:ascii="Times New Roman" w:hAnsi="Times New Roman"/>
          <w:bCs/>
          <w:color w:val="00000A"/>
          <w:sz w:val="22"/>
          <w:szCs w:val="22"/>
        </w:rPr>
        <w:t xml:space="preserve"> No caso de produtor rural: matrícula no Cadastro Específico do INSS – CEI, que comprove a qualificação como produtor rural pessoa física, nos termos da Instrução Normativa RFB n. 971, de 2009 (arts. 17 a 19 e 165).</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8.8.9.</w:t>
      </w:r>
      <w:r>
        <w:rPr>
          <w:rFonts w:cs="Arial" w:ascii="Times New Roman" w:hAnsi="Times New Roman"/>
          <w:bCs/>
          <w:color w:val="00000A"/>
          <w:sz w:val="22"/>
          <w:szCs w:val="22"/>
        </w:rPr>
        <w:t xml:space="preserve"> No caso de empresa ou sociedade estrangeira em funcionamento no País: decreto de autorização;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8.8.10.</w:t>
      </w:r>
      <w:r>
        <w:rPr>
          <w:rFonts w:cs="Arial" w:ascii="Times New Roman" w:hAnsi="Times New Roman"/>
          <w:bCs/>
          <w:color w:val="00000A"/>
          <w:sz w:val="22"/>
          <w:szCs w:val="22"/>
        </w:rPr>
        <w:t xml:space="preserve"> Os documentos acima deverão estar acompanhados de todas as alterações ou da consolidação respectiva;</w:t>
      </w:r>
    </w:p>
    <w:p>
      <w:pPr>
        <w:pStyle w:val="ListParagraph"/>
        <w:spacing w:lineRule="auto" w:line="276" w:before="4" w:after="4"/>
        <w:ind w:hanging="0" w:left="0"/>
        <w:contextualSpacing/>
        <w:jc w:val="both"/>
        <w:rPr>
          <w:rFonts w:ascii="Times New Roman" w:hAnsi="Times New Roman" w:eastAsia="SimSun" w:cs="Arial"/>
          <w:b/>
          <w:bCs/>
          <w:color w:val="00000A"/>
          <w:sz w:val="22"/>
          <w:szCs w:val="22"/>
          <w:lang w:val="pt-BR" w:eastAsia="pt-BR" w:bidi="ar-SA"/>
        </w:rPr>
      </w:pPr>
      <w:r>
        <w:rPr>
          <w:rFonts w:eastAsia="SimSun" w:cs="Arial" w:ascii="Times New Roman" w:hAnsi="Times New Roman"/>
          <w:b/>
          <w:bCs/>
          <w:color w:val="00000A"/>
          <w:sz w:val="22"/>
          <w:szCs w:val="22"/>
          <w:lang w:val="pt-BR" w:eastAsia="pt-BR" w:bidi="ar-SA"/>
        </w:rPr>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8.9. Regularidade fiscal e trabalhista:</w:t>
      </w:r>
    </w:p>
    <w:p>
      <w:pPr>
        <w:pStyle w:val="ListParagraph"/>
        <w:tabs>
          <w:tab w:val="clear" w:pos="720"/>
          <w:tab w:val="left" w:pos="284" w:leader="none"/>
        </w:tabs>
        <w:spacing w:lineRule="auto" w:line="276" w:before="4" w:after="4"/>
        <w:ind w:hanging="0" w:left="0"/>
        <w:contextualSpacing/>
        <w:jc w:val="both"/>
        <w:rPr>
          <w:rFonts w:ascii="Times New Roman" w:hAnsi="Times New Roman" w:eastAsia="SimSun" w:cs="Arial"/>
          <w:b/>
          <w:bCs/>
          <w:color w:val="00000A"/>
          <w:sz w:val="22"/>
          <w:szCs w:val="22"/>
          <w:lang w:val="pt-BR" w:eastAsia="pt-BR" w:bidi="ar-SA"/>
        </w:rPr>
      </w:pPr>
      <w:r>
        <w:rPr>
          <w:rFonts w:eastAsia="SimSun" w:cs="Arial" w:ascii="Times New Roman" w:hAnsi="Times New Roman"/>
          <w:b/>
          <w:bCs/>
          <w:color w:val="00000A"/>
          <w:sz w:val="22"/>
          <w:szCs w:val="22"/>
          <w:lang w:val="pt-BR" w:eastAsia="pt-BR" w:bidi="ar-SA"/>
        </w:rPr>
      </w:r>
    </w:p>
    <w:p>
      <w:pPr>
        <w:pStyle w:val="Normal"/>
        <w:tabs>
          <w:tab w:val="clear" w:pos="720"/>
          <w:tab w:val="left" w:pos="567" w:leader="none"/>
        </w:tabs>
        <w:spacing w:lineRule="auto" w:line="276" w:before="4" w:after="4"/>
        <w:contextualSpacing/>
        <w:jc w:val="both"/>
        <w:rPr/>
      </w:pPr>
      <w:r>
        <w:rPr>
          <w:rFonts w:cs="Arial" w:ascii="Times New Roman" w:hAnsi="Times New Roman"/>
          <w:color w:val="00000A"/>
          <w:sz w:val="22"/>
          <w:szCs w:val="22"/>
          <w:lang w:eastAsia="en-US"/>
        </w:rPr>
        <w:tab/>
      </w:r>
      <w:r>
        <w:rPr>
          <w:rFonts w:cs="Arial" w:ascii="Times New Roman" w:hAnsi="Times New Roman"/>
          <w:b/>
          <w:bCs/>
          <w:color w:val="00000A"/>
          <w:sz w:val="22"/>
          <w:szCs w:val="22"/>
          <w:lang w:eastAsia="en-US"/>
        </w:rPr>
        <w:t>8.9.1.</w:t>
      </w:r>
      <w:r>
        <w:rPr>
          <w:rFonts w:cs="Arial" w:ascii="Times New Roman" w:hAnsi="Times New Roman"/>
          <w:color w:val="00000A"/>
          <w:sz w:val="22"/>
          <w:szCs w:val="22"/>
          <w:lang w:eastAsia="en-US"/>
        </w:rPr>
        <w:t xml:space="preserve"> Prova de inscrição no Cadastro Nacional de Pessoas Jurídicas ou no Cadastro de Pessoas Físicas, conforme o caso;</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8.9.2.</w:t>
      </w:r>
      <w:r>
        <w:rPr>
          <w:rFonts w:cs="Arial" w:ascii="Times New Roman" w:hAnsi="Times New Roman"/>
          <w:color w:val="00000A"/>
          <w:sz w:val="22"/>
          <w:szCs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tabs>
          <w:tab w:val="clear" w:pos="720"/>
          <w:tab w:val="left" w:pos="567" w:leader="none"/>
        </w:tabs>
        <w:spacing w:lineRule="auto" w:line="276" w:before="4" w:after="4"/>
        <w:ind w:firstLine="426"/>
        <w:contextualSpacing/>
        <w:jc w:val="both"/>
        <w:rPr/>
      </w:pPr>
      <w:r>
        <w:rPr>
          <w:rFonts w:cs="Arial" w:ascii="Times New Roman" w:hAnsi="Times New Roman"/>
          <w:b/>
          <w:bCs/>
          <w:color w:val="00000A"/>
          <w:sz w:val="22"/>
          <w:szCs w:val="22"/>
          <w:lang w:eastAsia="en-US"/>
        </w:rPr>
        <w:tab/>
        <w:t>8.9.3.</w:t>
      </w:r>
      <w:r>
        <w:rPr>
          <w:rFonts w:cs="Arial" w:ascii="Times New Roman" w:hAnsi="Times New Roman"/>
          <w:color w:val="00000A"/>
          <w:sz w:val="22"/>
          <w:szCs w:val="22"/>
          <w:lang w:eastAsia="en-US"/>
        </w:rPr>
        <w:t xml:space="preserve"> Prova de regularidade com o Fundo de Garantia do Tempo de Serviço (FGTS);</w:t>
      </w:r>
    </w:p>
    <w:p>
      <w:pPr>
        <w:pStyle w:val="Normal"/>
        <w:tabs>
          <w:tab w:val="clear" w:pos="720"/>
          <w:tab w:val="left" w:pos="567" w:leader="none"/>
          <w:tab w:val="left" w:pos="1440" w:leader="none"/>
        </w:tabs>
        <w:spacing w:lineRule="auto" w:line="276" w:before="4" w:after="4"/>
        <w:ind w:firstLine="426"/>
        <w:contextualSpacing/>
        <w:jc w:val="both"/>
        <w:rPr/>
      </w:pPr>
      <w:r>
        <w:rPr>
          <w:rFonts w:cs="Arial" w:ascii="Times New Roman" w:hAnsi="Times New Roman"/>
          <w:b/>
          <w:bCs/>
          <w:color w:val="00000A"/>
          <w:sz w:val="22"/>
          <w:szCs w:val="22"/>
          <w:lang w:eastAsia="en-US"/>
        </w:rPr>
        <w:tab/>
        <w:t xml:space="preserve">8.9.4. </w:t>
      </w:r>
      <w:r>
        <w:rPr>
          <w:rFonts w:cs="Arial" w:ascii="Times New Roman" w:hAnsi="Times New Roman"/>
          <w:color w:val="00000A"/>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 xml:space="preserve">8.9.5. </w:t>
      </w:r>
      <w:r>
        <w:rPr>
          <w:rFonts w:cs="Arial" w:ascii="Times New Roman" w:hAnsi="Times New Roman"/>
          <w:bCs/>
          <w:color w:val="00000A"/>
          <w:sz w:val="22"/>
          <w:szCs w:val="22"/>
        </w:rPr>
        <w:t xml:space="preserve">Prova de inscrição no cadastro de contribuintes estadual, relativo ao domicílio ou sede do licitante, pertinente ao seu ramo de atividade e compatível com o objeto contratual; </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8.9.6</w:t>
      </w:r>
      <w:r>
        <w:rPr>
          <w:rFonts w:cs="Arial" w:ascii="Times New Roman" w:hAnsi="Times New Roman"/>
          <w:color w:val="00000A"/>
          <w:sz w:val="22"/>
          <w:szCs w:val="22"/>
        </w:rPr>
        <w:t>. Prova de regularidade com a Fazenda Estadual do domicílio ou sede do licitante, relativa à atividade em cujo exercício contrata ou concorre, cumprindo informar que o</w:t>
      </w:r>
      <w:r>
        <w:rPr>
          <w:rFonts w:cs="Arial" w:ascii="Times New Roman" w:hAnsi="Times New Roman"/>
          <w:bCs/>
          <w:color w:val="00000A"/>
          <w:sz w:val="22"/>
          <w:szCs w:val="22"/>
        </w:rPr>
        <w:t xml:space="preserve"> artigo 193 do CTN preceitua que a </w:t>
      </w:r>
      <w:r>
        <w:rPr>
          <w:rFonts w:cs="Arial" w:ascii="Times New Roman" w:hAnsi="Times New Roman"/>
          <w:color w:val="00000A"/>
          <w:sz w:val="22"/>
          <w:szCs w:val="22"/>
        </w:rPr>
        <w:t xml:space="preserve">prova da quitação de todos os tributos devidos dar-se-á no âmbito da Fazenda Pública </w:t>
      </w:r>
      <w:r>
        <w:rPr>
          <w:rFonts w:cs="Arial" w:ascii="Times New Roman" w:hAnsi="Times New Roman"/>
          <w:b/>
          <w:color w:val="00000A"/>
          <w:sz w:val="22"/>
          <w:szCs w:val="22"/>
        </w:rPr>
        <w:t>interessada</w:t>
      </w:r>
      <w:r>
        <w:rPr>
          <w:rFonts w:cs="Arial" w:ascii="Times New Roman" w:hAnsi="Times New Roman"/>
          <w:color w:val="00000A"/>
          <w:sz w:val="22"/>
          <w:szCs w:val="22"/>
        </w:rPr>
        <w:t>, relativos à atividade em cujo exercício contrata ou concorre.</w:t>
      </w:r>
      <w:r>
        <w:rPr>
          <w:rFonts w:cs="Arial" w:ascii="Times New Roman" w:hAnsi="Times New Roman"/>
          <w:bCs/>
          <w:color w:val="00000A"/>
          <w:sz w:val="22"/>
          <w:szCs w:val="22"/>
        </w:rPr>
        <w:t xml:space="preserve"> </w:t>
      </w:r>
      <w:r>
        <w:rPr>
          <w:rFonts w:cs="Arial" w:ascii="Times New Roman" w:hAnsi="Times New Roman"/>
          <w:color w:val="00000A"/>
          <w:sz w:val="22"/>
          <w:szCs w:val="22"/>
        </w:rPr>
        <w:t xml:space="preserve">A comprovação de inscrição no cadastro de contribuinte e regularidade fiscal correspondente (estadual ou municipal) considerará a natureza da atividade, objeto da licitação. </w:t>
      </w:r>
      <w:r>
        <w:rPr>
          <w:rFonts w:cs="Arial" w:ascii="Times New Roman" w:hAnsi="Times New Roman"/>
          <w:bCs/>
          <w:color w:val="00000A"/>
          <w:sz w:val="22"/>
          <w:szCs w:val="22"/>
        </w:rPr>
        <w:t xml:space="preserve">A exigência de inscrição no cadastro estadual decorre do âmbito da tributação incidente sobre o objeto da licitação; tratando-se de compras incide o ICMS, tributo estadual; </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rPr>
        <w:t>8.9.7.</w:t>
      </w:r>
      <w:r>
        <w:rPr>
          <w:rFonts w:cs="Arial" w:ascii="Times New Roman" w:hAnsi="Times New Roman"/>
          <w:color w:val="00000A"/>
          <w:sz w:val="22"/>
          <w:szCs w:val="22"/>
        </w:rPr>
        <w:t xml:space="preserve"> Caso o licitante seja considerado isento dos tributos estaduais relacionados ao objeto licitatório, deverá comprovar tal condição mediante declaração da Fazenda Estadual do seu domicílio ou sede, ou outra equivalente, na forma da lei, conforme dispõe a Instrução Normativa SEGES/MP  nº 3, de 2018, que: “Art. 13. “A Regularidade Fiscal Estadual, Distrital e Municipal, junto ao SICAF, do fornecedor considerado isento dos tributos estaduais ou municipais, será comprovada mediante a inserção no sistema da declaração da Fazenda Estadual ou da Fazenda Municipal do domicílio ou sede do fornecedor, ou outra equivalente, na forma da lei”;</w:t>
      </w:r>
    </w:p>
    <w:p>
      <w:pPr>
        <w:pStyle w:val="Normal"/>
        <w:tabs>
          <w:tab w:val="clear" w:pos="720"/>
          <w:tab w:val="left" w:pos="1440" w:leader="none"/>
        </w:tabs>
        <w:spacing w:lineRule="auto" w:line="276" w:before="4" w:after="4"/>
        <w:ind w:firstLine="567"/>
        <w:contextualSpacing/>
        <w:jc w:val="both"/>
        <w:rPr/>
      </w:pPr>
      <w:r>
        <w:rPr>
          <w:rFonts w:cs="Arial" w:ascii="Times New Roman" w:hAnsi="Times New Roman"/>
          <w:b/>
          <w:bCs/>
          <w:color w:val="00000A"/>
          <w:sz w:val="22"/>
          <w:szCs w:val="22"/>
          <w:lang w:eastAsia="en-US" w:bidi="pt-BR"/>
        </w:rPr>
        <w:t>8.9.8.</w:t>
      </w:r>
      <w:r>
        <w:rPr>
          <w:rFonts w:cs="Arial" w:ascii="Times New Roman" w:hAnsi="Times New Roman"/>
          <w:color w:val="00000A"/>
          <w:sz w:val="22"/>
          <w:szCs w:val="22"/>
          <w:lang w:eastAsia="en-US" w:bidi="pt-BR"/>
        </w:rPr>
        <w:t xml:space="preserve"> Caso o licitante detentor do menor preço seja qualificado como microempresa ou empresa de pequeno porte </w:t>
      </w:r>
      <w:r>
        <w:rPr>
          <w:rFonts w:cs="Arial" w:ascii="Times New Roman" w:hAnsi="Times New Roman"/>
          <w:color w:val="00000A"/>
          <w:sz w:val="22"/>
          <w:szCs w:val="22"/>
          <w:lang w:eastAsia="en-US"/>
        </w:rPr>
        <w:t>deverá apresentar toda a documentação exigida para efeito de comprovação de regularidade fiscal, mesmo que esta apresente alguma restrição, sob pena de inabilitação.</w:t>
      </w:r>
    </w:p>
    <w:p>
      <w:pPr>
        <w:pStyle w:val="ListParagraph"/>
        <w:spacing w:lineRule="auto" w:line="276" w:before="4" w:after="4"/>
        <w:ind w:hanging="0"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spacing w:lineRule="auto" w:line="276" w:before="4" w:after="4"/>
        <w:ind w:hanging="0" w:left="0"/>
        <w:contextualSpacing/>
        <w:jc w:val="both"/>
        <w:rPr/>
      </w:pPr>
      <w:r>
        <w:rPr>
          <w:rFonts w:cs="Arial" w:ascii="Times New Roman" w:hAnsi="Times New Roman"/>
          <w:b/>
          <w:color w:val="00000A"/>
          <w:sz w:val="22"/>
          <w:szCs w:val="22"/>
        </w:rPr>
        <w:t>9. Qualificação Econômico-Financeira</w:t>
      </w:r>
    </w:p>
    <w:p>
      <w:pPr>
        <w:pStyle w:val="ListParagraph"/>
        <w:spacing w:lineRule="auto" w:line="276" w:before="4" w:after="4"/>
        <w:ind w:hanging="0" w:left="0"/>
        <w:contextualSpacing/>
        <w:jc w:val="both"/>
        <w:rPr>
          <w:rFonts w:ascii="Times New Roman" w:hAnsi="Times New Roman" w:eastAsia="SimSun" w:cs="Arial"/>
          <w:b/>
          <w:color w:val="00000A"/>
          <w:sz w:val="22"/>
          <w:szCs w:val="22"/>
          <w:lang w:val="pt-BR" w:eastAsia="pt-BR" w:bidi="ar-SA"/>
        </w:rPr>
      </w:pPr>
      <w:r>
        <w:rPr>
          <w:rFonts w:eastAsia="SimSun" w:cs="Arial" w:ascii="Times New Roman" w:hAnsi="Times New Roman"/>
          <w:b/>
          <w:color w:val="00000A"/>
          <w:sz w:val="22"/>
          <w:szCs w:val="22"/>
          <w:lang w:val="pt-BR" w:eastAsia="pt-BR" w:bidi="ar-SA"/>
        </w:rPr>
      </w:r>
    </w:p>
    <w:p>
      <w:pPr>
        <w:pStyle w:val="Normal"/>
        <w:tabs>
          <w:tab w:val="clear" w:pos="720"/>
          <w:tab w:val="left" w:pos="284" w:leader="none"/>
        </w:tabs>
        <w:spacing w:lineRule="auto" w:line="276" w:before="4" w:after="4"/>
        <w:contextualSpacing/>
        <w:jc w:val="both"/>
        <w:rPr/>
      </w:pPr>
      <w:r>
        <w:rPr>
          <w:rFonts w:cs="Arial" w:ascii="Times New Roman" w:hAnsi="Times New Roman"/>
          <w:b/>
          <w:bCs/>
          <w:color w:val="00000A"/>
          <w:sz w:val="22"/>
          <w:szCs w:val="22"/>
        </w:rPr>
        <w:tab/>
        <w:t>9.1.</w:t>
      </w:r>
      <w:r>
        <w:rPr>
          <w:rFonts w:cs="Arial" w:ascii="Times New Roman" w:hAnsi="Times New Roman"/>
          <w:color w:val="00000A"/>
          <w:sz w:val="22"/>
          <w:szCs w:val="22"/>
        </w:rPr>
        <w:t xml:space="preserve"> Certidão negativa de falência  expedida pelo distribuidor da sede da pessoa jurídica;</w:t>
      </w:r>
    </w:p>
    <w:p>
      <w:pPr>
        <w:pStyle w:val="Normal"/>
        <w:tabs>
          <w:tab w:val="clear" w:pos="720"/>
          <w:tab w:val="left" w:pos="284" w:leader="none"/>
        </w:tabs>
        <w:spacing w:lineRule="auto" w:line="276" w:before="4" w:after="4"/>
        <w:contextualSpacing/>
        <w:jc w:val="both"/>
        <w:rPr/>
      </w:pPr>
      <w:r>
        <w:rPr>
          <w:rFonts w:cs="Arial" w:ascii="Times New Roman" w:hAnsi="Times New Roman"/>
          <w:b/>
          <w:bCs/>
          <w:color w:val="00000A"/>
          <w:sz w:val="22"/>
          <w:szCs w:val="22"/>
        </w:rPr>
        <w:tab/>
        <w:t>9.2.</w:t>
      </w:r>
      <w:r>
        <w:rPr>
          <w:rFonts w:cs="Arial" w:ascii="Times New Roman" w:hAnsi="Times New Roman"/>
          <w:color w:val="00000A"/>
          <w:sz w:val="22"/>
          <w:szCs w:val="22"/>
        </w:rPr>
        <w:t xml:space="preserve">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pPr>
        <w:pStyle w:val="ListParagraph"/>
        <w:tabs>
          <w:tab w:val="clear" w:pos="720"/>
          <w:tab w:val="left" w:pos="567" w:leader="none"/>
        </w:tabs>
        <w:spacing w:lineRule="auto" w:line="276" w:before="4" w:after="4"/>
        <w:ind w:firstLine="567" w:left="0"/>
        <w:contextualSpacing/>
        <w:jc w:val="both"/>
        <w:rPr/>
      </w:pPr>
      <w:r>
        <w:rPr>
          <w:rFonts w:cs="Arial" w:ascii="Times New Roman" w:hAnsi="Times New Roman"/>
          <w:b/>
          <w:bCs/>
          <w:iCs/>
          <w:color w:val="00000A"/>
          <w:sz w:val="22"/>
          <w:szCs w:val="22"/>
        </w:rPr>
        <w:t>9.2.1.</w:t>
      </w:r>
      <w:r>
        <w:rPr>
          <w:rFonts w:cs="Arial" w:ascii="Times New Roman" w:hAnsi="Times New Roman"/>
          <w:bCs/>
          <w:iCs/>
          <w:color w:val="00000A"/>
          <w:sz w:val="22"/>
          <w:szCs w:val="22"/>
        </w:rPr>
        <w:t xml:space="preserve"> No caso de fornecimento</w:t>
      </w:r>
      <w:r>
        <w:rPr>
          <w:rFonts w:cs="Arial" w:ascii="Times New Roman" w:hAnsi="Times New Roman"/>
          <w:color w:val="00000A"/>
          <w:sz w:val="22"/>
          <w:szCs w:val="22"/>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9.2.2. </w:t>
      </w:r>
      <w:r>
        <w:rPr>
          <w:rFonts w:cs="Arial" w:ascii="Times New Roman" w:hAnsi="Times New Roman"/>
          <w:color w:val="00000A"/>
          <w:sz w:val="22"/>
          <w:szCs w:val="22"/>
          <w:lang w:eastAsia="en-US"/>
        </w:rPr>
        <w:t>No caso de empresa constituída no exercício social vigente, admite-se a apresentação de balanço patrimonial e demonstrações contábeis referentes ao período de existência da sociedade;</w:t>
      </w:r>
    </w:p>
    <w:p>
      <w:pPr>
        <w:pStyle w:val="ListParagraph"/>
        <w:tabs>
          <w:tab w:val="clear" w:pos="720"/>
          <w:tab w:val="left" w:pos="1139" w:leader="none"/>
        </w:tabs>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9.2.3. </w:t>
      </w:r>
      <w:r>
        <w:rPr>
          <w:rFonts w:cs="Arial" w:ascii="Times New Roman" w:hAnsi="Times New Roman"/>
          <w:color w:val="00000A"/>
          <w:sz w:val="22"/>
          <w:szCs w:val="22"/>
          <w:lang w:eastAsia="en-US"/>
        </w:rPr>
        <w:t>É admissível o balanço intermediário, se decorrer de lei ou contrato social/estatuto social.</w:t>
      </w:r>
    </w:p>
    <w:p>
      <w:pPr>
        <w:pStyle w:val="ListParagraph"/>
        <w:tabs>
          <w:tab w:val="clear" w:pos="720"/>
          <w:tab w:val="left" w:pos="1139" w:leader="none"/>
        </w:tabs>
        <w:spacing w:lineRule="auto" w:line="276" w:before="4" w:after="4"/>
        <w:ind w:firstLine="567" w:left="0"/>
        <w:contextualSpacing/>
        <w:jc w:val="both"/>
        <w:rPr/>
      </w:pPr>
      <w:r>
        <w:rPr>
          <w:rFonts w:cs="Arial" w:ascii="Times New Roman" w:hAnsi="Times New Roman"/>
          <w:b/>
          <w:bCs/>
          <w:color w:val="00000A"/>
          <w:sz w:val="22"/>
          <w:szCs w:val="22"/>
          <w:lang w:eastAsia="en-US"/>
        </w:rPr>
        <w:t>9.2.4.</w:t>
      </w:r>
      <w:r>
        <w:rPr>
          <w:rFonts w:cs="Arial" w:ascii="Times New Roman" w:hAnsi="Times New Roman"/>
          <w:color w:val="00000A"/>
          <w:sz w:val="22"/>
          <w:szCs w:val="22"/>
          <w:lang w:eastAsia="en-US"/>
        </w:rPr>
        <w:t xml:space="preserve">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Normal"/>
        <w:tabs>
          <w:tab w:val="clear" w:pos="720"/>
          <w:tab w:val="left" w:pos="284" w:leader="none"/>
        </w:tabs>
        <w:spacing w:lineRule="auto" w:line="276" w:before="4" w:after="4"/>
        <w:contextualSpacing/>
        <w:jc w:val="both"/>
        <w:rPr/>
      </w:pPr>
      <w:r>
        <w:rPr>
          <w:rFonts w:cs="Arial" w:ascii="Times New Roman" w:hAnsi="Times New Roman"/>
          <w:b/>
          <w:bCs/>
          <w:color w:val="00000A"/>
          <w:sz w:val="22"/>
          <w:szCs w:val="22"/>
        </w:rPr>
        <w:tab/>
        <w:t>9.3.</w:t>
      </w:r>
      <w:r>
        <w:rPr>
          <w:rFonts w:cs="Arial" w:ascii="Times New Roman" w:hAnsi="Times New Roman"/>
          <w:color w:val="00000A"/>
          <w:sz w:val="22"/>
          <w:szCs w:val="22"/>
        </w:rPr>
        <w:t xml:space="preserve"> A comprovação da situação financeira da empresa será constatada mediante obtenção de índices de Liquidez Geral (LG), Solvência Geral (SG) e Liquidez Corrente (LC), superiores a 1 (um) resultantes da aplicação das fórmulas:</w:t>
      </w:r>
    </w:p>
    <w:p>
      <w:pPr>
        <w:pStyle w:val="Normal"/>
        <w:tabs>
          <w:tab w:val="clear" w:pos="720"/>
          <w:tab w:val="left" w:pos="633" w:leader="none"/>
        </w:tabs>
        <w:spacing w:lineRule="auto" w:line="276" w:before="4" w:after="4"/>
        <w:contextualSpacing/>
        <w:jc w:val="both"/>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tbl>
      <w:tblPr>
        <w:tblW w:w="6483" w:type="dxa"/>
        <w:jc w:val="left"/>
        <w:tblInd w:w="1134" w:type="dxa"/>
        <w:tblLayout w:type="fixed"/>
        <w:tblCellMar>
          <w:top w:w="0" w:type="dxa"/>
          <w:left w:w="108" w:type="dxa"/>
          <w:bottom w:w="0" w:type="dxa"/>
          <w:right w:w="108" w:type="dxa"/>
        </w:tblCellMar>
      </w:tblPr>
      <w:tblGrid>
        <w:gridCol w:w="2228"/>
        <w:gridCol w:w="4254"/>
      </w:tblGrid>
      <w:tr>
        <w:trPr/>
        <w:tc>
          <w:tcPr>
            <w:tcW w:w="2228" w:type="dxa"/>
            <w:vMerge w:val="restart"/>
            <w:tcBorders/>
            <w:shd w:color="auto" w:fill="FFFFFF" w:val="clear"/>
            <w:vAlign w:val="center"/>
          </w:tcPr>
          <w:p>
            <w:pPr>
              <w:pStyle w:val="Normal"/>
              <w:widowControl w:val="false"/>
              <w:tabs>
                <w:tab w:val="clear" w:pos="720"/>
                <w:tab w:val="left" w:pos="1440" w:leader="none"/>
              </w:tabs>
              <w:spacing w:lineRule="auto" w:line="276" w:before="4" w:after="4"/>
              <w:contextualSpacing/>
              <w:jc w:val="right"/>
              <w:rPr/>
            </w:pPr>
            <w:r>
              <w:rPr>
                <w:rFonts w:cs="Arial" w:ascii="Times New Roman" w:hAnsi="Times New Roman"/>
                <w:color w:val="00000A"/>
                <w:sz w:val="22"/>
                <w:szCs w:val="22"/>
              </w:rPr>
              <w:t>LG =</w:t>
            </w:r>
          </w:p>
        </w:tc>
        <w:tc>
          <w:tcPr>
            <w:tcW w:w="4254" w:type="dxa"/>
            <w:tcBorders>
              <w:bottom w:val="single" w:sz="4" w:space="0" w:color="00000A"/>
            </w:tcBorders>
            <w:shd w:color="auto" w:fill="FFFFFF" w:val="clear"/>
            <w:vAlign w:val="bottom"/>
          </w:tcPr>
          <w:p>
            <w:pPr>
              <w:pStyle w:val="Normal"/>
              <w:widowControl w:val="false"/>
              <w:tabs>
                <w:tab w:val="clear" w:pos="720"/>
                <w:tab w:val="left" w:pos="1440" w:leader="none"/>
              </w:tabs>
              <w:spacing w:lineRule="auto" w:line="276" w:before="4" w:after="4"/>
              <w:contextualSpacing/>
              <w:rPr/>
            </w:pPr>
            <w:r>
              <w:rPr>
                <w:rFonts w:cs="Arial" w:ascii="Times New Roman" w:hAnsi="Times New Roman"/>
                <w:color w:val="00000A"/>
                <w:sz w:val="22"/>
                <w:szCs w:val="22"/>
              </w:rPr>
              <w:t>Ativo Circulante + Realizável a Longo Prazo</w:t>
            </w:r>
          </w:p>
        </w:tc>
      </w:tr>
      <w:tr>
        <w:trPr/>
        <w:tc>
          <w:tcPr>
            <w:tcW w:w="2228" w:type="dxa"/>
            <w:vMerge w:val="continue"/>
            <w:tcBorders/>
            <w:shd w:color="auto" w:fill="FFFFFF" w:val="clear"/>
          </w:tcPr>
          <w:p>
            <w:pPr>
              <w:pStyle w:val="Normal"/>
              <w:widowControl w:val="false"/>
              <w:tabs>
                <w:tab w:val="clear" w:pos="720"/>
                <w:tab w:val="left" w:pos="1440" w:leader="none"/>
              </w:tabs>
              <w:spacing w:lineRule="auto" w:line="276" w:before="4" w:after="4"/>
              <w:contextualSpacing/>
              <w:jc w:val="both"/>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tc>
        <w:tc>
          <w:tcPr>
            <w:tcW w:w="4254" w:type="dxa"/>
            <w:tcBorders>
              <w:top w:val="single" w:sz="4" w:space="0" w:color="00000A"/>
            </w:tcBorders>
            <w:shd w:color="auto" w:fill="FFFFFF" w:val="clear"/>
          </w:tcPr>
          <w:p>
            <w:pPr>
              <w:pStyle w:val="Normal"/>
              <w:widowControl w:val="false"/>
              <w:tabs>
                <w:tab w:val="clear" w:pos="720"/>
                <w:tab w:val="left" w:pos="1440" w:leader="none"/>
              </w:tabs>
              <w:spacing w:lineRule="auto" w:line="276" w:before="4" w:after="4"/>
              <w:contextualSpacing/>
              <w:rPr/>
            </w:pPr>
            <w:r>
              <w:rPr>
                <w:rFonts w:cs="Arial" w:ascii="Times New Roman" w:hAnsi="Times New Roman"/>
                <w:color w:val="00000A"/>
                <w:sz w:val="22"/>
                <w:szCs w:val="22"/>
              </w:rPr>
              <w:t>Passivo Circulante + Passivo Não Circulante</w:t>
            </w:r>
          </w:p>
        </w:tc>
      </w:tr>
    </w:tbl>
    <w:p>
      <w:pPr>
        <w:pStyle w:val="Normal"/>
        <w:tabs>
          <w:tab w:val="clear" w:pos="720"/>
          <w:tab w:val="left" w:pos="1440" w:leader="none"/>
        </w:tabs>
        <w:spacing w:lineRule="auto" w:line="276" w:before="4" w:after="4"/>
        <w:contextualSpacing/>
        <w:jc w:val="both"/>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tbl>
      <w:tblPr>
        <w:tblW w:w="6626" w:type="dxa"/>
        <w:jc w:val="left"/>
        <w:tblInd w:w="1134" w:type="dxa"/>
        <w:tblLayout w:type="fixed"/>
        <w:tblCellMar>
          <w:top w:w="0" w:type="dxa"/>
          <w:left w:w="108" w:type="dxa"/>
          <w:bottom w:w="0" w:type="dxa"/>
          <w:right w:w="108" w:type="dxa"/>
        </w:tblCellMar>
      </w:tblPr>
      <w:tblGrid>
        <w:gridCol w:w="2225"/>
        <w:gridCol w:w="4400"/>
      </w:tblGrid>
      <w:tr>
        <w:trPr/>
        <w:tc>
          <w:tcPr>
            <w:tcW w:w="2225" w:type="dxa"/>
            <w:vMerge w:val="restart"/>
            <w:tcBorders/>
            <w:shd w:color="auto" w:fill="FFFFFF" w:val="clear"/>
            <w:vAlign w:val="center"/>
          </w:tcPr>
          <w:p>
            <w:pPr>
              <w:pStyle w:val="Normal"/>
              <w:widowControl w:val="false"/>
              <w:tabs>
                <w:tab w:val="clear" w:pos="720"/>
                <w:tab w:val="left" w:pos="1440" w:leader="none"/>
              </w:tabs>
              <w:spacing w:lineRule="auto" w:line="276" w:before="4" w:after="4"/>
              <w:contextualSpacing/>
              <w:jc w:val="right"/>
              <w:rPr/>
            </w:pPr>
            <w:r>
              <w:rPr>
                <w:rFonts w:cs="Arial" w:ascii="Times New Roman" w:hAnsi="Times New Roman"/>
                <w:color w:val="00000A"/>
                <w:sz w:val="22"/>
                <w:szCs w:val="22"/>
              </w:rPr>
              <w:t>SG =</w:t>
            </w:r>
          </w:p>
        </w:tc>
        <w:tc>
          <w:tcPr>
            <w:tcW w:w="4400" w:type="dxa"/>
            <w:tcBorders>
              <w:bottom w:val="single" w:sz="4" w:space="0" w:color="00000A"/>
            </w:tcBorders>
            <w:shd w:color="auto" w:fill="FFFFFF" w:val="clear"/>
            <w:vAlign w:val="bottom"/>
          </w:tcPr>
          <w:p>
            <w:pPr>
              <w:pStyle w:val="Normal"/>
              <w:widowControl w:val="false"/>
              <w:tabs>
                <w:tab w:val="clear" w:pos="720"/>
                <w:tab w:val="left" w:pos="1440" w:leader="none"/>
              </w:tabs>
              <w:spacing w:lineRule="auto" w:line="276" w:before="4" w:after="4"/>
              <w:contextualSpacing/>
              <w:jc w:val="center"/>
              <w:rPr/>
            </w:pPr>
            <w:r>
              <w:rPr>
                <w:rFonts w:cs="Arial" w:ascii="Times New Roman" w:hAnsi="Times New Roman"/>
                <w:color w:val="00000A"/>
                <w:sz w:val="22"/>
                <w:szCs w:val="22"/>
              </w:rPr>
              <w:t>Ativo Total</w:t>
            </w:r>
          </w:p>
        </w:tc>
      </w:tr>
      <w:tr>
        <w:trPr/>
        <w:tc>
          <w:tcPr>
            <w:tcW w:w="2225" w:type="dxa"/>
            <w:vMerge w:val="continue"/>
            <w:tcBorders/>
            <w:shd w:color="auto" w:fill="FFFFFF" w:val="clear"/>
          </w:tcPr>
          <w:p>
            <w:pPr>
              <w:pStyle w:val="Normal"/>
              <w:widowControl w:val="false"/>
              <w:tabs>
                <w:tab w:val="clear" w:pos="720"/>
                <w:tab w:val="left" w:pos="1440" w:leader="none"/>
              </w:tabs>
              <w:spacing w:lineRule="auto" w:line="276" w:before="4" w:after="4"/>
              <w:contextualSpacing/>
              <w:jc w:val="both"/>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tc>
        <w:tc>
          <w:tcPr>
            <w:tcW w:w="4400" w:type="dxa"/>
            <w:tcBorders>
              <w:top w:val="single" w:sz="4" w:space="0" w:color="00000A"/>
            </w:tcBorders>
            <w:shd w:color="auto" w:fill="FFFFFF" w:val="clear"/>
          </w:tcPr>
          <w:p>
            <w:pPr>
              <w:pStyle w:val="Normal"/>
              <w:widowControl w:val="false"/>
              <w:tabs>
                <w:tab w:val="clear" w:pos="720"/>
                <w:tab w:val="left" w:pos="1440" w:leader="none"/>
              </w:tabs>
              <w:spacing w:lineRule="auto" w:line="276" w:before="4" w:after="4"/>
              <w:contextualSpacing/>
              <w:jc w:val="center"/>
              <w:rPr/>
            </w:pPr>
            <w:r>
              <w:rPr>
                <w:rFonts w:cs="Arial" w:ascii="Times New Roman" w:hAnsi="Times New Roman"/>
                <w:color w:val="00000A"/>
                <w:sz w:val="22"/>
                <w:szCs w:val="22"/>
              </w:rPr>
              <w:t>Passivo Circulante + Passivo Não Circulante</w:t>
            </w:r>
          </w:p>
        </w:tc>
      </w:tr>
    </w:tbl>
    <w:p>
      <w:pPr>
        <w:pStyle w:val="Normal"/>
        <w:tabs>
          <w:tab w:val="clear" w:pos="720"/>
          <w:tab w:val="left" w:pos="1440" w:leader="none"/>
        </w:tabs>
        <w:spacing w:lineRule="auto" w:line="276" w:before="4" w:after="4"/>
        <w:contextualSpacing/>
        <w:jc w:val="both"/>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tbl>
      <w:tblPr>
        <w:tblW w:w="4782" w:type="dxa"/>
        <w:jc w:val="left"/>
        <w:tblInd w:w="1134" w:type="dxa"/>
        <w:tblLayout w:type="fixed"/>
        <w:tblCellMar>
          <w:top w:w="0" w:type="dxa"/>
          <w:left w:w="108" w:type="dxa"/>
          <w:bottom w:w="0" w:type="dxa"/>
          <w:right w:w="108" w:type="dxa"/>
        </w:tblCellMar>
      </w:tblPr>
      <w:tblGrid>
        <w:gridCol w:w="2228"/>
        <w:gridCol w:w="2553"/>
      </w:tblGrid>
      <w:tr>
        <w:trPr/>
        <w:tc>
          <w:tcPr>
            <w:tcW w:w="2228" w:type="dxa"/>
            <w:vMerge w:val="restart"/>
            <w:tcBorders/>
            <w:shd w:color="auto" w:fill="FFFFFF" w:val="clear"/>
            <w:vAlign w:val="center"/>
          </w:tcPr>
          <w:p>
            <w:pPr>
              <w:pStyle w:val="Normal"/>
              <w:widowControl w:val="false"/>
              <w:tabs>
                <w:tab w:val="clear" w:pos="720"/>
                <w:tab w:val="left" w:pos="1440" w:leader="none"/>
              </w:tabs>
              <w:spacing w:lineRule="auto" w:line="276" w:before="4" w:after="4"/>
              <w:contextualSpacing/>
              <w:jc w:val="right"/>
              <w:rPr/>
            </w:pPr>
            <w:r>
              <w:rPr>
                <w:rFonts w:cs="Arial" w:ascii="Times New Roman" w:hAnsi="Times New Roman"/>
                <w:color w:val="00000A"/>
                <w:sz w:val="22"/>
                <w:szCs w:val="22"/>
              </w:rPr>
              <w:t>LC =</w:t>
            </w:r>
          </w:p>
        </w:tc>
        <w:tc>
          <w:tcPr>
            <w:tcW w:w="2553" w:type="dxa"/>
            <w:tcBorders>
              <w:bottom w:val="single" w:sz="4" w:space="0" w:color="00000A"/>
            </w:tcBorders>
            <w:shd w:color="auto" w:fill="FFFFFF" w:val="clear"/>
            <w:vAlign w:val="bottom"/>
          </w:tcPr>
          <w:p>
            <w:pPr>
              <w:pStyle w:val="Normal"/>
              <w:widowControl w:val="false"/>
              <w:tabs>
                <w:tab w:val="clear" w:pos="720"/>
                <w:tab w:val="left" w:pos="1440" w:leader="none"/>
              </w:tabs>
              <w:spacing w:lineRule="auto" w:line="276" w:before="4" w:after="4"/>
              <w:contextualSpacing/>
              <w:jc w:val="center"/>
              <w:rPr/>
            </w:pPr>
            <w:r>
              <w:rPr>
                <w:rFonts w:cs="Arial" w:ascii="Times New Roman" w:hAnsi="Times New Roman"/>
                <w:color w:val="00000A"/>
                <w:sz w:val="22"/>
                <w:szCs w:val="22"/>
              </w:rPr>
              <w:t>Ativo Circulante</w:t>
            </w:r>
          </w:p>
        </w:tc>
      </w:tr>
      <w:tr>
        <w:trPr/>
        <w:tc>
          <w:tcPr>
            <w:tcW w:w="2228" w:type="dxa"/>
            <w:vMerge w:val="continue"/>
            <w:tcBorders/>
            <w:shd w:color="auto" w:fill="FFFFFF" w:val="clear"/>
          </w:tcPr>
          <w:p>
            <w:pPr>
              <w:pStyle w:val="Normal"/>
              <w:widowControl w:val="false"/>
              <w:tabs>
                <w:tab w:val="clear" w:pos="720"/>
                <w:tab w:val="left" w:pos="1440" w:leader="none"/>
              </w:tabs>
              <w:spacing w:lineRule="auto" w:line="276" w:before="4" w:after="4"/>
              <w:contextualSpacing/>
              <w:jc w:val="both"/>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tc>
        <w:tc>
          <w:tcPr>
            <w:tcW w:w="2553" w:type="dxa"/>
            <w:tcBorders>
              <w:top w:val="single" w:sz="4" w:space="0" w:color="00000A"/>
            </w:tcBorders>
            <w:shd w:color="auto" w:fill="FFFFFF" w:val="clear"/>
          </w:tcPr>
          <w:p>
            <w:pPr>
              <w:pStyle w:val="Normal"/>
              <w:widowControl w:val="false"/>
              <w:tabs>
                <w:tab w:val="clear" w:pos="720"/>
                <w:tab w:val="left" w:pos="1440" w:leader="none"/>
              </w:tabs>
              <w:spacing w:lineRule="auto" w:line="276" w:before="4" w:after="4"/>
              <w:contextualSpacing/>
              <w:jc w:val="center"/>
              <w:rPr/>
            </w:pPr>
            <w:r>
              <w:rPr>
                <w:rFonts w:cs="Arial" w:ascii="Times New Roman" w:hAnsi="Times New Roman"/>
                <w:color w:val="00000A"/>
                <w:sz w:val="22"/>
                <w:szCs w:val="22"/>
              </w:rPr>
              <w:t>Passivo Circulante</w:t>
            </w:r>
          </w:p>
        </w:tc>
      </w:tr>
    </w:tbl>
    <w:p>
      <w:pPr>
        <w:pStyle w:val="Normal"/>
        <w:tabs>
          <w:tab w:val="clear" w:pos="720"/>
          <w:tab w:val="left" w:pos="1440" w:leader="none"/>
        </w:tabs>
        <w:spacing w:lineRule="auto" w:line="276" w:before="4" w:after="4"/>
        <w:contextualSpacing/>
        <w:jc w:val="both"/>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p>
      <w:pPr>
        <w:pStyle w:val="Normal"/>
        <w:tabs>
          <w:tab w:val="clear" w:pos="720"/>
          <w:tab w:val="left" w:pos="567" w:leader="none"/>
        </w:tabs>
        <w:spacing w:lineRule="auto" w:line="276" w:before="4" w:after="4"/>
        <w:contextualSpacing/>
        <w:jc w:val="both"/>
        <w:rPr/>
      </w:pPr>
      <w:r>
        <w:rPr>
          <w:rFonts w:cs="Arial" w:ascii="Times New Roman" w:hAnsi="Times New Roman"/>
          <w:b/>
          <w:bCs/>
          <w:color w:val="00000A"/>
          <w:sz w:val="22"/>
          <w:szCs w:val="22"/>
        </w:rPr>
        <w:t>9.3.1.</w:t>
      </w:r>
      <w:r>
        <w:rPr>
          <w:rFonts w:cs="Arial" w:ascii="Times New Roman" w:hAnsi="Times New Roman"/>
          <w:bCs/>
          <w:color w:val="00000A"/>
          <w:sz w:val="22"/>
          <w:szCs w:val="22"/>
        </w:rPr>
        <w:t xml:space="preserve"> 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w:t>
      </w:r>
      <w:r>
        <w:rPr>
          <w:rFonts w:cs="Arial" w:ascii="Times New Roman" w:hAnsi="Times New Roman"/>
          <w:color w:val="00000A"/>
          <w:sz w:val="22"/>
          <w:szCs w:val="22"/>
          <w:lang w:eastAsia="en-US"/>
        </w:rPr>
        <w:t xml:space="preserve"> 10% (dez por cento)</w:t>
      </w:r>
      <w:r>
        <w:rPr>
          <w:rFonts w:cs="Arial" w:ascii="Times New Roman" w:hAnsi="Times New Roman"/>
          <w:bCs/>
          <w:color w:val="00000A"/>
          <w:sz w:val="22"/>
          <w:szCs w:val="22"/>
        </w:rPr>
        <w:t xml:space="preserve"> do valor estimado da contratação ou do item pertinente</w:t>
      </w:r>
      <w:r>
        <w:rPr>
          <w:rFonts w:cs="Arial" w:ascii="Times New Roman" w:hAnsi="Times New Roman"/>
          <w:color w:val="00000A"/>
          <w:sz w:val="22"/>
          <w:szCs w:val="22"/>
          <w:lang w:eastAsia="en-US"/>
        </w:rPr>
        <w:t>.</w:t>
      </w:r>
    </w:p>
    <w:p>
      <w:pPr>
        <w:pStyle w:val="Normal"/>
        <w:tabs>
          <w:tab w:val="clear" w:pos="720"/>
          <w:tab w:val="left" w:pos="567" w:leader="none"/>
        </w:tabs>
        <w:spacing w:lineRule="auto" w:line="276" w:before="4" w:after="4"/>
        <w:contextualSpacing/>
        <w:jc w:val="both"/>
        <w:rPr>
          <w:rFonts w:ascii="Times New Roman" w:hAnsi="Times New Roman"/>
          <w:sz w:val="22"/>
          <w:szCs w:val="22"/>
        </w:rPr>
      </w:pPr>
      <w:r>
        <w:rPr>
          <w:rFonts w:ascii="Times New Roman" w:hAnsi="Times New Roman"/>
          <w:sz w:val="22"/>
          <w:szCs w:val="22"/>
        </w:rPr>
      </w:r>
    </w:p>
    <w:p>
      <w:pPr>
        <w:pStyle w:val="ListParagraph"/>
        <w:spacing w:lineRule="auto" w:line="276" w:before="4" w:after="4"/>
        <w:ind w:hanging="0" w:left="0"/>
        <w:contextualSpacing/>
        <w:jc w:val="both"/>
        <w:rPr/>
      </w:pPr>
      <w:r>
        <w:rPr>
          <w:rFonts w:cs="Arial" w:ascii="Times New Roman" w:hAnsi="Times New Roman"/>
          <w:b/>
          <w:color w:val="00000A"/>
          <w:sz w:val="22"/>
          <w:szCs w:val="22"/>
        </w:rPr>
        <w:t>10. Qualificação</w:t>
      </w:r>
      <w:r>
        <w:rPr>
          <w:rFonts w:cs="Arial" w:ascii="Times New Roman" w:hAnsi="Times New Roman"/>
          <w:b/>
          <w:bCs/>
          <w:iCs/>
          <w:color w:val="00000A"/>
          <w:sz w:val="22"/>
          <w:szCs w:val="22"/>
        </w:rPr>
        <w:t xml:space="preserve"> Técnica</w:t>
      </w:r>
    </w:p>
    <w:p>
      <w:pPr>
        <w:pStyle w:val="ListParagraph"/>
        <w:tabs>
          <w:tab w:val="clear" w:pos="720"/>
          <w:tab w:val="left" w:pos="284" w:leader="none"/>
        </w:tabs>
        <w:spacing w:lineRule="auto" w:line="276" w:before="4" w:after="4"/>
        <w:ind w:hanging="0" w:left="0"/>
        <w:contextualSpacing/>
        <w:jc w:val="both"/>
        <w:rPr>
          <w:rFonts w:ascii="Times New Roman" w:hAnsi="Times New Roman" w:cs="Arial"/>
          <w:b/>
          <w:bCs/>
          <w:color w:val="00000A"/>
          <w:sz w:val="22"/>
          <w:szCs w:val="22"/>
        </w:rPr>
      </w:pPr>
      <w:r>
        <w:rPr>
          <w:rFonts w:cs="Arial" w:ascii="Times New Roman" w:hAnsi="Times New Roman"/>
          <w:b/>
          <w:bCs/>
          <w:color w:val="00000A"/>
          <w:sz w:val="22"/>
          <w:szCs w:val="22"/>
        </w:rPr>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10.1.</w:t>
      </w:r>
      <w:r>
        <w:rPr>
          <w:rFonts w:cs="Arial" w:ascii="Times New Roman" w:hAnsi="Times New Roman"/>
          <w:color w:val="00000A"/>
          <w:sz w:val="22"/>
          <w:szCs w:val="22"/>
        </w:rPr>
        <w:t xml:space="preserve"> 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pPr>
        <w:pStyle w:val="ListParagraph"/>
        <w:tabs>
          <w:tab w:val="clear" w:pos="720"/>
          <w:tab w:val="left" w:pos="567" w:leader="none"/>
          <w:tab w:val="left" w:pos="1440" w:leader="none"/>
        </w:tabs>
        <w:spacing w:lineRule="auto" w:line="276" w:before="4" w:after="4"/>
        <w:ind w:firstLine="567" w:left="0"/>
        <w:contextualSpacing/>
        <w:jc w:val="both"/>
        <w:rPr/>
      </w:pPr>
      <w:r>
        <w:rPr>
          <w:rFonts w:cs="Arial" w:ascii="Times New Roman" w:hAnsi="Times New Roman"/>
          <w:b/>
          <w:bCs/>
          <w:color w:val="00000A"/>
          <w:sz w:val="22"/>
          <w:szCs w:val="22"/>
        </w:rPr>
        <w:t>10.1.1.</w:t>
      </w:r>
      <w:r>
        <w:rPr>
          <w:rFonts w:cs="Arial" w:ascii="Times New Roman" w:hAnsi="Times New Roman"/>
          <w:color w:val="00000A"/>
          <w:sz w:val="22"/>
          <w:szCs w:val="22"/>
        </w:rPr>
        <w:t xml:space="preserve"> Para fins da comprovação de que trata este subitem, os atestados deverão dizer respeito a contratos executados com as seguintes características mínimas:</w:t>
      </w:r>
    </w:p>
    <w:p>
      <w:pPr>
        <w:pStyle w:val="ListParagraph"/>
        <w:tabs>
          <w:tab w:val="clear" w:pos="720"/>
          <w:tab w:val="left" w:pos="851" w:leader="none"/>
          <w:tab w:val="left" w:pos="960" w:leader="none"/>
        </w:tabs>
        <w:spacing w:lineRule="auto" w:line="276" w:before="4" w:after="4"/>
        <w:ind w:hanging="0" w:left="0"/>
        <w:contextualSpacing/>
        <w:jc w:val="both"/>
        <w:rPr/>
      </w:pPr>
      <w:r>
        <w:rPr>
          <w:rFonts w:cs="Arial" w:ascii="Times New Roman" w:hAnsi="Times New Roman"/>
          <w:color w:val="00000A"/>
          <w:sz w:val="22"/>
          <w:szCs w:val="22"/>
        </w:rPr>
        <w:tab/>
        <w:tab/>
      </w:r>
      <w:r>
        <w:rPr>
          <w:rFonts w:cs="Arial" w:ascii="Times New Roman" w:hAnsi="Times New Roman"/>
          <w:b/>
          <w:bCs/>
          <w:color w:val="00000A"/>
          <w:sz w:val="22"/>
          <w:szCs w:val="22"/>
        </w:rPr>
        <w:t xml:space="preserve">10.1.1.1. </w:t>
      </w:r>
      <w:r>
        <w:rPr>
          <w:rFonts w:cs="Arial" w:ascii="Times New Roman" w:hAnsi="Times New Roman"/>
          <w:color w:val="00000A"/>
          <w:sz w:val="22"/>
          <w:szCs w:val="22"/>
        </w:rPr>
        <w:t>De que a licitante já tenha fornecido os bens pertinentes e compatíveis com os deste certame na quantidade de pelo menos 50% ao quantitativo estimado desta licitação.</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i/>
          <w:color w:val="00000A"/>
          <w:sz w:val="22"/>
          <w:szCs w:val="22"/>
        </w:rPr>
        <w:tab/>
      </w:r>
      <w:r>
        <w:rPr>
          <w:rFonts w:cs="Arial" w:ascii="Times New Roman" w:hAnsi="Times New Roman"/>
          <w:b/>
          <w:bCs/>
          <w:color w:val="00000A"/>
          <w:sz w:val="22"/>
          <w:szCs w:val="22"/>
        </w:rPr>
        <w:t xml:space="preserve">10.2. </w:t>
      </w:r>
      <w:r>
        <w:rPr>
          <w:rFonts w:cs="Arial" w:ascii="Times New Roman" w:hAnsi="Times New Roman"/>
          <w:bCs/>
          <w:color w:val="00000A"/>
          <w:sz w:val="22"/>
          <w:szCs w:val="22"/>
        </w:rPr>
        <w:t xml:space="preserve">O licitante enquadrado como microempreendedor individual que pretenda auferir os benefícios do tratamento diferenciado previstos na Lei Complementar n. 123, de 2006, estará dispensado(a) da prova de inscrição nos cadastros de contribuintes estadual e municipal e (b) da apresentação do balanço patrimonial e das demonstrações contábeis do último exercício. A apresentação do Certificado de Condição de Microempreendedor Individual – CCMEI supre as exigências de inscrição nos cadastros fiscais, na medida em que essas informações constam no próprio Certificado. </w:t>
      </w:r>
    </w:p>
    <w:p>
      <w:pPr>
        <w:pStyle w:val="ListParagraph"/>
        <w:tabs>
          <w:tab w:val="clear" w:pos="720"/>
          <w:tab w:val="left" w:pos="567" w:leader="none"/>
          <w:tab w:val="left" w:pos="1395" w:leader="none"/>
          <w:tab w:val="left" w:pos="1535" w:leader="none"/>
          <w:tab w:val="left" w:pos="1587" w:leader="none"/>
        </w:tabs>
        <w:spacing w:lineRule="auto" w:line="276" w:before="4" w:after="4"/>
        <w:ind w:hanging="0" w:left="0"/>
        <w:contextualSpacing/>
        <w:jc w:val="both"/>
        <w:rPr/>
      </w:pPr>
      <w:r>
        <w:rPr>
          <w:rFonts w:cs="Arial" w:ascii="Times New Roman" w:hAnsi="Times New Roman"/>
          <w:bCs/>
          <w:color w:val="00000A"/>
          <w:sz w:val="22"/>
          <w:szCs w:val="22"/>
        </w:rPr>
        <w:tab/>
      </w:r>
      <w:r>
        <w:rPr>
          <w:rFonts w:cs="Arial" w:ascii="Times New Roman" w:hAnsi="Times New Roman"/>
          <w:b/>
          <w:bCs/>
          <w:color w:val="00000A"/>
          <w:sz w:val="22"/>
          <w:szCs w:val="22"/>
        </w:rPr>
        <w:t xml:space="preserve">10.2.1. </w:t>
      </w:r>
      <w:r>
        <w:rPr>
          <w:rFonts w:cs="Arial" w:ascii="Times New Roman" w:hAnsi="Times New Roman"/>
          <w:bCs/>
          <w:color w:val="00000A"/>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pPr>
        <w:pStyle w:val="ListParagraph"/>
        <w:tabs>
          <w:tab w:val="clear" w:pos="720"/>
          <w:tab w:val="left" w:pos="851" w:leader="none"/>
          <w:tab w:val="left" w:pos="960" w:leader="none"/>
        </w:tabs>
        <w:spacing w:lineRule="auto" w:line="276" w:before="4" w:after="4"/>
        <w:ind w:hanging="0" w:left="0"/>
        <w:contextualSpacing/>
        <w:jc w:val="both"/>
        <w:rPr/>
      </w:pPr>
      <w:r>
        <w:rPr>
          <w:rFonts w:cs="Arial" w:ascii="Times New Roman" w:hAnsi="Times New Roman"/>
          <w:bCs/>
          <w:color w:val="00000A"/>
          <w:sz w:val="22"/>
          <w:szCs w:val="22"/>
        </w:rPr>
        <w:tab/>
        <w:tab/>
      </w:r>
      <w:r>
        <w:rPr>
          <w:rFonts w:cs="Arial" w:ascii="Times New Roman" w:hAnsi="Times New Roman"/>
          <w:b/>
          <w:bCs/>
          <w:color w:val="00000A"/>
          <w:sz w:val="22"/>
          <w:szCs w:val="22"/>
        </w:rPr>
        <w:t>10.2.1.1.</w:t>
      </w:r>
      <w:r>
        <w:rPr>
          <w:rFonts w:cs="Arial" w:ascii="Times New Roman" w:hAnsi="Times New Roman"/>
          <w:bCs/>
          <w:color w:val="00000A"/>
          <w:sz w:val="22"/>
          <w:szCs w:val="22"/>
        </w:rPr>
        <w:t xml:space="preserve"> A declaração do vencedor acontecerá no momento imediatamente posterior à fase de habilitação.</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10.3.</w:t>
      </w:r>
      <w:r>
        <w:rPr>
          <w:rFonts w:cs="Arial" w:ascii="Times New Roman" w:hAnsi="Times New Roman"/>
          <w:bCs/>
          <w:color w:val="00000A"/>
          <w:sz w:val="22"/>
          <w:szCs w:val="22"/>
        </w:rPr>
        <w:t xml:space="preserve">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pPr>
        <w:pStyle w:val="ListParagraph"/>
        <w:tabs>
          <w:tab w:val="clear" w:pos="720"/>
          <w:tab w:val="left" w:pos="567" w:leader="none"/>
        </w:tabs>
        <w:spacing w:lineRule="auto" w:line="276" w:before="4" w:after="4"/>
        <w:ind w:firstLine="567" w:left="0"/>
        <w:contextualSpacing/>
        <w:jc w:val="both"/>
        <w:rPr/>
      </w:pPr>
      <w:r>
        <w:rPr>
          <w:rFonts w:cs="Arial" w:ascii="Times New Roman" w:hAnsi="Times New Roman"/>
          <w:b/>
          <w:bCs/>
          <w:color w:val="00000A"/>
          <w:sz w:val="22"/>
          <w:szCs w:val="22"/>
        </w:rPr>
        <w:t>10.3.1.</w:t>
      </w:r>
      <w:r>
        <w:rPr>
          <w:rFonts w:cs="Arial" w:ascii="Times New Roman" w:hAnsi="Times New Roman"/>
          <w:bCs/>
          <w:color w:val="00000A"/>
          <w:sz w:val="22"/>
          <w:szCs w:val="22"/>
        </w:rPr>
        <w:t xml:space="preserve">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tab/>
        <w:t>microempresa, empresa de pequeno porte ou sociedade cooperativa com alguma restrição na documentação fiscal e trabalhista, será concedido o mesmo prazo para regularização.</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10.4.</w:t>
      </w:r>
      <w:r>
        <w:rPr>
          <w:rFonts w:cs="Arial" w:ascii="Times New Roman" w:hAnsi="Times New Roman"/>
          <w:color w:val="00000A"/>
          <w:sz w:val="22"/>
          <w:szCs w:val="22"/>
        </w:rPr>
        <w:t xml:space="preserve"> Havendo necessidade de analisar minuciosamente os documentos exigidos, o Pregoeiro suspenderá a sessão, informando no “chat” a nova data e horário para a continuidade da mesma.</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10.5.</w:t>
      </w:r>
      <w:r>
        <w:rPr>
          <w:rFonts w:cs="Arial" w:ascii="Times New Roman" w:hAnsi="Times New Roman"/>
          <w:color w:val="00000A"/>
          <w:sz w:val="22"/>
          <w:szCs w:val="22"/>
        </w:rPr>
        <w:t xml:space="preserve"> Será inabilitado o licitante que não comprovar sua habilitação, seja por não apresentar quaisquer dos documentos exigidos, ou apresentá-los em desacordo com o e</w:t>
      </w:r>
      <w:r>
        <w:rPr>
          <w:rFonts w:cs="Arial" w:ascii="Times New Roman" w:hAnsi="Times New Roman"/>
          <w:color w:val="00000A"/>
          <w:sz w:val="22"/>
          <w:szCs w:val="22"/>
          <w:lang w:eastAsia="en-US"/>
        </w:rPr>
        <w:t>stabelecido neste Edital.</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10.6. </w:t>
      </w:r>
      <w:r>
        <w:rPr>
          <w:rFonts w:cs="Arial" w:ascii="Times New Roman" w:hAnsi="Times New Roman"/>
          <w:color w:val="00000A"/>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pPr>
        <w:pStyle w:val="Normal"/>
        <w:tabs>
          <w:tab w:val="clear" w:pos="720"/>
          <w:tab w:val="left" w:pos="284" w:leader="none"/>
        </w:tabs>
        <w:spacing w:lineRule="auto" w:line="276" w:before="4" w:after="4"/>
        <w:contextualSpacing/>
        <w:jc w:val="both"/>
        <w:rPr/>
      </w:pPr>
      <w:r>
        <w:rPr>
          <w:rFonts w:cs="Arial" w:ascii="Times New Roman" w:hAnsi="Times New Roman"/>
          <w:b/>
          <w:bCs/>
          <w:color w:val="00000A"/>
          <w:sz w:val="22"/>
          <w:szCs w:val="22"/>
        </w:rPr>
        <w:tab/>
        <w:t>10.7.</w:t>
      </w:r>
      <w:r>
        <w:rPr>
          <w:rFonts w:cs="Arial" w:ascii="Times New Roman" w:hAnsi="Times New Roman"/>
          <w:color w:val="00000A"/>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spacing w:lineRule="auto" w:line="276" w:before="4" w:after="4"/>
        <w:ind w:firstLine="567"/>
        <w:contextualSpacing/>
        <w:jc w:val="both"/>
        <w:rPr/>
      </w:pPr>
      <w:r>
        <w:rPr>
          <w:rFonts w:cs="Arial" w:ascii="Times New Roman" w:hAnsi="Times New Roman"/>
          <w:b/>
          <w:bCs/>
          <w:color w:val="00000A"/>
          <w:sz w:val="22"/>
          <w:szCs w:val="22"/>
        </w:rPr>
        <w:t>10.7.1.</w:t>
      </w:r>
      <w:r>
        <w:rPr>
          <w:rFonts w:cs="Arial" w:ascii="Times New Roman" w:hAnsi="Times New Roman"/>
          <w:color w:val="00000A"/>
          <w:sz w:val="22"/>
          <w:szCs w:val="22"/>
        </w:rPr>
        <w:t xml:space="preserve"> Não havendo a comprovação cumulativa dos requisitos de habilitação, a inabilitação recairá sobre o(s) item(ns) de menor(es) valor(es) cuja retirada(s) seja(m) suficiente(s) para a habilitação do licitante nos remanescentes.</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10.8.</w:t>
      </w:r>
      <w:r>
        <w:rPr>
          <w:rFonts w:cs="Arial" w:ascii="Times New Roman" w:hAnsi="Times New Roman"/>
          <w:color w:val="00000A"/>
          <w:sz w:val="22"/>
          <w:szCs w:val="22"/>
        </w:rPr>
        <w:t xml:space="preserve"> Constatado o atendimento às exigências de habilitação fixadas no Edital, o licitante será declarado vencedor.</w:t>
      </w:r>
    </w:p>
    <w:p>
      <w:pPr>
        <w:pStyle w:val="ListParagraph"/>
        <w:tabs>
          <w:tab w:val="clear" w:pos="720"/>
          <w:tab w:val="left" w:pos="284" w:leader="none"/>
        </w:tabs>
        <w:spacing w:lineRule="auto" w:line="276" w:before="4" w:after="4"/>
        <w:ind w:hanging="0" w:left="0"/>
        <w:contextualSpacing/>
        <w:jc w:val="both"/>
        <w:rPr>
          <w:rFonts w:ascii="Times New Roman" w:hAnsi="Times New Roman"/>
          <w:sz w:val="22"/>
          <w:szCs w:val="22"/>
        </w:rPr>
      </w:pPr>
      <w:r>
        <w:rPr>
          <w:rFonts w:ascii="Times New Roman" w:hAnsi="Times New Roman"/>
          <w:sz w:val="22"/>
          <w:szCs w:val="22"/>
        </w:rPr>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i w:val="false"/>
          <w:iCs w:val="false"/>
          <w:color w:val="00000A"/>
          <w:sz w:val="22"/>
          <w:szCs w:val="22"/>
          <w:lang w:eastAsia="en-US"/>
        </w:rPr>
        <w:t xml:space="preserve">11. DO </w:t>
      </w:r>
      <w:r>
        <w:rPr>
          <w:rFonts w:cs="Arial" w:ascii="Times New Roman" w:hAnsi="Times New Roman"/>
          <w:b/>
          <w:bCs/>
          <w:i w:val="false"/>
          <w:iCs w:val="false"/>
          <w:color w:val="00000A"/>
          <w:sz w:val="22"/>
          <w:szCs w:val="22"/>
        </w:rPr>
        <w:t>ENCAMINHAMENTO</w:t>
      </w:r>
      <w:r>
        <w:rPr>
          <w:rFonts w:cs="Arial" w:ascii="Times New Roman" w:hAnsi="Times New Roman"/>
          <w:b/>
          <w:bCs/>
          <w:i w:val="false"/>
          <w:iCs w:val="false"/>
          <w:color w:val="00000A"/>
          <w:sz w:val="22"/>
          <w:szCs w:val="22"/>
          <w:lang w:eastAsia="en-US"/>
        </w:rPr>
        <w:t xml:space="preserve"> DA PROPOSTA VENCEDORA</w:t>
      </w:r>
    </w:p>
    <w:p>
      <w:pPr>
        <w:pStyle w:val="ListParagraph"/>
        <w:tabs>
          <w:tab w:val="clear" w:pos="720"/>
          <w:tab w:val="left" w:pos="284" w:leader="none"/>
        </w:tabs>
        <w:spacing w:lineRule="auto" w:line="276" w:before="4" w:after="4"/>
        <w:ind w:hanging="0"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i w:val="false"/>
          <w:iCs w:val="false"/>
          <w:color w:val="00000A"/>
          <w:sz w:val="22"/>
          <w:szCs w:val="22"/>
        </w:rPr>
        <w:tab/>
        <w:t>11.1.</w:t>
      </w:r>
      <w:r>
        <w:rPr>
          <w:rFonts w:cs="Arial" w:ascii="Times New Roman" w:hAnsi="Times New Roman"/>
          <w:b w:val="false"/>
          <w:bCs w:val="false"/>
          <w:i w:val="false"/>
          <w:iCs w:val="false"/>
          <w:color w:val="00000A"/>
          <w:sz w:val="22"/>
          <w:szCs w:val="22"/>
        </w:rPr>
        <w:t xml:space="preserve"> A proposta final do licitante declarado vencedor deverá ser encaminhada no prazo de 02 (duas) horas, a contar da solicitação do Pregoeiro no sistema eletrônico e deverá:</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i w:val="false"/>
          <w:iCs w:val="false"/>
          <w:color w:val="00000A"/>
          <w:sz w:val="22"/>
          <w:szCs w:val="22"/>
        </w:rPr>
        <w:tab/>
        <w:t>11.2.</w:t>
      </w:r>
      <w:r>
        <w:rPr>
          <w:rFonts w:cs="Arial" w:ascii="Times New Roman" w:hAnsi="Times New Roman"/>
          <w:b w:val="false"/>
          <w:bCs w:val="false"/>
          <w:i w:val="false"/>
          <w:iCs w:val="false"/>
          <w:color w:val="00000A"/>
          <w:sz w:val="22"/>
          <w:szCs w:val="22"/>
        </w:rPr>
        <w:t xml:space="preserve"> Ser redigida em língua portuguesa, datilografada ou digitada, em uma via, sem emendas, rasuras, entrelinhas ou ressalvas, devendo a última folha ser assinada e as demais rubricadas pelo licitante ou seu representante legal.</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i w:val="false"/>
          <w:iCs w:val="false"/>
          <w:color w:val="00000A"/>
          <w:sz w:val="22"/>
          <w:szCs w:val="22"/>
        </w:rPr>
        <w:tab/>
        <w:t xml:space="preserve">11.3. </w:t>
      </w:r>
      <w:r>
        <w:rPr>
          <w:rFonts w:cs="Arial" w:ascii="Times New Roman" w:hAnsi="Times New Roman"/>
          <w:b w:val="false"/>
          <w:bCs w:val="false"/>
          <w:i w:val="false"/>
          <w:iCs w:val="false"/>
          <w:color w:val="00000A"/>
          <w:sz w:val="22"/>
          <w:szCs w:val="22"/>
        </w:rPr>
        <w:t>Conter a indicação do banco, número da conta e agência do licitante vencedor, para fins de pagamento.</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i w:val="false"/>
          <w:iCs w:val="false"/>
          <w:color w:val="00000A"/>
          <w:sz w:val="22"/>
          <w:szCs w:val="22"/>
        </w:rPr>
        <w:tab/>
        <w:t xml:space="preserve">11.4. </w:t>
      </w:r>
      <w:r>
        <w:rPr>
          <w:rFonts w:cs="Arial" w:ascii="Times New Roman" w:hAnsi="Times New Roman"/>
          <w:b w:val="false"/>
          <w:bCs w:val="false"/>
          <w:i w:val="false"/>
          <w:iCs w:val="false"/>
          <w:color w:val="00000A"/>
          <w:sz w:val="22"/>
          <w:szCs w:val="22"/>
        </w:rPr>
        <w:t>A proposta final deverá ser documentada nos autos e será levada em consideração no decorrer da execução do contrato e aplicação de eventual sanção à Contratada, se for o caso.</w:t>
      </w:r>
    </w:p>
    <w:p>
      <w:pPr>
        <w:pStyle w:val="Nivel01"/>
        <w:tabs>
          <w:tab w:val="left" w:pos="284" w:leader="none"/>
          <w:tab w:val="left" w:pos="567" w:leader="none"/>
        </w:tabs>
        <w:spacing w:lineRule="auto" w:line="276" w:before="4" w:after="4"/>
        <w:contextualSpacing/>
        <w:rPr/>
      </w:pPr>
      <w:r>
        <w:rPr>
          <w:rFonts w:cs="Arial" w:ascii="Times New Roman" w:hAnsi="Times New Roman"/>
          <w:b/>
          <w:bCs/>
          <w:i w:val="false"/>
          <w:iCs w:val="false"/>
          <w:color w:val="00000A"/>
          <w:sz w:val="22"/>
          <w:szCs w:val="22"/>
        </w:rPr>
        <w:tab/>
      </w:r>
      <w:r>
        <w:rPr>
          <w:rFonts w:eastAsia="SimSun" w:cs="Arial" w:ascii="Times New Roman" w:hAnsi="Times New Roman"/>
          <w:b/>
          <w:bCs/>
          <w:i w:val="false"/>
          <w:iCs w:val="false"/>
          <w:color w:val="00000A"/>
          <w:kern w:val="0"/>
          <w:sz w:val="22"/>
          <w:szCs w:val="22"/>
          <w:lang w:val="pt-BR" w:eastAsia="pt-BR" w:bidi="ar-SA"/>
        </w:rPr>
        <w:t>11.5.</w:t>
      </w:r>
      <w:r>
        <w:rPr>
          <w:rFonts w:eastAsia="SimSun" w:cs="Arial" w:ascii="Times New Roman" w:hAnsi="Times New Roman"/>
          <w:b w:val="false"/>
          <w:bCs w:val="false"/>
          <w:i w:val="false"/>
          <w:iCs w:val="false"/>
          <w:color w:val="00000A"/>
          <w:kern w:val="0"/>
          <w:sz w:val="22"/>
          <w:szCs w:val="22"/>
          <w:lang w:val="pt-BR" w:eastAsia="pt-BR" w:bidi="ar-SA"/>
        </w:rPr>
        <w:t xml:space="preserve"> Todas as especificações do objeto contidas na proposta, tais como marca, modelo, tipo, </w:t>
      </w:r>
      <w:r>
        <w:rPr>
          <w:rFonts w:eastAsia="SimSun" w:cs="Arial" w:ascii="Times New Roman" w:hAnsi="Times New Roman"/>
          <w:b w:val="false"/>
          <w:bCs w:val="false"/>
          <w:i w:val="false"/>
          <w:iCs w:val="false"/>
          <w:color w:val="00000A"/>
          <w:kern w:val="0"/>
          <w:sz w:val="22"/>
          <w:szCs w:val="22"/>
          <w:shd w:fill="auto" w:val="clear"/>
          <w:lang w:val="pt-BR" w:eastAsia="pt-BR" w:bidi="ar-SA"/>
        </w:rPr>
        <w:t>fabricante e procedência, vinculam a Contratada.</w:t>
      </w:r>
    </w:p>
    <w:p>
      <w:pPr>
        <w:pStyle w:val="BodyText"/>
        <w:tabs>
          <w:tab w:val="clear" w:pos="720"/>
          <w:tab w:val="left" w:pos="284" w:leader="none"/>
        </w:tabs>
        <w:spacing w:lineRule="auto" w:line="276" w:before="4" w:after="4"/>
        <w:ind w:hanging="0" w:left="0"/>
        <w:contextualSpacing/>
        <w:jc w:val="both"/>
        <w:rPr/>
      </w:pPr>
      <w:r>
        <w:rPr>
          <w:rFonts w:eastAsia="SimSun" w:cs="Arial" w:ascii="Times New Roman" w:hAnsi="Times New Roman"/>
          <w:b/>
          <w:bCs w:val="false"/>
          <w:i w:val="false"/>
          <w:iCs w:val="false"/>
          <w:color w:val="00000A"/>
          <w:kern w:val="0"/>
          <w:sz w:val="22"/>
          <w:szCs w:val="22"/>
          <w:shd w:fill="auto" w:val="clear"/>
          <w:lang w:val="pt-BR" w:eastAsia="pt-BR" w:bidi="ar-SA"/>
        </w:rPr>
        <w:t>1.6.</w:t>
      </w:r>
      <w:r>
        <w:rPr>
          <w:rFonts w:eastAsia="SimSun" w:cs="Arial" w:ascii="Times New Roman" w:hAnsi="Times New Roman"/>
          <w:b w:val="false"/>
          <w:bCs w:val="false"/>
          <w:i w:val="false"/>
          <w:iCs w:val="false"/>
          <w:color w:val="00000A"/>
          <w:kern w:val="0"/>
          <w:sz w:val="22"/>
          <w:szCs w:val="22"/>
          <w:shd w:fill="auto" w:val="clear"/>
          <w:lang w:val="pt-BR" w:eastAsia="pt-BR" w:bidi="ar-SA"/>
        </w:rPr>
        <w:t xml:space="preserve"> Os valores, os preços e os custos utilizados terão como expressão monetária a moeda corrente nacional, ressalvado o disposto no art. 52 desta Lei; (art. 12º, Inciso II da Lei nº 14.133/21).</w:t>
      </w:r>
    </w:p>
    <w:p>
      <w:pPr>
        <w:pStyle w:val="BodyText"/>
        <w:widowControl/>
        <w:suppressAutoHyphens w:val="true"/>
        <w:bidi w:val="0"/>
        <w:spacing w:lineRule="auto" w:line="276" w:before="4" w:after="4"/>
        <w:ind w:firstLine="340" w:left="0" w:right="0"/>
        <w:jc w:val="both"/>
        <w:rPr/>
      </w:pPr>
      <w:r>
        <w:rPr>
          <w:rFonts w:ascii="Times New Roman" w:hAnsi="Times New Roman"/>
          <w:b/>
          <w:color w:val="00000A"/>
          <w:sz w:val="22"/>
          <w:szCs w:val="22"/>
          <w:shd w:fill="auto" w:val="clear"/>
        </w:rPr>
        <w:t xml:space="preserve">11.6.1 </w:t>
      </w:r>
      <w:r>
        <w:rPr>
          <w:rFonts w:ascii="Times New Roman" w:hAnsi="Times New Roman"/>
          <w:color w:val="00000A"/>
          <w:sz w:val="22"/>
          <w:szCs w:val="22"/>
          <w:shd w:fill="auto" w:val="clear"/>
        </w:rPr>
        <w:t>Os preços deverão ser expressos em moeda corrente nacional, o valor unitário em algarismos e o valor global em algarismos e por extenso, no máximo duas casas decimais.</w:t>
      </w:r>
    </w:p>
    <w:p>
      <w:pPr>
        <w:pStyle w:val="Normal"/>
        <w:tabs>
          <w:tab w:val="clear" w:pos="720"/>
          <w:tab w:val="left" w:pos="284" w:leader="none"/>
        </w:tabs>
        <w:spacing w:lineRule="auto" w:line="276" w:before="4" w:after="4"/>
        <w:contextualSpacing/>
        <w:jc w:val="both"/>
        <w:rPr/>
      </w:pPr>
      <w:r>
        <w:rPr>
          <w:rFonts w:eastAsia="SimSun" w:cs="Arial" w:ascii="Times New Roman" w:hAnsi="Times New Roman"/>
          <w:b w:val="false"/>
          <w:bCs w:val="false"/>
          <w:i w:val="false"/>
          <w:iCs w:val="false"/>
          <w:color w:val="00000A"/>
          <w:kern w:val="0"/>
          <w:sz w:val="22"/>
          <w:szCs w:val="22"/>
          <w:lang w:val="pt-BR" w:eastAsia="pt-BR" w:bidi="ar-SA"/>
        </w:rPr>
        <w:tab/>
      </w:r>
      <w:r>
        <w:rPr>
          <w:rFonts w:eastAsia="SimSun" w:cs="Arial" w:ascii="Times New Roman" w:hAnsi="Times New Roman"/>
          <w:b/>
          <w:bCs/>
          <w:i w:val="false"/>
          <w:iCs w:val="false"/>
          <w:color w:val="00000A"/>
          <w:kern w:val="0"/>
          <w:sz w:val="22"/>
          <w:szCs w:val="22"/>
          <w:lang w:val="pt-BR" w:eastAsia="pt-BR" w:bidi="ar-SA"/>
        </w:rPr>
        <w:t>11.7.</w:t>
      </w:r>
      <w:r>
        <w:rPr>
          <w:rFonts w:eastAsia="SimSun" w:cs="Arial" w:ascii="Times New Roman" w:hAnsi="Times New Roman"/>
          <w:b w:val="false"/>
          <w:bCs w:val="false"/>
          <w:i w:val="false"/>
          <w:iCs w:val="false"/>
          <w:color w:val="00000A"/>
          <w:kern w:val="0"/>
          <w:sz w:val="22"/>
          <w:szCs w:val="22"/>
          <w:lang w:val="pt-BR" w:eastAsia="pt-BR" w:bidi="ar-SA"/>
        </w:rPr>
        <w:t xml:space="preserve"> Ocorrendo divergência entre os preços unitários e o preço global, prevalecerão os primeiros; no caso de divergência entre os valores numéricos </w:t>
      </w:r>
      <w:r>
        <w:rPr>
          <w:rFonts w:cs="Arial" w:ascii="Times New Roman" w:hAnsi="Times New Roman"/>
          <w:color w:val="00000A"/>
          <w:sz w:val="22"/>
          <w:szCs w:val="22"/>
        </w:rPr>
        <w:t>e os valores expressos por extenso, prevalecerão estes últimos.</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11.8. </w:t>
      </w:r>
      <w:r>
        <w:rPr>
          <w:rFonts w:cs="Arial" w:ascii="Times New Roman" w:hAnsi="Times New Roman"/>
          <w:color w:val="00000A"/>
          <w:sz w:val="22"/>
          <w:szCs w:val="22"/>
        </w:rPr>
        <w:t>A oferta deverá ser firme e precisa, limitada, rigorosamente, ao objeto deste Edital, sem conter alternativas de preço ou de qualquer outra condição que induza o julgamento a mais de um resultado, sob pena de desclassificação.</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11.9.</w:t>
      </w:r>
      <w:r>
        <w:rPr>
          <w:rFonts w:cs="Arial" w:ascii="Times New Roman" w:hAnsi="Times New Roman"/>
          <w:color w:val="00000A"/>
          <w:sz w:val="22"/>
          <w:szCs w:val="22"/>
        </w:rPr>
        <w:t xml:space="preserve"> A proposta deverá obedecer aos termos deste Edital e seus Anexos, não sendo considerada aquela que não corresponda às especificações ali contidas ou que estabeleça vínculo à proposta de outro licitante.</w:t>
      </w:r>
    </w:p>
    <w:p>
      <w:pPr>
        <w:pStyle w:val="BodyText"/>
        <w:tabs>
          <w:tab w:val="clear" w:pos="720"/>
          <w:tab w:val="left" w:pos="284" w:leader="none"/>
        </w:tabs>
        <w:spacing w:lineRule="auto" w:line="276" w:before="4" w:after="4"/>
        <w:contextualSpacing/>
        <w:jc w:val="both"/>
        <w:rPr/>
      </w:pPr>
      <w:r>
        <w:rPr>
          <w:rFonts w:ascii="Times New Roman" w:hAnsi="Times New Roman"/>
          <w:b/>
          <w:bCs/>
          <w:color w:val="00000A"/>
          <w:sz w:val="22"/>
          <w:szCs w:val="22"/>
        </w:rPr>
        <w:t>11.10.</w:t>
      </w:r>
      <w:r>
        <w:rPr>
          <w:rFonts w:ascii="Times New Roman" w:hAnsi="Times New Roman"/>
          <w:color w:val="00000A"/>
          <w:sz w:val="22"/>
          <w:szCs w:val="22"/>
        </w:rPr>
        <w:t xml:space="preserve"> As propostas que contenham a descrição do objeto, o valor e os documentos complementares estarão disponíveis na internet, após a homologação.</w:t>
      </w:r>
    </w:p>
    <w:p>
      <w:pPr>
        <w:pStyle w:val="BodyText"/>
        <w:spacing w:lineRule="auto" w:line="276" w:before="4" w:after="4"/>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ivel01"/>
        <w:spacing w:lineRule="auto" w:line="276" w:before="4" w:after="4"/>
        <w:contextualSpacing/>
        <w:rPr/>
      </w:pPr>
      <w:r>
        <w:rPr>
          <w:rFonts w:cs="Arial" w:ascii="Times New Roman" w:hAnsi="Times New Roman"/>
          <w:color w:val="00000A"/>
          <w:sz w:val="22"/>
          <w:szCs w:val="22"/>
          <w:lang w:eastAsia="en-US"/>
        </w:rPr>
        <w:t>12. DOS RECURSOS</w:t>
      </w:r>
    </w:p>
    <w:p>
      <w:pPr>
        <w:pStyle w:val="Normal"/>
        <w:spacing w:lineRule="auto" w:line="276" w:before="4" w:after="4"/>
        <w:contextualSpacing/>
        <w:rPr>
          <w:rFonts w:ascii="Times New Roman" w:hAnsi="Times New Roman" w:eastAsia="SimSun" w:cs="Arial"/>
          <w:color w:val="00000A"/>
          <w:sz w:val="22"/>
          <w:szCs w:val="22"/>
          <w:lang w:val="pt-BR" w:eastAsia="en-US" w:bidi="ar-SA"/>
        </w:rPr>
      </w:pPr>
      <w:r>
        <w:rPr>
          <w:rFonts w:eastAsia="SimSun" w:cs="Arial" w:ascii="Times New Roman" w:hAnsi="Times New Roman"/>
          <w:color w:val="00000A"/>
          <w:sz w:val="22"/>
          <w:szCs w:val="22"/>
          <w:lang w:val="pt-BR" w:eastAsia="en-US" w:bidi="ar-SA"/>
        </w:rPr>
      </w:r>
    </w:p>
    <w:p>
      <w:pPr>
        <w:pStyle w:val="Normal"/>
        <w:widowControl/>
        <w:tabs>
          <w:tab w:val="clear" w:pos="720"/>
          <w:tab w:val="left" w:pos="284" w:leader="none"/>
        </w:tabs>
        <w:suppressAutoHyphens w:val="true"/>
        <w:bidi w:val="0"/>
        <w:spacing w:lineRule="auto" w:line="240" w:before="4" w:after="4"/>
        <w:contextualSpacing/>
        <w:jc w:val="both"/>
        <w:rPr>
          <w:rFonts w:ascii="Times New Roman" w:hAnsi="Times New Roman"/>
          <w:shd w:fill="auto" w:val="clear"/>
        </w:rPr>
      </w:pPr>
      <w:r>
        <w:rPr>
          <w:rFonts w:eastAsia="SimSun" w:cs="Tahoma" w:ascii="Times New Roman" w:hAnsi="Times New Roman"/>
          <w:b/>
          <w:bCs/>
          <w:color w:val="00000A"/>
          <w:kern w:val="0"/>
          <w:sz w:val="22"/>
          <w:szCs w:val="22"/>
          <w:shd w:fill="auto" w:val="clear"/>
          <w:lang w:val="pt-BR" w:eastAsia="pt-BR" w:bidi="ar-SA"/>
        </w:rPr>
        <w:t xml:space="preserve"> </w:t>
      </w:r>
      <w:r>
        <w:rPr>
          <w:rFonts w:eastAsia="SimSun" w:cs="Tahoma" w:ascii="Times New Roman" w:hAnsi="Times New Roman"/>
          <w:b/>
          <w:bCs/>
          <w:color w:val="00000A"/>
          <w:kern w:val="0"/>
          <w:sz w:val="22"/>
          <w:szCs w:val="22"/>
          <w:shd w:fill="auto" w:val="clear"/>
          <w:lang w:val="pt-BR" w:eastAsia="pt-BR" w:bidi="ar-SA"/>
        </w:rPr>
        <w:t>12.1. Declarado o vencedor e decorrida a fase de regularização fiscal e trabalhista</w:t>
      </w:r>
      <w:r>
        <w:rPr>
          <w:rFonts w:eastAsia="SimSun" w:cs="Tahoma" w:ascii="Times New Roman" w:hAnsi="Times New Roman"/>
          <w:b w:val="false"/>
          <w:bCs w:val="false"/>
          <w:color w:val="000000"/>
          <w:kern w:val="0"/>
          <w:sz w:val="22"/>
          <w:szCs w:val="22"/>
          <w:shd w:fill="auto" w:val="clear"/>
          <w:lang w:val="pt-BR" w:eastAsia="pt-BR" w:bidi="ar-SA"/>
        </w:rPr>
        <w:t>, será concedido o prazo de no mínimo (10) dez minutos após a fase de julgamento e mínimo (10) dez minutos após a fase de habilitação, para que qualquer licitante manifeste a intenção de</w:t>
      </w:r>
      <w:r>
        <w:rPr>
          <w:rFonts w:eastAsia="SimSun" w:cs="Tahoma" w:ascii="Times New Roman" w:hAnsi="Times New Roman"/>
          <w:b/>
          <w:bCs/>
          <w:color w:val="000000"/>
          <w:kern w:val="0"/>
          <w:sz w:val="22"/>
          <w:szCs w:val="22"/>
          <w:shd w:fill="auto" w:val="clear"/>
          <w:lang w:val="pt-BR" w:eastAsia="pt-BR" w:bidi="ar-SA"/>
        </w:rPr>
        <w:t xml:space="preserve"> rec</w:t>
      </w:r>
      <w:r>
        <w:rPr>
          <w:rFonts w:eastAsia="SimSun" w:cs="Tahoma" w:ascii="Times New Roman" w:hAnsi="Times New Roman"/>
          <w:b/>
          <w:bCs/>
          <w:color w:val="00000A"/>
          <w:kern w:val="0"/>
          <w:sz w:val="22"/>
          <w:szCs w:val="22"/>
          <w:shd w:fill="auto" w:val="clear"/>
          <w:lang w:val="pt-BR" w:eastAsia="pt-BR" w:bidi="ar-SA"/>
        </w:rPr>
        <w:t>orrer em campo próprio do sistema.</w:t>
      </w:r>
    </w:p>
    <w:p>
      <w:pPr>
        <w:pStyle w:val="BodyText"/>
        <w:widowControl/>
        <w:tabs>
          <w:tab w:val="clear" w:pos="720"/>
          <w:tab w:val="left" w:pos="284" w:leader="none"/>
        </w:tabs>
        <w:suppressAutoHyphens w:val="true"/>
        <w:bidi w:val="0"/>
        <w:spacing w:lineRule="auto" w:line="240" w:before="4" w:after="4"/>
        <w:contextualSpacing/>
        <w:jc w:val="both"/>
        <w:rPr>
          <w:rFonts w:ascii="Times New Roman" w:hAnsi="Times New Roman"/>
        </w:rPr>
      </w:pPr>
      <w:r>
        <w:rPr>
          <w:rFonts w:ascii="Times New Roman" w:hAnsi="Times New Roman"/>
          <w:color w:val="00000A"/>
          <w:sz w:val="22"/>
        </w:rPr>
        <w:tab/>
      </w:r>
      <w:r>
        <w:rPr>
          <w:rFonts w:ascii="Times New Roman" w:hAnsi="Times New Roman"/>
          <w:b/>
          <w:bCs/>
          <w:color w:val="00000A"/>
          <w:sz w:val="22"/>
        </w:rPr>
        <w:t>12.2.</w:t>
      </w:r>
      <w:r>
        <w:rPr>
          <w:rFonts w:ascii="Times New Roman" w:hAnsi="Times New Roman"/>
          <w:color w:val="00000A"/>
          <w:sz w:val="22"/>
        </w:rPr>
        <w:t xml:space="preserve"> Havendo quem manifeste intenção de recurso, o sistema aceitará automaticamente.</w:t>
      </w:r>
    </w:p>
    <w:p>
      <w:pPr>
        <w:pStyle w:val="BodyText"/>
        <w:widowControl/>
        <w:tabs>
          <w:tab w:val="clear" w:pos="720"/>
          <w:tab w:val="left" w:pos="284" w:leader="none"/>
        </w:tabs>
        <w:suppressAutoHyphens w:val="true"/>
        <w:bidi w:val="0"/>
        <w:spacing w:lineRule="auto" w:line="240" w:before="4" w:after="4"/>
        <w:contextualSpacing/>
        <w:jc w:val="both"/>
        <w:rPr>
          <w:rFonts w:ascii="Times New Roman" w:hAnsi="Times New Roman"/>
        </w:rPr>
      </w:pPr>
      <w:r>
        <w:rPr>
          <w:rFonts w:ascii="Times New Roman" w:hAnsi="Times New Roman"/>
          <w:color w:val="00000A"/>
          <w:sz w:val="22"/>
        </w:rPr>
        <w:tab/>
        <w:tab/>
      </w:r>
      <w:r>
        <w:rPr>
          <w:rFonts w:ascii="Times New Roman" w:hAnsi="Times New Roman"/>
          <w:b/>
          <w:bCs/>
          <w:color w:val="00000A"/>
          <w:sz w:val="22"/>
        </w:rPr>
        <w:t>12.2.1</w:t>
      </w:r>
      <w:r>
        <w:rPr>
          <w:rFonts w:ascii="Times New Roman" w:hAnsi="Times New Roman"/>
          <w:color w:val="00000A"/>
        </w:rPr>
        <w:t xml:space="preserve"> </w:t>
      </w:r>
      <w:r>
        <w:rPr>
          <w:rFonts w:ascii="Times New Roman" w:hAnsi="Times New Roman"/>
          <w:color w:val="00000A"/>
          <w:sz w:val="22"/>
        </w:rPr>
        <w:t>A partir do cadastro de intenção de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pPr>
        <w:pStyle w:val="BodyText"/>
        <w:widowControl/>
        <w:tabs>
          <w:tab w:val="clear" w:pos="720"/>
          <w:tab w:val="left" w:pos="284" w:leader="none"/>
        </w:tabs>
        <w:suppressAutoHyphens w:val="true"/>
        <w:bidi w:val="0"/>
        <w:spacing w:lineRule="auto" w:line="240" w:before="4" w:after="4"/>
        <w:contextualSpacing/>
        <w:jc w:val="both"/>
        <w:rPr>
          <w:rFonts w:ascii="Times New Roman" w:hAnsi="Times New Roman"/>
        </w:rPr>
      </w:pPr>
      <w:r>
        <w:rPr>
          <w:rFonts w:ascii="Times New Roman" w:hAnsi="Times New Roman"/>
        </w:rPr>
        <w:tab/>
      </w:r>
      <w:r>
        <w:rPr>
          <w:rFonts w:ascii="Times New Roman" w:hAnsi="Times New Roman"/>
          <w:b/>
          <w:bCs/>
        </w:rPr>
        <w:t>12.3</w:t>
      </w:r>
      <w:r>
        <w:rPr>
          <w:rFonts w:ascii="Times New Roman" w:hAnsi="Times New Roman"/>
        </w:rPr>
        <w:t xml:space="preserve">. O acolhimento do recurso invalida tão somente os atos insuscetíveis de aproveitamento. </w:t>
      </w:r>
    </w:p>
    <w:p>
      <w:pPr>
        <w:pStyle w:val="BodyText"/>
        <w:tabs>
          <w:tab w:val="clear" w:pos="720"/>
          <w:tab w:val="left" w:pos="284" w:leader="none"/>
        </w:tabs>
        <w:spacing w:lineRule="auto" w:line="276" w:before="4" w:after="4"/>
        <w:ind w:hanging="0" w:left="0"/>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12.4</w:t>
      </w:r>
      <w:r>
        <w:rPr>
          <w:rFonts w:cs="Arial" w:ascii="Times New Roman" w:hAnsi="Times New Roman"/>
          <w:color w:val="00000A"/>
          <w:sz w:val="22"/>
          <w:szCs w:val="22"/>
        </w:rPr>
        <w:t xml:space="preserve"> Os autos do processo permanecerão com vista franqueada aos interessados, no endereço constante neste Edital.</w:t>
      </w:r>
    </w:p>
    <w:p>
      <w:pPr>
        <w:pStyle w:val="ListParagraph"/>
        <w:tabs>
          <w:tab w:val="clear" w:pos="720"/>
          <w:tab w:val="left" w:pos="284" w:leader="none"/>
        </w:tabs>
        <w:spacing w:lineRule="auto" w:line="276" w:before="4" w:after="4"/>
        <w:ind w:hanging="0" w:left="0"/>
        <w:contextualSpacing/>
        <w:jc w:val="both"/>
        <w:rPr>
          <w:rFonts w:ascii="Times New Roman" w:hAnsi="Times New Roman"/>
          <w:sz w:val="22"/>
          <w:szCs w:val="22"/>
        </w:rPr>
      </w:pPr>
      <w:r>
        <w:rPr>
          <w:rFonts w:ascii="Times New Roman" w:hAnsi="Times New Roman"/>
          <w:sz w:val="22"/>
          <w:szCs w:val="22"/>
        </w:rPr>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lang w:eastAsia="en-US"/>
        </w:rPr>
        <w:t>13. DA REABERTURA DA SESSÃO PÚBLICA</w:t>
      </w:r>
    </w:p>
    <w:p>
      <w:pPr>
        <w:pStyle w:val="ListParagraph"/>
        <w:tabs>
          <w:tab w:val="clear" w:pos="720"/>
          <w:tab w:val="left" w:pos="284" w:leader="none"/>
        </w:tabs>
        <w:spacing w:lineRule="auto" w:line="276" w:before="4" w:after="4"/>
        <w:ind w:hanging="0"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13.1.</w:t>
      </w:r>
      <w:r>
        <w:rPr>
          <w:rFonts w:cs="Arial" w:ascii="Times New Roman" w:hAnsi="Times New Roman"/>
          <w:b w:val="false"/>
          <w:bCs w:val="false"/>
          <w:color w:val="00000A"/>
          <w:sz w:val="22"/>
          <w:szCs w:val="22"/>
        </w:rPr>
        <w:t xml:space="preserve"> A sessão pública poderá ser reaberta:</w:t>
      </w:r>
    </w:p>
    <w:p>
      <w:pPr>
        <w:pStyle w:val="ListParagraph"/>
        <w:tabs>
          <w:tab w:val="clear" w:pos="720"/>
          <w:tab w:val="left" w:pos="284" w:leader="none"/>
          <w:tab w:val="left" w:pos="567" w:leader="none"/>
        </w:tabs>
        <w:spacing w:lineRule="auto" w:line="276" w:before="4" w:after="4"/>
        <w:ind w:hanging="0" w:left="0"/>
        <w:contextualSpacing/>
        <w:jc w:val="both"/>
        <w:rPr/>
      </w:pPr>
      <w:r>
        <w:rPr>
          <w:rFonts w:cs="Arial" w:ascii="Times New Roman" w:hAnsi="Times New Roman"/>
          <w:b/>
          <w:bCs/>
          <w:color w:val="00000A"/>
          <w:sz w:val="22"/>
          <w:szCs w:val="22"/>
        </w:rPr>
        <w:tab/>
        <w:tab/>
        <w:t>13.1.1.</w:t>
      </w:r>
      <w:r>
        <w:rPr>
          <w:rFonts w:cs="Arial" w:ascii="Times New Roman" w:hAnsi="Times New Roman"/>
          <w:b w:val="false"/>
          <w:bCs w:val="false"/>
          <w:color w:val="00000A"/>
          <w:sz w:val="22"/>
          <w:szCs w:val="22"/>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pPr>
        <w:pStyle w:val="ListParagraph"/>
        <w:tabs>
          <w:tab w:val="clear" w:pos="720"/>
          <w:tab w:val="left" w:pos="284" w:leader="none"/>
          <w:tab w:val="left" w:pos="567" w:leader="none"/>
        </w:tabs>
        <w:spacing w:lineRule="auto" w:line="276" w:before="4" w:after="4"/>
        <w:ind w:hanging="0" w:left="0"/>
        <w:contextualSpacing/>
        <w:jc w:val="both"/>
        <w:rPr/>
      </w:pPr>
      <w:r>
        <w:rPr>
          <w:rFonts w:cs="Arial" w:ascii="Times New Roman" w:hAnsi="Times New Roman"/>
          <w:b/>
          <w:bCs/>
          <w:color w:val="00000A"/>
          <w:sz w:val="22"/>
          <w:szCs w:val="22"/>
        </w:rPr>
        <w:tab/>
        <w:tab/>
        <w:t>13.1.2.</w:t>
      </w:r>
      <w:r>
        <w:rPr>
          <w:rFonts w:cs="Arial" w:ascii="Times New Roman" w:hAnsi="Times New Roman"/>
          <w:b w:val="false"/>
          <w:bCs w:val="false"/>
          <w:color w:val="00000A"/>
          <w:sz w:val="22"/>
          <w:szCs w:val="22"/>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13.2. </w:t>
      </w:r>
      <w:r>
        <w:rPr>
          <w:rFonts w:cs="Arial" w:ascii="Times New Roman" w:hAnsi="Times New Roman"/>
          <w:b w:val="false"/>
          <w:bCs w:val="false"/>
          <w:color w:val="00000A"/>
          <w:sz w:val="22"/>
          <w:szCs w:val="22"/>
        </w:rPr>
        <w:t>Todos os licitantes remanescentes deverão ser convocados para acompanhar a sessão reaberta.</w:t>
      </w:r>
    </w:p>
    <w:p>
      <w:pPr>
        <w:pStyle w:val="ListParagraph"/>
        <w:tabs>
          <w:tab w:val="clear" w:pos="720"/>
          <w:tab w:val="left" w:pos="284" w:leader="none"/>
          <w:tab w:val="left" w:pos="567" w:leader="none"/>
        </w:tabs>
        <w:spacing w:lineRule="auto" w:line="276" w:before="4" w:after="4"/>
        <w:ind w:hanging="0" w:left="0"/>
        <w:contextualSpacing/>
        <w:jc w:val="both"/>
        <w:rPr/>
      </w:pPr>
      <w:r>
        <w:rPr>
          <w:rFonts w:cs="Arial" w:ascii="Times New Roman" w:hAnsi="Times New Roman"/>
          <w:b/>
          <w:bCs/>
          <w:color w:val="00000A"/>
          <w:sz w:val="22"/>
          <w:szCs w:val="22"/>
        </w:rPr>
        <w:tab/>
        <w:tab/>
        <w:t>13.2.1.</w:t>
      </w:r>
      <w:r>
        <w:rPr>
          <w:rFonts w:cs="Arial" w:ascii="Times New Roman" w:hAnsi="Times New Roman"/>
          <w:b w:val="false"/>
          <w:bCs w:val="false"/>
          <w:color w:val="00000A"/>
          <w:sz w:val="22"/>
          <w:szCs w:val="22"/>
        </w:rPr>
        <w:t xml:space="preserve"> A convocação se dará por meio do sistema eletrônico (“chat”), e-mail, ou, ainda, fac-símile, de acordo com a fase do procedimento licitatório.</w:t>
      </w:r>
    </w:p>
    <w:p>
      <w:pPr>
        <w:pStyle w:val="Nivel01"/>
        <w:keepLines w:val="false"/>
        <w:spacing w:lineRule="auto" w:line="276" w:before="4" w:after="4"/>
        <w:ind w:firstLine="567"/>
        <w:contextualSpacing/>
        <w:rPr/>
      </w:pPr>
      <w:r>
        <w:rPr>
          <w:rFonts w:cs="Arial" w:ascii="Times New Roman" w:hAnsi="Times New Roman"/>
          <w:b/>
          <w:bCs/>
          <w:color w:val="00000A"/>
          <w:sz w:val="22"/>
          <w:szCs w:val="22"/>
        </w:rPr>
        <w:t>13.2.2.</w:t>
      </w:r>
      <w:r>
        <w:rPr>
          <w:rFonts w:cs="Arial" w:ascii="Times New Roman" w:hAnsi="Times New Roman"/>
          <w:b w:val="false"/>
          <w:bCs w:val="false"/>
          <w:color w:val="00000A"/>
          <w:sz w:val="22"/>
          <w:szCs w:val="22"/>
        </w:rPr>
        <w:t xml:space="preserve"> A convocação feita por e-mail ou fac-símile dar-se-á de acordo com os dados contidos no SICAF, sendo responsabilidade do licitante manter seus dados cadastrais atualizados.</w:t>
      </w:r>
    </w:p>
    <w:p>
      <w:pPr>
        <w:pStyle w:val="Nivel01"/>
        <w:spacing w:lineRule="auto" w:line="276" w:before="4" w:after="4"/>
        <w:contextualSpacing/>
        <w:rPr>
          <w:rFonts w:ascii="Times New Roman" w:hAnsi="Times New Roman"/>
          <w:color w:val="00000A"/>
          <w:sz w:val="22"/>
          <w:szCs w:val="22"/>
        </w:rPr>
      </w:pPr>
      <w:r>
        <w:rPr>
          <w:rFonts w:ascii="Times New Roman" w:hAnsi="Times New Roman"/>
          <w:color w:val="00000A"/>
          <w:sz w:val="22"/>
          <w:szCs w:val="22"/>
        </w:rPr>
      </w:r>
    </w:p>
    <w:p>
      <w:pPr>
        <w:pStyle w:val="Nivel01"/>
        <w:spacing w:lineRule="auto" w:line="276" w:before="4" w:after="4"/>
        <w:contextualSpacing/>
        <w:rPr/>
      </w:pPr>
      <w:r>
        <w:rPr>
          <w:rFonts w:cs="Arial" w:ascii="Times New Roman" w:hAnsi="Times New Roman"/>
          <w:color w:val="00000A"/>
          <w:sz w:val="22"/>
          <w:szCs w:val="22"/>
        </w:rPr>
        <w:t>14. DA ADJUDICAÇÃO E HOMOLOGAÇÃO</w:t>
      </w:r>
    </w:p>
    <w:p>
      <w:pPr>
        <w:pStyle w:val="Nivel01"/>
        <w:spacing w:lineRule="auto" w:line="276" w:before="4" w:after="4"/>
        <w:contextualSpacing/>
        <w:rPr>
          <w:rFonts w:ascii="Times New Roman" w:hAnsi="Times New Roman" w:eastAsia="SimSun" w:cs="Times New Roman"/>
          <w:b/>
          <w:bCs/>
          <w:color w:val="000000"/>
          <w:sz w:val="22"/>
          <w:szCs w:val="22"/>
          <w:lang w:val="pt-BR" w:eastAsia="pt-BR" w:bidi="ar-SA"/>
        </w:rPr>
      </w:pPr>
      <w:r>
        <w:rPr>
          <w:rFonts w:eastAsia="SimSun" w:cs="Times New Roman" w:ascii="Times New Roman" w:hAnsi="Times New Roman"/>
          <w:b/>
          <w:bCs/>
          <w:color w:val="000000"/>
          <w:sz w:val="22"/>
          <w:szCs w:val="22"/>
          <w:lang w:val="pt-BR" w:eastAsia="pt-BR" w:bidi="ar-SA"/>
        </w:rPr>
      </w:r>
    </w:p>
    <w:p>
      <w:pPr>
        <w:pStyle w:val="Nivel01"/>
        <w:tabs>
          <w:tab w:val="left" w:pos="284" w:leader="none"/>
          <w:tab w:val="left" w:pos="567" w:leader="none"/>
        </w:tabs>
        <w:spacing w:lineRule="auto" w:line="276" w:before="4" w:after="4"/>
        <w:contextualSpacing/>
        <w:rPr/>
      </w:pPr>
      <w:r>
        <w:rPr>
          <w:rFonts w:cs="Arial" w:ascii="Times New Roman" w:hAnsi="Times New Roman"/>
          <w:b/>
          <w:bCs/>
          <w:color w:val="00000A"/>
          <w:sz w:val="22"/>
          <w:szCs w:val="22"/>
        </w:rPr>
        <w:tab/>
        <w:t>14.1.</w:t>
      </w:r>
      <w:r>
        <w:rPr>
          <w:rFonts w:cs="Arial" w:ascii="Times New Roman" w:hAnsi="Times New Roman"/>
          <w:b w:val="false"/>
          <w:bCs w:val="false"/>
          <w:color w:val="00000A"/>
          <w:sz w:val="22"/>
          <w:szCs w:val="22"/>
        </w:rPr>
        <w:t xml:space="preserve"> O objeto da licitação será adjudicado ao licitante declarado vencedor, por ato do Pregoeiro, caso não haja interposição de recurso, ou pela autoridade competente, após a regular decisão dos recursos apresentados.</w:t>
      </w:r>
    </w:p>
    <w:p>
      <w:pPr>
        <w:pStyle w:val="Nivel01"/>
        <w:tabs>
          <w:tab w:val="left" w:pos="284" w:leader="none"/>
          <w:tab w:val="left" w:pos="567" w:leader="none"/>
        </w:tabs>
        <w:spacing w:lineRule="auto" w:line="276" w:before="4" w:after="4"/>
        <w:contextualSpacing/>
        <w:rPr/>
      </w:pPr>
      <w:r>
        <w:rPr>
          <w:rFonts w:cs="Arial" w:ascii="Times New Roman" w:hAnsi="Times New Roman"/>
          <w:b/>
          <w:bCs/>
          <w:color w:val="00000A"/>
          <w:sz w:val="22"/>
          <w:szCs w:val="22"/>
        </w:rPr>
        <w:tab/>
        <w:t xml:space="preserve">14.2. </w:t>
      </w:r>
      <w:r>
        <w:rPr>
          <w:rFonts w:cs="Arial" w:ascii="Times New Roman" w:hAnsi="Times New Roman"/>
          <w:b w:val="false"/>
          <w:bCs w:val="false"/>
          <w:color w:val="00000A"/>
          <w:sz w:val="22"/>
          <w:szCs w:val="22"/>
        </w:rPr>
        <w:t>Após a fase recursal, constatada a regularidade dos atos praticados, a autoridade competente homologará o procedimento licitatório.</w:t>
      </w:r>
    </w:p>
    <w:p>
      <w:pPr>
        <w:pStyle w:val="Normal"/>
        <w:spacing w:lineRule="auto" w:line="276"/>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ivel01"/>
        <w:spacing w:lineRule="auto" w:line="276" w:before="4" w:after="4"/>
        <w:contextualSpacing/>
        <w:rPr/>
      </w:pPr>
      <w:r>
        <w:rPr>
          <w:rFonts w:cs="Arial" w:ascii="Times New Roman" w:hAnsi="Times New Roman"/>
          <w:color w:val="00000A"/>
          <w:sz w:val="22"/>
          <w:szCs w:val="22"/>
        </w:rPr>
        <w:t>15. DA GARANTIA DE EXECUÇÃO</w:t>
      </w:r>
    </w:p>
    <w:p>
      <w:pPr>
        <w:pStyle w:val="Normal"/>
        <w:spacing w:lineRule="auto" w:line="276" w:before="4" w:after="4"/>
        <w:contextualSpacing/>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p>
      <w:pPr>
        <w:pStyle w:val="Nivel01"/>
        <w:tabs>
          <w:tab w:val="left" w:pos="284" w:leader="none"/>
          <w:tab w:val="left" w:pos="567" w:leader="none"/>
        </w:tabs>
        <w:spacing w:lineRule="auto" w:line="276" w:before="4" w:after="4"/>
        <w:contextualSpacing/>
        <w:rPr/>
      </w:pPr>
      <w:r>
        <w:rPr>
          <w:rFonts w:cs="Arial" w:ascii="Times New Roman" w:hAnsi="Times New Roman"/>
          <w:b/>
          <w:bCs/>
          <w:color w:val="00000A"/>
          <w:sz w:val="22"/>
          <w:szCs w:val="22"/>
        </w:rPr>
        <w:tab/>
        <w:t>15.1.</w:t>
      </w:r>
      <w:r>
        <w:rPr>
          <w:rFonts w:cs="Arial" w:ascii="Times New Roman" w:hAnsi="Times New Roman"/>
          <w:b w:val="false"/>
          <w:bCs w:val="false"/>
          <w:color w:val="00000A"/>
          <w:sz w:val="22"/>
          <w:szCs w:val="22"/>
        </w:rPr>
        <w:t xml:space="preserve"> Não haverá exigência de garantia de execução para a presente contratação.</w:t>
      </w:r>
    </w:p>
    <w:p>
      <w:pPr>
        <w:pStyle w:val="Normal"/>
        <w:spacing w:lineRule="auto" w:line="276"/>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spacing w:lineRule="auto" w:line="276" w:before="4" w:after="4"/>
        <w:ind w:hanging="0" w:left="0"/>
        <w:contextualSpacing/>
        <w:jc w:val="both"/>
        <w:rPr/>
      </w:pPr>
      <w:r>
        <w:rPr>
          <w:rFonts w:cs="Arial" w:ascii="Times New Roman" w:hAnsi="Times New Roman"/>
          <w:b/>
          <w:bCs/>
          <w:color w:val="00000A"/>
          <w:sz w:val="22"/>
          <w:szCs w:val="22"/>
        </w:rPr>
        <w:t>16. DA ATA DE REGISTRO DE PREÇOS</w:t>
      </w:r>
    </w:p>
    <w:p>
      <w:pPr>
        <w:pStyle w:val="ListParagraph"/>
        <w:spacing w:lineRule="auto" w:line="276" w:before="4" w:after="4"/>
        <w:ind w:hanging="0" w:left="0"/>
        <w:contextualSpacing/>
        <w:jc w:val="both"/>
        <w:rPr>
          <w:rFonts w:ascii="Times New Roman" w:hAnsi="Times New Roman" w:eastAsia="SimSun" w:cs="Arial"/>
          <w:b/>
          <w:bCs/>
          <w:color w:val="00000A"/>
          <w:sz w:val="22"/>
          <w:szCs w:val="22"/>
          <w:lang w:val="pt-BR" w:eastAsia="pt-BR" w:bidi="ar-SA"/>
        </w:rPr>
      </w:pPr>
      <w:r>
        <w:rPr>
          <w:rFonts w:eastAsia="SimSun" w:cs="Arial" w:ascii="Times New Roman" w:hAnsi="Times New Roman"/>
          <w:b/>
          <w:bCs/>
          <w:color w:val="00000A"/>
          <w:sz w:val="22"/>
          <w:szCs w:val="22"/>
          <w:lang w:val="pt-BR" w:eastAsia="pt-BR" w:bidi="ar-SA"/>
        </w:rPr>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16.1.</w:t>
      </w:r>
      <w:r>
        <w:rPr>
          <w:rFonts w:cs="Arial" w:ascii="Times New Roman" w:hAnsi="Times New Roman"/>
          <w:color w:val="00000A"/>
          <w:sz w:val="22"/>
          <w:szCs w:val="22"/>
        </w:rPr>
        <w:t xml:space="preserve"> Homologado o resultado da licitação, terá o adjudicado o prazo de 05 (cinco) dias, contados a partir da data de sua convocação, para assinar a Ata de Registro de Preços, cujo prazo da validade encontra-se nela fixado, sob pena de decair do direito à contratação, sem prejuízo das sanções previstas neste edital.</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16.2.</w:t>
      </w:r>
      <w:r>
        <w:rPr>
          <w:rFonts w:cs="Arial" w:ascii="Times New Roman" w:hAnsi="Times New Roman"/>
          <w:color w:val="00000A"/>
          <w:sz w:val="22"/>
          <w:szCs w:val="22"/>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dias, a contar da data de seu recebimento.</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16.3.</w:t>
      </w:r>
      <w:r>
        <w:rPr>
          <w:rFonts w:cs="Arial" w:ascii="Times New Roman" w:hAnsi="Times New Roman"/>
          <w:color w:val="00000A"/>
          <w:sz w:val="22"/>
          <w:szCs w:val="22"/>
        </w:rPr>
        <w:t xml:space="preserve"> O prazo estabelecido no subitem anterior para assinatura da Ata de Registro de Preços poderá ser prorrogado uma única vez, por igual período, quando solicitado pelo(s) licitantes(s) vencedor(s), durante o seu transcurso, e desde que devidamente aceito.</w:t>
      </w:r>
    </w:p>
    <w:p>
      <w:pPr>
        <w:pStyle w:val="ListParagraph"/>
        <w:tabs>
          <w:tab w:val="clear" w:pos="720"/>
          <w:tab w:val="left" w:pos="284"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16.4. </w:t>
      </w:r>
      <w:r>
        <w:rPr>
          <w:rFonts w:cs="Arial" w:ascii="Times New Roman" w:hAnsi="Times New Roman"/>
          <w:color w:val="00000A"/>
          <w:sz w:val="22"/>
          <w:szCs w:val="22"/>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 xml:space="preserve">16.4.1. </w:t>
      </w:r>
      <w:r>
        <w:rPr>
          <w:rFonts w:cs="Arial" w:ascii="Times New Roman" w:hAnsi="Times New Roman"/>
          <w:color w:val="00000A"/>
          <w:sz w:val="22"/>
          <w:szCs w:val="22"/>
        </w:rPr>
        <w:t>Será incluído na a</w:t>
      </w:r>
      <w:r>
        <w:rPr>
          <w:rFonts w:cs="Arial" w:ascii="Times New Roman" w:hAnsi="Times New Roman"/>
          <w:color w:val="00000A"/>
          <w:sz w:val="22"/>
          <w:szCs w:val="22"/>
          <w:shd w:fill="auto" w:val="clear"/>
        </w:rPr>
        <w:t>ta, sob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31 da Lei 13.303/2016;</w:t>
      </w:r>
    </w:p>
    <w:p>
      <w:pPr>
        <w:pStyle w:val="ListParagraph"/>
        <w:spacing w:lineRule="auto" w:line="276" w:before="4" w:after="4"/>
        <w:ind w:firstLine="567" w:left="0"/>
        <w:contextualSpacing/>
        <w:jc w:val="both"/>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p>
      <w:pPr>
        <w:pStyle w:val="Nivel01"/>
        <w:spacing w:lineRule="auto" w:line="276" w:before="4" w:after="4"/>
        <w:contextualSpacing/>
        <w:rPr/>
      </w:pPr>
      <w:r>
        <w:rPr>
          <w:rFonts w:cs="Arial" w:ascii="Times New Roman" w:hAnsi="Times New Roman"/>
          <w:color w:val="00000A"/>
          <w:sz w:val="22"/>
          <w:szCs w:val="22"/>
        </w:rPr>
        <w:t>17. DO TERMO DE CONTRATO OU INSTRUMENTO EQUIVALENTE</w:t>
      </w:r>
    </w:p>
    <w:p>
      <w:pPr>
        <w:pStyle w:val="Nivel01"/>
        <w:spacing w:lineRule="auto" w:line="276" w:before="4" w:after="4"/>
        <w:contextualSpacing/>
        <w:rPr>
          <w:rFonts w:ascii="Times New Roman" w:hAnsi="Times New Roman" w:eastAsia="SimSun" w:cs="Times New Roman"/>
          <w:b/>
          <w:bCs/>
          <w:color w:val="000000"/>
          <w:sz w:val="22"/>
          <w:szCs w:val="22"/>
          <w:lang w:val="pt-BR" w:eastAsia="pt-BR" w:bidi="ar-SA"/>
        </w:rPr>
      </w:pPr>
      <w:r>
        <w:rPr>
          <w:rFonts w:eastAsia="SimSun" w:cs="Times New Roman" w:ascii="Times New Roman" w:hAnsi="Times New Roman"/>
          <w:b/>
          <w:bCs/>
          <w:color w:val="000000"/>
          <w:sz w:val="22"/>
          <w:szCs w:val="22"/>
          <w:lang w:val="pt-BR" w:eastAsia="pt-BR" w:bidi="ar-SA"/>
        </w:rPr>
      </w:r>
    </w:p>
    <w:p>
      <w:pPr>
        <w:pStyle w:val="Nivel01"/>
        <w:tabs>
          <w:tab w:val="left" w:pos="284" w:leader="none"/>
          <w:tab w:val="left" w:pos="567" w:leader="none"/>
        </w:tabs>
        <w:spacing w:lineRule="auto" w:line="276" w:before="4" w:after="4"/>
        <w:contextualSpacing/>
        <w:rPr/>
      </w:pPr>
      <w:r>
        <w:rPr>
          <w:rFonts w:eastAsia="Arial" w:cs="Arial" w:ascii="Times New Roman" w:hAnsi="Times New Roman"/>
          <w:b/>
          <w:bCs/>
          <w:color w:val="00000A"/>
          <w:sz w:val="22"/>
          <w:szCs w:val="22"/>
        </w:rPr>
        <w:tab/>
        <w:t>17.1.</w:t>
      </w:r>
      <w:r>
        <w:rPr>
          <w:rFonts w:eastAsia="Arial" w:cs="Arial" w:ascii="Times New Roman" w:hAnsi="Times New Roman"/>
          <w:b w:val="false"/>
          <w:color w:val="00000A"/>
          <w:sz w:val="22"/>
          <w:szCs w:val="22"/>
        </w:rPr>
        <w:t xml:space="preserve"> Após a homologação da licitação, em sendo realizada a contratação, será firmado Termo de Contrato ou emitido instrumento equivalente.</w:t>
      </w:r>
    </w:p>
    <w:p>
      <w:pPr>
        <w:pStyle w:val="Normal"/>
        <w:tabs>
          <w:tab w:val="clear" w:pos="720"/>
          <w:tab w:val="left" w:pos="567" w:leader="none"/>
        </w:tabs>
        <w:spacing w:lineRule="auto" w:line="276" w:before="4" w:after="4"/>
        <w:ind w:firstLine="426"/>
        <w:contextualSpacing/>
        <w:jc w:val="both"/>
        <w:rPr/>
      </w:pPr>
      <w:r>
        <w:rPr>
          <w:rFonts w:eastAsia="Arial" w:cs="Arial" w:ascii="Times New Roman" w:hAnsi="Times New Roman"/>
          <w:b/>
          <w:bCs/>
          <w:color w:val="00000A"/>
          <w:sz w:val="22"/>
          <w:szCs w:val="22"/>
        </w:rPr>
        <w:tab/>
        <w:t xml:space="preserve">17.1.1. </w:t>
      </w:r>
      <w:r>
        <w:rPr>
          <w:rFonts w:eastAsia="Arial" w:cs="Arial" w:ascii="Times New Roman" w:hAnsi="Times New Roman"/>
          <w:color w:val="00000A"/>
          <w:sz w:val="22"/>
          <w:szCs w:val="22"/>
        </w:rPr>
        <w:t>O teor do Art. 156 do Regulamento de Licitações e Contratos da IMBEL, aplicável subsidiariamente à modalidade pregão, o termo de contrato é facultativo nas contratações com valor de até 50.000,00 (cinquenta mil reais), e nos casos de compra com entrega imediata e integral dos bens adquiridos. Assim, não havendo termo de contrato, este poderá ser substituído por outros instrumentos hábeis, como carta contrato, nota de empenho de despesa ou autorização de compra, nos quais deve constar expressamente a vinculação à proposta e aos termos do edital de licitação.</w:t>
      </w:r>
    </w:p>
    <w:p>
      <w:pPr>
        <w:pStyle w:val="Normal"/>
        <w:tabs>
          <w:tab w:val="clear" w:pos="720"/>
          <w:tab w:val="left" w:pos="284" w:leader="none"/>
          <w:tab w:val="left" w:pos="1395" w:leader="none"/>
        </w:tabs>
        <w:spacing w:lineRule="auto" w:line="276" w:before="4" w:after="4"/>
        <w:ind w:hanging="0"/>
        <w:contextualSpacing/>
        <w:jc w:val="both"/>
        <w:rPr/>
      </w:pPr>
      <w:r>
        <w:rPr>
          <w:rFonts w:eastAsia="Arial" w:cs="Arial" w:ascii="Times New Roman" w:hAnsi="Times New Roman"/>
          <w:b/>
          <w:bCs/>
          <w:color w:val="00000A"/>
          <w:sz w:val="22"/>
          <w:szCs w:val="22"/>
        </w:rPr>
        <w:tab/>
        <w:t>17.2.</w:t>
      </w:r>
      <w:r>
        <w:rPr>
          <w:rFonts w:eastAsia="Arial" w:cs="Arial" w:ascii="Times New Roman" w:hAnsi="Times New Roman"/>
          <w:b w:val="false"/>
          <w:color w:val="00000A"/>
          <w:sz w:val="22"/>
          <w:szCs w:val="22"/>
        </w:rPr>
        <w:t xml:space="preserve">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pStyle w:val="Normal"/>
        <w:tabs>
          <w:tab w:val="clear" w:pos="720"/>
          <w:tab w:val="left" w:pos="284" w:leader="none"/>
        </w:tabs>
        <w:spacing w:lineRule="auto" w:line="276" w:before="4" w:after="4"/>
        <w:ind w:hanging="0"/>
        <w:contextualSpacing/>
        <w:jc w:val="both"/>
        <w:rPr/>
      </w:pPr>
      <w:r>
        <w:rPr>
          <w:rFonts w:eastAsia="Arial" w:cs="Arial" w:ascii="Times New Roman" w:hAnsi="Times New Roman"/>
          <w:b/>
          <w:bCs/>
          <w:color w:val="00000A"/>
          <w:sz w:val="22"/>
          <w:szCs w:val="22"/>
        </w:rPr>
        <w:tab/>
        <w:t>17.3.</w:t>
      </w:r>
      <w:r>
        <w:rPr>
          <w:rFonts w:eastAsia="Arial" w:cs="Arial" w:ascii="Times New Roman" w:hAnsi="Times New Roman"/>
          <w:b w:val="false"/>
          <w:color w:val="00000A"/>
          <w:sz w:val="22"/>
          <w:szCs w:val="22"/>
        </w:rPr>
        <w:t xml:space="preserve">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pPr>
        <w:pStyle w:val="Normal"/>
        <w:tabs>
          <w:tab w:val="clear" w:pos="720"/>
          <w:tab w:val="left" w:pos="284" w:leader="none"/>
        </w:tabs>
        <w:spacing w:lineRule="auto" w:line="276" w:before="4" w:after="4"/>
        <w:ind w:hanging="0"/>
        <w:contextualSpacing/>
        <w:jc w:val="both"/>
        <w:rPr/>
      </w:pPr>
      <w:r>
        <w:rPr>
          <w:rFonts w:eastAsia="Arial" w:cs="Arial" w:ascii="Times New Roman" w:hAnsi="Times New Roman"/>
          <w:b w:val="false"/>
          <w:bCs/>
          <w:color w:val="00000A"/>
          <w:sz w:val="22"/>
          <w:szCs w:val="22"/>
        </w:rPr>
        <w:tab/>
      </w:r>
      <w:r>
        <w:rPr>
          <w:rFonts w:eastAsia="Arial" w:cs="Arial" w:ascii="Times New Roman" w:hAnsi="Times New Roman"/>
          <w:b/>
          <w:bCs/>
          <w:color w:val="00000A"/>
          <w:sz w:val="22"/>
          <w:szCs w:val="22"/>
        </w:rPr>
        <w:t xml:space="preserve">17.4. </w:t>
      </w:r>
      <w:r>
        <w:rPr>
          <w:rFonts w:eastAsia="Arial" w:cs="Arial" w:ascii="Times New Roman" w:hAnsi="Times New Roman"/>
          <w:b w:val="false"/>
          <w:color w:val="00000A"/>
          <w:sz w:val="22"/>
          <w:szCs w:val="22"/>
        </w:rPr>
        <w:t>O prazo previsto no subitem anterior poderá ser prorrogado, por igual período, por solicitação justificada do adjudicatário e aceita pela Administração.</w:t>
      </w:r>
    </w:p>
    <w:p>
      <w:pPr>
        <w:pStyle w:val="Normal"/>
        <w:tabs>
          <w:tab w:val="clear" w:pos="720"/>
          <w:tab w:val="left" w:pos="284" w:leader="none"/>
        </w:tabs>
        <w:spacing w:lineRule="auto" w:line="276" w:before="4" w:after="4"/>
        <w:ind w:hanging="0"/>
        <w:contextualSpacing/>
        <w:jc w:val="both"/>
        <w:rPr/>
      </w:pPr>
      <w:r>
        <w:rPr>
          <w:rFonts w:eastAsia="Arial" w:cs="Arial" w:ascii="Times New Roman" w:hAnsi="Times New Roman"/>
          <w:b/>
          <w:bCs/>
          <w:color w:val="00000A"/>
          <w:sz w:val="22"/>
          <w:szCs w:val="22"/>
        </w:rPr>
        <w:tab/>
        <w:t xml:space="preserve">17.5. </w:t>
      </w:r>
      <w:r>
        <w:rPr>
          <w:rFonts w:eastAsia="Arial" w:cs="Arial" w:ascii="Times New Roman" w:hAnsi="Times New Roman"/>
          <w:b w:val="false"/>
          <w:color w:val="00000A"/>
          <w:sz w:val="22"/>
          <w:szCs w:val="22"/>
        </w:rPr>
        <w:t xml:space="preserve">O Aceite da Nota de Empenho ou do </w:t>
      </w:r>
      <w:r>
        <w:rPr>
          <w:rFonts w:eastAsia="Arial" w:cs="Arial" w:ascii="Times New Roman" w:hAnsi="Times New Roman"/>
          <w:b w:val="false"/>
          <w:color w:val="00000A"/>
          <w:sz w:val="22"/>
          <w:szCs w:val="22"/>
          <w:shd w:fill="auto" w:val="clear"/>
        </w:rPr>
        <w:t>instrumento equivalente, emitida à empresa adjudicada, implica no reconhecimento de que:</w:t>
      </w:r>
    </w:p>
    <w:p>
      <w:pPr>
        <w:pStyle w:val="ListParagraph"/>
        <w:spacing w:lineRule="auto" w:line="276" w:before="4" w:after="4"/>
        <w:ind w:firstLine="567" w:left="0"/>
        <w:contextualSpacing/>
        <w:jc w:val="both"/>
        <w:rPr/>
      </w:pPr>
      <w:r>
        <w:rPr>
          <w:rFonts w:eastAsia="Arial" w:cs="Arial" w:ascii="Times New Roman" w:hAnsi="Times New Roman"/>
          <w:b/>
          <w:bCs/>
          <w:color w:val="00000A"/>
          <w:sz w:val="22"/>
          <w:szCs w:val="22"/>
          <w:shd w:fill="auto" w:val="clear"/>
        </w:rPr>
        <w:t xml:space="preserve">17.5.1. </w:t>
      </w:r>
      <w:r>
        <w:rPr>
          <w:rFonts w:eastAsia="Arial" w:cs="Arial" w:ascii="Times New Roman" w:hAnsi="Times New Roman"/>
          <w:b w:val="false"/>
          <w:bCs w:val="false"/>
          <w:color w:val="00000A"/>
          <w:sz w:val="22"/>
          <w:szCs w:val="22"/>
          <w:shd w:fill="auto" w:val="clear"/>
        </w:rPr>
        <w:t>A</w:t>
      </w:r>
      <w:r>
        <w:rPr>
          <w:rFonts w:eastAsia="Arial" w:cs="Arial" w:ascii="Times New Roman" w:hAnsi="Times New Roman"/>
          <w:b/>
          <w:bCs/>
          <w:color w:val="00000A"/>
          <w:sz w:val="22"/>
          <w:szCs w:val="22"/>
          <w:shd w:fill="auto" w:val="clear"/>
        </w:rPr>
        <w:t xml:space="preserve"> </w:t>
      </w:r>
      <w:r>
        <w:rPr>
          <w:rFonts w:eastAsia="Arial" w:cs="Arial" w:ascii="Times New Roman" w:hAnsi="Times New Roman"/>
          <w:color w:val="00000A"/>
          <w:sz w:val="22"/>
          <w:szCs w:val="22"/>
          <w:shd w:fill="auto" w:val="clear"/>
        </w:rPr>
        <w:t xml:space="preserve">referida Nota está substituindo o contrato, aplicando-se à relação de negócios ali estabelecida as disposições da Lei 13.303/2016, </w:t>
      </w:r>
      <w:r>
        <w:rPr>
          <w:rFonts w:eastAsia="Arial" w:cs="Arial" w:ascii="Times New Roman" w:hAnsi="Times New Roman"/>
          <w:color w:val="00000A"/>
          <w:sz w:val="22"/>
          <w:szCs w:val="22"/>
          <w:shd w:fill="FFDBB6" w:val="clear"/>
        </w:rPr>
        <w:t>Lei nº 14.133/2021</w:t>
      </w:r>
      <w:r>
        <w:rPr>
          <w:rFonts w:eastAsia="Arial" w:cs="Arial" w:ascii="Times New Roman" w:hAnsi="Times New Roman"/>
          <w:color w:val="00000A"/>
          <w:sz w:val="22"/>
          <w:szCs w:val="22"/>
          <w:shd w:fill="auto" w:val="clear"/>
        </w:rPr>
        <w:t xml:space="preserve"> e Regulamento de Licitações e Contratos da IMBEL;</w:t>
      </w:r>
    </w:p>
    <w:p>
      <w:pPr>
        <w:pStyle w:val="ListParagraph"/>
        <w:spacing w:lineRule="auto" w:line="276" w:before="4" w:after="4"/>
        <w:ind w:firstLine="567" w:left="0"/>
        <w:contextualSpacing/>
        <w:jc w:val="both"/>
        <w:rPr/>
      </w:pPr>
      <w:r>
        <w:rPr>
          <w:rFonts w:eastAsia="Arial" w:cs="Arial" w:ascii="Times New Roman" w:hAnsi="Times New Roman"/>
          <w:b/>
          <w:bCs/>
          <w:color w:val="00000A"/>
          <w:sz w:val="22"/>
          <w:szCs w:val="22"/>
          <w:shd w:fill="auto" w:val="clear"/>
        </w:rPr>
        <w:t>17.5.2.</w:t>
      </w:r>
      <w:r>
        <w:rPr>
          <w:rFonts w:eastAsia="Arial" w:cs="Arial" w:ascii="Times New Roman" w:hAnsi="Times New Roman"/>
          <w:color w:val="00000A"/>
          <w:sz w:val="22"/>
          <w:szCs w:val="22"/>
          <w:shd w:fill="auto" w:val="clear"/>
        </w:rPr>
        <w:t xml:space="preserve"> a contratada se vincula à sua proposta e às previsões contidas no edital e seus anexos;</w:t>
      </w:r>
    </w:p>
    <w:p>
      <w:pPr>
        <w:pStyle w:val="ListParagraph"/>
        <w:spacing w:lineRule="auto" w:line="276" w:before="4" w:after="4"/>
        <w:ind w:firstLine="567" w:left="0"/>
        <w:contextualSpacing/>
        <w:jc w:val="both"/>
        <w:rPr/>
      </w:pPr>
      <w:r>
        <w:rPr>
          <w:rFonts w:eastAsia="Arial" w:cs="Arial" w:ascii="Times New Roman" w:hAnsi="Times New Roman"/>
          <w:b/>
          <w:bCs/>
          <w:color w:val="00000A"/>
          <w:sz w:val="22"/>
          <w:szCs w:val="22"/>
          <w:shd w:fill="auto" w:val="clear"/>
        </w:rPr>
        <w:t>17.5.3.</w:t>
      </w:r>
      <w:r>
        <w:rPr>
          <w:rFonts w:eastAsia="Arial" w:cs="Arial" w:ascii="Times New Roman" w:hAnsi="Times New Roman"/>
          <w:color w:val="00000A"/>
          <w:sz w:val="22"/>
          <w:szCs w:val="22"/>
          <w:shd w:fill="auto" w:val="clear"/>
        </w:rPr>
        <w:t xml:space="preserve"> a contratada reconhece que as hipóteses de rescisão são aquelas previstas na cláusula 19 do contrato e reconhece os direitos da Administração previstos na mesma cláusula contratual.</w:t>
      </w:r>
    </w:p>
    <w:p>
      <w:pPr>
        <w:pStyle w:val="ListParagraph"/>
        <w:tabs>
          <w:tab w:val="clear" w:pos="720"/>
          <w:tab w:val="left" w:pos="284" w:leader="none"/>
        </w:tabs>
        <w:spacing w:lineRule="auto" w:line="276" w:before="4" w:after="4"/>
        <w:ind w:hanging="0" w:left="0"/>
        <w:contextualSpacing/>
        <w:jc w:val="both"/>
        <w:rPr/>
      </w:pPr>
      <w:r>
        <w:rPr>
          <w:rFonts w:eastAsia="Arial" w:cs="Arial" w:ascii="Times New Roman" w:hAnsi="Times New Roman"/>
          <w:b/>
          <w:bCs/>
          <w:color w:val="00000A"/>
          <w:sz w:val="22"/>
          <w:szCs w:val="22"/>
          <w:shd w:fill="auto" w:val="clear"/>
        </w:rPr>
        <w:tab/>
        <w:t>17.6.</w:t>
      </w:r>
      <w:r>
        <w:rPr>
          <w:rFonts w:eastAsia="Arial" w:cs="Arial" w:ascii="Times New Roman" w:hAnsi="Times New Roman"/>
          <w:color w:val="00000A"/>
          <w:sz w:val="22"/>
          <w:szCs w:val="22"/>
          <w:shd w:fill="auto" w:val="clear"/>
        </w:rPr>
        <w:t xml:space="preserve"> O prazo de vigência da Contratação é de 12 meses prorrogável conforme previsão no instrumento contratual ou no termo de referência.</w:t>
      </w:r>
    </w:p>
    <w:p>
      <w:pPr>
        <w:pStyle w:val="ListParagraph"/>
        <w:tabs>
          <w:tab w:val="clear" w:pos="720"/>
          <w:tab w:val="left" w:pos="284" w:leader="none"/>
        </w:tabs>
        <w:spacing w:lineRule="auto" w:line="276" w:before="4" w:after="4"/>
        <w:ind w:hanging="0" w:left="0"/>
        <w:contextualSpacing/>
        <w:jc w:val="both"/>
        <w:rPr/>
      </w:pPr>
      <w:r>
        <w:rPr>
          <w:rFonts w:eastAsia="Arial" w:cs="Arial" w:ascii="Times New Roman" w:hAnsi="Times New Roman"/>
          <w:b/>
          <w:bCs/>
          <w:color w:val="00000A"/>
          <w:sz w:val="22"/>
          <w:szCs w:val="22"/>
          <w:shd w:fill="auto" w:val="clear"/>
        </w:rPr>
        <w:tab/>
        <w:t>17.7.</w:t>
      </w:r>
      <w:r>
        <w:rPr>
          <w:rFonts w:eastAsia="Arial" w:cs="Arial" w:ascii="Times New Roman" w:hAnsi="Times New Roman"/>
          <w:b/>
          <w:color w:val="00000A"/>
          <w:sz w:val="22"/>
          <w:szCs w:val="22"/>
          <w:shd w:fill="auto" w:val="clear"/>
        </w:rPr>
        <w:t xml:space="preserve"> </w:t>
      </w:r>
      <w:r>
        <w:rPr>
          <w:rFonts w:eastAsia="Arial" w:cs="Arial" w:ascii="Times New Roman" w:hAnsi="Times New Roman"/>
          <w:color w:val="00000A"/>
          <w:sz w:val="22"/>
          <w:szCs w:val="22"/>
          <w:shd w:fill="auto" w:val="clear"/>
        </w:rPr>
        <w:t xml:space="preserve">Previamente à contratação a Administração realizará consulta ao </w:t>
      </w:r>
      <w:r>
        <w:rPr>
          <w:rFonts w:eastAsia="Arial" w:cs="Arial" w:ascii="Times New Roman" w:hAnsi="Times New Roman"/>
          <w:color w:val="00000A"/>
          <w:sz w:val="22"/>
          <w:szCs w:val="22"/>
        </w:rPr>
        <w:t xml:space="preserve">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pPr>
        <w:pStyle w:val="ListParagraph"/>
        <w:spacing w:lineRule="auto" w:line="276" w:before="4" w:after="4"/>
        <w:ind w:firstLine="567" w:left="0"/>
        <w:contextualSpacing/>
        <w:jc w:val="both"/>
        <w:rPr/>
      </w:pPr>
      <w:r>
        <w:rPr>
          <w:rFonts w:eastAsia="Arial" w:cs="Arial" w:ascii="Times New Roman" w:hAnsi="Times New Roman"/>
          <w:b/>
          <w:bCs/>
          <w:color w:val="00000A"/>
          <w:sz w:val="22"/>
          <w:szCs w:val="22"/>
        </w:rPr>
        <w:t xml:space="preserve">17.7.1. </w:t>
      </w:r>
      <w:r>
        <w:rPr>
          <w:rFonts w:eastAsia="Arial" w:cs="Arial" w:ascii="Times New Roman" w:hAnsi="Times New Roman"/>
          <w:color w:val="00000A"/>
          <w:sz w:val="22"/>
          <w:szCs w:val="22"/>
        </w:rPr>
        <w:t>Nos casos em que houver necessidade de assinatura do instrumento de contrato, e o fornecedor não estiver inscrito no SICAF, este deverá proceder ao seu cadastramento, sem ônus, antes da contratação.</w:t>
      </w:r>
    </w:p>
    <w:p>
      <w:pPr>
        <w:pStyle w:val="ListParagraph"/>
        <w:spacing w:lineRule="auto" w:line="276" w:before="4" w:after="4"/>
        <w:ind w:firstLine="567" w:left="0"/>
        <w:contextualSpacing/>
        <w:jc w:val="both"/>
        <w:rPr/>
      </w:pPr>
      <w:r>
        <w:rPr>
          <w:rFonts w:eastAsia="Arial" w:cs="Arial" w:ascii="Times New Roman" w:hAnsi="Times New Roman"/>
          <w:b/>
          <w:bCs/>
          <w:color w:val="00000A"/>
          <w:sz w:val="22"/>
          <w:szCs w:val="22"/>
        </w:rPr>
        <w:t>17.7.2.</w:t>
      </w:r>
      <w:r>
        <w:rPr>
          <w:rFonts w:eastAsia="Arial" w:cs="Arial" w:ascii="Times New Roman" w:hAnsi="Times New Roman"/>
          <w:color w:val="00000A"/>
          <w:sz w:val="22"/>
          <w:szCs w:val="22"/>
        </w:rPr>
        <w:t xml:space="preserve"> Na hipótese de irregularidade do registro no SICAF, o contratado deverá regularizar a sua situação perante o cadastro no prazo de até 05 (cinco) dias úteis, sob pena de aplicação das penalidades previstas no edital e anexos.</w:t>
      </w:r>
    </w:p>
    <w:p>
      <w:pPr>
        <w:pStyle w:val="ListParagraph"/>
        <w:spacing w:lineRule="auto" w:line="276" w:before="4" w:after="4"/>
        <w:ind w:firstLine="567" w:left="0"/>
        <w:contextualSpacing/>
        <w:jc w:val="both"/>
        <w:rPr/>
      </w:pPr>
      <w:r>
        <w:rPr>
          <w:rFonts w:eastAsia="Arial" w:cs="Arial" w:ascii="Times New Roman" w:hAnsi="Times New Roman"/>
          <w:b/>
          <w:bCs/>
          <w:color w:val="00000A"/>
          <w:sz w:val="22"/>
          <w:szCs w:val="22"/>
        </w:rPr>
        <w:t>17.7.3.</w:t>
      </w:r>
      <w:r>
        <w:rPr>
          <w:rFonts w:eastAsia="Arial" w:cs="Arial" w:ascii="Times New Roman" w:hAnsi="Times New Roman"/>
          <w:color w:val="00000A"/>
          <w:sz w:val="22"/>
          <w:szCs w:val="22"/>
        </w:rPr>
        <w:t xml:space="preserve"> Na assinatura do contrato ou da ata de registro de preços, será exigida a comprovação das condições de habilitação consignadas no edital, que deverão ser mantidas pelo licitante durante a vigência do contrato ou da ata de registro de preços.</w:t>
      </w:r>
    </w:p>
    <w:p>
      <w:pPr>
        <w:pStyle w:val="Normal"/>
        <w:tabs>
          <w:tab w:val="clear" w:pos="720"/>
          <w:tab w:val="left" w:pos="284" w:leader="none"/>
          <w:tab w:val="left" w:pos="567" w:leader="none"/>
        </w:tabs>
        <w:spacing w:lineRule="auto" w:line="276" w:before="4" w:after="4"/>
        <w:contextualSpacing/>
        <w:jc w:val="both"/>
        <w:rPr/>
      </w:pPr>
      <w:r>
        <w:rPr>
          <w:rFonts w:cs="Arial" w:ascii="Times New Roman" w:hAnsi="Times New Roman"/>
          <w:b/>
          <w:bCs/>
          <w:color w:val="00000A"/>
          <w:sz w:val="22"/>
          <w:szCs w:val="22"/>
        </w:rPr>
        <w:tab/>
        <w:t xml:space="preserve">17.8. </w:t>
      </w:r>
      <w:r>
        <w:rPr>
          <w:rFonts w:cs="Arial" w:ascii="Times New Roman" w:hAnsi="Times New Roman"/>
          <w:color w:val="00000A"/>
          <w:sz w:val="22"/>
          <w:szCs w:val="22"/>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pPr>
        <w:pStyle w:val="Normal"/>
        <w:tabs>
          <w:tab w:val="clear" w:pos="720"/>
          <w:tab w:val="left" w:pos="567" w:leader="none"/>
        </w:tabs>
        <w:spacing w:lineRule="auto" w:line="276" w:before="4" w:after="4"/>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ivel01"/>
        <w:spacing w:lineRule="auto" w:line="276" w:before="4" w:after="4"/>
        <w:contextualSpacing/>
        <w:rPr/>
      </w:pPr>
      <w:r>
        <w:rPr>
          <w:rFonts w:cs="Arial" w:ascii="Times New Roman" w:hAnsi="Times New Roman"/>
          <w:color w:val="00000A"/>
          <w:sz w:val="22"/>
          <w:szCs w:val="22"/>
        </w:rPr>
        <w:t>18. DO REAJUSTAMENTO EM SENTIDO GERAL</w:t>
      </w:r>
    </w:p>
    <w:p>
      <w:pPr>
        <w:pStyle w:val="Nivel01"/>
        <w:spacing w:lineRule="auto" w:line="276" w:before="4" w:after="4"/>
        <w:contextualSpacing/>
        <w:rPr>
          <w:rFonts w:ascii="Times New Roman" w:hAnsi="Times New Roman" w:eastAsia="SimSun" w:cs="Times New Roman"/>
          <w:b/>
          <w:bCs/>
          <w:color w:val="000000"/>
          <w:sz w:val="22"/>
          <w:szCs w:val="22"/>
          <w:lang w:val="pt-BR" w:eastAsia="pt-BR" w:bidi="ar-SA"/>
        </w:rPr>
      </w:pPr>
      <w:r>
        <w:rPr>
          <w:rFonts w:eastAsia="SimSun" w:cs="Times New Roman" w:ascii="Times New Roman" w:hAnsi="Times New Roman"/>
          <w:b/>
          <w:bCs/>
          <w:color w:val="000000"/>
          <w:sz w:val="22"/>
          <w:szCs w:val="22"/>
          <w:lang w:val="pt-BR" w:eastAsia="pt-BR" w:bidi="ar-SA"/>
        </w:rPr>
      </w:r>
    </w:p>
    <w:p>
      <w:pPr>
        <w:pStyle w:val="Nivel01"/>
        <w:tabs>
          <w:tab w:val="left" w:pos="284" w:leader="none"/>
          <w:tab w:val="left" w:pos="567" w:leader="none"/>
        </w:tabs>
        <w:spacing w:lineRule="auto" w:line="276" w:before="4" w:after="4"/>
        <w:contextualSpacing/>
        <w:jc w:val="both"/>
        <w:rPr/>
      </w:pPr>
      <w:r>
        <w:rPr>
          <w:rFonts w:cs="Arial" w:ascii="Times New Roman" w:hAnsi="Times New Roman"/>
          <w:b/>
          <w:bCs/>
          <w:color w:val="00000A"/>
          <w:sz w:val="22"/>
          <w:szCs w:val="22"/>
        </w:rPr>
        <w:tab/>
        <w:t xml:space="preserve">18.1. </w:t>
      </w:r>
      <w:r>
        <w:rPr>
          <w:rFonts w:cs="Arial" w:ascii="Times New Roman" w:hAnsi="Times New Roman"/>
          <w:b w:val="false"/>
          <w:bCs w:val="false"/>
          <w:color w:val="00000A"/>
          <w:sz w:val="22"/>
          <w:szCs w:val="22"/>
        </w:rPr>
        <w:t>A avença a ser firmada poderá sofrer reajuste de preços, obedecendo a seguinte regra:</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18.1.1.</w:t>
      </w:r>
      <w:r>
        <w:rPr>
          <w:rFonts w:cs="Arial" w:ascii="Times New Roman" w:hAnsi="Times New Roman"/>
          <w:color w:val="00000A"/>
          <w:sz w:val="22"/>
          <w:szCs w:val="22"/>
        </w:rPr>
        <w:t xml:space="preserve"> o primeiro reajustamento poderá ocorrer após decorridos 12 (doze) meses, contados </w:t>
        <w:tab/>
        <w:t>a partir da data efetiva da proposta de preços;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18.1.2.</w:t>
      </w:r>
      <w:r>
        <w:rPr>
          <w:rFonts w:cs="Arial" w:ascii="Times New Roman" w:hAnsi="Times New Roman"/>
          <w:color w:val="00000A"/>
          <w:sz w:val="22"/>
          <w:szCs w:val="22"/>
        </w:rPr>
        <w:t xml:space="preserve"> os reajustes subsequentes ocorrerão decorridos 12 (doze) meses, a contar da data do primeiro reajustamento;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18.1.3.</w:t>
      </w:r>
      <w:r>
        <w:rPr>
          <w:rFonts w:cs="Arial" w:ascii="Times New Roman" w:hAnsi="Times New Roman"/>
          <w:color w:val="00000A"/>
          <w:sz w:val="22"/>
          <w:szCs w:val="22"/>
        </w:rPr>
        <w:t xml:space="preserve"> será admitido pela Administração o reajustamento com base no índice do IPCA, </w:t>
        <w:tab/>
        <w:t>sobre o valor praticado no contrato;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18.1.4.</w:t>
      </w:r>
      <w:r>
        <w:rPr>
          <w:rFonts w:cs="Arial" w:ascii="Times New Roman" w:hAnsi="Times New Roman"/>
          <w:color w:val="00000A"/>
          <w:sz w:val="22"/>
          <w:szCs w:val="22"/>
        </w:rPr>
        <w:t xml:space="preserve"> caso ocorra a extinção do índice fixado pela Administração, as partes em comum acordo, elegerão novo índice para reajuste;</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18.1.5.</w:t>
      </w:r>
      <w:r>
        <w:rPr>
          <w:rFonts w:cs="Arial" w:ascii="Times New Roman" w:hAnsi="Times New Roman"/>
          <w:color w:val="00000A"/>
          <w:sz w:val="22"/>
          <w:szCs w:val="22"/>
        </w:rPr>
        <w:t xml:space="preserve"> o preço contratado será reajustado para mais ou para menos, de acordo com a variação do índice indicado no item 18.1.3. com base na fórmula abaixo, vedada a periodicidade de reajuste inferior a um ano (12 meses), contados da data limite para apresentação da proposta (redação dada pelo Decreto nº 1.110, de 13/04/1994) - Decreto nº 1054, de 07/02/1994:</w:t>
      </w:r>
    </w:p>
    <w:p>
      <w:pPr>
        <w:pStyle w:val="ListParagraph"/>
        <w:spacing w:lineRule="auto" w:line="276" w:before="4" w:after="4"/>
        <w:ind w:hanging="0"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color w:val="00000A"/>
          <w:sz w:val="22"/>
          <w:szCs w:val="22"/>
        </w:rPr>
        <w:tab/>
        <w:t xml:space="preserve">I - Io </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color w:val="00000A"/>
          <w:sz w:val="22"/>
          <w:szCs w:val="22"/>
        </w:rPr>
        <w:tab/>
        <w:t>R = V _______ , onde:</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color w:val="00000A"/>
          <w:sz w:val="22"/>
          <w:szCs w:val="22"/>
        </w:rPr>
        <w:tab/>
        <w:t xml:space="preserve">Io </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color w:val="00000A"/>
          <w:sz w:val="22"/>
          <w:szCs w:val="22"/>
        </w:rPr>
        <w:tab/>
        <w:t xml:space="preserve">R = valor do reajuste procurado; </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color w:val="00000A"/>
          <w:sz w:val="22"/>
          <w:szCs w:val="22"/>
        </w:rPr>
        <w:tab/>
        <w:t>V = valor contratual do fornecimento, obra ou serviço a ser reajustado;</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color w:val="00000A"/>
          <w:sz w:val="22"/>
          <w:szCs w:val="22"/>
        </w:rPr>
        <w:tab/>
        <w:t xml:space="preserve">Io = índice inicial - refere-se ao índice de custos ou de preços correspondente à data fixada </w:t>
        <w:tab/>
        <w:t xml:space="preserve">para entrega da proposta da licitação; </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color w:val="00000A"/>
          <w:sz w:val="22"/>
          <w:szCs w:val="22"/>
        </w:rPr>
        <w:tab/>
        <w:t>I= índice relativo à data do reajuste</w:t>
      </w:r>
    </w:p>
    <w:p>
      <w:pPr>
        <w:pStyle w:val="ListParagraph"/>
        <w:spacing w:lineRule="auto" w:line="276" w:before="4" w:after="4"/>
        <w:ind w:firstLine="567" w:left="0"/>
        <w:contextualSpacing/>
        <w:jc w:val="both"/>
        <w:rPr>
          <w:rFonts w:ascii="Times New Roman" w:hAnsi="Times New Roman" w:cs="Arial"/>
          <w:b/>
          <w:bCs/>
          <w:color w:val="00000A"/>
          <w:sz w:val="22"/>
          <w:szCs w:val="22"/>
        </w:rPr>
      </w:pPr>
      <w:r>
        <w:rPr>
          <w:rFonts w:cs="Arial" w:ascii="Times New Roman" w:hAnsi="Times New Roman"/>
          <w:b/>
          <w:bCs/>
          <w:color w:val="00000A"/>
          <w:sz w:val="22"/>
          <w:szCs w:val="22"/>
        </w:rPr>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18.1.6.</w:t>
      </w:r>
      <w:r>
        <w:rPr>
          <w:rFonts w:cs="Arial" w:ascii="Times New Roman" w:hAnsi="Times New Roman"/>
          <w:color w:val="00000A"/>
          <w:sz w:val="22"/>
          <w:szCs w:val="22"/>
        </w:rPr>
        <w:t xml:space="preserve"> Fica ressalvada a possibilidade de alteração das condições para a concessão de reajustes em face da superveniência de normas federais aplicáveis à espécie.</w:t>
      </w:r>
    </w:p>
    <w:p>
      <w:pPr>
        <w:pStyle w:val="BodyText"/>
        <w:spacing w:lineRule="auto" w:line="276" w:before="4" w:after="4"/>
        <w:contextualSpacing/>
        <w:rPr>
          <w:rFonts w:ascii="Times New Roman" w:hAnsi="Times New Roman"/>
          <w:b/>
          <w:bCs/>
          <w:color w:val="00000A"/>
          <w:sz w:val="22"/>
          <w:szCs w:val="22"/>
        </w:rPr>
      </w:pPr>
      <w:r>
        <w:rPr>
          <w:rFonts w:ascii="Times New Roman" w:hAnsi="Times New Roman"/>
          <w:b/>
          <w:bCs/>
          <w:color w:val="00000A"/>
          <w:sz w:val="22"/>
          <w:szCs w:val="22"/>
        </w:rPr>
      </w:r>
    </w:p>
    <w:p>
      <w:pPr>
        <w:pStyle w:val="BodyText"/>
        <w:spacing w:lineRule="auto" w:line="276" w:before="4" w:after="4"/>
        <w:contextualSpacing/>
        <w:rPr/>
      </w:pPr>
      <w:r>
        <w:rPr>
          <w:rFonts w:ascii="Times New Roman" w:hAnsi="Times New Roman"/>
          <w:b/>
          <w:bCs/>
          <w:color w:val="00000A"/>
          <w:sz w:val="22"/>
          <w:szCs w:val="22"/>
        </w:rPr>
        <w:t>19. DO RECEBIMENTO DO OBJETO E DA FISCALIZAÇÃO</w:t>
      </w:r>
    </w:p>
    <w:p>
      <w:pPr>
        <w:pStyle w:val="BodyText"/>
        <w:spacing w:lineRule="auto" w:line="276" w:before="4" w:after="4"/>
        <w:contextualSpacing/>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BodyText"/>
        <w:tabs>
          <w:tab w:val="clear" w:pos="720"/>
          <w:tab w:val="left" w:pos="338" w:leader="none"/>
        </w:tabs>
        <w:spacing w:lineRule="auto" w:line="276" w:before="4" w:after="4"/>
        <w:contextualSpacing/>
        <w:rPr/>
      </w:pPr>
      <w:r>
        <w:rPr>
          <w:rFonts w:ascii="Times New Roman" w:hAnsi="Times New Roman"/>
          <w:b/>
          <w:bCs/>
          <w:color w:val="00000A"/>
          <w:sz w:val="22"/>
          <w:szCs w:val="22"/>
        </w:rPr>
        <w:tab/>
        <w:t xml:space="preserve">19.1. </w:t>
      </w:r>
      <w:r>
        <w:rPr>
          <w:rFonts w:ascii="Times New Roman" w:hAnsi="Times New Roman"/>
          <w:color w:val="00000A"/>
          <w:sz w:val="22"/>
          <w:szCs w:val="22"/>
        </w:rPr>
        <w:t>Executado o contrato, o seu objeto será recebido:</w:t>
      </w:r>
    </w:p>
    <w:p>
      <w:pPr>
        <w:pStyle w:val="BodyText"/>
        <w:tabs>
          <w:tab w:val="clear" w:pos="720"/>
          <w:tab w:val="left" w:pos="567" w:leader="none"/>
        </w:tabs>
        <w:spacing w:lineRule="auto" w:line="276" w:before="4" w:after="4"/>
        <w:ind w:hanging="0"/>
        <w:contextualSpacing/>
        <w:rPr/>
      </w:pPr>
      <w:r>
        <w:rPr>
          <w:rFonts w:ascii="Times New Roman" w:hAnsi="Times New Roman"/>
          <w:b/>
          <w:bCs/>
          <w:color w:val="00000A"/>
          <w:sz w:val="22"/>
          <w:szCs w:val="22"/>
        </w:rPr>
        <w:tab/>
        <w:t>19.1.1.</w:t>
      </w:r>
      <w:r>
        <w:rPr>
          <w:rFonts w:ascii="Times New Roman" w:hAnsi="Times New Roman"/>
          <w:color w:val="00000A"/>
          <w:sz w:val="22"/>
          <w:szCs w:val="22"/>
        </w:rPr>
        <w:t xml:space="preserve"> em se tratando de obras e serviços:</w:t>
      </w:r>
    </w:p>
    <w:p>
      <w:pPr>
        <w:pStyle w:val="BodyText"/>
        <w:tabs>
          <w:tab w:val="clear" w:pos="720"/>
          <w:tab w:val="left" w:pos="567" w:leader="none"/>
        </w:tabs>
        <w:spacing w:lineRule="auto" w:line="276" w:before="4" w:after="4"/>
        <w:contextualSpacing/>
        <w:jc w:val="both"/>
        <w:rPr/>
      </w:pPr>
      <w:r>
        <w:rPr>
          <w:rFonts w:ascii="Times New Roman" w:hAnsi="Times New Roman"/>
          <w:color w:val="00000A"/>
          <w:sz w:val="22"/>
          <w:szCs w:val="22"/>
        </w:rPr>
        <w:tab/>
        <w:t>a) provisoriamente, pelo responsável por seu acompanhamento e fiscalização, mediante termo circunstanciado, assinado pelas partes em até 15 (quinze) dias da comunicação escrita do contratado;</w:t>
      </w:r>
    </w:p>
    <w:p>
      <w:pPr>
        <w:pStyle w:val="BodyText"/>
        <w:tabs>
          <w:tab w:val="clear" w:pos="720"/>
          <w:tab w:val="left" w:pos="567" w:leader="none"/>
        </w:tabs>
        <w:spacing w:lineRule="auto" w:line="276" w:before="4" w:after="4"/>
        <w:contextualSpacing/>
        <w:jc w:val="both"/>
        <w:rPr/>
      </w:pPr>
      <w:r>
        <w:rPr>
          <w:rFonts w:ascii="Times New Roman" w:hAnsi="Times New Roman"/>
          <w:color w:val="00000A"/>
          <w:sz w:val="22"/>
          <w:szCs w:val="22"/>
        </w:rPr>
        <w:tab/>
        <w:t>b) definitivamente, por empregado ou comissão designada pela autoridade competente, mediante termo circunstanciado, assinado pelas partes, após o decurso do prazo de observação, ou vistoria, que comprove a adequação do objeto aos termos contratuais, observado o disposto no art. 81 da Lei 13.303/2016.</w:t>
      </w:r>
    </w:p>
    <w:p>
      <w:pPr>
        <w:pStyle w:val="BodyText"/>
        <w:tabs>
          <w:tab w:val="clear" w:pos="720"/>
          <w:tab w:val="left" w:pos="567" w:leader="none"/>
        </w:tabs>
        <w:spacing w:lineRule="auto" w:line="276" w:before="4" w:after="4"/>
        <w:ind w:hanging="0"/>
        <w:contextualSpacing/>
        <w:rPr/>
      </w:pPr>
      <w:r>
        <w:rPr>
          <w:rFonts w:ascii="Times New Roman" w:hAnsi="Times New Roman"/>
          <w:b/>
          <w:bCs/>
          <w:color w:val="00000A"/>
          <w:sz w:val="22"/>
          <w:szCs w:val="22"/>
        </w:rPr>
        <w:tab/>
        <w:t>19.1.2.</w:t>
      </w:r>
      <w:r>
        <w:rPr>
          <w:rFonts w:ascii="Times New Roman" w:hAnsi="Times New Roman"/>
          <w:color w:val="00000A"/>
          <w:sz w:val="22"/>
          <w:szCs w:val="22"/>
        </w:rPr>
        <w:t xml:space="preserve"> Em se tratando de compras ou de locação de equipamentos:</w:t>
      </w:r>
    </w:p>
    <w:p>
      <w:pPr>
        <w:pStyle w:val="BodyText"/>
        <w:tabs>
          <w:tab w:val="clear" w:pos="720"/>
          <w:tab w:val="left" w:pos="567" w:leader="none"/>
        </w:tabs>
        <w:spacing w:lineRule="auto" w:line="276" w:before="4" w:after="4"/>
        <w:contextualSpacing/>
        <w:jc w:val="both"/>
        <w:rPr/>
      </w:pPr>
      <w:r>
        <w:rPr>
          <w:rFonts w:ascii="Times New Roman" w:hAnsi="Times New Roman"/>
          <w:color w:val="00000A"/>
          <w:sz w:val="22"/>
          <w:szCs w:val="22"/>
        </w:rPr>
        <w:tab/>
        <w:t>a) provisoriamente, para efeito de posterior verificação da conformidade do material com a especificação;</w:t>
      </w:r>
    </w:p>
    <w:p>
      <w:pPr>
        <w:pStyle w:val="BodyText"/>
        <w:tabs>
          <w:tab w:val="clear" w:pos="720"/>
          <w:tab w:val="left" w:pos="567" w:leader="none"/>
        </w:tabs>
        <w:spacing w:lineRule="auto" w:line="276" w:before="4" w:after="4"/>
        <w:contextualSpacing/>
        <w:jc w:val="both"/>
        <w:rPr/>
      </w:pPr>
      <w:r>
        <w:rPr>
          <w:rFonts w:ascii="Times New Roman" w:hAnsi="Times New Roman"/>
          <w:color w:val="00000A"/>
          <w:sz w:val="22"/>
          <w:szCs w:val="22"/>
        </w:rPr>
        <w:tab/>
        <w:t>b) definitivamente, após a verificação da qualidade e quantidade do material e consequente aceitação.</w:t>
      </w:r>
    </w:p>
    <w:p>
      <w:pPr>
        <w:pStyle w:val="BodyText"/>
        <w:tabs>
          <w:tab w:val="clear" w:pos="720"/>
          <w:tab w:val="left" w:pos="567" w:leader="none"/>
        </w:tabs>
        <w:spacing w:lineRule="auto" w:line="276" w:before="4" w:after="4"/>
        <w:contextualSpacing/>
        <w:jc w:val="both"/>
        <w:rPr/>
      </w:pPr>
      <w:r>
        <w:rPr>
          <w:rFonts w:ascii="Times New Roman" w:hAnsi="Times New Roman"/>
          <w:color w:val="00000A"/>
          <w:sz w:val="22"/>
          <w:szCs w:val="22"/>
        </w:rPr>
        <w:tab/>
        <w:t>§1° Nos casos de aquisição de equipamentos de grande vulto, o recebimento far-se-á mediante termo circunstanciado e, nos demais, mediante recibo.</w:t>
      </w:r>
    </w:p>
    <w:p>
      <w:pPr>
        <w:pStyle w:val="BodyText"/>
        <w:tabs>
          <w:tab w:val="clear" w:pos="720"/>
          <w:tab w:val="left" w:pos="567" w:leader="none"/>
        </w:tabs>
        <w:spacing w:lineRule="auto" w:line="276" w:before="4" w:after="4"/>
        <w:contextualSpacing/>
        <w:jc w:val="both"/>
        <w:rPr/>
      </w:pPr>
      <w:r>
        <w:rPr>
          <w:rFonts w:ascii="Times New Roman" w:hAnsi="Times New Roman"/>
          <w:color w:val="00000A"/>
          <w:sz w:val="22"/>
          <w:szCs w:val="22"/>
        </w:rPr>
        <w:tab/>
        <w:t>§2° O recebimento provisório ou definitivo não exclui a responsabilidade civil pela solidez e segurança da obra ou do serviço, nem ético-profissional pela perfeita execução do contrato, dentro dos limites estabelecidos pela lei ou pelo contrato.</w:t>
      </w:r>
    </w:p>
    <w:p>
      <w:pPr>
        <w:pStyle w:val="BodyText"/>
        <w:tabs>
          <w:tab w:val="clear" w:pos="720"/>
          <w:tab w:val="left" w:pos="567" w:leader="none"/>
        </w:tabs>
        <w:spacing w:lineRule="auto" w:line="276" w:before="4" w:after="4"/>
        <w:contextualSpacing/>
        <w:jc w:val="both"/>
        <w:rPr/>
      </w:pPr>
      <w:r>
        <w:rPr>
          <w:rFonts w:ascii="Times New Roman" w:hAnsi="Times New Roman"/>
          <w:color w:val="00000A"/>
          <w:sz w:val="22"/>
          <w:szCs w:val="22"/>
        </w:rPr>
        <w:tab/>
        <w:t xml:space="preserve">§3° O prazo a que se refere a alínea "b" deste artigo não poderá ser superior a 90 (noventa) dias, salvo em casos excepcionais, devidamente justificados e previstos no edital, conforme o disposto no artigo </w:t>
      </w:r>
      <w:r>
        <w:rPr>
          <w:rFonts w:ascii="Times New Roman" w:hAnsi="Times New Roman"/>
          <w:b/>
          <w:color w:val="00000A"/>
          <w:sz w:val="22"/>
          <w:szCs w:val="22"/>
        </w:rPr>
        <w:t>182 § 3° do Regulamento de Licitações e Contratos da IMBEL.</w:t>
      </w:r>
    </w:p>
    <w:p>
      <w:pPr>
        <w:pStyle w:val="BodyText"/>
        <w:tabs>
          <w:tab w:val="clear" w:pos="720"/>
          <w:tab w:val="left" w:pos="567" w:leader="none"/>
        </w:tabs>
        <w:spacing w:lineRule="auto" w:line="276" w:before="4" w:after="4"/>
        <w:contextualSpacing/>
        <w:jc w:val="both"/>
        <w:rPr/>
      </w:pPr>
      <w:r>
        <w:rPr>
          <w:rFonts w:ascii="Times New Roman" w:hAnsi="Times New Roman"/>
          <w:color w:val="00000A"/>
          <w:sz w:val="22"/>
          <w:szCs w:val="22"/>
        </w:rPr>
        <w:tab/>
        <w:t>§4° Na hipótese de o termo circunstanciado ou a verificação a que se refere este artigo não ser, respectivamente, lavrado ou procedida dentro dos prazos fixados, reputar-se-ão como realizados, desde que comunicados à IMBEL® nos 15 (quinze) dias anteriores à exaustão dos mesmos.</w:t>
      </w:r>
    </w:p>
    <w:p>
      <w:pPr>
        <w:pStyle w:val="BodyText"/>
        <w:tabs>
          <w:tab w:val="clear" w:pos="720"/>
          <w:tab w:val="left" w:pos="338" w:leader="none"/>
        </w:tabs>
        <w:spacing w:lineRule="auto" w:line="276" w:before="4" w:after="4"/>
        <w:contextualSpacing/>
        <w:rPr/>
      </w:pPr>
      <w:r>
        <w:rPr>
          <w:rFonts w:ascii="Times New Roman" w:hAnsi="Times New Roman"/>
          <w:b/>
          <w:bCs/>
          <w:color w:val="00000A"/>
          <w:sz w:val="22"/>
          <w:szCs w:val="22"/>
        </w:rPr>
        <w:tab/>
        <w:t>19.2.</w:t>
      </w:r>
      <w:r>
        <w:rPr>
          <w:rFonts w:ascii="Times New Roman" w:hAnsi="Times New Roman"/>
          <w:color w:val="00000A"/>
          <w:sz w:val="22"/>
          <w:szCs w:val="22"/>
        </w:rPr>
        <w:t xml:space="preserve"> Poderá ser dispensado o recebimento provisório nos seguintes casos:</w:t>
      </w:r>
    </w:p>
    <w:p>
      <w:pPr>
        <w:pStyle w:val="BodyText"/>
        <w:tabs>
          <w:tab w:val="clear" w:pos="720"/>
          <w:tab w:val="left" w:pos="567" w:leader="none"/>
        </w:tabs>
        <w:spacing w:lineRule="auto" w:line="276" w:before="4" w:after="4"/>
        <w:contextualSpacing/>
        <w:rPr/>
      </w:pPr>
      <w:r>
        <w:rPr>
          <w:rFonts w:ascii="Times New Roman" w:hAnsi="Times New Roman"/>
          <w:color w:val="00000A"/>
          <w:sz w:val="22"/>
          <w:szCs w:val="22"/>
        </w:rPr>
        <w:tab/>
        <w:t>I - gêneros perecíveis e alimentação preparada;</w:t>
      </w:r>
    </w:p>
    <w:p>
      <w:pPr>
        <w:pStyle w:val="BodyText"/>
        <w:tabs>
          <w:tab w:val="clear" w:pos="720"/>
          <w:tab w:val="left" w:pos="567" w:leader="none"/>
        </w:tabs>
        <w:spacing w:lineRule="auto" w:line="276" w:before="4" w:after="4"/>
        <w:contextualSpacing/>
        <w:rPr/>
      </w:pPr>
      <w:r>
        <w:rPr>
          <w:rFonts w:ascii="Times New Roman" w:hAnsi="Times New Roman"/>
          <w:color w:val="00000A"/>
          <w:sz w:val="22"/>
          <w:szCs w:val="22"/>
        </w:rPr>
        <w:tab/>
        <w:t>II - serviços profissionais;</w:t>
      </w:r>
    </w:p>
    <w:p>
      <w:pPr>
        <w:pStyle w:val="BodyText"/>
        <w:tabs>
          <w:tab w:val="clear" w:pos="720"/>
          <w:tab w:val="left" w:pos="567" w:leader="none"/>
        </w:tabs>
        <w:spacing w:lineRule="auto" w:line="276" w:before="4" w:after="4"/>
        <w:contextualSpacing/>
        <w:jc w:val="both"/>
        <w:rPr/>
      </w:pPr>
      <w:r>
        <w:rPr>
          <w:rFonts w:ascii="Times New Roman" w:hAnsi="Times New Roman"/>
          <w:color w:val="00000A"/>
          <w:sz w:val="22"/>
          <w:szCs w:val="22"/>
        </w:rPr>
        <w:tab/>
        <w:t>III - obras e serviços de valor até o previsto no inciso I do art. 32 do Regulamento de Licitações e Contratos da IMBEL, desde que não se componham de aparelhos, equipamentos e instalações sujeitos à verificação de funcionamento e produtividade.</w:t>
      </w:r>
    </w:p>
    <w:p>
      <w:pPr>
        <w:pStyle w:val="BodyText"/>
        <w:spacing w:lineRule="auto" w:line="276" w:before="4" w:after="4"/>
        <w:contextualSpacing/>
        <w:rPr/>
      </w:pPr>
      <w:r>
        <w:rPr>
          <w:rFonts w:ascii="Times New Roman" w:hAnsi="Times New Roman"/>
          <w:color w:val="00000A"/>
          <w:sz w:val="22"/>
          <w:szCs w:val="22"/>
        </w:rPr>
        <w:t>Parágrafo Único. Nos casos deste artigo, o recebimento será feito mediante recibo.</w:t>
      </w:r>
    </w:p>
    <w:p>
      <w:pPr>
        <w:pStyle w:val="BodyText"/>
        <w:tabs>
          <w:tab w:val="clear" w:pos="720"/>
          <w:tab w:val="left" w:pos="338" w:leader="none"/>
        </w:tabs>
        <w:spacing w:lineRule="auto" w:line="276" w:before="4" w:after="4"/>
        <w:contextualSpacing/>
        <w:jc w:val="both"/>
        <w:rPr/>
      </w:pPr>
      <w:r>
        <w:rPr>
          <w:rFonts w:ascii="Times New Roman" w:hAnsi="Times New Roman"/>
          <w:b/>
          <w:bCs/>
          <w:color w:val="00000A"/>
          <w:sz w:val="22"/>
          <w:szCs w:val="22"/>
        </w:rPr>
        <w:tab/>
        <w:t xml:space="preserve">19.3. </w:t>
      </w:r>
      <w:r>
        <w:rPr>
          <w:rFonts w:ascii="Times New Roman" w:hAnsi="Times New Roman"/>
          <w:color w:val="00000A"/>
          <w:sz w:val="22"/>
          <w:szCs w:val="22"/>
        </w:rPr>
        <w:t>Salvo disposições em contrário, constantes do edital, os ensaios, testes e demais provas exigidas por normas técnicas oficiais para a boa execução do objeto do contrato correm por conta do contratado.</w:t>
      </w:r>
    </w:p>
    <w:p>
      <w:pPr>
        <w:pStyle w:val="BodyText"/>
        <w:tabs>
          <w:tab w:val="clear" w:pos="720"/>
          <w:tab w:val="left" w:pos="338" w:leader="none"/>
        </w:tabs>
        <w:spacing w:lineRule="auto" w:line="276" w:before="4" w:after="4"/>
        <w:contextualSpacing/>
        <w:jc w:val="both"/>
        <w:rPr/>
      </w:pPr>
      <w:r>
        <w:rPr>
          <w:rFonts w:ascii="Times New Roman" w:hAnsi="Times New Roman"/>
          <w:b/>
          <w:bCs/>
          <w:color w:val="00000A"/>
          <w:sz w:val="22"/>
          <w:szCs w:val="22"/>
        </w:rPr>
        <w:tab/>
        <w:t>19.4.</w:t>
      </w:r>
      <w:r>
        <w:rPr>
          <w:rFonts w:ascii="Times New Roman" w:hAnsi="Times New Roman"/>
          <w:color w:val="00000A"/>
          <w:sz w:val="22"/>
          <w:szCs w:val="22"/>
        </w:rPr>
        <w:t xml:space="preserve"> A IMBEL® rejeitará, no todo ou em parte, obra, serviço ou fornecimento executado em desacordo com o contrato, inclusive quanto às características dos materiais.</w:t>
      </w:r>
    </w:p>
    <w:p>
      <w:pPr>
        <w:pStyle w:val="BodyText"/>
        <w:spacing w:lineRule="auto" w:line="276" w:before="4" w:after="4"/>
        <w:contextualSpacing/>
        <w:jc w:val="both"/>
        <w:rPr/>
      </w:pPr>
      <w:r>
        <w:rPr>
          <w:rFonts w:ascii="Times New Roman" w:hAnsi="Times New Roman"/>
          <w:color w:val="00000A"/>
          <w:sz w:val="22"/>
          <w:szCs w:val="22"/>
        </w:rPr>
        <w:t>Parágrafo Único. Em havendo divergência entre quantidade do objeto contratado em relação ao material entregue, a IMBEL® comunicará à contratada, que deverá providenciar a entrega do material faltante, sem custos adicionais à contratante.</w:t>
      </w:r>
    </w:p>
    <w:p>
      <w:pPr>
        <w:pStyle w:val="BodyText"/>
        <w:tabs>
          <w:tab w:val="clear" w:pos="720"/>
          <w:tab w:val="left" w:pos="338" w:leader="none"/>
        </w:tabs>
        <w:spacing w:lineRule="auto" w:line="276" w:before="4" w:after="4"/>
        <w:contextualSpacing/>
        <w:jc w:val="both"/>
        <w:rPr/>
      </w:pPr>
      <w:r>
        <w:rPr>
          <w:rFonts w:ascii="Times New Roman" w:hAnsi="Times New Roman"/>
          <w:b/>
          <w:bCs/>
          <w:color w:val="00000A"/>
          <w:sz w:val="22"/>
          <w:szCs w:val="22"/>
        </w:rPr>
        <w:tab/>
        <w:t>19.5.</w:t>
      </w:r>
      <w:r>
        <w:rPr>
          <w:rFonts w:ascii="Times New Roman" w:hAnsi="Times New Roman"/>
          <w:color w:val="00000A"/>
          <w:sz w:val="22"/>
          <w:szCs w:val="22"/>
        </w:rPr>
        <w:t xml:space="preserve"> O recebimento de material cujo valor seja superior ao dobro do valor estabelecido no inciso II do artigo 32 do </w:t>
      </w:r>
      <w:bookmarkStart w:id="0" w:name="__DdeLink__810_3183091950"/>
      <w:r>
        <w:rPr>
          <w:rFonts w:ascii="Times New Roman" w:hAnsi="Times New Roman"/>
          <w:color w:val="00000A"/>
          <w:sz w:val="22"/>
          <w:szCs w:val="22"/>
        </w:rPr>
        <w:t>Regulamento de Licitações e Contratos da IMBEL</w:t>
      </w:r>
      <w:bookmarkEnd w:id="0"/>
      <w:r>
        <w:rPr>
          <w:rFonts w:ascii="Times New Roman" w:hAnsi="Times New Roman"/>
          <w:color w:val="00000A"/>
          <w:sz w:val="22"/>
          <w:szCs w:val="22"/>
        </w:rPr>
        <w:t xml:space="preserve"> deverá ser realizado por comissão especialmente constituída de, no mínimo, três membros.</w:t>
      </w:r>
    </w:p>
    <w:p>
      <w:pPr>
        <w:pStyle w:val="BodyText"/>
        <w:tabs>
          <w:tab w:val="clear" w:pos="720"/>
          <w:tab w:val="left" w:pos="338" w:leader="none"/>
        </w:tabs>
        <w:spacing w:lineRule="auto" w:line="276" w:before="4" w:after="4"/>
        <w:contextualSpacing/>
        <w:jc w:val="both"/>
        <w:rPr/>
      </w:pPr>
      <w:r>
        <w:rPr>
          <w:rFonts w:ascii="Times New Roman" w:hAnsi="Times New Roman"/>
          <w:b/>
          <w:bCs/>
          <w:color w:val="00000A"/>
          <w:sz w:val="22"/>
          <w:szCs w:val="22"/>
          <w:lang w:eastAsia="en-US"/>
        </w:rPr>
        <w:tab/>
        <w:t>1</w:t>
      </w:r>
      <w:r>
        <w:rPr>
          <w:rFonts w:ascii="Times New Roman" w:hAnsi="Times New Roman"/>
          <w:b/>
          <w:bCs/>
          <w:color w:val="auto"/>
          <w:sz w:val="22"/>
          <w:szCs w:val="22"/>
          <w:lang w:eastAsia="en-US"/>
        </w:rPr>
        <w:t>9.6.</w:t>
      </w:r>
      <w:r>
        <w:rPr>
          <w:rFonts w:ascii="Times New Roman" w:hAnsi="Times New Roman"/>
          <w:b w:val="false"/>
          <w:bCs w:val="false"/>
          <w:color w:val="auto"/>
          <w:sz w:val="22"/>
          <w:szCs w:val="22"/>
          <w:highlight w:val="white"/>
          <w:lang w:eastAsia="en-US"/>
        </w:rPr>
        <w:t xml:space="preserve"> </w:t>
      </w:r>
      <w:r>
        <w:rPr>
          <w:rStyle w:val="Emphasis"/>
          <w:rFonts w:eastAsia="Arial Narrow" w:cs="Times New Roman" w:ascii="Times New Roman" w:hAnsi="Times New Roman"/>
          <w:b w:val="false"/>
          <w:bCs w:val="false"/>
          <w:i w:val="false"/>
          <w:iCs w:val="false"/>
          <w:color w:val="auto"/>
          <w:sz w:val="22"/>
          <w:szCs w:val="22"/>
          <w:highlight w:val="white"/>
          <w:lang w:eastAsia="ar-SA"/>
        </w:rPr>
        <w:t>O objeto desta licitação deverá ser entregue na Indústria de Material Bélico do Brasil – IMBEL/FI – Av. Cel. Aventino Ribeiro, 1.099, Bairro Imbel, Itajubá-MG, CEP: 37501-345, após o recebimento da respectiva Nota de Empenho, dispondo o contratado do</w:t>
      </w:r>
      <w:r>
        <w:rPr>
          <w:rStyle w:val="Emphasis"/>
          <w:rFonts w:eastAsia="Arial Narrow" w:cs="Times New Roman" w:ascii="Times New Roman" w:hAnsi="Times New Roman"/>
          <w:b/>
          <w:bCs/>
          <w:i w:val="false"/>
          <w:iCs w:val="false"/>
          <w:color w:val="auto"/>
          <w:sz w:val="22"/>
          <w:szCs w:val="22"/>
          <w:highlight w:val="white"/>
          <w:lang w:eastAsia="ar-SA"/>
        </w:rPr>
        <w:t xml:space="preserve"> prazo previsto no TR</w:t>
      </w:r>
      <w:r>
        <w:rPr>
          <w:rStyle w:val="Emphasis"/>
          <w:rFonts w:eastAsia="Arial Narrow" w:cs="Times New Roman" w:ascii="Times New Roman" w:hAnsi="Times New Roman"/>
          <w:b/>
          <w:bCs/>
          <w:i w:val="false"/>
          <w:iCs w:val="false"/>
          <w:color w:val="2A6099"/>
          <w:sz w:val="22"/>
          <w:szCs w:val="22"/>
          <w:highlight w:val="white"/>
          <w:lang w:eastAsia="ar-SA"/>
        </w:rPr>
        <w:t>.</w:t>
      </w:r>
    </w:p>
    <w:p>
      <w:pPr>
        <w:pStyle w:val="BodyText"/>
        <w:tabs>
          <w:tab w:val="clear" w:pos="720"/>
          <w:tab w:val="left" w:pos="338" w:leader="none"/>
        </w:tabs>
        <w:spacing w:lineRule="auto" w:line="276" w:before="4" w:after="4"/>
        <w:contextualSpacing/>
        <w:jc w:val="both"/>
        <w:rPr>
          <w:rFonts w:ascii="Times New Roman" w:hAnsi="Times New Roman" w:cs="Arial"/>
          <w:color w:val="00000A"/>
          <w:sz w:val="22"/>
          <w:szCs w:val="22"/>
          <w:lang w:eastAsia="en-US"/>
        </w:rPr>
      </w:pPr>
      <w:r>
        <w:rPr>
          <w:rFonts w:cs="Arial" w:ascii="Times New Roman" w:hAnsi="Times New Roman"/>
          <w:color w:val="00000A"/>
          <w:sz w:val="22"/>
          <w:szCs w:val="22"/>
          <w:lang w:eastAsia="en-US"/>
        </w:rPr>
      </w:r>
    </w:p>
    <w:p>
      <w:pPr>
        <w:pStyle w:val="Nivel01"/>
        <w:tabs>
          <w:tab w:val="left" w:pos="-120" w:leader="none"/>
          <w:tab w:val="left" w:pos="567" w:leader="none"/>
        </w:tabs>
        <w:spacing w:lineRule="auto" w:line="276" w:before="4" w:after="4"/>
        <w:contextualSpacing/>
        <w:rPr/>
      </w:pPr>
      <w:r>
        <w:rPr>
          <w:rFonts w:cs="Arial" w:ascii="Times New Roman" w:hAnsi="Times New Roman"/>
          <w:color w:val="00000A"/>
          <w:sz w:val="22"/>
          <w:szCs w:val="22"/>
          <w:lang w:eastAsia="en-US"/>
        </w:rPr>
        <w:t>20. DAS OBRIGAÇÕES DA CONTRATANTE E DA CONTRATADA</w:t>
      </w:r>
    </w:p>
    <w:p>
      <w:pPr>
        <w:pStyle w:val="Normal"/>
        <w:tabs>
          <w:tab w:val="clear" w:pos="720"/>
          <w:tab w:val="left" w:pos="-120" w:leader="none"/>
          <w:tab w:val="left" w:pos="567" w:leader="none"/>
        </w:tabs>
        <w:spacing w:lineRule="auto" w:line="276" w:before="4" w:after="4"/>
        <w:contextualSpacing/>
        <w:rPr>
          <w:rFonts w:ascii="Times New Roman" w:hAnsi="Times New Roman" w:eastAsia="SimSun" w:cs="Arial"/>
          <w:color w:val="00000A"/>
          <w:sz w:val="22"/>
          <w:szCs w:val="22"/>
          <w:lang w:val="pt-BR" w:eastAsia="en-US" w:bidi="ar-SA"/>
        </w:rPr>
      </w:pPr>
      <w:r>
        <w:rPr>
          <w:rFonts w:eastAsia="SimSun" w:cs="Arial" w:ascii="Times New Roman" w:hAnsi="Times New Roman"/>
          <w:color w:val="00000A"/>
          <w:sz w:val="22"/>
          <w:szCs w:val="22"/>
          <w:lang w:val="pt-BR" w:eastAsia="en-US" w:bidi="ar-SA"/>
        </w:rPr>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color w:val="00000A"/>
          <w:sz w:val="22"/>
          <w:szCs w:val="22"/>
          <w:lang w:eastAsia="en-US"/>
        </w:rPr>
        <w:tab/>
        <w:t>20.1 Das obrigações da Contratada</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20.1.1.</w:t>
      </w:r>
      <w:r>
        <w:rPr>
          <w:rFonts w:cs="Arial" w:ascii="Times New Roman" w:hAnsi="Times New Roman"/>
          <w:color w:val="00000A"/>
          <w:sz w:val="22"/>
          <w:szCs w:val="22"/>
          <w:lang w:eastAsia="en-US"/>
        </w:rPr>
        <w:t xml:space="preserve"> Nomear e manter preposto, durante o período de vigência do contrato, para representá-lo na execução do mesmo.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20.1.2. </w:t>
      </w:r>
      <w:r>
        <w:rPr>
          <w:rFonts w:cs="Arial" w:ascii="Times New Roman" w:hAnsi="Times New Roman"/>
          <w:color w:val="00000A"/>
          <w:sz w:val="22"/>
          <w:szCs w:val="22"/>
          <w:lang w:eastAsia="en-US"/>
        </w:rPr>
        <w:t>Atender prontamente quaisquer orientações e exigências do fiscal do contrato, inerentes à execução do objeto contratual.</w:t>
      </w:r>
    </w:p>
    <w:p>
      <w:pPr>
        <w:pStyle w:val="ListParagraph"/>
        <w:tabs>
          <w:tab w:val="clear" w:pos="720"/>
          <w:tab w:val="left" w:pos="567" w:leader="none"/>
        </w:tabs>
        <w:spacing w:lineRule="auto" w:line="276" w:before="4" w:after="4"/>
        <w:ind w:hanging="0" w:left="0"/>
        <w:contextualSpacing/>
        <w:jc w:val="both"/>
        <w:rPr/>
      </w:pPr>
      <w:r>
        <w:rPr>
          <w:rFonts w:cs="Arial" w:ascii="Times New Roman" w:hAnsi="Times New Roman"/>
          <w:color w:val="00000A"/>
          <w:sz w:val="22"/>
          <w:szCs w:val="22"/>
          <w:lang w:eastAsia="en-US"/>
        </w:rPr>
        <w:tab/>
      </w:r>
      <w:r>
        <w:rPr>
          <w:rFonts w:cs="Arial" w:ascii="Times New Roman" w:hAnsi="Times New Roman"/>
          <w:b/>
          <w:bCs/>
          <w:color w:val="00000A"/>
          <w:sz w:val="22"/>
          <w:szCs w:val="22"/>
          <w:lang w:eastAsia="en-US"/>
        </w:rPr>
        <w:t>20.1.3.</w:t>
      </w:r>
      <w:r>
        <w:rPr>
          <w:rFonts w:cs="Arial" w:ascii="Times New Roman" w:hAnsi="Times New Roman"/>
          <w:color w:val="00000A"/>
          <w:sz w:val="22"/>
          <w:szCs w:val="22"/>
          <w:lang w:eastAsia="en-US"/>
        </w:rPr>
        <w:t xml:space="preserve"> Reparar quaisquer danos direta ou indiretamente causados à contratante ou a terceiros por culpa ou dolo de seus representantes legais ou preposto.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20.1.4. </w:t>
      </w:r>
      <w:r>
        <w:rPr>
          <w:rFonts w:cs="Arial" w:ascii="Times New Roman" w:hAnsi="Times New Roman"/>
          <w:color w:val="00000A"/>
          <w:sz w:val="22"/>
          <w:szCs w:val="22"/>
          <w:lang w:eastAsia="en-US"/>
        </w:rPr>
        <w:t>Responder pelos danos causados diretamente ao CONTRATANTE ou a seus bens, ou ainda a terceiros, decorrentes de sua culpa ou dolo na execução do contrato.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20.1.5.</w:t>
      </w:r>
      <w:r>
        <w:rPr>
          <w:rFonts w:cs="Arial" w:ascii="Times New Roman" w:hAnsi="Times New Roman"/>
          <w:color w:val="00000A"/>
          <w:sz w:val="22"/>
          <w:szCs w:val="22"/>
          <w:lang w:eastAsia="en-US"/>
        </w:rPr>
        <w:t xml:space="preserve"> Cuidar para que o preposto mantenha permanente contato com a unidade responsável pela fiscalização do contrato, adotando as providências requeridas.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20.1.6.</w:t>
      </w:r>
      <w:r>
        <w:rPr>
          <w:rFonts w:cs="Arial" w:ascii="Times New Roman" w:hAnsi="Times New Roman"/>
          <w:color w:val="00000A"/>
          <w:sz w:val="22"/>
          <w:szCs w:val="22"/>
          <w:lang w:eastAsia="en-US"/>
        </w:rPr>
        <w:t xml:space="preserve"> Encaminhar ao Fiscal do Contrato as notas fiscais/faturas do material entregue, emitidas em igualdade com a NE.</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20.1.7. </w:t>
      </w:r>
      <w:r>
        <w:rPr>
          <w:rFonts w:cs="Arial" w:ascii="Times New Roman" w:hAnsi="Times New Roman"/>
          <w:color w:val="00000A"/>
          <w:sz w:val="22"/>
          <w:szCs w:val="22"/>
          <w:lang w:eastAsia="en-US"/>
        </w:rPr>
        <w:t>Manter, durante a vigência do contrato, todas as condições de habilitação exigidas.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20.1.8. </w:t>
      </w:r>
      <w:r>
        <w:rPr>
          <w:rFonts w:cs="Arial" w:ascii="Times New Roman" w:hAnsi="Times New Roman"/>
          <w:color w:val="00000A"/>
          <w:sz w:val="22"/>
          <w:szCs w:val="22"/>
          <w:lang w:eastAsia="en-US"/>
        </w:rPr>
        <w:t>O não cumprimento das condições de habilitação previstas no item anterior, poderá ensejar a rescisão do contrato, além de sanções disciplinares, garantido o contraditório e ampla defesa.</w:t>
      </w:r>
    </w:p>
    <w:p>
      <w:pPr>
        <w:pStyle w:val="ListParagraph"/>
        <w:spacing w:lineRule="auto" w:line="276" w:before="4" w:after="4"/>
        <w:ind w:hanging="0"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spacing w:lineRule="auto" w:line="276" w:before="4" w:after="4"/>
        <w:ind w:hanging="0"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20.2 Das Obrigações da Contratante:</w:t>
      </w:r>
    </w:p>
    <w:p>
      <w:pPr>
        <w:pStyle w:val="ListParagraph"/>
        <w:tabs>
          <w:tab w:val="clear" w:pos="720"/>
          <w:tab w:val="left" w:pos="338" w:leader="none"/>
        </w:tabs>
        <w:spacing w:lineRule="auto" w:line="276" w:before="4" w:after="4"/>
        <w:ind w:hanging="0" w:left="0"/>
        <w:contextualSpacing/>
        <w:jc w:val="both"/>
        <w:rPr>
          <w:rFonts w:ascii="Times New Roman" w:hAnsi="Times New Roman" w:eastAsia="SimSun" w:cs="Arial"/>
          <w:b/>
          <w:bCs/>
          <w:color w:val="00000A"/>
          <w:sz w:val="22"/>
          <w:szCs w:val="22"/>
          <w:lang w:val="pt-BR" w:eastAsia="en-US" w:bidi="ar-SA"/>
        </w:rPr>
      </w:pPr>
      <w:r>
        <w:rPr>
          <w:rFonts w:eastAsia="SimSun" w:cs="Arial" w:ascii="Times New Roman" w:hAnsi="Times New Roman"/>
          <w:b/>
          <w:bCs/>
          <w:color w:val="00000A"/>
          <w:sz w:val="22"/>
          <w:szCs w:val="22"/>
          <w:lang w:val="pt-BR" w:eastAsia="en-US" w:bidi="ar-SA"/>
        </w:rPr>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20.2.1. </w:t>
      </w:r>
      <w:r>
        <w:rPr>
          <w:rFonts w:cs="Arial" w:ascii="Times New Roman" w:hAnsi="Times New Roman"/>
          <w:b w:val="false"/>
          <w:bCs w:val="false"/>
          <w:color w:val="00000A"/>
          <w:sz w:val="22"/>
          <w:szCs w:val="22"/>
          <w:lang w:eastAsia="en-US"/>
        </w:rPr>
        <w:t>Nomear Gestor do C</w:t>
      </w:r>
      <w:r>
        <w:rPr>
          <w:rFonts w:cs="Arial" w:ascii="Times New Roman" w:hAnsi="Times New Roman"/>
          <w:b w:val="false"/>
          <w:bCs w:val="false"/>
          <w:color w:val="00000A"/>
          <w:sz w:val="22"/>
          <w:szCs w:val="22"/>
          <w:shd w:fill="auto" w:val="clear"/>
          <w:lang w:eastAsia="en-US"/>
        </w:rPr>
        <w:t>ontrato e Fiscal do Contrato Titular Substituto, conforme o Art. 172 do Regulamento de Licitações e contratos da IMBEL, para acompanhar, fiscalizar todas as tratativas de ordem administrativas e técnicas inerentes ao contrato, bem como todos os acordos firmados em decorrência da prestação dos serviços a execução do contrato.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shd w:fill="auto" w:val="clear"/>
          <w:lang w:eastAsia="en-US"/>
        </w:rPr>
        <w:t>20.2.2.</w:t>
      </w:r>
      <w:r>
        <w:rPr>
          <w:rFonts w:cs="Arial" w:ascii="Times New Roman" w:hAnsi="Times New Roman"/>
          <w:color w:val="00000A"/>
          <w:sz w:val="22"/>
          <w:szCs w:val="22"/>
          <w:shd w:fill="auto" w:val="clear"/>
          <w:lang w:eastAsia="en-US"/>
        </w:rPr>
        <w:t xml:space="preserve"> Receber o objeto entreg</w:t>
      </w:r>
      <w:r>
        <w:rPr>
          <w:rFonts w:cs="Arial" w:ascii="Times New Roman" w:hAnsi="Times New Roman"/>
          <w:color w:val="00000A"/>
          <w:sz w:val="22"/>
          <w:szCs w:val="22"/>
          <w:lang w:eastAsia="en-US"/>
        </w:rPr>
        <w:t>ue pela Contratada que esteja em conformidade com a proposta aceita, conforme inspeções realizadas.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20.2.3.</w:t>
      </w:r>
      <w:r>
        <w:rPr>
          <w:rFonts w:cs="Arial" w:ascii="Times New Roman" w:hAnsi="Times New Roman"/>
          <w:color w:val="00000A"/>
          <w:sz w:val="22"/>
          <w:szCs w:val="22"/>
          <w:lang w:eastAsia="en-US"/>
        </w:rPr>
        <w:t xml:space="preserve"> Comunicar à Contratada todas e quaisquer ocorrências relacionadas com a entrega do material para adoção das providências de saneamento.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20.2.4.</w:t>
      </w:r>
      <w:r>
        <w:rPr>
          <w:rFonts w:cs="Arial" w:ascii="Times New Roman" w:hAnsi="Times New Roman"/>
          <w:color w:val="00000A"/>
          <w:sz w:val="22"/>
          <w:szCs w:val="22"/>
          <w:lang w:eastAsia="en-US"/>
        </w:rPr>
        <w:t xml:space="preserve"> Cumprir os prazos e obrigações financeiras estabelecidas no Termo de Referência e seus anexos, desde que cumpridas todas as formalidades e exigências por parte da Contratada.</w:t>
      </w:r>
    </w:p>
    <w:p>
      <w:pPr>
        <w:pStyle w:val="ListParagraph"/>
        <w:spacing w:lineRule="auto" w:line="276" w:before="4" w:after="4"/>
        <w:ind w:firstLine="566" w:left="1"/>
        <w:contextualSpacing/>
        <w:jc w:val="both"/>
        <w:rPr/>
      </w:pPr>
      <w:r>
        <w:rPr>
          <w:rFonts w:cs="Arial" w:ascii="Times New Roman" w:hAnsi="Times New Roman"/>
          <w:b/>
          <w:bCs/>
          <w:color w:val="00000A"/>
          <w:sz w:val="22"/>
          <w:szCs w:val="22"/>
          <w:lang w:eastAsia="en-US"/>
        </w:rPr>
        <w:t xml:space="preserve">20.2.5. </w:t>
      </w:r>
      <w:r>
        <w:rPr>
          <w:rFonts w:cs="Arial" w:ascii="Times New Roman" w:hAnsi="Times New Roman"/>
          <w:color w:val="00000A"/>
          <w:sz w:val="22"/>
          <w:szCs w:val="22"/>
          <w:lang w:eastAsia="en-US"/>
        </w:rPr>
        <w:t>Gerenciar e fiscalizar a execução do contrato, de forma a garantir o fiel cumprimento de suas cláusulas.</w:t>
      </w:r>
    </w:p>
    <w:p>
      <w:pPr>
        <w:pStyle w:val="ListParagraph"/>
        <w:tabs>
          <w:tab w:val="clear" w:pos="720"/>
          <w:tab w:val="left" w:pos="0" w:leader="none"/>
        </w:tabs>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20.2.6. </w:t>
      </w:r>
      <w:r>
        <w:rPr>
          <w:rFonts w:cs="Arial" w:ascii="Times New Roman" w:hAnsi="Times New Roman"/>
          <w:color w:val="00000A"/>
          <w:sz w:val="22"/>
          <w:szCs w:val="22"/>
          <w:lang w:eastAsia="en-US"/>
        </w:rPr>
        <w:t>Recusar recebimento de qualquer bem que estiver em desacordo com as condições e as especificações estabelecidas no contrato e no Termo de Referência.</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20.2.7.</w:t>
      </w:r>
      <w:r>
        <w:rPr>
          <w:rFonts w:cs="Arial" w:ascii="Times New Roman" w:hAnsi="Times New Roman"/>
          <w:color w:val="00000A"/>
          <w:sz w:val="22"/>
          <w:szCs w:val="22"/>
          <w:lang w:eastAsia="en-US"/>
        </w:rPr>
        <w:t xml:space="preserve"> Emitir termos circunstanciados de recebimento provisório, de recebimento definitivo ou de recusa relacionado ao objeto contratado.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20.2.8. </w:t>
      </w:r>
      <w:r>
        <w:rPr>
          <w:rFonts w:cs="Arial" w:ascii="Times New Roman" w:hAnsi="Times New Roman"/>
          <w:color w:val="00000A"/>
          <w:sz w:val="22"/>
          <w:szCs w:val="22"/>
          <w:lang w:eastAsia="en-US"/>
        </w:rPr>
        <w:t>Aplicar à Contratada, se necessário, as sanções administrativas e contratuais cabíveis, garantida a ampla defesa e contraditório.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20.2.9. </w:t>
      </w:r>
      <w:r>
        <w:rPr>
          <w:rFonts w:cs="Arial" w:ascii="Times New Roman" w:hAnsi="Times New Roman"/>
          <w:color w:val="00000A"/>
          <w:sz w:val="22"/>
          <w:szCs w:val="22"/>
          <w:lang w:eastAsia="en-US"/>
        </w:rPr>
        <w:t>Manter o histórico de gerenciamento do contrato nos autos do processo de fiscalização, contendo registros formais de todas as ocorrências positivas e negativas da execução do contrato, por ordem cronológica.</w:t>
      </w:r>
    </w:p>
    <w:p>
      <w:pPr>
        <w:pStyle w:val="ListParagraph"/>
        <w:spacing w:lineRule="auto" w:line="276" w:before="4" w:after="4"/>
        <w:ind w:firstLine="566" w:left="1"/>
        <w:contextualSpacing/>
        <w:jc w:val="both"/>
        <w:rPr/>
      </w:pPr>
      <w:r>
        <w:rPr>
          <w:rFonts w:cs="Arial" w:ascii="Times New Roman" w:hAnsi="Times New Roman"/>
          <w:b/>
          <w:bCs/>
          <w:color w:val="00000A"/>
          <w:sz w:val="22"/>
          <w:szCs w:val="22"/>
          <w:lang w:eastAsia="en-US"/>
        </w:rPr>
        <w:t>20.2.10.</w:t>
      </w:r>
      <w:r>
        <w:rPr>
          <w:rFonts w:cs="Arial" w:ascii="Times New Roman" w:hAnsi="Times New Roman"/>
          <w:color w:val="00000A"/>
          <w:sz w:val="22"/>
          <w:szCs w:val="22"/>
          <w:lang w:eastAsia="en-US"/>
        </w:rPr>
        <w:t xml:space="preserve"> Solicitar o reparo, a correção, a remoção, a reconstrução ou a substituição do objeto do contrato em que se verificarem vícios, defeitos ou incorreções.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 xml:space="preserve">20.2.11. </w:t>
      </w:r>
      <w:r>
        <w:rPr>
          <w:rFonts w:cs="Arial" w:ascii="Times New Roman" w:hAnsi="Times New Roman"/>
          <w:color w:val="00000A"/>
          <w:sz w:val="22"/>
          <w:szCs w:val="22"/>
          <w:lang w:eastAsia="en-US"/>
        </w:rPr>
        <w:t>Prestar as informações e os esclarecimentos atinentes ao objeto, que venham a ser solicitados pela Contratada.</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20.2.12.</w:t>
      </w:r>
      <w:r>
        <w:rPr>
          <w:rFonts w:cs="Arial" w:ascii="Times New Roman" w:hAnsi="Times New Roman"/>
          <w:color w:val="00000A"/>
          <w:sz w:val="22"/>
          <w:szCs w:val="22"/>
          <w:lang w:eastAsia="en-US"/>
        </w:rPr>
        <w:t xml:space="preserve"> Promover o acompanhamento e a fiscalização do objeto, sob o aspecto quantitativo e qualitativo, anotando em livro de registro das ocorrências as falhas detectadas.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lang w:eastAsia="en-US"/>
        </w:rPr>
        <w:t>20.2.13.</w:t>
      </w:r>
      <w:r>
        <w:rPr>
          <w:rFonts w:cs="Arial" w:ascii="Times New Roman" w:hAnsi="Times New Roman"/>
          <w:color w:val="00000A"/>
          <w:sz w:val="22"/>
          <w:szCs w:val="22"/>
          <w:lang w:eastAsia="en-US"/>
        </w:rPr>
        <w:t xml:space="preserve"> Fornecer atestados de capacidade técnica, quando solicitado, desde que atendidas às obrigações contratuais.</w:t>
      </w:r>
    </w:p>
    <w:p>
      <w:pPr>
        <w:pStyle w:val="ListParagraph"/>
        <w:spacing w:lineRule="auto" w:line="276" w:before="4" w:after="4"/>
        <w:ind w:firstLine="567" w:left="0"/>
        <w:contextualSpacing/>
        <w:jc w:val="both"/>
        <w:rPr>
          <w:rFonts w:ascii="Times New Roman" w:hAnsi="Times New Roman" w:cs="Arial"/>
          <w:color w:val="00000A"/>
          <w:sz w:val="22"/>
          <w:szCs w:val="22"/>
          <w:lang w:eastAsia="en-US"/>
        </w:rPr>
      </w:pPr>
      <w:r>
        <w:rPr>
          <w:rFonts w:cs="Arial" w:ascii="Times New Roman" w:hAnsi="Times New Roman"/>
          <w:color w:val="00000A"/>
          <w:sz w:val="22"/>
          <w:szCs w:val="22"/>
          <w:lang w:eastAsia="en-US"/>
        </w:rPr>
      </w:r>
    </w:p>
    <w:p>
      <w:pPr>
        <w:pStyle w:val="Nivel01"/>
        <w:spacing w:lineRule="auto" w:line="276" w:before="4" w:after="4"/>
        <w:contextualSpacing/>
        <w:rPr/>
      </w:pPr>
      <w:r>
        <w:rPr>
          <w:rFonts w:cs="Arial" w:ascii="Times New Roman" w:hAnsi="Times New Roman"/>
          <w:color w:val="00000A"/>
          <w:sz w:val="22"/>
          <w:szCs w:val="22"/>
        </w:rPr>
        <w:t>21. DO PAGAMENTO</w:t>
      </w:r>
    </w:p>
    <w:p>
      <w:pPr>
        <w:pStyle w:val="Normal"/>
        <w:spacing w:lineRule="auto" w:line="276" w:before="4" w:after="4"/>
        <w:contextualSpacing/>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21.1.</w:t>
      </w:r>
      <w:r>
        <w:rPr>
          <w:rFonts w:cs="Arial" w:ascii="Times New Roman" w:hAnsi="Times New Roman"/>
          <w:color w:val="00000A"/>
          <w:sz w:val="22"/>
          <w:szCs w:val="22"/>
          <w:lang w:eastAsia="en-US"/>
        </w:rPr>
        <w:t xml:space="preserve">  O pagamento será efetuado em até 30 (</w:t>
      </w:r>
      <w:r>
        <w:rPr>
          <w:rFonts w:cs="Arial" w:ascii="Times New Roman" w:hAnsi="Times New Roman"/>
          <w:color w:val="00000A"/>
          <w:sz w:val="22"/>
          <w:szCs w:val="22"/>
          <w:shd w:fill="auto" w:val="clear"/>
          <w:lang w:eastAsia="en-US"/>
        </w:rPr>
        <w:t xml:space="preserve">trinta) dias </w:t>
      </w:r>
      <w:r>
        <w:rPr>
          <w:rFonts w:cs="Arial" w:ascii="Times New Roman" w:hAnsi="Times New Roman"/>
          <w:color w:val="00000A"/>
          <w:sz w:val="22"/>
          <w:szCs w:val="22"/>
          <w:lang w:eastAsia="en-US"/>
        </w:rPr>
        <w:t>corridos, contados da data da atestação, após a entrega da Nota Fiscal / Fatura, observada a aceitabilidade do objeto licitado, devidamente atestada pelo setor competente</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21.2.</w:t>
      </w:r>
      <w:r>
        <w:rPr>
          <w:rFonts w:cs="Arial" w:ascii="Times New Roman" w:hAnsi="Times New Roman"/>
          <w:color w:val="00000A"/>
          <w:sz w:val="22"/>
          <w:szCs w:val="22"/>
          <w:lang w:eastAsia="en-US"/>
        </w:rPr>
        <w:t xml:space="preserve"> A liberação do pagamento ficará condicionada à consulta prévia ao SICAF (via ON LINE); no portal do TST, quanto à Certidão Negativa de Dívidas Trabalhistas; no portal do CNJ, quanto à condenação por Improbidade Administrativa; ao CADIN; ao Portal da Transparência; e ao Portal do TCU, para a verificação de empresa inidônea, devendo a contratada estar com toda a sua documentação obrigatória válida.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 xml:space="preserve">21.3. </w:t>
      </w:r>
      <w:r>
        <w:rPr>
          <w:rFonts w:cs="Arial" w:ascii="Times New Roman" w:hAnsi="Times New Roman"/>
          <w:color w:val="00000A"/>
          <w:sz w:val="22"/>
          <w:szCs w:val="22"/>
          <w:lang w:eastAsia="en-US"/>
        </w:rPr>
        <w:t>No caso de incorreção nos documentos apresentados, inclusive na Nota Fiscal / Fatura, serão os mesmos restituídos à adjudicatária para as correções necessárias, não respondendo a IMBEL por quaisquer encargos resultantes de atrasos nos pagamentos correspondentes.</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21.4.</w:t>
      </w:r>
      <w:r>
        <w:rPr>
          <w:rFonts w:cs="Arial" w:ascii="Times New Roman" w:hAnsi="Times New Roman"/>
          <w:color w:val="00000A"/>
          <w:sz w:val="22"/>
          <w:szCs w:val="22"/>
          <w:lang w:eastAsia="en-US"/>
        </w:rPr>
        <w:t xml:space="preserve"> A Nota Fiscal deverá conter as mesmas especificações da Nota de Empenho emitido pelo contratante.</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21.5.</w:t>
      </w:r>
      <w:r>
        <w:rPr>
          <w:rFonts w:cs="Arial" w:ascii="Times New Roman" w:hAnsi="Times New Roman"/>
          <w:color w:val="00000A"/>
          <w:sz w:val="22"/>
          <w:szCs w:val="22"/>
          <w:lang w:eastAsia="en-US"/>
        </w:rPr>
        <w:t xml:space="preserve"> A empresa vencedora ao emitir a Nota Fiscal, conforme a Nota de Empenho deverá discriminar no corpo do documento fiscal o valor dos impostos e contribuições a serem retidas na operação fins atender a determinação da Instrução Normativa IN SRF n° 480, de 15 de dezembro de 2004, alterada pela Instrução Normativa IN SRF n° 539, de 25 de abril de 2005, que trata da retenção de Impostos e Contribuições Federais.</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lang w:eastAsia="en-US"/>
        </w:rPr>
        <w:tab/>
        <w:t>21.6.</w:t>
      </w:r>
      <w:r>
        <w:rPr>
          <w:rFonts w:cs="Arial" w:ascii="Times New Roman" w:hAnsi="Times New Roman"/>
          <w:color w:val="00000A"/>
          <w:sz w:val="22"/>
          <w:szCs w:val="22"/>
          <w:lang w:eastAsia="en-US"/>
        </w:rPr>
        <w:t xml:space="preserve"> Diante da ocorrência de eventuais atrasos de pagamento provocados exclusivamente pela IMBEL, o valor devido deverá ser acrescido de atualização financeira, e sua apuração se fará desde a data do vencimento da fatura até a data do efetivo pagamento, em que os juros de mora serão calculados à taxa de 0,5% (meio por cento) ao mês, ou 6% (seis por cento) ao ano, mediante aplicação das seguintes fórmulas:</w:t>
      </w:r>
    </w:p>
    <w:p>
      <w:pPr>
        <w:pStyle w:val="ListParagraph"/>
        <w:spacing w:lineRule="auto" w:line="276" w:before="4" w:after="4"/>
        <w:ind w:hanging="0"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lang w:eastAsia="en-US"/>
        </w:rPr>
        <w:tab/>
        <w:t>I = (TX/100)/365</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lang w:eastAsia="en-US"/>
        </w:rPr>
        <w:tab/>
        <w:t>EM = I x N x VP, onde:</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lang w:eastAsia="en-US"/>
        </w:rPr>
        <w:tab/>
        <w:t xml:space="preserve">I = Índice de atualização financeira; </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lang w:eastAsia="en-US"/>
        </w:rPr>
        <w:tab/>
        <w:t xml:space="preserve">TX = Percentual da taxa de juros de mora anual; </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lang w:eastAsia="en-US"/>
        </w:rPr>
        <w:tab/>
        <w:t xml:space="preserve">EM = Encargos moratórios; </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lang w:eastAsia="en-US"/>
        </w:rPr>
        <w:tab/>
        <w:t xml:space="preserve">N = Número de dias entre a data prevista para o pagamento e a do efetivo pagamento; </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lang w:eastAsia="en-US"/>
        </w:rPr>
        <w:tab/>
        <w:t xml:space="preserve">VP = Valor da parcela em atraso. </w:t>
      </w:r>
    </w:p>
    <w:p>
      <w:pPr>
        <w:pStyle w:val="ListParagraph"/>
        <w:spacing w:lineRule="auto" w:line="276" w:before="4" w:after="4"/>
        <w:ind w:hanging="0"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spacing w:lineRule="auto" w:line="276" w:before="4" w:after="4"/>
        <w:ind w:hanging="0" w:left="0"/>
        <w:contextualSpacing/>
        <w:jc w:val="both"/>
        <w:rPr/>
      </w:pPr>
      <w:r>
        <w:rPr>
          <w:rFonts w:cs="Arial" w:ascii="Times New Roman" w:hAnsi="Times New Roman"/>
          <w:color w:val="00000A"/>
          <w:sz w:val="22"/>
          <w:szCs w:val="22"/>
          <w:lang w:eastAsia="en-US"/>
        </w:rPr>
        <w:t xml:space="preserve">Quando for o caso, serão processadas as retenções previdenciárias nos termos da lei que regula a matéria. </w:t>
      </w:r>
    </w:p>
    <w:p>
      <w:pPr>
        <w:pStyle w:val="ListParagraph"/>
        <w:spacing w:lineRule="auto" w:line="276" w:before="4" w:after="4"/>
        <w:ind w:hanging="0" w:left="0"/>
        <w:contextualSpacing/>
        <w:jc w:val="both"/>
        <w:rPr>
          <w:rFonts w:ascii="Times New Roman" w:hAnsi="Times New Roman" w:eastAsia="SimSun" w:cs="Arial"/>
          <w:color w:val="000000"/>
          <w:sz w:val="22"/>
          <w:szCs w:val="22"/>
          <w:lang w:val="pt-BR" w:eastAsia="en-US" w:bidi="ar-SA"/>
        </w:rPr>
      </w:pPr>
      <w:r>
        <w:rPr>
          <w:rFonts w:eastAsia="SimSun" w:cs="Arial" w:ascii="Times New Roman" w:hAnsi="Times New Roman"/>
          <w:color w:val="000000"/>
          <w:sz w:val="22"/>
          <w:szCs w:val="22"/>
          <w:lang w:val="pt-BR" w:eastAsia="en-US" w:bidi="ar-SA"/>
        </w:rPr>
      </w:r>
    </w:p>
    <w:p>
      <w:pPr>
        <w:pStyle w:val="Nivel01"/>
        <w:spacing w:lineRule="auto" w:line="276" w:before="4" w:after="4"/>
        <w:contextualSpacing/>
        <w:rPr/>
      </w:pPr>
      <w:r>
        <w:rPr>
          <w:rFonts w:cs="Arial" w:ascii="Times New Roman" w:hAnsi="Times New Roman"/>
          <w:color w:val="00000A"/>
          <w:sz w:val="22"/>
          <w:szCs w:val="22"/>
        </w:rPr>
        <w:t>22. DAS SANÇÕES ADMINISTRATIVAS</w:t>
      </w:r>
    </w:p>
    <w:p>
      <w:pPr>
        <w:pStyle w:val="Normal"/>
        <w:spacing w:lineRule="auto" w:line="276" w:before="4" w:after="4"/>
        <w:contextualSpacing/>
        <w:rPr>
          <w:rFonts w:ascii="Times New Roman" w:hAnsi="Times New Roman" w:eastAsia="SimSun" w:cs="Arial"/>
          <w:color w:val="00000A"/>
          <w:sz w:val="22"/>
          <w:szCs w:val="22"/>
          <w:shd w:fill="auto" w:val="clear"/>
          <w:lang w:val="pt-BR" w:eastAsia="pt-BR" w:bidi="ar-SA"/>
        </w:rPr>
      </w:pPr>
      <w:r>
        <w:rPr>
          <w:rFonts w:eastAsia="SimSun" w:cs="Arial" w:ascii="Times New Roman" w:hAnsi="Times New Roman"/>
          <w:color w:val="00000A"/>
          <w:sz w:val="22"/>
          <w:szCs w:val="22"/>
          <w:shd w:fill="auto" w:val="clear"/>
          <w:lang w:val="pt-BR" w:eastAsia="pt-BR" w:bidi="ar-SA"/>
        </w:rPr>
      </w:r>
    </w:p>
    <w:p>
      <w:pPr>
        <w:pStyle w:val="Nivel01"/>
        <w:tabs>
          <w:tab w:val="left" w:pos="338" w:leader="none"/>
          <w:tab w:val="left" w:pos="567" w:leader="none"/>
        </w:tabs>
        <w:spacing w:lineRule="auto" w:line="276" w:before="4" w:after="4"/>
        <w:contextualSpacing/>
        <w:rPr/>
      </w:pPr>
      <w:r>
        <w:rPr>
          <w:rFonts w:cs="Arial" w:ascii="Times New Roman" w:hAnsi="Times New Roman"/>
          <w:b w:val="false"/>
          <w:bCs w:val="false"/>
          <w:color w:val="00000A"/>
          <w:sz w:val="22"/>
          <w:szCs w:val="22"/>
          <w:shd w:fill="auto" w:val="clear"/>
        </w:rPr>
        <w:tab/>
      </w:r>
      <w:r>
        <w:rPr>
          <w:rFonts w:cs="Arial" w:ascii="Times New Roman" w:hAnsi="Times New Roman"/>
          <w:b/>
          <w:bCs/>
          <w:color w:val="00000A"/>
          <w:sz w:val="22"/>
          <w:szCs w:val="22"/>
          <w:shd w:fill="auto" w:val="clear"/>
        </w:rPr>
        <w:t>22.1.</w:t>
      </w:r>
      <w:r>
        <w:rPr>
          <w:rFonts w:cs="Arial" w:ascii="Times New Roman" w:hAnsi="Times New Roman"/>
          <w:b w:val="false"/>
          <w:bCs w:val="false"/>
          <w:color w:val="00000A"/>
          <w:sz w:val="22"/>
          <w:szCs w:val="22"/>
          <w:shd w:fill="auto" w:val="clear"/>
        </w:rPr>
        <w:t xml:space="preserve"> Comete infração administrativa, nos termos da Lei nº 10.024, em seu art. 49, o licitante/adjudicatário que:</w:t>
      </w:r>
    </w:p>
    <w:p>
      <w:pPr>
        <w:pStyle w:val="Normal"/>
        <w:tabs>
          <w:tab w:val="clear" w:pos="720"/>
          <w:tab w:val="left" w:pos="576"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shd w:fill="auto" w:val="clear"/>
        </w:rPr>
        <w:tab/>
        <w:t xml:space="preserve">22.1.1. </w:t>
      </w:r>
      <w:r>
        <w:rPr>
          <w:rFonts w:cs="Arial" w:ascii="Times New Roman" w:hAnsi="Times New Roman"/>
          <w:color w:val="00000A"/>
          <w:sz w:val="22"/>
          <w:szCs w:val="22"/>
          <w:shd w:fill="auto" w:val="clear"/>
        </w:rPr>
        <w:t xml:space="preserve">Não assinar o termo de contrato </w:t>
      </w:r>
      <w:r>
        <w:rPr>
          <w:rFonts w:cs="Arial" w:ascii="Times New Roman" w:hAnsi="Times New Roman"/>
          <w:color w:val="00000A"/>
          <w:sz w:val="22"/>
          <w:szCs w:val="22"/>
        </w:rPr>
        <w:t>ou aceitar/retirar o instrumento equivalente, quando convocado dentro do prazo de validade da proposta;</w:t>
      </w:r>
    </w:p>
    <w:p>
      <w:pPr>
        <w:pStyle w:val="Normal"/>
        <w:tabs>
          <w:tab w:val="clear" w:pos="720"/>
          <w:tab w:val="left" w:pos="576"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ab/>
        <w:t xml:space="preserve">22.1.2. </w:t>
      </w:r>
      <w:r>
        <w:rPr>
          <w:rFonts w:cs="Arial" w:ascii="Times New Roman" w:hAnsi="Times New Roman"/>
          <w:color w:val="00000A"/>
          <w:sz w:val="22"/>
          <w:szCs w:val="22"/>
        </w:rPr>
        <w:t>Não assinar a ata de registro de preços, quando cabível;</w:t>
      </w:r>
    </w:p>
    <w:p>
      <w:pPr>
        <w:pStyle w:val="Normal"/>
        <w:tabs>
          <w:tab w:val="clear" w:pos="720"/>
          <w:tab w:val="left" w:pos="576" w:leader="none"/>
          <w:tab w:val="left" w:pos="1440" w:leader="none"/>
        </w:tabs>
        <w:spacing w:lineRule="auto" w:line="276" w:before="4" w:after="4"/>
        <w:ind w:firstLine="567"/>
        <w:contextualSpacing/>
        <w:jc w:val="both"/>
        <w:rPr/>
      </w:pPr>
      <w:r>
        <w:rPr>
          <w:rFonts w:cs="Arial" w:ascii="Times New Roman" w:hAnsi="Times New Roman"/>
          <w:b/>
          <w:bCs/>
          <w:color w:val="00000A"/>
          <w:sz w:val="22"/>
          <w:szCs w:val="22"/>
        </w:rPr>
        <w:tab/>
        <w:t>22.1.3.</w:t>
      </w:r>
      <w:r>
        <w:rPr>
          <w:rFonts w:cs="Arial" w:ascii="Times New Roman" w:hAnsi="Times New Roman"/>
          <w:color w:val="00000A"/>
          <w:sz w:val="22"/>
          <w:szCs w:val="22"/>
        </w:rPr>
        <w:t xml:space="preserve"> Apresentar documentação falsa;</w:t>
      </w:r>
    </w:p>
    <w:p>
      <w:pPr>
        <w:pStyle w:val="Normal"/>
        <w:tabs>
          <w:tab w:val="clear" w:pos="720"/>
          <w:tab w:val="left" w:pos="576" w:leader="none"/>
        </w:tabs>
        <w:spacing w:lineRule="auto" w:line="276" w:before="4" w:after="4"/>
        <w:ind w:firstLine="567"/>
        <w:contextualSpacing/>
        <w:jc w:val="both"/>
        <w:rPr/>
      </w:pPr>
      <w:r>
        <w:rPr>
          <w:rFonts w:cs="Arial" w:ascii="Times New Roman" w:hAnsi="Times New Roman"/>
          <w:b/>
          <w:bCs/>
          <w:color w:val="00000A"/>
          <w:sz w:val="22"/>
          <w:szCs w:val="22"/>
        </w:rPr>
        <w:tab/>
        <w:t>22.1.4.</w:t>
      </w:r>
      <w:r>
        <w:rPr>
          <w:rFonts w:cs="Arial" w:ascii="Times New Roman" w:hAnsi="Times New Roman"/>
          <w:color w:val="00000A"/>
          <w:sz w:val="22"/>
          <w:szCs w:val="22"/>
        </w:rPr>
        <w:t xml:space="preserve"> Deixar de entregar os documentos exigidos no certame;</w:t>
      </w:r>
    </w:p>
    <w:p>
      <w:pPr>
        <w:pStyle w:val="Normal"/>
        <w:tabs>
          <w:tab w:val="clear" w:pos="720"/>
          <w:tab w:val="left" w:pos="576" w:leader="none"/>
        </w:tabs>
        <w:spacing w:lineRule="auto" w:line="276" w:before="4" w:after="4"/>
        <w:ind w:firstLine="567"/>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22.1.5.</w:t>
      </w:r>
      <w:r>
        <w:rPr>
          <w:rFonts w:cs="Arial" w:ascii="Times New Roman" w:hAnsi="Times New Roman"/>
          <w:color w:val="00000A"/>
          <w:sz w:val="22"/>
          <w:szCs w:val="22"/>
        </w:rPr>
        <w:t xml:space="preserve"> Ensejar o retardamento da execução do objeto;</w:t>
      </w:r>
    </w:p>
    <w:p>
      <w:pPr>
        <w:pStyle w:val="Normal"/>
        <w:tabs>
          <w:tab w:val="clear" w:pos="720"/>
          <w:tab w:val="left" w:pos="576" w:leader="none"/>
        </w:tabs>
        <w:spacing w:lineRule="auto" w:line="276" w:before="4" w:after="4"/>
        <w:ind w:firstLine="567"/>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22.1.6.</w:t>
      </w:r>
      <w:r>
        <w:rPr>
          <w:rFonts w:cs="Arial" w:ascii="Times New Roman" w:hAnsi="Times New Roman"/>
          <w:color w:val="00000A"/>
          <w:sz w:val="22"/>
          <w:szCs w:val="22"/>
        </w:rPr>
        <w:t xml:space="preserve"> Não mantiver a proposta;</w:t>
      </w:r>
    </w:p>
    <w:p>
      <w:pPr>
        <w:pStyle w:val="Normal"/>
        <w:tabs>
          <w:tab w:val="clear" w:pos="720"/>
          <w:tab w:val="left" w:pos="576" w:leader="none"/>
        </w:tabs>
        <w:spacing w:lineRule="auto" w:line="276" w:before="4" w:after="4"/>
        <w:ind w:firstLine="567"/>
        <w:contextualSpacing/>
        <w:jc w:val="both"/>
        <w:rPr/>
      </w:pPr>
      <w:r>
        <w:rPr>
          <w:rFonts w:cs="Arial" w:ascii="Times New Roman" w:hAnsi="Times New Roman"/>
          <w:b/>
          <w:bCs/>
          <w:color w:val="00000A"/>
          <w:sz w:val="22"/>
          <w:szCs w:val="22"/>
        </w:rPr>
        <w:tab/>
        <w:t>22.1.7.</w:t>
      </w:r>
      <w:r>
        <w:rPr>
          <w:rFonts w:cs="Arial" w:ascii="Times New Roman" w:hAnsi="Times New Roman"/>
          <w:color w:val="00000A"/>
          <w:sz w:val="22"/>
          <w:szCs w:val="22"/>
        </w:rPr>
        <w:t xml:space="preserve"> Cometer fraude fiscal;</w:t>
      </w:r>
    </w:p>
    <w:p>
      <w:pPr>
        <w:pStyle w:val="Normal"/>
        <w:tabs>
          <w:tab w:val="clear" w:pos="720"/>
          <w:tab w:val="left" w:pos="576" w:leader="none"/>
        </w:tabs>
        <w:spacing w:lineRule="auto" w:line="276" w:before="4" w:after="4"/>
        <w:ind w:firstLine="567"/>
        <w:contextualSpacing/>
        <w:jc w:val="both"/>
        <w:rPr/>
      </w:pPr>
      <w:r>
        <w:rPr>
          <w:rFonts w:cs="Arial" w:ascii="Times New Roman" w:hAnsi="Times New Roman"/>
          <w:b/>
          <w:bCs/>
          <w:color w:val="00000A"/>
          <w:sz w:val="22"/>
          <w:szCs w:val="22"/>
        </w:rPr>
        <w:tab/>
        <w:t>22.1.8.</w:t>
      </w:r>
      <w:r>
        <w:rPr>
          <w:rFonts w:cs="Arial" w:ascii="Times New Roman" w:hAnsi="Times New Roman"/>
          <w:color w:val="00000A"/>
          <w:sz w:val="22"/>
          <w:szCs w:val="22"/>
        </w:rPr>
        <w:t xml:space="preserve"> Comportar-se de modo inidôneo;</w:t>
      </w:r>
    </w:p>
    <w:p>
      <w:pPr>
        <w:pStyle w:val="Normal"/>
        <w:tabs>
          <w:tab w:val="clear" w:pos="720"/>
          <w:tab w:val="left" w:pos="576" w:leader="none"/>
        </w:tabs>
        <w:spacing w:lineRule="auto" w:line="276" w:before="4" w:after="4"/>
        <w:ind w:firstLine="567"/>
        <w:contextualSpacing/>
        <w:jc w:val="both"/>
        <w:rPr/>
      </w:pPr>
      <w:r>
        <w:rPr>
          <w:rFonts w:cs="Arial" w:ascii="Times New Roman" w:hAnsi="Times New Roman"/>
          <w:b/>
          <w:bCs/>
          <w:color w:val="00000A"/>
          <w:sz w:val="22"/>
          <w:szCs w:val="22"/>
        </w:rPr>
        <w:t>22.1.9.</w:t>
      </w:r>
      <w:r>
        <w:rPr>
          <w:rFonts w:cs="Arial" w:ascii="Times New Roman" w:hAnsi="Times New Roman"/>
          <w:color w:val="00000A"/>
          <w:sz w:val="22"/>
          <w:szCs w:val="22"/>
        </w:rPr>
        <w:t xml:space="preserve"> As sanções do item acima também se aplicam aos integrantes do cadastro reserva, em pregão para registro de preços que, convocados, não honrarem o compromisso assumido injustificadamente.</w:t>
      </w:r>
    </w:p>
    <w:p>
      <w:pPr>
        <w:pStyle w:val="Normal"/>
        <w:tabs>
          <w:tab w:val="clear" w:pos="720"/>
          <w:tab w:val="left" w:pos="576" w:leader="none"/>
        </w:tabs>
        <w:spacing w:lineRule="auto" w:line="276" w:before="4" w:after="4"/>
        <w:ind w:firstLine="567"/>
        <w:contextualSpacing/>
        <w:jc w:val="both"/>
        <w:rPr/>
      </w:pPr>
      <w:r>
        <w:rPr>
          <w:rFonts w:cs="Arial" w:ascii="Times New Roman" w:hAnsi="Times New Roman"/>
          <w:b/>
          <w:bCs/>
          <w:color w:val="00000A"/>
          <w:sz w:val="22"/>
          <w:szCs w:val="22"/>
        </w:rPr>
        <w:t>22.1.10.</w:t>
      </w:r>
      <w:r>
        <w:rPr>
          <w:rFonts w:cs="Arial" w:ascii="Times New Roman" w:hAnsi="Times New Roman"/>
          <w:color w:val="00000A"/>
          <w:sz w:val="22"/>
          <w:szCs w:val="22"/>
        </w:rPr>
        <w:t xml:space="preserve"> Considera-se comportamento inidôneo, entre outros, a declaração falsa quanto às condições de participação. Quanto ao enquadramento como ME/EPP ou conluio entre os licitantes, em qualquer momento da licitação, mesmo após o encerramento da fase de lances. </w:t>
      </w:r>
    </w:p>
    <w:p>
      <w:pPr>
        <w:pStyle w:val="Normal"/>
        <w:tabs>
          <w:tab w:val="clear" w:pos="720"/>
          <w:tab w:val="left" w:pos="576" w:leader="none"/>
        </w:tabs>
        <w:spacing w:lineRule="auto" w:line="276" w:before="4" w:after="4"/>
        <w:ind w:firstLine="567"/>
        <w:contextualSpacing/>
        <w:jc w:val="both"/>
        <w:rPr/>
      </w:pPr>
      <w:r>
        <w:rPr>
          <w:rFonts w:cs="Arial" w:ascii="Times New Roman" w:hAnsi="Times New Roman"/>
          <w:b/>
          <w:bCs/>
          <w:color w:val="00000A"/>
          <w:sz w:val="22"/>
          <w:szCs w:val="22"/>
        </w:rPr>
        <w:t>22.1.11.</w:t>
      </w:r>
      <w:r>
        <w:rPr>
          <w:rFonts w:cs="Arial" w:ascii="Times New Roman" w:hAnsi="Times New Roman"/>
          <w:color w:val="00000A"/>
          <w:sz w:val="22"/>
          <w:szCs w:val="22"/>
        </w:rPr>
        <w:t xml:space="preserve"> O licitante/adjudicatário que cometer qualquer das infrações discriminadas nos subitens anteriores ficará sujeito, sem prejuízo da responsabilidade civil e criminal, às seguintes sanções: </w:t>
      </w:r>
    </w:p>
    <w:p>
      <w:pPr>
        <w:pStyle w:val="ListParagraph"/>
        <w:tabs>
          <w:tab w:val="clear" w:pos="720"/>
          <w:tab w:val="left" w:pos="576" w:leader="none"/>
        </w:tabs>
        <w:spacing w:lineRule="auto" w:line="276" w:before="4" w:after="4"/>
        <w:ind w:hanging="0" w:left="0"/>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22.1.12.</w:t>
      </w:r>
      <w:r>
        <w:rPr>
          <w:rFonts w:cs="Arial" w:ascii="Times New Roman" w:hAnsi="Times New Roman"/>
          <w:color w:val="00000A"/>
          <w:sz w:val="22"/>
          <w:szCs w:val="22"/>
        </w:rPr>
        <w:t xml:space="preserve"> Advertência por faltas leves, assim entendidas como aquelas que não acarretarem prejuízos significativos ao objeto da contratação.</w:t>
      </w:r>
    </w:p>
    <w:p>
      <w:pPr>
        <w:pStyle w:val="ListParagraph"/>
        <w:tabs>
          <w:tab w:val="clear" w:pos="720"/>
          <w:tab w:val="left" w:pos="576" w:leader="none"/>
        </w:tabs>
        <w:spacing w:lineRule="auto" w:line="276" w:before="4" w:after="4"/>
        <w:ind w:hanging="0" w:left="0"/>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22.1.13.</w:t>
      </w:r>
      <w:r>
        <w:rPr>
          <w:rFonts w:cs="Arial" w:ascii="Times New Roman" w:hAnsi="Times New Roman"/>
          <w:color w:val="00000A"/>
          <w:sz w:val="22"/>
          <w:szCs w:val="22"/>
        </w:rPr>
        <w:t xml:space="preserve"> Multa de 10% (dez por cento) sobre o valor total do contrato, no caso de recusa injustificada para assinatura do contrato e recebimento da Nota de Empenho.</w:t>
      </w:r>
    </w:p>
    <w:p>
      <w:pPr>
        <w:pStyle w:val="ListParagraph"/>
        <w:widowControl/>
        <w:tabs>
          <w:tab w:val="clear" w:pos="720"/>
          <w:tab w:val="left" w:pos="514" w:leader="none"/>
        </w:tabs>
        <w:suppressAutoHyphens w:val="true"/>
        <w:bidi w:val="0"/>
        <w:spacing w:lineRule="auto" w:line="276" w:before="4" w:after="4"/>
        <w:ind w:firstLine="567" w:left="0" w:right="0"/>
        <w:contextualSpacing/>
        <w:jc w:val="both"/>
        <w:rPr/>
      </w:pPr>
      <w:r>
        <w:rPr>
          <w:rFonts w:cs="Arial" w:ascii="Times New Roman" w:hAnsi="Times New Roman"/>
          <w:b/>
          <w:bCs/>
          <w:color w:val="00000A"/>
          <w:sz w:val="22"/>
          <w:szCs w:val="22"/>
        </w:rPr>
        <w:t>22.1.14.</w:t>
      </w:r>
      <w:r>
        <w:rPr>
          <w:rFonts w:cs="Arial" w:ascii="Times New Roman" w:hAnsi="Times New Roman"/>
          <w:color w:val="00000A"/>
          <w:sz w:val="22"/>
          <w:szCs w:val="22"/>
        </w:rPr>
        <w:t xml:space="preserve"> Multa de 0,3% (zero vírgula três por cento) em caso de atraso injustificado para  assinatura do contrato ou por atraso na entrega do objeto, por dia de atraso até o limite de 30 dias, sobre o valor total da avença no caso da recusa na assinatura do contrato; e</w:t>
      </w:r>
    </w:p>
    <w:p>
      <w:pPr>
        <w:pStyle w:val="ListParagraph"/>
        <w:widowControl/>
        <w:suppressAutoHyphens w:val="true"/>
        <w:bidi w:val="0"/>
        <w:spacing w:lineRule="auto" w:line="276" w:before="4" w:after="4"/>
        <w:ind w:firstLine="567" w:left="0" w:right="0"/>
        <w:contextualSpacing/>
        <w:jc w:val="both"/>
        <w:rPr/>
      </w:pPr>
      <w:r>
        <w:rPr>
          <w:rFonts w:cs="Arial" w:ascii="Times New Roman" w:hAnsi="Times New Roman"/>
          <w:b/>
          <w:bCs/>
          <w:color w:val="00000A"/>
          <w:sz w:val="22"/>
          <w:szCs w:val="22"/>
        </w:rPr>
        <w:t>22.1.15.</w:t>
      </w:r>
      <w:r>
        <w:rPr>
          <w:rFonts w:cs="Arial" w:ascii="Times New Roman" w:hAnsi="Times New Roman"/>
          <w:color w:val="00000A"/>
          <w:sz w:val="22"/>
          <w:szCs w:val="22"/>
        </w:rPr>
        <w:t xml:space="preserve"> Multa de 0,3% (zero vírgula três por cento) em caso de situação irregular de habilitação  por dia de atraso até o limite de 30 dias, sobre o valor total da Nota de Empenho.</w:t>
      </w:r>
    </w:p>
    <w:p>
      <w:pPr>
        <w:pStyle w:val="ListParagraph"/>
        <w:widowControl/>
        <w:suppressAutoHyphens w:val="true"/>
        <w:bidi w:val="0"/>
        <w:spacing w:lineRule="auto" w:line="276" w:before="4" w:after="4"/>
        <w:ind w:firstLine="567" w:left="0" w:right="0"/>
        <w:contextualSpacing/>
        <w:jc w:val="both"/>
        <w:rPr/>
      </w:pPr>
      <w:r>
        <w:rPr>
          <w:rFonts w:cs="Arial" w:ascii="Times New Roman" w:hAnsi="Times New Roman"/>
          <w:b/>
          <w:bCs/>
          <w:color w:val="00000A"/>
          <w:sz w:val="22"/>
          <w:szCs w:val="22"/>
        </w:rPr>
        <w:t>22.1.16.</w:t>
      </w:r>
      <w:r>
        <w:rPr>
          <w:rFonts w:cs="Arial" w:ascii="Times New Roman" w:hAnsi="Times New Roman"/>
          <w:color w:val="00000A"/>
          <w:sz w:val="22"/>
          <w:szCs w:val="22"/>
        </w:rPr>
        <w:t xml:space="preserve"> Multa de 15% (quinze por cento), pela i</w:t>
      </w:r>
      <w:bookmarkStart w:id="1" w:name="_GoBack"/>
      <w:bookmarkEnd w:id="1"/>
      <w:r>
        <w:rPr>
          <w:rFonts w:cs="Arial" w:ascii="Times New Roman" w:hAnsi="Times New Roman"/>
          <w:color w:val="00000A"/>
          <w:sz w:val="22"/>
          <w:szCs w:val="22"/>
        </w:rPr>
        <w:t>nexecução total ou parcial do fornecimento contratado incidente sobre o valor do material não entregue, por período superior a 30(trinta) dias.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22.1.17.</w:t>
      </w:r>
      <w:r>
        <w:rPr>
          <w:rFonts w:cs="Arial" w:ascii="Times New Roman" w:hAnsi="Times New Roman"/>
          <w:color w:val="00000A"/>
          <w:sz w:val="22"/>
          <w:szCs w:val="22"/>
        </w:rPr>
        <w:t xml:space="preserve"> A multa aplicada, não impede que a IMBEL rescinda o contrato ou aplique outras sanções previstas em lei.</w:t>
        <w:tab/>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22.1.18.</w:t>
      </w:r>
      <w:r>
        <w:rPr>
          <w:rFonts w:cs="Arial" w:ascii="Times New Roman" w:hAnsi="Times New Roman"/>
          <w:color w:val="00000A"/>
          <w:sz w:val="22"/>
          <w:szCs w:val="22"/>
        </w:rPr>
        <w:t xml:space="preserve"> A multa aplicada deverá ser recolhida ao Tesouro Nacional por meio de GRU (guia de recolhimento da união), no prazo máximo de 20 (vinte) dias úteis, a contar do dia útil imediato ao recebimento da notificação enviada pela IMBEL e o recibo entregue na Divisão Administrativa Financeira da IMBEL.</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22.1.19.</w:t>
      </w:r>
      <w:r>
        <w:rPr>
          <w:rFonts w:cs="Arial" w:ascii="Times New Roman" w:hAnsi="Times New Roman"/>
          <w:color w:val="00000A"/>
          <w:sz w:val="22"/>
          <w:szCs w:val="22"/>
        </w:rPr>
        <w:t xml:space="preserve"> Em caso de não pagamento da multa pelo licitante, a mesma será cobrada judicialmente pela IMBEL. </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22.1.20.</w:t>
      </w:r>
      <w:r>
        <w:rPr>
          <w:rFonts w:cs="Arial" w:ascii="Times New Roman" w:hAnsi="Times New Roman"/>
          <w:color w:val="00000A"/>
          <w:sz w:val="22"/>
          <w:szCs w:val="22"/>
        </w:rPr>
        <w:t xml:space="preserve"> Suspensão de licitar e impedimento de contratar com o órgão, entidade ou Unidade Administrativa pela qual a Administração Pública opera e atua concretamente, pelo prazo de até dois anos.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22.1.21.</w:t>
      </w:r>
      <w:r>
        <w:rPr>
          <w:rFonts w:cs="Arial" w:ascii="Times New Roman" w:hAnsi="Times New Roman"/>
          <w:color w:val="00000A"/>
          <w:sz w:val="22"/>
          <w:szCs w:val="22"/>
        </w:rPr>
        <w:t xml:space="preserve"> Impedimento de licitar e de contratar com a União e descredenciamento no SICAF, pelo prazo de até cinco anos.</w:t>
      </w:r>
    </w:p>
    <w:p>
      <w:pPr>
        <w:pStyle w:val="ListParagraph"/>
        <w:tabs>
          <w:tab w:val="clear" w:pos="720"/>
          <w:tab w:val="left" w:pos="1410" w:leader="none"/>
        </w:tabs>
        <w:spacing w:lineRule="auto" w:line="276" w:before="4" w:after="4"/>
        <w:ind w:firstLine="567" w:left="0"/>
        <w:contextualSpacing/>
        <w:jc w:val="both"/>
        <w:rPr/>
      </w:pPr>
      <w:r>
        <w:rPr>
          <w:rFonts w:cs="Arial" w:ascii="Times New Roman" w:hAnsi="Times New Roman"/>
          <w:b/>
          <w:bCs/>
          <w:color w:val="00000A"/>
          <w:sz w:val="22"/>
          <w:szCs w:val="22"/>
        </w:rPr>
        <w:t>22.1.22.</w:t>
      </w:r>
      <w:r>
        <w:rPr>
          <w:rFonts w:cs="Arial" w:ascii="Times New Roman" w:hAnsi="Times New Roman"/>
          <w:color w:val="00000A"/>
          <w:sz w:val="22"/>
          <w:szCs w:val="22"/>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pPr>
        <w:pStyle w:val="ListParagraph"/>
        <w:tabs>
          <w:tab w:val="clear" w:pos="720"/>
          <w:tab w:val="left" w:pos="1410" w:leader="none"/>
        </w:tabs>
        <w:spacing w:lineRule="auto" w:line="276" w:before="4" w:after="4"/>
        <w:ind w:firstLine="567" w:left="0"/>
        <w:contextualSpacing/>
        <w:jc w:val="both"/>
        <w:rPr/>
      </w:pPr>
      <w:r>
        <w:rPr>
          <w:rFonts w:cs="Arial" w:ascii="Times New Roman" w:hAnsi="Times New Roman"/>
          <w:b/>
          <w:bCs/>
          <w:color w:val="00000A"/>
          <w:sz w:val="22"/>
          <w:szCs w:val="22"/>
        </w:rPr>
        <w:t xml:space="preserve">22.1.23. </w:t>
      </w:r>
      <w:r>
        <w:rPr>
          <w:rFonts w:cs="Arial" w:ascii="Times New Roman" w:hAnsi="Times New Roman"/>
          <w:color w:val="00000A"/>
          <w:sz w:val="22"/>
          <w:szCs w:val="22"/>
        </w:rPr>
        <w:t>A penalidade de multa pode ser aplicada cumulativamente com as demais sanções.</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22.1.24.</w:t>
      </w:r>
      <w:r>
        <w:rPr>
          <w:rFonts w:cs="Arial" w:ascii="Times New Roman" w:hAnsi="Times New Roman"/>
          <w:color w:val="00000A"/>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 xml:space="preserve">22.1.25. </w:t>
      </w:r>
      <w:r>
        <w:rPr>
          <w:rFonts w:cs="Arial" w:ascii="Times New Roman" w:hAnsi="Times New Roman"/>
          <w:color w:val="00000A"/>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22.1.26.</w:t>
      </w:r>
      <w:r>
        <w:rPr>
          <w:rFonts w:cs="Arial" w:ascii="Times New Roman" w:hAnsi="Times New Roman"/>
          <w:color w:val="00000A"/>
          <w:sz w:val="22"/>
          <w:szCs w:val="22"/>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22.1.27.</w:t>
      </w:r>
      <w:r>
        <w:rPr>
          <w:rFonts w:cs="Arial" w:ascii="Times New Roman" w:hAnsi="Times New Roman"/>
          <w:color w:val="00000A"/>
          <w:sz w:val="22"/>
          <w:szCs w:val="22"/>
        </w:rPr>
        <w:t xml:space="preserve"> Caso o valor da multa não seja suficiente para cobrir os prejuízos causados pela conduta do licitante, a União ou Entidade poderá cobrar o valor remanescente judicialmente, conforme artigo 419 do Código Civil.</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22.1.28.</w:t>
      </w:r>
      <w:r>
        <w:rPr>
          <w:rFonts w:cs="Arial" w:ascii="Times New Roman" w:hAnsi="Times New Roman"/>
          <w:color w:val="00000A"/>
          <w:sz w:val="22"/>
          <w:szCs w:val="22"/>
        </w:rPr>
        <w:t xml:space="preserve"> A aplicação de qualquer das p</w:t>
      </w:r>
      <w:r>
        <w:rPr>
          <w:rFonts w:cs="Arial" w:ascii="Times New Roman" w:hAnsi="Times New Roman"/>
          <w:color w:val="00000A"/>
          <w:sz w:val="22"/>
          <w:szCs w:val="22"/>
          <w:shd w:fill="auto" w:val="clear"/>
        </w:rPr>
        <w:t>enalidades previstas realizar-se-á em processo administrativo que assegurará o contraditório e a ampla defesa ao licitante/adjudicatário, observando-se o procedimento previsto na Lei nº 13.303/2016, Lei 10.024/2021, e subsidiariamente na Lei nº 9.784, de 1999.</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shd w:fill="auto" w:val="clear"/>
        </w:rPr>
        <w:t xml:space="preserve">22.1.29. </w:t>
      </w:r>
      <w:r>
        <w:rPr>
          <w:rFonts w:cs="Arial" w:ascii="Times New Roman" w:hAnsi="Times New Roman"/>
          <w:color w:val="00000A"/>
          <w:sz w:val="22"/>
          <w:szCs w:val="22"/>
          <w:shd w:fill="auto" w:val="clear"/>
        </w:rPr>
        <w:t>A autoridade competente, na aplicação</w:t>
      </w:r>
      <w:r>
        <w:rPr>
          <w:rFonts w:cs="Arial" w:ascii="Times New Roman" w:hAnsi="Times New Roman"/>
          <w:color w:val="00000A"/>
          <w:sz w:val="22"/>
          <w:szCs w:val="22"/>
        </w:rPr>
        <w:t xml:space="preserve"> das sanções, levará em consideração a gravidade da conduta do infrator, o caráter educativo da pena, bem como o dano causado à Administração, observado o princípio da proporcionalidade.</w:t>
      </w:r>
    </w:p>
    <w:p>
      <w:pPr>
        <w:pStyle w:val="ListParagraph"/>
        <w:spacing w:lineRule="auto" w:line="276" w:before="4" w:after="4"/>
        <w:ind w:firstLine="567" w:left="0"/>
        <w:contextualSpacing/>
        <w:jc w:val="both"/>
        <w:rPr/>
      </w:pPr>
      <w:r>
        <w:rPr>
          <w:rFonts w:cs="Arial" w:ascii="Times New Roman" w:hAnsi="Times New Roman"/>
          <w:b/>
          <w:bCs/>
          <w:color w:val="00000A"/>
          <w:sz w:val="22"/>
          <w:szCs w:val="22"/>
        </w:rPr>
        <w:t xml:space="preserve">22.1.30. </w:t>
      </w:r>
      <w:r>
        <w:rPr>
          <w:rFonts w:cs="Arial" w:ascii="Times New Roman" w:hAnsi="Times New Roman"/>
          <w:color w:val="00000A"/>
          <w:sz w:val="22"/>
          <w:szCs w:val="22"/>
        </w:rPr>
        <w:t>As penalidades serão obrigatoriamente registradas no SICAF.</w:t>
      </w:r>
    </w:p>
    <w:p>
      <w:pPr>
        <w:pStyle w:val="ListParagraph"/>
        <w:spacing w:lineRule="auto" w:line="276" w:before="4" w:after="4"/>
        <w:ind w:firstLine="567"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spacing w:lineRule="auto" w:line="276" w:before="4" w:after="4"/>
        <w:ind w:firstLine="567"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spacing w:lineRule="auto" w:line="276" w:before="4" w:after="4"/>
        <w:ind w:firstLine="567"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spacing w:lineRule="auto" w:line="276" w:before="4" w:after="4"/>
        <w:ind w:firstLine="567"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spacing w:lineRule="auto" w:line="276" w:before="4" w:after="4"/>
        <w:ind w:firstLine="567" w:left="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ListParagraph"/>
        <w:spacing w:lineRule="auto" w:line="276" w:before="4" w:after="4"/>
        <w:ind w:hanging="0" w:left="0"/>
        <w:contextualSpacing/>
        <w:jc w:val="both"/>
        <w:rPr/>
      </w:pPr>
      <w:r>
        <w:rPr>
          <w:rFonts w:cs="Arial" w:ascii="Times New Roman" w:hAnsi="Times New Roman"/>
          <w:b/>
          <w:bCs/>
          <w:color w:val="00000A"/>
          <w:sz w:val="22"/>
          <w:szCs w:val="22"/>
        </w:rPr>
        <w:t>23. DA FORMAÇÃO DO CADASTRO DE RESERVA</w:t>
      </w:r>
    </w:p>
    <w:p>
      <w:pPr>
        <w:pStyle w:val="ListParagraph"/>
        <w:spacing w:lineRule="auto" w:line="276" w:before="4" w:after="4"/>
        <w:ind w:hanging="0" w:left="0"/>
        <w:contextualSpacing/>
        <w:jc w:val="both"/>
        <w:rPr>
          <w:rFonts w:ascii="Times New Roman" w:hAnsi="Times New Roman" w:eastAsia="SimSun" w:cs="Arial"/>
          <w:b/>
          <w:bCs/>
          <w:color w:val="00000A"/>
          <w:sz w:val="22"/>
          <w:szCs w:val="22"/>
          <w:lang w:val="pt-BR" w:eastAsia="pt-BR" w:bidi="ar-SA"/>
        </w:rPr>
      </w:pPr>
      <w:r>
        <w:rPr>
          <w:rFonts w:eastAsia="SimSun" w:cs="Arial" w:ascii="Times New Roman" w:hAnsi="Times New Roman"/>
          <w:b/>
          <w:bCs/>
          <w:color w:val="00000A"/>
          <w:sz w:val="22"/>
          <w:szCs w:val="22"/>
          <w:lang w:val="pt-BR" w:eastAsia="pt-BR" w:bidi="ar-SA"/>
        </w:rPr>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23.1.</w:t>
      </w:r>
      <w:r>
        <w:rPr>
          <w:rFonts w:cs="Arial" w:ascii="Times New Roman" w:hAnsi="Times New Roman"/>
          <w:color w:val="00000A"/>
          <w:sz w:val="22"/>
          <w:szCs w:val="22"/>
        </w:rPr>
        <w:t xml:space="preserve"> Após o encerramento da etapa competitiva, os licitantes poderão reduzir seus preços ao valor da proposta do licitante mais bem classificado.</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23.2.</w:t>
      </w:r>
      <w:r>
        <w:rPr>
          <w:rFonts w:cs="Arial" w:ascii="Times New Roman" w:hAnsi="Times New Roman"/>
          <w:color w:val="00000A"/>
          <w:sz w:val="22"/>
          <w:szCs w:val="22"/>
        </w:rPr>
        <w:t xml:space="preserve"> A apresentação de novas propostas na forma deste item não prejudicará o resultado do certame em relação ao licitante melhor classificado.</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 xml:space="preserve">23.3. </w:t>
      </w:r>
      <w:r>
        <w:rPr>
          <w:rFonts w:cs="Arial" w:ascii="Times New Roman" w:hAnsi="Times New Roman"/>
          <w:color w:val="00000A"/>
          <w:sz w:val="22"/>
          <w:szCs w:val="22"/>
        </w:rPr>
        <w:t>Havendo um ou mais licitantes que aceitem cotar suas propostas em valor igual ao do licitante vencedor, estes serão classificados segundo a ordem da última proposta individual apresentada durante a fase competitiva.</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color w:val="00000A"/>
          <w:sz w:val="22"/>
          <w:szCs w:val="22"/>
          <w:shd w:fill="auto" w:val="clear"/>
        </w:rPr>
        <w:tab/>
      </w:r>
      <w:r>
        <w:rPr>
          <w:rFonts w:cs="Arial" w:ascii="Times New Roman" w:hAnsi="Times New Roman"/>
          <w:b/>
          <w:bCs/>
          <w:color w:val="00000A"/>
          <w:sz w:val="22"/>
          <w:szCs w:val="22"/>
          <w:shd w:fill="auto" w:val="clear"/>
        </w:rPr>
        <w:t>23.4.</w:t>
      </w:r>
      <w:r>
        <w:rPr>
          <w:rFonts w:cs="Arial" w:ascii="Times New Roman" w:hAnsi="Times New Roman"/>
          <w:color w:val="00000A"/>
          <w:sz w:val="22"/>
          <w:szCs w:val="22"/>
          <w:shd w:fill="auto" w:val="clear"/>
        </w:rPr>
        <w:t xml:space="preserve"> Esta ordem de classificação dos licitantes registrados deverá ser respeitada nas contratações e somente será utilizada acaso o melhor colocado no certame não assine a ata ou tenha seu registro cancelado nas hipóteses previstas nos artigos 28 e 29 do Decreto 11.462/2023.</w:t>
      </w:r>
    </w:p>
    <w:p>
      <w:pPr>
        <w:pStyle w:val="ListParagraph"/>
        <w:spacing w:lineRule="auto" w:line="276" w:before="4" w:after="4"/>
        <w:ind w:hanging="0" w:left="0"/>
        <w:contextualSpacing/>
        <w:jc w:val="both"/>
        <w:rPr>
          <w:rFonts w:ascii="Times New Roman" w:hAnsi="Times New Roman" w:eastAsia="SimSun" w:cs="Tahoma"/>
          <w:color w:val="00000A"/>
          <w:sz w:val="22"/>
          <w:szCs w:val="22"/>
          <w:shd w:fill="auto" w:val="clear"/>
          <w:lang w:val="pt-BR" w:eastAsia="pt-BR" w:bidi="ar-SA"/>
        </w:rPr>
      </w:pPr>
      <w:r>
        <w:rPr>
          <w:rFonts w:eastAsia="SimSun" w:cs="Tahoma" w:ascii="Times New Roman" w:hAnsi="Times New Roman"/>
          <w:color w:val="00000A"/>
          <w:sz w:val="22"/>
          <w:szCs w:val="22"/>
          <w:shd w:fill="auto" w:val="clear"/>
          <w:lang w:val="pt-BR" w:eastAsia="pt-BR" w:bidi="ar-SA"/>
        </w:rPr>
      </w:r>
    </w:p>
    <w:p>
      <w:pPr>
        <w:pStyle w:val="Nivel01"/>
        <w:spacing w:lineRule="auto" w:line="276" w:before="4" w:after="4"/>
        <w:contextualSpacing/>
        <w:rPr/>
      </w:pPr>
      <w:r>
        <w:rPr>
          <w:rFonts w:cs="Arial" w:ascii="Times New Roman" w:hAnsi="Times New Roman"/>
          <w:color w:val="00000A"/>
          <w:sz w:val="22"/>
          <w:szCs w:val="22"/>
          <w:shd w:fill="auto" w:val="clear"/>
        </w:rPr>
        <w:t>24. DA IMPUGNAÇÃO AO EDITAL E DO PEDIDO DE ESCLARECIMENTO</w:t>
      </w:r>
    </w:p>
    <w:p>
      <w:pPr>
        <w:pStyle w:val="Normal"/>
        <w:spacing w:lineRule="auto" w:line="276" w:before="4" w:after="4"/>
        <w:contextualSpacing/>
        <w:rPr>
          <w:rFonts w:ascii="Times New Roman" w:hAnsi="Times New Roman" w:eastAsia="SimSun" w:cs="Arial"/>
          <w:color w:val="00000A"/>
          <w:sz w:val="22"/>
          <w:szCs w:val="22"/>
          <w:shd w:fill="auto" w:val="clear"/>
          <w:lang w:val="pt-BR" w:eastAsia="pt-BR" w:bidi="ar-SA"/>
        </w:rPr>
      </w:pPr>
      <w:r>
        <w:rPr>
          <w:rFonts w:eastAsia="SimSun" w:cs="Arial" w:ascii="Times New Roman" w:hAnsi="Times New Roman"/>
          <w:color w:val="00000A"/>
          <w:sz w:val="22"/>
          <w:szCs w:val="22"/>
          <w:shd w:fill="auto" w:val="clear"/>
          <w:lang w:val="pt-BR" w:eastAsia="pt-BR" w:bidi="ar-SA"/>
        </w:rPr>
      </w:r>
    </w:p>
    <w:p>
      <w:pPr>
        <w:pStyle w:val="BodyText"/>
        <w:tabs>
          <w:tab w:val="clear" w:pos="720"/>
          <w:tab w:val="left" w:pos="338" w:leader="none"/>
        </w:tabs>
        <w:spacing w:lineRule="auto" w:line="276" w:before="4" w:after="4"/>
        <w:contextualSpacing/>
        <w:jc w:val="both"/>
        <w:rPr/>
      </w:pPr>
      <w:r>
        <w:rPr>
          <w:rFonts w:ascii="Times New Roman" w:hAnsi="Times New Roman"/>
          <w:b/>
          <w:bCs/>
          <w:color w:val="00000A"/>
          <w:sz w:val="22"/>
          <w:szCs w:val="22"/>
        </w:rPr>
        <w:tab/>
        <w:t>24.1.</w:t>
      </w:r>
      <w:r>
        <w:rPr>
          <w:rFonts w:ascii="Times New Roman" w:hAnsi="Times New Roman"/>
          <w:color w:val="00000A"/>
          <w:sz w:val="22"/>
          <w:szCs w:val="22"/>
        </w:rPr>
        <w:t xml:space="preserve"> Até 03 (três)</w:t>
      </w:r>
      <w:r>
        <w:rPr>
          <w:rFonts w:cs="Arial" w:ascii="Times New Roman" w:hAnsi="Times New Roman"/>
          <w:color w:val="00000A"/>
          <w:sz w:val="22"/>
          <w:szCs w:val="22"/>
        </w:rPr>
        <w:t xml:space="preserve"> dias úteis antes da data designada para a abertura da sessão pública, qualquer pessoa poderá impugnar este Edital.</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24.2.</w:t>
      </w:r>
      <w:r>
        <w:rPr>
          <w:rFonts w:cs="Arial" w:ascii="Times New Roman" w:hAnsi="Times New Roman"/>
          <w:color w:val="00000A"/>
          <w:sz w:val="22"/>
          <w:szCs w:val="22"/>
        </w:rPr>
        <w:t xml:space="preserve"> A impugnação poderá ser realizada por forma eletrônica, pelo e-mail:</w:t>
      </w:r>
      <w:r>
        <w:rPr>
          <w:rFonts w:cs="Arial" w:ascii="Times New Roman" w:hAnsi="Times New Roman"/>
          <w:b/>
          <w:bCs/>
          <w:color w:val="00000A"/>
          <w:sz w:val="22"/>
          <w:szCs w:val="22"/>
          <w:shd w:fill="FFFF00" w:val="clear"/>
        </w:rPr>
        <w:t xml:space="preserve"> milene</w:t>
      </w:r>
      <w:hyperlink r:id="rId5">
        <w:r>
          <w:rPr>
            <w:rStyle w:val="Hyperlink"/>
            <w:rFonts w:cs="Arial" w:ascii="Times New Roman" w:hAnsi="Times New Roman"/>
            <w:b/>
            <w:bCs/>
            <w:color w:val="00000A"/>
            <w:sz w:val="22"/>
            <w:szCs w:val="22"/>
            <w:shd w:fill="FFFF00" w:val="clear"/>
          </w:rPr>
          <w:t>.fi@imbel.gov.br</w:t>
        </w:r>
      </w:hyperlink>
      <w:r>
        <w:rPr>
          <w:rStyle w:val="Hyperlink"/>
          <w:rFonts w:cs="Arial" w:ascii="Times New Roman" w:hAnsi="Times New Roman"/>
          <w:b/>
          <w:bCs/>
          <w:color w:val="00000A"/>
          <w:sz w:val="22"/>
          <w:szCs w:val="22"/>
          <w:shd w:fill="FFFF00" w:val="clear"/>
        </w:rPr>
        <w:t xml:space="preserve"> / milene.salcfi@gmail.com</w:t>
      </w:r>
      <w:r>
        <w:rPr>
          <w:rFonts w:cs="Arial" w:ascii="Times New Roman" w:hAnsi="Times New Roman"/>
          <w:color w:val="00000A"/>
          <w:sz w:val="22"/>
          <w:szCs w:val="22"/>
        </w:rPr>
        <w:t xml:space="preserve"> ou por petição dirigida ou protocolada na IMBEL/FI, no endereço Avenida Coronel Aventino Ribeiro nº 1.099, Bairro Imbel, Itajubá-MG, Seção de Aquisições e Licitações (telefone: 35 3629-9422).</w:t>
      </w:r>
    </w:p>
    <w:p>
      <w:pPr>
        <w:pStyle w:val="BodyText"/>
        <w:tabs>
          <w:tab w:val="clear" w:pos="720"/>
          <w:tab w:val="left" w:pos="338" w:leader="none"/>
        </w:tabs>
        <w:spacing w:lineRule="auto" w:line="276" w:before="4" w:after="4"/>
        <w:contextualSpacing/>
        <w:jc w:val="both"/>
        <w:rPr/>
      </w:pPr>
      <w:r>
        <w:rPr>
          <w:rFonts w:ascii="Times New Roman" w:hAnsi="Times New Roman"/>
          <w:color w:val="00000A"/>
          <w:sz w:val="22"/>
          <w:szCs w:val="22"/>
        </w:rPr>
        <w:tab/>
      </w:r>
      <w:r>
        <w:rPr>
          <w:rFonts w:ascii="Times New Roman" w:hAnsi="Times New Roman"/>
          <w:b/>
          <w:bCs/>
          <w:color w:val="00000A"/>
          <w:sz w:val="22"/>
          <w:szCs w:val="22"/>
        </w:rPr>
        <w:t xml:space="preserve">24.3. </w:t>
      </w:r>
      <w:r>
        <w:rPr>
          <w:rFonts w:ascii="Times New Roman" w:hAnsi="Times New Roman"/>
          <w:color w:val="00000A"/>
          <w:sz w:val="22"/>
          <w:szCs w:val="22"/>
        </w:rPr>
        <w:t>Caberá ao Pregoeiro, auxiliado pelos responsáveis pela elaboração deste Edital e seus anexos, decidir sobre a impugnação no prazo de até dois dias úteis contados da data de recebimento da impugnação.</w:t>
      </w:r>
    </w:p>
    <w:p>
      <w:pPr>
        <w:pStyle w:val="ListParagraph"/>
        <w:tabs>
          <w:tab w:val="clear" w:pos="720"/>
          <w:tab w:val="left" w:pos="338" w:leader="none"/>
        </w:tabs>
        <w:spacing w:lineRule="auto" w:line="276" w:before="4" w:after="4"/>
        <w:ind w:hanging="0" w:left="0"/>
        <w:contextualSpacing/>
        <w:jc w:val="both"/>
        <w:rPr/>
      </w:pPr>
      <w:r>
        <w:rPr>
          <w:rFonts w:cs="Arial" w:ascii="Times New Roman" w:hAnsi="Times New Roman"/>
          <w:b/>
          <w:bCs/>
          <w:color w:val="00000A"/>
          <w:sz w:val="22"/>
          <w:szCs w:val="22"/>
        </w:rPr>
        <w:tab/>
        <w:t xml:space="preserve">24.4. </w:t>
      </w:r>
      <w:r>
        <w:rPr>
          <w:rFonts w:cs="Arial" w:ascii="Times New Roman" w:hAnsi="Times New Roman"/>
          <w:color w:val="00000A"/>
          <w:sz w:val="22"/>
          <w:szCs w:val="22"/>
        </w:rPr>
        <w:t>Acolhida a impugnação, será definida e publicada nova data para a realização do certame.</w:t>
      </w:r>
    </w:p>
    <w:p>
      <w:pPr>
        <w:pStyle w:val="BodyText"/>
        <w:tabs>
          <w:tab w:val="clear" w:pos="720"/>
          <w:tab w:val="left" w:pos="338" w:leader="none"/>
        </w:tabs>
        <w:spacing w:lineRule="auto" w:line="276" w:before="4" w:after="4"/>
        <w:contextualSpacing/>
        <w:jc w:val="both"/>
        <w:rPr/>
      </w:pPr>
      <w:r>
        <w:rPr>
          <w:rFonts w:ascii="Times New Roman" w:hAnsi="Times New Roman"/>
          <w:b/>
          <w:bCs/>
          <w:color w:val="00000A"/>
          <w:sz w:val="22"/>
          <w:szCs w:val="22"/>
        </w:rPr>
        <w:tab/>
        <w:t>24.5.</w:t>
      </w:r>
      <w:r>
        <w:rPr>
          <w:rFonts w:ascii="Times New Roman" w:hAnsi="Times New Roman"/>
          <w:color w:val="00000A"/>
          <w:sz w:val="22"/>
          <w:szCs w:val="22"/>
        </w:rPr>
        <w:t xml:space="preserve"> Os pedidos de esclarecimentos referentes a este processo licitatório deverão ser enviados ao Pregoeiro, até 03 (três) dias úteis anteriores à data designada para abertura da sessão pública, </w:t>
      </w:r>
      <w:r>
        <w:rPr>
          <w:rFonts w:ascii="Times New Roman" w:hAnsi="Times New Roman"/>
          <w:color w:val="00000A"/>
          <w:sz w:val="22"/>
          <w:szCs w:val="22"/>
          <w:lang w:eastAsia="en-US"/>
        </w:rPr>
        <w:t>exclusivamente por meio eletrônico via internet, no endereço indicado no Edital.</w:t>
      </w:r>
    </w:p>
    <w:p>
      <w:pPr>
        <w:pStyle w:val="BodyText"/>
        <w:tabs>
          <w:tab w:val="clear" w:pos="720"/>
          <w:tab w:val="left" w:pos="338" w:leader="none"/>
        </w:tabs>
        <w:spacing w:lineRule="auto" w:line="276" w:before="0" w:after="0"/>
        <w:contextualSpacing/>
        <w:jc w:val="both"/>
        <w:rPr/>
      </w:pPr>
      <w:r>
        <w:rPr>
          <w:rFonts w:ascii="Times New Roman" w:hAnsi="Times New Roman"/>
          <w:color w:val="00000A"/>
          <w:sz w:val="22"/>
          <w:szCs w:val="22"/>
        </w:rPr>
        <w:tab/>
      </w:r>
      <w:r>
        <w:rPr>
          <w:rFonts w:ascii="Times New Roman" w:hAnsi="Times New Roman"/>
          <w:b/>
          <w:bCs/>
          <w:color w:val="00000A"/>
          <w:sz w:val="22"/>
          <w:szCs w:val="22"/>
        </w:rPr>
        <w:t>24.6.</w:t>
      </w:r>
      <w:r>
        <w:rPr>
          <w:rFonts w:ascii="Times New Roman" w:hAnsi="Times New Roman"/>
          <w:color w:val="00000A"/>
          <w:sz w:val="22"/>
          <w:szCs w:val="22"/>
        </w:rPr>
        <w:t xml:space="preserve"> O pregoeiro responderá aos pedidos de esclarecimentos no prazo de dois dias úteis, contado da data de recebimento do pedido, e poderá requisitar subsídios formais aos responsáveis pela elaboração do edital e dos anexos.</w:t>
      </w:r>
    </w:p>
    <w:p>
      <w:pPr>
        <w:pStyle w:val="ListParagraph"/>
        <w:tabs>
          <w:tab w:val="clear" w:pos="720"/>
          <w:tab w:val="left" w:pos="338" w:leader="none"/>
        </w:tabs>
        <w:spacing w:lineRule="auto" w:line="276" w:before="0" w:after="0"/>
        <w:ind w:hanging="0" w:left="0"/>
        <w:contextualSpacing/>
        <w:jc w:val="both"/>
        <w:rPr/>
      </w:pPr>
      <w:r>
        <w:rPr>
          <w:rFonts w:cs="Arial" w:ascii="Times New Roman" w:hAnsi="Times New Roman"/>
          <w:color w:val="00000A"/>
          <w:sz w:val="22"/>
          <w:szCs w:val="22"/>
        </w:rPr>
        <w:tab/>
      </w:r>
      <w:r>
        <w:rPr>
          <w:rFonts w:cs="Arial" w:ascii="Times New Roman" w:hAnsi="Times New Roman"/>
          <w:b/>
          <w:bCs/>
          <w:color w:val="00000A"/>
          <w:sz w:val="22"/>
          <w:szCs w:val="22"/>
        </w:rPr>
        <w:t xml:space="preserve">24.7. </w:t>
      </w:r>
      <w:r>
        <w:rPr>
          <w:rFonts w:cs="Arial" w:ascii="Times New Roman" w:hAnsi="Times New Roman"/>
          <w:color w:val="00000A"/>
          <w:sz w:val="22"/>
          <w:szCs w:val="22"/>
        </w:rPr>
        <w:t>As impugnações e pedidos de esclarecimentos não suspendem os prazos previstos no certame.</w:t>
      </w:r>
    </w:p>
    <w:p>
      <w:pPr>
        <w:pStyle w:val="BodyText"/>
        <w:tabs>
          <w:tab w:val="clear" w:pos="720"/>
          <w:tab w:val="left" w:pos="338" w:leader="none"/>
        </w:tabs>
        <w:spacing w:lineRule="auto" w:line="276" w:before="0" w:after="0"/>
        <w:contextualSpacing/>
        <w:jc w:val="both"/>
        <w:rPr/>
      </w:pPr>
      <w:r>
        <w:rPr>
          <w:rFonts w:ascii="Times New Roman" w:hAnsi="Times New Roman"/>
          <w:color w:val="00000A"/>
          <w:sz w:val="22"/>
          <w:szCs w:val="22"/>
        </w:rPr>
        <w:tab/>
      </w:r>
      <w:r>
        <w:rPr>
          <w:rFonts w:ascii="Times New Roman" w:hAnsi="Times New Roman"/>
          <w:b/>
          <w:bCs/>
          <w:color w:val="00000A"/>
          <w:sz w:val="22"/>
          <w:szCs w:val="22"/>
        </w:rPr>
        <w:t xml:space="preserve">24.8. </w:t>
      </w:r>
      <w:r>
        <w:rPr>
          <w:rFonts w:ascii="Times New Roman" w:hAnsi="Times New Roman"/>
          <w:color w:val="00000A"/>
          <w:sz w:val="22"/>
          <w:szCs w:val="22"/>
        </w:rPr>
        <w:t>A concessão de efeito suspensivo à impugnação é medida excepcional e deverá ser motivada pelo pregoeiro, nos autos do processo de licitação.</w:t>
      </w:r>
    </w:p>
    <w:p>
      <w:pPr>
        <w:pStyle w:val="BodyText"/>
        <w:tabs>
          <w:tab w:val="clear" w:pos="720"/>
          <w:tab w:val="left" w:pos="338" w:leader="none"/>
        </w:tabs>
        <w:spacing w:lineRule="auto" w:line="276" w:before="4" w:after="4"/>
        <w:contextualSpacing/>
        <w:jc w:val="both"/>
        <w:rPr/>
      </w:pPr>
      <w:r>
        <w:rPr>
          <w:rFonts w:ascii="Times New Roman" w:hAnsi="Times New Roman"/>
          <w:b/>
          <w:bCs/>
          <w:color w:val="00000A"/>
          <w:sz w:val="22"/>
          <w:szCs w:val="22"/>
        </w:rPr>
        <w:tab/>
        <w:t>24.9.</w:t>
      </w:r>
      <w:r>
        <w:rPr>
          <w:rFonts w:ascii="Times New Roman" w:hAnsi="Times New Roman"/>
          <w:color w:val="00000A"/>
          <w:sz w:val="22"/>
          <w:szCs w:val="22"/>
        </w:rPr>
        <w:t xml:space="preserve"> As respostas aos pedidos de esclarecimentos serão divulgadas pelo sistema e vincularão os participantes e a administração.</w:t>
      </w:r>
    </w:p>
    <w:p>
      <w:pPr>
        <w:pStyle w:val="BodyText"/>
        <w:spacing w:lineRule="auto" w:line="276" w:before="0" w:after="0"/>
        <w:contextualSpacing/>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ivel01"/>
        <w:spacing w:lineRule="auto" w:line="276" w:before="0" w:after="0"/>
        <w:contextualSpacing/>
        <w:rPr/>
      </w:pPr>
      <w:r>
        <w:rPr>
          <w:rFonts w:cs="Arial" w:ascii="Times New Roman" w:hAnsi="Times New Roman"/>
          <w:color w:val="00000A"/>
          <w:sz w:val="22"/>
          <w:szCs w:val="22"/>
        </w:rPr>
        <w:t>25. DAS DISPOSIÇÕES GERAIS</w:t>
      </w:r>
    </w:p>
    <w:p>
      <w:pPr>
        <w:pStyle w:val="Normal"/>
        <w:spacing w:lineRule="auto" w:line="276" w:before="0" w:after="0"/>
        <w:contextualSpacing/>
        <w:rPr>
          <w:rFonts w:ascii="Times New Roman" w:hAnsi="Times New Roman" w:eastAsia="SimSun" w:cs="Arial"/>
          <w:color w:val="00000A"/>
          <w:sz w:val="22"/>
          <w:szCs w:val="22"/>
          <w:lang w:val="pt-BR" w:eastAsia="pt-BR" w:bidi="ar-SA"/>
        </w:rPr>
      </w:pPr>
      <w:r>
        <w:rPr>
          <w:rFonts w:eastAsia="SimSun" w:cs="Arial" w:ascii="Times New Roman" w:hAnsi="Times New Roman"/>
          <w:color w:val="00000A"/>
          <w:sz w:val="22"/>
          <w:szCs w:val="22"/>
          <w:lang w:val="pt-BR" w:eastAsia="pt-BR" w:bidi="ar-SA"/>
        </w:rPr>
      </w:r>
    </w:p>
    <w:p>
      <w:pPr>
        <w:pStyle w:val="Normal"/>
        <w:tabs>
          <w:tab w:val="clear" w:pos="720"/>
          <w:tab w:val="left" w:pos="338" w:leader="none"/>
        </w:tabs>
        <w:spacing w:lineRule="auto" w:line="276" w:before="0" w:after="0"/>
        <w:contextualSpacing/>
        <w:jc w:val="both"/>
        <w:rPr/>
      </w:pPr>
      <w:r>
        <w:rPr>
          <w:rFonts w:cs="Arial" w:ascii="Times New Roman" w:hAnsi="Times New Roman"/>
          <w:b/>
          <w:bCs/>
          <w:color w:val="00000A"/>
          <w:sz w:val="22"/>
          <w:szCs w:val="22"/>
        </w:rPr>
        <w:tab/>
        <w:t>25.1.</w:t>
      </w:r>
      <w:r>
        <w:rPr>
          <w:rFonts w:cs="Arial" w:ascii="Times New Roman" w:hAnsi="Times New Roman"/>
          <w:color w:val="00000A"/>
          <w:sz w:val="22"/>
          <w:szCs w:val="22"/>
        </w:rPr>
        <w:t xml:space="preserve"> Da sessão pública do Pregão divulgar-se-á Ata no sistema eletrônico.</w:t>
      </w:r>
    </w:p>
    <w:p>
      <w:pPr>
        <w:pStyle w:val="Normal"/>
        <w:tabs>
          <w:tab w:val="clear" w:pos="720"/>
          <w:tab w:val="left" w:pos="338" w:leader="none"/>
        </w:tabs>
        <w:spacing w:lineRule="auto" w:line="276" w:before="0" w:after="0"/>
        <w:contextualSpacing/>
        <w:jc w:val="both"/>
        <w:rPr/>
      </w:pPr>
      <w:r>
        <w:rPr>
          <w:rFonts w:cs="Arial" w:ascii="Times New Roman" w:hAnsi="Times New Roman"/>
          <w:b/>
          <w:bCs/>
          <w:color w:val="00000A"/>
          <w:sz w:val="22"/>
          <w:szCs w:val="22"/>
        </w:rPr>
        <w:tab/>
        <w:t xml:space="preserve">25.2. </w:t>
      </w:r>
      <w:r>
        <w:rPr>
          <w:rFonts w:cs="Arial" w:ascii="Times New Roman" w:hAnsi="Times New Roman"/>
          <w:color w:val="00000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25.3.</w:t>
      </w:r>
      <w:r>
        <w:rPr>
          <w:rFonts w:cs="Arial" w:ascii="Times New Roman" w:hAnsi="Times New Roman"/>
          <w:color w:val="00000A"/>
          <w:sz w:val="22"/>
          <w:szCs w:val="22"/>
        </w:rPr>
        <w:t xml:space="preserve"> Todas as referências de tempo no Edital, no aviso e durante a sessão pública observarão o horário de Brasília – DF.</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 xml:space="preserve">25.4. </w:t>
      </w:r>
      <w:r>
        <w:rPr>
          <w:rFonts w:cs="Arial" w:ascii="Times New Roman" w:hAnsi="Times New Roman"/>
          <w:color w:val="00000A"/>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 xml:space="preserve">25.5. </w:t>
      </w:r>
      <w:r>
        <w:rPr>
          <w:rFonts w:cs="Arial" w:ascii="Times New Roman" w:hAnsi="Times New Roman"/>
          <w:color w:val="00000A"/>
          <w:sz w:val="22"/>
          <w:szCs w:val="22"/>
        </w:rPr>
        <w:t>A homologação do resultado desta licitação não implicará direito à contratação.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25.6.</w:t>
      </w:r>
      <w:r>
        <w:rPr>
          <w:rFonts w:cs="Arial" w:ascii="Times New Roman" w:hAnsi="Times New Roman"/>
          <w:color w:val="00000A"/>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 xml:space="preserve">25.7. </w:t>
      </w:r>
      <w:r>
        <w:rPr>
          <w:rFonts w:cs="Arial" w:ascii="Times New Roman" w:hAnsi="Times New Roman"/>
          <w:color w:val="00000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25.8.</w:t>
      </w:r>
      <w:r>
        <w:rPr>
          <w:rFonts w:cs="Arial" w:ascii="Times New Roman" w:hAnsi="Times New Roman"/>
          <w:color w:val="00000A"/>
          <w:sz w:val="22"/>
          <w:szCs w:val="22"/>
        </w:rPr>
        <w:t xml:space="preserve"> Na contagem dos prazos estabelecidos neste Edital e seus Anexos, excluir-se-á o dia do início e incluir-se-á o do vencimento. Só se iniciam e vencem os prazos em dias de expediente na Administração.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25.9.</w:t>
      </w:r>
      <w:r>
        <w:rPr>
          <w:rFonts w:cs="Arial" w:ascii="Times New Roman" w:hAnsi="Times New Roman"/>
          <w:color w:val="00000A"/>
          <w:sz w:val="22"/>
          <w:szCs w:val="22"/>
        </w:rPr>
        <w:t xml:space="preserve"> O desatendimento de exigências formais não essenciais não importará o afastamento do licitante, desde que seja possível o aproveitamento do ato, observados os princípios da isonomia e do interesse público.</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25.10.</w:t>
      </w:r>
      <w:r>
        <w:rPr>
          <w:rFonts w:cs="Arial" w:ascii="Times New Roman" w:hAnsi="Times New Roman"/>
          <w:color w:val="00000A"/>
          <w:sz w:val="22"/>
          <w:szCs w:val="22"/>
        </w:rPr>
        <w:t xml:space="preserve"> Em caso de divergência entre disposições deste Edital e de seus anexos ou demais peças que compõem o processo, prevalecerá as deste Edital.</w:t>
      </w:r>
    </w:p>
    <w:p>
      <w:pPr>
        <w:pStyle w:val="Normal"/>
        <w:tabs>
          <w:tab w:val="clear" w:pos="720"/>
          <w:tab w:val="left" w:pos="338" w:leader="none"/>
        </w:tabs>
        <w:spacing w:lineRule="auto" w:line="276" w:before="4" w:after="4"/>
        <w:contextualSpacing/>
        <w:jc w:val="both"/>
        <w:rPr/>
      </w:pPr>
      <w:r>
        <w:rPr>
          <w:rFonts w:cs="Arial" w:ascii="Times New Roman" w:hAnsi="Times New Roman"/>
          <w:b/>
          <w:bCs/>
          <w:color w:val="00000A"/>
          <w:sz w:val="22"/>
          <w:szCs w:val="22"/>
        </w:rPr>
        <w:tab/>
        <w:t>25.11.</w:t>
      </w:r>
      <w:r>
        <w:rPr>
          <w:rFonts w:cs="Arial" w:ascii="Times New Roman" w:hAnsi="Times New Roman"/>
          <w:color w:val="00000A"/>
          <w:sz w:val="22"/>
          <w:szCs w:val="22"/>
        </w:rPr>
        <w:t xml:space="preserve"> O Edital está disponibilizado, na íntegra, no endereço eletrônico </w:t>
      </w:r>
      <w:r>
        <w:rPr>
          <w:rStyle w:val="Hyperlink"/>
          <w:rFonts w:cs="Arial" w:ascii="Times New Roman" w:hAnsi="Times New Roman"/>
          <w:color w:val="00000A"/>
          <w:sz w:val="22"/>
          <w:szCs w:val="22"/>
        </w:rPr>
        <w:t>www.gov.br/compras</w:t>
      </w:r>
      <w:r>
        <w:rPr>
          <w:rFonts w:cs="Arial" w:ascii="Times New Roman" w:hAnsi="Times New Roman"/>
          <w:color w:val="00000A"/>
          <w:sz w:val="22"/>
          <w:szCs w:val="22"/>
        </w:rPr>
        <w:t>, e também poderão ser lidos e/ou obtidos no endereço Avenida Coronel Aventino Ribeiro nº 1.099, Bairro Imbel, Itajubá-MG, Seção de Aquisições e Licitações, nos dias úteis, no horário das 08 horas às 16 horas, mesmo endereço e período no qual os autos do processo administrativo permanecerão com vista franqueada aos interessados.</w:t>
      </w:r>
    </w:p>
    <w:p>
      <w:pPr>
        <w:pStyle w:val="Normal"/>
        <w:tabs>
          <w:tab w:val="clear" w:pos="720"/>
          <w:tab w:val="left" w:pos="338" w:leader="none"/>
        </w:tabs>
        <w:spacing w:lineRule="auto" w:line="276" w:before="4" w:after="4"/>
        <w:contextualSpacing/>
        <w:jc w:val="both"/>
        <w:rPr/>
      </w:pPr>
      <w:hyperlink r:id="rId6">
        <w:r>
          <w:rPr>
            <w:rStyle w:val="Hyperlink"/>
            <w:rFonts w:cs="Arial" w:ascii="Times New Roman" w:hAnsi="Times New Roman"/>
            <w:b/>
            <w:bCs/>
            <w:color w:val="00000A"/>
            <w:sz w:val="22"/>
            <w:szCs w:val="22"/>
            <w:u w:val="none"/>
          </w:rPr>
          <w:tab/>
          <w:t>25.12.</w:t>
        </w:r>
        <w:r>
          <w:rPr>
            <w:rStyle w:val="Hyperlink"/>
            <w:rFonts w:cs="Arial" w:ascii="Times New Roman" w:hAnsi="Times New Roman"/>
            <w:color w:val="00000A"/>
            <w:sz w:val="22"/>
            <w:szCs w:val="22"/>
            <w:u w:val="none"/>
          </w:rPr>
          <w:t xml:space="preserve"> Integram este Edital, para todos os fins e efeitos, os seguintes anexos:</w:t>
        </w:r>
      </w:hyperlink>
    </w:p>
    <w:p>
      <w:pPr>
        <w:pStyle w:val="BodyText"/>
        <w:tabs>
          <w:tab w:val="clear" w:pos="720"/>
          <w:tab w:val="left" w:pos="338" w:leader="none"/>
        </w:tabs>
        <w:spacing w:lineRule="auto" w:line="276" w:before="4" w:after="4"/>
        <w:ind w:hanging="0"/>
        <w:contextualSpacing/>
        <w:rPr/>
      </w:pPr>
      <w:hyperlink r:id="rId7">
        <w:r>
          <w:rPr>
            <w:rStyle w:val="Hyperlink"/>
            <w:rFonts w:ascii="Times New Roman" w:hAnsi="Times New Roman"/>
            <w:color w:val="00000A"/>
            <w:sz w:val="22"/>
            <w:szCs w:val="22"/>
            <w:u w:val="none"/>
          </w:rPr>
          <w:tab/>
          <w:t xml:space="preserve">ANEXO I  – Termo de Referência. </w:t>
        </w:r>
      </w:hyperlink>
    </w:p>
    <w:p>
      <w:pPr>
        <w:pStyle w:val="BodyText"/>
        <w:tabs>
          <w:tab w:val="clear" w:pos="720"/>
          <w:tab w:val="left" w:pos="338" w:leader="none"/>
        </w:tabs>
        <w:spacing w:lineRule="auto" w:line="276" w:before="4" w:after="4"/>
        <w:ind w:hanging="0"/>
        <w:contextualSpacing/>
        <w:rPr/>
      </w:pPr>
      <w:hyperlink r:id="rId8">
        <w:r>
          <w:rPr>
            <w:rStyle w:val="Hyperlink"/>
            <w:rFonts w:ascii="Times New Roman" w:hAnsi="Times New Roman"/>
            <w:color w:val="00000A"/>
            <w:sz w:val="22"/>
            <w:szCs w:val="22"/>
            <w:u w:val="none"/>
          </w:rPr>
          <w:tab/>
          <w:t>ANEXO II – Modelo de Proposta de Preços</w:t>
          <w:tab/>
          <w:tab/>
        </w:r>
      </w:hyperlink>
    </w:p>
    <w:p>
      <w:pPr>
        <w:pStyle w:val="BodyText"/>
        <w:tabs>
          <w:tab w:val="clear" w:pos="720"/>
          <w:tab w:val="left" w:pos="338" w:leader="none"/>
        </w:tabs>
        <w:spacing w:lineRule="auto" w:line="276" w:before="4" w:after="4"/>
        <w:ind w:hanging="0"/>
        <w:contextualSpacing/>
        <w:rPr/>
      </w:pPr>
      <w:hyperlink r:id="rId9">
        <w:r>
          <w:rPr>
            <w:rStyle w:val="Hyperlink"/>
            <w:rFonts w:ascii="Times New Roman" w:hAnsi="Times New Roman"/>
            <w:color w:val="00000A"/>
            <w:sz w:val="22"/>
            <w:szCs w:val="22"/>
            <w:u w:val="none"/>
          </w:rPr>
          <w:tab/>
          <w:t xml:space="preserve">ANEXO III – Minuta de ARP (Ata de Registro de Preços) </w:t>
        </w:r>
      </w:hyperlink>
    </w:p>
    <w:p>
      <w:pPr>
        <w:pStyle w:val="BodyText"/>
        <w:tabs>
          <w:tab w:val="clear" w:pos="720"/>
          <w:tab w:val="left" w:pos="338" w:leader="none"/>
        </w:tabs>
        <w:spacing w:lineRule="auto" w:line="276" w:before="4" w:after="4"/>
        <w:ind w:hanging="0"/>
        <w:contextualSpacing/>
        <w:rPr/>
      </w:pPr>
      <w:hyperlink r:id="rId10">
        <w:r>
          <w:rPr>
            <w:rStyle w:val="Hyperlink"/>
            <w:rFonts w:ascii="Times New Roman" w:hAnsi="Times New Roman"/>
            <w:color w:val="00000A"/>
            <w:sz w:val="22"/>
            <w:szCs w:val="22"/>
            <w:u w:val="none"/>
          </w:rPr>
          <w:tab/>
          <w:t>ANEXO IV – Relação da Empresa Beneficiária do Registro de Preços</w:t>
        </w:r>
      </w:hyperlink>
    </w:p>
    <w:p>
      <w:pPr>
        <w:pStyle w:val="BodyText"/>
        <w:widowControl/>
        <w:tabs>
          <w:tab w:val="clear" w:pos="720"/>
          <w:tab w:val="left" w:pos="338" w:leader="none"/>
        </w:tabs>
        <w:suppressAutoHyphens w:val="true"/>
        <w:bidi w:val="0"/>
        <w:spacing w:lineRule="auto" w:line="276" w:before="4" w:after="4"/>
        <w:ind w:firstLine="340" w:left="0" w:right="0"/>
        <w:contextualSpacing/>
        <w:jc w:val="left"/>
        <w:rPr>
          <w:rStyle w:val="Hyperlink"/>
          <w:rFonts w:ascii="Times New Roman" w:hAnsi="Times New Roman"/>
          <w:color w:val="000000"/>
          <w:sz w:val="22"/>
          <w:szCs w:val="22"/>
          <w:u w:val="none"/>
          <w:shd w:fill="auto" w:val="clear"/>
          <w:lang w:val="pt-BR"/>
        </w:rPr>
      </w:pPr>
      <w:r>
        <w:rPr>
          <w:rFonts w:ascii="Times New Roman" w:hAnsi="Times New Roman"/>
          <w:color w:val="000000"/>
          <w:sz w:val="22"/>
          <w:szCs w:val="22"/>
          <w:u w:val="none"/>
          <w:shd w:fill="auto" w:val="clear"/>
          <w:lang w:val="pt-BR"/>
        </w:rPr>
      </w:r>
    </w:p>
    <w:p>
      <w:pPr>
        <w:pStyle w:val="BodyText"/>
        <w:tabs>
          <w:tab w:val="clear" w:pos="720"/>
          <w:tab w:val="left" w:pos="338" w:leader="none"/>
        </w:tabs>
        <w:spacing w:lineRule="auto" w:line="276" w:before="4" w:after="4"/>
        <w:ind w:hanging="0"/>
        <w:contextualSpacing/>
        <w:rPr/>
      </w:pPr>
      <w:r>
        <w:rPr>
          <w:rStyle w:val="Hyperlink"/>
          <w:rFonts w:ascii="Times New Roman" w:hAnsi="Times New Roman"/>
          <w:color w:val="00000A"/>
          <w:sz w:val="22"/>
          <w:szCs w:val="22"/>
          <w:u w:val="none"/>
        </w:rPr>
        <w:t xml:space="preserve">   </w:t>
      </w:r>
    </w:p>
    <w:p>
      <w:pPr>
        <w:pStyle w:val="BodyText"/>
        <w:tabs>
          <w:tab w:val="clear" w:pos="720"/>
          <w:tab w:val="left" w:pos="338" w:leader="none"/>
        </w:tabs>
        <w:spacing w:lineRule="auto" w:line="276" w:before="4" w:after="4"/>
        <w:ind w:hanging="0"/>
        <w:contextualSpacing/>
        <w:rPr/>
      </w:pPr>
      <w:hyperlink r:id="rId11">
        <w:r>
          <w:rPr>
            <w:rStyle w:val="Hyperlink"/>
            <w:rFonts w:ascii="Times New Roman" w:hAnsi="Times New Roman"/>
            <w:color w:val="00000A"/>
            <w:sz w:val="22"/>
            <w:szCs w:val="22"/>
            <w:u w:val="none"/>
          </w:rPr>
          <w:tab/>
        </w:r>
      </w:hyperlink>
    </w:p>
    <w:p>
      <w:pPr>
        <w:pStyle w:val="Normal"/>
        <w:widowControl/>
        <w:suppressAutoHyphens w:val="true"/>
        <w:bidi w:val="0"/>
        <w:spacing w:lineRule="auto" w:line="276" w:before="4" w:after="4"/>
        <w:ind w:hanging="0" w:left="0" w:right="0"/>
        <w:contextualSpacing/>
        <w:jc w:val="center"/>
        <w:rPr/>
      </w:pPr>
      <w:hyperlink r:id="rId12">
        <w:r>
          <w:rPr>
            <w:rStyle w:val="Hyperlink"/>
            <w:rFonts w:eastAsia="Times New Roman" w:cs="Arial" w:ascii="Times New Roman" w:hAnsi="Times New Roman"/>
            <w:b w:val="false"/>
            <w:bCs w:val="false"/>
            <w:color w:val="00000A"/>
            <w:sz w:val="22"/>
            <w:szCs w:val="22"/>
            <w:u w:val="none"/>
          </w:rPr>
          <w:t>Itajubá-MG, _____ de _________________ de 2026.</w:t>
        </w:r>
      </w:hyperlink>
    </w:p>
    <w:p>
      <w:pPr>
        <w:pStyle w:val="Normal"/>
        <w:widowControl/>
        <w:suppressAutoHyphens w:val="true"/>
        <w:bidi w:val="0"/>
        <w:spacing w:lineRule="auto" w:line="276" w:before="4" w:after="4"/>
        <w:ind w:hanging="0" w:left="0" w:right="0"/>
        <w:contextualSpacing/>
        <w:jc w:val="center"/>
        <w:rPr>
          <w:rStyle w:val="Hyperlink"/>
          <w:rFonts w:ascii="Times New Roman" w:hAnsi="Times New Roman" w:eastAsia="Times New Roman" w:cs="Arial"/>
          <w:b w:val="false"/>
          <w:bCs w:val="false"/>
          <w:color w:val="00000A"/>
          <w:sz w:val="22"/>
          <w:szCs w:val="22"/>
          <w:u w:val="none"/>
        </w:rPr>
      </w:pPr>
      <w:r>
        <w:rPr>
          <w:rFonts w:eastAsia="Times New Roman" w:cs="Arial" w:ascii="Times New Roman" w:hAnsi="Times New Roman"/>
          <w:b w:val="false"/>
          <w:bCs w:val="false"/>
          <w:color w:val="00000A"/>
          <w:sz w:val="22"/>
          <w:szCs w:val="22"/>
          <w:u w:val="none"/>
        </w:rPr>
      </w:r>
    </w:p>
    <w:p>
      <w:pPr>
        <w:pStyle w:val="Normal"/>
        <w:widowControl/>
        <w:suppressAutoHyphens w:val="true"/>
        <w:bidi w:val="0"/>
        <w:spacing w:lineRule="auto" w:line="276" w:before="4" w:after="4"/>
        <w:ind w:hanging="0" w:left="0" w:right="0"/>
        <w:contextualSpacing/>
        <w:jc w:val="center"/>
        <w:rPr>
          <w:rStyle w:val="Hyperlink"/>
          <w:rFonts w:ascii="Times New Roman" w:hAnsi="Times New Roman" w:eastAsia="Times New Roman" w:cs="Arial"/>
          <w:b w:val="false"/>
          <w:bCs w:val="false"/>
          <w:color w:val="00000A"/>
          <w:sz w:val="22"/>
          <w:szCs w:val="22"/>
          <w:u w:val="none"/>
        </w:rPr>
      </w:pPr>
      <w:r>
        <w:rPr>
          <w:rFonts w:eastAsia="Times New Roman" w:cs="Arial" w:ascii="Times New Roman" w:hAnsi="Times New Roman"/>
          <w:b w:val="false"/>
          <w:bCs w:val="false"/>
          <w:color w:val="00000A"/>
          <w:sz w:val="22"/>
          <w:szCs w:val="22"/>
          <w:u w:val="none"/>
        </w:rPr>
      </w:r>
    </w:p>
    <w:p>
      <w:pPr>
        <w:pStyle w:val="Normal"/>
        <w:widowControl/>
        <w:suppressAutoHyphens w:val="true"/>
        <w:bidi w:val="0"/>
        <w:spacing w:lineRule="auto" w:line="276" w:before="4" w:after="4"/>
        <w:ind w:hanging="0" w:left="0" w:right="0"/>
        <w:contextualSpacing/>
        <w:jc w:val="center"/>
        <w:rPr>
          <w:rStyle w:val="Hyperlink"/>
          <w:rFonts w:ascii="Times New Roman" w:hAnsi="Times New Roman" w:eastAsia="Times New Roman" w:cs="Arial"/>
          <w:b w:val="false"/>
          <w:bCs w:val="false"/>
          <w:color w:val="00000A"/>
          <w:sz w:val="22"/>
          <w:szCs w:val="22"/>
          <w:u w:val="none"/>
        </w:rPr>
      </w:pPr>
      <w:r>
        <w:rPr>
          <w:rFonts w:eastAsia="Times New Roman" w:cs="Arial" w:ascii="Times New Roman" w:hAnsi="Times New Roman"/>
          <w:b w:val="false"/>
          <w:bCs w:val="false"/>
          <w:color w:val="00000A"/>
          <w:sz w:val="22"/>
          <w:szCs w:val="22"/>
          <w:u w:val="none"/>
        </w:rPr>
      </w:r>
    </w:p>
    <w:p>
      <w:pPr>
        <w:pStyle w:val="Normal"/>
        <w:spacing w:lineRule="auto" w:line="276" w:before="4" w:after="4"/>
        <w:ind w:hanging="0" w:right="-15"/>
        <w:contextualSpacing/>
        <w:jc w:val="center"/>
        <w:rPr>
          <w:rFonts w:ascii="Times New Roman" w:hAnsi="Times New Roman" w:eastAsia="SimSun" w:cs="Arial"/>
          <w:color w:val="00000A"/>
          <w:sz w:val="22"/>
          <w:szCs w:val="22"/>
          <w:u w:val="none"/>
          <w:lang w:val="pt-BR" w:eastAsia="pt-BR" w:bidi="ar-SA"/>
        </w:rPr>
      </w:pPr>
      <w:r>
        <w:rPr>
          <w:rFonts w:eastAsia="SimSun" w:cs="Arial" w:ascii="Times New Roman" w:hAnsi="Times New Roman"/>
          <w:color w:val="00000A"/>
          <w:sz w:val="22"/>
          <w:szCs w:val="22"/>
          <w:u w:val="none"/>
          <w:lang w:val="pt-BR" w:eastAsia="pt-BR" w:bidi="ar-SA"/>
        </w:rPr>
      </w:r>
    </w:p>
    <w:p>
      <w:pPr>
        <w:pStyle w:val="Normal"/>
        <w:widowControl/>
        <w:suppressAutoHyphens w:val="true"/>
        <w:bidi w:val="0"/>
        <w:spacing w:lineRule="auto" w:line="276"/>
        <w:ind w:hanging="0" w:left="0" w:right="0"/>
        <w:jc w:val="center"/>
        <w:rPr/>
      </w:pPr>
      <w:hyperlink r:id="rId13">
        <w:r>
          <w:rPr>
            <w:rStyle w:val="Hyperlink"/>
            <w:rFonts w:eastAsia="Times New Roman" w:cs="Times New Roman" w:ascii="Times New Roman" w:hAnsi="Times New Roman"/>
            <w:b w:val="false"/>
            <w:bCs w:val="false"/>
            <w:sz w:val="22"/>
            <w:szCs w:val="22"/>
            <w:u w:val="none"/>
          </w:rPr>
          <w:t>____________________________________________________</w:t>
        </w:r>
      </w:hyperlink>
    </w:p>
    <w:p>
      <w:pPr>
        <w:pStyle w:val="Normal"/>
        <w:widowControl/>
        <w:suppressAutoHyphens w:val="true"/>
        <w:bidi w:val="0"/>
        <w:spacing w:lineRule="auto" w:line="276"/>
        <w:ind w:hanging="0" w:left="0" w:right="0"/>
        <w:jc w:val="center"/>
        <w:rPr/>
      </w:pPr>
      <w:hyperlink r:id="rId14">
        <w:r>
          <w:rPr>
            <w:rStyle w:val="Hyperlink"/>
            <w:rFonts w:eastAsia="Times New Roman" w:cs="Arial" w:ascii="Times New Roman" w:hAnsi="Times New Roman"/>
            <w:b w:val="false"/>
            <w:bCs w:val="false"/>
            <w:iCs/>
            <w:color w:val="00000A"/>
            <w:sz w:val="22"/>
            <w:szCs w:val="22"/>
            <w:u w:val="none"/>
          </w:rPr>
          <w:t>INDÚSTRIA DE MATERIAL BÉLICO DO BRASIL – IMBEL</w:t>
        </w:r>
      </w:hyperlink>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p>
      <w:pPr>
        <w:pStyle w:val="Normal"/>
        <w:widowControl/>
        <w:suppressAutoHyphens w:val="true"/>
        <w:bidi w:val="0"/>
        <w:spacing w:lineRule="auto" w:line="276"/>
        <w:ind w:hanging="0" w:left="0" w:right="0"/>
        <w:jc w:val="center"/>
        <w:rPr>
          <w:rFonts w:ascii="Times New Roman" w:hAnsi="Times New Roman"/>
          <w:sz w:val="22"/>
          <w:szCs w:val="22"/>
        </w:rPr>
      </w:pPr>
      <w:r>
        <w:rPr>
          <w:rFonts w:ascii="Times New Roman" w:hAnsi="Times New Roman"/>
          <w:sz w:val="22"/>
          <w:szCs w:val="22"/>
        </w:rPr>
      </w:r>
    </w:p>
    <w:tbl>
      <w:tblPr>
        <w:tblW w:w="9757" w:type="dxa"/>
        <w:jc w:val="left"/>
        <w:tblInd w:w="15" w:type="dxa"/>
        <w:tblLayout w:type="fixed"/>
        <w:tblCellMar>
          <w:top w:w="55" w:type="dxa"/>
          <w:left w:w="28" w:type="dxa"/>
          <w:bottom w:w="55" w:type="dxa"/>
          <w:right w:w="55" w:type="dxa"/>
        </w:tblCellMar>
      </w:tblPr>
      <w:tblGrid>
        <w:gridCol w:w="1405"/>
        <w:gridCol w:w="8351"/>
      </w:tblGrid>
      <w:tr>
        <w:trPr>
          <w:trHeight w:val="1304" w:hRule="atLeast"/>
        </w:trPr>
        <w:tc>
          <w:tcPr>
            <w:tcW w:w="1405" w:type="dxa"/>
            <w:tcBorders>
              <w:top w:val="single" w:sz="2" w:space="0" w:color="000001"/>
              <w:left w:val="single" w:sz="2" w:space="0" w:color="000001"/>
              <w:bottom w:val="single" w:sz="2" w:space="0" w:color="000001"/>
            </w:tcBorders>
            <w:shd w:fill="FFFFFF" w:val="clear"/>
          </w:tcPr>
          <w:p>
            <w:pPr>
              <w:pStyle w:val="Contedodatabela"/>
              <w:widowControl w:val="false"/>
              <w:rPr>
                <w:rFonts w:ascii="Times New Roman" w:hAnsi="Times New Roman"/>
              </w:rPr>
            </w:pPr>
            <w:r>
              <w:rPr/>
              <w:drawing>
                <wp:inline distT="0" distB="0" distL="0" distR="0">
                  <wp:extent cx="804545" cy="590550"/>
                  <wp:effectExtent l="0" t="0" r="0" b="0"/>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15"/>
                          <a:srcRect l="-1230" t="-1556" r="-1230" b="-1556"/>
                          <a:stretch>
                            <a:fillRect/>
                          </a:stretch>
                        </pic:blipFill>
                        <pic:spPr bwMode="auto">
                          <a:xfrm>
                            <a:off x="0" y="0"/>
                            <a:ext cx="804545" cy="590550"/>
                          </a:xfrm>
                          <a:prstGeom prst="rect">
                            <a:avLst/>
                          </a:prstGeom>
                        </pic:spPr>
                      </pic:pic>
                    </a:graphicData>
                  </a:graphic>
                </wp:inline>
              </w:drawing>
            </w:r>
          </w:p>
        </w:tc>
        <w:tc>
          <w:tcPr>
            <w:tcW w:w="8351" w:type="dxa"/>
            <w:tcBorders>
              <w:top w:val="single" w:sz="2" w:space="0" w:color="000001"/>
              <w:left w:val="single" w:sz="2" w:space="0" w:color="000001"/>
              <w:bottom w:val="single" w:sz="2" w:space="0" w:color="000001"/>
              <w:right w:val="single" w:sz="2" w:space="0" w:color="000001"/>
            </w:tcBorders>
            <w:shd w:fill="FFFFFF" w:val="clear"/>
          </w:tcPr>
          <w:p>
            <w:pPr>
              <w:pStyle w:val="Normal"/>
              <w:widowControl w:val="false"/>
              <w:spacing w:lineRule="auto" w:line="360"/>
              <w:jc w:val="center"/>
              <w:rPr>
                <w:rFonts w:ascii="Times New Roman" w:hAnsi="Times New Roman" w:cs="Times New Roman"/>
                <w:b/>
                <w:i/>
                <w:i/>
                <w:iCs/>
                <w:color w:val="00000A"/>
                <w:sz w:val="10"/>
                <w:szCs w:val="10"/>
              </w:rPr>
            </w:pPr>
            <w:r>
              <w:rPr>
                <w:rFonts w:cs="Times New Roman" w:ascii="Times New Roman" w:hAnsi="Times New Roman"/>
                <w:b/>
                <w:i/>
                <w:iCs/>
                <w:color w:val="00000A"/>
                <w:sz w:val="10"/>
                <w:szCs w:val="10"/>
              </w:rPr>
            </w:r>
          </w:p>
          <w:p>
            <w:pPr>
              <w:pStyle w:val="Normal"/>
              <w:widowControl w:val="false"/>
              <w:spacing w:lineRule="auto" w:line="360"/>
              <w:jc w:val="center"/>
              <w:rPr>
                <w:rFonts w:ascii="Times New Roman" w:hAnsi="Times New Roman"/>
              </w:rPr>
            </w:pPr>
            <w:r>
              <w:rPr>
                <w:rFonts w:cs="Times New Roman" w:ascii="Times New Roman" w:hAnsi="Times New Roman"/>
                <w:b/>
                <w:i/>
                <w:iCs/>
                <w:color w:val="00000A"/>
                <w:sz w:val="22"/>
                <w:szCs w:val="22"/>
              </w:rPr>
              <w:t>INDÚSTRIA DE MATERIAL BÉLICO DO BRASIL - IMBEL</w:t>
            </w:r>
          </w:p>
          <w:p>
            <w:pPr>
              <w:pStyle w:val="Normal"/>
              <w:widowControl w:val="false"/>
              <w:spacing w:lineRule="auto" w:line="360"/>
              <w:jc w:val="center"/>
              <w:rPr>
                <w:rFonts w:ascii="Times New Roman" w:hAnsi="Times New Roman"/>
              </w:rPr>
            </w:pPr>
            <w:r>
              <w:rPr>
                <w:rFonts w:cs="Times New Roman" w:ascii="Times New Roman" w:hAnsi="Times New Roman"/>
                <w:b/>
                <w:bCs/>
                <w:i/>
                <w:iCs/>
                <w:color w:val="00000A"/>
                <w:sz w:val="22"/>
                <w:szCs w:val="22"/>
              </w:rPr>
              <w:t>Vinculada ao Ministério da Defesa por intermédio do</w:t>
            </w:r>
          </w:p>
          <w:p>
            <w:pPr>
              <w:pStyle w:val="Normal"/>
              <w:widowControl w:val="false"/>
              <w:spacing w:lineRule="auto" w:line="360"/>
              <w:jc w:val="center"/>
              <w:rPr>
                <w:rFonts w:ascii="Times New Roman" w:hAnsi="Times New Roman"/>
              </w:rPr>
            </w:pPr>
            <w:r>
              <w:rPr>
                <w:rFonts w:eastAsia="Times New Roman" w:cs="Times New Roman" w:ascii="Times New Roman" w:hAnsi="Times New Roman"/>
                <w:b/>
                <w:bCs/>
                <w:i/>
                <w:iCs/>
                <w:color w:val="00000A"/>
                <w:sz w:val="22"/>
                <w:szCs w:val="22"/>
              </w:rPr>
              <w:t xml:space="preserve"> </w:t>
            </w:r>
            <w:r>
              <w:rPr>
                <w:rFonts w:cs="Times New Roman" w:ascii="Times New Roman" w:hAnsi="Times New Roman"/>
                <w:b/>
                <w:bCs/>
                <w:i/>
                <w:iCs/>
                <w:color w:val="00000A"/>
                <w:sz w:val="22"/>
                <w:szCs w:val="22"/>
              </w:rPr>
              <w:t>Comando do Exército</w:t>
            </w:r>
          </w:p>
        </w:tc>
      </w:tr>
    </w:tbl>
    <w:p>
      <w:pPr>
        <w:pStyle w:val="Normal"/>
        <w:widowControl/>
        <w:suppressAutoHyphens w:val="true"/>
        <w:bidi w:val="0"/>
        <w:spacing w:lineRule="auto" w:line="276"/>
        <w:ind w:hanging="0" w:left="0" w:right="0"/>
        <w:jc w:val="center"/>
        <w:rPr>
          <w:rFonts w:ascii="Times New Roman" w:hAnsi="Times New Roman"/>
        </w:rPr>
      </w:pPr>
      <w:r>
        <w:rPr>
          <w:rFonts w:ascii="Times New Roman" w:hAnsi="Times New Roman"/>
        </w:rPr>
      </w:r>
    </w:p>
    <w:p>
      <w:pPr>
        <w:pStyle w:val="Normal"/>
        <w:widowControl/>
        <w:suppressAutoHyphens w:val="true"/>
        <w:bidi w:val="0"/>
        <w:spacing w:lineRule="auto" w:line="276"/>
        <w:ind w:hanging="0" w:left="0" w:right="0"/>
        <w:jc w:val="center"/>
        <w:rPr/>
      </w:pPr>
      <w:hyperlink r:id="rId16">
        <w:r>
          <w:rPr>
            <w:rStyle w:val="Hyperlink"/>
            <w:rFonts w:cs="Times New Roman" w:ascii="Times New Roman" w:hAnsi="Times New Roman"/>
            <w:b/>
            <w:bCs/>
            <w:color w:val="00000A"/>
            <w:sz w:val="22"/>
            <w:szCs w:val="22"/>
            <w:u w:val="none"/>
          </w:rPr>
          <w:t>ANEXO I</w:t>
        </w:r>
      </w:hyperlink>
    </w:p>
    <w:p>
      <w:pPr>
        <w:pStyle w:val="Normal"/>
        <w:spacing w:lineRule="auto" w:line="276"/>
        <w:jc w:val="center"/>
        <w:rPr>
          <w:rFonts w:ascii="Times New Roman" w:hAnsi="Times New Roman" w:eastAsia="SimSun" w:cs="Times New Roman"/>
          <w:b/>
          <w:bCs/>
          <w:color w:val="00000A"/>
          <w:sz w:val="22"/>
          <w:szCs w:val="22"/>
          <w:u w:val="none"/>
          <w:lang w:val="pt-BR" w:eastAsia="pt-BR" w:bidi="ar-SA"/>
        </w:rPr>
      </w:pPr>
      <w:r>
        <w:rPr>
          <w:rFonts w:eastAsia="SimSun" w:cs="Times New Roman" w:ascii="Times New Roman" w:hAnsi="Times New Roman"/>
          <w:b/>
          <w:bCs/>
          <w:color w:val="00000A"/>
          <w:sz w:val="22"/>
          <w:szCs w:val="22"/>
          <w:u w:val="none"/>
          <w:lang w:val="pt-BR" w:eastAsia="pt-BR" w:bidi="ar-SA"/>
        </w:rPr>
      </w:r>
    </w:p>
    <w:p>
      <w:pPr>
        <w:pStyle w:val="Normal"/>
        <w:spacing w:lineRule="auto" w:line="276"/>
        <w:jc w:val="center"/>
        <w:rPr/>
      </w:pPr>
      <w:hyperlink r:id="rId17">
        <w:r>
          <w:rPr>
            <w:rStyle w:val="Hyperlink"/>
            <w:rFonts w:cs="Times New Roman" w:ascii="Times New Roman" w:hAnsi="Times New Roman"/>
            <w:b/>
            <w:color w:val="00000A"/>
            <w:sz w:val="22"/>
            <w:szCs w:val="22"/>
            <w:u w:val="none"/>
          </w:rPr>
          <w:t xml:space="preserve">TERMO DE REFERÊNCIA </w:t>
        </w:r>
      </w:hyperlink>
    </w:p>
    <w:p>
      <w:pPr>
        <w:pStyle w:val="Normal"/>
        <w:spacing w:lineRule="auto" w:line="276"/>
        <w:jc w:val="center"/>
        <w:rPr>
          <w:rFonts w:ascii="Times New Roman" w:hAnsi="Times New Roman" w:eastAsia="SimSun" w:cs="Times New Roman"/>
          <w:b/>
          <w:color w:val="000000"/>
          <w:sz w:val="22"/>
          <w:szCs w:val="22"/>
          <w:u w:val="single"/>
          <w:lang w:val="pt-BR" w:eastAsia="pt-BR" w:bidi="ar-SA"/>
        </w:rPr>
      </w:pPr>
      <w:r>
        <w:rPr>
          <w:rFonts w:eastAsia="SimSun" w:cs="Times New Roman" w:ascii="Times New Roman" w:hAnsi="Times New Roman"/>
          <w:b/>
          <w:color w:val="000000"/>
          <w:sz w:val="22"/>
          <w:szCs w:val="22"/>
          <w:u w:val="single"/>
          <w:lang w:val="pt-BR" w:eastAsia="pt-BR" w:bidi="ar-SA"/>
        </w:rPr>
      </w:r>
    </w:p>
    <w:p>
      <w:pPr>
        <w:pStyle w:val="Normal"/>
        <w:spacing w:lineRule="auto" w:line="276"/>
        <w:jc w:val="center"/>
        <w:rPr/>
      </w:pPr>
      <w:r>
        <w:rPr>
          <w:rStyle w:val="Hyperlink"/>
          <w:rFonts w:cs="Times New Roman" w:ascii="Times New Roman" w:hAnsi="Times New Roman"/>
          <w:b/>
          <w:bCs/>
          <w:color w:val="000000"/>
          <w:sz w:val="22"/>
          <w:szCs w:val="22"/>
          <w:u w:val="none"/>
        </w:rPr>
        <w:t>PROCESSO ADMINISTRATIVO N.º 2026PR000090</w:t>
      </w:r>
    </w:p>
    <w:p>
      <w:pPr>
        <w:pStyle w:val="Normal"/>
        <w:spacing w:lineRule="auto" w:line="276"/>
        <w:jc w:val="center"/>
        <w:rPr>
          <w:rFonts w:ascii="Times New Roman" w:hAnsi="Times New Roman" w:eastAsia="SimSun" w:cs="Times New Roman"/>
          <w:b/>
          <w:bCs/>
          <w:color w:val="000000"/>
          <w:sz w:val="22"/>
          <w:szCs w:val="22"/>
          <w:u w:val="none"/>
          <w:lang w:val="pt-BR" w:eastAsia="pt-BR" w:bidi="ar-SA"/>
        </w:rPr>
      </w:pPr>
      <w:r>
        <w:rPr>
          <w:rFonts w:eastAsia="SimSun" w:cs="Times New Roman" w:ascii="Times New Roman" w:hAnsi="Times New Roman"/>
          <w:b/>
          <w:bCs/>
          <w:color w:val="000000"/>
          <w:sz w:val="22"/>
          <w:szCs w:val="22"/>
          <w:u w:val="none"/>
          <w:lang w:val="pt-BR" w:eastAsia="pt-BR" w:bidi="ar-SA"/>
        </w:rPr>
      </w:r>
    </w:p>
    <w:p>
      <w:pPr>
        <w:pStyle w:val="Normal"/>
        <w:spacing w:lineRule="auto" w:line="276"/>
        <w:jc w:val="center"/>
        <w:rPr/>
      </w:pPr>
      <w:r>
        <w:rPr>
          <w:rStyle w:val="Hyperlink"/>
          <w:rFonts w:cs="Times New Roman" w:ascii="Times New Roman" w:hAnsi="Times New Roman"/>
          <w:b/>
          <w:bCs/>
          <w:color w:val="000000"/>
          <w:sz w:val="22"/>
          <w:szCs w:val="22"/>
          <w:u w:val="none"/>
        </w:rPr>
        <w:t>PREGÃO ELETRÔNICO Nº 90090/2026 (SRP)</w:t>
      </w:r>
    </w:p>
    <w:p>
      <w:pPr>
        <w:pStyle w:val="Normal"/>
        <w:spacing w:lineRule="auto" w:line="276"/>
        <w:jc w:val="both"/>
        <w:rPr>
          <w:rFonts w:ascii="Times New Roman" w:hAnsi="Times New Roman"/>
          <w:sz w:val="22"/>
          <w:szCs w:val="22"/>
        </w:rPr>
      </w:pPr>
      <w:r>
        <w:rPr>
          <w:rFonts w:ascii="Times New Roman" w:hAnsi="Times New Roman"/>
          <w:sz w:val="22"/>
          <w:szCs w:val="22"/>
        </w:rPr>
      </w:r>
    </w:p>
    <w:p>
      <w:pPr>
        <w:pStyle w:val="Normal"/>
        <w:spacing w:lineRule="auto" w:line="276" w:before="0" w:after="57"/>
        <w:jc w:val="both"/>
        <w:rPr>
          <w:rFonts w:ascii="Times New Roman" w:hAnsi="Times New Roman"/>
          <w:color w:val="000000"/>
          <w:spacing w:val="-4"/>
          <w:sz w:val="22"/>
          <w:szCs w:val="22"/>
          <w:u w:val="none"/>
        </w:rPr>
      </w:pPr>
      <w:r>
        <w:rPr>
          <w:rFonts w:ascii="Times New Roman" w:hAnsi="Times New Roman"/>
          <w:color w:val="000000"/>
          <w:spacing w:val="-4"/>
          <w:sz w:val="22"/>
          <w:szCs w:val="22"/>
          <w:u w:val="none"/>
        </w:rPr>
      </w:r>
    </w:p>
    <w:p>
      <w:pPr>
        <w:pStyle w:val="Normal"/>
        <w:spacing w:lineRule="auto" w:line="360" w:before="0" w:after="57"/>
        <w:jc w:val="both"/>
        <w:rPr>
          <w:rFonts w:ascii="Times New Roman" w:hAnsi="Times New Roman"/>
        </w:rPr>
      </w:pPr>
      <w:r>
        <w:rPr>
          <w:rFonts w:cs="Arial" w:ascii="Times New Roman" w:hAnsi="Times New Roman"/>
          <w:b/>
          <w:bCs/>
          <w:color w:val="auto"/>
          <w:sz w:val="24"/>
          <w:szCs w:val="24"/>
          <w:lang w:val="pt-BR"/>
        </w:rPr>
        <w:t>1. OBJETO</w:t>
      </w:r>
    </w:p>
    <w:p>
      <w:pPr>
        <w:pStyle w:val="BodyText"/>
        <w:widowControl/>
        <w:tabs>
          <w:tab w:val="clear" w:pos="720"/>
          <w:tab w:val="left" w:pos="340" w:leader="none"/>
        </w:tabs>
        <w:suppressAutoHyphens w:val="true"/>
        <w:bidi w:val="0"/>
        <w:spacing w:lineRule="auto" w:line="240" w:before="0" w:after="0"/>
        <w:ind w:firstLine="680" w:left="0" w:right="0"/>
        <w:jc w:val="both"/>
        <w:rPr/>
      </w:pPr>
      <w:r>
        <w:rPr>
          <w:rStyle w:val="Hyperlink"/>
          <w:rFonts w:cs="Times New Roman" w:ascii="Times New Roman" w:hAnsi="Times New Roman"/>
          <w:b w:val="false"/>
          <w:bCs w:val="false"/>
          <w:color w:val="auto"/>
          <w:sz w:val="22"/>
          <w:szCs w:val="22"/>
          <w:u w:val="none"/>
          <w:lang w:val="pt-BR"/>
        </w:rPr>
        <w:t xml:space="preserve">Constitui-se objeto desta licitação a elaboração de Registro de Preços para futura </w:t>
      </w:r>
      <w:r>
        <w:rPr>
          <w:rStyle w:val="Hyperlink"/>
          <w:rFonts w:cs="Arial" w:ascii="Times New Roman" w:hAnsi="Times New Roman"/>
          <w:b/>
          <w:bCs/>
          <w:color w:val="auto"/>
          <w:sz w:val="22"/>
          <w:szCs w:val="22"/>
          <w:u w:val="none"/>
          <w:lang w:val="pt-BR"/>
        </w:rPr>
        <w:t>“</w:t>
      </w:r>
      <w:r>
        <w:rPr>
          <w:rStyle w:val="Hyperlink"/>
          <w:rFonts w:eastAsia="Times New Roman" w:cs="Arial" w:ascii="Times New Roman" w:hAnsi="Times New Roman"/>
          <w:b/>
          <w:bCs/>
          <w:color w:val="0000FF"/>
          <w:kern w:val="2"/>
          <w:sz w:val="24"/>
          <w:szCs w:val="24"/>
          <w:u w:val="none"/>
          <w:shd w:fill="auto" w:val="clear"/>
          <w:lang w:val="pt-BR" w:eastAsia="zh-CN" w:bidi="ar-SA"/>
        </w:rPr>
        <w:t>AQUISIÇÃO DE MATERIAIS PARA PROMOVER A SIPAT 2026</w:t>
      </w:r>
      <w:r>
        <w:rPr>
          <w:rStyle w:val="Hyperlink"/>
          <w:rFonts w:cs="Arial" w:ascii="Times New Roman" w:hAnsi="Times New Roman"/>
          <w:b/>
          <w:bCs/>
          <w:color w:val="auto"/>
          <w:sz w:val="22"/>
          <w:szCs w:val="22"/>
          <w:u w:val="none"/>
          <w:lang w:val="pt-BR"/>
        </w:rPr>
        <w:t>”,</w:t>
      </w:r>
      <w:r>
        <w:rPr>
          <w:rStyle w:val="Hyperlink"/>
          <w:rFonts w:cs="Arial" w:ascii="Times New Roman" w:hAnsi="Times New Roman"/>
          <w:b w:val="false"/>
          <w:bCs w:val="false"/>
          <w:color w:val="auto"/>
          <w:sz w:val="22"/>
          <w:szCs w:val="22"/>
          <w:u w:val="none"/>
          <w:lang w:val="pt-BR"/>
        </w:rPr>
        <w:t xml:space="preserve"> </w:t>
      </w:r>
      <w:r>
        <w:rPr>
          <w:rFonts w:eastAsia="Arial Narrow" w:cs="Verdana" w:ascii="Times New Roman" w:hAnsi="Times New Roman"/>
          <w:b w:val="false"/>
          <w:bCs w:val="false"/>
          <w:color w:val="auto"/>
          <w:sz w:val="22"/>
          <w:szCs w:val="22"/>
          <w:lang w:val="pt-BR"/>
        </w:rPr>
        <w:t xml:space="preserve">conforme condições, quantidades e exigências estabelecidas neste </w:t>
      </w:r>
      <w:r>
        <w:rPr>
          <w:rStyle w:val="Hyperlink"/>
          <w:rFonts w:eastAsia="Times New Roman" w:cs="Times New Roman" w:ascii="Times New Roman" w:hAnsi="Times New Roman"/>
          <w:b w:val="false"/>
          <w:bCs w:val="false"/>
          <w:color w:val="auto"/>
          <w:sz w:val="22"/>
          <w:szCs w:val="22"/>
          <w:highlight w:val="white"/>
          <w:u w:val="none"/>
          <w:lang w:val="pt-BR"/>
        </w:rPr>
        <w:t>Termo de Referência.</w:t>
      </w:r>
    </w:p>
    <w:p>
      <w:pPr>
        <w:pStyle w:val="BodyText"/>
        <w:widowControl/>
        <w:tabs>
          <w:tab w:val="clear" w:pos="720"/>
          <w:tab w:val="left" w:pos="340" w:leader="none"/>
        </w:tabs>
        <w:suppressAutoHyphens w:val="true"/>
        <w:bidi w:val="0"/>
        <w:spacing w:lineRule="auto" w:line="240" w:before="0" w:after="0"/>
        <w:ind w:firstLine="680" w:left="0" w:right="0"/>
        <w:jc w:val="both"/>
        <w:rPr>
          <w:rFonts w:ascii="Times New Roman" w:hAnsi="Times New Roman" w:eastAsia="Times New Roman" w:cs="Times New Roman"/>
          <w:b/>
          <w:bCs/>
          <w:color w:val="auto"/>
          <w:sz w:val="22"/>
          <w:szCs w:val="22"/>
          <w:highlight w:val="white"/>
          <w:u w:val="none"/>
          <w:lang w:val="pt-BR"/>
        </w:rPr>
      </w:pPr>
      <w:r>
        <w:rPr>
          <w:rFonts w:eastAsia="Times New Roman" w:cs="Times New Roman" w:ascii="Times New Roman" w:hAnsi="Times New Roman"/>
          <w:b/>
          <w:bCs/>
          <w:color w:val="auto"/>
          <w:sz w:val="22"/>
          <w:szCs w:val="22"/>
          <w:highlight w:val="white"/>
          <w:u w:val="none"/>
          <w:lang w:val="pt-BR"/>
        </w:rPr>
      </w:r>
    </w:p>
    <w:p>
      <w:pPr>
        <w:pStyle w:val="BodyText"/>
        <w:spacing w:lineRule="auto" w:line="240" w:before="0" w:after="0"/>
        <w:jc w:val="both"/>
        <w:rPr/>
      </w:pPr>
      <w:r>
        <w:rPr>
          <w:rStyle w:val="Hyperlink"/>
          <w:rFonts w:cs="Times New Roman" w:ascii="Times New Roman" w:hAnsi="Times New Roman"/>
          <w:b/>
          <w:bCs/>
          <w:smallCaps/>
          <w:color w:val="00000A"/>
          <w:sz w:val="22"/>
          <w:szCs w:val="22"/>
          <w:highlight w:val="white"/>
          <w:u w:val="none"/>
        </w:rPr>
        <w:t>2. JUSTIFICATIVA</w:t>
      </w:r>
    </w:p>
    <w:p>
      <w:pPr>
        <w:pStyle w:val="BodyText"/>
        <w:spacing w:lineRule="auto" w:line="240" w:before="0" w:after="0"/>
        <w:jc w:val="both"/>
        <w:rPr>
          <w:rFonts w:ascii="Times New Roman" w:hAnsi="Times New Roman" w:cs="Times New Roman"/>
          <w:b/>
          <w:bCs/>
          <w:smallCaps/>
          <w:color w:val="00000A"/>
          <w:sz w:val="22"/>
          <w:szCs w:val="22"/>
          <w:highlight w:val="white"/>
          <w:u w:val="none"/>
        </w:rPr>
      </w:pPr>
      <w:r>
        <w:rPr>
          <w:rFonts w:cs="Times New Roman" w:ascii="Times New Roman" w:hAnsi="Times New Roman"/>
          <w:b/>
          <w:bCs/>
          <w:smallCaps/>
          <w:color w:val="00000A"/>
          <w:sz w:val="22"/>
          <w:szCs w:val="22"/>
          <w:highlight w:val="white"/>
          <w:u w:val="none"/>
        </w:rPr>
      </w:r>
    </w:p>
    <w:p>
      <w:pPr>
        <w:pStyle w:val="Header"/>
        <w:widowControl/>
        <w:tabs>
          <w:tab w:val="clear" w:pos="4252"/>
          <w:tab w:val="center" w:pos="735" w:leader="none"/>
          <w:tab w:val="right" w:pos="8504" w:leader="none"/>
        </w:tabs>
        <w:suppressAutoHyphens w:val="true"/>
        <w:bidi w:val="0"/>
        <w:spacing w:lineRule="auto" w:line="240" w:before="57" w:after="57"/>
        <w:ind w:firstLine="680" w:left="0" w:right="0"/>
        <w:jc w:val="both"/>
        <w:rPr/>
      </w:pPr>
      <w:r>
        <w:rPr>
          <w:rStyle w:val="Hyperlink"/>
          <w:rFonts w:eastAsia="SimSun" w:cs="Arial" w:ascii="Times New Roman" w:hAnsi="Times New Roman"/>
          <w:bCs/>
          <w:color w:val="000000"/>
          <w:kern w:val="0"/>
          <w:sz w:val="22"/>
          <w:szCs w:val="22"/>
          <w:u w:val="none"/>
          <w:lang w:eastAsia="pt-BR"/>
        </w:rPr>
        <w:tab/>
        <w:t>Os materiais serão destinados à distribuição aos participantes da Semana Interna de Prevenção de Acidentes do Trabalho – SIPAT, com a finalidade de incentivar a participação dos servidores/colaboradores nas atividades de conscientização, prevenção de acidentes, promoção da saúde e segurança no ambiente de trabalho.</w:t>
      </w:r>
      <w:r>
        <w:rPr>
          <w:rStyle w:val="Hyperlink"/>
          <w:rFonts w:cs="Times New Roman" w:ascii="Times New Roman" w:hAnsi="Times New Roman"/>
          <w:b w:val="false"/>
          <w:bCs w:val="false"/>
          <w:i/>
          <w:iCs/>
          <w:color w:val="auto"/>
          <w:sz w:val="24"/>
          <w:szCs w:val="24"/>
          <w:u w:val="none"/>
          <w:lang w:eastAsia="pt-BR"/>
        </w:rPr>
        <w:t xml:space="preserve"> </w:t>
      </w:r>
    </w:p>
    <w:p>
      <w:pPr>
        <w:pStyle w:val="Normal"/>
        <w:widowControl/>
        <w:suppressAutoHyphens w:val="false"/>
        <w:bidi w:val="0"/>
        <w:spacing w:before="0" w:after="0"/>
        <w:ind w:firstLine="680" w:left="0" w:right="0"/>
        <w:jc w:val="both"/>
        <w:rPr>
          <w:rFonts w:ascii="Arial" w:hAnsi="Arial" w:cs="Arial"/>
          <w:color w:val="000000"/>
          <w:sz w:val="22"/>
          <w:szCs w:val="22"/>
          <w:lang w:eastAsia="pt-BR"/>
        </w:rPr>
      </w:pPr>
      <w:r>
        <w:rPr>
          <w:rStyle w:val="Hyperlink"/>
          <w:rFonts w:cs="Arial" w:ascii="Times New Roman" w:hAnsi="Times New Roman"/>
          <w:bCs/>
          <w:color w:val="000000"/>
          <w:sz w:val="22"/>
          <w:szCs w:val="22"/>
          <w:u w:val="none"/>
          <w:lang w:eastAsia="pt-BR"/>
        </w:rPr>
        <w:t>Portanto, dos argumentos apresentados, resta evidenciada a essencialidade do material ora requerido para a empresa.</w:t>
      </w:r>
    </w:p>
    <w:p>
      <w:pPr>
        <w:pStyle w:val="Normal"/>
        <w:tabs>
          <w:tab w:val="clear" w:pos="720"/>
          <w:tab w:val="left" w:pos="338" w:leader="none"/>
        </w:tabs>
        <w:spacing w:lineRule="auto" w:line="240" w:before="0" w:after="0"/>
        <w:jc w:val="both"/>
        <w:rPr/>
      </w:pPr>
      <w:r>
        <w:rPr>
          <w:rStyle w:val="Hyperlink"/>
          <w:rFonts w:cs="Times New Roman" w:ascii="Times New Roman" w:hAnsi="Times New Roman"/>
          <w:bCs/>
          <w:color w:val="000000"/>
          <w:sz w:val="22"/>
          <w:szCs w:val="22"/>
          <w:u w:val="none"/>
        </w:rPr>
        <w:tab/>
        <w:tab/>
        <w:t xml:space="preserve">Para tal, esta Unidade Gestora recebeu provisões orçamentárias do Tesouro Nacional, de acordo com a Lei nº 11.768 de 14 de agosto de 2008, publicada no D.O.U. De 15 de agosto de 2008, demandado fiel observância aos preceitos legais que regem as compras governamentais na Administração Pública. </w:t>
      </w:r>
    </w:p>
    <w:p>
      <w:pPr>
        <w:pStyle w:val="Normal"/>
        <w:tabs>
          <w:tab w:val="clear" w:pos="720"/>
          <w:tab w:val="left" w:pos="338" w:leader="none"/>
        </w:tabs>
        <w:spacing w:lineRule="auto" w:line="240" w:before="0" w:after="0"/>
        <w:jc w:val="both"/>
        <w:rPr>
          <w:rFonts w:ascii="Times New Roman" w:hAnsi="Times New Roman" w:cs="Times New Roman"/>
          <w:bCs/>
          <w:color w:val="000000"/>
          <w:sz w:val="22"/>
          <w:szCs w:val="22"/>
          <w:u w:val="none"/>
        </w:rPr>
      </w:pPr>
      <w:r>
        <w:rPr>
          <w:rFonts w:cs="Times New Roman" w:ascii="Times New Roman" w:hAnsi="Times New Roman"/>
          <w:bCs/>
          <w:color w:val="000000"/>
          <w:sz w:val="22"/>
          <w:szCs w:val="22"/>
          <w:u w:val="none"/>
        </w:rPr>
      </w:r>
    </w:p>
    <w:p>
      <w:pPr>
        <w:pStyle w:val="Normal"/>
        <w:tabs>
          <w:tab w:val="clear" w:pos="720"/>
          <w:tab w:val="left" w:pos="338" w:leader="none"/>
        </w:tabs>
        <w:spacing w:lineRule="auto" w:line="240" w:before="0" w:after="0"/>
        <w:jc w:val="both"/>
        <w:rPr/>
      </w:pPr>
      <w:r>
        <w:rPr>
          <w:rStyle w:val="Hyperlink"/>
          <w:rFonts w:cs="Times New Roman" w:ascii="Times New Roman" w:hAnsi="Times New Roman"/>
          <w:bCs/>
          <w:color w:val="000000"/>
          <w:sz w:val="22"/>
          <w:szCs w:val="22"/>
          <w:u w:val="none"/>
        </w:rPr>
        <w:tab/>
        <w:tab/>
        <w:t>Justificadamente, portanto, opta-se por realizar a presente licitação, valendo-se do Sistema de Registro de Preços em virtude do exato enquadramento das necessidades da Fábrica, requisitos fundamentais para utilização desse sistema, a saber: bens e serviços que não se pode definir previamente com exatidão devido ampliações e redefinição do organograma ou sistema organizacional e a pluralidade de órgãos beneficiados, ou seja, outros Órgãos poderão utilizar os preços registrados na correspondente Ata.</w:t>
      </w:r>
    </w:p>
    <w:p>
      <w:pPr>
        <w:pStyle w:val="Normal"/>
        <w:tabs>
          <w:tab w:val="clear" w:pos="720"/>
          <w:tab w:val="left" w:pos="338" w:leader="none"/>
        </w:tabs>
        <w:spacing w:lineRule="auto" w:line="240"/>
        <w:jc w:val="both"/>
        <w:rPr>
          <w:rFonts w:ascii="Times New Roman" w:hAnsi="Times New Roman" w:cs="Times New Roman"/>
          <w:sz w:val="21"/>
          <w:szCs w:val="21"/>
          <w:u w:val="single"/>
        </w:rPr>
      </w:pPr>
      <w:r>
        <w:rPr>
          <w:rFonts w:cs="Times New Roman" w:ascii="Times New Roman" w:hAnsi="Times New Roman"/>
          <w:sz w:val="21"/>
          <w:szCs w:val="21"/>
          <w:u w:val="single"/>
        </w:rPr>
      </w:r>
    </w:p>
    <w:p>
      <w:pPr>
        <w:pStyle w:val="Normal"/>
        <w:jc w:val="both"/>
        <w:rPr/>
      </w:pPr>
      <w:r>
        <w:rPr>
          <w:rStyle w:val="Hyperlink"/>
          <w:rFonts w:cs="Times New Roman" w:ascii="Times New Roman" w:hAnsi="Times New Roman"/>
          <w:b/>
          <w:bCs/>
          <w:smallCaps/>
          <w:color w:val="00000A"/>
          <w:sz w:val="21"/>
          <w:szCs w:val="21"/>
          <w:u w:val="none"/>
        </w:rPr>
        <w:t>3. DA FORMA DE COTAÇÃO</w:t>
      </w:r>
    </w:p>
    <w:p>
      <w:pPr>
        <w:pStyle w:val="Normal"/>
        <w:jc w:val="both"/>
        <w:rPr>
          <w:rFonts w:ascii="Times New Roman" w:hAnsi="Times New Roman" w:cs="Times New Roman"/>
          <w:b/>
          <w:bCs/>
          <w:smallCaps/>
          <w:sz w:val="21"/>
          <w:szCs w:val="21"/>
        </w:rPr>
      </w:pPr>
      <w:r>
        <w:rPr>
          <w:rFonts w:cs="Times New Roman" w:ascii="Times New Roman" w:hAnsi="Times New Roman"/>
          <w:b/>
          <w:bCs/>
          <w:smallCaps/>
          <w:sz w:val="21"/>
          <w:szCs w:val="21"/>
        </w:rPr>
      </w:r>
    </w:p>
    <w:p>
      <w:pPr>
        <w:pStyle w:val="Normal"/>
        <w:tabs>
          <w:tab w:val="clear" w:pos="720"/>
          <w:tab w:val="left" w:pos="338" w:leader="none"/>
        </w:tabs>
        <w:spacing w:lineRule="atLeast" w:line="200"/>
        <w:jc w:val="both"/>
        <w:rPr/>
      </w:pPr>
      <w:r>
        <w:rPr>
          <w:rStyle w:val="Hyperlink"/>
          <w:rFonts w:eastAsia="Verdana" w:cs="Times New Roman" w:ascii="Times New Roman" w:hAnsi="Times New Roman"/>
          <w:color w:val="000000"/>
          <w:sz w:val="21"/>
          <w:szCs w:val="21"/>
          <w:u w:val="none"/>
        </w:rPr>
        <w:tab/>
        <w:t xml:space="preserve">Para efeito de cotação, será levado em conta o </w:t>
      </w:r>
      <w:r>
        <w:rPr>
          <w:rStyle w:val="Hyperlink"/>
          <w:rFonts w:eastAsia="Verdana" w:cs="Times New Roman" w:ascii="Times New Roman" w:hAnsi="Times New Roman"/>
          <w:b/>
          <w:bCs/>
          <w:color w:val="0000FF"/>
          <w:sz w:val="21"/>
          <w:szCs w:val="21"/>
          <w:u w:val="none"/>
        </w:rPr>
        <w:t>MENOR PREÇO DO ITEM.</w:t>
      </w:r>
      <w:r>
        <w:rPr>
          <w:rFonts w:eastAsia="Verdana" w:cs="Times New Roman" w:ascii="Times New Roman" w:hAnsi="Times New Roman"/>
          <w:color w:val="0000FF"/>
          <w:sz w:val="21"/>
          <w:szCs w:val="21"/>
        </w:rPr>
        <w:t xml:space="preserve"> </w:t>
      </w:r>
      <w:r>
        <w:rPr>
          <w:rStyle w:val="Hyperlink"/>
          <w:rFonts w:eastAsia="Verdana" w:cs="Times New Roman" w:ascii="Times New Roman" w:hAnsi="Times New Roman"/>
          <w:color w:val="000000"/>
          <w:sz w:val="21"/>
          <w:szCs w:val="21"/>
          <w:u w:val="none"/>
        </w:rPr>
        <w:t>O objeto adjudicado será contratado pelo preço da proposta encaminhada e readequada ao lance vencedor, que será fixo e irreajustável, respeitados os termos e especificações técnicas deste Termo de Referência e demais regras editalícias.</w:t>
      </w:r>
    </w:p>
    <w:p>
      <w:pPr>
        <w:pStyle w:val="Normal"/>
        <w:tabs>
          <w:tab w:val="clear" w:pos="720"/>
          <w:tab w:val="left" w:pos="338" w:leader="none"/>
        </w:tabs>
        <w:spacing w:lineRule="atLeast" w:line="200"/>
        <w:jc w:val="both"/>
        <w:rPr>
          <w:rFonts w:ascii="Times New Roman" w:hAnsi="Times New Roman" w:eastAsia="Verdana" w:cs="Times New Roman"/>
          <w:color w:val="000000"/>
          <w:sz w:val="21"/>
          <w:szCs w:val="21"/>
          <w:u w:val="none"/>
        </w:rPr>
      </w:pPr>
      <w:r>
        <w:rPr>
          <w:rFonts w:eastAsia="Verdana" w:cs="Times New Roman" w:ascii="Times New Roman" w:hAnsi="Times New Roman"/>
          <w:color w:val="000000"/>
          <w:sz w:val="21"/>
          <w:szCs w:val="21"/>
          <w:u w:val="none"/>
        </w:rPr>
      </w:r>
    </w:p>
    <w:p>
      <w:pPr>
        <w:pStyle w:val="Normal"/>
        <w:tabs>
          <w:tab w:val="clear" w:pos="720"/>
          <w:tab w:val="left" w:pos="338" w:leader="none"/>
        </w:tabs>
        <w:spacing w:lineRule="atLeast" w:line="200"/>
        <w:jc w:val="both"/>
        <w:rPr>
          <w:rFonts w:ascii="Times New Roman" w:hAnsi="Times New Roman" w:eastAsia="Verdana" w:cs="Times New Roman"/>
          <w:color w:val="000000"/>
          <w:sz w:val="21"/>
          <w:szCs w:val="21"/>
          <w:u w:val="none"/>
        </w:rPr>
      </w:pPr>
      <w:r>
        <w:rPr>
          <w:rFonts w:eastAsia="Verdana" w:cs="Times New Roman" w:ascii="Times New Roman" w:hAnsi="Times New Roman"/>
          <w:color w:val="000000"/>
          <w:sz w:val="21"/>
          <w:szCs w:val="21"/>
          <w:u w:val="none"/>
        </w:rPr>
      </w:r>
    </w:p>
    <w:p>
      <w:pPr>
        <w:pStyle w:val="Normal"/>
        <w:tabs>
          <w:tab w:val="clear" w:pos="720"/>
          <w:tab w:val="left" w:pos="338" w:leader="none"/>
        </w:tabs>
        <w:spacing w:lineRule="atLeast" w:line="200"/>
        <w:jc w:val="both"/>
        <w:rPr/>
      </w:pPr>
      <w:r>
        <w:rPr>
          <w:rStyle w:val="Hyperlink"/>
          <w:rFonts w:eastAsia="Verdana" w:cs="Times New Roman" w:ascii="Times New Roman" w:hAnsi="Times New Roman"/>
          <w:b/>
          <w:bCs/>
          <w:color w:val="000000"/>
          <w:sz w:val="24"/>
          <w:szCs w:val="24"/>
          <w:u w:val="none"/>
          <w:lang w:val="pt-BR"/>
        </w:rPr>
        <w:t>4. DA DESCRIÇÃO E QUANTITATIVO DO OBJETO</w:t>
      </w:r>
    </w:p>
    <w:p>
      <w:pPr>
        <w:pStyle w:val="Normal"/>
        <w:tabs>
          <w:tab w:val="clear" w:pos="720"/>
          <w:tab w:val="left" w:pos="338" w:leader="none"/>
        </w:tabs>
        <w:spacing w:lineRule="atLeast" w:line="200"/>
        <w:jc w:val="both"/>
        <w:rPr>
          <w:rFonts w:ascii="Times New Roman" w:hAnsi="Times New Roman" w:eastAsia="Verdana" w:cs="Times New Roman"/>
          <w:b/>
          <w:bCs/>
          <w:color w:val="000000"/>
          <w:sz w:val="24"/>
          <w:szCs w:val="24"/>
          <w:u w:val="none"/>
          <w:lang w:val="pt-BR"/>
        </w:rPr>
      </w:pPr>
      <w:r>
        <w:rPr>
          <w:rFonts w:eastAsia="Verdana" w:cs="Times New Roman" w:ascii="Times New Roman" w:hAnsi="Times New Roman"/>
          <w:b/>
          <w:bCs/>
          <w:color w:val="000000"/>
          <w:sz w:val="24"/>
          <w:szCs w:val="24"/>
          <w:u w:val="none"/>
          <w:lang w:val="pt-BR"/>
        </w:rPr>
      </w:r>
    </w:p>
    <w:p>
      <w:pPr>
        <w:pStyle w:val="Normal"/>
        <w:widowControl/>
        <w:suppressAutoHyphens w:val="true"/>
        <w:bidi w:val="0"/>
        <w:spacing w:lineRule="atLeast" w:line="240" w:before="0" w:after="0"/>
        <w:ind w:firstLine="850" w:left="0" w:right="0"/>
        <w:jc w:val="both"/>
        <w:rPr>
          <w:rFonts w:ascii="Times New Roman" w:hAnsi="Times New Roman"/>
          <w:sz w:val="24"/>
          <w:szCs w:val="24"/>
        </w:rPr>
      </w:pPr>
      <w:r>
        <w:rPr>
          <w:rStyle w:val="Fontepargpadro"/>
          <w:rFonts w:eastAsia="Arial Narrow" w:cs="Arial" w:ascii="Times New Roman" w:hAnsi="Times New Roman"/>
          <w:b/>
          <w:bCs/>
          <w:color w:val="auto"/>
          <w:sz w:val="24"/>
          <w:szCs w:val="24"/>
          <w:lang w:val="pt-BR" w:eastAsia="zh-CN"/>
        </w:rPr>
        <w:t>AQUISIÇÃO DE MATERIAIS PARA PROMOVER A SIPAT 2026</w:t>
      </w:r>
      <w:r>
        <w:rPr>
          <w:rStyle w:val="Fontepargpadro"/>
          <w:rFonts w:eastAsia="Arial Narrow" w:cs="Arial" w:ascii="Times New Roman" w:hAnsi="Times New Roman"/>
          <w:b w:val="false"/>
          <w:bCs/>
          <w:color w:val="auto"/>
          <w:sz w:val="24"/>
          <w:szCs w:val="24"/>
          <w:lang w:val="pt-BR" w:eastAsia="zh-CN"/>
        </w:rPr>
        <w:t xml:space="preserve">, a fim de atender às necessidades da IMBEL FI conforme especificações constantes abaixo: </w:t>
      </w:r>
    </w:p>
    <w:p>
      <w:pPr>
        <w:pStyle w:val="Corpodetexto2"/>
        <w:tabs>
          <w:tab w:val="clear" w:pos="720"/>
        </w:tabs>
        <w:spacing w:lineRule="auto" w:line="276"/>
        <w:ind w:hanging="0" w:left="113" w:right="57"/>
        <w:rPr>
          <w:rFonts w:ascii="Times New Roman" w:hAnsi="Times New Roman" w:eastAsia="Arial Narrow" w:cs="Verdana"/>
          <w:b w:val="false"/>
          <w:bCs w:val="false"/>
          <w:color w:val="auto"/>
          <w:sz w:val="24"/>
          <w:szCs w:val="24"/>
          <w:lang w:val="pt-BR" w:eastAsia="zh-CN"/>
        </w:rPr>
      </w:pPr>
      <w:r>
        <w:rPr>
          <w:rFonts w:eastAsia="Arial Narrow" w:cs="Verdana" w:ascii="Times New Roman" w:hAnsi="Times New Roman"/>
          <w:b w:val="false"/>
          <w:bCs w:val="false"/>
          <w:color w:val="auto"/>
          <w:sz w:val="24"/>
          <w:szCs w:val="24"/>
          <w:lang w:val="pt-BR" w:eastAsia="zh-CN"/>
        </w:rPr>
      </w:r>
    </w:p>
    <w:tbl>
      <w:tblPr>
        <w:tblW w:w="5000" w:type="pct"/>
        <w:jc w:val="left"/>
        <w:tblInd w:w="55" w:type="dxa"/>
        <w:tblLayout w:type="fixed"/>
        <w:tblCellMar>
          <w:top w:w="55" w:type="dxa"/>
          <w:left w:w="55" w:type="dxa"/>
          <w:bottom w:w="55" w:type="dxa"/>
          <w:right w:w="55" w:type="dxa"/>
        </w:tblCellMar>
      </w:tblPr>
      <w:tblGrid>
        <w:gridCol w:w="760"/>
        <w:gridCol w:w="6870"/>
        <w:gridCol w:w="851"/>
        <w:gridCol w:w="1275"/>
      </w:tblGrid>
      <w:tr>
        <w:trPr/>
        <w:tc>
          <w:tcPr>
            <w:tcW w:w="760" w:type="dxa"/>
            <w:tcBorders>
              <w:top w:val="single" w:sz="4" w:space="0" w:color="000000"/>
              <w:left w:val="single" w:sz="4" w:space="0" w:color="000000"/>
              <w:bottom w:val="single" w:sz="4" w:space="0" w:color="000000"/>
            </w:tcBorders>
          </w:tcPr>
          <w:p>
            <w:pPr>
              <w:pStyle w:val="Contedodatabela"/>
              <w:jc w:val="left"/>
              <w:rPr>
                <w:rFonts w:ascii="Times New Roman" w:hAnsi="Times New Roman"/>
                <w:b/>
                <w:bCs/>
                <w:sz w:val="22"/>
                <w:szCs w:val="22"/>
              </w:rPr>
            </w:pPr>
            <w:r>
              <w:rPr>
                <w:rFonts w:ascii="Times New Roman" w:hAnsi="Times New Roman"/>
                <w:b/>
                <w:bCs/>
                <w:sz w:val="22"/>
                <w:szCs w:val="22"/>
              </w:rPr>
              <w:t>ITEM</w:t>
            </w:r>
          </w:p>
        </w:tc>
        <w:tc>
          <w:tcPr>
            <w:tcW w:w="6870" w:type="dxa"/>
            <w:tcBorders>
              <w:top w:val="single" w:sz="4" w:space="0" w:color="000000"/>
              <w:left w:val="single" w:sz="4" w:space="0" w:color="000000"/>
              <w:bottom w:val="single" w:sz="4" w:space="0" w:color="000000"/>
            </w:tcBorders>
          </w:tcPr>
          <w:p>
            <w:pPr>
              <w:pStyle w:val="Contedodatabela"/>
              <w:jc w:val="center"/>
              <w:rPr>
                <w:rFonts w:ascii="Times New Roman" w:hAnsi="Times New Roman"/>
                <w:sz w:val="22"/>
                <w:szCs w:val="22"/>
              </w:rPr>
            </w:pPr>
            <w:r>
              <w:rPr>
                <w:rFonts w:ascii="Times New Roman" w:hAnsi="Times New Roman"/>
                <w:b/>
                <w:bCs/>
                <w:sz w:val="22"/>
                <w:szCs w:val="22"/>
              </w:rPr>
              <w:t>DESCRIÇÃO DO OBJETO</w:t>
            </w:r>
          </w:p>
        </w:tc>
        <w:tc>
          <w:tcPr>
            <w:tcW w:w="851" w:type="dxa"/>
            <w:tcBorders>
              <w:top w:val="single" w:sz="4" w:space="0" w:color="000000"/>
              <w:left w:val="single" w:sz="4" w:space="0" w:color="000000"/>
              <w:bottom w:val="single" w:sz="4" w:space="0" w:color="000000"/>
            </w:tcBorders>
          </w:tcPr>
          <w:p>
            <w:pPr>
              <w:pStyle w:val="Contedodatabela"/>
              <w:jc w:val="center"/>
              <w:rPr>
                <w:rFonts w:ascii="Times New Roman" w:hAnsi="Times New Roman"/>
                <w:b/>
                <w:bCs/>
                <w:sz w:val="22"/>
                <w:szCs w:val="22"/>
              </w:rPr>
            </w:pPr>
            <w:r>
              <w:rPr>
                <w:rFonts w:ascii="Times New Roman" w:hAnsi="Times New Roman"/>
                <w:b/>
                <w:bCs/>
                <w:sz w:val="22"/>
                <w:szCs w:val="22"/>
              </w:rPr>
              <w:t>UNID.</w:t>
            </w:r>
          </w:p>
        </w:tc>
        <w:tc>
          <w:tcPr>
            <w:tcW w:w="1275" w:type="dxa"/>
            <w:tcBorders>
              <w:top w:val="single" w:sz="4" w:space="0" w:color="000000"/>
              <w:left w:val="single" w:sz="4" w:space="0" w:color="000000"/>
              <w:bottom w:val="single" w:sz="4" w:space="0" w:color="000000"/>
              <w:right w:val="single" w:sz="4" w:space="0" w:color="000000"/>
            </w:tcBorders>
          </w:tcPr>
          <w:p>
            <w:pPr>
              <w:pStyle w:val="Contedodatabela"/>
              <w:jc w:val="center"/>
              <w:rPr>
                <w:rFonts w:ascii="Times New Roman" w:hAnsi="Times New Roman"/>
                <w:b/>
                <w:bCs/>
                <w:sz w:val="22"/>
                <w:szCs w:val="22"/>
              </w:rPr>
            </w:pPr>
            <w:r>
              <w:rPr>
                <w:rFonts w:ascii="Times New Roman" w:hAnsi="Times New Roman"/>
                <w:b/>
                <w:bCs/>
                <w:sz w:val="22"/>
                <w:szCs w:val="22"/>
              </w:rPr>
              <w:t>QUANT.</w:t>
            </w:r>
          </w:p>
        </w:tc>
      </w:tr>
      <w:tr>
        <w:trPr/>
        <w:tc>
          <w:tcPr>
            <w:tcW w:w="760" w:type="dxa"/>
            <w:tcBorders>
              <w:left w:val="single" w:sz="4" w:space="0" w:color="000000"/>
              <w:bottom w:val="single" w:sz="4" w:space="0" w:color="000000"/>
            </w:tcBorders>
            <w:vAlign w:val="center"/>
          </w:tcPr>
          <w:p>
            <w:pPr>
              <w:pStyle w:val="Contedodatabela"/>
              <w:jc w:val="center"/>
              <w:rPr>
                <w:rFonts w:ascii="Times New Roman" w:hAnsi="Times New Roman"/>
                <w:b/>
                <w:bCs/>
                <w:sz w:val="22"/>
                <w:szCs w:val="22"/>
              </w:rPr>
            </w:pPr>
            <w:r>
              <w:rPr>
                <w:rFonts w:ascii="Times New Roman" w:hAnsi="Times New Roman"/>
                <w:b/>
                <w:bCs/>
                <w:sz w:val="22"/>
                <w:szCs w:val="22"/>
              </w:rPr>
              <w:t>01</w:t>
            </w:r>
          </w:p>
        </w:tc>
        <w:tc>
          <w:tcPr>
            <w:tcW w:w="6870" w:type="dxa"/>
            <w:tcBorders>
              <w:left w:val="single" w:sz="4" w:space="0" w:color="000000"/>
              <w:bottom w:val="single" w:sz="4" w:space="0" w:color="000000"/>
            </w:tcBorders>
            <w:vAlign w:val="center"/>
          </w:tcPr>
          <w:p>
            <w:pPr>
              <w:pStyle w:val="Contedodatabela"/>
              <w:jc w:val="both"/>
              <w:rPr/>
            </w:pPr>
            <w:r>
              <w:rPr>
                <w:rStyle w:val="Strong"/>
                <w:rFonts w:ascii="Times New Roman" w:hAnsi="Times New Roman"/>
                <w:sz w:val="22"/>
                <w:szCs w:val="22"/>
              </w:rPr>
              <w:t>Porta Crachá Retrátil Personalizado</w:t>
            </w:r>
          </w:p>
          <w:p>
            <w:pPr>
              <w:pStyle w:val="Contedodatabela"/>
              <w:jc w:val="both"/>
              <w:rPr/>
            </w:pPr>
            <w:r>
              <w:rPr>
                <w:rFonts w:ascii="Times New Roman" w:hAnsi="Times New Roman"/>
                <w:sz w:val="22"/>
                <w:szCs w:val="22"/>
              </w:rPr>
              <w:t xml:space="preserve">Cordão para identificação, confeccionado em material resistente, com acabamento acetinado e largura aproximada de 15mm, com personalização conforme arte fornecida ou aprovada pela Administração. Deverá acompanhar </w:t>
            </w:r>
            <w:r>
              <w:rPr>
                <w:rStyle w:val="Strong"/>
                <w:rFonts w:ascii="Times New Roman" w:hAnsi="Times New Roman"/>
                <w:sz w:val="22"/>
                <w:szCs w:val="22"/>
              </w:rPr>
              <w:t>clip roller retrátil (iô-iô) também personalizado</w:t>
            </w:r>
            <w:r>
              <w:rPr>
                <w:rFonts w:ascii="Times New Roman" w:hAnsi="Times New Roman"/>
                <w:sz w:val="22"/>
                <w:szCs w:val="22"/>
              </w:rPr>
              <w:t>, com impressão ou aplicação da identidade visual definida pela Administração, em acabamento de boa qualidade e resistente ao uso diário. O mecanismo retrátil deverá apresentar funcionamento adequado, com sistema de fixação compatível com crachá. O conjunto deverá ser novo, de primeira qualidade, sem defeitos, falhas de impressão, manchas ou desbotamento. Possui presilha metálica na parte traseira e alça plástica com botão, gravação em resina.</w:t>
            </w:r>
          </w:p>
        </w:tc>
        <w:tc>
          <w:tcPr>
            <w:tcW w:w="851" w:type="dxa"/>
            <w:tcBorders>
              <w:left w:val="single" w:sz="4" w:space="0" w:color="000000"/>
              <w:bottom w:val="single" w:sz="4" w:space="0" w:color="000000"/>
            </w:tcBorders>
            <w:vAlign w:val="center"/>
          </w:tcPr>
          <w:p>
            <w:pPr>
              <w:pStyle w:val="Contedodatabela"/>
              <w:jc w:val="center"/>
              <w:rPr>
                <w:rFonts w:ascii="Times New Roman" w:hAnsi="Times New Roman"/>
                <w:sz w:val="22"/>
                <w:szCs w:val="22"/>
              </w:rPr>
            </w:pPr>
            <w:r>
              <w:rPr>
                <w:rFonts w:ascii="Times New Roman" w:hAnsi="Times New Roman"/>
                <w:sz w:val="22"/>
                <w:szCs w:val="22"/>
              </w:rPr>
              <w:t>UN</w:t>
            </w:r>
          </w:p>
        </w:tc>
        <w:tc>
          <w:tcPr>
            <w:tcW w:w="1275" w:type="dxa"/>
            <w:tcBorders>
              <w:left w:val="single" w:sz="4" w:space="0" w:color="000000"/>
              <w:bottom w:val="single" w:sz="4" w:space="0" w:color="000000"/>
              <w:right w:val="single" w:sz="4" w:space="0" w:color="000000"/>
            </w:tcBorders>
            <w:vAlign w:val="center"/>
          </w:tcPr>
          <w:p>
            <w:pPr>
              <w:pStyle w:val="Contedodatabela"/>
              <w:jc w:val="center"/>
              <w:rPr>
                <w:rFonts w:ascii="Times New Roman" w:hAnsi="Times New Roman"/>
                <w:sz w:val="22"/>
                <w:szCs w:val="22"/>
              </w:rPr>
            </w:pPr>
            <w:r>
              <w:rPr>
                <w:rFonts w:ascii="Times New Roman" w:hAnsi="Times New Roman"/>
                <w:sz w:val="22"/>
                <w:szCs w:val="22"/>
              </w:rPr>
              <w:t>700</w:t>
            </w:r>
          </w:p>
        </w:tc>
      </w:tr>
      <w:tr>
        <w:trPr/>
        <w:tc>
          <w:tcPr>
            <w:tcW w:w="760" w:type="dxa"/>
            <w:tcBorders>
              <w:left w:val="single" w:sz="4" w:space="0" w:color="000000"/>
              <w:bottom w:val="single" w:sz="4" w:space="0" w:color="000000"/>
            </w:tcBorders>
            <w:vAlign w:val="center"/>
          </w:tcPr>
          <w:p>
            <w:pPr>
              <w:pStyle w:val="Contedodatabela"/>
              <w:jc w:val="center"/>
              <w:rPr>
                <w:rFonts w:ascii="Times New Roman" w:hAnsi="Times New Roman"/>
                <w:b/>
                <w:bCs/>
                <w:color w:val="000000"/>
                <w:sz w:val="22"/>
                <w:szCs w:val="22"/>
              </w:rPr>
            </w:pPr>
            <w:r>
              <w:rPr>
                <w:rFonts w:ascii="Times New Roman" w:hAnsi="Times New Roman"/>
                <w:b/>
                <w:bCs/>
                <w:color w:val="000000"/>
                <w:sz w:val="22"/>
                <w:szCs w:val="22"/>
              </w:rPr>
              <w:t>02</w:t>
            </w:r>
          </w:p>
        </w:tc>
        <w:tc>
          <w:tcPr>
            <w:tcW w:w="6870" w:type="dxa"/>
            <w:tcBorders>
              <w:left w:val="single" w:sz="4" w:space="0" w:color="000000"/>
              <w:bottom w:val="single" w:sz="4" w:space="0" w:color="000000"/>
            </w:tcBorders>
            <w:vAlign w:val="center"/>
          </w:tcPr>
          <w:p>
            <w:pPr>
              <w:pStyle w:val="Normal"/>
              <w:widowControl w:val="false"/>
              <w:jc w:val="both"/>
              <w:rPr>
                <w:rFonts w:ascii="Times New Roman" w:hAnsi="Times New Roman"/>
                <w:b/>
                <w:bCs/>
                <w:i w:val="false"/>
                <w:i w:val="false"/>
                <w:caps w:val="false"/>
                <w:smallCaps w:val="false"/>
                <w:color w:val="000000"/>
                <w:spacing w:val="0"/>
                <w:sz w:val="22"/>
                <w:szCs w:val="22"/>
              </w:rPr>
            </w:pPr>
            <w:r>
              <w:rPr>
                <w:rFonts w:ascii="Times New Roman" w:hAnsi="Times New Roman"/>
                <w:b/>
                <w:bCs/>
                <w:i w:val="false"/>
                <w:caps w:val="false"/>
                <w:smallCaps w:val="false"/>
                <w:color w:val="000000"/>
                <w:spacing w:val="0"/>
                <w:sz w:val="22"/>
                <w:szCs w:val="22"/>
              </w:rPr>
              <w:t>Caneta Personalizada</w:t>
            </w:r>
          </w:p>
          <w:p>
            <w:pPr>
              <w:pStyle w:val="Normal"/>
              <w:widowControl w:val="false"/>
              <w:jc w:val="both"/>
              <w:rPr>
                <w:sz w:val="22"/>
                <w:szCs w:val="22"/>
              </w:rPr>
            </w:pPr>
            <w:r>
              <w:rPr>
                <w:rFonts w:ascii="Times New Roman" w:hAnsi="Times New Roman"/>
                <w:b w:val="false"/>
                <w:i w:val="false"/>
                <w:caps w:val="false"/>
                <w:smallCaps w:val="false"/>
                <w:color w:val="000000"/>
                <w:spacing w:val="0"/>
                <w:sz w:val="22"/>
                <w:szCs w:val="22"/>
              </w:rPr>
              <w:t>Caneta plástica personalizada, inteira colorida com anel prata. Possui corpo translúcido e parte inferior emborrachada com relevo. Aciona por clique</w:t>
            </w:r>
            <w:r>
              <w:rPr>
                <w:rFonts w:ascii="Times New Roman" w:hAnsi="Times New Roman"/>
                <w:color w:val="000000"/>
                <w:sz w:val="22"/>
                <w:szCs w:val="22"/>
              </w:rPr>
              <w:t xml:space="preserve"> </w:t>
            </w:r>
            <w:r>
              <w:rPr>
                <w:rFonts w:ascii="Times New Roman" w:hAnsi="Times New Roman"/>
                <w:b w:val="false"/>
                <w:i w:val="false"/>
                <w:caps w:val="false"/>
                <w:smallCaps w:val="false"/>
                <w:color w:val="000000"/>
                <w:spacing w:val="0"/>
                <w:sz w:val="22"/>
                <w:szCs w:val="22"/>
              </w:rPr>
              <w:t>Tamanho: 13,7 cm x 1,6 cm</w:t>
            </w:r>
          </w:p>
        </w:tc>
        <w:tc>
          <w:tcPr>
            <w:tcW w:w="851" w:type="dxa"/>
            <w:tcBorders>
              <w:left w:val="single" w:sz="4" w:space="0" w:color="000000"/>
              <w:bottom w:val="single" w:sz="4" w:space="0" w:color="000000"/>
            </w:tcBorders>
            <w:vAlign w:val="center"/>
          </w:tcPr>
          <w:p>
            <w:pPr>
              <w:pStyle w:val="Contedodatabela"/>
              <w:jc w:val="center"/>
              <w:rPr>
                <w:rFonts w:ascii="Times New Roman" w:hAnsi="Times New Roman"/>
                <w:sz w:val="22"/>
                <w:szCs w:val="22"/>
              </w:rPr>
            </w:pPr>
            <w:r>
              <w:rPr>
                <w:rFonts w:ascii="Times New Roman" w:hAnsi="Times New Roman"/>
                <w:sz w:val="22"/>
                <w:szCs w:val="22"/>
              </w:rPr>
              <w:t>UN</w:t>
            </w:r>
          </w:p>
        </w:tc>
        <w:tc>
          <w:tcPr>
            <w:tcW w:w="1275" w:type="dxa"/>
            <w:tcBorders>
              <w:left w:val="single" w:sz="4" w:space="0" w:color="000000"/>
              <w:bottom w:val="single" w:sz="4" w:space="0" w:color="000000"/>
              <w:right w:val="single" w:sz="4" w:space="0" w:color="000000"/>
            </w:tcBorders>
            <w:vAlign w:val="center"/>
          </w:tcPr>
          <w:p>
            <w:pPr>
              <w:pStyle w:val="Contedodatabela"/>
              <w:jc w:val="center"/>
              <w:rPr>
                <w:rFonts w:ascii="Times New Roman" w:hAnsi="Times New Roman"/>
                <w:sz w:val="22"/>
                <w:szCs w:val="22"/>
              </w:rPr>
            </w:pPr>
            <w:r>
              <w:rPr>
                <w:rFonts w:ascii="Times New Roman" w:hAnsi="Times New Roman"/>
                <w:sz w:val="22"/>
                <w:szCs w:val="22"/>
              </w:rPr>
              <w:t>700</w:t>
            </w:r>
          </w:p>
        </w:tc>
      </w:tr>
      <w:tr>
        <w:trPr/>
        <w:tc>
          <w:tcPr>
            <w:tcW w:w="760" w:type="dxa"/>
            <w:tcBorders>
              <w:left w:val="single" w:sz="4" w:space="0" w:color="000000"/>
              <w:bottom w:val="single" w:sz="4" w:space="0" w:color="000000"/>
            </w:tcBorders>
            <w:vAlign w:val="center"/>
          </w:tcPr>
          <w:p>
            <w:pPr>
              <w:pStyle w:val="Contedodatabela"/>
              <w:jc w:val="center"/>
              <w:rPr>
                <w:rFonts w:ascii="Times New Roman" w:hAnsi="Times New Roman"/>
                <w:b/>
                <w:bCs/>
                <w:sz w:val="22"/>
                <w:szCs w:val="22"/>
              </w:rPr>
            </w:pPr>
            <w:r>
              <w:rPr>
                <w:rFonts w:ascii="Times New Roman" w:hAnsi="Times New Roman"/>
                <w:b/>
                <w:bCs/>
                <w:sz w:val="22"/>
                <w:szCs w:val="22"/>
              </w:rPr>
              <w:t>03</w:t>
            </w:r>
          </w:p>
        </w:tc>
        <w:tc>
          <w:tcPr>
            <w:tcW w:w="6870" w:type="dxa"/>
            <w:tcBorders>
              <w:left w:val="single" w:sz="4" w:space="0" w:color="000000"/>
              <w:bottom w:val="single" w:sz="4" w:space="0" w:color="000000"/>
            </w:tcBorders>
            <w:vAlign w:val="center"/>
          </w:tcPr>
          <w:p>
            <w:pPr>
              <w:pStyle w:val="Normal"/>
              <w:widowControl w:val="false"/>
              <w:jc w:val="both"/>
              <w:rPr>
                <w:rFonts w:ascii="Times New Roman" w:hAnsi="Times New Roman"/>
                <w:b/>
                <w:bCs/>
                <w:sz w:val="22"/>
                <w:szCs w:val="22"/>
              </w:rPr>
            </w:pPr>
            <w:r>
              <w:rPr>
                <w:rFonts w:ascii="Times New Roman" w:hAnsi="Times New Roman"/>
                <w:b/>
                <w:bCs/>
                <w:sz w:val="22"/>
                <w:szCs w:val="22"/>
              </w:rPr>
              <w:t>Botton Personalizado</w:t>
            </w:r>
          </w:p>
          <w:p>
            <w:pPr>
              <w:pStyle w:val="Normal"/>
              <w:widowControl w:val="false"/>
              <w:jc w:val="both"/>
              <w:rPr>
                <w:rFonts w:ascii="Times New Roman" w:hAnsi="Times New Roman"/>
                <w:sz w:val="22"/>
                <w:szCs w:val="22"/>
              </w:rPr>
            </w:pPr>
            <w:r>
              <w:rPr>
                <w:rFonts w:ascii="Times New Roman" w:hAnsi="Times New Roman"/>
                <w:sz w:val="22"/>
                <w:szCs w:val="22"/>
              </w:rPr>
              <w:t>Estrutura confeccionada em alumínio; Base de PVC;</w:t>
            </w:r>
          </w:p>
          <w:p>
            <w:pPr>
              <w:pStyle w:val="Normal"/>
              <w:widowControl w:val="false"/>
              <w:jc w:val="both"/>
              <w:rPr>
                <w:rFonts w:ascii="Times New Roman" w:hAnsi="Times New Roman"/>
                <w:sz w:val="22"/>
                <w:szCs w:val="22"/>
              </w:rPr>
            </w:pPr>
            <w:r>
              <w:rPr>
                <w:rFonts w:ascii="Times New Roman" w:hAnsi="Times New Roman"/>
                <w:sz w:val="22"/>
                <w:szCs w:val="22"/>
              </w:rPr>
              <w:t>Impressão personalizada plastificada;</w:t>
            </w:r>
          </w:p>
          <w:p>
            <w:pPr>
              <w:pStyle w:val="Normal"/>
              <w:widowControl w:val="false"/>
              <w:jc w:val="both"/>
              <w:rPr>
                <w:rFonts w:ascii="Times New Roman" w:hAnsi="Times New Roman"/>
                <w:sz w:val="22"/>
                <w:szCs w:val="22"/>
              </w:rPr>
            </w:pPr>
            <w:r>
              <w:rPr>
                <w:rFonts w:ascii="Times New Roman" w:hAnsi="Times New Roman"/>
                <w:sz w:val="22"/>
                <w:szCs w:val="22"/>
              </w:rPr>
              <w:t>Alfinete para fixação no verso;</w:t>
            </w:r>
          </w:p>
          <w:p>
            <w:pPr>
              <w:pStyle w:val="Normal"/>
              <w:widowControl w:val="false"/>
              <w:jc w:val="both"/>
              <w:rPr>
                <w:rFonts w:ascii="Times New Roman" w:hAnsi="Times New Roman"/>
                <w:sz w:val="22"/>
                <w:szCs w:val="22"/>
              </w:rPr>
            </w:pPr>
            <w:r>
              <w:rPr>
                <w:rFonts w:ascii="Times New Roman" w:hAnsi="Times New Roman"/>
                <w:sz w:val="22"/>
                <w:szCs w:val="22"/>
              </w:rPr>
              <w:t>Indicado para campanhas, eventos e ações corporativas;</w:t>
            </w:r>
          </w:p>
          <w:p>
            <w:pPr>
              <w:pStyle w:val="Normal"/>
              <w:widowControl w:val="false"/>
              <w:jc w:val="both"/>
              <w:rPr>
                <w:rFonts w:ascii="Times New Roman" w:hAnsi="Times New Roman"/>
                <w:sz w:val="22"/>
                <w:szCs w:val="22"/>
              </w:rPr>
            </w:pPr>
            <w:r>
              <w:rPr>
                <w:rFonts w:ascii="Times New Roman" w:hAnsi="Times New Roman"/>
                <w:sz w:val="22"/>
                <w:szCs w:val="22"/>
              </w:rPr>
              <w:t>Personalizável</w:t>
            </w:r>
          </w:p>
          <w:p>
            <w:pPr>
              <w:pStyle w:val="Normal"/>
              <w:widowControl w:val="false"/>
              <w:jc w:val="both"/>
              <w:rPr>
                <w:rFonts w:ascii="Times New Roman" w:hAnsi="Times New Roman"/>
                <w:sz w:val="22"/>
                <w:szCs w:val="22"/>
              </w:rPr>
            </w:pPr>
            <w:r>
              <w:rPr>
                <w:rFonts w:ascii="Times New Roman" w:hAnsi="Times New Roman"/>
                <w:sz w:val="22"/>
                <w:szCs w:val="22"/>
              </w:rPr>
              <w:t>Medida: Ø 3,5 cm.</w:t>
            </w:r>
          </w:p>
        </w:tc>
        <w:tc>
          <w:tcPr>
            <w:tcW w:w="851" w:type="dxa"/>
            <w:tcBorders>
              <w:left w:val="single" w:sz="4" w:space="0" w:color="000000"/>
              <w:bottom w:val="single" w:sz="4" w:space="0" w:color="000000"/>
            </w:tcBorders>
            <w:vAlign w:val="center"/>
          </w:tcPr>
          <w:p>
            <w:pPr>
              <w:pStyle w:val="Contedodatabela"/>
              <w:jc w:val="center"/>
              <w:rPr>
                <w:rFonts w:ascii="Times New Roman" w:hAnsi="Times New Roman"/>
                <w:sz w:val="22"/>
                <w:szCs w:val="22"/>
              </w:rPr>
            </w:pPr>
            <w:r>
              <w:rPr>
                <w:rFonts w:ascii="Times New Roman" w:hAnsi="Times New Roman"/>
                <w:sz w:val="22"/>
                <w:szCs w:val="22"/>
              </w:rPr>
              <w:t>UN</w:t>
            </w:r>
          </w:p>
        </w:tc>
        <w:tc>
          <w:tcPr>
            <w:tcW w:w="1275" w:type="dxa"/>
            <w:tcBorders>
              <w:left w:val="single" w:sz="4" w:space="0" w:color="000000"/>
              <w:bottom w:val="single" w:sz="4" w:space="0" w:color="000000"/>
              <w:right w:val="single" w:sz="4" w:space="0" w:color="000000"/>
            </w:tcBorders>
            <w:vAlign w:val="center"/>
          </w:tcPr>
          <w:p>
            <w:pPr>
              <w:pStyle w:val="Contedodatabela"/>
              <w:jc w:val="center"/>
              <w:rPr>
                <w:rFonts w:ascii="Times New Roman" w:hAnsi="Times New Roman"/>
                <w:sz w:val="22"/>
                <w:szCs w:val="22"/>
              </w:rPr>
            </w:pPr>
            <w:r>
              <w:rPr>
                <w:rFonts w:ascii="Times New Roman" w:hAnsi="Times New Roman"/>
                <w:sz w:val="22"/>
                <w:szCs w:val="22"/>
              </w:rPr>
              <w:t>30</w:t>
            </w:r>
          </w:p>
        </w:tc>
      </w:tr>
      <w:tr>
        <w:trPr>
          <w:trHeight w:val="129" w:hRule="atLeast"/>
        </w:trPr>
        <w:tc>
          <w:tcPr>
            <w:tcW w:w="760" w:type="dxa"/>
            <w:tcBorders>
              <w:left w:val="single" w:sz="4" w:space="0" w:color="000000"/>
              <w:bottom w:val="single" w:sz="4" w:space="0" w:color="000000"/>
            </w:tcBorders>
            <w:vAlign w:val="center"/>
          </w:tcPr>
          <w:p>
            <w:pPr>
              <w:pStyle w:val="Contedodatabela"/>
              <w:jc w:val="center"/>
              <w:rPr>
                <w:rFonts w:ascii="Times New Roman" w:hAnsi="Times New Roman"/>
                <w:b/>
                <w:bCs/>
                <w:sz w:val="22"/>
                <w:szCs w:val="22"/>
              </w:rPr>
            </w:pPr>
            <w:r>
              <w:rPr>
                <w:rFonts w:ascii="Times New Roman" w:hAnsi="Times New Roman"/>
                <w:b/>
                <w:bCs/>
                <w:sz w:val="22"/>
                <w:szCs w:val="22"/>
              </w:rPr>
              <w:t>04</w:t>
            </w:r>
          </w:p>
        </w:tc>
        <w:tc>
          <w:tcPr>
            <w:tcW w:w="6870" w:type="dxa"/>
            <w:tcBorders>
              <w:left w:val="single" w:sz="4" w:space="0" w:color="000000"/>
              <w:bottom w:val="single" w:sz="4" w:space="0" w:color="000000"/>
            </w:tcBorders>
            <w:vAlign w:val="center"/>
          </w:tcPr>
          <w:p>
            <w:pPr>
              <w:pStyle w:val="Normal"/>
              <w:widowControl w:val="false"/>
              <w:jc w:val="both"/>
              <w:rPr>
                <w:rFonts w:ascii="Times New Roman" w:hAnsi="Times New Roman"/>
                <w:b/>
                <w:bCs/>
                <w:sz w:val="22"/>
                <w:szCs w:val="22"/>
              </w:rPr>
            </w:pPr>
            <w:r>
              <w:rPr>
                <w:rFonts w:ascii="Times New Roman" w:hAnsi="Times New Roman"/>
                <w:b/>
                <w:bCs/>
                <w:sz w:val="22"/>
                <w:szCs w:val="22"/>
              </w:rPr>
              <w:t>Chaveiro com Abridor de Garrafas e Cortador de Unhas</w:t>
            </w:r>
          </w:p>
          <w:p>
            <w:pPr>
              <w:pStyle w:val="Normal"/>
              <w:widowControl w:val="false"/>
              <w:jc w:val="both"/>
              <w:rPr>
                <w:rFonts w:ascii="Times New Roman" w:hAnsi="Times New Roman"/>
                <w:sz w:val="22"/>
                <w:szCs w:val="22"/>
              </w:rPr>
            </w:pPr>
            <w:r>
              <w:rPr>
                <w:rFonts w:ascii="Times New Roman" w:hAnsi="Times New Roman"/>
                <w:sz w:val="22"/>
                <w:szCs w:val="22"/>
              </w:rPr>
              <w:t>Chaveiro de Metal Multifunção. Modelo com argola, cortador de unhas, abridor de garrafas e personalização centralizada resinada brilhante.</w:t>
            </w:r>
          </w:p>
          <w:p>
            <w:pPr>
              <w:pStyle w:val="Normal"/>
              <w:widowControl w:val="false"/>
              <w:jc w:val="both"/>
              <w:rPr>
                <w:rFonts w:ascii="Times New Roman" w:hAnsi="Times New Roman"/>
                <w:sz w:val="22"/>
                <w:szCs w:val="22"/>
              </w:rPr>
            </w:pPr>
            <w:r>
              <w:rPr>
                <w:rFonts w:ascii="Times New Roman" w:hAnsi="Times New Roman"/>
                <w:sz w:val="22"/>
                <w:szCs w:val="22"/>
              </w:rPr>
              <w:t>Especificações Técnicas: metal, funções de cortador/abridor, tamanho de ~5,9 cm x 3,2 cm e personalização em resina de alto brilho. Sem bolhas na resina ou falhas na logo.</w:t>
            </w:r>
          </w:p>
        </w:tc>
        <w:tc>
          <w:tcPr>
            <w:tcW w:w="851" w:type="dxa"/>
            <w:tcBorders>
              <w:left w:val="single" w:sz="4" w:space="0" w:color="000000"/>
              <w:bottom w:val="single" w:sz="4" w:space="0" w:color="000000"/>
            </w:tcBorders>
            <w:vAlign w:val="center"/>
          </w:tcPr>
          <w:p>
            <w:pPr>
              <w:pStyle w:val="Contedodatabela"/>
              <w:jc w:val="center"/>
              <w:rPr>
                <w:rFonts w:ascii="Times New Roman" w:hAnsi="Times New Roman"/>
                <w:sz w:val="22"/>
                <w:szCs w:val="22"/>
              </w:rPr>
            </w:pPr>
            <w:r>
              <w:rPr>
                <w:rFonts w:ascii="Times New Roman" w:hAnsi="Times New Roman"/>
                <w:sz w:val="22"/>
                <w:szCs w:val="22"/>
              </w:rPr>
              <w:t>UN</w:t>
            </w:r>
          </w:p>
        </w:tc>
        <w:tc>
          <w:tcPr>
            <w:tcW w:w="1275" w:type="dxa"/>
            <w:tcBorders>
              <w:left w:val="single" w:sz="4" w:space="0" w:color="000000"/>
              <w:bottom w:val="single" w:sz="4" w:space="0" w:color="000000"/>
              <w:right w:val="single" w:sz="4" w:space="0" w:color="000000"/>
            </w:tcBorders>
            <w:vAlign w:val="center"/>
          </w:tcPr>
          <w:p>
            <w:pPr>
              <w:pStyle w:val="Contedodatabela"/>
              <w:jc w:val="center"/>
              <w:rPr>
                <w:rFonts w:ascii="Times New Roman" w:hAnsi="Times New Roman"/>
                <w:sz w:val="22"/>
                <w:szCs w:val="22"/>
              </w:rPr>
            </w:pPr>
            <w:r>
              <w:rPr>
                <w:rFonts w:ascii="Times New Roman" w:hAnsi="Times New Roman"/>
                <w:sz w:val="22"/>
                <w:szCs w:val="22"/>
              </w:rPr>
              <w:t>700</w:t>
            </w:r>
          </w:p>
        </w:tc>
      </w:tr>
    </w:tbl>
    <w:p>
      <w:pPr>
        <w:pStyle w:val="Normal"/>
        <w:rPr>
          <w:rFonts w:ascii="Times New Roman" w:hAnsi="Times New Roman"/>
          <w:b w:val="false"/>
          <w:bCs w:val="false"/>
          <w:sz w:val="24"/>
          <w:szCs w:val="24"/>
        </w:rPr>
      </w:pPr>
      <w:r>
        <w:rPr>
          <w:rFonts w:ascii="Times New Roman" w:hAnsi="Times New Roman"/>
          <w:b w:val="false"/>
          <w:bCs w:val="false"/>
          <w:sz w:val="24"/>
          <w:szCs w:val="24"/>
        </w:rPr>
      </w:r>
    </w:p>
    <w:p>
      <w:pPr>
        <w:pStyle w:val="Normal"/>
        <w:spacing w:lineRule="auto" w:line="276"/>
        <w:rPr>
          <w:rFonts w:ascii="Times New Roman" w:hAnsi="Times New Roman"/>
          <w:sz w:val="24"/>
          <w:szCs w:val="24"/>
        </w:rPr>
      </w:pPr>
      <w:r>
        <w:rPr>
          <w:rFonts w:ascii="Times New Roman" w:hAnsi="Times New Roman"/>
          <w:sz w:val="24"/>
          <w:szCs w:val="24"/>
        </w:rPr>
      </w:r>
    </w:p>
    <w:p>
      <w:pPr>
        <w:pStyle w:val="Header"/>
        <w:numPr>
          <w:ilvl w:val="0"/>
          <w:numId w:val="1"/>
        </w:numPr>
        <w:ind w:hanging="0" w:left="112"/>
        <w:jc w:val="left"/>
        <w:rPr>
          <w:rFonts w:ascii="Times New Roman" w:hAnsi="Times New Roman" w:cs="Times New Roman"/>
          <w:b/>
          <w:bCs/>
          <w:i w:val="false"/>
          <w:i w:val="false"/>
          <w:iCs w:val="false"/>
          <w:color w:val="auto"/>
          <w:sz w:val="24"/>
          <w:szCs w:val="24"/>
        </w:rPr>
      </w:pPr>
      <w:r>
        <w:rPr>
          <w:rFonts w:cs="Times New Roman" w:ascii="Times New Roman" w:hAnsi="Times New Roman"/>
          <w:b/>
          <w:bCs/>
          <w:i w:val="false"/>
          <w:iCs w:val="false"/>
          <w:color w:val="auto"/>
          <w:sz w:val="24"/>
          <w:szCs w:val="24"/>
        </w:rPr>
        <w:t>4.1.2 MODELOS:</w:t>
      </w:r>
    </w:p>
    <w:p>
      <w:pPr>
        <w:pStyle w:val="Header"/>
        <w:numPr>
          <w:ilvl w:val="0"/>
          <w:numId w:val="1"/>
        </w:numPr>
        <w:ind w:hanging="0" w:left="112"/>
        <w:jc w:val="left"/>
        <w:rPr>
          <w:rFonts w:ascii="Times New Roman" w:hAnsi="Times New Roman" w:cs="Times New Roman"/>
          <w:b/>
          <w:bCs/>
          <w:i/>
          <w:i/>
          <w:iCs/>
          <w:color w:val="auto"/>
          <w:sz w:val="24"/>
          <w:szCs w:val="24"/>
        </w:rPr>
      </w:pPr>
      <w:r>
        <w:rPr>
          <w:rFonts w:cs="Times New Roman" w:ascii="Times New Roman" w:hAnsi="Times New Roman"/>
          <w:b/>
          <w:bCs/>
          <w:i/>
          <w:iCs/>
          <w:color w:val="auto"/>
          <w:sz w:val="24"/>
          <w:szCs w:val="24"/>
        </w:rPr>
      </w:r>
    </w:p>
    <w:p>
      <w:pPr>
        <w:pStyle w:val="Header"/>
        <w:numPr>
          <w:ilvl w:val="0"/>
          <w:numId w:val="1"/>
        </w:numPr>
        <w:ind w:hanging="0" w:left="112"/>
        <w:jc w:val="left"/>
        <w:rPr>
          <w:rFonts w:ascii="Times New Roman" w:hAnsi="Times New Roman" w:cs="Times New Roman"/>
          <w:b/>
          <w:bCs/>
          <w:i/>
          <w:i/>
          <w:iCs/>
          <w:color w:val="auto"/>
          <w:sz w:val="24"/>
          <w:szCs w:val="24"/>
        </w:rPr>
      </w:pPr>
      <w:r>
        <w:rPr/>
        <w:drawing>
          <wp:inline distT="0" distB="0" distL="0" distR="0">
            <wp:extent cx="3773805" cy="2515870"/>
            <wp:effectExtent l="0" t="0" r="0" b="0"/>
            <wp:docPr id="3" name="Figura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Copia 1" descr=""/>
                    <pic:cNvPicPr>
                      <a:picLocks noChangeAspect="1" noChangeArrowheads="1"/>
                    </pic:cNvPicPr>
                  </pic:nvPicPr>
                  <pic:blipFill>
                    <a:blip r:embed="rId18"/>
                    <a:stretch>
                      <a:fillRect/>
                    </a:stretch>
                  </pic:blipFill>
                  <pic:spPr bwMode="auto">
                    <a:xfrm>
                      <a:off x="0" y="0"/>
                      <a:ext cx="3773805" cy="2515870"/>
                    </a:xfrm>
                    <a:prstGeom prst="rect">
                      <a:avLst/>
                    </a:prstGeom>
                  </pic:spPr>
                </pic:pic>
              </a:graphicData>
            </a:graphic>
          </wp:inline>
        </w:drawing>
      </w:r>
      <w:r>
        <w:rPr>
          <w:rFonts w:cs="Times New Roman" w:ascii="Times New Roman" w:hAnsi="Times New Roman"/>
          <w:b/>
          <w:bCs/>
          <w:i/>
          <w:iCs/>
          <w:color w:val="auto"/>
          <w:sz w:val="24"/>
          <w:szCs w:val="24"/>
        </w:rPr>
        <w:t xml:space="preserve">  </w:t>
      </w:r>
    </w:p>
    <w:p>
      <w:pPr>
        <w:pStyle w:val="Header"/>
        <w:numPr>
          <w:ilvl w:val="0"/>
          <w:numId w:val="1"/>
        </w:numPr>
        <w:ind w:hanging="0" w:left="112"/>
        <w:jc w:val="left"/>
        <w:rPr>
          <w:rFonts w:ascii="Times New Roman" w:hAnsi="Times New Roman" w:cs="Times New Roman"/>
          <w:b/>
          <w:bCs/>
          <w:i/>
          <w:i/>
          <w:iCs/>
          <w:color w:val="auto"/>
          <w:sz w:val="24"/>
          <w:szCs w:val="24"/>
        </w:rPr>
      </w:pPr>
      <w:r>
        <w:rPr>
          <w:rFonts w:cs="Times New Roman" w:ascii="Times New Roman" w:hAnsi="Times New Roman"/>
          <w:b/>
          <w:bCs/>
          <w:i w:val="false"/>
          <w:iCs w:val="false"/>
          <w:color w:val="auto"/>
          <w:sz w:val="22"/>
          <w:szCs w:val="22"/>
        </w:rPr>
        <w:t xml:space="preserve">1. </w:t>
      </w:r>
      <w:r>
        <w:rPr>
          <w:rStyle w:val="Strong"/>
          <w:rFonts w:cs="Times New Roman" w:ascii="Times New Roman" w:hAnsi="Times New Roman"/>
          <w:bCs/>
          <w:i w:val="false"/>
          <w:iCs w:val="false"/>
          <w:color w:val="auto"/>
          <w:sz w:val="22"/>
          <w:szCs w:val="22"/>
        </w:rPr>
        <w:t>Porta Crachá Retrátil</w:t>
      </w:r>
    </w:p>
    <w:p>
      <w:pPr>
        <w:pStyle w:val="Header"/>
        <w:numPr>
          <w:ilvl w:val="0"/>
          <w:numId w:val="1"/>
        </w:numPr>
        <w:ind w:hanging="0" w:left="112"/>
        <w:jc w:val="left"/>
        <w:rPr>
          <w:rFonts w:ascii="Times New Roman" w:hAnsi="Times New Roman" w:cs="Times New Roman"/>
          <w:b/>
          <w:bCs/>
          <w:i w:val="false"/>
          <w:i w:val="false"/>
          <w:iCs w:val="false"/>
          <w:color w:val="auto"/>
          <w:sz w:val="24"/>
          <w:szCs w:val="24"/>
        </w:rPr>
      </w:pPr>
      <w:r>
        <w:rPr>
          <w:rFonts w:cs="Times New Roman" w:ascii="Times New Roman" w:hAnsi="Times New Roman"/>
          <w:b/>
          <w:bCs/>
          <w:i w:val="false"/>
          <w:iCs w:val="false"/>
          <w:color w:val="auto"/>
          <w:sz w:val="24"/>
          <w:szCs w:val="24"/>
        </w:rPr>
      </w:r>
    </w:p>
    <w:p>
      <w:pPr>
        <w:pStyle w:val="Header"/>
        <w:numPr>
          <w:ilvl w:val="0"/>
          <w:numId w:val="1"/>
        </w:numPr>
        <w:ind w:hanging="0" w:left="112"/>
        <w:jc w:val="left"/>
        <w:rPr>
          <w:rFonts w:ascii="Times New Roman" w:hAnsi="Times New Roman" w:cs="Times New Roman"/>
          <w:b/>
          <w:bCs/>
          <w:i/>
          <w:i/>
          <w:iCs/>
          <w:color w:val="auto"/>
          <w:sz w:val="24"/>
          <w:szCs w:val="24"/>
        </w:rPr>
      </w:pPr>
      <w:r>
        <w:rPr/>
        <w:drawing>
          <wp:inline distT="0" distB="0" distL="0" distR="0">
            <wp:extent cx="2024380" cy="1974850"/>
            <wp:effectExtent l="0" t="0" r="0" b="0"/>
            <wp:docPr id="4" name="Figura4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Copia 1" descr=""/>
                    <pic:cNvPicPr>
                      <a:picLocks noChangeAspect="1" noChangeArrowheads="1"/>
                    </pic:cNvPicPr>
                  </pic:nvPicPr>
                  <pic:blipFill>
                    <a:blip r:embed="rId19"/>
                    <a:srcRect l="17100" t="10976" r="19114" b="11554"/>
                    <a:stretch>
                      <a:fillRect/>
                    </a:stretch>
                  </pic:blipFill>
                  <pic:spPr bwMode="auto">
                    <a:xfrm>
                      <a:off x="0" y="0"/>
                      <a:ext cx="2024380" cy="1974850"/>
                    </a:xfrm>
                    <a:prstGeom prst="rect">
                      <a:avLst/>
                    </a:prstGeom>
                  </pic:spPr>
                </pic:pic>
              </a:graphicData>
            </a:graphic>
          </wp:inline>
        </w:drawing>
      </w:r>
      <w:r>
        <w:rPr>
          <w:rFonts w:cs="Times New Roman" w:ascii="Times New Roman" w:hAnsi="Times New Roman"/>
          <w:b/>
          <w:bCs/>
          <w:i/>
          <w:iCs/>
          <w:color w:val="auto"/>
          <w:sz w:val="24"/>
          <w:szCs w:val="24"/>
        </w:rPr>
        <w:t xml:space="preserve">      </w:t>
      </w:r>
      <w:r>
        <w:rPr/>
        <w:drawing>
          <wp:inline distT="0" distB="0" distL="0" distR="0">
            <wp:extent cx="1957070" cy="1791970"/>
            <wp:effectExtent l="0" t="0" r="0" b="0"/>
            <wp:docPr id="5"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8" descr=""/>
                    <pic:cNvPicPr>
                      <a:picLocks noChangeAspect="1" noChangeArrowheads="1"/>
                    </pic:cNvPicPr>
                  </pic:nvPicPr>
                  <pic:blipFill>
                    <a:blip r:embed="rId20"/>
                    <a:stretch>
                      <a:fillRect/>
                    </a:stretch>
                  </pic:blipFill>
                  <pic:spPr bwMode="auto">
                    <a:xfrm>
                      <a:off x="0" y="0"/>
                      <a:ext cx="1957070" cy="1791970"/>
                    </a:xfrm>
                    <a:prstGeom prst="rect">
                      <a:avLst/>
                    </a:prstGeom>
                  </pic:spPr>
                </pic:pic>
              </a:graphicData>
            </a:graphic>
          </wp:inline>
        </w:drawing>
      </w:r>
      <w:r>
        <w:rPr>
          <w:rFonts w:cs="Times New Roman" w:ascii="Times New Roman" w:hAnsi="Times New Roman"/>
          <w:b/>
          <w:bCs/>
          <w:i/>
          <w:iCs/>
          <w:color w:val="auto"/>
          <w:sz w:val="24"/>
          <w:szCs w:val="24"/>
        </w:rPr>
        <w:t xml:space="preserve">    </w:t>
      </w:r>
      <w:r>
        <w:rPr/>
        <w:drawing>
          <wp:inline distT="0" distB="0" distL="0" distR="0">
            <wp:extent cx="1720850" cy="1776730"/>
            <wp:effectExtent l="0" t="0" r="0" b="0"/>
            <wp:docPr id="6" name="Figura2 Copia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Copia 3" descr=""/>
                    <pic:cNvPicPr>
                      <a:picLocks noChangeAspect="1" noChangeArrowheads="1"/>
                    </pic:cNvPicPr>
                  </pic:nvPicPr>
                  <pic:blipFill>
                    <a:blip r:embed="rId21"/>
                    <a:stretch>
                      <a:fillRect/>
                    </a:stretch>
                  </pic:blipFill>
                  <pic:spPr bwMode="auto">
                    <a:xfrm>
                      <a:off x="0" y="0"/>
                      <a:ext cx="1720850" cy="1776730"/>
                    </a:xfrm>
                    <a:prstGeom prst="rect">
                      <a:avLst/>
                    </a:prstGeom>
                  </pic:spPr>
                </pic:pic>
              </a:graphicData>
            </a:graphic>
          </wp:inline>
        </w:drawing>
      </w:r>
    </w:p>
    <w:p>
      <w:pPr>
        <w:pStyle w:val="Header"/>
        <w:numPr>
          <w:ilvl w:val="0"/>
          <w:numId w:val="1"/>
        </w:numPr>
        <w:ind w:hanging="0" w:left="112"/>
        <w:jc w:val="left"/>
        <w:rPr>
          <w:rFonts w:ascii="Times New Roman" w:hAnsi="Times New Roman" w:cs="Times New Roman"/>
          <w:b/>
          <w:bCs/>
          <w:i w:val="false"/>
          <w:i w:val="false"/>
          <w:iCs w:val="false"/>
          <w:color w:val="auto"/>
          <w:sz w:val="22"/>
          <w:szCs w:val="22"/>
        </w:rPr>
      </w:pPr>
      <w:r>
        <w:rPr>
          <w:rFonts w:cs="Arial" w:ascii="Times New Roman" w:hAnsi="Times New Roman"/>
          <w:b/>
          <w:bCs/>
          <w:i w:val="false"/>
          <w:iCs w:val="false"/>
          <w:color w:val="auto"/>
          <w:sz w:val="22"/>
          <w:szCs w:val="22"/>
        </w:rPr>
        <w:t xml:space="preserve">         </w:t>
      </w:r>
      <w:r>
        <w:rPr>
          <w:rFonts w:cs="Arial" w:ascii="Times New Roman" w:hAnsi="Times New Roman"/>
          <w:b/>
          <w:bCs/>
          <w:i w:val="false"/>
          <w:iCs w:val="false"/>
          <w:color w:val="auto"/>
          <w:sz w:val="22"/>
          <w:szCs w:val="22"/>
        </w:rPr>
        <w:t>2. Caneta Esferográfica                              3. Botom CIPA                                   4. Chaveiro</w:t>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PargrafodaLista"/>
        <w:numPr>
          <w:ilvl w:val="0"/>
          <w:numId w:val="1"/>
        </w:numPr>
        <w:tabs>
          <w:tab w:val="left" w:pos="352" w:leader="none"/>
        </w:tabs>
        <w:spacing w:lineRule="auto" w:line="276" w:before="90" w:after="0"/>
        <w:ind w:hanging="0" w:left="112" w:right="0"/>
        <w:contextualSpacing w:val="false"/>
        <w:rPr>
          <w:highlight w:val="none"/>
          <w:shd w:fill="FF0000" w:val="clear"/>
        </w:rPr>
      </w:pPr>
      <w:r>
        <w:rPr>
          <w:shd w:fill="FF0000" w:val="clear"/>
        </w:rPr>
      </w:r>
    </w:p>
    <w:p>
      <w:pPr>
        <w:pStyle w:val="Normal"/>
        <w:jc w:val="both"/>
        <w:rPr>
          <w:rFonts w:ascii="Times New Roman" w:hAnsi="Times New Roman"/>
        </w:rPr>
      </w:pPr>
      <w:r>
        <w:rPr>
          <w:rFonts w:eastAsia="Arial Narrow" w:cs="Arial" w:ascii="Times New Roman" w:hAnsi="Times New Roman"/>
          <w:b/>
          <w:bCs/>
          <w:color w:val="00000A"/>
          <w:sz w:val="24"/>
          <w:szCs w:val="24"/>
          <w:lang w:val="pt-BR"/>
        </w:rPr>
        <w:t xml:space="preserve"> </w:t>
      </w:r>
      <w:r>
        <w:rPr>
          <w:rFonts w:eastAsia="Arial Narrow" w:cs="Arial" w:ascii="Times New Roman" w:hAnsi="Times New Roman"/>
          <w:b/>
          <w:bCs/>
          <w:color w:val="00000A"/>
          <w:sz w:val="24"/>
          <w:szCs w:val="24"/>
          <w:lang w:val="pt-BR"/>
        </w:rPr>
        <w:t>FUNDAMENTO LEGAL</w:t>
      </w:r>
    </w:p>
    <w:p>
      <w:pPr>
        <w:pStyle w:val="Normal"/>
        <w:jc w:val="both"/>
        <w:rPr>
          <w:rFonts w:ascii="Times New Roman" w:hAnsi="Times New Roman" w:eastAsia="Arial Narrow" w:cs="Arial"/>
          <w:b/>
          <w:bCs/>
          <w:color w:val="00000A"/>
          <w:sz w:val="24"/>
          <w:szCs w:val="24"/>
          <w:lang w:val="pt-BR"/>
        </w:rPr>
      </w:pPr>
      <w:r>
        <w:rPr>
          <w:rFonts w:eastAsia="Arial Narrow" w:cs="Arial" w:ascii="Times New Roman" w:hAnsi="Times New Roman"/>
          <w:b/>
          <w:bCs/>
          <w:color w:val="00000A"/>
          <w:sz w:val="24"/>
          <w:szCs w:val="24"/>
          <w:lang w:val="pt-BR"/>
        </w:rPr>
      </w:r>
    </w:p>
    <w:p>
      <w:pPr>
        <w:pStyle w:val="BodyText"/>
        <w:widowControl/>
        <w:suppressAutoHyphens w:val="true"/>
        <w:bidi w:val="0"/>
        <w:spacing w:lineRule="auto" w:line="276" w:before="0" w:after="283"/>
        <w:jc w:val="both"/>
        <w:rPr/>
      </w:pPr>
      <w:r>
        <w:rPr>
          <w:rStyle w:val="Strong"/>
          <w:rFonts w:eastAsia="Arial Narrow" w:cs="Arial" w:ascii="Times New Roman" w:hAnsi="Times New Roman"/>
          <w:b w:val="false"/>
          <w:bCs w:val="false"/>
          <w:color w:val="000000"/>
          <w:kern w:val="0"/>
          <w:sz w:val="24"/>
          <w:szCs w:val="24"/>
          <w:lang w:val="pt-BR" w:eastAsia="pt-BR" w:bidi="ar-SA"/>
        </w:rPr>
        <w:t>Decreto n.º 10.024, de 20/09/2019, publicado no D.O.U. de 23 de setembro de 2019, que regulamenta a modalidade do Pregão Eletrônico, Decreto 11.462/2023 de 31 de março de 2023, Lei Complementar nº123 de 14 de dezembro de 2006, que institui o Estatuto Nacional da Microempresa e Empresa de Pequeno Porte, Decreto nº. 3.555, de 08 de agosto de 2000, publicado no D.O.U. de 09 de agosto de 2000 e suas alterações, aplicando-se conjuntamente as normas da Lei nº 13.303/2016 e Regulamento de Licitações e Contratos da IMBEL (Resolução nº 19/2023-CA-IMBEL, DE 18/09/2023) e suas alterações, e subsidiariamente a Lei 14.133/2021, de 01 de abril de 2021, e demais diplomas legais vigentes.</w:t>
      </w:r>
    </w:p>
    <w:p>
      <w:pPr>
        <w:pStyle w:val="Normal"/>
        <w:tabs>
          <w:tab w:val="clear" w:pos="720"/>
          <w:tab w:val="left" w:pos="714" w:leader="none"/>
        </w:tabs>
        <w:spacing w:lineRule="auto" w:line="240"/>
        <w:jc w:val="both"/>
        <w:rPr>
          <w:sz w:val="24"/>
          <w:szCs w:val="24"/>
        </w:rPr>
      </w:pPr>
      <w:r>
        <w:rPr>
          <w:sz w:val="24"/>
          <w:szCs w:val="24"/>
        </w:rPr>
      </w:r>
    </w:p>
    <w:p>
      <w:pPr>
        <w:pStyle w:val="Normal"/>
        <w:tabs>
          <w:tab w:val="clear" w:pos="720"/>
          <w:tab w:val="left" w:pos="714" w:leader="none"/>
        </w:tabs>
        <w:spacing w:lineRule="auto" w:line="240"/>
        <w:jc w:val="both"/>
        <w:rPr>
          <w:sz w:val="24"/>
          <w:szCs w:val="24"/>
        </w:rPr>
      </w:pPr>
      <w:r>
        <w:rPr>
          <w:rFonts w:cs="Arial" w:ascii="Times New Roman" w:hAnsi="Times New Roman"/>
          <w:b/>
          <w:bCs/>
          <w:color w:val="000000"/>
          <w:sz w:val="24"/>
          <w:szCs w:val="24"/>
          <w:shd w:fill="FFFFFF" w:val="clear"/>
          <w:lang w:val="en-US"/>
        </w:rPr>
        <w:t>5</w:t>
      </w:r>
      <w:r>
        <w:rPr>
          <w:rFonts w:cs="Times New Roman" w:ascii="Times New Roman" w:hAnsi="Times New Roman"/>
          <w:b/>
          <w:bCs/>
          <w:color w:val="00000A"/>
          <w:sz w:val="24"/>
          <w:szCs w:val="24"/>
          <w:shd w:fill="FFFFFF" w:val="clear"/>
        </w:rPr>
        <w:t>. OBSERVAÇÕES</w:t>
      </w:r>
    </w:p>
    <w:p>
      <w:pPr>
        <w:pStyle w:val="Normal"/>
        <w:tabs>
          <w:tab w:val="clear" w:pos="720"/>
          <w:tab w:val="left" w:pos="736" w:leader="none"/>
        </w:tabs>
        <w:spacing w:lineRule="auto" w:line="240"/>
        <w:jc w:val="both"/>
        <w:rPr>
          <w:rFonts w:ascii="Times New Roman" w:hAnsi="Times New Roman" w:eastAsia="SimSun" w:cs="Times New Roman"/>
          <w:bCs/>
          <w:color w:val="00000A"/>
          <w:sz w:val="24"/>
          <w:szCs w:val="24"/>
          <w:highlight w:val="yellow"/>
          <w:lang w:val="pt-BR" w:eastAsia="pt-BR" w:bidi="ar-SA"/>
        </w:rPr>
      </w:pPr>
      <w:r>
        <w:rPr>
          <w:rFonts w:eastAsia="SimSun" w:cs="Times New Roman" w:ascii="Times New Roman" w:hAnsi="Times New Roman"/>
          <w:bCs/>
          <w:color w:val="00000A"/>
          <w:sz w:val="24"/>
          <w:szCs w:val="24"/>
          <w:highlight w:val="yellow"/>
          <w:lang w:val="pt-BR" w:eastAsia="pt-BR" w:bidi="ar-SA"/>
        </w:rPr>
      </w:r>
    </w:p>
    <w:p>
      <w:pPr>
        <w:pStyle w:val="Normal"/>
        <w:tabs>
          <w:tab w:val="clear" w:pos="720"/>
          <w:tab w:val="left" w:pos="338" w:leader="none"/>
        </w:tabs>
        <w:spacing w:lineRule="auto" w:line="240"/>
        <w:jc w:val="both"/>
        <w:rPr>
          <w:sz w:val="24"/>
          <w:szCs w:val="24"/>
        </w:rPr>
      </w:pPr>
      <w:r>
        <w:rPr>
          <w:rFonts w:cs="Times New Roman" w:ascii="Times New Roman" w:hAnsi="Times New Roman"/>
          <w:b/>
          <w:bCs/>
          <w:color w:val="00000A"/>
          <w:sz w:val="24"/>
          <w:szCs w:val="24"/>
          <w:shd w:fill="FFFFFF" w:val="clear"/>
        </w:rPr>
        <w:tab/>
        <w:t>5.1.</w:t>
      </w:r>
      <w:r>
        <w:rPr>
          <w:rFonts w:cs="Times New Roman" w:ascii="Times New Roman" w:hAnsi="Times New Roman"/>
          <w:b w:val="false"/>
          <w:bCs w:val="false"/>
          <w:color w:val="00000A"/>
          <w:sz w:val="24"/>
          <w:szCs w:val="24"/>
          <w:shd w:fill="FFFFFF" w:val="clear"/>
        </w:rPr>
        <w:t xml:space="preserve"> </w:t>
      </w:r>
      <w:r>
        <w:rPr>
          <w:rFonts w:cs="Times New Roman" w:ascii="Times New Roman" w:hAnsi="Times New Roman"/>
          <w:bCs/>
          <w:color w:val="00000A"/>
          <w:sz w:val="24"/>
          <w:szCs w:val="24"/>
          <w:shd w:fill="FFFFFF" w:val="clear"/>
        </w:rPr>
        <w:t>Além das especificações acima, deverão ser observadas as prescrições a seguir, todas condicionantes da aceitação da proposta e do recebimento dos produtos licitados:</w:t>
      </w:r>
    </w:p>
    <w:p>
      <w:pPr>
        <w:pStyle w:val="Normal"/>
        <w:tabs>
          <w:tab w:val="clear" w:pos="720"/>
          <w:tab w:val="left" w:pos="567" w:leader="none"/>
          <w:tab w:val="left" w:pos="742" w:leader="none"/>
        </w:tabs>
        <w:spacing w:lineRule="auto" w:line="240"/>
        <w:jc w:val="both"/>
        <w:rPr>
          <w:sz w:val="24"/>
          <w:szCs w:val="24"/>
        </w:rPr>
      </w:pPr>
      <w:r>
        <w:rPr>
          <w:rFonts w:cs="Times New Roman" w:ascii="Times New Roman" w:hAnsi="Times New Roman"/>
          <w:b/>
          <w:bCs/>
          <w:i w:val="false"/>
          <w:iCs w:val="false"/>
          <w:color w:val="00000A"/>
          <w:sz w:val="24"/>
          <w:szCs w:val="24"/>
          <w:u w:val="none"/>
          <w:shd w:fill="FFFFFF" w:val="clear"/>
        </w:rPr>
        <w:tab/>
        <w:t>5.1.1.</w:t>
      </w:r>
      <w:r>
        <w:rPr>
          <w:rFonts w:cs="Times New Roman" w:ascii="Times New Roman" w:hAnsi="Times New Roman"/>
          <w:b w:val="false"/>
          <w:bCs w:val="false"/>
          <w:i w:val="false"/>
          <w:iCs w:val="false"/>
          <w:color w:val="00000A"/>
          <w:sz w:val="24"/>
          <w:szCs w:val="24"/>
          <w:u w:val="none"/>
          <w:shd w:fill="FFFFFF" w:val="clear"/>
        </w:rPr>
        <w:t xml:space="preserve"> Não serão aceitos produtos em desacordo com as especificações constantes do presente Termo de Referência;</w:t>
      </w:r>
    </w:p>
    <w:p>
      <w:pPr>
        <w:pStyle w:val="Normal"/>
        <w:tabs>
          <w:tab w:val="clear" w:pos="720"/>
          <w:tab w:val="left" w:pos="676" w:leader="none"/>
          <w:tab w:val="left" w:pos="742" w:leader="none"/>
          <w:tab w:val="left" w:pos="1080" w:leader="none"/>
        </w:tabs>
        <w:spacing w:lineRule="auto" w:line="240"/>
        <w:jc w:val="both"/>
        <w:rPr>
          <w:sz w:val="24"/>
          <w:szCs w:val="24"/>
        </w:rPr>
      </w:pPr>
      <w:r>
        <w:rPr>
          <w:rFonts w:cs="Times New Roman" w:ascii="Times New Roman" w:hAnsi="Times New Roman"/>
          <w:b/>
          <w:bCs/>
          <w:i w:val="false"/>
          <w:iCs w:val="false"/>
          <w:color w:val="00000A"/>
          <w:sz w:val="24"/>
          <w:szCs w:val="24"/>
          <w:u w:val="none"/>
          <w:shd w:fill="FFFFFF" w:val="clear"/>
        </w:rPr>
        <w:tab/>
        <w:tab/>
        <w:tab/>
        <w:t xml:space="preserve">5.1.1.1. </w:t>
      </w:r>
      <w:r>
        <w:rPr>
          <w:rFonts w:cs="Times New Roman" w:ascii="Times New Roman" w:hAnsi="Times New Roman"/>
          <w:b w:val="false"/>
          <w:bCs w:val="false"/>
          <w:i w:val="false"/>
          <w:iCs w:val="false"/>
          <w:color w:val="00000A"/>
          <w:sz w:val="24"/>
          <w:szCs w:val="24"/>
          <w:u w:val="none"/>
          <w:shd w:fill="FFFFFF" w:val="clear"/>
        </w:rPr>
        <w:t>Os produtos deverão ser novos, de 1º uso, de 1ª linha, apresentando durabilidade, bom desempenho e boa qualidade para a IMBEL/FI. Caso não sejam de 1ª linha, os mesmos serão recusados;</w:t>
      </w:r>
    </w:p>
    <w:p>
      <w:pPr>
        <w:pStyle w:val="Normal"/>
        <w:tabs>
          <w:tab w:val="clear" w:pos="720"/>
          <w:tab w:val="left" w:pos="676" w:leader="none"/>
          <w:tab w:val="left" w:pos="742" w:leader="none"/>
          <w:tab w:val="left" w:pos="1080" w:leader="none"/>
        </w:tabs>
        <w:spacing w:lineRule="auto" w:line="240"/>
        <w:jc w:val="both"/>
        <w:rPr>
          <w:sz w:val="24"/>
          <w:szCs w:val="24"/>
        </w:rPr>
      </w:pPr>
      <w:r>
        <w:rPr>
          <w:rFonts w:cs="Times New Roman" w:ascii="Times New Roman" w:hAnsi="Times New Roman"/>
          <w:b/>
          <w:bCs/>
          <w:i w:val="false"/>
          <w:iCs w:val="false"/>
          <w:color w:val="00000A"/>
          <w:sz w:val="24"/>
          <w:szCs w:val="24"/>
          <w:u w:val="none"/>
          <w:shd w:fill="FFFFFF" w:val="clear"/>
        </w:rPr>
        <w:tab/>
        <w:tab/>
        <w:tab/>
        <w:t xml:space="preserve">5.1.1.2. </w:t>
      </w:r>
      <w:r>
        <w:rPr>
          <w:rFonts w:cs="Times New Roman" w:ascii="Times New Roman" w:hAnsi="Times New Roman"/>
          <w:b w:val="false"/>
          <w:bCs w:val="false"/>
          <w:i w:val="false"/>
          <w:iCs w:val="false"/>
          <w:color w:val="00000A"/>
          <w:sz w:val="24"/>
          <w:szCs w:val="24"/>
          <w:u w:val="none"/>
          <w:shd w:fill="FFFFFF" w:val="clear"/>
        </w:rPr>
        <w:t>A validade mínima do item deverá ser de 12 (doze) meses a contar da data do recebimento na IMBEL/FI.</w:t>
      </w:r>
    </w:p>
    <w:p>
      <w:pPr>
        <w:pStyle w:val="Normal"/>
        <w:tabs>
          <w:tab w:val="clear" w:pos="720"/>
          <w:tab w:val="left" w:pos="567" w:leader="none"/>
          <w:tab w:val="left" w:pos="676" w:leader="none"/>
          <w:tab w:val="left" w:pos="1080" w:leader="none"/>
        </w:tabs>
        <w:spacing w:lineRule="auto" w:line="240"/>
        <w:jc w:val="both"/>
        <w:rPr>
          <w:sz w:val="24"/>
          <w:szCs w:val="24"/>
        </w:rPr>
      </w:pPr>
      <w:r>
        <w:rPr>
          <w:rFonts w:cs="Times New Roman" w:ascii="Times New Roman" w:hAnsi="Times New Roman"/>
          <w:b w:val="false"/>
          <w:bCs w:val="false"/>
          <w:i w:val="false"/>
          <w:iCs w:val="false"/>
          <w:color w:val="00000A"/>
          <w:sz w:val="24"/>
          <w:szCs w:val="24"/>
          <w:u w:val="none"/>
          <w:shd w:fill="FFFFFF" w:val="clear"/>
        </w:rPr>
        <w:tab/>
      </w:r>
      <w:r>
        <w:rPr>
          <w:rFonts w:cs="Times New Roman" w:ascii="Times New Roman" w:hAnsi="Times New Roman"/>
          <w:b/>
          <w:bCs/>
          <w:i w:val="false"/>
          <w:iCs w:val="false"/>
          <w:color w:val="00000A"/>
          <w:sz w:val="24"/>
          <w:szCs w:val="24"/>
          <w:u w:val="none"/>
          <w:shd w:fill="FFFFFF" w:val="clear"/>
        </w:rPr>
        <w:t>5</w:t>
      </w:r>
      <w:r>
        <w:rPr>
          <w:rFonts w:cs="Times New Roman" w:ascii="Times New Roman" w:hAnsi="Times New Roman"/>
          <w:b/>
          <w:bCs/>
          <w:color w:val="00000A"/>
          <w:sz w:val="24"/>
          <w:szCs w:val="24"/>
          <w:shd w:fill="FFFFFF" w:val="clear"/>
        </w:rPr>
        <w:t>.1.2.</w:t>
      </w:r>
      <w:r>
        <w:rPr>
          <w:rFonts w:cs="Times New Roman" w:ascii="Times New Roman" w:hAnsi="Times New Roman"/>
          <w:b w:val="false"/>
          <w:bCs w:val="false"/>
          <w:color w:val="00000A"/>
          <w:sz w:val="24"/>
          <w:szCs w:val="24"/>
          <w:shd w:fill="FFFFFF" w:val="clear"/>
        </w:rPr>
        <w:t xml:space="preserve"> </w:t>
      </w:r>
      <w:r>
        <w:rPr>
          <w:rFonts w:eastAsia="Verdana" w:cs="Times New Roman" w:ascii="Times New Roman" w:hAnsi="Times New Roman"/>
          <w:b w:val="false"/>
          <w:bCs w:val="false"/>
          <w:i w:val="false"/>
          <w:iCs w:val="false"/>
          <w:color w:val="00000A"/>
          <w:sz w:val="24"/>
          <w:szCs w:val="24"/>
          <w:shd w:fill="FFFFFF" w:val="clear"/>
        </w:rPr>
        <w:t>Não serão aceitos lances acima do preço estimado ou lances manifestadamente inexequíveis.</w:t>
      </w:r>
    </w:p>
    <w:p>
      <w:pPr>
        <w:pStyle w:val="Normal"/>
        <w:tabs>
          <w:tab w:val="clear" w:pos="720"/>
          <w:tab w:val="left" w:pos="567" w:leader="none"/>
          <w:tab w:val="left" w:pos="742" w:leader="none"/>
          <w:tab w:val="left" w:pos="851" w:leader="none"/>
          <w:tab w:val="left" w:pos="11400" w:leader="none"/>
          <w:tab w:val="left" w:pos="24225" w:leader="none"/>
        </w:tabs>
        <w:spacing w:lineRule="auto" w:line="240"/>
        <w:jc w:val="both"/>
        <w:rPr>
          <w:sz w:val="24"/>
          <w:szCs w:val="24"/>
        </w:rPr>
      </w:pPr>
      <w:r>
        <w:rPr>
          <w:rFonts w:eastAsia="Verdana" w:cs="Times New Roman" w:ascii="Times New Roman" w:hAnsi="Times New Roman"/>
          <w:b/>
          <w:bCs/>
          <w:i w:val="false"/>
          <w:iCs w:val="false"/>
          <w:color w:val="00000A"/>
          <w:sz w:val="24"/>
          <w:szCs w:val="24"/>
          <w:shd w:fill="FFFFFF" w:val="clear"/>
        </w:rPr>
        <w:tab/>
        <w:t>5</w:t>
      </w:r>
      <w:r>
        <w:rPr>
          <w:rFonts w:cs="Times New Roman" w:ascii="Times New Roman" w:hAnsi="Times New Roman"/>
          <w:b/>
          <w:bCs/>
          <w:color w:val="00000A"/>
          <w:sz w:val="24"/>
          <w:szCs w:val="24"/>
          <w:shd w:fill="FFFFFF" w:val="clear"/>
        </w:rPr>
        <w:t>.1.3.</w:t>
      </w:r>
      <w:r>
        <w:rPr>
          <w:rFonts w:cs="Times New Roman" w:ascii="Times New Roman" w:hAnsi="Times New Roman"/>
          <w:b w:val="false"/>
          <w:bCs w:val="false"/>
          <w:color w:val="00000A"/>
          <w:sz w:val="24"/>
          <w:szCs w:val="24"/>
          <w:shd w:fill="FFFFFF" w:val="clear"/>
        </w:rPr>
        <w:t xml:space="preserve"> </w:t>
      </w:r>
      <w:r>
        <w:rPr>
          <w:rFonts w:cs="Times New Roman" w:ascii="Times New Roman" w:hAnsi="Times New Roman"/>
          <w:color w:val="00000A"/>
          <w:sz w:val="24"/>
          <w:szCs w:val="24"/>
          <w:shd w:fill="FFFFFF" w:val="clear"/>
        </w:rPr>
        <w:t>Deverão ser informados, marcas/modelos e fabricante e garantia dos itens ofertados;</w:t>
      </w:r>
    </w:p>
    <w:p>
      <w:pPr>
        <w:pStyle w:val="Normal"/>
        <w:tabs>
          <w:tab w:val="clear" w:pos="720"/>
          <w:tab w:val="left" w:pos="513" w:leader="none"/>
          <w:tab w:val="left" w:pos="567" w:leader="none"/>
          <w:tab w:val="left" w:pos="742" w:leader="none"/>
          <w:tab w:val="left" w:pos="18105" w:leader="none"/>
        </w:tabs>
        <w:spacing w:lineRule="auto" w:line="240"/>
        <w:jc w:val="both"/>
        <w:rPr>
          <w:sz w:val="24"/>
          <w:szCs w:val="24"/>
        </w:rPr>
      </w:pPr>
      <w:r>
        <w:rPr>
          <w:rFonts w:eastAsia="Times New Roman" w:cs="Times New Roman" w:ascii="Times New Roman" w:hAnsi="Times New Roman"/>
          <w:color w:val="00000A"/>
          <w:sz w:val="24"/>
          <w:szCs w:val="24"/>
          <w:shd w:fill="FFFFFF" w:val="clear"/>
        </w:rPr>
        <w:t xml:space="preserve">  </w:t>
      </w:r>
      <w:r>
        <w:rPr>
          <w:rFonts w:cs="Times New Roman" w:ascii="Times New Roman" w:hAnsi="Times New Roman"/>
          <w:color w:val="00000A"/>
          <w:sz w:val="24"/>
          <w:szCs w:val="24"/>
          <w:shd w:fill="FFFFFF" w:val="clear"/>
        </w:rPr>
        <w:tab/>
      </w:r>
      <w:r>
        <w:rPr>
          <w:rFonts w:cs="Times New Roman" w:ascii="Times New Roman" w:hAnsi="Times New Roman"/>
          <w:b/>
          <w:bCs/>
          <w:color w:val="00000A"/>
          <w:sz w:val="24"/>
          <w:szCs w:val="24"/>
          <w:shd w:fill="FFFFFF" w:val="clear"/>
        </w:rPr>
        <w:tab/>
        <w:t>5.1.4.</w:t>
      </w:r>
      <w:r>
        <w:rPr>
          <w:rFonts w:cs="Times New Roman" w:ascii="Times New Roman" w:hAnsi="Times New Roman"/>
          <w:b w:val="false"/>
          <w:bCs w:val="false"/>
          <w:color w:val="00000A"/>
          <w:sz w:val="24"/>
          <w:szCs w:val="24"/>
          <w:shd w:fill="FFFFFF" w:val="clear"/>
        </w:rPr>
        <w:t xml:space="preserve"> </w:t>
      </w:r>
      <w:r>
        <w:rPr>
          <w:rFonts w:cs="Times New Roman" w:ascii="Times New Roman" w:hAnsi="Times New Roman"/>
          <w:color w:val="00000A"/>
          <w:sz w:val="24"/>
          <w:szCs w:val="24"/>
          <w:shd w:fill="FFFFFF" w:val="clear"/>
        </w:rPr>
        <w:t>Todos os itens deste Termo deverão ser produzidos por empresa especializada e legalmente estabelecida;</w:t>
      </w:r>
    </w:p>
    <w:p>
      <w:pPr>
        <w:pStyle w:val="Normal"/>
        <w:tabs>
          <w:tab w:val="clear" w:pos="720"/>
          <w:tab w:val="left" w:pos="567" w:leader="none"/>
          <w:tab w:val="left" w:pos="742" w:leader="none"/>
        </w:tabs>
        <w:spacing w:lineRule="auto" w:line="240"/>
        <w:jc w:val="both"/>
        <w:rPr>
          <w:sz w:val="24"/>
          <w:szCs w:val="24"/>
        </w:rPr>
      </w:pPr>
      <w:r>
        <w:rPr>
          <w:rFonts w:cs="Times New Roman" w:ascii="Times New Roman" w:hAnsi="Times New Roman"/>
          <w:b/>
          <w:bCs/>
          <w:color w:val="00000A"/>
          <w:sz w:val="24"/>
          <w:szCs w:val="24"/>
          <w:shd w:fill="FFFFFF" w:val="clear"/>
        </w:rPr>
        <w:tab/>
        <w:t>5.1.5.</w:t>
      </w:r>
      <w:r>
        <w:rPr>
          <w:rFonts w:cs="Times New Roman" w:ascii="Times New Roman" w:hAnsi="Times New Roman"/>
          <w:b w:val="false"/>
          <w:bCs w:val="false"/>
          <w:color w:val="00000A"/>
          <w:sz w:val="24"/>
          <w:szCs w:val="24"/>
          <w:shd w:fill="FFFFFF" w:val="clear"/>
        </w:rPr>
        <w:t xml:space="preserve"> </w:t>
      </w:r>
      <w:r>
        <w:rPr>
          <w:rFonts w:cs="Times New Roman" w:ascii="Times New Roman" w:hAnsi="Times New Roman"/>
          <w:color w:val="00000A"/>
          <w:sz w:val="24"/>
          <w:szCs w:val="24"/>
          <w:shd w:fill="FFFFFF" w:val="clear"/>
        </w:rPr>
        <w:t>Prazo de validade da proposta não deverá ser inferior a 60 (sessenta) dias a contar</w:t>
      </w:r>
      <w:r>
        <w:rPr>
          <w:rFonts w:cs="Times New Roman" w:ascii="Times New Roman" w:hAnsi="Times New Roman"/>
          <w:b w:val="false"/>
          <w:bCs w:val="false"/>
          <w:color w:val="00000A"/>
          <w:sz w:val="24"/>
          <w:szCs w:val="24"/>
          <w:shd w:fill="FFFFFF" w:val="clear"/>
        </w:rPr>
        <w:t xml:space="preserve"> da data de abertura das Propostas de Preço;</w:t>
      </w:r>
    </w:p>
    <w:p>
      <w:pPr>
        <w:pStyle w:val="Normal"/>
        <w:tabs>
          <w:tab w:val="clear" w:pos="720"/>
          <w:tab w:val="left" w:pos="567" w:leader="none"/>
          <w:tab w:val="left" w:pos="742" w:leader="none"/>
        </w:tabs>
        <w:spacing w:lineRule="auto" w:line="240"/>
        <w:jc w:val="both"/>
        <w:rPr>
          <w:sz w:val="24"/>
          <w:szCs w:val="24"/>
        </w:rPr>
      </w:pPr>
      <w:r>
        <w:rPr>
          <w:rFonts w:cs="Times New Roman" w:ascii="Times New Roman" w:hAnsi="Times New Roman"/>
          <w:b/>
          <w:bCs/>
          <w:i/>
          <w:iCs/>
          <w:color w:val="00000A"/>
          <w:sz w:val="24"/>
          <w:szCs w:val="24"/>
          <w:shd w:fill="FFFFFF" w:val="clear"/>
        </w:rPr>
        <w:tab/>
      </w:r>
      <w:r>
        <w:rPr>
          <w:rFonts w:cs="Times New Roman" w:ascii="Times New Roman" w:hAnsi="Times New Roman"/>
          <w:b/>
          <w:bCs/>
          <w:i w:val="false"/>
          <w:iCs w:val="false"/>
          <w:color w:val="00000A"/>
          <w:sz w:val="24"/>
          <w:szCs w:val="24"/>
          <w:shd w:fill="FFFFFF" w:val="clear"/>
        </w:rPr>
        <w:t>5</w:t>
      </w:r>
      <w:r>
        <w:rPr>
          <w:rFonts w:cs="Times New Roman" w:ascii="Times New Roman" w:hAnsi="Times New Roman"/>
          <w:b/>
          <w:bCs/>
          <w:i w:val="false"/>
          <w:iCs w:val="false"/>
          <w:color w:val="00000A"/>
          <w:sz w:val="24"/>
          <w:szCs w:val="24"/>
          <w:u w:val="none"/>
          <w:shd w:fill="FFFFFF" w:val="clear"/>
        </w:rPr>
        <w:t>.1.6.</w:t>
      </w:r>
      <w:r>
        <w:rPr>
          <w:rFonts w:cs="Times New Roman" w:ascii="Times New Roman" w:hAnsi="Times New Roman"/>
          <w:b/>
          <w:bCs/>
          <w:i/>
          <w:iCs/>
          <w:color w:val="00000A"/>
          <w:sz w:val="24"/>
          <w:szCs w:val="24"/>
          <w:u w:val="none"/>
          <w:shd w:fill="FFFFFF" w:val="clear"/>
        </w:rPr>
        <w:t xml:space="preserve"> </w:t>
      </w:r>
      <w:r>
        <w:rPr>
          <w:rFonts w:cs="Times New Roman" w:ascii="Times New Roman" w:hAnsi="Times New Roman"/>
          <w:b w:val="false"/>
          <w:bCs w:val="false"/>
          <w:i w:val="false"/>
          <w:iCs w:val="false"/>
          <w:color w:val="00000A"/>
          <w:sz w:val="24"/>
          <w:szCs w:val="24"/>
          <w:u w:val="none"/>
          <w:shd w:fill="FFFFFF" w:val="clear"/>
        </w:rPr>
        <w:t>No valor ofertado deverá estar incluso, impostos, os custos de transporte, frete, carga, descarga, embalagem, seguro e quaisquer outras despesas necessárias para a completa execução do objeto;</w:t>
      </w:r>
    </w:p>
    <w:p>
      <w:pPr>
        <w:pStyle w:val="Normal"/>
        <w:tabs>
          <w:tab w:val="clear" w:pos="720"/>
          <w:tab w:val="left" w:pos="567" w:leader="none"/>
          <w:tab w:val="left" w:pos="742" w:leader="none"/>
          <w:tab w:val="left" w:pos="18105" w:leader="none"/>
          <w:tab w:val="left" w:pos="18316" w:leader="none"/>
          <w:tab w:val="left" w:pos="23657" w:leader="none"/>
        </w:tabs>
        <w:spacing w:lineRule="auto" w:line="240"/>
        <w:jc w:val="both"/>
        <w:rPr>
          <w:sz w:val="24"/>
          <w:szCs w:val="24"/>
        </w:rPr>
      </w:pPr>
      <w:r>
        <w:rPr>
          <w:rFonts w:cs="Times New Roman" w:ascii="Times New Roman" w:hAnsi="Times New Roman"/>
          <w:b w:val="false"/>
          <w:bCs w:val="false"/>
          <w:color w:val="00000A"/>
          <w:sz w:val="24"/>
          <w:szCs w:val="24"/>
          <w:shd w:fill="FFFFFF" w:val="clear"/>
        </w:rPr>
        <w:tab/>
      </w:r>
      <w:r>
        <w:rPr>
          <w:rFonts w:cs="Times New Roman" w:ascii="Times New Roman" w:hAnsi="Times New Roman"/>
          <w:b/>
          <w:bCs/>
          <w:color w:val="00000A"/>
          <w:sz w:val="24"/>
          <w:szCs w:val="24"/>
          <w:shd w:fill="FFFFFF" w:val="clear"/>
        </w:rPr>
        <w:t>5.1.7.</w:t>
      </w:r>
      <w:r>
        <w:rPr>
          <w:rFonts w:cs="Times New Roman" w:ascii="Times New Roman" w:hAnsi="Times New Roman"/>
          <w:b w:val="false"/>
          <w:bCs w:val="false"/>
          <w:color w:val="00000A"/>
          <w:sz w:val="24"/>
          <w:szCs w:val="24"/>
          <w:shd w:fill="FFFFFF" w:val="clear"/>
        </w:rPr>
        <w:t xml:space="preserve"> Caso o objeto estiver fora dos padrões toleráveis de aceitação, o fornecedor será responsável pela troca sem qualquer ônus para a contratante;</w:t>
      </w:r>
    </w:p>
    <w:p>
      <w:pPr>
        <w:pStyle w:val="Normal"/>
        <w:tabs>
          <w:tab w:val="clear" w:pos="720"/>
          <w:tab w:val="left" w:pos="567" w:leader="none"/>
          <w:tab w:val="left" w:pos="742" w:leader="none"/>
          <w:tab w:val="left" w:pos="18105" w:leader="none"/>
          <w:tab w:val="left" w:pos="18316" w:leader="none"/>
          <w:tab w:val="left" w:pos="23657" w:leader="none"/>
        </w:tabs>
        <w:bidi w:val="0"/>
        <w:spacing w:lineRule="auto" w:line="240"/>
        <w:jc w:val="both"/>
        <w:rPr>
          <w:sz w:val="24"/>
          <w:szCs w:val="24"/>
        </w:rPr>
      </w:pPr>
      <w:r>
        <w:rPr>
          <w:rFonts w:cs="Times New Roman" w:ascii="Times New Roman" w:hAnsi="Times New Roman"/>
          <w:b/>
          <w:bCs/>
          <w:color w:val="00000A"/>
          <w:sz w:val="24"/>
          <w:szCs w:val="24"/>
          <w:shd w:fill="FFFFFF" w:val="clear"/>
        </w:rPr>
        <w:tab/>
        <w:t>5.1.8</w:t>
      </w:r>
      <w:r>
        <w:rPr>
          <w:rFonts w:cs="Times New Roman" w:ascii="Times New Roman" w:hAnsi="Times New Roman"/>
          <w:b w:val="false"/>
          <w:bCs w:val="false"/>
          <w:color w:val="00000A"/>
          <w:sz w:val="24"/>
          <w:szCs w:val="24"/>
          <w:shd w:fill="FFFFFF" w:val="clear"/>
        </w:rPr>
        <w:t xml:space="preserve">. A contratante caso seja necessário solicitará amostra dos materiais, tendo o participante o prazo de 05 (cinco) dias úteis para apresentar o item solicitado, o qual foi vencedor. </w:t>
      </w:r>
    </w:p>
    <w:p>
      <w:pPr>
        <w:pStyle w:val="Normal"/>
        <w:bidi w:val="0"/>
        <w:spacing w:lineRule="auto" w:line="240"/>
        <w:jc w:val="both"/>
        <w:rPr>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ab/>
        <w:t xml:space="preserve">    </w:t>
      </w:r>
      <w:r>
        <w:rPr>
          <w:rFonts w:eastAsia="Times New Roman" w:cs="Times New Roman" w:ascii="Times New Roman" w:hAnsi="Times New Roman"/>
          <w:b/>
          <w:bCs/>
          <w:sz w:val="24"/>
          <w:szCs w:val="24"/>
        </w:rPr>
        <w:t>5</w:t>
      </w:r>
      <w:r>
        <w:rPr>
          <w:rFonts w:eastAsia="Verdana" w:cs="Times New Roman" w:ascii="Times New Roman" w:hAnsi="Times New Roman"/>
          <w:b/>
          <w:bCs/>
          <w:sz w:val="24"/>
          <w:szCs w:val="24"/>
        </w:rPr>
        <w:t>.1.8.</w:t>
      </w:r>
      <w:r>
        <w:rPr>
          <w:rFonts w:cs="Times New Roman" w:ascii="Times New Roman" w:hAnsi="Times New Roman"/>
          <w:b/>
          <w:bCs/>
          <w:sz w:val="24"/>
          <w:szCs w:val="24"/>
        </w:rPr>
        <w:t xml:space="preserve">1. </w:t>
      </w:r>
      <w:r>
        <w:rPr>
          <w:rFonts w:cs="Times New Roman" w:ascii="Times New Roman" w:hAnsi="Times New Roman"/>
          <w:b w:val="false"/>
          <w:bCs w:val="false"/>
          <w:color w:val="00000A"/>
          <w:sz w:val="24"/>
          <w:szCs w:val="24"/>
          <w:u w:val="none"/>
          <w:shd w:fill="FFFFFF" w:val="clear"/>
        </w:rPr>
        <w:t>As amostras deverão ser enviadas com Nota Fiscal Eletrônica de REMESSA DE AMOSTRA GRÁTIS, em embalagem original do produto, A/C da Seção de Compras.</w:t>
      </w:r>
    </w:p>
    <w:p>
      <w:pPr>
        <w:pStyle w:val="Normal"/>
        <w:tabs>
          <w:tab w:val="clear" w:pos="720"/>
          <w:tab w:val="left" w:pos="567" w:leader="none"/>
          <w:tab w:val="left" w:pos="742" w:leader="none"/>
          <w:tab w:val="left" w:pos="18105" w:leader="none"/>
          <w:tab w:val="left" w:pos="18316" w:leader="none"/>
          <w:tab w:val="left" w:pos="23657" w:leader="none"/>
        </w:tabs>
        <w:bidi w:val="0"/>
        <w:spacing w:lineRule="auto" w:line="240"/>
        <w:jc w:val="both"/>
        <w:rPr>
          <w:sz w:val="24"/>
          <w:szCs w:val="24"/>
        </w:rPr>
      </w:pPr>
      <w:r>
        <w:rPr>
          <w:rFonts w:cs="Times New Roman" w:ascii="Times New Roman" w:hAnsi="Times New Roman"/>
          <w:b w:val="false"/>
          <w:bCs w:val="false"/>
          <w:color w:val="00000A"/>
          <w:sz w:val="24"/>
          <w:szCs w:val="24"/>
          <w:u w:val="none"/>
          <w:shd w:fill="FFFFFF" w:val="clear"/>
        </w:rPr>
        <w:tab/>
        <w:tab/>
        <w:t xml:space="preserve">   </w:t>
      </w:r>
      <w:r>
        <w:rPr>
          <w:rFonts w:eastAsia="Times New Roman" w:cs="Times New Roman" w:ascii="Times New Roman" w:hAnsi="Times New Roman"/>
          <w:b w:val="false"/>
          <w:bCs w:val="false"/>
          <w:color w:val="00000A"/>
          <w:sz w:val="24"/>
          <w:szCs w:val="24"/>
          <w:u w:val="none"/>
          <w:shd w:fill="FFFFFF" w:val="clear"/>
        </w:rPr>
        <w:t xml:space="preserve"> </w:t>
      </w:r>
      <w:r>
        <w:rPr>
          <w:rFonts w:eastAsia="Verdana" w:cs="Times New Roman" w:ascii="Times New Roman" w:hAnsi="Times New Roman"/>
          <w:b/>
          <w:bCs/>
          <w:color w:val="00000A"/>
          <w:sz w:val="24"/>
          <w:szCs w:val="24"/>
          <w:u w:val="none"/>
          <w:shd w:fill="FFFFFF" w:val="clear"/>
        </w:rPr>
        <w:t>5</w:t>
      </w:r>
      <w:r>
        <w:rPr>
          <w:rFonts w:cs="Times New Roman" w:ascii="Times New Roman" w:hAnsi="Times New Roman"/>
          <w:b/>
          <w:bCs/>
          <w:color w:val="00000A"/>
          <w:sz w:val="24"/>
          <w:szCs w:val="24"/>
          <w:u w:val="none"/>
          <w:shd w:fill="FFFFFF" w:val="clear"/>
        </w:rPr>
        <w:t>.1.8.2</w:t>
      </w:r>
      <w:r>
        <w:rPr>
          <w:rFonts w:cs="Times New Roman" w:ascii="Times New Roman" w:hAnsi="Times New Roman"/>
          <w:b w:val="false"/>
          <w:bCs w:val="false"/>
          <w:color w:val="00000A"/>
          <w:sz w:val="24"/>
          <w:szCs w:val="24"/>
          <w:u w:val="none"/>
          <w:shd w:fill="FFFFFF" w:val="clear"/>
        </w:rPr>
        <w:t>. O não envio do material solicitado poderá acarretar a desclassificação do licitante para o item.</w:t>
      </w:r>
      <w:r>
        <w:rPr>
          <w:rFonts w:cs="Times New Roman" w:ascii="Times New Roman" w:hAnsi="Times New Roman"/>
          <w:b/>
          <w:bCs/>
          <w:color w:val="00000A"/>
          <w:sz w:val="24"/>
          <w:szCs w:val="24"/>
          <w:shd w:fill="FFFFFF" w:val="clear"/>
        </w:rPr>
        <w:tab/>
      </w:r>
    </w:p>
    <w:p>
      <w:pPr>
        <w:pStyle w:val="Normal"/>
        <w:tabs>
          <w:tab w:val="clear" w:pos="720"/>
          <w:tab w:val="left" w:pos="567" w:leader="none"/>
          <w:tab w:val="left" w:pos="742" w:leader="none"/>
          <w:tab w:val="left" w:pos="18105" w:leader="none"/>
          <w:tab w:val="left" w:pos="18316" w:leader="none"/>
          <w:tab w:val="left" w:pos="23657" w:leader="none"/>
        </w:tabs>
        <w:bidi w:val="0"/>
        <w:spacing w:lineRule="auto" w:line="240"/>
        <w:jc w:val="both"/>
        <w:rPr>
          <w:sz w:val="24"/>
          <w:szCs w:val="24"/>
        </w:rPr>
      </w:pPr>
      <w:r>
        <w:rPr>
          <w:rFonts w:cs="Times New Roman" w:ascii="Times New Roman" w:hAnsi="Times New Roman"/>
          <w:b/>
          <w:bCs/>
          <w:color w:val="000000"/>
          <w:sz w:val="24"/>
          <w:szCs w:val="24"/>
          <w:shd w:fill="auto" w:val="clear"/>
        </w:rPr>
        <w:tab/>
        <w:tab/>
        <w:t>5</w:t>
      </w:r>
      <w:r>
        <w:rPr>
          <w:rFonts w:cs="Times New Roman" w:ascii="Times New Roman" w:hAnsi="Times New Roman"/>
          <w:b/>
          <w:bCs/>
          <w:i/>
          <w:iCs/>
          <w:color w:val="00000A"/>
          <w:sz w:val="24"/>
          <w:szCs w:val="24"/>
          <w:shd w:fill="auto" w:val="clear"/>
        </w:rPr>
        <w:t xml:space="preserve">.1.9. As licitantes deverão, no momento do cadastramento das propostas, descrever de forma </w:t>
      </w:r>
      <w:r>
        <w:rPr>
          <w:rFonts w:cs="Times New Roman" w:ascii="Times New Roman" w:hAnsi="Times New Roman"/>
          <w:b/>
          <w:bCs/>
          <w:i/>
          <w:iCs/>
          <w:sz w:val="24"/>
          <w:szCs w:val="24"/>
          <w:shd w:fill="auto" w:val="clear"/>
        </w:rPr>
        <w:t xml:space="preserve">detalhada o item ofertado, esclarecendo, minuciosamente, todas as informações sobre o objeto ofertado, não utilizando expressões genéricas e/ou vazias de informações, sob pena de terem suas </w:t>
      </w:r>
      <w:r>
        <w:rPr>
          <w:rFonts w:cs="Times New Roman" w:ascii="Times New Roman" w:hAnsi="Times New Roman"/>
          <w:b/>
          <w:bCs/>
          <w:i/>
          <w:iCs/>
          <w:color w:val="00000A"/>
          <w:sz w:val="24"/>
          <w:szCs w:val="24"/>
          <w:shd w:fill="auto" w:val="clear"/>
        </w:rPr>
        <w:t>propostas desclassificadas.</w:t>
      </w:r>
    </w:p>
    <w:p>
      <w:pPr>
        <w:pStyle w:val="Normal"/>
        <w:tabs>
          <w:tab w:val="clear" w:pos="720"/>
          <w:tab w:val="left" w:pos="338" w:leader="none"/>
        </w:tabs>
        <w:spacing w:lineRule="auto" w:line="240"/>
        <w:ind w:hanging="0" w:left="0" w:right="0"/>
        <w:jc w:val="both"/>
        <w:rPr>
          <w:sz w:val="24"/>
          <w:szCs w:val="24"/>
        </w:rPr>
      </w:pPr>
      <w:r>
        <w:rPr>
          <w:rFonts w:cs="Times New Roman" w:ascii="Times New Roman" w:hAnsi="Times New Roman"/>
          <w:b/>
          <w:bCs w:val="false"/>
          <w:color w:val="00000A"/>
          <w:sz w:val="24"/>
          <w:szCs w:val="24"/>
          <w:shd w:fill="FFFFFF" w:val="clear"/>
        </w:rPr>
        <w:tab/>
        <w:t>5</w:t>
      </w:r>
      <w:r>
        <w:rPr>
          <w:rFonts w:cs="Times New Roman" w:ascii="Times New Roman" w:hAnsi="Times New Roman"/>
          <w:b/>
          <w:bCs/>
          <w:color w:val="00000A"/>
          <w:sz w:val="24"/>
          <w:szCs w:val="24"/>
          <w:shd w:fill="FFFFFF" w:val="clear"/>
        </w:rPr>
        <w:t>.2.</w:t>
      </w:r>
      <w:r>
        <w:rPr>
          <w:rFonts w:cs="Times New Roman" w:ascii="Times New Roman" w:hAnsi="Times New Roman"/>
          <w:b w:val="false"/>
          <w:bCs w:val="false"/>
          <w:color w:val="00000A"/>
          <w:sz w:val="24"/>
          <w:szCs w:val="24"/>
          <w:shd w:fill="FFFFFF" w:val="clear"/>
        </w:rPr>
        <w:t xml:space="preserve"> Todos os produtos</w:t>
      </w:r>
      <w:r>
        <w:rPr>
          <w:rFonts w:cs="Times New Roman" w:ascii="Times New Roman" w:hAnsi="Times New Roman"/>
          <w:bCs w:val="false"/>
          <w:color w:val="00000A"/>
          <w:sz w:val="24"/>
          <w:szCs w:val="24"/>
          <w:shd w:fill="FFFFFF" w:val="clear"/>
        </w:rPr>
        <w:t xml:space="preserve"> constantes na relação acima deverão manter a qualidade conforme estipula neste </w:t>
      </w:r>
      <w:r>
        <w:rPr>
          <w:rFonts w:cs="Times New Roman" w:ascii="Times New Roman" w:hAnsi="Times New Roman"/>
          <w:bCs w:val="false"/>
          <w:color w:val="00000A"/>
          <w:spacing w:val="-6"/>
          <w:sz w:val="24"/>
          <w:szCs w:val="24"/>
          <w:shd w:fill="FFFFFF" w:val="clear"/>
        </w:rPr>
        <w:t xml:space="preserve">Termo </w:t>
      </w:r>
      <w:r>
        <w:rPr>
          <w:rFonts w:cs="Times New Roman" w:ascii="Times New Roman" w:hAnsi="Times New Roman"/>
          <w:bCs w:val="false"/>
          <w:color w:val="00000A"/>
          <w:sz w:val="24"/>
          <w:szCs w:val="24"/>
          <w:shd w:fill="FFFFFF" w:val="clear"/>
        </w:rPr>
        <w:t xml:space="preserve">de Referência, atender às normas regulamentadoras da ABNT (Associação Brasileira de Normas Técnicas), (última versão), mesmo que não esteja detalhado nesta especificação; </w:t>
      </w:r>
      <w:r>
        <w:rPr>
          <w:rFonts w:cs="Times New Roman" w:ascii="Times New Roman" w:hAnsi="Times New Roman"/>
          <w:bCs/>
          <w:color w:val="00000A"/>
          <w:sz w:val="24"/>
          <w:szCs w:val="24"/>
          <w:shd w:fill="FFFFFF" w:val="clear"/>
          <w:lang w:val="pt-BR"/>
        </w:rPr>
        <w:t xml:space="preserve">Lei 8.078 de 11/09/90 – Código de Defesa do Consumidor suas alterações; </w:t>
      </w:r>
      <w:r>
        <w:rPr>
          <w:rFonts w:cs="Times New Roman" w:ascii="Times New Roman" w:hAnsi="Times New Roman"/>
          <w:bCs w:val="false"/>
          <w:color w:val="00000A"/>
          <w:sz w:val="24"/>
          <w:szCs w:val="24"/>
          <w:shd w:fill="FFFFFF" w:val="clear"/>
        </w:rPr>
        <w:t>Em caso de dúvida, caberá ao fornecedor provar através da apresentação de certificados expedidos em conformidade com as exigências destes órgãos;</w:t>
      </w:r>
    </w:p>
    <w:p>
      <w:pPr>
        <w:pStyle w:val="Recuodecorpodetexto31"/>
        <w:widowControl/>
        <w:tabs>
          <w:tab w:val="clear" w:pos="720"/>
          <w:tab w:val="left" w:pos="338" w:leader="none"/>
        </w:tabs>
        <w:suppressAutoHyphens w:val="true"/>
        <w:bidi w:val="0"/>
        <w:spacing w:lineRule="auto" w:line="240" w:before="0" w:after="0"/>
        <w:ind w:hanging="0" w:left="0" w:right="0"/>
        <w:jc w:val="both"/>
        <w:rPr/>
      </w:pPr>
      <w:r>
        <w:rPr>
          <w:rFonts w:cs="Times New Roman" w:ascii="Times New Roman" w:hAnsi="Times New Roman"/>
          <w:b w:val="false"/>
          <w:bCs w:val="false"/>
          <w:color w:val="00000A"/>
          <w:sz w:val="24"/>
          <w:szCs w:val="24"/>
          <w:shd w:fill="FFFFFF" w:val="clear"/>
          <w:lang w:val="pt-BR"/>
        </w:rPr>
        <w:tab/>
      </w:r>
      <w:r>
        <w:rPr>
          <w:rFonts w:cs="Times New Roman" w:ascii="Times New Roman" w:hAnsi="Times New Roman"/>
          <w:b/>
          <w:bCs/>
          <w:color w:val="00000A"/>
          <w:sz w:val="24"/>
          <w:szCs w:val="24"/>
          <w:shd w:fill="FFFFFF" w:val="clear"/>
          <w:lang w:val="pt-BR"/>
        </w:rPr>
        <w:t xml:space="preserve">5.3. </w:t>
      </w:r>
      <w:r>
        <w:rPr>
          <w:rFonts w:cs="Times New Roman" w:ascii="Times New Roman" w:hAnsi="Times New Roman"/>
          <w:b w:val="false"/>
          <w:bCs w:val="false"/>
          <w:color w:val="00000A"/>
          <w:sz w:val="24"/>
          <w:szCs w:val="24"/>
          <w:shd w:fill="FFFFFF" w:val="clear"/>
          <w:lang w:val="pt-BR"/>
        </w:rPr>
        <w:t>Qualquer dúvida ou divergência sobre as especificações constantes no site:</w:t>
      </w:r>
      <w:r>
        <w:rPr>
          <w:rFonts w:cs="Times New Roman" w:ascii="Times New Roman" w:hAnsi="Times New Roman"/>
          <w:b w:val="false"/>
          <w:bCs w:val="false"/>
          <w:color w:val="00000A"/>
          <w:sz w:val="24"/>
          <w:szCs w:val="24"/>
          <w:highlight w:val="white"/>
          <w:lang w:val="pt-BR"/>
        </w:rPr>
        <w:t xml:space="preserve"> </w:t>
      </w:r>
      <w:r>
        <w:rPr>
          <w:rStyle w:val="Hyperlink"/>
          <w:rFonts w:cs="Times New Roman" w:ascii="Times New Roman" w:hAnsi="Times New Roman"/>
          <w:b/>
          <w:bCs/>
          <w:color w:val="00000A"/>
          <w:sz w:val="24"/>
          <w:szCs w:val="24"/>
          <w:highlight w:val="white"/>
        </w:rPr>
        <w:t>www.gov.br/compras</w:t>
      </w:r>
      <w:r>
        <w:rPr>
          <w:rFonts w:cs="Times New Roman" w:ascii="Times New Roman" w:hAnsi="Times New Roman"/>
          <w:b/>
          <w:bCs/>
          <w:color w:val="00000A"/>
          <w:sz w:val="24"/>
          <w:szCs w:val="24"/>
          <w:highlight w:val="white"/>
          <w:lang w:val="pt-BR"/>
        </w:rPr>
        <w:t xml:space="preserve"> </w:t>
      </w:r>
      <w:r>
        <w:rPr>
          <w:rFonts w:cs="Times New Roman" w:ascii="Times New Roman" w:hAnsi="Times New Roman"/>
          <w:b w:val="false"/>
          <w:bCs w:val="false"/>
          <w:color w:val="00000A"/>
          <w:sz w:val="24"/>
          <w:szCs w:val="24"/>
          <w:shd w:fill="FFFFFF" w:val="clear"/>
          <w:lang w:val="pt-BR"/>
        </w:rPr>
        <w:t xml:space="preserve"> e o Edital, prevalece o Edital.</w:t>
      </w:r>
    </w:p>
    <w:p>
      <w:pPr>
        <w:pStyle w:val="Recuodecorpodetexto31"/>
        <w:widowControl/>
        <w:tabs>
          <w:tab w:val="clear" w:pos="720"/>
          <w:tab w:val="left" w:pos="338" w:leader="none"/>
        </w:tabs>
        <w:suppressAutoHyphens w:val="true"/>
        <w:bidi w:val="0"/>
        <w:spacing w:lineRule="auto" w:line="240" w:before="0" w:after="0"/>
        <w:ind w:hanging="0" w:left="0" w:right="0"/>
        <w:jc w:val="both"/>
        <w:rPr>
          <w:rFonts w:ascii="Times New Roman" w:hAnsi="Times New Roman" w:cs="Times New Roman"/>
          <w:b w:val="false"/>
          <w:bCs w:val="false"/>
          <w:color w:val="00000A"/>
          <w:sz w:val="24"/>
          <w:szCs w:val="24"/>
          <w:shd w:fill="FFFFFF" w:val="clear"/>
          <w:lang w:val="pt-BR"/>
        </w:rPr>
      </w:pPr>
      <w:r>
        <w:rPr>
          <w:rFonts w:cs="Times New Roman" w:ascii="Times New Roman" w:hAnsi="Times New Roman"/>
          <w:b w:val="false"/>
          <w:bCs w:val="false"/>
          <w:color w:val="00000A"/>
          <w:sz w:val="24"/>
          <w:szCs w:val="24"/>
          <w:shd w:fill="FFFFFF" w:val="clear"/>
          <w:lang w:val="pt-BR"/>
        </w:rPr>
      </w:r>
    </w:p>
    <w:p>
      <w:pPr>
        <w:pStyle w:val="Normal"/>
        <w:tabs>
          <w:tab w:val="clear" w:pos="720"/>
          <w:tab w:val="left" w:pos="340" w:leader="none"/>
        </w:tabs>
        <w:spacing w:lineRule="auto" w:line="240"/>
        <w:jc w:val="both"/>
        <w:rPr>
          <w:sz w:val="24"/>
          <w:szCs w:val="24"/>
        </w:rPr>
      </w:pPr>
      <w:r>
        <w:rPr>
          <w:rFonts w:ascii="Times New Roman" w:hAnsi="Times New Roman"/>
          <w:b/>
          <w:sz w:val="24"/>
          <w:szCs w:val="24"/>
        </w:rPr>
        <w:tab/>
      </w:r>
      <w:r>
        <w:rPr>
          <w:rStyle w:val="Hyperlink"/>
          <w:rFonts w:ascii="Times New Roman" w:hAnsi="Times New Roman"/>
          <w:b/>
          <w:bCs/>
          <w:color w:val="auto"/>
          <w:sz w:val="22"/>
          <w:szCs w:val="22"/>
          <w:u w:val="none"/>
        </w:rPr>
        <w:t>6.</w:t>
      </w:r>
      <w:r>
        <w:rPr>
          <w:rStyle w:val="Hyperlink"/>
          <w:rFonts w:cs="Times New Roman" w:ascii="Times New Roman" w:hAnsi="Times New Roman"/>
          <w:b/>
          <w:bCs/>
          <w:color w:val="auto"/>
          <w:sz w:val="22"/>
          <w:szCs w:val="22"/>
          <w:u w:val="none"/>
        </w:rPr>
        <w:t xml:space="preserve"> DO LOCAL E DOS PRAZOS</w:t>
      </w:r>
    </w:p>
    <w:p>
      <w:pPr>
        <w:pStyle w:val="Normal"/>
        <w:tabs>
          <w:tab w:val="clear" w:pos="720"/>
          <w:tab w:val="left" w:pos="338" w:leader="none"/>
        </w:tabs>
        <w:jc w:val="both"/>
        <w:rPr>
          <w:sz w:val="22"/>
          <w:szCs w:val="22"/>
        </w:rPr>
      </w:pPr>
      <w:r>
        <w:rPr>
          <w:rFonts w:ascii="Times New Roman" w:hAnsi="Times New Roman"/>
          <w:color w:val="auto"/>
          <w:sz w:val="22"/>
          <w:szCs w:val="22"/>
        </w:rPr>
        <w:tab/>
      </w:r>
    </w:p>
    <w:p>
      <w:pPr>
        <w:pStyle w:val="Normal"/>
        <w:tabs>
          <w:tab w:val="clear" w:pos="720"/>
          <w:tab w:val="left" w:pos="338" w:leader="none"/>
        </w:tabs>
        <w:spacing w:lineRule="auto" w:line="360"/>
        <w:jc w:val="both"/>
        <w:rPr/>
      </w:pPr>
      <w:r>
        <w:rPr>
          <w:rFonts w:ascii="Times New Roman" w:hAnsi="Times New Roman"/>
          <w:b/>
          <w:bCs/>
          <w:color w:val="auto"/>
          <w:sz w:val="22"/>
          <w:szCs w:val="22"/>
        </w:rPr>
        <w:tab/>
        <w:t xml:space="preserve">6.1. </w:t>
      </w:r>
      <w:r>
        <w:rPr>
          <w:rStyle w:val="Tipodeletrapredefinidodopargrafo"/>
          <w:rFonts w:eastAsia="Arial Narrow" w:cs="Times New Roman" w:ascii="Times New Roman" w:hAnsi="Times New Roman"/>
          <w:sz w:val="22"/>
          <w:szCs w:val="22"/>
          <w:shd w:fill="FFFFFF" w:val="clear"/>
        </w:rPr>
        <w:t xml:space="preserve">O fornecedor para qual for adjudicado o objeto desta licitação, deverá entregar o(s) produto(s) na </w:t>
      </w:r>
      <w:r>
        <w:rPr>
          <w:rStyle w:val="Tipodeletrapredefinidodopargrafo"/>
          <w:rFonts w:eastAsia="Arial-BoldMT" w:cs="Times New Roman" w:ascii="Times New Roman" w:hAnsi="Times New Roman"/>
          <w:b/>
          <w:bCs/>
          <w:sz w:val="22"/>
          <w:szCs w:val="22"/>
          <w:shd w:fill="FFFFFF" w:val="clear"/>
        </w:rPr>
        <w:t>Indústria de Material Bélico do Brasil – IMBEL/FI – Av. Cel. Aventino Ribeiro, 1.099, Bairro Imbel, Itajubá-MG, CEP: 37.501-345</w:t>
      </w:r>
      <w:r>
        <w:rPr>
          <w:rStyle w:val="Tipodeletrapredefinidodopargrafo"/>
          <w:rFonts w:eastAsia="Arial-BoldMT" w:cs="Times New Roman" w:ascii="Times New Roman" w:hAnsi="Times New Roman"/>
          <w:sz w:val="22"/>
          <w:szCs w:val="22"/>
          <w:shd w:fill="FFFFFF" w:val="clear"/>
        </w:rPr>
        <w:t xml:space="preserve">, </w:t>
      </w:r>
      <w:r>
        <w:rPr>
          <w:rStyle w:val="Tipodeletrapredefinidodopargrafo"/>
          <w:rFonts w:eastAsia="Arial Narrow" w:cs="Times New Roman" w:ascii="Times New Roman" w:hAnsi="Times New Roman"/>
          <w:sz w:val="22"/>
          <w:szCs w:val="22"/>
          <w:shd w:fill="FFFFFF" w:val="clear"/>
        </w:rPr>
        <w:t>após o recebimento da respectiva Nota de Empenho;</w:t>
      </w:r>
    </w:p>
    <w:p>
      <w:pPr>
        <w:pStyle w:val="Normal"/>
        <w:widowControl/>
        <w:tabs>
          <w:tab w:val="clear" w:pos="720"/>
          <w:tab w:val="left" w:pos="338" w:leader="none"/>
        </w:tabs>
        <w:suppressAutoHyphens w:val="true"/>
        <w:bidi w:val="0"/>
        <w:spacing w:lineRule="auto" w:line="360" w:before="0" w:after="0"/>
        <w:ind w:firstLine="340" w:left="0" w:right="0"/>
        <w:jc w:val="both"/>
        <w:rPr/>
      </w:pPr>
      <w:r>
        <w:rPr>
          <w:rStyle w:val="Tipodeletrapredefinidodopargrafo"/>
          <w:rFonts w:eastAsia="Times New Roman" w:cs="Times New Roman" w:ascii="Times New Roman" w:hAnsi="Times New Roman"/>
          <w:b/>
          <w:bCs/>
          <w:sz w:val="22"/>
          <w:szCs w:val="22"/>
          <w:lang w:eastAsia="ar-SA"/>
        </w:rPr>
        <w:t>6.2.</w:t>
      </w:r>
      <w:r>
        <w:rPr>
          <w:rStyle w:val="Tipodeletrapredefinidodopargrafo"/>
          <w:rFonts w:eastAsia="Times New Roman" w:cs="Times New Roman" w:ascii="Times New Roman" w:hAnsi="Times New Roman"/>
          <w:bCs/>
          <w:sz w:val="22"/>
          <w:szCs w:val="22"/>
          <w:lang w:eastAsia="ar-SA"/>
        </w:rPr>
        <w:t xml:space="preserve"> </w:t>
      </w:r>
      <w:r>
        <w:rPr>
          <w:rStyle w:val="Emphasis"/>
          <w:rFonts w:eastAsia="Times New Roman" w:cs="Times New Roman" w:ascii="Times New Roman" w:hAnsi="Times New Roman"/>
          <w:i w:val="false"/>
          <w:iCs w:val="false"/>
          <w:sz w:val="22"/>
          <w:szCs w:val="22"/>
          <w:lang w:eastAsia="ar-SA"/>
        </w:rPr>
        <w:t xml:space="preserve">O fornecedor contratado terá até </w:t>
      </w:r>
      <w:r>
        <w:rPr>
          <w:rStyle w:val="Emphasis"/>
          <w:rFonts w:eastAsia="Times New Roman" w:cs="Times New Roman" w:ascii="Times New Roman" w:hAnsi="Times New Roman"/>
          <w:b/>
          <w:bCs/>
          <w:i w:val="false"/>
          <w:iCs w:val="false"/>
          <w:sz w:val="22"/>
          <w:szCs w:val="22"/>
          <w:shd w:fill="FFFF00" w:val="clear"/>
          <w:lang w:eastAsia="ar-SA"/>
        </w:rPr>
        <w:t>10 (dez) dias úteis</w:t>
      </w:r>
      <w:r>
        <w:rPr>
          <w:rStyle w:val="Emphasis"/>
          <w:rFonts w:eastAsia="Times New Roman" w:cs="Times New Roman" w:ascii="Times New Roman" w:hAnsi="Times New Roman"/>
          <w:i w:val="false"/>
          <w:iCs w:val="false"/>
          <w:sz w:val="22"/>
          <w:szCs w:val="22"/>
          <w:lang w:eastAsia="ar-SA"/>
        </w:rPr>
        <w:t>, contados a partir da comprovação de recebimento pela empresa da Nota de Empenho</w:t>
      </w:r>
    </w:p>
    <w:p>
      <w:pPr>
        <w:pStyle w:val="Normal"/>
        <w:tabs>
          <w:tab w:val="clear" w:pos="720"/>
          <w:tab w:val="left" w:pos="338" w:leader="none"/>
        </w:tabs>
        <w:spacing w:lineRule="auto" w:line="360"/>
        <w:jc w:val="both"/>
        <w:rPr>
          <w:rStyle w:val="Emphasis"/>
          <w:rFonts w:ascii="Times New Roman" w:hAnsi="Times New Roman" w:eastAsia="Times New Roman" w:cs="Times New Roman"/>
          <w:i w:val="false"/>
          <w:i w:val="false"/>
          <w:iCs w:val="false"/>
          <w:sz w:val="22"/>
          <w:szCs w:val="22"/>
          <w:lang w:eastAsia="ar-SA"/>
        </w:rPr>
      </w:pPr>
      <w:r>
        <w:rPr>
          <w:rFonts w:eastAsia="Times New Roman" w:cs="Times New Roman" w:ascii="Times New Roman" w:hAnsi="Times New Roman"/>
          <w:i w:val="false"/>
          <w:iCs w:val="false"/>
          <w:sz w:val="22"/>
          <w:szCs w:val="22"/>
          <w:lang w:eastAsia="ar-SA"/>
        </w:rPr>
      </w:r>
    </w:p>
    <w:p>
      <w:pPr>
        <w:pStyle w:val="Normal"/>
        <w:tabs>
          <w:tab w:val="clear" w:pos="720"/>
          <w:tab w:val="left" w:pos="75" w:leader="none"/>
        </w:tabs>
        <w:bidi w:val="0"/>
        <w:spacing w:lineRule="auto" w:line="240"/>
        <w:ind w:firstLine="105" w:left="0" w:right="0"/>
        <w:jc w:val="both"/>
        <w:rPr>
          <w:sz w:val="22"/>
          <w:szCs w:val="22"/>
        </w:rPr>
      </w:pPr>
      <w:r>
        <w:rPr>
          <w:rFonts w:eastAsia="Arial" w:cs="Times New Roman" w:ascii="Times New Roman" w:hAnsi="Times New Roman"/>
          <w:b/>
          <w:bCs/>
          <w:color w:val="000000"/>
          <w:sz w:val="22"/>
          <w:szCs w:val="22"/>
        </w:rPr>
        <w:t>7. DA ESPECIFICAÇÃO TÉCNICA</w:t>
      </w:r>
    </w:p>
    <w:p>
      <w:pPr>
        <w:pStyle w:val="Normal"/>
        <w:tabs>
          <w:tab w:val="clear" w:pos="720"/>
          <w:tab w:val="left" w:pos="75" w:leader="none"/>
        </w:tabs>
        <w:bidi w:val="0"/>
        <w:spacing w:lineRule="auto" w:line="240"/>
        <w:ind w:firstLine="105" w:left="0" w:right="0"/>
        <w:jc w:val="both"/>
        <w:rPr>
          <w:rFonts w:ascii="Times New Roman" w:hAnsi="Times New Roman" w:eastAsia="Arial" w:cs="Times New Roman"/>
          <w:b/>
          <w:bCs/>
          <w:color w:val="000000"/>
          <w:sz w:val="22"/>
          <w:szCs w:val="22"/>
        </w:rPr>
      </w:pPr>
      <w:r>
        <w:rPr>
          <w:rFonts w:eastAsia="Arial" w:cs="Times New Roman" w:ascii="Times New Roman" w:hAnsi="Times New Roman"/>
          <w:b/>
          <w:bCs/>
          <w:color w:val="000000"/>
          <w:sz w:val="22"/>
          <w:szCs w:val="22"/>
        </w:rPr>
      </w:r>
    </w:p>
    <w:p>
      <w:pPr>
        <w:pStyle w:val="Normal"/>
        <w:tabs>
          <w:tab w:val="clear" w:pos="720"/>
          <w:tab w:val="left" w:pos="75" w:leader="none"/>
        </w:tabs>
        <w:bidi w:val="0"/>
        <w:spacing w:lineRule="auto" w:line="360"/>
        <w:ind w:hanging="0" w:left="0" w:right="0"/>
        <w:jc w:val="both"/>
        <w:rPr/>
      </w:pPr>
      <w:bookmarkStart w:id="2" w:name="__DdeLink__2373_1683667774"/>
      <w:r>
        <w:rPr>
          <w:rFonts w:eastAsia="Arial" w:cs="Times New Roman" w:ascii="Times New Roman" w:hAnsi="Times New Roman"/>
          <w:b/>
          <w:bCs/>
          <w:i/>
          <w:iCs/>
          <w:color w:val="000000"/>
          <w:sz w:val="22"/>
          <w:szCs w:val="22"/>
          <w:shd w:fill="auto" w:val="clear"/>
        </w:rPr>
        <w:t xml:space="preserve">7.1. </w:t>
      </w:r>
      <w:r>
        <w:rPr>
          <w:rFonts w:eastAsia="Arial" w:cs="Times New Roman" w:ascii="Times New Roman" w:hAnsi="Times New Roman"/>
          <w:b w:val="false"/>
          <w:bCs w:val="false"/>
          <w:i/>
          <w:iCs/>
          <w:color w:val="000000"/>
          <w:sz w:val="22"/>
          <w:szCs w:val="22"/>
          <w:shd w:fill="auto" w:val="clear"/>
        </w:rPr>
        <w:t xml:space="preserve">A licitante deverá anexar </w:t>
      </w:r>
      <w:r>
        <w:rPr>
          <w:rFonts w:eastAsia="Arial" w:cs="Times New Roman" w:ascii="Times New Roman" w:hAnsi="Times New Roman"/>
          <w:b w:val="false"/>
          <w:bCs w:val="false"/>
          <w:i/>
          <w:iCs/>
          <w:color w:val="000000"/>
          <w:spacing w:val="-3"/>
          <w:sz w:val="22"/>
          <w:szCs w:val="22"/>
          <w:shd w:fill="auto" w:val="clear"/>
          <w:lang w:val="pt-BR" w:eastAsia="pt-BR" w:bidi="ar-SA"/>
        </w:rPr>
        <w:t>no Sistema Eletrônico do portal de compras</w:t>
      </w:r>
      <w:r>
        <w:rPr>
          <w:rFonts w:eastAsia="Arial" w:cs="Times New Roman" w:ascii="Times New Roman" w:hAnsi="Times New Roman"/>
          <w:b/>
          <w:bCs/>
          <w:i/>
          <w:iCs/>
          <w:color w:val="000000"/>
          <w:spacing w:val="-3"/>
          <w:sz w:val="22"/>
          <w:szCs w:val="22"/>
          <w:shd w:fill="auto" w:val="clear"/>
          <w:lang w:val="pt-BR" w:eastAsia="pt-BR" w:bidi="ar-SA"/>
        </w:rPr>
        <w:t xml:space="preserve"> </w:t>
      </w:r>
      <w:r>
        <w:rPr>
          <w:rFonts w:eastAsia="Arial" w:cs="Times New Roman" w:ascii="Times New Roman" w:hAnsi="Times New Roman"/>
          <w:b/>
          <w:bCs/>
          <w:i/>
          <w:iCs/>
          <w:color w:val="00000A"/>
          <w:spacing w:val="-3"/>
          <w:sz w:val="22"/>
          <w:szCs w:val="22"/>
          <w:shd w:fill="auto" w:val="clear"/>
          <w:lang w:val="pt-BR" w:eastAsia="pt-BR" w:bidi="ar-SA"/>
        </w:rPr>
        <w:t xml:space="preserve"> </w:t>
      </w:r>
      <w:r>
        <w:rPr>
          <w:rStyle w:val="Hyperlink"/>
          <w:rFonts w:eastAsia="Arial" w:cs="Times New Roman" w:ascii="Times New Roman" w:hAnsi="Times New Roman"/>
          <w:b/>
          <w:bCs/>
          <w:i/>
          <w:iCs/>
          <w:color w:val="00000A"/>
          <w:spacing w:val="-3"/>
          <w:sz w:val="22"/>
          <w:szCs w:val="22"/>
          <w:shd w:fill="auto" w:val="clear"/>
        </w:rPr>
        <w:t>www.gov.br/compras</w:t>
      </w:r>
      <w:r>
        <w:rPr>
          <w:rFonts w:eastAsia="Arial" w:cs="Times New Roman" w:ascii="Times New Roman" w:hAnsi="Times New Roman"/>
          <w:b/>
          <w:bCs/>
          <w:i/>
          <w:iCs/>
          <w:color w:val="00000A"/>
          <w:spacing w:val="-3"/>
          <w:sz w:val="22"/>
          <w:szCs w:val="22"/>
          <w:shd w:fill="auto" w:val="clear"/>
          <w:lang w:val="pt-BR" w:eastAsia="pt-BR" w:bidi="ar-SA"/>
        </w:rPr>
        <w:t xml:space="preserve"> </w:t>
      </w:r>
      <w:r>
        <w:rPr>
          <w:rFonts w:eastAsia="Arial" w:cs="Times New Roman" w:ascii="Times New Roman" w:hAnsi="Times New Roman"/>
          <w:b w:val="false"/>
          <w:bCs w:val="false"/>
          <w:i/>
          <w:iCs/>
          <w:color w:val="000000"/>
          <w:sz w:val="22"/>
          <w:szCs w:val="22"/>
          <w:shd w:fill="auto" w:val="clear"/>
        </w:rPr>
        <w:t>acompanhado da proposta comercial</w:t>
      </w:r>
      <w:r>
        <w:rPr>
          <w:rFonts w:eastAsia="Arial" w:cs="Times New Roman" w:ascii="Times New Roman" w:hAnsi="Times New Roman"/>
          <w:b/>
          <w:bCs/>
          <w:i/>
          <w:iCs/>
          <w:color w:val="000000"/>
          <w:sz w:val="22"/>
          <w:szCs w:val="22"/>
          <w:shd w:fill="auto" w:val="clear"/>
        </w:rPr>
        <w:t xml:space="preserve"> os CATÁLOGOS e/ou manual do produto conforme fabricante/marca/modelo informado na Sessão Pública. </w:t>
      </w:r>
      <w:r>
        <w:rPr>
          <w:rFonts w:eastAsia="Arial" w:cs="Times New Roman" w:ascii="Times New Roman" w:hAnsi="Times New Roman"/>
          <w:b w:val="false"/>
          <w:bCs w:val="false"/>
          <w:i/>
          <w:iCs/>
          <w:color w:val="000000"/>
          <w:sz w:val="22"/>
          <w:szCs w:val="22"/>
          <w:shd w:fill="auto" w:val="clear"/>
        </w:rPr>
        <w:t>O catálogo e/ou manual do equipamento deverá conter todas as especificações técnicas detalhadas dos produtos, para análise e aceitação pelo Setor técnico responsável do material. Não serão aceitos fotografias de embalagem, print screen da tela do computador, bem como, informações vazias que não permitam análise dos produtos, sob pena de DESCLASSIFICAÇÃO da licitante que não anexar o solicitado ou enviar incorretamente.</w:t>
      </w:r>
      <w:bookmarkEnd w:id="2"/>
    </w:p>
    <w:p>
      <w:pPr>
        <w:pStyle w:val="Normal"/>
        <w:tabs>
          <w:tab w:val="clear" w:pos="720"/>
          <w:tab w:val="left" w:pos="75" w:leader="none"/>
        </w:tabs>
        <w:bidi w:val="0"/>
        <w:spacing w:lineRule="auto" w:line="360"/>
        <w:ind w:hanging="0" w:left="0" w:right="0"/>
        <w:jc w:val="both"/>
        <w:rPr>
          <w:rFonts w:ascii="Times New Roman" w:hAnsi="Times New Roman" w:eastAsia="Arial" w:cs="Times New Roman"/>
          <w:b w:val="false"/>
          <w:bCs w:val="false"/>
          <w:i/>
          <w:i/>
          <w:iCs/>
          <w:color w:val="000000"/>
          <w:sz w:val="22"/>
          <w:szCs w:val="22"/>
          <w:shd w:fill="auto" w:val="clear"/>
        </w:rPr>
      </w:pPr>
      <w:r>
        <w:rPr>
          <w:rFonts w:eastAsia="Arial" w:cs="Times New Roman" w:ascii="Times New Roman" w:hAnsi="Times New Roman"/>
          <w:b w:val="false"/>
          <w:bCs w:val="false"/>
          <w:i/>
          <w:iCs/>
          <w:color w:val="000000"/>
          <w:sz w:val="22"/>
          <w:szCs w:val="22"/>
          <w:shd w:fill="auto" w:val="clear"/>
        </w:rPr>
      </w:r>
    </w:p>
    <w:p>
      <w:pPr>
        <w:pStyle w:val="Normal"/>
        <w:tabs>
          <w:tab w:val="clear" w:pos="720"/>
          <w:tab w:val="left" w:pos="75" w:leader="none"/>
        </w:tabs>
        <w:bidi w:val="0"/>
        <w:spacing w:lineRule="auto" w:line="360"/>
        <w:ind w:hanging="0" w:left="0" w:right="0"/>
        <w:jc w:val="both"/>
        <w:rPr>
          <w:rFonts w:ascii="Times New Roman" w:hAnsi="Times New Roman" w:eastAsia="Arial" w:cs="Times New Roman"/>
          <w:b w:val="false"/>
          <w:bCs w:val="false"/>
          <w:i/>
          <w:i/>
          <w:iCs/>
          <w:color w:val="000000"/>
          <w:sz w:val="22"/>
          <w:szCs w:val="22"/>
          <w:shd w:fill="auto" w:val="clear"/>
        </w:rPr>
      </w:pPr>
      <w:r>
        <w:rPr>
          <w:rFonts w:eastAsia="Arial" w:cs="Times New Roman" w:ascii="Times New Roman" w:hAnsi="Times New Roman"/>
          <w:b w:val="false"/>
          <w:bCs w:val="false"/>
          <w:i/>
          <w:iCs/>
          <w:color w:val="000000"/>
          <w:sz w:val="22"/>
          <w:szCs w:val="22"/>
          <w:shd w:fill="auto" w:val="clear"/>
        </w:rPr>
      </w:r>
    </w:p>
    <w:p>
      <w:pPr>
        <w:pStyle w:val="Normal"/>
        <w:tabs>
          <w:tab w:val="clear" w:pos="720"/>
          <w:tab w:val="left" w:pos="75" w:leader="none"/>
        </w:tabs>
        <w:bidi w:val="0"/>
        <w:spacing w:lineRule="auto" w:line="360"/>
        <w:ind w:hanging="0" w:left="0" w:right="0"/>
        <w:jc w:val="both"/>
        <w:rPr>
          <w:rFonts w:ascii="Times New Roman" w:hAnsi="Times New Roman" w:eastAsia="Arial" w:cs="Times New Roman"/>
          <w:b w:val="false"/>
          <w:bCs w:val="false"/>
          <w:i/>
          <w:i/>
          <w:iCs/>
          <w:color w:val="000000"/>
          <w:sz w:val="22"/>
          <w:szCs w:val="22"/>
          <w:shd w:fill="auto" w:val="clear"/>
        </w:rPr>
      </w:pPr>
      <w:r>
        <w:rPr>
          <w:rFonts w:eastAsia="Arial" w:cs="Times New Roman" w:ascii="Times New Roman" w:hAnsi="Times New Roman"/>
          <w:b w:val="false"/>
          <w:bCs w:val="false"/>
          <w:i/>
          <w:iCs/>
          <w:color w:val="000000"/>
          <w:sz w:val="22"/>
          <w:szCs w:val="22"/>
          <w:shd w:fill="auto" w:val="clear"/>
        </w:rPr>
      </w:r>
    </w:p>
    <w:p>
      <w:pPr>
        <w:pStyle w:val="Normal"/>
        <w:widowControl w:val="false"/>
        <w:numPr>
          <w:ilvl w:val="0"/>
          <w:numId w:val="0"/>
        </w:numPr>
        <w:tabs>
          <w:tab w:val="clear" w:pos="720"/>
          <w:tab w:val="left" w:pos="338" w:leader="none"/>
        </w:tabs>
        <w:suppressAutoHyphens w:val="true"/>
        <w:bidi w:val="0"/>
        <w:spacing w:lineRule="auto" w:line="276" w:before="0" w:after="0"/>
        <w:ind w:hanging="0" w:left="0" w:right="0"/>
        <w:jc w:val="both"/>
        <w:rPr>
          <w:sz w:val="22"/>
          <w:szCs w:val="22"/>
        </w:rPr>
      </w:pPr>
      <w:r>
        <w:rPr>
          <w:rFonts w:eastAsia="Times New Roman" w:cs="Times New Roman" w:ascii="Times New Roman" w:hAnsi="Times New Roman"/>
          <w:b/>
          <w:bCs/>
          <w:color w:val="000000"/>
          <w:sz w:val="22"/>
          <w:szCs w:val="22"/>
          <w:lang w:eastAsia="ar-SA"/>
        </w:rPr>
        <w:t>8</w:t>
      </w:r>
      <w:r>
        <w:rPr>
          <w:rFonts w:eastAsia="Times New Roman" w:cs="Times New Roman" w:ascii="Times New Roman" w:hAnsi="Times New Roman"/>
          <w:b/>
          <w:bCs/>
          <w:color w:val="00000A"/>
          <w:sz w:val="22"/>
          <w:szCs w:val="22"/>
          <w:lang w:eastAsia="ar-SA"/>
        </w:rPr>
        <w:t xml:space="preserve">. </w:t>
      </w:r>
      <w:r>
        <w:rPr>
          <w:rFonts w:eastAsia="Times New Roman" w:cs="Times New Roman" w:ascii="Times New Roman" w:hAnsi="Times New Roman"/>
          <w:b/>
          <w:color w:val="00000A"/>
          <w:sz w:val="22"/>
          <w:szCs w:val="22"/>
          <w:lang w:eastAsia="ar-SA"/>
        </w:rPr>
        <w:t>DOS HORÁRIOS DE RECEBIMENTO</w:t>
      </w:r>
    </w:p>
    <w:p>
      <w:pPr>
        <w:pStyle w:val="Normal"/>
        <w:tabs>
          <w:tab w:val="clear" w:pos="720"/>
          <w:tab w:val="left" w:pos="338" w:leader="none"/>
        </w:tabs>
        <w:suppressAutoHyphens w:val="true"/>
        <w:spacing w:lineRule="auto" w:line="276" w:before="0" w:after="0"/>
        <w:ind w:hanging="0" w:left="0" w:right="0"/>
        <w:jc w:val="both"/>
        <w:rPr>
          <w:rFonts w:ascii="Times New Roman" w:hAnsi="Times New Roman" w:eastAsia="SimSun" w:cs="Tahoma"/>
          <w:color w:val="00000A"/>
          <w:sz w:val="22"/>
          <w:szCs w:val="22"/>
          <w:lang w:val="pt-BR" w:eastAsia="pt-BR" w:bidi="ar-SA"/>
        </w:rPr>
      </w:pPr>
      <w:r>
        <w:rPr>
          <w:rFonts w:eastAsia="SimSun" w:cs="Tahoma" w:ascii="Times New Roman" w:hAnsi="Times New Roman"/>
          <w:color w:val="00000A"/>
          <w:sz w:val="22"/>
          <w:szCs w:val="22"/>
          <w:lang w:val="pt-BR" w:eastAsia="pt-BR" w:bidi="ar-SA"/>
        </w:rPr>
      </w:r>
    </w:p>
    <w:p>
      <w:pPr>
        <w:pStyle w:val="Normal"/>
        <w:tabs>
          <w:tab w:val="clear" w:pos="720"/>
          <w:tab w:val="left" w:pos="338" w:leader="none"/>
        </w:tabs>
        <w:suppressAutoHyphens w:val="true"/>
        <w:spacing w:lineRule="auto" w:line="360" w:before="0" w:after="0"/>
        <w:ind w:hanging="0" w:left="0" w:right="0"/>
        <w:jc w:val="both"/>
        <w:rPr>
          <w:sz w:val="22"/>
          <w:szCs w:val="22"/>
        </w:rPr>
      </w:pPr>
      <w:r>
        <w:rPr>
          <w:rFonts w:eastAsia="Times New Roman" w:cs="Times New Roman" w:ascii="Times New Roman" w:hAnsi="Times New Roman"/>
          <w:b/>
          <w:bCs/>
          <w:sz w:val="22"/>
          <w:szCs w:val="22"/>
          <w:lang w:eastAsia="ar-SA"/>
        </w:rPr>
        <w:tab/>
        <w:t>8.1.</w:t>
      </w:r>
      <w:r>
        <w:rPr>
          <w:rFonts w:eastAsia="Times New Roman" w:cs="Times New Roman" w:ascii="Times New Roman" w:hAnsi="Times New Roman"/>
          <w:bCs/>
          <w:sz w:val="22"/>
          <w:szCs w:val="22"/>
          <w:lang w:eastAsia="ar-SA"/>
        </w:rPr>
        <w:t xml:space="preserve"> O objeto desta licitação deverá ser entregue nos seguintes horários:</w:t>
      </w:r>
    </w:p>
    <w:p>
      <w:pPr>
        <w:pStyle w:val="Normal"/>
        <w:numPr>
          <w:ilvl w:val="0"/>
          <w:numId w:val="1"/>
        </w:numPr>
        <w:tabs>
          <w:tab w:val="clear" w:pos="720"/>
          <w:tab w:val="left" w:pos="338" w:leader="none"/>
        </w:tabs>
        <w:suppressAutoHyphens w:val="true"/>
        <w:spacing w:lineRule="auto" w:line="360" w:before="0" w:after="0"/>
        <w:ind w:hanging="0" w:left="1134" w:right="0"/>
        <w:jc w:val="both"/>
        <w:rPr>
          <w:highlight w:val="none"/>
          <w:shd w:fill="auto" w:val="clear"/>
        </w:rPr>
      </w:pPr>
      <w:r>
        <w:rPr>
          <w:rFonts w:eastAsia="Times New Roman" w:cs="Times New Roman" w:ascii="Times New Roman" w:hAnsi="Times New Roman"/>
          <w:b/>
          <w:bCs/>
          <w:sz w:val="22"/>
          <w:szCs w:val="22"/>
          <w:shd w:fill="auto" w:val="clear"/>
          <w:lang w:eastAsia="ar-SA"/>
        </w:rPr>
        <w:t>7h às 11h e das 13h às 15h, de segunda-feira a sexta-feira;</w:t>
      </w:r>
    </w:p>
    <w:p>
      <w:pPr>
        <w:pStyle w:val="Normal"/>
        <w:widowControl/>
        <w:numPr>
          <w:ilvl w:val="0"/>
          <w:numId w:val="0"/>
        </w:numPr>
        <w:tabs>
          <w:tab w:val="clear" w:pos="720"/>
          <w:tab w:val="left" w:pos="338" w:leader="none"/>
        </w:tabs>
        <w:suppressAutoHyphens w:val="true"/>
        <w:bidi w:val="0"/>
        <w:spacing w:lineRule="auto" w:line="360" w:before="0" w:after="0"/>
        <w:ind w:hanging="340" w:left="0" w:right="0"/>
        <w:jc w:val="both"/>
        <w:rPr>
          <w:sz w:val="22"/>
          <w:szCs w:val="22"/>
        </w:rPr>
      </w:pPr>
      <w:r>
        <w:rPr>
          <w:rFonts w:eastAsia="Times New Roman" w:cs="Times New Roman" w:ascii="Times New Roman" w:hAnsi="Times New Roman"/>
          <w:b/>
          <w:bCs/>
          <w:sz w:val="22"/>
          <w:szCs w:val="22"/>
          <w:lang w:eastAsia="ar-SA"/>
        </w:rPr>
        <w:tab/>
        <w:tab/>
        <w:t>8.2.</w:t>
      </w:r>
      <w:r>
        <w:rPr>
          <w:rFonts w:eastAsia="Times New Roman" w:cs="Times New Roman" w:ascii="Times New Roman" w:hAnsi="Times New Roman"/>
          <w:bCs/>
          <w:sz w:val="22"/>
          <w:szCs w:val="22"/>
          <w:lang w:eastAsia="ar-SA"/>
        </w:rPr>
        <w:t xml:space="preserve"> As entregas deverão obedecer à ordem de chegada do fornecedor ou conforme a prioridade do item;</w:t>
      </w:r>
    </w:p>
    <w:p>
      <w:pPr>
        <w:pStyle w:val="Recuodecorpodetexto31"/>
        <w:widowControl/>
        <w:tabs>
          <w:tab w:val="clear" w:pos="720"/>
          <w:tab w:val="left" w:pos="338" w:leader="none"/>
        </w:tabs>
        <w:suppressAutoHyphens w:val="true"/>
        <w:bidi w:val="0"/>
        <w:spacing w:lineRule="auto" w:line="360" w:before="0" w:after="0"/>
        <w:ind w:hanging="0" w:left="0" w:right="0"/>
        <w:jc w:val="both"/>
        <w:rPr>
          <w:rFonts w:ascii="Times New Roman" w:hAnsi="Times New Roman"/>
          <w:sz w:val="22"/>
          <w:szCs w:val="22"/>
        </w:rPr>
      </w:pPr>
      <w:r>
        <w:rPr>
          <w:rFonts w:eastAsia="Times New Roman" w:cs="Times New Roman" w:ascii="Times New Roman" w:hAnsi="Times New Roman"/>
          <w:b/>
          <w:bCs/>
          <w:color w:val="00000A"/>
          <w:sz w:val="22"/>
          <w:szCs w:val="22"/>
          <w:shd w:fill="FFFFFF" w:val="clear"/>
          <w:lang w:val="pt-BR" w:eastAsia="ar-SA"/>
        </w:rPr>
        <w:tab/>
        <w:t>8.3.</w:t>
      </w:r>
      <w:r>
        <w:rPr>
          <w:rFonts w:eastAsia="Times New Roman" w:cs="Times New Roman" w:ascii="Times New Roman" w:hAnsi="Times New Roman"/>
          <w:b w:val="false"/>
          <w:bCs/>
          <w:color w:val="00000A"/>
          <w:sz w:val="22"/>
          <w:szCs w:val="22"/>
          <w:shd w:fill="FFFFFF" w:val="clear"/>
          <w:lang w:val="pt-BR" w:eastAsia="ar-SA"/>
        </w:rPr>
        <w:t xml:space="preserve"> Todos os produtos deverão vir acompanhados da respectiva Nota Fiscal. Em hipótese alguma será recebida a mercadoria sem a Nota Fiscal.</w:t>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40" w:before="0" w:after="57"/>
        <w:jc w:val="center"/>
        <w:rPr>
          <w:rFonts w:ascii="Arial" w:hAnsi="Arial"/>
          <w:sz w:val="24"/>
          <w:szCs w:val="24"/>
        </w:rPr>
      </w:pPr>
      <w:r>
        <w:rPr>
          <w:rFonts w:ascii="Arial" w:hAnsi="Arial"/>
          <w:sz w:val="24"/>
          <w:szCs w:val="24"/>
        </w:rPr>
      </w:r>
    </w:p>
    <w:p>
      <w:pPr>
        <w:pStyle w:val="Normal"/>
        <w:spacing w:lineRule="auto" w:line="276"/>
        <w:jc w:val="center"/>
        <w:rPr/>
      </w:pPr>
      <w:hyperlink r:id="rId22">
        <w:r>
          <w:rPr>
            <w:rStyle w:val="Hyperlink"/>
            <w:rFonts w:cs="Times New Roman" w:ascii="Times New Roman" w:hAnsi="Times New Roman"/>
            <w:b/>
            <w:bCs/>
            <w:color w:val="000000"/>
            <w:sz w:val="22"/>
            <w:szCs w:val="22"/>
            <w:u w:val="none"/>
          </w:rPr>
          <w:t>ANEXO II</w:t>
        </w:r>
      </w:hyperlink>
    </w:p>
    <w:p>
      <w:pPr>
        <w:pStyle w:val="Normal"/>
        <w:spacing w:lineRule="auto" w:line="276"/>
        <w:jc w:val="left"/>
        <w:rPr>
          <w:rFonts w:ascii="Times New Roman" w:hAnsi="Times New Roman" w:eastAsia="SimSun" w:cs="Times New Roman"/>
          <w:b/>
          <w:bCs/>
          <w:color w:val="000000"/>
          <w:sz w:val="22"/>
          <w:szCs w:val="22"/>
          <w:u w:val="none"/>
          <w:lang w:val="pt-BR" w:eastAsia="pt-BR" w:bidi="ar-SA"/>
        </w:rPr>
      </w:pPr>
      <w:r>
        <w:rPr>
          <w:rFonts w:eastAsia="SimSun" w:cs="Times New Roman" w:ascii="Times New Roman" w:hAnsi="Times New Roman"/>
          <w:b/>
          <w:bCs/>
          <w:color w:val="000000"/>
          <w:sz w:val="22"/>
          <w:szCs w:val="22"/>
          <w:u w:val="none"/>
          <w:lang w:val="pt-BR" w:eastAsia="pt-BR" w:bidi="ar-SA"/>
        </w:rPr>
      </w:r>
    </w:p>
    <w:p>
      <w:pPr>
        <w:pStyle w:val="Normal"/>
        <w:tabs>
          <w:tab w:val="clear" w:pos="720"/>
          <w:tab w:val="left" w:pos="567" w:leader="none"/>
        </w:tabs>
        <w:spacing w:lineRule="auto" w:line="276"/>
        <w:ind w:hanging="0" w:left="1416" w:right="0"/>
        <w:jc w:val="both"/>
        <w:rPr/>
      </w:pPr>
      <w:hyperlink r:id="rId23">
        <w:r>
          <w:rPr>
            <w:rStyle w:val="Hyperlink"/>
            <w:rFonts w:cs="Times New Roman" w:ascii="Times New Roman" w:hAnsi="Times New Roman"/>
            <w:i/>
            <w:iCs/>
            <w:color w:val="000000"/>
            <w:sz w:val="22"/>
            <w:szCs w:val="22"/>
            <w:u w:val="none"/>
          </w:rPr>
          <w:t>Este anexo é um modelo e deve ser feito em papel timbrado do licitante</w:t>
        </w:r>
      </w:hyperlink>
    </w:p>
    <w:p>
      <w:pPr>
        <w:pStyle w:val="Normal"/>
        <w:spacing w:lineRule="auto" w:line="276"/>
        <w:jc w:val="center"/>
        <w:rPr/>
      </w:pPr>
      <w:hyperlink r:id="rId24">
        <w:r>
          <w:rPr>
            <w:rStyle w:val="Hyperlink"/>
            <w:rFonts w:cs="Times New Roman" w:ascii="Times New Roman" w:hAnsi="Times New Roman"/>
            <w:b/>
            <w:color w:val="000000"/>
            <w:sz w:val="22"/>
            <w:szCs w:val="22"/>
            <w:u w:val="none"/>
          </w:rPr>
          <w:t>PROPOSTA DE PREÇOS</w:t>
        </w:r>
      </w:hyperlink>
    </w:p>
    <w:p>
      <w:pPr>
        <w:pStyle w:val="Normal"/>
        <w:spacing w:lineRule="auto" w:line="276"/>
        <w:jc w:val="center"/>
        <w:rPr>
          <w:rFonts w:ascii="Times New Roman" w:hAnsi="Times New Roman" w:eastAsia="SimSun" w:cs="Tahoma"/>
          <w:color w:val="000000"/>
          <w:sz w:val="22"/>
          <w:szCs w:val="22"/>
          <w:lang w:val="pt-BR" w:eastAsia="pt-BR" w:bidi="ar-SA"/>
        </w:rPr>
      </w:pPr>
      <w:r>
        <w:rPr>
          <w:rFonts w:eastAsia="SimSun" w:cs="Tahoma" w:ascii="Times New Roman" w:hAnsi="Times New Roman"/>
          <w:color w:val="000000"/>
          <w:sz w:val="22"/>
          <w:szCs w:val="22"/>
          <w:lang w:val="pt-BR" w:eastAsia="pt-BR" w:bidi="ar-SA"/>
        </w:rPr>
      </w:r>
    </w:p>
    <w:p>
      <w:pPr>
        <w:pStyle w:val="Normal"/>
        <w:spacing w:lineRule="auto" w:line="276"/>
        <w:jc w:val="center"/>
        <w:rPr>
          <w:rFonts w:ascii="Times New Roman" w:hAnsi="Times New Roman" w:eastAsia="SimSun" w:cs="Tahoma"/>
          <w:color w:val="000000"/>
          <w:sz w:val="22"/>
          <w:szCs w:val="22"/>
          <w:lang w:val="pt-BR" w:eastAsia="pt-BR" w:bidi="ar-SA"/>
        </w:rPr>
      </w:pPr>
      <w:r>
        <w:rPr>
          <w:rFonts w:eastAsia="SimSun" w:cs="Tahoma" w:ascii="Times New Roman" w:hAnsi="Times New Roman"/>
          <w:color w:val="000000"/>
          <w:sz w:val="22"/>
          <w:szCs w:val="22"/>
          <w:lang w:val="pt-BR" w:eastAsia="pt-BR" w:bidi="ar-SA"/>
        </w:rPr>
      </w:r>
    </w:p>
    <w:p>
      <w:pPr>
        <w:pStyle w:val="Normal"/>
        <w:spacing w:lineRule="auto" w:line="276"/>
        <w:jc w:val="center"/>
        <w:rPr>
          <w:rFonts w:ascii="Times New Roman" w:hAnsi="Times New Roman" w:eastAsia="SimSun" w:cs="Tahoma"/>
          <w:color w:val="000000"/>
          <w:sz w:val="22"/>
          <w:szCs w:val="22"/>
          <w:lang w:val="pt-BR" w:eastAsia="pt-BR" w:bidi="ar-SA"/>
        </w:rPr>
      </w:pPr>
      <w:r>
        <w:rPr>
          <w:rFonts w:eastAsia="SimSun" w:cs="Tahoma" w:ascii="Times New Roman" w:hAnsi="Times New Roman"/>
          <w:color w:val="000000"/>
          <w:sz w:val="22"/>
          <w:szCs w:val="22"/>
          <w:lang w:val="pt-BR" w:eastAsia="pt-BR" w:bidi="ar-SA"/>
        </w:rPr>
      </w:r>
    </w:p>
    <w:p>
      <w:pPr>
        <w:pStyle w:val="Heading6"/>
        <w:keepNext w:val="true"/>
        <w:widowControl/>
        <w:numPr>
          <w:ilvl w:val="5"/>
          <w:numId w:val="1"/>
        </w:numPr>
        <w:tabs>
          <w:tab w:val="left" w:pos="-32767" w:leader="none"/>
          <w:tab w:val="left" w:pos="-31774" w:leader="none"/>
          <w:tab w:val="left" w:pos="-30781" w:leader="none"/>
          <w:tab w:val="left" w:pos="-29788" w:leader="none"/>
          <w:tab w:val="left" w:pos="-28795" w:leader="none"/>
          <w:tab w:val="left" w:pos="-27802" w:leader="none"/>
          <w:tab w:val="left" w:pos="-26809" w:leader="none"/>
          <w:tab w:val="left" w:pos="-25816" w:leader="none"/>
          <w:tab w:val="left" w:pos="-24823" w:leader="none"/>
          <w:tab w:val="left" w:pos="0" w:leader="none"/>
          <w:tab w:val="left" w:pos="8937" w:leader="none"/>
        </w:tabs>
        <w:suppressAutoHyphens w:val="true"/>
        <w:bidi w:val="0"/>
        <w:spacing w:lineRule="auto" w:line="276"/>
        <w:ind w:hanging="0" w:left="0" w:right="0"/>
        <w:jc w:val="left"/>
        <w:rPr/>
      </w:pPr>
      <w:r>
        <w:rPr>
          <w:rStyle w:val="Hyperlink"/>
          <w:rFonts w:cs="Times New Roman" w:ascii="Times New Roman" w:hAnsi="Times New Roman"/>
          <w:color w:val="000000"/>
          <w:sz w:val="22"/>
          <w:szCs w:val="22"/>
          <w:u w:val="none"/>
        </w:rPr>
        <w:t xml:space="preserve">Referência: </w:t>
      </w:r>
      <w:r>
        <w:rPr>
          <w:rStyle w:val="Hyperlink"/>
          <w:rFonts w:cs="Times New Roman" w:ascii="Times New Roman" w:hAnsi="Times New Roman"/>
          <w:b/>
          <w:color w:val="000000"/>
          <w:sz w:val="22"/>
          <w:szCs w:val="22"/>
          <w:u w:val="none"/>
        </w:rPr>
        <w:t>Pregão Eletrônico nº 90090/2026 (SRP)</w:t>
      </w:r>
    </w:p>
    <w:p>
      <w:pPr>
        <w:pStyle w:val="Heading6"/>
        <w:numPr>
          <w:ilvl w:val="5"/>
          <w:numId w:val="1"/>
        </w:numPr>
        <w:tabs>
          <w:tab w:val="left" w:pos="-32767" w:leader="none"/>
          <w:tab w:val="left" w:pos="-31774" w:leader="none"/>
          <w:tab w:val="left" w:pos="-30781" w:leader="none"/>
          <w:tab w:val="left" w:pos="-29788" w:leader="none"/>
          <w:tab w:val="left" w:pos="-28795" w:leader="none"/>
          <w:tab w:val="left" w:pos="-27802" w:leader="none"/>
          <w:tab w:val="left" w:pos="-26809" w:leader="none"/>
          <w:tab w:val="left" w:pos="-25816" w:leader="none"/>
          <w:tab w:val="left" w:pos="-24823" w:leader="none"/>
          <w:tab w:val="left" w:pos="0" w:leader="none"/>
          <w:tab w:val="left" w:pos="8937" w:leader="none"/>
        </w:tabs>
        <w:spacing w:lineRule="auto" w:line="276"/>
        <w:ind w:hanging="0" w:left="0" w:right="0"/>
        <w:jc w:val="left"/>
        <w:rPr/>
      </w:pPr>
      <w:hyperlink r:id="rId25">
        <w:r>
          <w:rPr>
            <w:rStyle w:val="Hyperlink"/>
            <w:rFonts w:cs="Times New Roman" w:ascii="Times New Roman" w:hAnsi="Times New Roman"/>
            <w:color w:val="000000"/>
            <w:sz w:val="22"/>
            <w:szCs w:val="22"/>
            <w:u w:val="none"/>
          </w:rPr>
          <w:t>Sr. Pregoeiro,</w:t>
        </w:r>
      </w:hyperlink>
    </w:p>
    <w:p>
      <w:pPr>
        <w:pStyle w:val="Normal"/>
        <w:spacing w:lineRule="auto" w:line="276"/>
        <w:rPr>
          <w:rFonts w:ascii="Times New Roman" w:hAnsi="Times New Roman" w:eastAsia="SimSun" w:cs="Times New Roman"/>
          <w:color w:val="000000"/>
          <w:sz w:val="22"/>
          <w:szCs w:val="22"/>
          <w:lang w:val="pt-BR" w:eastAsia="pt-BR" w:bidi="ar-SA"/>
        </w:rPr>
      </w:pPr>
      <w:r>
        <w:rPr>
          <w:rFonts w:eastAsia="SimSun" w:cs="Times New Roman" w:ascii="Times New Roman" w:hAnsi="Times New Roman"/>
          <w:color w:val="000000"/>
          <w:sz w:val="22"/>
          <w:szCs w:val="22"/>
          <w:lang w:val="pt-BR" w:eastAsia="pt-BR" w:bidi="ar-SA"/>
        </w:rPr>
      </w:r>
    </w:p>
    <w:p>
      <w:pPr>
        <w:pStyle w:val="Corpodetextorecuado"/>
        <w:spacing w:lineRule="auto" w:line="276"/>
        <w:rPr/>
      </w:pPr>
      <w:hyperlink r:id="rId26">
        <w:r>
          <w:rPr>
            <w:rStyle w:val="Hyperlink"/>
            <w:rFonts w:cs="Times New Roman" w:ascii="Times New Roman" w:hAnsi="Times New Roman"/>
            <w:b w:val="false"/>
            <w:color w:val="000000"/>
            <w:sz w:val="22"/>
            <w:szCs w:val="22"/>
            <w:u w:val="none"/>
          </w:rPr>
          <w:t xml:space="preserve">A Empresa _______________________ sediada à  </w:t>
        </w:r>
        <w:r>
          <w:rPr>
            <w:rStyle w:val="Hyperlink"/>
            <w:rFonts w:cs="Times New Roman" w:ascii="Times New Roman" w:hAnsi="Times New Roman"/>
            <w:b w:val="false"/>
            <w:color w:val="000000"/>
            <w:sz w:val="22"/>
            <w:szCs w:val="22"/>
          </w:rPr>
          <w:t xml:space="preserve">  (rua, bairro, cidade, telefone, etc) </w:t>
        </w:r>
        <w:r>
          <w:rPr>
            <w:rStyle w:val="Hyperlink"/>
            <w:rFonts w:cs="Times New Roman" w:ascii="Times New Roman" w:hAnsi="Times New Roman"/>
            <w:b w:val="false"/>
            <w:color w:val="000000"/>
            <w:sz w:val="22"/>
            <w:szCs w:val="22"/>
            <w:u w:val="none"/>
          </w:rPr>
          <w:t>, inscrita no CNPJ/MF sob o nº _________________ e Inscrição Estadual sob o nº ________________, neste ato representada por ________________________, abaixo assinada, propõe a Indústria de Material Bélico (IMBEL - FI), a entrega do(s) material(is) abaixo indicado(s), conforme Termo de Referência do Edital em epígrafe, nas seguintes condições:</w:t>
        </w:r>
      </w:hyperlink>
    </w:p>
    <w:p>
      <w:pPr>
        <w:pStyle w:val="Corpodetextorecuado"/>
        <w:numPr>
          <w:ilvl w:val="0"/>
          <w:numId w:val="0"/>
        </w:numPr>
        <w:spacing w:lineRule="auto" w:line="276"/>
        <w:ind w:hanging="0" w:left="0" w:right="0"/>
        <w:rPr/>
      </w:pPr>
      <w:hyperlink r:id="rId27">
        <w:r>
          <w:rPr>
            <w:rStyle w:val="Hyperlink"/>
            <w:rFonts w:eastAsia="Times New Roman" w:cs="Times New Roman" w:ascii="Times New Roman" w:hAnsi="Times New Roman"/>
            <w:b w:val="false"/>
            <w:bCs w:val="false"/>
            <w:color w:val="000000"/>
            <w:sz w:val="22"/>
            <w:szCs w:val="22"/>
            <w:u w:val="none"/>
          </w:rPr>
          <w:t xml:space="preserve">a) </w:t>
        </w:r>
        <w:r>
          <w:rPr>
            <w:rStyle w:val="Hyperlink"/>
            <w:rFonts w:cs="Times New Roman" w:ascii="Times New Roman" w:hAnsi="Times New Roman"/>
            <w:b w:val="false"/>
            <w:bCs w:val="false"/>
            <w:color w:val="000000"/>
            <w:sz w:val="22"/>
            <w:szCs w:val="22"/>
            <w:u w:val="none"/>
          </w:rPr>
          <w:t>Preços:</w:t>
        </w:r>
      </w:hyperlink>
    </w:p>
    <w:p>
      <w:pPr>
        <w:pStyle w:val="Corpodetextorecuado"/>
        <w:numPr>
          <w:ilvl w:val="0"/>
          <w:numId w:val="0"/>
        </w:numPr>
        <w:spacing w:lineRule="auto" w:line="276"/>
        <w:ind w:hanging="0" w:left="0" w:right="0"/>
        <w:rPr>
          <w:rFonts w:ascii="Times New Roman" w:hAnsi="Times New Roman"/>
          <w:sz w:val="22"/>
          <w:szCs w:val="22"/>
        </w:rPr>
      </w:pPr>
      <w:r>
        <w:rPr>
          <w:rFonts w:ascii="Times New Roman" w:hAnsi="Times New Roman"/>
          <w:sz w:val="22"/>
          <w:szCs w:val="22"/>
        </w:rPr>
      </w:r>
    </w:p>
    <w:tbl>
      <w:tblPr>
        <w:tblW w:w="9065" w:type="dxa"/>
        <w:jc w:val="left"/>
        <w:tblInd w:w="42" w:type="dxa"/>
        <w:tblLayout w:type="fixed"/>
        <w:tblCellMar>
          <w:top w:w="108" w:type="dxa"/>
          <w:left w:w="38" w:type="dxa"/>
          <w:bottom w:w="108" w:type="dxa"/>
          <w:right w:w="108" w:type="dxa"/>
        </w:tblCellMar>
      </w:tblPr>
      <w:tblGrid>
        <w:gridCol w:w="833"/>
        <w:gridCol w:w="4197"/>
        <w:gridCol w:w="961"/>
        <w:gridCol w:w="960"/>
        <w:gridCol w:w="1097"/>
        <w:gridCol w:w="1"/>
        <w:gridCol w:w="1015"/>
      </w:tblGrid>
      <w:tr>
        <w:trPr/>
        <w:tc>
          <w:tcPr>
            <w:tcW w:w="833" w:type="dxa"/>
            <w:tcBorders>
              <w:top w:val="single" w:sz="4" w:space="0" w:color="00000A"/>
              <w:left w:val="single" w:sz="4" w:space="0" w:color="00000A"/>
              <w:bottom w:val="single" w:sz="4" w:space="0" w:color="00000A"/>
            </w:tcBorders>
            <w:shd w:fill="EEEEEE" w:val="clear"/>
            <w:vAlign w:val="center"/>
          </w:tcPr>
          <w:p>
            <w:pPr>
              <w:pStyle w:val="Normal"/>
              <w:widowControl w:val="false"/>
              <w:spacing w:lineRule="auto" w:line="276"/>
              <w:jc w:val="center"/>
              <w:rPr/>
            </w:pPr>
            <w:hyperlink r:id="rId28">
              <w:r>
                <w:rPr>
                  <w:rStyle w:val="Hyperlink"/>
                  <w:rFonts w:cs="Times New Roman" w:ascii="Times New Roman" w:hAnsi="Times New Roman"/>
                  <w:b/>
                  <w:bCs/>
                  <w:color w:val="000000"/>
                  <w:sz w:val="22"/>
                  <w:szCs w:val="22"/>
                  <w:u w:val="none"/>
                </w:rPr>
                <w:t>ITEM</w:t>
              </w:r>
            </w:hyperlink>
          </w:p>
        </w:tc>
        <w:tc>
          <w:tcPr>
            <w:tcW w:w="4197" w:type="dxa"/>
            <w:tcBorders>
              <w:top w:val="single" w:sz="4" w:space="0" w:color="00000A"/>
              <w:left w:val="single" w:sz="4" w:space="0" w:color="00000A"/>
              <w:bottom w:val="single" w:sz="4" w:space="0" w:color="00000A"/>
            </w:tcBorders>
            <w:shd w:fill="EEEEEE" w:val="clear"/>
            <w:vAlign w:val="center"/>
          </w:tcPr>
          <w:p>
            <w:pPr>
              <w:pStyle w:val="Normal"/>
              <w:widowControl w:val="false"/>
              <w:spacing w:lineRule="auto" w:line="276"/>
              <w:jc w:val="center"/>
              <w:rPr/>
            </w:pPr>
            <w:hyperlink r:id="rId29">
              <w:r>
                <w:rPr>
                  <w:rStyle w:val="Hyperlink"/>
                  <w:rFonts w:cs="Times New Roman" w:ascii="Times New Roman" w:hAnsi="Times New Roman"/>
                  <w:b/>
                  <w:bCs/>
                  <w:color w:val="000000"/>
                  <w:sz w:val="22"/>
                  <w:szCs w:val="22"/>
                  <w:u w:val="none"/>
                </w:rPr>
                <w:t>ESPECIFICAÇÃO</w:t>
              </w:r>
            </w:hyperlink>
          </w:p>
        </w:tc>
        <w:tc>
          <w:tcPr>
            <w:tcW w:w="961" w:type="dxa"/>
            <w:tcBorders>
              <w:top w:val="single" w:sz="4" w:space="0" w:color="00000A"/>
              <w:left w:val="single" w:sz="4" w:space="0" w:color="00000A"/>
              <w:bottom w:val="single" w:sz="4" w:space="0" w:color="00000A"/>
            </w:tcBorders>
            <w:shd w:fill="EEEEEE" w:val="clear"/>
            <w:vAlign w:val="center"/>
          </w:tcPr>
          <w:p>
            <w:pPr>
              <w:pStyle w:val="Normal"/>
              <w:widowControl w:val="false"/>
              <w:spacing w:lineRule="auto" w:line="276"/>
              <w:jc w:val="center"/>
              <w:rPr/>
            </w:pPr>
            <w:hyperlink r:id="rId30">
              <w:r>
                <w:rPr>
                  <w:rStyle w:val="Hyperlink"/>
                  <w:rFonts w:cs="Times New Roman" w:ascii="Times New Roman" w:hAnsi="Times New Roman"/>
                  <w:b/>
                  <w:bCs/>
                  <w:color w:val="000000"/>
                  <w:sz w:val="22"/>
                  <w:szCs w:val="22"/>
                  <w:u w:val="none"/>
                </w:rPr>
                <w:t>UNID</w:t>
              </w:r>
            </w:hyperlink>
          </w:p>
        </w:tc>
        <w:tc>
          <w:tcPr>
            <w:tcW w:w="960" w:type="dxa"/>
            <w:tcBorders>
              <w:top w:val="single" w:sz="4" w:space="0" w:color="00000A"/>
              <w:left w:val="single" w:sz="4" w:space="0" w:color="00000A"/>
              <w:bottom w:val="single" w:sz="4" w:space="0" w:color="00000A"/>
            </w:tcBorders>
            <w:shd w:fill="EEEEEE" w:val="clear"/>
            <w:vAlign w:val="center"/>
          </w:tcPr>
          <w:p>
            <w:pPr>
              <w:pStyle w:val="Normal"/>
              <w:widowControl w:val="false"/>
              <w:spacing w:lineRule="auto" w:line="276"/>
              <w:jc w:val="center"/>
              <w:rPr/>
            </w:pPr>
            <w:hyperlink r:id="rId31">
              <w:r>
                <w:rPr>
                  <w:rStyle w:val="Hyperlink"/>
                  <w:rFonts w:cs="Times New Roman" w:ascii="Times New Roman" w:hAnsi="Times New Roman"/>
                  <w:b/>
                  <w:bCs/>
                  <w:color w:val="000000"/>
                  <w:sz w:val="22"/>
                  <w:szCs w:val="22"/>
                  <w:u w:val="none"/>
                </w:rPr>
                <w:t>QTDE</w:t>
              </w:r>
            </w:hyperlink>
          </w:p>
        </w:tc>
        <w:tc>
          <w:tcPr>
            <w:tcW w:w="1098" w:type="dxa"/>
            <w:gridSpan w:val="2"/>
            <w:tcBorders>
              <w:top w:val="single" w:sz="4" w:space="0" w:color="00000A"/>
              <w:left w:val="single" w:sz="4" w:space="0" w:color="00000A"/>
              <w:bottom w:val="single" w:sz="4" w:space="0" w:color="00000A"/>
            </w:tcBorders>
            <w:shd w:fill="EEEEEE" w:val="clear"/>
            <w:vAlign w:val="center"/>
          </w:tcPr>
          <w:p>
            <w:pPr>
              <w:pStyle w:val="Normal"/>
              <w:widowControl w:val="false"/>
              <w:spacing w:lineRule="auto" w:line="276"/>
              <w:jc w:val="center"/>
              <w:rPr/>
            </w:pPr>
            <w:hyperlink r:id="rId32">
              <w:r>
                <w:rPr>
                  <w:rStyle w:val="Hyperlink"/>
                  <w:rFonts w:cs="Times New Roman" w:ascii="Times New Roman" w:hAnsi="Times New Roman"/>
                  <w:b/>
                  <w:bCs/>
                  <w:color w:val="000000"/>
                  <w:sz w:val="22"/>
                  <w:szCs w:val="22"/>
                  <w:u w:val="none"/>
                </w:rPr>
                <w:t>VALOR UNIT.</w:t>
              </w:r>
            </w:hyperlink>
          </w:p>
        </w:tc>
        <w:tc>
          <w:tcPr>
            <w:tcW w:w="1015" w:type="dxa"/>
            <w:tcBorders>
              <w:top w:val="single" w:sz="4" w:space="0" w:color="00000A"/>
              <w:left w:val="single" w:sz="4" w:space="0" w:color="00000A"/>
              <w:bottom w:val="single" w:sz="4" w:space="0" w:color="00000A"/>
              <w:right w:val="single" w:sz="4" w:space="0" w:color="00000A"/>
            </w:tcBorders>
            <w:shd w:fill="EEEEEE" w:val="clear"/>
            <w:vAlign w:val="center"/>
          </w:tcPr>
          <w:p>
            <w:pPr>
              <w:pStyle w:val="Normal"/>
              <w:widowControl w:val="false"/>
              <w:spacing w:lineRule="auto" w:line="276"/>
              <w:jc w:val="center"/>
              <w:rPr/>
            </w:pPr>
            <w:hyperlink r:id="rId33">
              <w:r>
                <w:rPr>
                  <w:rStyle w:val="Hyperlink"/>
                  <w:rFonts w:cs="Times New Roman" w:ascii="Times New Roman" w:hAnsi="Times New Roman"/>
                  <w:b/>
                  <w:bCs/>
                  <w:color w:val="000000"/>
                  <w:sz w:val="22"/>
                  <w:szCs w:val="22"/>
                  <w:u w:val="none"/>
                </w:rPr>
                <w:t>VALOR TOTAL</w:t>
              </w:r>
            </w:hyperlink>
          </w:p>
        </w:tc>
      </w:tr>
      <w:tr>
        <w:trPr/>
        <w:tc>
          <w:tcPr>
            <w:tcW w:w="833" w:type="dxa"/>
            <w:tcBorders>
              <w:top w:val="single" w:sz="4" w:space="0" w:color="00000A"/>
              <w:left w:val="single" w:sz="4" w:space="0" w:color="00000A"/>
              <w:bottom w:val="single" w:sz="4" w:space="0" w:color="00000A"/>
            </w:tcBorders>
            <w:shd w:fill="auto" w:val="clear"/>
            <w:tcMar>
              <w:top w:w="0" w:type="dxa"/>
              <w:bottom w:w="0" w:type="dxa"/>
            </w:tcMar>
            <w:vAlign w:val="center"/>
          </w:tcPr>
          <w:p>
            <w:pPr>
              <w:pStyle w:val="Normal"/>
              <w:widowControl w:val="false"/>
              <w:spacing w:lineRule="auto" w:line="276"/>
              <w:jc w:val="center"/>
              <w:rPr/>
            </w:pPr>
            <w:hyperlink r:id="rId34">
              <w:r>
                <w:rPr>
                  <w:rStyle w:val="Hyperlink"/>
                  <w:rFonts w:cs="Times New Roman" w:ascii="Times New Roman" w:hAnsi="Times New Roman"/>
                  <w:color w:val="000000"/>
                  <w:sz w:val="22"/>
                  <w:szCs w:val="22"/>
                  <w:u w:val="none"/>
                </w:rPr>
                <w:t>01</w:t>
              </w:r>
            </w:hyperlink>
          </w:p>
        </w:tc>
        <w:tc>
          <w:tcPr>
            <w:tcW w:w="4197" w:type="dxa"/>
            <w:tcBorders>
              <w:top w:val="single" w:sz="4" w:space="0" w:color="00000A"/>
              <w:left w:val="single" w:sz="4" w:space="0" w:color="00000A"/>
              <w:bottom w:val="single" w:sz="4" w:space="0" w:color="00000A"/>
            </w:tcBorders>
            <w:shd w:fill="auto" w:val="clear"/>
            <w:tcMar>
              <w:top w:w="0" w:type="dxa"/>
              <w:bottom w:w="0" w:type="dxa"/>
            </w:tcMar>
          </w:tcPr>
          <w:p>
            <w:pPr>
              <w:pStyle w:val="Normal"/>
              <w:widowControl w:val="false"/>
              <w:spacing w:lineRule="auto" w:line="276"/>
              <w:jc w:val="center"/>
              <w:rPr/>
            </w:pPr>
            <w:r>
              <w:rPr>
                <w:rStyle w:val="Hyperlink"/>
                <w:rFonts w:cs="Times New Roman" w:ascii="Times New Roman" w:hAnsi="Times New Roman"/>
                <w:b w:val="false"/>
                <w:i w:val="false"/>
                <w:strike w:val="false"/>
                <w:dstrike w:val="false"/>
                <w:outline w:val="false"/>
                <w:shadow w:val="false"/>
                <w:color w:val="000000"/>
                <w:sz w:val="22"/>
                <w:szCs w:val="22"/>
                <w:u w:val="none"/>
                <w:em w:val="none"/>
              </w:rPr>
              <w:t>xxxxxxxxxxxxxxxxxxxxxxxxxxx</w:t>
            </w:r>
            <w:hyperlink r:id="rId35">
              <w:r>
                <w:rPr>
                  <w:rStyle w:val="Hyperlink"/>
                  <w:rFonts w:cs="Times New Roman" w:ascii="Times New Roman" w:hAnsi="Times New Roman"/>
                  <w:color w:val="000000"/>
                  <w:sz w:val="22"/>
                  <w:szCs w:val="22"/>
                  <w:u w:val="none"/>
                </w:rPr>
                <w:t>xxxxxx</w:t>
              </w:r>
            </w:hyperlink>
          </w:p>
        </w:tc>
        <w:tc>
          <w:tcPr>
            <w:tcW w:w="961" w:type="dxa"/>
            <w:tcBorders>
              <w:top w:val="single" w:sz="4" w:space="0" w:color="00000A"/>
              <w:left w:val="single" w:sz="4" w:space="0" w:color="00000A"/>
              <w:bottom w:val="single" w:sz="4" w:space="0" w:color="00000A"/>
            </w:tcBorders>
            <w:shd w:fill="auto" w:val="clear"/>
            <w:tcMar>
              <w:top w:w="0" w:type="dxa"/>
              <w:bottom w:w="0" w:type="dxa"/>
            </w:tcMar>
            <w:vAlign w:val="center"/>
          </w:tcPr>
          <w:p>
            <w:pPr>
              <w:pStyle w:val="Normal"/>
              <w:widowControl w:val="false"/>
              <w:spacing w:lineRule="auto" w:line="276"/>
              <w:jc w:val="center"/>
              <w:rPr/>
            </w:pPr>
            <w:hyperlink r:id="rId36">
              <w:r>
                <w:rPr>
                  <w:rStyle w:val="Hyperlink"/>
                  <w:rFonts w:cs="Times New Roman" w:ascii="Times New Roman" w:hAnsi="Times New Roman"/>
                  <w:color w:val="000000"/>
                  <w:sz w:val="22"/>
                  <w:szCs w:val="22"/>
                  <w:u w:val="none"/>
                </w:rPr>
                <w:t>xxxxxx</w:t>
              </w:r>
            </w:hyperlink>
          </w:p>
        </w:tc>
        <w:tc>
          <w:tcPr>
            <w:tcW w:w="960" w:type="dxa"/>
            <w:tcBorders>
              <w:top w:val="single" w:sz="4" w:space="0" w:color="00000A"/>
              <w:left w:val="single" w:sz="4" w:space="0" w:color="00000A"/>
              <w:bottom w:val="single" w:sz="4" w:space="0" w:color="00000A"/>
            </w:tcBorders>
            <w:shd w:fill="auto" w:val="clear"/>
            <w:tcMar>
              <w:top w:w="0" w:type="dxa"/>
              <w:bottom w:w="0" w:type="dxa"/>
            </w:tcMar>
            <w:vAlign w:val="center"/>
          </w:tcPr>
          <w:p>
            <w:pPr>
              <w:pStyle w:val="Normal"/>
              <w:widowControl w:val="false"/>
              <w:spacing w:lineRule="auto" w:line="276"/>
              <w:jc w:val="center"/>
              <w:rPr/>
            </w:pPr>
            <w:hyperlink r:id="rId37">
              <w:r>
                <w:rPr>
                  <w:rStyle w:val="Hyperlink"/>
                  <w:rFonts w:cs="Times New Roman" w:ascii="Times New Roman" w:hAnsi="Times New Roman"/>
                  <w:color w:val="000000"/>
                  <w:sz w:val="22"/>
                  <w:szCs w:val="22"/>
                  <w:u w:val="none"/>
                </w:rPr>
                <w:t>xx</w:t>
              </w:r>
            </w:hyperlink>
          </w:p>
        </w:tc>
        <w:tc>
          <w:tcPr>
            <w:tcW w:w="1098" w:type="dxa"/>
            <w:gridSpan w:val="2"/>
            <w:tcBorders>
              <w:top w:val="single" w:sz="4" w:space="0" w:color="00000A"/>
              <w:left w:val="single" w:sz="4" w:space="0" w:color="00000A"/>
              <w:bottom w:val="single" w:sz="4" w:space="0" w:color="00000A"/>
            </w:tcBorders>
            <w:shd w:fill="auto" w:val="clear"/>
            <w:tcMar>
              <w:top w:w="0" w:type="dxa"/>
              <w:bottom w:w="0" w:type="dxa"/>
            </w:tcMar>
            <w:vAlign w:val="center"/>
          </w:tcPr>
          <w:p>
            <w:pPr>
              <w:pStyle w:val="Normal"/>
              <w:widowControl w:val="false"/>
              <w:spacing w:lineRule="auto" w:line="276"/>
              <w:jc w:val="center"/>
              <w:rPr/>
            </w:pPr>
            <w:hyperlink r:id="rId38">
              <w:r>
                <w:rPr>
                  <w:rStyle w:val="Hyperlink"/>
                  <w:rFonts w:cs="Times New Roman" w:ascii="Times New Roman" w:hAnsi="Times New Roman"/>
                  <w:color w:val="000000"/>
                  <w:sz w:val="22"/>
                  <w:szCs w:val="22"/>
                  <w:u w:val="none"/>
                </w:rPr>
                <w:t>R$</w:t>
              </w:r>
            </w:hyperlink>
          </w:p>
        </w:tc>
        <w:tc>
          <w:tcPr>
            <w:tcW w:w="1015" w:type="dxa"/>
            <w:tcBorders>
              <w:top w:val="single" w:sz="4" w:space="0" w:color="00000A"/>
              <w:left w:val="single" w:sz="4" w:space="0" w:color="00000A"/>
              <w:bottom w:val="single" w:sz="4" w:space="0" w:color="00000A"/>
              <w:right w:val="single" w:sz="4" w:space="0" w:color="00000A"/>
            </w:tcBorders>
            <w:shd w:fill="auto" w:val="clear"/>
            <w:tcMar>
              <w:top w:w="0" w:type="dxa"/>
              <w:bottom w:w="0" w:type="dxa"/>
            </w:tcMar>
            <w:vAlign w:val="center"/>
          </w:tcPr>
          <w:p>
            <w:pPr>
              <w:pStyle w:val="Normal"/>
              <w:widowControl w:val="false"/>
              <w:spacing w:lineRule="auto" w:line="276"/>
              <w:jc w:val="center"/>
              <w:rPr/>
            </w:pPr>
            <w:hyperlink r:id="rId39">
              <w:r>
                <w:rPr>
                  <w:rStyle w:val="Hyperlink"/>
                  <w:rFonts w:cs="Times New Roman" w:ascii="Times New Roman" w:hAnsi="Times New Roman"/>
                  <w:color w:val="000000"/>
                  <w:sz w:val="22"/>
                  <w:szCs w:val="22"/>
                  <w:u w:val="none"/>
                </w:rPr>
                <w:t>R$</w:t>
              </w:r>
            </w:hyperlink>
          </w:p>
        </w:tc>
      </w:tr>
      <w:tr>
        <w:trPr/>
        <w:tc>
          <w:tcPr>
            <w:tcW w:w="8048" w:type="dxa"/>
            <w:gridSpan w:val="5"/>
            <w:tcBorders>
              <w:top w:val="single" w:sz="4" w:space="0" w:color="00000A"/>
              <w:left w:val="single" w:sz="4" w:space="0" w:color="00000A"/>
              <w:bottom w:val="single" w:sz="4" w:space="0" w:color="00000A"/>
            </w:tcBorders>
            <w:shd w:fill="EEEEEE" w:val="clear"/>
            <w:tcMar>
              <w:top w:w="0" w:type="dxa"/>
              <w:bottom w:w="0" w:type="dxa"/>
            </w:tcMar>
            <w:vAlign w:val="center"/>
          </w:tcPr>
          <w:p>
            <w:pPr>
              <w:pStyle w:val="Contedodatabela"/>
              <w:widowControl w:val="false"/>
              <w:spacing w:lineRule="auto" w:line="276"/>
              <w:jc w:val="right"/>
              <w:rPr/>
            </w:pPr>
            <w:hyperlink r:id="rId40">
              <w:r>
                <w:rPr>
                  <w:rStyle w:val="Hyperlink"/>
                  <w:rFonts w:cs="Times New Roman" w:ascii="Times New Roman" w:hAnsi="Times New Roman"/>
                  <w:b/>
                  <w:bCs/>
                  <w:color w:val="000000"/>
                  <w:sz w:val="22"/>
                  <w:szCs w:val="22"/>
                  <w:u w:val="none"/>
                </w:rPr>
                <w:t>VALOR TOTAL GLOBAL</w:t>
              </w:r>
            </w:hyperlink>
          </w:p>
        </w:tc>
        <w:tc>
          <w:tcPr>
            <w:tcW w:w="1016" w:type="dxa"/>
            <w:gridSpan w:val="2"/>
            <w:tcBorders>
              <w:top w:val="single" w:sz="4" w:space="0" w:color="00000A"/>
              <w:left w:val="single" w:sz="4" w:space="0" w:color="00000A"/>
              <w:bottom w:val="single" w:sz="4" w:space="0" w:color="00000A"/>
              <w:right w:val="single" w:sz="4" w:space="0" w:color="00000A"/>
            </w:tcBorders>
            <w:shd w:fill="EEEEEE" w:val="clear"/>
            <w:tcMar>
              <w:top w:w="0" w:type="dxa"/>
              <w:bottom w:w="0" w:type="dxa"/>
            </w:tcMar>
            <w:vAlign w:val="center"/>
          </w:tcPr>
          <w:p>
            <w:pPr>
              <w:pStyle w:val="Normal"/>
              <w:widowControl w:val="false"/>
              <w:spacing w:lineRule="auto" w:line="276"/>
              <w:jc w:val="center"/>
              <w:rPr/>
            </w:pPr>
            <w:hyperlink r:id="rId41">
              <w:r>
                <w:rPr>
                  <w:rStyle w:val="Hyperlink"/>
                  <w:rFonts w:cs="Times New Roman" w:ascii="Times New Roman" w:hAnsi="Times New Roman"/>
                  <w:b/>
                  <w:bCs/>
                  <w:color w:val="000000"/>
                  <w:sz w:val="22"/>
                  <w:szCs w:val="22"/>
                  <w:u w:val="none"/>
                </w:rPr>
                <w:t>R$</w:t>
              </w:r>
            </w:hyperlink>
          </w:p>
        </w:tc>
      </w:tr>
    </w:tbl>
    <w:p>
      <w:pPr>
        <w:pStyle w:val="Normal"/>
        <w:numPr>
          <w:ilvl w:val="0"/>
          <w:numId w:val="0"/>
        </w:numPr>
        <w:spacing w:lineRule="auto" w:line="276"/>
        <w:ind w:hanging="0" w:left="0" w:right="0"/>
        <w:rPr>
          <w:rFonts w:ascii="Times New Roman" w:hAnsi="Times New Roman" w:eastAsia="SimSun" w:cs="Times New Roman"/>
          <w:b w:val="false"/>
          <w:bCs w:val="false"/>
          <w:color w:val="000000"/>
          <w:sz w:val="22"/>
          <w:szCs w:val="22"/>
          <w:u w:val="none"/>
          <w:lang w:val="pt-BR" w:eastAsia="pt-BR" w:bidi="ar-SA"/>
        </w:rPr>
      </w:pPr>
      <w:r>
        <w:rPr>
          <w:rFonts w:eastAsia="SimSun" w:cs="Times New Roman" w:ascii="Times New Roman" w:hAnsi="Times New Roman"/>
          <w:b w:val="false"/>
          <w:bCs w:val="false"/>
          <w:color w:val="000000"/>
          <w:sz w:val="22"/>
          <w:szCs w:val="22"/>
          <w:u w:val="none"/>
          <w:lang w:val="pt-BR" w:eastAsia="pt-BR" w:bidi="ar-SA"/>
        </w:rPr>
      </w:r>
    </w:p>
    <w:p>
      <w:pPr>
        <w:pStyle w:val="Normal"/>
        <w:spacing w:lineRule="auto" w:line="276"/>
        <w:jc w:val="both"/>
        <w:rPr/>
      </w:pPr>
      <w:hyperlink r:id="rId42">
        <w:r>
          <w:rPr>
            <w:rStyle w:val="Hyperlink"/>
            <w:rFonts w:cs="Times New Roman" w:ascii="Times New Roman" w:hAnsi="Times New Roman"/>
            <w:b/>
            <w:color w:val="000000"/>
            <w:sz w:val="22"/>
            <w:szCs w:val="22"/>
            <w:u w:val="none"/>
          </w:rPr>
          <w:t>Valor total da proposta R$ XX.XXX,XX  (XXXXXXXXXXXXXXXXXXXXX) em algarismos e por extenso.</w:t>
        </w:r>
      </w:hyperlink>
    </w:p>
    <w:p>
      <w:pPr>
        <w:pStyle w:val="Normal"/>
        <w:numPr>
          <w:ilvl w:val="0"/>
          <w:numId w:val="0"/>
        </w:numPr>
        <w:tabs>
          <w:tab w:val="clear" w:pos="720"/>
          <w:tab w:val="left" w:pos="11781" w:leader="none"/>
          <w:tab w:val="left" w:pos="14994" w:leader="none"/>
        </w:tabs>
        <w:spacing w:lineRule="auto" w:line="276"/>
        <w:ind w:hanging="0" w:left="0" w:right="0"/>
        <w:jc w:val="both"/>
        <w:rPr>
          <w:rFonts w:ascii="Times New Roman" w:hAnsi="Times New Roman" w:eastAsia="SimSun" w:cs="Tahoma"/>
          <w:color w:val="000000"/>
          <w:sz w:val="22"/>
          <w:szCs w:val="22"/>
          <w:u w:val="none"/>
          <w:lang w:val="pt-BR" w:eastAsia="pt-BR" w:bidi="ar-SA"/>
        </w:rPr>
      </w:pPr>
      <w:r>
        <w:rPr>
          <w:rFonts w:eastAsia="SimSun" w:cs="Tahoma" w:ascii="Times New Roman" w:hAnsi="Times New Roman"/>
          <w:color w:val="000000"/>
          <w:sz w:val="22"/>
          <w:szCs w:val="22"/>
          <w:u w:val="none"/>
          <w:lang w:val="pt-BR" w:eastAsia="pt-BR" w:bidi="ar-SA"/>
        </w:rPr>
      </w:r>
    </w:p>
    <w:p>
      <w:pPr>
        <w:pStyle w:val="Normal"/>
        <w:numPr>
          <w:ilvl w:val="0"/>
          <w:numId w:val="0"/>
        </w:numPr>
        <w:tabs>
          <w:tab w:val="clear" w:pos="720"/>
          <w:tab w:val="left" w:pos="11781" w:leader="none"/>
          <w:tab w:val="left" w:pos="14994" w:leader="none"/>
        </w:tabs>
        <w:spacing w:lineRule="auto" w:line="276"/>
        <w:ind w:hanging="0" w:left="0" w:right="0"/>
        <w:jc w:val="both"/>
        <w:rPr/>
      </w:pPr>
      <w:hyperlink r:id="rId43">
        <w:r>
          <w:rPr>
            <w:rStyle w:val="Hyperlink"/>
            <w:rFonts w:eastAsia="Times New Roman" w:cs="Times New Roman" w:ascii="Times New Roman" w:hAnsi="Times New Roman"/>
            <w:color w:val="000000"/>
            <w:sz w:val="22"/>
            <w:szCs w:val="22"/>
            <w:u w:val="none"/>
          </w:rPr>
          <w:t xml:space="preserve">b) </w:t>
        </w:r>
        <w:r>
          <w:rPr>
            <w:rStyle w:val="Hyperlink"/>
            <w:rFonts w:cs="Times New Roman" w:ascii="Times New Roman" w:hAnsi="Times New Roman"/>
            <w:color w:val="000000"/>
            <w:sz w:val="22"/>
            <w:szCs w:val="22"/>
            <w:u w:val="none"/>
          </w:rPr>
          <w:t>Nos preços acima estão incluídos todos os insumos que o compõem, inclusive as despesas com impostos, taxas, frete, seguros, carga e descarga e quaisquer outros que incidam direta ou indiretamente no fornecimento dos materiais desta Licitação;</w:t>
          <w:tab/>
        </w:r>
      </w:hyperlink>
    </w:p>
    <w:p>
      <w:pPr>
        <w:pStyle w:val="Normal"/>
        <w:numPr>
          <w:ilvl w:val="0"/>
          <w:numId w:val="0"/>
        </w:numPr>
        <w:tabs>
          <w:tab w:val="clear" w:pos="720"/>
          <w:tab w:val="left" w:pos="11880" w:leader="none"/>
          <w:tab w:val="left" w:pos="15120" w:leader="none"/>
        </w:tabs>
        <w:spacing w:lineRule="auto" w:line="276"/>
        <w:ind w:hanging="0" w:left="0" w:right="0"/>
        <w:jc w:val="both"/>
        <w:rPr/>
      </w:pPr>
      <w:hyperlink r:id="rId44">
        <w:r>
          <w:rPr>
            <w:rStyle w:val="Hyperlink"/>
            <w:rFonts w:eastAsia="Times New Roman" w:cs="Times New Roman" w:ascii="Times New Roman" w:hAnsi="Times New Roman"/>
            <w:color w:val="auto"/>
            <w:sz w:val="22"/>
            <w:szCs w:val="22"/>
            <w:u w:val="none"/>
          </w:rPr>
          <w:t xml:space="preserve">c) </w:t>
        </w:r>
        <w:r>
          <w:rPr>
            <w:rStyle w:val="Hyperlink"/>
            <w:rFonts w:cs="Times New Roman" w:ascii="Times New Roman" w:hAnsi="Times New Roman"/>
            <w:color w:val="auto"/>
            <w:sz w:val="22"/>
            <w:szCs w:val="22"/>
            <w:u w:val="none"/>
          </w:rPr>
          <w:t>A marca do produto será obrigatória na Proposta de Preços;</w:t>
        </w:r>
      </w:hyperlink>
    </w:p>
    <w:p>
      <w:pPr>
        <w:pStyle w:val="Normal"/>
        <w:numPr>
          <w:ilvl w:val="0"/>
          <w:numId w:val="0"/>
        </w:numPr>
        <w:tabs>
          <w:tab w:val="clear" w:pos="720"/>
          <w:tab w:val="left" w:pos="11880" w:leader="none"/>
          <w:tab w:val="left" w:pos="15120" w:leader="none"/>
        </w:tabs>
        <w:spacing w:lineRule="auto" w:line="276"/>
        <w:ind w:hanging="0" w:left="0" w:right="0"/>
        <w:jc w:val="both"/>
        <w:rPr/>
      </w:pPr>
      <w:r>
        <w:rPr>
          <w:rStyle w:val="Hyperlink"/>
          <w:rFonts w:eastAsia="Times New Roman" w:cs="Times New Roman" w:ascii="Times New Roman" w:hAnsi="Times New Roman"/>
          <w:b w:val="false"/>
          <w:bCs w:val="false"/>
          <w:iCs/>
          <w:color w:val="00000A"/>
          <w:sz w:val="22"/>
          <w:szCs w:val="22"/>
          <w:u w:val="none"/>
          <w:shd w:fill="FFFF00" w:val="clear"/>
          <w:lang w:val="pt-BR"/>
        </w:rPr>
        <w:t xml:space="preserve">d) </w:t>
      </w:r>
      <w:r>
        <w:rPr>
          <w:rStyle w:val="Hyperlink"/>
          <w:rFonts w:eastAsia="Calibri" w:cs="Times New Roman" w:ascii="Times New Roman" w:hAnsi="Times New Roman"/>
          <w:b w:val="false"/>
          <w:bCs w:val="false"/>
          <w:iCs/>
          <w:color w:val="00000A"/>
          <w:sz w:val="22"/>
          <w:szCs w:val="22"/>
          <w:u w:val="none"/>
          <w:shd w:fill="FFFF00" w:val="clear"/>
          <w:lang w:val="pt-BR"/>
        </w:rPr>
        <w:t xml:space="preserve">O prazo de entrega é de até </w:t>
      </w:r>
      <w:r>
        <w:rPr>
          <w:rStyle w:val="Emphasis"/>
          <w:rFonts w:eastAsia="Times New Roman" w:cs="Times New Roman" w:ascii="Times New Roman" w:hAnsi="Times New Roman"/>
          <w:b/>
          <w:bCs/>
          <w:i w:val="false"/>
          <w:iCs w:val="false"/>
          <w:color w:val="00000A"/>
          <w:sz w:val="22"/>
          <w:szCs w:val="22"/>
          <w:u w:val="none"/>
          <w:shd w:fill="FFFF00" w:val="clear"/>
          <w:lang w:val="pt-BR" w:eastAsia="ar-SA"/>
        </w:rPr>
        <w:t>10 (dez) dias úteis</w:t>
      </w:r>
      <w:r>
        <w:rPr>
          <w:rStyle w:val="Emphasis"/>
          <w:rFonts w:eastAsia="Times New Roman" w:cs="Times New Roman" w:ascii="Times New Roman" w:hAnsi="Times New Roman"/>
          <w:b w:val="false"/>
          <w:bCs w:val="false"/>
          <w:i w:val="false"/>
          <w:iCs w:val="false"/>
          <w:color w:val="00000A"/>
          <w:sz w:val="22"/>
          <w:szCs w:val="22"/>
          <w:u w:val="none"/>
          <w:shd w:fill="FFFF00" w:val="clear"/>
          <w:lang w:val="pt-BR" w:eastAsia="ar-SA"/>
        </w:rPr>
        <w:t>,</w:t>
      </w:r>
      <w:r>
        <w:rPr>
          <w:rStyle w:val="Emphasis"/>
          <w:rFonts w:eastAsia="Arial Narrow" w:cs="Arial Narrow" w:ascii="Times New Roman" w:hAnsi="Times New Roman"/>
          <w:b/>
          <w:bCs/>
          <w:i w:val="false"/>
          <w:color w:val="000000"/>
          <w:sz w:val="22"/>
          <w:szCs w:val="22"/>
          <w:u w:val="none"/>
          <w:shd w:fill="FFFF00" w:val="clear"/>
          <w:lang w:val="pt-BR" w:eastAsia="ar-SA"/>
        </w:rPr>
        <w:t xml:space="preserve"> </w:t>
      </w:r>
      <w:r>
        <w:rPr>
          <w:rStyle w:val="Hyperlink"/>
          <w:rFonts w:eastAsia="Calibri" w:cs="Times New Roman" w:ascii="Times New Roman" w:hAnsi="Times New Roman"/>
          <w:b w:val="false"/>
          <w:bCs w:val="false"/>
          <w:iCs/>
          <w:color w:val="00000A"/>
          <w:sz w:val="22"/>
          <w:szCs w:val="22"/>
          <w:u w:val="none"/>
          <w:shd w:fill="FFFF00" w:val="clear"/>
          <w:lang w:val="pt-BR"/>
        </w:rPr>
        <w:t>a contar do recebimento da nota de empenho. A entrega dos materiais será feita de forma parcelada na IMBEL / FI, situado na Av. Cel. Aventino Ribeiro, 1099,  Bairro: Imbel, CEP: 37501-345, Itajubá-MG, sem nenhum ônus para essa Unidade Fabril;</w:t>
      </w:r>
    </w:p>
    <w:p>
      <w:pPr>
        <w:pStyle w:val="Corpodetextorecuado"/>
        <w:numPr>
          <w:ilvl w:val="0"/>
          <w:numId w:val="0"/>
        </w:numPr>
        <w:spacing w:lineRule="auto" w:line="276"/>
        <w:ind w:hanging="0" w:left="0" w:right="0"/>
        <w:rPr/>
      </w:pPr>
      <w:hyperlink r:id="rId45">
        <w:r>
          <w:rPr>
            <w:rStyle w:val="Hyperlink"/>
            <w:rFonts w:eastAsia="Times New Roman" w:cs="Times New Roman" w:ascii="Times New Roman" w:hAnsi="Times New Roman"/>
            <w:b w:val="false"/>
            <w:color w:val="000000"/>
            <w:sz w:val="22"/>
            <w:szCs w:val="22"/>
            <w:u w:val="none"/>
          </w:rPr>
          <w:t xml:space="preserve">e) </w:t>
        </w:r>
        <w:r>
          <w:rPr>
            <w:rStyle w:val="Hyperlink"/>
            <w:rFonts w:cs="Times New Roman" w:ascii="Times New Roman" w:hAnsi="Times New Roman"/>
            <w:b w:val="false"/>
            <w:color w:val="000000"/>
            <w:sz w:val="22"/>
            <w:szCs w:val="22"/>
            <w:u w:val="none"/>
          </w:rPr>
          <w:t>Prazo de validade da proposta: 60 (sessenta) dias.</w:t>
        </w:r>
      </w:hyperlink>
    </w:p>
    <w:p>
      <w:pPr>
        <w:pStyle w:val="Corpodetextorecuado"/>
        <w:numPr>
          <w:ilvl w:val="0"/>
          <w:numId w:val="0"/>
        </w:numPr>
        <w:spacing w:lineRule="auto" w:line="276"/>
        <w:ind w:hanging="0" w:left="0" w:right="0"/>
        <w:rPr/>
      </w:pPr>
      <w:hyperlink r:id="rId46">
        <w:r>
          <w:rPr>
            <w:rStyle w:val="Hyperlink"/>
            <w:rFonts w:cs="Times New Roman" w:ascii="Times New Roman" w:hAnsi="Times New Roman"/>
            <w:b w:val="false"/>
            <w:color w:val="000000"/>
            <w:sz w:val="22"/>
            <w:szCs w:val="22"/>
            <w:u w:val="none"/>
          </w:rPr>
          <w:t>f) Caso nos seja adjudicado o objeto da presente licitação, nos comprometemos receber a nota de empenho no prazo determinado no Edital, indicado para esse fim o Sr. ___________________, Carteira de identidade nº ____________, CPF nº _____________, ________________(função na empresa), como responsável legal desta empresa;</w:t>
        </w:r>
      </w:hyperlink>
    </w:p>
    <w:p>
      <w:pPr>
        <w:pStyle w:val="Corpodetextorecuado"/>
        <w:numPr>
          <w:ilvl w:val="0"/>
          <w:numId w:val="0"/>
        </w:numPr>
        <w:spacing w:lineRule="auto" w:line="276"/>
        <w:ind w:hanging="0" w:left="0" w:right="0"/>
        <w:rPr/>
      </w:pPr>
      <w:hyperlink r:id="rId47">
        <w:r>
          <w:rPr>
            <w:rStyle w:val="Hyperlink"/>
            <w:rFonts w:eastAsia="Times New Roman" w:cs="Times New Roman" w:ascii="Times New Roman" w:hAnsi="Times New Roman"/>
            <w:b w:val="false"/>
            <w:color w:val="000000"/>
            <w:sz w:val="22"/>
            <w:szCs w:val="22"/>
            <w:u w:val="none"/>
          </w:rPr>
          <w:t xml:space="preserve">g) </w:t>
        </w:r>
        <w:r>
          <w:rPr>
            <w:rStyle w:val="Hyperlink"/>
            <w:rFonts w:cs="Times New Roman" w:ascii="Times New Roman" w:hAnsi="Times New Roman"/>
            <w:b w:val="false"/>
            <w:color w:val="000000"/>
            <w:sz w:val="22"/>
            <w:szCs w:val="22"/>
            <w:u w:val="none"/>
          </w:rPr>
          <w:t xml:space="preserve">Dados bancários: (informar banco, agência e conta-corrente); </w:t>
        </w:r>
      </w:hyperlink>
    </w:p>
    <w:p>
      <w:pPr>
        <w:pStyle w:val="Corpodetextorecuado"/>
        <w:numPr>
          <w:ilvl w:val="0"/>
          <w:numId w:val="0"/>
        </w:numPr>
        <w:spacing w:lineRule="auto" w:line="276"/>
        <w:ind w:hanging="0" w:left="0" w:right="0"/>
        <w:rPr/>
      </w:pPr>
      <w:hyperlink r:id="rId48">
        <w:r>
          <w:rPr>
            <w:rStyle w:val="Hyperlink"/>
            <w:rFonts w:eastAsia="Times New Roman" w:cs="Times New Roman" w:ascii="Times New Roman" w:hAnsi="Times New Roman"/>
            <w:b w:val="false"/>
            <w:color w:val="000000"/>
            <w:sz w:val="22"/>
            <w:szCs w:val="22"/>
            <w:u w:val="none"/>
          </w:rPr>
          <w:t xml:space="preserve">h) </w:t>
        </w:r>
        <w:r>
          <w:rPr>
            <w:rStyle w:val="Hyperlink"/>
            <w:rFonts w:cs="Times New Roman" w:ascii="Times New Roman" w:hAnsi="Times New Roman"/>
            <w:b w:val="false"/>
            <w:color w:val="000000"/>
            <w:sz w:val="22"/>
            <w:szCs w:val="22"/>
            <w:u w:val="none"/>
          </w:rPr>
          <w:t>Finalizando, declaramos que estamos de pleno acordo com todas as condições estabelecidas no Edital e seus anexos.</w:t>
        </w:r>
      </w:hyperlink>
    </w:p>
    <w:p>
      <w:pPr>
        <w:pStyle w:val="Normal"/>
        <w:spacing w:lineRule="auto" w:line="276"/>
        <w:jc w:val="center"/>
        <w:rPr/>
      </w:pPr>
      <w:hyperlink r:id="rId49">
        <w:r>
          <w:rPr>
            <w:rStyle w:val="Hyperlink"/>
            <w:rFonts w:cs="Times New Roman" w:ascii="Times New Roman" w:hAnsi="Times New Roman"/>
            <w:color w:val="000000"/>
            <w:sz w:val="22"/>
            <w:szCs w:val="22"/>
            <w:u w:val="none"/>
          </w:rPr>
          <w:t>Local e data</w:t>
        </w:r>
      </w:hyperlink>
    </w:p>
    <w:p>
      <w:pPr>
        <w:pStyle w:val="Normal"/>
        <w:spacing w:lineRule="auto" w:line="276"/>
        <w:jc w:val="center"/>
        <w:rPr/>
      </w:pPr>
      <w:hyperlink r:id="rId50">
        <w:r>
          <w:rPr>
            <w:rStyle w:val="Hyperlink"/>
            <w:rFonts w:cs="Times New Roman" w:ascii="Times New Roman" w:hAnsi="Times New Roman"/>
            <w:color w:val="000000"/>
            <w:sz w:val="22"/>
            <w:szCs w:val="22"/>
            <w:u w:val="none"/>
          </w:rPr>
          <w:t>_____________________________________</w:t>
        </w:r>
      </w:hyperlink>
    </w:p>
    <w:p>
      <w:pPr>
        <w:pStyle w:val="Normal"/>
        <w:spacing w:lineRule="auto" w:line="276"/>
        <w:jc w:val="center"/>
        <w:rPr/>
      </w:pPr>
      <w:hyperlink r:id="rId51">
        <w:r>
          <w:rPr>
            <w:rStyle w:val="Hyperlink"/>
            <w:rFonts w:cs="Times New Roman" w:ascii="Times New Roman" w:hAnsi="Times New Roman"/>
            <w:color w:val="000000"/>
            <w:sz w:val="22"/>
            <w:szCs w:val="22"/>
            <w:u w:val="none"/>
          </w:rPr>
          <w:t>Nome e Cargo do Representante da Empresa</w:t>
        </w:r>
      </w:hyperlink>
    </w:p>
    <w:p>
      <w:pPr>
        <w:sectPr>
          <w:headerReference w:type="even" r:id="rId53"/>
          <w:headerReference w:type="default" r:id="rId54"/>
          <w:headerReference w:type="first" r:id="rId55"/>
          <w:footerReference w:type="even" r:id="rId56"/>
          <w:footerReference w:type="default" r:id="rId57"/>
          <w:footerReference w:type="first" r:id="rId58"/>
          <w:type w:val="nextPage"/>
          <w:pgSz w:w="11906" w:h="16838"/>
          <w:pgMar w:left="1096" w:right="1053" w:gutter="0" w:header="1418" w:top="1694" w:footer="709" w:bottom="1418"/>
          <w:pgNumType w:fmt="decimal"/>
          <w:formProt w:val="false"/>
          <w:textDirection w:val="lrTb"/>
          <w:docGrid w:type="default" w:linePitch="360" w:charSpace="0"/>
        </w:sect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680"/>
        <w:jc w:val="center"/>
        <w:rPr/>
      </w:pPr>
      <w:hyperlink r:id="rId52">
        <w:r>
          <w:rPr>
            <w:rStyle w:val="Hyperlink"/>
            <w:rFonts w:cs="Times New Roman"/>
            <w:b w:val="false"/>
            <w:bCs w:val="false"/>
            <w:color w:val="000000"/>
            <w:u w:val="none"/>
          </w:rPr>
          <w:t>Doc. Identidade nº</w:t>
        </w:r>
      </w:hyperlink>
    </w:p>
    <w:tbl>
      <w:tblPr>
        <w:tblW w:w="9809" w:type="dxa"/>
        <w:jc w:val="left"/>
        <w:tblInd w:w="20" w:type="dxa"/>
        <w:tblLayout w:type="fixed"/>
        <w:tblCellMar>
          <w:top w:w="55" w:type="dxa"/>
          <w:left w:w="4" w:type="dxa"/>
          <w:bottom w:w="55" w:type="dxa"/>
          <w:right w:w="55" w:type="dxa"/>
        </w:tblCellMar>
      </w:tblPr>
      <w:tblGrid>
        <w:gridCol w:w="1335"/>
        <w:gridCol w:w="8473"/>
      </w:tblGrid>
      <w:tr>
        <w:trPr>
          <w:trHeight w:val="1309" w:hRule="atLeast"/>
        </w:trPr>
        <w:tc>
          <w:tcPr>
            <w:tcW w:w="1335" w:type="dxa"/>
            <w:tcBorders>
              <w:top w:val="single" w:sz="2" w:space="0" w:color="000001"/>
              <w:left w:val="single" w:sz="2" w:space="0" w:color="000001"/>
              <w:bottom w:val="single" w:sz="2" w:space="0" w:color="000001"/>
            </w:tcBorders>
            <w:shd w:color="auto" w:fill="FFFFFF" w:val="clear"/>
          </w:tcPr>
          <w:p>
            <w:pPr>
              <w:pStyle w:val="Contedodatabela"/>
              <w:widowControl w:val="false"/>
              <w:spacing w:lineRule="auto" w:line="276"/>
              <w:jc w:val="center"/>
              <w:rPr>
                <w:rFonts w:ascii="Times New Roman" w:hAnsi="Times New Roman"/>
                <w:sz w:val="22"/>
                <w:szCs w:val="22"/>
              </w:rPr>
            </w:pPr>
            <w:r>
              <w:rPr>
                <w:rFonts w:ascii="Times New Roman" w:hAnsi="Times New Roman"/>
                <w:sz w:val="22"/>
                <w:szCs w:val="22"/>
              </w:rPr>
              <w:drawing>
                <wp:anchor behindDoc="0" distT="0" distB="0" distL="0" distR="0" simplePos="0" locked="0" layoutInCell="1" allowOverlap="1" relativeHeight="43">
                  <wp:simplePos x="0" y="0"/>
                  <wp:positionH relativeFrom="column">
                    <wp:posOffset>19685</wp:posOffset>
                  </wp:positionH>
                  <wp:positionV relativeFrom="paragraph">
                    <wp:posOffset>75565</wp:posOffset>
                  </wp:positionV>
                  <wp:extent cx="794385" cy="603250"/>
                  <wp:effectExtent l="0" t="0" r="0" b="0"/>
                  <wp:wrapSquare wrapText="largest"/>
                  <wp:docPr id="9"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1" descr=""/>
                          <pic:cNvPicPr>
                            <a:picLocks noChangeAspect="1" noChangeArrowheads="1"/>
                          </pic:cNvPicPr>
                        </pic:nvPicPr>
                        <pic:blipFill>
                          <a:blip r:embed="rId59"/>
                          <a:stretch>
                            <a:fillRect/>
                          </a:stretch>
                        </pic:blipFill>
                        <pic:spPr bwMode="auto">
                          <a:xfrm>
                            <a:off x="0" y="0"/>
                            <a:ext cx="794385" cy="603250"/>
                          </a:xfrm>
                          <a:prstGeom prst="rect">
                            <a:avLst/>
                          </a:prstGeom>
                        </pic:spPr>
                      </pic:pic>
                    </a:graphicData>
                  </a:graphic>
                </wp:anchor>
              </w:drawing>
            </w:r>
          </w:p>
        </w:tc>
        <w:tc>
          <w:tcPr>
            <w:tcW w:w="8473" w:type="dxa"/>
            <w:tcBorders>
              <w:top w:val="single" w:sz="2" w:space="0" w:color="000001"/>
              <w:left w:val="single" w:sz="2" w:space="0" w:color="000001"/>
              <w:bottom w:val="single" w:sz="2" w:space="0" w:color="000001"/>
              <w:right w:val="single" w:sz="2" w:space="0" w:color="000001"/>
            </w:tcBorders>
            <w:shd w:color="auto" w:fill="FFFFFF" w:val="clear"/>
          </w:tcPr>
          <w:p>
            <w:pPr>
              <w:pStyle w:val="Normal"/>
              <w:widowControl w:val="false"/>
              <w:spacing w:lineRule="auto" w:line="276"/>
              <w:jc w:val="center"/>
              <w:rPr>
                <w:rFonts w:ascii="Times New Roman" w:hAnsi="Times New Roman"/>
                <w:b/>
                <w:color w:val="000000"/>
                <w:sz w:val="22"/>
                <w:szCs w:val="22"/>
              </w:rPr>
            </w:pPr>
            <w:r>
              <w:rPr>
                <w:rFonts w:ascii="Times New Roman" w:hAnsi="Times New Roman"/>
                <w:b/>
                <w:color w:val="000000"/>
                <w:sz w:val="22"/>
                <w:szCs w:val="22"/>
              </w:rPr>
            </w:r>
          </w:p>
          <w:p>
            <w:pPr>
              <w:pStyle w:val="Normal"/>
              <w:widowControl w:val="false"/>
              <w:spacing w:lineRule="auto" w:line="276"/>
              <w:jc w:val="center"/>
              <w:rPr/>
            </w:pPr>
            <w:hyperlink r:id="rId60">
              <w:r>
                <w:rPr>
                  <w:rStyle w:val="Hyperlink"/>
                  <w:rFonts w:ascii="Times New Roman" w:hAnsi="Times New Roman"/>
                  <w:b/>
                  <w:color w:val="000000"/>
                  <w:sz w:val="22"/>
                  <w:szCs w:val="22"/>
                  <w:u w:val="none"/>
                </w:rPr>
                <w:t>INDÚSTRIA DE MATERIAL BÉLICO DO BRASIL – IMBEL</w:t>
              </w:r>
            </w:hyperlink>
          </w:p>
          <w:p>
            <w:pPr>
              <w:pStyle w:val="Normal"/>
              <w:widowControl w:val="false"/>
              <w:spacing w:lineRule="auto" w:line="276"/>
              <w:jc w:val="center"/>
              <w:rPr/>
            </w:pPr>
            <w:hyperlink r:id="rId61">
              <w:r>
                <w:rPr>
                  <w:rStyle w:val="Hyperlink"/>
                  <w:rFonts w:ascii="Times New Roman" w:hAnsi="Times New Roman"/>
                  <w:b/>
                  <w:bCs/>
                  <w:i/>
                  <w:iCs/>
                  <w:color w:val="000000"/>
                  <w:sz w:val="22"/>
                  <w:szCs w:val="22"/>
                  <w:u w:val="none"/>
                </w:rPr>
                <w:t>Vinculada ao Ministério da Defesa por intermédio do</w:t>
              </w:r>
            </w:hyperlink>
          </w:p>
          <w:p>
            <w:pPr>
              <w:pStyle w:val="Normal"/>
              <w:widowControl w:val="false"/>
              <w:spacing w:lineRule="auto" w:line="276"/>
              <w:jc w:val="center"/>
              <w:rPr/>
            </w:pPr>
            <w:hyperlink r:id="rId62">
              <w:r>
                <w:rPr>
                  <w:rStyle w:val="Hyperlink"/>
                  <w:rFonts w:ascii="Times New Roman" w:hAnsi="Times New Roman"/>
                  <w:b/>
                  <w:bCs/>
                  <w:i/>
                  <w:iCs/>
                  <w:color w:val="000000"/>
                  <w:sz w:val="22"/>
                  <w:szCs w:val="22"/>
                  <w:u w:val="none"/>
                </w:rPr>
                <w:t xml:space="preserve"> </w:t>
              </w:r>
              <w:r>
                <w:rPr>
                  <w:rStyle w:val="Hyperlink"/>
                  <w:rFonts w:ascii="Times New Roman" w:hAnsi="Times New Roman"/>
                  <w:b/>
                  <w:bCs/>
                  <w:i/>
                  <w:iCs/>
                  <w:color w:val="000000"/>
                  <w:sz w:val="22"/>
                  <w:szCs w:val="22"/>
                  <w:u w:val="none"/>
                </w:rPr>
                <w:t>Comando do Exército</w:t>
              </w:r>
            </w:hyperlink>
          </w:p>
        </w:tc>
      </w:tr>
    </w:tbl>
    <w:p>
      <w:pPr>
        <w:pStyle w:val="Normal"/>
        <w:numPr>
          <w:ilvl w:val="0"/>
          <w:numId w:val="0"/>
        </w:numPr>
        <w:tabs>
          <w:tab w:val="clear" w:pos="720"/>
          <w:tab w:val="left" w:pos="0" w:leader="none"/>
          <w:tab w:val="left" w:pos="3332" w:leader="none"/>
        </w:tabs>
        <w:spacing w:lineRule="auto" w:line="276"/>
        <w:ind w:hanging="0" w:left="0" w:right="0"/>
        <w:jc w:val="center"/>
        <w:rPr>
          <w:rFonts w:ascii="Times New Roman" w:hAnsi="Times New Roman" w:eastAsia="SimSun" w:cs="Times New Roman"/>
          <w:b w:val="false"/>
          <w:bCs w:val="false"/>
          <w:color w:val="000000"/>
          <w:sz w:val="22"/>
          <w:szCs w:val="22"/>
          <w:u w:val="none"/>
          <w:lang w:val="pt-BR" w:eastAsia="pt-BR" w:bidi="ar-SA"/>
        </w:rPr>
      </w:pPr>
      <w:r>
        <w:rPr>
          <w:rFonts w:eastAsia="SimSun" w:cs="Times New Roman" w:ascii="Times New Roman" w:hAnsi="Times New Roman"/>
          <w:b w:val="false"/>
          <w:bCs w:val="false"/>
          <w:color w:val="000000"/>
          <w:sz w:val="22"/>
          <w:szCs w:val="22"/>
          <w:u w:val="none"/>
          <w:lang w:val="pt-BR" w:eastAsia="pt-BR" w:bidi="ar-SA"/>
        </w:rPr>
      </w:r>
    </w:p>
    <w:p>
      <w:pPr>
        <w:pStyle w:val="Normal"/>
        <w:spacing w:lineRule="auto" w:line="276"/>
        <w:jc w:val="center"/>
        <w:rPr/>
      </w:pPr>
      <w:r>
        <w:rPr>
          <w:rStyle w:val="Hyperlink"/>
          <w:rFonts w:cs="Times New Roman" w:ascii="Times New Roman" w:hAnsi="Times New Roman"/>
          <w:b/>
          <w:bCs/>
          <w:color w:val="000000"/>
          <w:sz w:val="22"/>
          <w:szCs w:val="22"/>
          <w:u w:val="none"/>
        </w:rPr>
        <w:t>ANEXO III</w:t>
      </w:r>
    </w:p>
    <w:p>
      <w:pPr>
        <w:pStyle w:val="Normal"/>
        <w:spacing w:lineRule="auto" w:line="276"/>
        <w:jc w:val="center"/>
        <w:rPr>
          <w:rFonts w:ascii="Times New Roman" w:hAnsi="Times New Roman" w:eastAsia="SimSun" w:cs="Times New Roman"/>
          <w:b/>
          <w:color w:val="000000"/>
          <w:sz w:val="22"/>
          <w:szCs w:val="22"/>
          <w:u w:val="none"/>
          <w:lang w:val="pt-BR" w:eastAsia="pt-BR" w:bidi="ar-SA"/>
        </w:rPr>
      </w:pPr>
      <w:r>
        <w:rPr>
          <w:rFonts w:eastAsia="SimSun" w:cs="Times New Roman" w:ascii="Times New Roman" w:hAnsi="Times New Roman"/>
          <w:b/>
          <w:color w:val="000000"/>
          <w:sz w:val="22"/>
          <w:szCs w:val="22"/>
          <w:u w:val="none"/>
          <w:lang w:val="pt-BR" w:eastAsia="pt-BR" w:bidi="ar-SA"/>
        </w:rPr>
      </w:r>
    </w:p>
    <w:p>
      <w:pPr>
        <w:pStyle w:val="Normal"/>
        <w:spacing w:lineRule="auto" w:line="276"/>
        <w:jc w:val="center"/>
        <w:rPr/>
      </w:pPr>
      <w:r>
        <w:rPr>
          <w:rStyle w:val="Hyperlink"/>
          <w:rFonts w:cs="Times New Roman" w:ascii="Times New Roman" w:hAnsi="Times New Roman"/>
          <w:b/>
          <w:bCs/>
          <w:color w:val="000000"/>
          <w:sz w:val="22"/>
          <w:szCs w:val="22"/>
          <w:u w:val="none"/>
        </w:rPr>
        <w:t>PROCESSO ADMINISTRATIVO N.º 2026PR000090</w:t>
      </w:r>
    </w:p>
    <w:p>
      <w:pPr>
        <w:pStyle w:val="Normal"/>
        <w:spacing w:lineRule="auto" w:line="276"/>
        <w:jc w:val="center"/>
        <w:rPr>
          <w:rFonts w:ascii="Times New Roman" w:hAnsi="Times New Roman" w:eastAsia="SimSun" w:cs="Times New Roman"/>
          <w:b/>
          <w:bCs/>
          <w:color w:val="000000"/>
          <w:sz w:val="22"/>
          <w:szCs w:val="22"/>
          <w:u w:val="none"/>
          <w:lang w:val="pt-BR" w:eastAsia="pt-BR" w:bidi="ar-SA"/>
        </w:rPr>
      </w:pPr>
      <w:r>
        <w:rPr>
          <w:rFonts w:eastAsia="SimSun" w:cs="Times New Roman" w:ascii="Times New Roman" w:hAnsi="Times New Roman"/>
          <w:b/>
          <w:bCs/>
          <w:color w:val="000000"/>
          <w:sz w:val="22"/>
          <w:szCs w:val="22"/>
          <w:u w:val="none"/>
          <w:lang w:val="pt-BR" w:eastAsia="pt-BR" w:bidi="ar-SA"/>
        </w:rPr>
      </w:r>
    </w:p>
    <w:p>
      <w:pPr>
        <w:pStyle w:val="Normal"/>
        <w:spacing w:lineRule="auto" w:line="276"/>
        <w:ind w:firstLine="555"/>
        <w:jc w:val="center"/>
        <w:rPr/>
      </w:pPr>
      <w:r>
        <w:rPr>
          <w:rStyle w:val="Hyperlink"/>
          <w:rFonts w:cs="Times New Roman" w:ascii="Times New Roman" w:hAnsi="Times New Roman"/>
          <w:b/>
          <w:bCs/>
          <w:color w:val="000000"/>
          <w:sz w:val="22"/>
          <w:szCs w:val="22"/>
          <w:u w:val="none"/>
        </w:rPr>
        <w:t>PREGÃO ELETRÔNICO Nº 90090/2026 (SRP)</w:t>
      </w:r>
    </w:p>
    <w:p>
      <w:pPr>
        <w:pStyle w:val="Heading2"/>
        <w:spacing w:lineRule="auto" w:line="276"/>
        <w:rPr>
          <w:rFonts w:ascii="Times New Roman" w:hAnsi="Times New Roman" w:eastAsia="SimSun" w:cs="Times New Roman"/>
          <w:b/>
          <w:color w:val="000000"/>
          <w:sz w:val="22"/>
          <w:szCs w:val="22"/>
          <w:u w:val="none"/>
          <w:lang w:val="pt-BR" w:eastAsia="pt-BR" w:bidi="ar-SA"/>
        </w:rPr>
      </w:pPr>
      <w:r>
        <w:rPr>
          <w:rFonts w:eastAsia="SimSun" w:cs="Times New Roman"/>
          <w:b/>
          <w:color w:val="000000"/>
          <w:sz w:val="22"/>
          <w:szCs w:val="22"/>
          <w:u w:val="none"/>
          <w:lang w:val="pt-BR" w:eastAsia="pt-BR" w:bidi="ar-SA"/>
        </w:rPr>
      </w:r>
    </w:p>
    <w:p>
      <w:pPr>
        <w:pStyle w:val="Heading2"/>
        <w:spacing w:lineRule="auto" w:line="276"/>
        <w:rPr/>
      </w:pPr>
      <w:r>
        <w:rPr>
          <w:rStyle w:val="Hyperlink"/>
          <w:color w:val="000000"/>
          <w:sz w:val="22"/>
          <w:szCs w:val="22"/>
          <w:u w:val="none"/>
        </w:rPr>
        <w:t>VALIDADE: 12 (DOZE) MESES</w:t>
      </w:r>
    </w:p>
    <w:p>
      <w:pPr>
        <w:pStyle w:val="Normal"/>
        <w:spacing w:lineRule="auto" w:line="276"/>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Corpodetextorecuado"/>
        <w:tabs>
          <w:tab w:val="clear" w:pos="720"/>
          <w:tab w:val="left" w:pos="-18691" w:leader="none"/>
        </w:tabs>
        <w:spacing w:lineRule="auto" w:line="276"/>
        <w:ind w:hanging="4253" w:left="4253" w:right="-141"/>
        <w:jc w:val="center"/>
        <w:rPr/>
      </w:pPr>
      <w:r>
        <w:rPr>
          <w:rStyle w:val="Hyperlink"/>
          <w:rFonts w:cs="Times New Roman" w:ascii="Times New Roman" w:hAnsi="Times New Roman"/>
          <w:color w:val="000000"/>
          <w:sz w:val="22"/>
          <w:szCs w:val="22"/>
          <w:u w:val="none"/>
        </w:rPr>
        <w:t>MINUTA DE ATA DE REGISTRO DE PREÇOS</w:t>
      </w:r>
    </w:p>
    <w:p>
      <w:pPr>
        <w:pStyle w:val="Normal"/>
        <w:spacing w:lineRule="auto" w:line="276"/>
        <w:jc w:val="center"/>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spacing w:lineRule="auto" w:line="276"/>
        <w:jc w:val="both"/>
        <w:rPr/>
      </w:pPr>
      <w:r>
        <w:rPr>
          <w:rStyle w:val="Hyperlink"/>
          <w:rFonts w:eastAsia="Times New Roman" w:cs="Times New Roman" w:ascii="Times New Roman" w:hAnsi="Times New Roman"/>
          <w:color w:val="000000"/>
          <w:sz w:val="22"/>
          <w:szCs w:val="22"/>
          <w:u w:val="none"/>
        </w:rPr>
        <w:t xml:space="preserve">        </w:t>
      </w:r>
      <w:r>
        <w:rPr>
          <w:rStyle w:val="Hyperlink"/>
          <w:rFonts w:cs="Times New Roman" w:ascii="Times New Roman" w:hAnsi="Times New Roman"/>
          <w:color w:val="000000"/>
          <w:sz w:val="22"/>
          <w:szCs w:val="22"/>
          <w:u w:val="none"/>
        </w:rPr>
        <w:t xml:space="preserve">Aos ......... dias do mês de ....................... de 2026 na Indústria de Material Bélico – IMBEL - FI – Fábrica Itajubá, sob o CNPJ nº 00.444.232/0007-24, Sediado na Avenida Coronel Aventino Ribeiro, 1099 – B. </w:t>
      </w:r>
      <w:r>
        <w:rPr>
          <w:rStyle w:val="Hyperlink"/>
          <w:rFonts w:cs="Times New Roman" w:ascii="Times New Roman" w:hAnsi="Times New Roman"/>
          <w:color w:val="000000"/>
          <w:sz w:val="22"/>
          <w:szCs w:val="22"/>
          <w:u w:val="none"/>
          <w:shd w:fill="auto" w:val="clear"/>
        </w:rPr>
        <w:t xml:space="preserve">Imbel, em Itajubá-MG, através de seu Pregoeiro, nos termos da Lei nº 14.133, de 1º de abril de 2021, e dos Decretos nº 3.555, de 08 de agosto de 2000, nº 11.462, de 31 de março de 2023, e, das demais normas legais aplicáveis, em face a classificação das propostas apresentadas no Pregão Eletrônico para Registro de Preços nº </w:t>
      </w:r>
      <w:r>
        <w:rPr>
          <w:rStyle w:val="Hyperlink"/>
          <w:rFonts w:cs="Times New Roman" w:ascii="Times New Roman" w:hAnsi="Times New Roman"/>
          <w:b/>
          <w:bCs/>
          <w:color w:val="000000"/>
          <w:sz w:val="22"/>
          <w:szCs w:val="22"/>
          <w:u w:val="none"/>
          <w:shd w:fill="FFFF00" w:val="clear"/>
        </w:rPr>
        <w:t>90090/2026</w:t>
      </w:r>
      <w:r>
        <w:rPr>
          <w:rStyle w:val="Hyperlink"/>
          <w:rFonts w:cs="Times New Roman" w:ascii="Times New Roman" w:hAnsi="Times New Roman"/>
          <w:color w:val="000000"/>
          <w:sz w:val="22"/>
          <w:szCs w:val="22"/>
          <w:u w:val="none"/>
          <w:shd w:fill="FFFF00" w:val="clear"/>
        </w:rPr>
        <w:t>,</w:t>
      </w:r>
      <w:r>
        <w:rPr>
          <w:rStyle w:val="Hyperlink"/>
          <w:rFonts w:cs="Times New Roman" w:ascii="Times New Roman" w:hAnsi="Times New Roman"/>
          <w:color w:val="000000"/>
          <w:sz w:val="22"/>
          <w:szCs w:val="22"/>
          <w:u w:val="none"/>
          <w:shd w:fill="auto" w:val="clear"/>
        </w:rPr>
        <w:t xml:space="preserve"> publicado no Diário Oficial da União e homologado pelo Ordenador, RESOLVE registrar os preços para o fornecimento conforme </w:t>
      </w:r>
      <w:r>
        <w:rPr>
          <w:rStyle w:val="Hyperlink"/>
          <w:rFonts w:cs="Times New Roman" w:ascii="Times New Roman" w:hAnsi="Times New Roman"/>
          <w:b/>
          <w:color w:val="000000"/>
          <w:sz w:val="22"/>
          <w:szCs w:val="22"/>
          <w:u w:val="none"/>
          <w:shd w:fill="auto" w:val="clear"/>
        </w:rPr>
        <w:t xml:space="preserve">Anexo I, </w:t>
      </w:r>
      <w:r>
        <w:rPr>
          <w:rStyle w:val="Hyperlink"/>
          <w:rFonts w:cs="Times New Roman" w:ascii="Times New Roman" w:hAnsi="Times New Roman"/>
          <w:color w:val="000000"/>
          <w:sz w:val="22"/>
          <w:szCs w:val="22"/>
          <w:u w:val="none"/>
          <w:shd w:fill="auto" w:val="clear"/>
        </w:rPr>
        <w:t>da presente Ata, que passa a fazer parte desta, tendo sido, os referidos preços oferecidos pelas empresas cujas propostas foram classificadas em 1º lugar, nos respectivos itens do certame acima numerado.</w:t>
      </w:r>
      <w:r>
        <w:rPr>
          <w:rStyle w:val="Hyperlink"/>
          <w:rFonts w:cs="Times New Roman" w:ascii="Times New Roman" w:hAnsi="Times New Roman"/>
          <w:color w:val="000000"/>
          <w:sz w:val="22"/>
          <w:szCs w:val="22"/>
          <w:u w:val="none"/>
        </w:rPr>
        <w:t xml:space="preserve"> A sequência da classificação das empresas também consta no processo acima.</w:t>
      </w:r>
    </w:p>
    <w:p>
      <w:pPr>
        <w:pStyle w:val="Normal"/>
        <w:spacing w:lineRule="auto" w:line="276"/>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0" w:leader="none"/>
        </w:tabs>
        <w:spacing w:lineRule="auto" w:line="276"/>
        <w:jc w:val="both"/>
        <w:rPr/>
      </w:pPr>
      <w:r>
        <w:rPr>
          <w:rStyle w:val="Hyperlink"/>
          <w:rFonts w:cs="Times New Roman" w:ascii="Times New Roman" w:hAnsi="Times New Roman"/>
          <w:b/>
          <w:bCs/>
          <w:color w:val="000000"/>
          <w:sz w:val="22"/>
          <w:szCs w:val="22"/>
          <w:u w:val="none"/>
        </w:rPr>
        <w:t>Fica designado............................................................, matrícula nº............. como fiscal da presente ATA para verificação do seu fiel cumprimento.</w:t>
      </w:r>
    </w:p>
    <w:p>
      <w:pPr>
        <w:pStyle w:val="Normal"/>
        <w:spacing w:lineRule="auto" w:line="276"/>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WW-Ttulo"/>
        <w:spacing w:lineRule="auto" w:line="276"/>
        <w:jc w:val="both"/>
        <w:rPr/>
      </w:pPr>
      <w:r>
        <w:rPr>
          <w:rStyle w:val="Hyperlink"/>
          <w:rFonts w:cs="Times New Roman" w:ascii="Times New Roman" w:hAnsi="Times New Roman"/>
          <w:color w:val="000000"/>
          <w:sz w:val="22"/>
          <w:szCs w:val="22"/>
          <w:u w:val="none"/>
        </w:rPr>
        <w:t>CLÁUSULA PRIMEIRA – DO OBJETO</w:t>
      </w:r>
    </w:p>
    <w:p>
      <w:pPr>
        <w:pStyle w:val="Corpodetextorecuado"/>
        <w:spacing w:lineRule="auto" w:line="276"/>
        <w:rPr>
          <w:rFonts w:ascii="Times New Roman" w:hAnsi="Times New Roman" w:eastAsia="Verdana" w:cs="Times New Roman"/>
          <w:b w:val="false"/>
          <w:color w:val="000000"/>
          <w:sz w:val="22"/>
          <w:szCs w:val="22"/>
          <w:u w:val="none"/>
          <w:lang w:val="pt-BR" w:eastAsia="pt-BR" w:bidi="ar-SA"/>
        </w:rPr>
      </w:pPr>
      <w:r>
        <w:rPr>
          <w:rFonts w:eastAsia="Verdana" w:cs="Times New Roman" w:ascii="Times New Roman" w:hAnsi="Times New Roman"/>
          <w:b w:val="false"/>
          <w:color w:val="000000"/>
          <w:sz w:val="22"/>
          <w:szCs w:val="22"/>
          <w:u w:val="none"/>
          <w:lang w:val="pt-BR" w:eastAsia="pt-BR" w:bidi="ar-SA"/>
        </w:rPr>
      </w:r>
    </w:p>
    <w:p>
      <w:pPr>
        <w:pStyle w:val="Corpodetextorecuado"/>
        <w:tabs>
          <w:tab w:val="clear" w:pos="720"/>
          <w:tab w:val="left" w:pos="338" w:leader="none"/>
        </w:tabs>
        <w:spacing w:lineRule="auto" w:line="276"/>
        <w:rPr/>
      </w:pPr>
      <w:r>
        <w:rPr>
          <w:rStyle w:val="Hyperlink"/>
          <w:rFonts w:cs="Times New Roman" w:ascii="Times New Roman" w:hAnsi="Times New Roman"/>
          <w:bCs/>
          <w:color w:val="000000"/>
          <w:sz w:val="22"/>
          <w:szCs w:val="22"/>
          <w:u w:val="none"/>
        </w:rPr>
        <w:tab/>
        <w:t>1.1.</w:t>
      </w:r>
      <w:r>
        <w:rPr>
          <w:rStyle w:val="Hyperlink"/>
          <w:rFonts w:cs="Times New Roman" w:ascii="Times New Roman" w:hAnsi="Times New Roman"/>
          <w:b w:val="false"/>
          <w:color w:val="000000"/>
          <w:sz w:val="22"/>
          <w:szCs w:val="22"/>
          <w:u w:val="none"/>
        </w:rPr>
        <w:t xml:space="preserve"> O objeto da presente Ata é o Registro de Preços para futura </w:t>
      </w:r>
      <w:r>
        <w:rPr>
          <w:rStyle w:val="Hyperlink"/>
          <w:rFonts w:eastAsia="Times New Roman" w:cs="Arial" w:ascii="Times New Roman" w:hAnsi="Times New Roman"/>
          <w:b/>
          <w:bCs/>
          <w:color w:val="0000FF"/>
          <w:kern w:val="2"/>
          <w:sz w:val="24"/>
          <w:szCs w:val="24"/>
          <w:u w:val="none"/>
          <w:shd w:fill="auto" w:val="clear"/>
          <w:lang w:val="pt-BR" w:eastAsia="zh-CN" w:bidi="ar-SA"/>
        </w:rPr>
        <w:t>AQUISIÇÃO DE MATERIAIS PARA PROMOVER A SIPAT 2026</w:t>
      </w:r>
      <w:r>
        <w:rPr>
          <w:rStyle w:val="Hyperlink"/>
          <w:rFonts w:eastAsia="Times New Roman" w:cs="Arial" w:ascii="Times New Roman" w:hAnsi="Times New Roman"/>
          <w:b/>
          <w:bCs/>
          <w:color w:val="0000FF"/>
          <w:kern w:val="2"/>
          <w:sz w:val="22"/>
          <w:szCs w:val="22"/>
          <w:highlight w:val="white"/>
          <w:u w:val="none"/>
          <w:shd w:fill="auto" w:val="clear"/>
          <w:lang w:val="pt-BR"/>
        </w:rPr>
        <w:t xml:space="preserve">, </w:t>
      </w:r>
      <w:r>
        <w:rPr>
          <w:rStyle w:val="Hyperlink"/>
          <w:rFonts w:eastAsia="Times New Roman" w:cs="Times New Roman" w:ascii="Times New Roman" w:hAnsi="Times New Roman"/>
          <w:b w:val="false"/>
          <w:bCs w:val="false"/>
          <w:color w:val="000000"/>
          <w:sz w:val="22"/>
          <w:szCs w:val="22"/>
          <w:highlight w:val="white"/>
          <w:u w:val="none"/>
          <w:lang w:val="pt-BR"/>
        </w:rPr>
        <w:t xml:space="preserve">conforme condições, quantidades, exigências e estimativas, estabelecidas </w:t>
      </w:r>
      <w:r>
        <w:rPr>
          <w:rStyle w:val="Hyperlink"/>
          <w:rFonts w:cs="Times New Roman" w:ascii="Times New Roman" w:hAnsi="Times New Roman"/>
          <w:b w:val="false"/>
          <w:color w:val="000000"/>
          <w:sz w:val="22"/>
          <w:szCs w:val="22"/>
          <w:u w:val="none"/>
        </w:rPr>
        <w:t>no Anexo I (Termo de Referência) do Edital.</w:t>
      </w:r>
    </w:p>
    <w:p>
      <w:pPr>
        <w:pStyle w:val="Corpodetextorecuado"/>
        <w:tabs>
          <w:tab w:val="clear" w:pos="720"/>
          <w:tab w:val="left" w:pos="338" w:leader="none"/>
        </w:tabs>
        <w:spacing w:lineRule="auto" w:line="276"/>
        <w:rPr>
          <w:rFonts w:ascii="Times New Roman" w:hAnsi="Times New Roman" w:eastAsia="SimSun" w:cs="Times New Roman"/>
          <w:b w:val="false"/>
          <w:color w:val="000000"/>
          <w:sz w:val="22"/>
          <w:szCs w:val="22"/>
          <w:u w:val="none"/>
          <w:lang w:val="pt-BR" w:eastAsia="pt-BR" w:bidi="ar-SA"/>
        </w:rPr>
      </w:pPr>
      <w:r>
        <w:rPr>
          <w:rFonts w:eastAsia="SimSun" w:cs="Times New Roman" w:ascii="Times New Roman" w:hAnsi="Times New Roman"/>
          <w:b w:val="false"/>
          <w:color w:val="000000"/>
          <w:sz w:val="22"/>
          <w:szCs w:val="22"/>
          <w:u w:val="none"/>
          <w:lang w:val="pt-BR" w:eastAsia="pt-BR" w:bidi="ar-SA"/>
        </w:rPr>
      </w:r>
    </w:p>
    <w:p>
      <w:pPr>
        <w:pStyle w:val="Normal"/>
        <w:tabs>
          <w:tab w:val="clear" w:pos="720"/>
          <w:tab w:val="left" w:pos="3735" w:leader="none"/>
        </w:tabs>
        <w:spacing w:lineRule="auto" w:line="276"/>
        <w:jc w:val="both"/>
        <w:rPr/>
      </w:pPr>
      <w:r>
        <w:rPr>
          <w:rStyle w:val="Hyperlink"/>
          <w:rFonts w:cs="Times New Roman" w:ascii="Times New Roman" w:hAnsi="Times New Roman"/>
          <w:b/>
          <w:color w:val="000000"/>
          <w:sz w:val="22"/>
          <w:szCs w:val="22"/>
          <w:u w:val="none"/>
        </w:rPr>
        <w:t>CLÁUSULA SEGUNDA – DA VALIDADE E DA VIGÊNCIA DOS PREÇOS</w:t>
      </w:r>
    </w:p>
    <w:p>
      <w:pPr>
        <w:pStyle w:val="Normal"/>
        <w:tabs>
          <w:tab w:val="clear" w:pos="720"/>
          <w:tab w:val="left" w:pos="3735" w:leader="none"/>
        </w:tabs>
        <w:spacing w:lineRule="auto" w:line="276"/>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338" w:leader="none"/>
        </w:tabs>
        <w:spacing w:lineRule="auto" w:line="276"/>
        <w:jc w:val="both"/>
        <w:rPr/>
      </w:pPr>
      <w:r>
        <w:rPr>
          <w:rStyle w:val="Hyperlink"/>
          <w:rFonts w:cs="Times New Roman" w:ascii="Times New Roman" w:hAnsi="Times New Roman"/>
          <w:b/>
          <w:color w:val="000000"/>
          <w:sz w:val="22"/>
          <w:szCs w:val="22"/>
          <w:u w:val="none"/>
        </w:rPr>
        <w:tab/>
        <w:t>2.1.</w:t>
      </w:r>
      <w:r>
        <w:rPr>
          <w:rStyle w:val="Hyperlink"/>
          <w:rFonts w:cs="Times New Roman" w:ascii="Times New Roman" w:hAnsi="Times New Roman"/>
          <w:color w:val="000000"/>
          <w:sz w:val="22"/>
          <w:szCs w:val="22"/>
          <w:u w:val="none"/>
        </w:rPr>
        <w:t xml:space="preserve"> A presente Ata de Registro de Preços, documento vinculativo obrigacional, com característica de compromisso para futura contratação, </w:t>
      </w:r>
      <w:r>
        <w:rPr>
          <w:rStyle w:val="Hyperlink"/>
          <w:rFonts w:cs="Times New Roman" w:ascii="Times New Roman" w:hAnsi="Times New Roman"/>
          <w:b/>
          <w:color w:val="000000"/>
          <w:sz w:val="22"/>
          <w:szCs w:val="22"/>
          <w:u w:val="none"/>
        </w:rPr>
        <w:t>a vigência da presente ATA é de 12 (doze) meses, a partir da data de sua assinatura</w:t>
      </w:r>
      <w:r>
        <w:rPr>
          <w:rStyle w:val="Hyperlink"/>
          <w:rFonts w:cs="Times New Roman" w:ascii="Times New Roman" w:hAnsi="Times New Roman"/>
          <w:color w:val="000000"/>
          <w:sz w:val="22"/>
          <w:szCs w:val="22"/>
          <w:u w:val="none"/>
        </w:rPr>
        <w:t>.</w:t>
      </w:r>
    </w:p>
    <w:p>
      <w:pPr>
        <w:pStyle w:val="Normal"/>
        <w:tabs>
          <w:tab w:val="clear" w:pos="720"/>
          <w:tab w:val="left" w:pos="338" w:leader="none"/>
        </w:tabs>
        <w:spacing w:lineRule="auto" w:line="276"/>
        <w:jc w:val="both"/>
        <w:rPr/>
      </w:pPr>
      <w:r>
        <w:rPr>
          <w:rStyle w:val="Hyperlink"/>
          <w:rFonts w:cs="Times New Roman" w:ascii="Times New Roman" w:hAnsi="Times New Roman"/>
          <w:b/>
          <w:color w:val="000000"/>
          <w:sz w:val="22"/>
          <w:szCs w:val="22"/>
          <w:u w:val="none"/>
        </w:rPr>
        <w:tab/>
        <w:t>2.2.</w:t>
      </w:r>
      <w:r>
        <w:rPr>
          <w:rStyle w:val="Hyperlink"/>
          <w:rFonts w:cs="Times New Roman" w:ascii="Times New Roman" w:hAnsi="Times New Roman"/>
          <w:color w:val="000000"/>
          <w:sz w:val="22"/>
          <w:szCs w:val="22"/>
          <w:u w:val="none"/>
        </w:rPr>
        <w:t xml:space="preserve"> Durante o prazo de validade desta Ata de Registro de Preços, a Indústria de Material Bélico – IMBEL/FI – Fábrica Itajubá não será obrigada a adquirir o material referido na Cláusula Primeira exclusivamente pelo Sistema de Registro de Preços, podendo fazê-lo através de outra licitação quando julgar conveniente, sem que caiba recurso ou indenização de qualquer espécie às empresas detentoras, sendo, entretanto, assegurada aos beneficiários do registro, a preferência de fornecimento em igualdade de condições. A IMBEL/FI poderá ainda, cancelar a Ata, na ocorrência de alguma das hipóteses legalmente previstas, garantidos à detentora, neste caso, o contraditório e a ampla defesa.</w:t>
      </w:r>
    </w:p>
    <w:p>
      <w:pPr>
        <w:pStyle w:val="Normal"/>
        <w:tabs>
          <w:tab w:val="clear" w:pos="720"/>
          <w:tab w:val="left" w:pos="0" w:leader="none"/>
          <w:tab w:val="left" w:pos="3735" w:leader="none"/>
        </w:tabs>
        <w:spacing w:lineRule="auto" w:line="276"/>
        <w:jc w:val="both"/>
        <w:rPr>
          <w:rFonts w:ascii="Times New Roman" w:hAnsi="Times New Roman"/>
          <w:sz w:val="22"/>
          <w:szCs w:val="22"/>
        </w:rPr>
      </w:pPr>
      <w:r>
        <w:rPr>
          <w:rFonts w:ascii="Times New Roman" w:hAnsi="Times New Roman"/>
          <w:sz w:val="22"/>
          <w:szCs w:val="22"/>
        </w:rPr>
      </w:r>
    </w:p>
    <w:p>
      <w:pPr>
        <w:pStyle w:val="Heading8"/>
        <w:tabs>
          <w:tab w:val="left" w:pos="0" w:leader="none"/>
          <w:tab w:val="left" w:pos="3735" w:leader="none"/>
        </w:tabs>
        <w:spacing w:lineRule="auto" w:line="276"/>
        <w:rPr/>
      </w:pPr>
      <w:r>
        <w:rPr>
          <w:rStyle w:val="Hyperlink"/>
          <w:rFonts w:cs="Times New Roman" w:ascii="Times New Roman" w:hAnsi="Times New Roman"/>
          <w:color w:val="000000"/>
          <w:sz w:val="22"/>
          <w:szCs w:val="22"/>
          <w:u w:val="none"/>
        </w:rPr>
        <w:t xml:space="preserve">CLÁUSULA TERCEIRA – DA UTILIZAÇÃO DA ATA DE REGISTRO DE PREÇOS </w:t>
      </w:r>
    </w:p>
    <w:p>
      <w:pPr>
        <w:pStyle w:val="Normal"/>
        <w:tabs>
          <w:tab w:val="clear" w:pos="720"/>
          <w:tab w:val="left" w:pos="0" w:leader="none"/>
          <w:tab w:val="left" w:pos="3735" w:leader="none"/>
        </w:tabs>
        <w:spacing w:lineRule="auto" w:line="276"/>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3.1.</w:t>
      </w:r>
      <w:r>
        <w:rPr>
          <w:rStyle w:val="Hyperlink"/>
          <w:rFonts w:cs="Times New Roman" w:ascii="Times New Roman" w:hAnsi="Times New Roman"/>
          <w:color w:val="000000"/>
          <w:sz w:val="22"/>
          <w:szCs w:val="22"/>
          <w:u w:val="none"/>
        </w:rPr>
        <w:t xml:space="preserve"> A presente Ata de Registro de Preços poderá ser utilizada por qualquer órgão ou entidade da Administração  que  não  tenha  participado  deste  certame,  mediante  prévia  consulta  e  anuência  da</w:t>
      </w:r>
    </w:p>
    <w:p>
      <w:pPr>
        <w:pStyle w:val="Normal"/>
        <w:tabs>
          <w:tab w:val="clear" w:pos="720"/>
          <w:tab w:val="left" w:pos="338" w:leader="none"/>
        </w:tabs>
        <w:spacing w:lineRule="auto" w:line="276"/>
        <w:jc w:val="both"/>
        <w:rPr/>
      </w:pPr>
      <w:r>
        <w:rPr>
          <w:rStyle w:val="Hyperlink"/>
          <w:rFonts w:cs="Times New Roman" w:ascii="Times New Roman" w:hAnsi="Times New Roman"/>
          <w:color w:val="000000"/>
          <w:sz w:val="22"/>
          <w:szCs w:val="22"/>
          <w:u w:val="none"/>
        </w:rPr>
        <w:t xml:space="preserve"> </w:t>
      </w:r>
      <w:r>
        <w:rPr>
          <w:rStyle w:val="Hyperlink"/>
          <w:rFonts w:cs="Times New Roman" w:ascii="Times New Roman" w:hAnsi="Times New Roman"/>
          <w:color w:val="000000"/>
          <w:sz w:val="22"/>
          <w:szCs w:val="22"/>
          <w:u w:val="none"/>
        </w:rPr>
        <w:t>IMBEL/FI (órgão gerenciador), desde que devidamente comprovada a v</w:t>
      </w:r>
      <w:r>
        <w:rPr>
          <w:rStyle w:val="Hyperlink"/>
          <w:rFonts w:cs="Times New Roman" w:ascii="Times New Roman" w:hAnsi="Times New Roman"/>
          <w:color w:val="000000"/>
          <w:sz w:val="22"/>
          <w:szCs w:val="22"/>
          <w:u w:val="none"/>
          <w:shd w:fill="auto" w:val="clear"/>
        </w:rPr>
        <w:t>antagem e, respeitadas, no que couber, as condições e as regras estabelecidas na Lei nº 13.303/16, no Decreto nº 11.462/2023, relativas à utilização do Sistema de Registro de Preços.</w:t>
      </w:r>
    </w:p>
    <w:p>
      <w:pPr>
        <w:pStyle w:val="Normal"/>
        <w:tabs>
          <w:tab w:val="clear" w:pos="720"/>
          <w:tab w:val="left" w:pos="338" w:leader="none"/>
        </w:tabs>
        <w:spacing w:lineRule="auto" w:line="276"/>
        <w:jc w:val="both"/>
        <w:rPr/>
      </w:pPr>
      <w:r>
        <w:rPr>
          <w:rStyle w:val="Hyperlink"/>
          <w:rFonts w:cs="Times New Roman" w:ascii="Times New Roman" w:hAnsi="Times New Roman"/>
          <w:b/>
          <w:color w:val="000000"/>
          <w:sz w:val="22"/>
          <w:szCs w:val="22"/>
          <w:u w:val="none"/>
          <w:shd w:fill="auto" w:val="clear"/>
        </w:rPr>
        <w:tab/>
        <w:t>3.2.</w:t>
      </w:r>
      <w:r>
        <w:rPr>
          <w:rStyle w:val="Hyperlink"/>
          <w:rFonts w:cs="Times New Roman" w:ascii="Times New Roman" w:hAnsi="Times New Roman"/>
          <w:color w:val="000000"/>
          <w:sz w:val="22"/>
          <w:szCs w:val="22"/>
          <w:u w:val="none"/>
          <w:shd w:fill="auto" w:val="clear"/>
        </w:rPr>
        <w:t xml:space="preserve"> O preço ofertado pelas empresas signatárias da presente Ata de Registro de Preços é igual ao valor especificado na última proposta negociada com a licitante vencedora, de acordo com a respectiva classificação no Pregão Eletrônico para Registro de Preços nº </w:t>
      </w:r>
      <w:r>
        <w:rPr>
          <w:rStyle w:val="Hyperlink"/>
          <w:rFonts w:cs="Times New Roman" w:ascii="Times New Roman" w:hAnsi="Times New Roman"/>
          <w:b/>
          <w:bCs/>
          <w:color w:val="000000"/>
          <w:sz w:val="22"/>
          <w:szCs w:val="22"/>
          <w:u w:val="none"/>
          <w:shd w:fill="FFFF00" w:val="clear"/>
        </w:rPr>
        <w:t>90090/2026.</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3.3.</w:t>
      </w:r>
      <w:r>
        <w:rPr>
          <w:rStyle w:val="Hyperlink"/>
          <w:rFonts w:cs="Times New Roman" w:ascii="Times New Roman" w:hAnsi="Times New Roman"/>
          <w:color w:val="000000"/>
          <w:sz w:val="22"/>
          <w:szCs w:val="22"/>
          <w:u w:val="none"/>
        </w:rPr>
        <w:t xml:space="preserve"> Em cada fornecimento decorrente desta Ata, serão observadas, quanto ao preço unitário, as cláusulas e condições constantes do Edital do Pregão Eletrônico para Registro de Preços</w:t>
      </w:r>
      <w:r>
        <w:rPr>
          <w:rStyle w:val="Hyperlink"/>
          <w:rFonts w:cs="Times New Roman" w:ascii="Times New Roman" w:hAnsi="Times New Roman"/>
          <w:b/>
          <w:bCs/>
          <w:color w:val="000000"/>
          <w:sz w:val="22"/>
          <w:szCs w:val="22"/>
          <w:u w:val="none"/>
          <w:shd w:fill="FFFF00" w:val="clear"/>
        </w:rPr>
        <w:t xml:space="preserve"> nº 90090/2026</w:t>
      </w:r>
      <w:r>
        <w:rPr>
          <w:rStyle w:val="Hyperlink"/>
          <w:rFonts w:cs="Times New Roman" w:ascii="Times New Roman" w:hAnsi="Times New Roman"/>
          <w:color w:val="000000"/>
          <w:sz w:val="22"/>
          <w:szCs w:val="22"/>
          <w:u w:val="none"/>
        </w:rPr>
        <w:t>, que a precedeu e integra o presente instrumento de compromisso.</w:t>
      </w:r>
    </w:p>
    <w:p>
      <w:pPr>
        <w:pStyle w:val="Normal"/>
        <w:spacing w:lineRule="auto" w:line="276"/>
        <w:rPr>
          <w:rFonts w:ascii="Times New Roman" w:hAnsi="Times New Roman" w:eastAsia="SimSun" w:cs="Times New Roman"/>
          <w:b/>
          <w:bCs/>
          <w:color w:val="000000"/>
          <w:sz w:val="22"/>
          <w:szCs w:val="22"/>
          <w:u w:val="none"/>
          <w:lang w:val="pt-BR" w:eastAsia="pt-BR" w:bidi="ar-SA"/>
        </w:rPr>
      </w:pPr>
      <w:r>
        <w:rPr>
          <w:rFonts w:eastAsia="SimSun" w:cs="Times New Roman" w:ascii="Times New Roman" w:hAnsi="Times New Roman"/>
          <w:b/>
          <w:bCs/>
          <w:color w:val="000000"/>
          <w:sz w:val="22"/>
          <w:szCs w:val="22"/>
          <w:u w:val="none"/>
          <w:lang w:val="pt-BR" w:eastAsia="pt-BR" w:bidi="ar-SA"/>
        </w:rPr>
      </w:r>
    </w:p>
    <w:p>
      <w:pPr>
        <w:pStyle w:val="Normal"/>
        <w:spacing w:lineRule="auto" w:line="276"/>
        <w:rPr/>
      </w:pPr>
      <w:r>
        <w:rPr>
          <w:rStyle w:val="Hyperlink"/>
          <w:rFonts w:cs="Times New Roman" w:ascii="Times New Roman" w:hAnsi="Times New Roman"/>
          <w:b/>
          <w:bCs/>
          <w:color w:val="auto"/>
          <w:sz w:val="22"/>
          <w:szCs w:val="22"/>
          <w:u w:val="none"/>
        </w:rPr>
        <w:t>CLÁUSULA QUARTA – DO LOCAL E PRAZO DE ENTREGA</w:t>
      </w:r>
    </w:p>
    <w:p>
      <w:pPr>
        <w:pStyle w:val="Normal"/>
        <w:tabs>
          <w:tab w:val="clear" w:pos="720"/>
          <w:tab w:val="left" w:pos="3735" w:leader="none"/>
        </w:tabs>
        <w:spacing w:lineRule="auto" w:line="276"/>
        <w:jc w:val="right"/>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338" w:leader="none"/>
        </w:tabs>
        <w:spacing w:lineRule="auto" w:line="276"/>
        <w:jc w:val="both"/>
        <w:rPr/>
      </w:pPr>
      <w:r>
        <w:rPr>
          <w:rStyle w:val="Hyperlink"/>
          <w:rFonts w:eastAsia="Arial Narrow" w:cs="Times New Roman" w:ascii="Times New Roman" w:hAnsi="Times New Roman"/>
          <w:b/>
          <w:bCs/>
          <w:color w:val="000000"/>
          <w:sz w:val="22"/>
          <w:szCs w:val="22"/>
          <w:u w:val="none"/>
          <w:shd w:fill="auto" w:val="clear"/>
        </w:rPr>
        <w:tab/>
        <w:t>4.1.</w:t>
      </w:r>
      <w:r>
        <w:rPr>
          <w:rStyle w:val="Hyperlink"/>
          <w:rFonts w:eastAsia="Arial Narrow" w:cs="Times New Roman" w:ascii="Times New Roman" w:hAnsi="Times New Roman"/>
          <w:b w:val="false"/>
          <w:bCs w:val="false"/>
          <w:color w:val="000000"/>
          <w:sz w:val="22"/>
          <w:szCs w:val="22"/>
          <w:u w:val="none"/>
          <w:shd w:fill="auto" w:val="clear"/>
        </w:rPr>
        <w:t xml:space="preserve"> </w:t>
      </w:r>
      <w:r>
        <w:rPr>
          <w:rStyle w:val="Hyperlink"/>
          <w:rFonts w:eastAsia="Arial-BoldMT" w:cs="Times New Roman" w:ascii="Times New Roman" w:hAnsi="Times New Roman"/>
          <w:b/>
          <w:bCs/>
          <w:i w:val="false"/>
          <w:iCs w:val="false"/>
          <w:color w:val="000000"/>
          <w:sz w:val="22"/>
          <w:szCs w:val="22"/>
          <w:u w:val="none"/>
          <w:shd w:fill="auto" w:val="clear"/>
          <w:lang w:eastAsia="ar-SA"/>
        </w:rPr>
        <w:t>O fornec</w:t>
      </w:r>
      <w:r>
        <w:rPr>
          <w:rStyle w:val="Hyperlink"/>
          <w:rFonts w:eastAsia="Arial-BoldMT" w:cs="Times New Roman" w:ascii="Times New Roman" w:hAnsi="Times New Roman"/>
          <w:b/>
          <w:bCs/>
          <w:i w:val="false"/>
          <w:iCs w:val="false"/>
          <w:color w:val="000000"/>
          <w:sz w:val="22"/>
          <w:szCs w:val="22"/>
          <w:highlight w:val="white"/>
          <w:u w:val="none"/>
          <w:shd w:fill="FFFFFF" w:val="clear"/>
          <w:lang w:eastAsia="ar-SA"/>
        </w:rPr>
        <w:t xml:space="preserve">edor para qual for adjudicado o objeto desta licitação, deverá entregar os materiais na </w:t>
      </w:r>
      <w:r>
        <w:rPr>
          <w:rStyle w:val="Hyperlink"/>
          <w:rFonts w:eastAsia="Arial-BoldMT" w:cs="Times New Roman" w:ascii="Times New Roman" w:hAnsi="Times New Roman"/>
          <w:b w:val="false"/>
          <w:bCs w:val="false"/>
          <w:i w:val="false"/>
          <w:iCs w:val="false"/>
          <w:color w:val="000000"/>
          <w:sz w:val="22"/>
          <w:szCs w:val="22"/>
          <w:highlight w:val="white"/>
          <w:u w:val="none"/>
          <w:shd w:fill="FFFFFF" w:val="clear"/>
          <w:lang w:eastAsia="ar-SA"/>
        </w:rPr>
        <w:t>Indústria de Material Bélico do Brasil – IMBEL/FI – Av. Cel. Aventino Ribeiro, 1.099, Bairro Imbel, Itajubá-MG, CEP: 37.501-345,</w:t>
      </w:r>
      <w:r>
        <w:rPr>
          <w:rStyle w:val="Hyperlink"/>
          <w:rFonts w:eastAsia="Arial-BoldMT" w:cs="Times New Roman" w:ascii="Times New Roman" w:hAnsi="Times New Roman"/>
          <w:b/>
          <w:bCs/>
          <w:i w:val="false"/>
          <w:iCs w:val="false"/>
          <w:color w:val="000000"/>
          <w:sz w:val="22"/>
          <w:szCs w:val="22"/>
          <w:highlight w:val="white"/>
          <w:u w:val="none"/>
          <w:shd w:fill="FFFFFF" w:val="clear"/>
          <w:lang w:eastAsia="ar-SA"/>
        </w:rPr>
        <w:t xml:space="preserve"> </w:t>
      </w:r>
      <w:r>
        <w:rPr>
          <w:rStyle w:val="Emphasis"/>
          <w:rFonts w:eastAsia="Arial Narrow" w:cs="Arial Narrow" w:ascii="Times New Roman" w:hAnsi="Times New Roman"/>
          <w:b/>
          <w:bCs/>
          <w:i w:val="false"/>
          <w:color w:val="000000"/>
          <w:sz w:val="22"/>
          <w:szCs w:val="22"/>
          <w:highlight w:val="white"/>
          <w:u w:val="none"/>
          <w:shd w:fill="FFFFFF" w:val="clear"/>
          <w:lang w:eastAsia="ar-SA"/>
        </w:rPr>
        <w:t xml:space="preserve">dispondo o contratado do prazo de </w:t>
      </w:r>
      <w:r>
        <w:rPr>
          <w:rStyle w:val="Emphasis"/>
          <w:rFonts w:eastAsia="Arial Narrow" w:cs="Arial Narrow" w:ascii="Times New Roman" w:hAnsi="Times New Roman"/>
          <w:b/>
          <w:bCs/>
          <w:i w:val="false"/>
          <w:color w:val="000000"/>
          <w:sz w:val="22"/>
          <w:szCs w:val="22"/>
          <w:u w:val="none"/>
          <w:shd w:fill="FFFF00" w:val="clear"/>
          <w:lang w:eastAsia="ar-SA"/>
        </w:rPr>
        <w:t xml:space="preserve">até </w:t>
      </w:r>
      <w:r>
        <w:rPr>
          <w:rStyle w:val="Emphasis"/>
          <w:rFonts w:eastAsia="Times New Roman" w:cs="Times New Roman" w:ascii="Times New Roman" w:hAnsi="Times New Roman"/>
          <w:b/>
          <w:bCs/>
          <w:i w:val="false"/>
          <w:iCs w:val="false"/>
          <w:color w:val="000000"/>
          <w:sz w:val="22"/>
          <w:szCs w:val="22"/>
          <w:u w:val="none"/>
          <w:shd w:fill="FFFF00" w:val="clear"/>
          <w:lang w:eastAsia="ar-SA"/>
        </w:rPr>
        <w:t>10 (dez) dias úteis</w:t>
      </w:r>
      <w:r>
        <w:rPr>
          <w:rStyle w:val="Emphasis"/>
          <w:rFonts w:eastAsia="Arial Narrow" w:cs="Arial Narrow" w:ascii="Times New Roman" w:hAnsi="Times New Roman"/>
          <w:b/>
          <w:bCs/>
          <w:i w:val="false"/>
          <w:color w:val="000000"/>
          <w:sz w:val="22"/>
          <w:szCs w:val="22"/>
          <w:highlight w:val="white"/>
          <w:u w:val="none"/>
          <w:shd w:fill="auto" w:val="clear"/>
          <w:lang w:eastAsia="ar-SA"/>
        </w:rPr>
        <w:t>, para a entrega.</w:t>
      </w:r>
    </w:p>
    <w:p>
      <w:pPr>
        <w:pStyle w:val="Normal"/>
        <w:tabs>
          <w:tab w:val="clear" w:pos="720"/>
          <w:tab w:val="left" w:pos="338" w:leader="none"/>
        </w:tabs>
        <w:spacing w:lineRule="auto" w:line="276"/>
        <w:jc w:val="both"/>
        <w:rPr>
          <w:rStyle w:val="Emphasis"/>
          <w:rFonts w:ascii="Times New Roman" w:hAnsi="Times New Roman" w:eastAsia="Times New Roman" w:cs="Times New Roman"/>
          <w:b w:val="false"/>
          <w:bCs w:val="false"/>
          <w:i w:val="false"/>
          <w:i w:val="false"/>
          <w:iCs w:val="false"/>
          <w:color w:val="00000A"/>
          <w:sz w:val="22"/>
          <w:szCs w:val="22"/>
          <w:u w:val="none"/>
          <w:shd w:fill="FFFF00" w:val="clear"/>
          <w:lang w:val="pt-BR" w:eastAsia="ar-SA"/>
        </w:rPr>
      </w:pPr>
      <w:r>
        <w:rPr>
          <w:rFonts w:eastAsia="Times New Roman" w:cs="Times New Roman" w:ascii="Times New Roman" w:hAnsi="Times New Roman"/>
          <w:b w:val="false"/>
          <w:bCs w:val="false"/>
          <w:i w:val="false"/>
          <w:iCs w:val="false"/>
          <w:color w:val="00000A"/>
          <w:sz w:val="22"/>
          <w:szCs w:val="22"/>
          <w:u w:val="none"/>
          <w:shd w:fill="FFFF00" w:val="clear"/>
          <w:lang w:val="pt-BR" w:eastAsia="ar-SA"/>
        </w:rPr>
      </w:r>
    </w:p>
    <w:p>
      <w:pPr>
        <w:pStyle w:val="Normal"/>
        <w:tabs>
          <w:tab w:val="clear" w:pos="720"/>
          <w:tab w:val="left" w:pos="338" w:leader="none"/>
        </w:tabs>
        <w:spacing w:lineRule="auto" w:line="276"/>
        <w:jc w:val="both"/>
        <w:rPr>
          <w:rFonts w:ascii="Times New Roman" w:hAnsi="Times New Roman" w:eastAsia="SimSun" w:cs="Times New Roman"/>
          <w:color w:val="000000"/>
          <w:sz w:val="22"/>
          <w:szCs w:val="22"/>
          <w:highlight w:val="none"/>
          <w:u w:val="none"/>
          <w:shd w:fill="FFFF00" w:val="clear"/>
          <w:lang w:val="pt-BR" w:eastAsia="pt-BR" w:bidi="ar-SA"/>
        </w:rPr>
      </w:pPr>
      <w:r>
        <w:rPr>
          <w:rFonts w:eastAsia="SimSun" w:cs="Times New Roman" w:ascii="Times New Roman" w:hAnsi="Times New Roman"/>
          <w:color w:val="000000"/>
          <w:sz w:val="22"/>
          <w:szCs w:val="22"/>
          <w:u w:val="none"/>
          <w:shd w:fill="FFFF00" w:val="clear"/>
          <w:lang w:val="pt-BR" w:eastAsia="pt-BR" w:bidi="ar-SA"/>
        </w:rPr>
      </w:r>
    </w:p>
    <w:p>
      <w:pPr>
        <w:pStyle w:val="Normal"/>
        <w:spacing w:lineRule="auto" w:line="276"/>
        <w:rPr/>
      </w:pPr>
      <w:r>
        <w:rPr>
          <w:rStyle w:val="Hyperlink"/>
          <w:rFonts w:cs="Times New Roman" w:ascii="Times New Roman" w:hAnsi="Times New Roman"/>
          <w:b/>
          <w:bCs/>
          <w:color w:val="000000"/>
          <w:sz w:val="22"/>
          <w:szCs w:val="22"/>
          <w:u w:val="none"/>
        </w:rPr>
        <w:t>CLÁUSULA QUINTA – DO PAGAMENTO</w:t>
      </w:r>
    </w:p>
    <w:p>
      <w:pPr>
        <w:pStyle w:val="Normal"/>
        <w:spacing w:lineRule="auto" w:line="276"/>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5.1</w:t>
      </w:r>
      <w:r>
        <w:rPr>
          <w:rStyle w:val="Hyperlink"/>
          <w:rFonts w:cs="Times New Roman" w:ascii="Times New Roman" w:hAnsi="Times New Roman"/>
          <w:b/>
          <w:bCs/>
          <w:color w:val="000000"/>
          <w:sz w:val="22"/>
          <w:szCs w:val="22"/>
          <w:u w:val="none"/>
          <w:shd w:fill="auto" w:val="clear"/>
        </w:rPr>
        <w:t>.</w:t>
      </w:r>
      <w:r>
        <w:rPr>
          <w:rStyle w:val="Hyperlink"/>
          <w:rFonts w:cs="Times New Roman" w:ascii="Times New Roman" w:hAnsi="Times New Roman"/>
          <w:color w:val="000000"/>
          <w:sz w:val="22"/>
          <w:szCs w:val="22"/>
          <w:u w:val="none"/>
          <w:shd w:fill="auto" w:val="clear"/>
        </w:rPr>
        <w:t xml:space="preserve"> </w:t>
      </w:r>
      <w:r>
        <w:rPr>
          <w:rStyle w:val="Hyperlink1"/>
          <w:rFonts w:cs="Times New Roman" w:ascii="Times New Roman" w:hAnsi="Times New Roman"/>
          <w:color w:val="000000"/>
          <w:sz w:val="22"/>
          <w:szCs w:val="22"/>
          <w:u w:val="none"/>
          <w:shd w:fill="auto" w:val="clear"/>
        </w:rPr>
        <w:t>Os pagamentos serão feitos, por crédito em conta bancária, conforme tabela constante no item 13 do Anexo I, após cada entrega dos materiais, no prazo de até 30 (trinta) dias, contados a partir da data final do período de adimplemento, mediante apresentação, aceitação e atesto do responsável pelo recebimento dos materiais nos documentos hábeis de cobrança.</w:t>
      </w:r>
    </w:p>
    <w:p>
      <w:pPr>
        <w:pStyle w:val="Normal"/>
        <w:tabs>
          <w:tab w:val="clear" w:pos="720"/>
          <w:tab w:val="left" w:pos="622" w:leader="none"/>
        </w:tabs>
        <w:spacing w:lineRule="auto" w:line="276"/>
        <w:jc w:val="both"/>
        <w:rPr/>
      </w:pPr>
      <w:r>
        <w:rPr>
          <w:rStyle w:val="Hyperlink"/>
          <w:rFonts w:cs="Times New Roman" w:ascii="Times New Roman" w:hAnsi="Times New Roman"/>
          <w:b/>
          <w:bCs/>
          <w:color w:val="000000"/>
          <w:sz w:val="22"/>
          <w:szCs w:val="22"/>
          <w:u w:val="none"/>
        </w:rPr>
        <w:tab/>
        <w:t>5.1.1.</w:t>
      </w:r>
      <w:r>
        <w:rPr>
          <w:rStyle w:val="Hyperlink"/>
          <w:rFonts w:cs="Times New Roman" w:ascii="Times New Roman" w:hAnsi="Times New Roman"/>
          <w:color w:val="000000"/>
          <w:sz w:val="22"/>
          <w:szCs w:val="22"/>
          <w:u w:val="none"/>
        </w:rPr>
        <w:t xml:space="preserve"> Para execução do pagamento de que trata o </w:t>
      </w:r>
      <w:r>
        <w:rPr>
          <w:rStyle w:val="Hyperlink"/>
          <w:rFonts w:cs="Times New Roman" w:ascii="Times New Roman" w:hAnsi="Times New Roman"/>
          <w:b/>
          <w:color w:val="000000"/>
          <w:sz w:val="22"/>
          <w:szCs w:val="22"/>
          <w:u w:val="none"/>
        </w:rPr>
        <w:t xml:space="preserve">item 5.1 </w:t>
      </w:r>
      <w:r>
        <w:rPr>
          <w:rStyle w:val="Hyperlink"/>
          <w:rFonts w:cs="Times New Roman" w:ascii="Times New Roman" w:hAnsi="Times New Roman"/>
          <w:color w:val="000000"/>
          <w:sz w:val="22"/>
          <w:szCs w:val="22"/>
          <w:u w:val="none"/>
        </w:rPr>
        <w:t>desta Ata, a licitante vencedora deverá fazer constar da Nota Fiscal correspondente, emitida, sem rasura, em letra bem legível em nome da Indústria de Material Bélico do Brasil, CNPJ nº sob o CNPJ nº 00.444.232/0007-24, o nome do Banco, o número de sua conta bancária e a respectiva Agência.</w:t>
      </w:r>
    </w:p>
    <w:p>
      <w:pPr>
        <w:pStyle w:val="Normal"/>
        <w:tabs>
          <w:tab w:val="clear" w:pos="720"/>
          <w:tab w:val="left" w:pos="622" w:leader="none"/>
        </w:tabs>
        <w:spacing w:lineRule="auto" w:line="276"/>
        <w:jc w:val="both"/>
        <w:rPr/>
      </w:pPr>
      <w:r>
        <w:rPr>
          <w:rStyle w:val="Hyperlink"/>
          <w:rFonts w:cs="Times New Roman" w:ascii="Times New Roman" w:hAnsi="Times New Roman"/>
          <w:color w:val="000000"/>
          <w:sz w:val="22"/>
          <w:szCs w:val="22"/>
          <w:u w:val="none"/>
        </w:rPr>
        <w:tab/>
      </w:r>
      <w:r>
        <w:rPr>
          <w:rStyle w:val="Hyperlink"/>
          <w:rFonts w:cs="Times New Roman" w:ascii="Times New Roman" w:hAnsi="Times New Roman"/>
          <w:b/>
          <w:bCs/>
          <w:color w:val="000000"/>
          <w:sz w:val="22"/>
          <w:szCs w:val="22"/>
          <w:u w:val="none"/>
        </w:rPr>
        <w:t>5.1.2.</w:t>
      </w:r>
      <w:r>
        <w:rPr>
          <w:rStyle w:val="Hyperlink"/>
          <w:rFonts w:cs="Times New Roman" w:ascii="Times New Roman" w:hAnsi="Times New Roman"/>
          <w:color w:val="000000"/>
          <w:sz w:val="22"/>
          <w:szCs w:val="22"/>
          <w:u w:val="none"/>
        </w:rPr>
        <w:t xml:space="preserve"> Caso a licitante vencedora seja optante pelo Sistema Integrado de Pagamento de Impostos e Contribuições das Empresas de Pequeno Porte – SIMPLES, deverá apresentar, acompanhado da Nota Fiscal, a devida comprovação, a fim de evitar a retenção na fonte dos tributos e contribuições, conforme legislação em vigor.</w:t>
      </w:r>
    </w:p>
    <w:p>
      <w:pPr>
        <w:pStyle w:val="Normal"/>
        <w:tabs>
          <w:tab w:val="clear" w:pos="720"/>
          <w:tab w:val="left" w:pos="622" w:leader="none"/>
        </w:tabs>
        <w:spacing w:lineRule="auto" w:line="276"/>
        <w:jc w:val="both"/>
        <w:rPr/>
      </w:pPr>
      <w:r>
        <w:rPr>
          <w:rStyle w:val="Hyperlink"/>
          <w:rFonts w:cs="Times New Roman" w:ascii="Times New Roman" w:hAnsi="Times New Roman"/>
          <w:color w:val="000000"/>
          <w:sz w:val="22"/>
          <w:szCs w:val="22"/>
          <w:u w:val="none"/>
        </w:rPr>
        <w:tab/>
      </w:r>
      <w:r>
        <w:rPr>
          <w:rStyle w:val="Hyperlink"/>
          <w:rFonts w:cs="Times New Roman" w:ascii="Times New Roman" w:hAnsi="Times New Roman"/>
          <w:b/>
          <w:bCs/>
          <w:color w:val="000000"/>
          <w:sz w:val="22"/>
          <w:szCs w:val="22"/>
          <w:u w:val="none"/>
        </w:rPr>
        <w:t>5.1.3.</w:t>
      </w:r>
      <w:r>
        <w:rPr>
          <w:rStyle w:val="Hyperlink"/>
          <w:rFonts w:cs="Times New Roman" w:ascii="Times New Roman" w:hAnsi="Times New Roman"/>
          <w:color w:val="000000"/>
          <w:sz w:val="22"/>
          <w:szCs w:val="22"/>
          <w:u w:val="none"/>
        </w:rPr>
        <w:t xml:space="preserve"> A Nota Fiscal correspondente deverá ser entregue, pela licitante vencedora, diretamente ao Gestor da Ata de Registro de Preços que somente atestará o fornecimento e liberará a referida Nota Fiscal para pagamento, quando cumpridas, pela licitante vencedora, todas as condições pactuadas.</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5.2.</w:t>
      </w:r>
      <w:r>
        <w:rPr>
          <w:rStyle w:val="Hyperlink"/>
          <w:rFonts w:cs="Times New Roman" w:ascii="Times New Roman" w:hAnsi="Times New Roman"/>
          <w:color w:val="000000"/>
          <w:sz w:val="22"/>
          <w:szCs w:val="22"/>
          <w:u w:val="none"/>
        </w:rPr>
        <w:t xml:space="preserve"> Havendo erro na Nota Fiscal ou circunstância que impeça a liquidação da despesa, aquela será devolvida à licitante vencedora, pelo Gestor da Ata de Registro de Preços e o pagamento ficará pendente até que a mesma providencie as medidas saneadoras. Nesta hipótese, o prazo para pagamento iniciar-se-á após a regularização da situação ou reapresentação do documento fiscal não acarretando qualquer ônus para a IMBEL - FI.</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 xml:space="preserve">5.3. </w:t>
      </w:r>
      <w:r>
        <w:rPr>
          <w:rStyle w:val="Hyperlink"/>
          <w:rFonts w:cs="Times New Roman" w:ascii="Times New Roman" w:hAnsi="Times New Roman"/>
          <w:color w:val="000000"/>
          <w:sz w:val="22"/>
          <w:szCs w:val="22"/>
          <w:u w:val="none"/>
        </w:rPr>
        <w:t xml:space="preserve">A liberação dos pagamentos ficará condicionada após verificação prévia a comprovação de regularidade da licitante vencedora junto ao Sistema de Cadastramento Unificado de Fornecedores – SICAF, por meio de consulta “on-line” feita pela IMBEL – FI, ou mediante a apresentação da documentação obrigatória de regularidade fiscal perante (RECEITA FEDERAL, DÍVIDA ATIVA DA UNIÃO, FGTS e INSS), e </w:t>
      </w:r>
      <w:r>
        <w:rPr>
          <w:rStyle w:val="Hyperlink"/>
          <w:rFonts w:eastAsia="Times New Roman" w:cs="Times New Roman" w:ascii="Times New Roman" w:hAnsi="Times New Roman"/>
          <w:color w:val="000000"/>
          <w:sz w:val="22"/>
          <w:szCs w:val="22"/>
          <w:u w:val="none"/>
        </w:rPr>
        <w:t>no portal do TST, quanto à Certidão Negativa de Dívidas Trabalhistas; no portal do CNJ, quanto à condenação por Improbidade Administrativa; ao CADIN; ao Portal da Transparência; ao Portal da Transparência/CEIS, e ao Portal do TCU, para a verificação de empresa inidônea, devendo a contratada estar com toda a sua documentação obrigatória válida.</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5.4.</w:t>
      </w:r>
      <w:r>
        <w:rPr>
          <w:rStyle w:val="Hyperlink"/>
          <w:rFonts w:cs="Times New Roman" w:ascii="Times New Roman" w:hAnsi="Times New Roman"/>
          <w:color w:val="000000"/>
          <w:sz w:val="22"/>
          <w:szCs w:val="22"/>
          <w:u w:val="none"/>
        </w:rPr>
        <w:t xml:space="preserve"> Diante da ocorrência de eventuais atrasos de pagamento provocados exclusivamente pela IMBEL, o valor devido deverá ser acrescido de atualização financeira, e sua apuração se fará desde a data do vencimento da fatura até a data do efetivo pagamento, em que os juros de mora serão calculados à taxa de 0,5% (meio por cento) ao mês, ou 6% (seis por cento) ao ano, mediante aplicação das seguintes fórmulas:</w:t>
      </w:r>
    </w:p>
    <w:p>
      <w:pPr>
        <w:pStyle w:val="Normal"/>
        <w:tabs>
          <w:tab w:val="clear" w:pos="720"/>
          <w:tab w:val="left" w:pos="338" w:leader="none"/>
        </w:tabs>
        <w:spacing w:lineRule="auto" w:line="276"/>
        <w:ind w:hanging="0" w:left="-284"/>
        <w:jc w:val="both"/>
        <w:rPr/>
      </w:pPr>
      <w:r>
        <w:rPr>
          <w:rStyle w:val="Hyperlink"/>
          <w:rFonts w:cs="Times New Roman" w:ascii="Times New Roman" w:hAnsi="Times New Roman"/>
          <w:color w:val="000000"/>
          <w:sz w:val="22"/>
          <w:szCs w:val="22"/>
          <w:u w:val="none"/>
        </w:rPr>
        <w:tab/>
        <w:t xml:space="preserve">I = (TX/100)/365 </w:t>
      </w:r>
    </w:p>
    <w:p>
      <w:pPr>
        <w:pStyle w:val="Normal"/>
        <w:tabs>
          <w:tab w:val="clear" w:pos="720"/>
          <w:tab w:val="left" w:pos="338" w:leader="none"/>
        </w:tabs>
        <w:spacing w:lineRule="auto" w:line="276"/>
        <w:ind w:hanging="0" w:left="-284"/>
        <w:jc w:val="both"/>
        <w:rPr/>
      </w:pPr>
      <w:r>
        <w:rPr>
          <w:rStyle w:val="Hyperlink"/>
          <w:rFonts w:cs="Times New Roman" w:ascii="Times New Roman" w:hAnsi="Times New Roman"/>
          <w:color w:val="000000"/>
          <w:sz w:val="22"/>
          <w:szCs w:val="22"/>
          <w:u w:val="none"/>
        </w:rPr>
        <w:tab/>
        <w:t>EM = I x N x VP, onde:</w:t>
      </w:r>
    </w:p>
    <w:p>
      <w:pPr>
        <w:pStyle w:val="Normal"/>
        <w:tabs>
          <w:tab w:val="clear" w:pos="720"/>
          <w:tab w:val="left" w:pos="338" w:leader="none"/>
        </w:tabs>
        <w:spacing w:lineRule="auto" w:line="276"/>
        <w:ind w:hanging="0" w:left="-284"/>
        <w:jc w:val="both"/>
        <w:rPr/>
      </w:pPr>
      <w:r>
        <w:rPr>
          <w:rStyle w:val="Hyperlink"/>
          <w:rFonts w:eastAsia="Times New Roman" w:cs="Times New Roman" w:ascii="Times New Roman" w:hAnsi="Times New Roman"/>
          <w:color w:val="000000"/>
          <w:sz w:val="22"/>
          <w:szCs w:val="22"/>
          <w:u w:val="none"/>
        </w:rPr>
        <w:t xml:space="preserve"> </w:t>
      </w:r>
      <w:r>
        <w:rPr>
          <w:rStyle w:val="Hyperlink"/>
          <w:rFonts w:cs="Times New Roman" w:ascii="Times New Roman" w:hAnsi="Times New Roman"/>
          <w:color w:val="000000"/>
          <w:sz w:val="22"/>
          <w:szCs w:val="22"/>
          <w:u w:val="none"/>
        </w:rPr>
        <w:tab/>
        <w:t xml:space="preserve">I = Índice de atualização financeira; </w:t>
      </w:r>
    </w:p>
    <w:p>
      <w:pPr>
        <w:pStyle w:val="Normal"/>
        <w:tabs>
          <w:tab w:val="clear" w:pos="720"/>
          <w:tab w:val="left" w:pos="338" w:leader="none"/>
        </w:tabs>
        <w:spacing w:lineRule="auto" w:line="276"/>
        <w:ind w:hanging="0" w:left="-284"/>
        <w:jc w:val="both"/>
        <w:rPr/>
      </w:pPr>
      <w:r>
        <w:rPr>
          <w:rStyle w:val="Hyperlink"/>
          <w:rFonts w:cs="Times New Roman" w:ascii="Times New Roman" w:hAnsi="Times New Roman"/>
          <w:color w:val="000000"/>
          <w:sz w:val="22"/>
          <w:szCs w:val="22"/>
          <w:u w:val="none"/>
        </w:rPr>
        <w:tab/>
        <w:t xml:space="preserve">TX = Percentual da taxa de juros de mora anual; </w:t>
      </w:r>
    </w:p>
    <w:p>
      <w:pPr>
        <w:pStyle w:val="Normal"/>
        <w:tabs>
          <w:tab w:val="clear" w:pos="720"/>
          <w:tab w:val="left" w:pos="338" w:leader="none"/>
        </w:tabs>
        <w:spacing w:lineRule="auto" w:line="276"/>
        <w:ind w:hanging="0" w:left="-284"/>
        <w:jc w:val="both"/>
        <w:rPr/>
      </w:pPr>
      <w:r>
        <w:rPr>
          <w:rStyle w:val="Hyperlink"/>
          <w:rFonts w:cs="Times New Roman" w:ascii="Times New Roman" w:hAnsi="Times New Roman"/>
          <w:color w:val="000000"/>
          <w:sz w:val="22"/>
          <w:szCs w:val="22"/>
          <w:u w:val="none"/>
        </w:rPr>
        <w:tab/>
        <w:t xml:space="preserve">EM = Encargos moratórios; </w:t>
      </w:r>
    </w:p>
    <w:p>
      <w:pPr>
        <w:pStyle w:val="Normal"/>
        <w:tabs>
          <w:tab w:val="clear" w:pos="720"/>
          <w:tab w:val="left" w:pos="338" w:leader="none"/>
        </w:tabs>
        <w:spacing w:lineRule="auto" w:line="276"/>
        <w:ind w:hanging="0" w:left="-284"/>
        <w:jc w:val="both"/>
        <w:rPr/>
      </w:pPr>
      <w:r>
        <w:rPr>
          <w:rStyle w:val="Hyperlink"/>
          <w:rFonts w:cs="Times New Roman" w:ascii="Times New Roman" w:hAnsi="Times New Roman"/>
          <w:color w:val="000000"/>
          <w:sz w:val="22"/>
          <w:szCs w:val="22"/>
          <w:u w:val="none"/>
        </w:rPr>
        <w:tab/>
        <w:t xml:space="preserve">N = Número de dias entre a data prevista para o pagamento e a do efetivo pagamento; </w:t>
      </w:r>
    </w:p>
    <w:p>
      <w:pPr>
        <w:pStyle w:val="Normal"/>
        <w:tabs>
          <w:tab w:val="clear" w:pos="720"/>
          <w:tab w:val="left" w:pos="338" w:leader="none"/>
        </w:tabs>
        <w:spacing w:lineRule="auto" w:line="276"/>
        <w:ind w:hanging="0" w:left="-284"/>
        <w:jc w:val="both"/>
        <w:rPr/>
      </w:pPr>
      <w:r>
        <w:rPr>
          <w:rStyle w:val="Hyperlink"/>
          <w:rFonts w:cs="Times New Roman" w:ascii="Times New Roman" w:hAnsi="Times New Roman"/>
          <w:color w:val="000000"/>
          <w:sz w:val="22"/>
          <w:szCs w:val="22"/>
          <w:u w:val="none"/>
        </w:rPr>
        <w:tab/>
        <w:t>VP = Valor da parcela em atraso.</w:t>
      </w:r>
    </w:p>
    <w:p>
      <w:pPr>
        <w:pStyle w:val="Normal"/>
        <w:tabs>
          <w:tab w:val="clear" w:pos="720"/>
          <w:tab w:val="left" w:pos="338" w:leader="none"/>
        </w:tabs>
        <w:spacing w:lineRule="auto" w:line="276"/>
        <w:ind w:hanging="0" w:left="-284"/>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338" w:leader="none"/>
        </w:tabs>
        <w:spacing w:lineRule="auto" w:line="276"/>
        <w:ind w:firstLine="340"/>
        <w:jc w:val="both"/>
        <w:rPr/>
      </w:pPr>
      <w:r>
        <w:rPr>
          <w:rStyle w:val="Hyperlink"/>
          <w:rFonts w:eastAsia="Times New Roman" w:cs="Times New Roman" w:ascii="Times New Roman" w:hAnsi="Times New Roman"/>
          <w:b/>
          <w:bCs/>
          <w:color w:val="000000"/>
          <w:sz w:val="22"/>
          <w:szCs w:val="22"/>
          <w:u w:val="none"/>
        </w:rPr>
        <w:t>5.5.</w:t>
      </w:r>
      <w:r>
        <w:rPr>
          <w:rStyle w:val="Hyperlink"/>
          <w:rFonts w:eastAsia="Times New Roman" w:cs="Times New Roman" w:ascii="Times New Roman" w:hAnsi="Times New Roman"/>
          <w:color w:val="000000"/>
          <w:sz w:val="22"/>
          <w:szCs w:val="22"/>
          <w:u w:val="none"/>
        </w:rPr>
        <w:t xml:space="preserve"> Quando for o caso, serão processadas as retenções previdenciárias nos termos da lei que regula a matéria.</w:t>
      </w:r>
    </w:p>
    <w:p>
      <w:pPr>
        <w:pStyle w:val="Normal"/>
        <w:tabs>
          <w:tab w:val="clear" w:pos="720"/>
          <w:tab w:val="left" w:pos="338" w:leader="none"/>
        </w:tabs>
        <w:spacing w:lineRule="auto" w:line="276"/>
        <w:ind w:firstLine="340"/>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spacing w:lineRule="auto" w:line="276"/>
        <w:rPr/>
      </w:pPr>
      <w:r>
        <w:rPr>
          <w:rStyle w:val="Hyperlink"/>
          <w:rFonts w:cs="Times New Roman" w:ascii="Times New Roman" w:hAnsi="Times New Roman"/>
          <w:b/>
          <w:bCs/>
          <w:color w:val="000000"/>
          <w:sz w:val="22"/>
          <w:szCs w:val="22"/>
          <w:u w:val="none"/>
        </w:rPr>
        <w:t>CLÁUSULA SEXTA – DAS CONDIÇÕES DE FORNECIMENTO</w:t>
      </w:r>
    </w:p>
    <w:p>
      <w:pPr>
        <w:pStyle w:val="Normal"/>
        <w:spacing w:lineRule="auto" w:line="276"/>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6.1.</w:t>
      </w:r>
      <w:r>
        <w:rPr>
          <w:rStyle w:val="Hyperlink"/>
          <w:rFonts w:cs="Times New Roman" w:ascii="Times New Roman" w:hAnsi="Times New Roman"/>
          <w:color w:val="000000"/>
          <w:sz w:val="22"/>
          <w:szCs w:val="22"/>
          <w:u w:val="none"/>
        </w:rPr>
        <w:t xml:space="preserve"> O pedido de compra será formalizado por intermédio de nota de empenho quando a entrega for de uma só vez e não houver obrigações futuras, ou por empenho e contrato de fornecimento nas hipóteses que se fizerem necessárias cláusulas de obrigações futuras.</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6.2.</w:t>
      </w:r>
      <w:r>
        <w:rPr>
          <w:rStyle w:val="Hyperlink"/>
          <w:rFonts w:cs="Times New Roman" w:ascii="Times New Roman" w:hAnsi="Times New Roman"/>
          <w:color w:val="000000"/>
          <w:sz w:val="22"/>
          <w:szCs w:val="22"/>
          <w:u w:val="none"/>
        </w:rPr>
        <w:t xml:space="preserve"> O fornecedor ficará obrigado a atender todos os pedidos efetuados durante a vigência desta Ata, mesmo que a entrega deles decorrente estiver prevista para data posterior à do seu vencimento.</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6.3.</w:t>
      </w:r>
      <w:r>
        <w:rPr>
          <w:rStyle w:val="Hyperlink"/>
          <w:rFonts w:cs="Times New Roman" w:ascii="Times New Roman" w:hAnsi="Times New Roman"/>
          <w:color w:val="000000"/>
          <w:sz w:val="22"/>
          <w:szCs w:val="22"/>
          <w:u w:val="none"/>
        </w:rPr>
        <w:t xml:space="preserve"> Se a qualidade dos materiais/serviços entregues não corresponder às especificações exigidas no Edital do Pregão que precedeu a presente Ata de Registro de Preços, a remessa apresentado será devolvida ao fornecedor, para substituição no prazo máximo de 30 (trinta) dias, independentemente da aplicação das penalidades cabíveis.</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6.4.</w:t>
      </w:r>
      <w:r>
        <w:rPr>
          <w:rStyle w:val="Hyperlink"/>
          <w:rFonts w:cs="Times New Roman" w:ascii="Times New Roman" w:hAnsi="Times New Roman"/>
          <w:color w:val="000000"/>
          <w:sz w:val="22"/>
          <w:szCs w:val="22"/>
          <w:u w:val="none"/>
        </w:rPr>
        <w:t xml:space="preserve"> Cada fornecimento deverá ser efetuado mediante solicitação da IMBEL - FI através de emissão de Nota de Empenho e pedido de compra.</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6.5.</w:t>
      </w:r>
      <w:r>
        <w:rPr>
          <w:rStyle w:val="Hyperlink"/>
          <w:rFonts w:cs="Times New Roman" w:ascii="Times New Roman" w:hAnsi="Times New Roman"/>
          <w:color w:val="000000"/>
          <w:sz w:val="22"/>
          <w:szCs w:val="22"/>
          <w:u w:val="none"/>
        </w:rPr>
        <w:t xml:space="preserve"> </w:t>
      </w:r>
      <w:r>
        <w:rPr>
          <w:rStyle w:val="Hyperlink"/>
          <w:rFonts w:cs="Times New Roman" w:ascii="Times New Roman" w:hAnsi="Times New Roman"/>
          <w:bCs/>
          <w:color w:val="000000"/>
          <w:sz w:val="22"/>
          <w:szCs w:val="22"/>
          <w:u w:val="none"/>
        </w:rPr>
        <w:t>Os materiais deverão ser entregues acompanhados da Nota Fiscal Eletrônica correspondente.</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6.6.</w:t>
      </w:r>
      <w:r>
        <w:rPr>
          <w:rStyle w:val="Hyperlink"/>
          <w:rFonts w:cs="Times New Roman" w:ascii="Times New Roman" w:hAnsi="Times New Roman"/>
          <w:color w:val="000000"/>
          <w:sz w:val="22"/>
          <w:szCs w:val="22"/>
          <w:u w:val="none"/>
        </w:rPr>
        <w:t xml:space="preserve"> A empresa fornecedora, quando do recebimento do pedido de compra feita pelo requisitante, deverá colocar, na cópia que necessariamente o acompanhar, a data e hora em que o recebeu, além da identificação de quem o recebeu.</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6.7.</w:t>
      </w:r>
      <w:r>
        <w:rPr>
          <w:rStyle w:val="Hyperlink"/>
          <w:rFonts w:cs="Times New Roman" w:ascii="Times New Roman" w:hAnsi="Times New Roman"/>
          <w:color w:val="000000"/>
          <w:sz w:val="22"/>
          <w:szCs w:val="22"/>
          <w:u w:val="none"/>
        </w:rPr>
        <w:t xml:space="preserve"> A cópia do pedido de compra referida no </w:t>
      </w:r>
      <w:r>
        <w:rPr>
          <w:rStyle w:val="Hyperlink"/>
          <w:rFonts w:cs="Times New Roman" w:ascii="Times New Roman" w:hAnsi="Times New Roman"/>
          <w:b/>
          <w:color w:val="000000"/>
          <w:sz w:val="22"/>
          <w:szCs w:val="22"/>
          <w:u w:val="none"/>
        </w:rPr>
        <w:t>item anterior</w:t>
      </w:r>
      <w:r>
        <w:rPr>
          <w:rStyle w:val="Hyperlink"/>
          <w:rFonts w:cs="Times New Roman" w:ascii="Times New Roman" w:hAnsi="Times New Roman"/>
          <w:color w:val="000000"/>
          <w:sz w:val="22"/>
          <w:szCs w:val="22"/>
          <w:u w:val="none"/>
        </w:rPr>
        <w:t xml:space="preserve"> deverá ser devolvida para o requisitante, a fim de ser anexada aos processos correspondentes.</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shd w:fill="auto" w:val="clear"/>
        </w:rPr>
        <w:tab/>
        <w:t xml:space="preserve">6.8. </w:t>
      </w:r>
      <w:r>
        <w:rPr>
          <w:rStyle w:val="Hyperlink"/>
          <w:rFonts w:cs="Times New Roman" w:ascii="Times New Roman" w:hAnsi="Times New Roman"/>
          <w:color w:val="000000"/>
          <w:sz w:val="22"/>
          <w:szCs w:val="22"/>
          <w:u w:val="none"/>
          <w:shd w:fill="auto" w:val="clear"/>
        </w:rPr>
        <w:t>Caberá aos Fornecedores Beneficiários da Ata de Registro de Preços:</w:t>
      </w:r>
    </w:p>
    <w:p>
      <w:pPr>
        <w:pStyle w:val="Normal"/>
        <w:tabs>
          <w:tab w:val="clear" w:pos="720"/>
          <w:tab w:val="left" w:pos="567" w:leader="none"/>
        </w:tabs>
        <w:spacing w:lineRule="auto" w:line="276"/>
        <w:jc w:val="both"/>
        <w:rPr/>
      </w:pPr>
      <w:r>
        <w:rPr>
          <w:rStyle w:val="Hyperlink"/>
          <w:rFonts w:cs="Times New Roman" w:ascii="Times New Roman" w:hAnsi="Times New Roman"/>
          <w:b/>
          <w:bCs/>
          <w:color w:val="000000"/>
          <w:sz w:val="22"/>
          <w:szCs w:val="22"/>
          <w:u w:val="none"/>
          <w:shd w:fill="auto" w:val="clear"/>
        </w:rPr>
        <w:tab/>
        <w:t>6.8.1.</w:t>
      </w:r>
      <w:r>
        <w:rPr>
          <w:rStyle w:val="Hyperlink"/>
          <w:rFonts w:cs="Times New Roman" w:ascii="Times New Roman" w:hAnsi="Times New Roman"/>
          <w:color w:val="000000"/>
          <w:sz w:val="22"/>
          <w:szCs w:val="22"/>
          <w:u w:val="none"/>
          <w:shd w:fill="auto" w:val="clear"/>
        </w:rPr>
        <w:t xml:space="preserve"> O recebimento dos serviços será provisório, para posterior verificação, no prazo de até 10 (dez) dias úteis, da sua conformidade com as especificações do Edital e da proposta.</w:t>
      </w:r>
    </w:p>
    <w:p>
      <w:pPr>
        <w:pStyle w:val="Normal"/>
        <w:tabs>
          <w:tab w:val="clear" w:pos="720"/>
          <w:tab w:val="left" w:pos="567" w:leader="none"/>
        </w:tabs>
        <w:spacing w:lineRule="auto" w:line="276"/>
        <w:jc w:val="both"/>
        <w:rPr/>
      </w:pPr>
      <w:r>
        <w:rPr>
          <w:rStyle w:val="Hyperlink"/>
          <w:rFonts w:cs="Times New Roman" w:ascii="Times New Roman" w:hAnsi="Times New Roman"/>
          <w:color w:val="000000"/>
          <w:sz w:val="22"/>
          <w:szCs w:val="22"/>
          <w:u w:val="none"/>
        </w:rPr>
        <w:tab/>
      </w:r>
      <w:r>
        <w:rPr>
          <w:rStyle w:val="Hyperlink"/>
          <w:rFonts w:cs="Times New Roman" w:ascii="Times New Roman" w:hAnsi="Times New Roman"/>
          <w:b/>
          <w:bCs/>
          <w:color w:val="000000"/>
          <w:sz w:val="22"/>
          <w:szCs w:val="22"/>
          <w:u w:val="none"/>
        </w:rPr>
        <w:t>6.8.2.</w:t>
      </w:r>
      <w:r>
        <w:rPr>
          <w:rStyle w:val="Hyperlink"/>
          <w:rFonts w:cs="Times New Roman" w:ascii="Times New Roman" w:hAnsi="Times New Roman"/>
          <w:color w:val="000000"/>
          <w:sz w:val="22"/>
          <w:szCs w:val="22"/>
          <w:u w:val="none"/>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Edital e da Ata que vier a ser assinada.</w:t>
      </w:r>
    </w:p>
    <w:p>
      <w:pPr>
        <w:pStyle w:val="Normal"/>
        <w:tabs>
          <w:tab w:val="clear" w:pos="720"/>
          <w:tab w:val="left" w:pos="567" w:leader="none"/>
        </w:tabs>
        <w:spacing w:lineRule="auto" w:line="276"/>
        <w:jc w:val="both"/>
        <w:rPr/>
      </w:pPr>
      <w:r>
        <w:rPr>
          <w:rStyle w:val="Hyperlink"/>
          <w:rFonts w:cs="Times New Roman" w:ascii="Times New Roman" w:hAnsi="Times New Roman"/>
          <w:color w:val="000000"/>
          <w:sz w:val="22"/>
          <w:szCs w:val="22"/>
          <w:u w:val="none"/>
        </w:rPr>
        <w:tab/>
      </w:r>
      <w:r>
        <w:rPr>
          <w:rStyle w:val="Hyperlink"/>
          <w:rFonts w:cs="Times New Roman" w:ascii="Times New Roman" w:hAnsi="Times New Roman"/>
          <w:b/>
          <w:bCs/>
          <w:color w:val="000000"/>
          <w:sz w:val="22"/>
          <w:szCs w:val="22"/>
          <w:u w:val="none"/>
        </w:rPr>
        <w:t>6.8.3.</w:t>
      </w:r>
      <w:r>
        <w:rPr>
          <w:rStyle w:val="Hyperlink"/>
          <w:rFonts w:cs="Times New Roman" w:ascii="Times New Roman" w:hAnsi="Times New Roman"/>
          <w:color w:val="000000"/>
          <w:sz w:val="22"/>
          <w:szCs w:val="22"/>
          <w:u w:val="none"/>
        </w:rPr>
        <w:t xml:space="preserve"> Responder por danos materiais ou físicos, causados por seus empregados, diretamente a</w:t>
      </w:r>
      <w:r>
        <w:rPr>
          <w:rStyle w:val="Hyperlink"/>
          <w:rFonts w:cs="Times New Roman" w:ascii="Times New Roman" w:hAnsi="Times New Roman"/>
          <w:b/>
          <w:color w:val="000000"/>
          <w:sz w:val="22"/>
          <w:szCs w:val="22"/>
          <w:u w:val="none"/>
        </w:rPr>
        <w:t xml:space="preserve"> </w:t>
      </w:r>
      <w:r>
        <w:rPr>
          <w:rStyle w:val="Hyperlink"/>
          <w:rFonts w:cs="Times New Roman" w:ascii="Times New Roman" w:hAnsi="Times New Roman"/>
          <w:color w:val="000000"/>
          <w:sz w:val="22"/>
          <w:szCs w:val="22"/>
          <w:u w:val="none"/>
        </w:rPr>
        <w:t>IMBEL - FI ou a terceiros, decorrentes de sua culpa ou dolo.</w:t>
      </w:r>
    </w:p>
    <w:p>
      <w:pPr>
        <w:pStyle w:val="Normal"/>
        <w:tabs>
          <w:tab w:val="clear" w:pos="720"/>
          <w:tab w:val="left" w:pos="567" w:leader="none"/>
        </w:tabs>
        <w:spacing w:lineRule="auto" w:line="276"/>
        <w:jc w:val="both"/>
        <w:rPr/>
      </w:pPr>
      <w:r>
        <w:rPr>
          <w:rStyle w:val="Hyperlink"/>
          <w:rFonts w:cs="Times New Roman" w:ascii="Times New Roman" w:hAnsi="Times New Roman"/>
          <w:color w:val="000000"/>
          <w:sz w:val="22"/>
          <w:szCs w:val="22"/>
          <w:u w:val="none"/>
        </w:rPr>
        <w:tab/>
      </w:r>
      <w:r>
        <w:rPr>
          <w:rStyle w:val="Hyperlink"/>
          <w:rFonts w:cs="Times New Roman" w:ascii="Times New Roman" w:hAnsi="Times New Roman"/>
          <w:b/>
          <w:bCs/>
          <w:color w:val="000000"/>
          <w:sz w:val="22"/>
          <w:szCs w:val="22"/>
          <w:u w:val="none"/>
        </w:rPr>
        <w:t>6.8.4.</w:t>
      </w:r>
      <w:r>
        <w:rPr>
          <w:rStyle w:val="Hyperlink"/>
          <w:rFonts w:cs="Times New Roman" w:ascii="Times New Roman" w:hAnsi="Times New Roman"/>
          <w:color w:val="000000"/>
          <w:sz w:val="22"/>
          <w:szCs w:val="22"/>
          <w:u w:val="none"/>
        </w:rPr>
        <w:t xml:space="preserve"> Em nenhuma hipótese veicular publicidade ou qualquer outra informação acerca das atividades objeto desta licitação, sem prévia autorização da IMBEL - FI.</w:t>
      </w:r>
    </w:p>
    <w:p>
      <w:pPr>
        <w:pStyle w:val="Normal"/>
        <w:tabs>
          <w:tab w:val="clear" w:pos="720"/>
          <w:tab w:val="left" w:pos="567" w:leader="none"/>
        </w:tabs>
        <w:spacing w:lineRule="auto" w:line="276"/>
        <w:jc w:val="both"/>
        <w:rPr/>
      </w:pPr>
      <w:r>
        <w:rPr>
          <w:rStyle w:val="Hyperlink"/>
          <w:rFonts w:cs="Times New Roman" w:ascii="Times New Roman" w:hAnsi="Times New Roman"/>
          <w:color w:val="000000"/>
          <w:sz w:val="22"/>
          <w:szCs w:val="22"/>
          <w:u w:val="none"/>
        </w:rPr>
        <w:tab/>
      </w:r>
      <w:r>
        <w:rPr>
          <w:rStyle w:val="Hyperlink"/>
          <w:rFonts w:cs="Times New Roman" w:ascii="Times New Roman" w:hAnsi="Times New Roman"/>
          <w:b/>
          <w:bCs/>
          <w:color w:val="000000"/>
          <w:sz w:val="22"/>
          <w:szCs w:val="22"/>
          <w:u w:val="none"/>
        </w:rPr>
        <w:t>6.8.5.</w:t>
      </w:r>
      <w:r>
        <w:rPr>
          <w:rStyle w:val="Hyperlink"/>
          <w:rFonts w:cs="Times New Roman" w:ascii="Times New Roman" w:hAnsi="Times New Roman"/>
          <w:color w:val="000000"/>
          <w:sz w:val="22"/>
          <w:szCs w:val="22"/>
          <w:u w:val="none"/>
        </w:rPr>
        <w:t xml:space="preserve"> Manter, durante toda a vigência da Ata de Registro de Preços, as condições de habilitação e qualificação exigidas nesta licitação.</w:t>
      </w:r>
    </w:p>
    <w:p>
      <w:pPr>
        <w:pStyle w:val="Normal"/>
        <w:tabs>
          <w:tab w:val="clear" w:pos="720"/>
          <w:tab w:val="left" w:pos="567" w:leader="none"/>
        </w:tabs>
        <w:spacing w:lineRule="auto" w:line="276"/>
        <w:jc w:val="both"/>
        <w:rPr/>
      </w:pPr>
      <w:r>
        <w:rPr>
          <w:rStyle w:val="Hyperlink"/>
          <w:rFonts w:cs="Times New Roman" w:ascii="Times New Roman" w:hAnsi="Times New Roman"/>
          <w:color w:val="000000"/>
          <w:sz w:val="22"/>
          <w:szCs w:val="22"/>
          <w:u w:val="none"/>
        </w:rPr>
        <w:tab/>
      </w:r>
      <w:r>
        <w:rPr>
          <w:rStyle w:val="Hyperlink"/>
          <w:rFonts w:cs="Times New Roman" w:ascii="Times New Roman" w:hAnsi="Times New Roman"/>
          <w:b/>
          <w:bCs/>
          <w:color w:val="000000"/>
          <w:sz w:val="22"/>
          <w:szCs w:val="22"/>
          <w:u w:val="none"/>
        </w:rPr>
        <w:t>6.8.6.</w:t>
      </w:r>
      <w:r>
        <w:rPr>
          <w:rStyle w:val="Hyperlink"/>
          <w:rFonts w:cs="Times New Roman" w:ascii="Times New Roman" w:hAnsi="Times New Roman"/>
          <w:color w:val="000000"/>
          <w:sz w:val="22"/>
          <w:szCs w:val="22"/>
          <w:u w:val="none"/>
        </w:rPr>
        <w:t xml:space="preserve"> Prestar esclarecimentos a IMBEL – FI sobre eventuais</w:t>
      </w:r>
      <w:r>
        <w:rPr>
          <w:rStyle w:val="Hyperlink"/>
          <w:rFonts w:cs="Times New Roman" w:ascii="Times New Roman" w:hAnsi="Times New Roman"/>
          <w:color w:val="000000"/>
          <w:sz w:val="22"/>
          <w:szCs w:val="22"/>
          <w:u w:val="none"/>
          <w:shd w:fill="auto" w:val="clear"/>
        </w:rPr>
        <w:t xml:space="preserve"> atos ou fatos desabonadores noticiados que a envolvam independentemente de solicitação.</w:t>
      </w:r>
    </w:p>
    <w:p>
      <w:pPr>
        <w:pStyle w:val="Normal"/>
        <w:tabs>
          <w:tab w:val="clear" w:pos="720"/>
          <w:tab w:val="left" w:pos="567" w:leader="none"/>
        </w:tabs>
        <w:spacing w:lineRule="auto" w:line="276"/>
        <w:jc w:val="both"/>
        <w:rPr/>
      </w:pPr>
      <w:r>
        <w:rPr>
          <w:rStyle w:val="Hyperlink"/>
          <w:rFonts w:cs="Times New Roman" w:ascii="Times New Roman" w:hAnsi="Times New Roman"/>
          <w:color w:val="000000"/>
          <w:sz w:val="22"/>
          <w:szCs w:val="22"/>
          <w:u w:val="none"/>
          <w:shd w:fill="auto" w:val="clear"/>
        </w:rPr>
        <w:tab/>
      </w:r>
      <w:r>
        <w:rPr>
          <w:rStyle w:val="Hyperlink"/>
          <w:rFonts w:cs="Times New Roman" w:ascii="Times New Roman" w:hAnsi="Times New Roman"/>
          <w:b/>
          <w:bCs/>
          <w:color w:val="000000"/>
          <w:sz w:val="22"/>
          <w:szCs w:val="22"/>
          <w:u w:val="none"/>
          <w:shd w:fill="auto" w:val="clear"/>
        </w:rPr>
        <w:t>6.8.7.</w:t>
      </w:r>
      <w:r>
        <w:rPr>
          <w:rStyle w:val="Hyperlink"/>
          <w:rFonts w:cs="Times New Roman" w:ascii="Times New Roman" w:hAnsi="Times New Roman"/>
          <w:color w:val="000000"/>
          <w:sz w:val="22"/>
          <w:szCs w:val="22"/>
          <w:u w:val="none"/>
          <w:shd w:fill="auto" w:val="clear"/>
        </w:rPr>
        <w:t xml:space="preserve"> Conforme estabelecido no Decreto 11.462/2023, que trata das aquisições adicionais, limitados ao quíntuplo dos quantitativos registrados na Ata, poderá o fornecedor, optar pela aceitação ou não do fornecimento, desde que não prejudique as obrigações anterio</w:t>
      </w:r>
      <w:r>
        <w:rPr>
          <w:rStyle w:val="Hyperlink"/>
          <w:rFonts w:cs="Times New Roman" w:ascii="Times New Roman" w:hAnsi="Times New Roman"/>
          <w:color w:val="000000"/>
          <w:sz w:val="22"/>
          <w:szCs w:val="22"/>
          <w:u w:val="none"/>
        </w:rPr>
        <w:t xml:space="preserve">rmente assumidas. </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6.9.</w:t>
      </w:r>
      <w:r>
        <w:rPr>
          <w:rStyle w:val="Hyperlink"/>
          <w:rFonts w:cs="Times New Roman" w:ascii="Times New Roman" w:hAnsi="Times New Roman"/>
          <w:color w:val="000000"/>
          <w:sz w:val="22"/>
          <w:szCs w:val="22"/>
          <w:u w:val="none"/>
        </w:rPr>
        <w:t xml:space="preserve"> Caberá a Indústria de Material Bélico - IMBEL – FI.</w:t>
      </w:r>
    </w:p>
    <w:p>
      <w:pPr>
        <w:pStyle w:val="Normal"/>
        <w:tabs>
          <w:tab w:val="clear" w:pos="720"/>
          <w:tab w:val="left" w:pos="567" w:leader="none"/>
        </w:tabs>
        <w:spacing w:lineRule="auto" w:line="276"/>
        <w:jc w:val="both"/>
        <w:rPr/>
      </w:pPr>
      <w:r>
        <w:rPr>
          <w:rStyle w:val="Hyperlink"/>
          <w:rFonts w:cs="Times New Roman" w:ascii="Times New Roman" w:hAnsi="Times New Roman"/>
          <w:color w:val="000000"/>
          <w:sz w:val="22"/>
          <w:szCs w:val="22"/>
          <w:u w:val="none"/>
        </w:rPr>
        <w:tab/>
      </w:r>
      <w:r>
        <w:rPr>
          <w:rStyle w:val="Hyperlink"/>
          <w:rFonts w:cs="Times New Roman" w:ascii="Times New Roman" w:hAnsi="Times New Roman"/>
          <w:b/>
          <w:bCs/>
          <w:color w:val="000000"/>
          <w:sz w:val="22"/>
          <w:szCs w:val="22"/>
          <w:u w:val="none"/>
        </w:rPr>
        <w:t xml:space="preserve">6.9.1. </w:t>
      </w:r>
      <w:r>
        <w:rPr>
          <w:rStyle w:val="Hyperlink"/>
          <w:rFonts w:cs="Times New Roman" w:ascii="Times New Roman" w:hAnsi="Times New Roman"/>
          <w:color w:val="000000"/>
          <w:sz w:val="22"/>
          <w:szCs w:val="22"/>
          <w:u w:val="none"/>
        </w:rPr>
        <w:t>Efetuar as requisições, de conformidade com a discriminação constante deste Edital.</w:t>
      </w:r>
    </w:p>
    <w:p>
      <w:pPr>
        <w:pStyle w:val="Normal"/>
        <w:tabs>
          <w:tab w:val="clear" w:pos="720"/>
          <w:tab w:val="left" w:pos="567" w:leader="none"/>
        </w:tabs>
        <w:spacing w:lineRule="auto" w:line="276"/>
        <w:jc w:val="both"/>
        <w:rPr/>
      </w:pPr>
      <w:r>
        <w:rPr>
          <w:rStyle w:val="Hyperlink"/>
          <w:rFonts w:cs="Times New Roman" w:ascii="Times New Roman" w:hAnsi="Times New Roman"/>
          <w:color w:val="000000"/>
          <w:sz w:val="22"/>
          <w:szCs w:val="22"/>
          <w:u w:val="none"/>
        </w:rPr>
        <w:tab/>
      </w:r>
      <w:r>
        <w:rPr>
          <w:rStyle w:val="Hyperlink"/>
          <w:rFonts w:cs="Times New Roman" w:ascii="Times New Roman" w:hAnsi="Times New Roman"/>
          <w:b/>
          <w:bCs/>
          <w:color w:val="000000"/>
          <w:sz w:val="22"/>
          <w:szCs w:val="22"/>
          <w:u w:val="none"/>
        </w:rPr>
        <w:t>6.9.2.</w:t>
      </w:r>
      <w:r>
        <w:rPr>
          <w:rStyle w:val="Hyperlink"/>
          <w:rFonts w:cs="Times New Roman" w:ascii="Times New Roman" w:hAnsi="Times New Roman"/>
          <w:color w:val="000000"/>
          <w:sz w:val="22"/>
          <w:szCs w:val="22"/>
          <w:u w:val="none"/>
        </w:rPr>
        <w:t xml:space="preserve"> </w:t>
      </w:r>
      <w:r>
        <w:rPr>
          <w:rStyle w:val="Hyperlink"/>
          <w:rFonts w:eastAsia="Times New Roman" w:cs="Times New Roman" w:ascii="Times New Roman" w:hAnsi="Times New Roman"/>
          <w:bCs/>
          <w:color w:val="000000"/>
          <w:sz w:val="22"/>
          <w:szCs w:val="22"/>
          <w:u w:val="none"/>
        </w:rPr>
        <w:t>Proporcionar todas as facilidades para que a CONTRATADA possa desempenhar seus serviços dentro das normas estabelecidas.</w:t>
      </w:r>
    </w:p>
    <w:p>
      <w:pPr>
        <w:pStyle w:val="Normal"/>
        <w:tabs>
          <w:tab w:val="clear" w:pos="720"/>
          <w:tab w:val="left" w:pos="513" w:leader="none"/>
          <w:tab w:val="left" w:pos="567" w:leader="none"/>
        </w:tabs>
        <w:spacing w:lineRule="auto" w:line="276"/>
        <w:jc w:val="both"/>
        <w:rPr/>
      </w:pPr>
      <w:r>
        <w:rPr>
          <w:rStyle w:val="Hyperlink"/>
          <w:rFonts w:eastAsia="Times New Roman" w:cs="Times New Roman" w:ascii="Times New Roman" w:hAnsi="Times New Roman"/>
          <w:color w:val="000000"/>
          <w:sz w:val="22"/>
          <w:szCs w:val="22"/>
          <w:u w:val="none"/>
        </w:rPr>
        <w:t xml:space="preserve">      </w:t>
      </w:r>
      <w:r>
        <w:rPr>
          <w:rStyle w:val="Hyperlink"/>
          <w:rFonts w:eastAsia="Times New Roman" w:cs="Times New Roman" w:ascii="Times New Roman" w:hAnsi="Times New Roman"/>
          <w:color w:val="000000"/>
          <w:sz w:val="22"/>
          <w:szCs w:val="22"/>
          <w:u w:val="none"/>
        </w:rPr>
        <w:tab/>
        <w:tab/>
      </w:r>
      <w:r>
        <w:rPr>
          <w:rStyle w:val="Hyperlink"/>
          <w:rFonts w:cs="Times New Roman" w:ascii="Times New Roman" w:hAnsi="Times New Roman"/>
          <w:b/>
          <w:bCs/>
          <w:color w:val="000000"/>
          <w:sz w:val="22"/>
          <w:szCs w:val="22"/>
          <w:u w:val="none"/>
        </w:rPr>
        <w:t>6.9.3.</w:t>
      </w:r>
      <w:r>
        <w:rPr>
          <w:rStyle w:val="Hyperlink"/>
          <w:rFonts w:cs="Times New Roman" w:ascii="Times New Roman" w:hAnsi="Times New Roman"/>
          <w:color w:val="000000"/>
          <w:sz w:val="22"/>
          <w:szCs w:val="22"/>
          <w:u w:val="none"/>
        </w:rPr>
        <w:t xml:space="preserve"> Prestar as informações e os esclarecimentos que venham a ser solicitados pela licitante vencedora com relação ao objeto desta licitação.</w:t>
      </w:r>
    </w:p>
    <w:p>
      <w:pPr>
        <w:pStyle w:val="Normal"/>
        <w:tabs>
          <w:tab w:val="clear" w:pos="720"/>
          <w:tab w:val="left" w:pos="567" w:leader="none"/>
        </w:tabs>
        <w:spacing w:lineRule="auto" w:line="276" w:before="0" w:after="0"/>
        <w:jc w:val="both"/>
        <w:rPr/>
      </w:pPr>
      <w:r>
        <w:rPr>
          <w:rStyle w:val="Hyperlink"/>
          <w:rFonts w:cs="Times New Roman" w:ascii="Times New Roman" w:hAnsi="Times New Roman"/>
          <w:b/>
          <w:bCs/>
          <w:color w:val="000000"/>
          <w:sz w:val="22"/>
          <w:szCs w:val="22"/>
          <w:u w:val="none"/>
        </w:rPr>
        <w:tab/>
        <w:t>6.9.4.</w:t>
      </w:r>
      <w:r>
        <w:rPr>
          <w:rStyle w:val="Hyperlink"/>
          <w:rFonts w:cs="Times New Roman" w:ascii="Times New Roman" w:hAnsi="Times New Roman"/>
          <w:color w:val="000000"/>
          <w:sz w:val="22"/>
          <w:szCs w:val="22"/>
          <w:u w:val="none"/>
        </w:rPr>
        <w:t xml:space="preserve"> Efetuar os pagamentos nas condições pactuadas.</w:t>
      </w:r>
    </w:p>
    <w:p>
      <w:pPr>
        <w:pStyle w:val="Normal"/>
        <w:spacing w:lineRule="auto" w:line="276"/>
        <w:rPr>
          <w:rFonts w:ascii="Times New Roman" w:hAnsi="Times New Roman"/>
          <w:sz w:val="22"/>
          <w:szCs w:val="22"/>
        </w:rPr>
      </w:pPr>
      <w:r>
        <w:rPr>
          <w:rFonts w:ascii="Times New Roman" w:hAnsi="Times New Roman"/>
          <w:sz w:val="22"/>
          <w:szCs w:val="22"/>
        </w:rPr>
      </w:r>
    </w:p>
    <w:p>
      <w:pPr>
        <w:pStyle w:val="Normal"/>
        <w:spacing w:lineRule="auto" w:line="276"/>
        <w:rPr/>
      </w:pPr>
      <w:r>
        <w:rPr>
          <w:rStyle w:val="Hyperlink"/>
          <w:rFonts w:cs="Times New Roman" w:ascii="Times New Roman" w:hAnsi="Times New Roman"/>
          <w:b/>
          <w:bCs/>
          <w:color w:val="000000"/>
          <w:sz w:val="22"/>
          <w:szCs w:val="22"/>
          <w:u w:val="none"/>
        </w:rPr>
        <w:t>CLÁUSULA SÉTIMA – DAS SANÇÕES</w:t>
      </w:r>
    </w:p>
    <w:p>
      <w:pPr>
        <w:pStyle w:val="Normal"/>
        <w:spacing w:lineRule="auto" w:line="276"/>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7.1.</w:t>
      </w:r>
      <w:r>
        <w:rPr>
          <w:rStyle w:val="Hyperlink"/>
          <w:rFonts w:cs="Times New Roman" w:ascii="Times New Roman" w:hAnsi="Times New Roman"/>
          <w:color w:val="000000"/>
          <w:sz w:val="22"/>
          <w:szCs w:val="22"/>
          <w:u w:val="none"/>
        </w:rPr>
        <w:t xml:space="preserve"> Quem, convocado dentro do prazo de validade de sua proposta,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e Municípios e, ser</w:t>
      </w:r>
      <w:r>
        <w:rPr>
          <w:rStyle w:val="Hyperlink"/>
          <w:rFonts w:cs="Times New Roman" w:ascii="Times New Roman" w:hAnsi="Times New Roman"/>
          <w:color w:val="000000"/>
          <w:sz w:val="22"/>
          <w:szCs w:val="22"/>
          <w:u w:val="none"/>
          <w:shd w:fill="auto" w:val="clear"/>
        </w:rPr>
        <w:t>á descredenciado no SICAF, ou nos sistemas de cadastramento de fornecedores a que se refere o Art. 49 do Decreto nº 10.024, de 20 de setembro de 2019, pelo prazo de 5 (cinco) anos, sem prejuízo d</w:t>
      </w:r>
      <w:r>
        <w:rPr>
          <w:rStyle w:val="Hyperlink"/>
          <w:rFonts w:cs="Times New Roman" w:ascii="Times New Roman" w:hAnsi="Times New Roman"/>
          <w:color w:val="000000"/>
          <w:sz w:val="22"/>
          <w:szCs w:val="22"/>
          <w:u w:val="none"/>
        </w:rPr>
        <w:t>as multas previstas neste Edital e no contrato e das demais cominações legais, garantido o direito prévio da citação e da ampla defesa.</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7.2.</w:t>
      </w:r>
      <w:r>
        <w:rPr>
          <w:rStyle w:val="Hyperlink"/>
          <w:rFonts w:cs="Times New Roman" w:ascii="Times New Roman" w:hAnsi="Times New Roman"/>
          <w:color w:val="000000"/>
          <w:sz w:val="22"/>
          <w:szCs w:val="22"/>
          <w:u w:val="none"/>
        </w:rPr>
        <w:t xml:space="preserve"> As penalidades serão, obrigatoriamente, registradas no SICAF e, no caso de suspensão de licitar, o licitante deverá ser descredenciado por igual período, sem prejuízo das multas previstas no edital e no contrato e das demais cominações legais.</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7.3.</w:t>
      </w:r>
      <w:r>
        <w:rPr>
          <w:rStyle w:val="Hyperlink"/>
          <w:rFonts w:cs="Times New Roman" w:ascii="Times New Roman" w:hAnsi="Times New Roman"/>
          <w:color w:val="000000"/>
          <w:sz w:val="22"/>
          <w:szCs w:val="22"/>
          <w:u w:val="none"/>
        </w:rPr>
        <w:t xml:space="preserve"> A Administração poderá aplicar as seguintes multas:</w:t>
      </w:r>
    </w:p>
    <w:p>
      <w:pPr>
        <w:pStyle w:val="Normal"/>
        <w:tabs>
          <w:tab w:val="clear" w:pos="720"/>
          <w:tab w:val="left" w:pos="567" w:leader="none"/>
        </w:tabs>
        <w:spacing w:lineRule="auto" w:line="276"/>
        <w:jc w:val="both"/>
        <w:rPr/>
      </w:pPr>
      <w:r>
        <w:rPr>
          <w:rStyle w:val="Hyperlink"/>
          <w:rFonts w:cs="Times New Roman" w:ascii="Times New Roman" w:hAnsi="Times New Roman"/>
          <w:b/>
          <w:bCs/>
          <w:color w:val="000000"/>
          <w:sz w:val="22"/>
          <w:szCs w:val="22"/>
          <w:u w:val="none"/>
        </w:rPr>
        <w:tab/>
        <w:t xml:space="preserve">7.3.1. </w:t>
      </w:r>
      <w:r>
        <w:rPr>
          <w:rStyle w:val="Hyperlink"/>
          <w:rFonts w:cs="Times New Roman" w:ascii="Times New Roman" w:hAnsi="Times New Roman"/>
          <w:color w:val="000000"/>
          <w:sz w:val="22"/>
          <w:szCs w:val="22"/>
          <w:u w:val="none"/>
        </w:rPr>
        <w:t>Multa de 10% (dez por cento) sobre o valor total estimado da contratação, no caso de recusa injustificada para a assinatura da Ata de Registro de Preços; do Contrato e do recebimento da Nota da Empenho;</w:t>
      </w:r>
    </w:p>
    <w:p>
      <w:pPr>
        <w:pStyle w:val="Normal"/>
        <w:spacing w:lineRule="auto" w:line="276"/>
        <w:ind w:firstLine="555"/>
        <w:jc w:val="both"/>
        <w:rPr/>
      </w:pPr>
      <w:r>
        <w:rPr>
          <w:rStyle w:val="Hyperlink"/>
          <w:rFonts w:cs="Times New Roman" w:ascii="Times New Roman" w:hAnsi="Times New Roman"/>
          <w:b/>
          <w:bCs/>
          <w:color w:val="000000"/>
          <w:sz w:val="22"/>
          <w:szCs w:val="22"/>
          <w:u w:val="none"/>
        </w:rPr>
        <w:t>7.3.2.</w:t>
      </w:r>
      <w:r>
        <w:rPr>
          <w:rStyle w:val="Hyperlink"/>
          <w:rFonts w:cs="Times New Roman" w:ascii="Times New Roman" w:hAnsi="Times New Roman"/>
          <w:color w:val="000000"/>
          <w:sz w:val="22"/>
          <w:szCs w:val="22"/>
          <w:u w:val="none"/>
        </w:rPr>
        <w:t xml:space="preserve"> Multa de 0,3% (zero vírgula três por cento) por dia de atraso, incidente sobre o valor do material não entregue, observado o prazo de entrega constante no Anexo I, limitada a incidência de 30 (trinta) dias.</w:t>
      </w:r>
    </w:p>
    <w:p>
      <w:pPr>
        <w:pStyle w:val="Normal"/>
        <w:tabs>
          <w:tab w:val="clear" w:pos="720"/>
          <w:tab w:val="left" w:pos="567" w:leader="none"/>
        </w:tabs>
        <w:spacing w:lineRule="auto" w:line="276"/>
        <w:jc w:val="both"/>
        <w:rPr/>
      </w:pPr>
      <w:r>
        <w:rPr>
          <w:rStyle w:val="Hyperlink"/>
          <w:rFonts w:cs="Times New Roman" w:ascii="Times New Roman" w:hAnsi="Times New Roman"/>
          <w:b/>
          <w:bCs/>
          <w:color w:val="000000"/>
          <w:sz w:val="22"/>
          <w:szCs w:val="22"/>
          <w:u w:val="none"/>
        </w:rPr>
        <w:tab/>
        <w:t>7.3.3.</w:t>
      </w:r>
      <w:r>
        <w:rPr>
          <w:rStyle w:val="Hyperlink"/>
          <w:rFonts w:cs="Times New Roman" w:ascii="Times New Roman" w:hAnsi="Times New Roman"/>
          <w:color w:val="000000"/>
          <w:sz w:val="22"/>
          <w:szCs w:val="22"/>
          <w:u w:val="none"/>
        </w:rPr>
        <w:t xml:space="preserve"> </w:t>
      </w:r>
      <w:r>
        <w:rPr>
          <w:rStyle w:val="Hyperlink"/>
          <w:rFonts w:eastAsia="Times New Roman" w:cs="Times New Roman" w:ascii="Times New Roman" w:hAnsi="Times New Roman"/>
          <w:color w:val="000000"/>
          <w:sz w:val="22"/>
          <w:szCs w:val="22"/>
          <w:u w:val="none"/>
        </w:rPr>
        <w:t>multa de 0,3% (zero vírgula três por cento) em caso de atraso injustificado para assinatura do contrato, por dia de atraso até o limite de 30 dias, sobre o valor total da avença;</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0"/>
          <w:sz w:val="22"/>
          <w:szCs w:val="22"/>
          <w:u w:val="none"/>
        </w:rPr>
        <w:t xml:space="preserve"> </w:t>
      </w:r>
      <w:r>
        <w:rPr>
          <w:rStyle w:val="Hyperlink"/>
          <w:rFonts w:eastAsia="Times New Roman" w:cs="Times New Roman" w:ascii="Times New Roman" w:hAnsi="Times New Roman"/>
          <w:color w:val="000000"/>
          <w:sz w:val="22"/>
          <w:szCs w:val="22"/>
          <w:u w:val="none"/>
        </w:rPr>
        <w:tab/>
      </w:r>
      <w:r>
        <w:rPr>
          <w:rStyle w:val="Hyperlink"/>
          <w:rFonts w:eastAsia="Times New Roman" w:cs="Times New Roman" w:ascii="Times New Roman" w:hAnsi="Times New Roman"/>
          <w:b/>
          <w:bCs/>
          <w:color w:val="000000"/>
          <w:sz w:val="22"/>
          <w:szCs w:val="22"/>
          <w:u w:val="none"/>
        </w:rPr>
        <w:t>7.3.4.</w:t>
      </w:r>
      <w:r>
        <w:rPr>
          <w:rStyle w:val="Hyperlink"/>
          <w:rFonts w:eastAsia="Times New Roman" w:cs="Times New Roman" w:ascii="Times New Roman" w:hAnsi="Times New Roman"/>
          <w:color w:val="000000"/>
          <w:sz w:val="22"/>
          <w:szCs w:val="22"/>
          <w:u w:val="none"/>
        </w:rPr>
        <w:t xml:space="preserve"> multa de 0,3%</w:t>
      </w:r>
      <w:r>
        <w:rPr>
          <w:rStyle w:val="Hyperlink"/>
          <w:rFonts w:eastAsia="Times New Roman" w:cs="Times New Roman" w:ascii="Times New Roman" w:hAnsi="Times New Roman"/>
          <w:b/>
          <w:color w:val="000000"/>
          <w:sz w:val="22"/>
          <w:szCs w:val="22"/>
          <w:u w:val="none"/>
        </w:rPr>
        <w:t xml:space="preserve"> </w:t>
      </w:r>
      <w:r>
        <w:rPr>
          <w:rStyle w:val="Hyperlink"/>
          <w:rFonts w:eastAsia="Times New Roman" w:cs="Times New Roman" w:ascii="Times New Roman" w:hAnsi="Times New Roman"/>
          <w:color w:val="000000"/>
          <w:sz w:val="22"/>
          <w:szCs w:val="22"/>
          <w:u w:val="none"/>
        </w:rPr>
        <w:t>(zero vírgula três por cento) em caso de situação irregular de habilitação, por dia de atraso até o limite de 30 dias, sobre o valor total da Nota de Empenho.</w:t>
      </w:r>
    </w:p>
    <w:p>
      <w:pPr>
        <w:pStyle w:val="Normal"/>
        <w:spacing w:lineRule="auto" w:line="276"/>
        <w:ind w:firstLine="555"/>
        <w:jc w:val="both"/>
        <w:rPr/>
      </w:pPr>
      <w:r>
        <w:rPr>
          <w:rStyle w:val="Hyperlink"/>
          <w:rFonts w:cs="Times New Roman" w:ascii="Times New Roman" w:hAnsi="Times New Roman"/>
          <w:b/>
          <w:bCs/>
          <w:color w:val="000000"/>
          <w:sz w:val="22"/>
          <w:szCs w:val="22"/>
          <w:u w:val="none"/>
        </w:rPr>
        <w:t>7.3.5.</w:t>
      </w:r>
      <w:r>
        <w:rPr>
          <w:rStyle w:val="Hyperlink"/>
          <w:rFonts w:cs="Times New Roman" w:ascii="Times New Roman" w:hAnsi="Times New Roman"/>
          <w:color w:val="000000"/>
          <w:sz w:val="22"/>
          <w:szCs w:val="22"/>
          <w:u w:val="none"/>
        </w:rPr>
        <w:t xml:space="preserve"> Multa de 15% (quinze por cento), pela inexecução total ou parcial do fornecimento contratado incidente sobre o valor do material não entregue, por período superior ao previsto no item “7.3.2” acima. A multa a que alude este tópico, não impede que a Contratante rescinda, unilateralmente, o Contrato e aplique as outras sanções previstas na legislação vigente à época;</w:t>
      </w:r>
    </w:p>
    <w:p>
      <w:pPr>
        <w:pStyle w:val="Normal"/>
        <w:spacing w:lineRule="auto" w:line="276"/>
        <w:ind w:firstLine="555"/>
        <w:jc w:val="both"/>
        <w:rPr/>
      </w:pPr>
      <w:r>
        <w:rPr>
          <w:rStyle w:val="Hyperlink"/>
          <w:rFonts w:cs="Times New Roman" w:ascii="Times New Roman" w:hAnsi="Times New Roman"/>
          <w:b/>
          <w:bCs/>
          <w:color w:val="000000"/>
          <w:sz w:val="22"/>
          <w:szCs w:val="22"/>
          <w:u w:val="none"/>
        </w:rPr>
        <w:t xml:space="preserve">7.3.6. </w:t>
      </w:r>
      <w:r>
        <w:rPr>
          <w:rStyle w:val="Hyperlink"/>
          <w:rFonts w:cs="Times New Roman" w:ascii="Times New Roman" w:hAnsi="Times New Roman"/>
          <w:color w:val="000000"/>
          <w:sz w:val="22"/>
          <w:szCs w:val="22"/>
          <w:u w:val="none"/>
        </w:rPr>
        <w:t>A multa será deduzida do valor líquido do faturamento da licitante vencedora. Caso o valor do faturamento seja insuficiente para cobrir a multa, a licitante vencedora será convocada para complementação do seu valor;</w:t>
      </w:r>
    </w:p>
    <w:p>
      <w:pPr>
        <w:pStyle w:val="Normal"/>
        <w:spacing w:lineRule="auto" w:line="276"/>
        <w:ind w:firstLine="555"/>
        <w:jc w:val="both"/>
        <w:rPr/>
      </w:pPr>
      <w:r>
        <w:rPr>
          <w:rStyle w:val="Hyperlink"/>
          <w:rFonts w:cs="Times New Roman" w:ascii="Times New Roman" w:hAnsi="Times New Roman"/>
          <w:b/>
          <w:bCs/>
          <w:color w:val="000000"/>
          <w:sz w:val="22"/>
          <w:szCs w:val="22"/>
          <w:u w:val="none"/>
        </w:rPr>
        <w:t>7.3.7.</w:t>
      </w:r>
      <w:r>
        <w:rPr>
          <w:rStyle w:val="Hyperlink"/>
          <w:rFonts w:cs="Times New Roman" w:ascii="Times New Roman" w:hAnsi="Times New Roman"/>
          <w:color w:val="000000"/>
          <w:sz w:val="22"/>
          <w:szCs w:val="22"/>
          <w:u w:val="none"/>
        </w:rPr>
        <w:t xml:space="preserve"> As multas quando não descontadas nos termos da letra anterior, deverão ser colocadas à disposição da IMBEL – FI, em sua administração, no prazo de 48 (quarenta e oito) horas, contados da data da ciência expressa por parte da contratada;</w:t>
      </w:r>
    </w:p>
    <w:p>
      <w:pPr>
        <w:pStyle w:val="Normal"/>
        <w:spacing w:lineRule="auto" w:line="276"/>
        <w:ind w:firstLine="555"/>
        <w:jc w:val="both"/>
        <w:rPr/>
      </w:pPr>
      <w:r>
        <w:rPr>
          <w:rStyle w:val="Hyperlink"/>
          <w:rFonts w:cs="Times New Roman" w:ascii="Times New Roman" w:hAnsi="Times New Roman"/>
          <w:b/>
          <w:bCs/>
          <w:color w:val="000000"/>
          <w:sz w:val="22"/>
          <w:szCs w:val="22"/>
          <w:u w:val="none"/>
        </w:rPr>
        <w:t xml:space="preserve">7.3.8. </w:t>
      </w:r>
      <w:r>
        <w:rPr>
          <w:rStyle w:val="Hyperlink"/>
          <w:rFonts w:cs="Times New Roman" w:ascii="Times New Roman" w:hAnsi="Times New Roman"/>
          <w:color w:val="000000"/>
          <w:sz w:val="22"/>
          <w:szCs w:val="22"/>
          <w:u w:val="none"/>
        </w:rPr>
        <w:t>Decorrido o prazo estipulado no subitem anterior, a IMBEL-FI fará a devida cobrança judicial, sem prejuízo do previsto no item abaixo;</w:t>
      </w:r>
    </w:p>
    <w:p>
      <w:pPr>
        <w:pStyle w:val="Normal"/>
        <w:spacing w:lineRule="auto" w:line="276"/>
        <w:ind w:firstLine="555"/>
        <w:jc w:val="both"/>
        <w:rPr/>
      </w:pPr>
      <w:r>
        <w:rPr>
          <w:rStyle w:val="Hyperlink"/>
          <w:rFonts w:cs="Times New Roman" w:ascii="Times New Roman" w:hAnsi="Times New Roman"/>
          <w:b/>
          <w:bCs/>
          <w:color w:val="000000"/>
          <w:sz w:val="22"/>
          <w:szCs w:val="22"/>
          <w:u w:val="none"/>
        </w:rPr>
        <w:t>7.3.9.</w:t>
      </w:r>
      <w:r>
        <w:rPr>
          <w:rStyle w:val="Hyperlink"/>
          <w:rFonts w:cs="Times New Roman" w:ascii="Times New Roman" w:hAnsi="Times New Roman"/>
          <w:color w:val="000000"/>
          <w:sz w:val="22"/>
          <w:szCs w:val="22"/>
          <w:u w:val="none"/>
        </w:rPr>
        <w:t xml:space="preserve"> O faltoso ficará impedido de licitar ou contratar com a IMBEL-FI enquanto não quitar as multas devidas;</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b/>
          <w:bCs/>
          <w:color w:val="000000"/>
          <w:sz w:val="22"/>
          <w:szCs w:val="22"/>
          <w:u w:val="none"/>
        </w:rPr>
        <w:tab/>
        <w:t>7.3.10.</w:t>
      </w:r>
      <w:r>
        <w:rPr>
          <w:rStyle w:val="Hyperlink"/>
          <w:rFonts w:eastAsia="Times New Roman" w:cs="Times New Roman" w:ascii="Times New Roman" w:hAnsi="Times New Roman"/>
          <w:color w:val="000000"/>
          <w:sz w:val="22"/>
          <w:szCs w:val="22"/>
          <w:u w:val="none"/>
        </w:rPr>
        <w:t xml:space="preserve"> A multa aplicada deverá ser recolhida ao Tesouro Nacional por meio de GRU (guia de recolhimento da união), no prazo máximo de 20 (vinte) dias úteis, a contar do dia útil imediato ao recebimento da notificação enviada pela IMBEL e o recibo entregue na Divisão de Finanças da IMBEL</w:t>
      </w:r>
      <w:r>
        <w:rPr>
          <w:rStyle w:val="Hyperlink"/>
          <w:rFonts w:eastAsia="Times New Roman" w:cs="Times New Roman" w:ascii="Times New Roman" w:hAnsi="Times New Roman"/>
          <w:b w:val="false"/>
          <w:bCs w:val="false"/>
          <w:color w:val="000000"/>
          <w:sz w:val="22"/>
          <w:szCs w:val="22"/>
          <w:u w:val="none"/>
        </w:rPr>
        <w:t>;</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b/>
          <w:color w:val="000000"/>
          <w:sz w:val="22"/>
          <w:szCs w:val="22"/>
          <w:u w:val="none"/>
        </w:rPr>
        <w:tab/>
      </w:r>
      <w:r>
        <w:rPr>
          <w:rStyle w:val="Hyperlink"/>
          <w:rFonts w:eastAsia="Times New Roman" w:cs="Times New Roman" w:ascii="Times New Roman" w:hAnsi="Times New Roman"/>
          <w:b/>
          <w:bCs/>
          <w:color w:val="000000"/>
          <w:sz w:val="22"/>
          <w:szCs w:val="22"/>
          <w:u w:val="none"/>
        </w:rPr>
        <w:t>7.3.11.</w:t>
      </w:r>
      <w:r>
        <w:rPr>
          <w:rStyle w:val="Hyperlink"/>
          <w:rFonts w:eastAsia="Times New Roman" w:cs="Times New Roman" w:ascii="Times New Roman" w:hAnsi="Times New Roman"/>
          <w:b/>
          <w:color w:val="000000"/>
          <w:sz w:val="22"/>
          <w:szCs w:val="22"/>
          <w:u w:val="none"/>
        </w:rPr>
        <w:t xml:space="preserve"> </w:t>
      </w:r>
      <w:r>
        <w:rPr>
          <w:rStyle w:val="Hyperlink"/>
          <w:rFonts w:eastAsia="Times New Roman" w:cs="Times New Roman" w:ascii="Times New Roman" w:hAnsi="Times New Roman"/>
          <w:color w:val="000000"/>
          <w:sz w:val="22"/>
          <w:szCs w:val="22"/>
          <w:u w:val="none"/>
        </w:rPr>
        <w:t>Em caso de não pagamento da multa pelo licitante, a mesma será cobrada judicialmente pela IMBEL.</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b/>
          <w:color w:val="000000"/>
          <w:sz w:val="22"/>
          <w:szCs w:val="22"/>
          <w:u w:val="none"/>
        </w:rPr>
        <w:tab/>
      </w:r>
      <w:r>
        <w:rPr>
          <w:rStyle w:val="Hyperlink"/>
          <w:rFonts w:eastAsia="Times New Roman" w:cs="Times New Roman" w:ascii="Times New Roman" w:hAnsi="Times New Roman"/>
          <w:b/>
          <w:bCs/>
          <w:color w:val="000000"/>
          <w:sz w:val="22"/>
          <w:szCs w:val="22"/>
          <w:u w:val="none"/>
        </w:rPr>
        <w:t>7.3.12.</w:t>
      </w:r>
      <w:r>
        <w:rPr>
          <w:rStyle w:val="Hyperlink"/>
          <w:rFonts w:eastAsia="Times New Roman" w:cs="Times New Roman" w:ascii="Times New Roman" w:hAnsi="Times New Roman"/>
          <w:b/>
          <w:color w:val="000000"/>
          <w:sz w:val="22"/>
          <w:szCs w:val="22"/>
          <w:u w:val="none"/>
        </w:rPr>
        <w:t xml:space="preserve"> </w:t>
      </w:r>
      <w:r>
        <w:rPr>
          <w:rStyle w:val="Hyperlink"/>
          <w:rFonts w:eastAsia="Times New Roman" w:cs="Times New Roman" w:ascii="Times New Roman" w:hAnsi="Times New Roman"/>
          <w:color w:val="000000"/>
          <w:sz w:val="22"/>
          <w:szCs w:val="22"/>
          <w:u w:val="none"/>
        </w:rPr>
        <w:t>Se o adjudicatário recusar-se a assinar o Termo de Contrato ou se recusar a receber a Nota de Empenho, injustificadamente, ou não apresentar situação regular de habilitação, sem prejuízo das sanções previstas, serão convocados os licitantes remanescentes para celebrá-lo, observada a ordem de classificação, sujeitando-se o licitante desistente às penalidades, na forma da lei.</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b/>
          <w:color w:val="000000"/>
          <w:sz w:val="22"/>
          <w:szCs w:val="22"/>
          <w:u w:val="none"/>
        </w:rPr>
        <w:tab/>
      </w:r>
      <w:r>
        <w:rPr>
          <w:rStyle w:val="Hyperlink"/>
          <w:rFonts w:eastAsia="Times New Roman" w:cs="Times New Roman" w:ascii="Times New Roman" w:hAnsi="Times New Roman"/>
          <w:b/>
          <w:bCs/>
          <w:color w:val="000000"/>
          <w:sz w:val="22"/>
          <w:szCs w:val="22"/>
          <w:u w:val="none"/>
        </w:rPr>
        <w:t>7.3.13.</w:t>
      </w:r>
      <w:r>
        <w:rPr>
          <w:rStyle w:val="Hyperlink"/>
          <w:rFonts w:eastAsia="Times New Roman" w:cs="Times New Roman" w:ascii="Times New Roman" w:hAnsi="Times New Roman"/>
          <w:color w:val="000000"/>
          <w:sz w:val="22"/>
          <w:szCs w:val="22"/>
          <w:u w:val="none"/>
        </w:rPr>
        <w:t xml:space="preserve"> Em qualquer hipótese de aplicação de sanções, será assegurado ao fornecedor o contraditório e ampla defesa.</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b/>
          <w:bCs/>
          <w:color w:val="000000"/>
          <w:sz w:val="22"/>
          <w:szCs w:val="22"/>
          <w:u w:val="none"/>
        </w:rPr>
        <w:tab/>
        <w:t xml:space="preserve">7.3.14. </w:t>
      </w:r>
      <w:r>
        <w:rPr>
          <w:rStyle w:val="Hyperlink"/>
          <w:rFonts w:eastAsia="Times New Roman" w:cs="Times New Roman" w:ascii="Times New Roman" w:hAnsi="Times New Roman"/>
          <w:color w:val="000000"/>
          <w:sz w:val="22"/>
          <w:szCs w:val="22"/>
          <w:u w:val="none"/>
        </w:rPr>
        <w:t>Para aplicação das sanções, será observado o devido processo legal, por intermédio da instauração de processo administrativo previsto na Lei nº 9.784, de 29 de janeiro de 1999.</w:t>
      </w:r>
    </w:p>
    <w:p>
      <w:pPr>
        <w:pStyle w:val="Normal"/>
        <w:spacing w:lineRule="auto" w:line="276"/>
        <w:rPr>
          <w:rFonts w:ascii="Times New Roman" w:hAnsi="Times New Roman" w:eastAsia="Times New Roman" w:cs="Times New Roman"/>
          <w:color w:val="000000"/>
          <w:sz w:val="22"/>
          <w:szCs w:val="22"/>
          <w:u w:val="none"/>
          <w:lang w:val="pt-BR" w:eastAsia="pt-BR" w:bidi="ar-SA"/>
        </w:rPr>
      </w:pPr>
      <w:r>
        <w:rPr>
          <w:rFonts w:eastAsia="Times New Roman" w:cs="Times New Roman" w:ascii="Times New Roman" w:hAnsi="Times New Roman"/>
          <w:color w:val="000000"/>
          <w:sz w:val="22"/>
          <w:szCs w:val="22"/>
          <w:u w:val="none"/>
          <w:lang w:val="pt-BR" w:eastAsia="pt-BR" w:bidi="ar-SA"/>
        </w:rPr>
      </w:r>
    </w:p>
    <w:p>
      <w:pPr>
        <w:pStyle w:val="Normal"/>
        <w:spacing w:lineRule="auto" w:line="276"/>
        <w:rPr/>
      </w:pPr>
      <w:r>
        <w:rPr>
          <w:rStyle w:val="Hyperlink"/>
          <w:rFonts w:cs="Times New Roman" w:ascii="Times New Roman" w:hAnsi="Times New Roman"/>
          <w:b/>
          <w:bCs/>
          <w:color w:val="000000"/>
          <w:sz w:val="22"/>
          <w:szCs w:val="22"/>
          <w:u w:val="none"/>
        </w:rPr>
        <w:t>CLÁUSULA OITAVA – DO REAJUSTE DE PREÇOS</w:t>
      </w:r>
    </w:p>
    <w:p>
      <w:pPr>
        <w:pStyle w:val="Normal"/>
        <w:spacing w:lineRule="auto" w:line="276"/>
        <w:rPr>
          <w:rFonts w:ascii="Times New Roman" w:hAnsi="Times New Roman" w:eastAsia="Times New Roman" w:cs="Times New Roman"/>
          <w:color w:val="000000"/>
          <w:sz w:val="22"/>
          <w:szCs w:val="22"/>
          <w:u w:val="none"/>
          <w:lang w:val="pt-BR" w:eastAsia="zh-CN" w:bidi="ar-SA"/>
        </w:rPr>
      </w:pPr>
      <w:r>
        <w:rPr>
          <w:rFonts w:eastAsia="Times New Roman" w:cs="Times New Roman" w:ascii="Times New Roman" w:hAnsi="Times New Roman"/>
          <w:color w:val="000000"/>
          <w:sz w:val="22"/>
          <w:szCs w:val="22"/>
          <w:u w:val="none"/>
          <w:lang w:val="pt-BR" w:eastAsia="zh-CN" w:bidi="ar-SA"/>
        </w:rPr>
      </w:r>
    </w:p>
    <w:p>
      <w:pPr>
        <w:pStyle w:val="Normal"/>
        <w:tabs>
          <w:tab w:val="clear" w:pos="720"/>
          <w:tab w:val="left" w:pos="338" w:leader="none"/>
        </w:tabs>
        <w:spacing w:lineRule="auto" w:line="276"/>
        <w:jc w:val="both"/>
        <w:rPr/>
      </w:pPr>
      <w:r>
        <w:rPr>
          <w:rStyle w:val="Hyperlink"/>
          <w:rFonts w:eastAsia="Times New Roman" w:cs="Times New Roman" w:ascii="Times New Roman" w:hAnsi="Times New Roman"/>
          <w:b/>
          <w:bCs/>
          <w:color w:val="000000"/>
          <w:sz w:val="22"/>
          <w:szCs w:val="22"/>
          <w:u w:val="none"/>
          <w:lang w:eastAsia="zh-CN"/>
        </w:rPr>
        <w:tab/>
        <w:t>8.1.</w:t>
      </w:r>
      <w:r>
        <w:rPr>
          <w:rStyle w:val="Hyperlink"/>
          <w:rFonts w:eastAsia="Times New Roman" w:cs="Times New Roman" w:ascii="Times New Roman" w:hAnsi="Times New Roman"/>
          <w:color w:val="000000"/>
          <w:sz w:val="22"/>
          <w:szCs w:val="22"/>
          <w:u w:val="none"/>
          <w:lang w:eastAsia="zh-CN"/>
        </w:rPr>
        <w:t xml:space="preserve"> A avença a ser firmada poderá sofrer reajuste de preços, obedecendo a seguinte regra:</w:t>
      </w:r>
    </w:p>
    <w:p>
      <w:pPr>
        <w:pStyle w:val="Normal"/>
        <w:spacing w:lineRule="auto" w:line="276"/>
        <w:rPr>
          <w:rFonts w:ascii="Times New Roman" w:hAnsi="Times New Roman" w:eastAsia="Times New Roman" w:cs="Times New Roman"/>
          <w:color w:val="00000A"/>
          <w:sz w:val="22"/>
          <w:szCs w:val="22"/>
          <w:u w:val="none"/>
          <w:lang w:val="pt-BR" w:eastAsia="zh-CN" w:bidi="ar-SA"/>
        </w:rPr>
      </w:pPr>
      <w:r>
        <w:rPr>
          <w:rFonts w:eastAsia="Times New Roman" w:cs="Times New Roman" w:ascii="Times New Roman" w:hAnsi="Times New Roman"/>
          <w:color w:val="00000A"/>
          <w:sz w:val="22"/>
          <w:szCs w:val="22"/>
          <w:u w:val="none"/>
          <w:lang w:val="pt-BR" w:eastAsia="zh-CN" w:bidi="ar-SA"/>
        </w:rPr>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8.1.1.</w:t>
      </w:r>
      <w:r>
        <w:rPr>
          <w:rStyle w:val="Hyperlink"/>
          <w:rFonts w:eastAsia="Times New Roman" w:cs="Times New Roman" w:ascii="Times New Roman" w:hAnsi="Times New Roman"/>
          <w:color w:val="00000A"/>
          <w:sz w:val="22"/>
          <w:szCs w:val="22"/>
          <w:u w:val="none"/>
          <w:lang w:eastAsia="zh-CN"/>
        </w:rPr>
        <w:t xml:space="preserve"> o primeiro reajustamento poderá ocorrerá após decorridos 12 (doze) meses, contados a partir da data efetiva da proposta de preços;</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8.1.2.</w:t>
      </w:r>
      <w:r>
        <w:rPr>
          <w:rStyle w:val="Hyperlink"/>
          <w:rFonts w:eastAsia="Times New Roman" w:cs="Times New Roman" w:ascii="Times New Roman" w:hAnsi="Times New Roman"/>
          <w:color w:val="00000A"/>
          <w:sz w:val="22"/>
          <w:szCs w:val="22"/>
          <w:u w:val="none"/>
          <w:lang w:eastAsia="zh-CN"/>
        </w:rPr>
        <w:t xml:space="preserve"> os reajustes subsequentes ocorrerão decorridos 12 (doze) meses, a contar da data do primeiro reajustamento;</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 xml:space="preserve">8.1.3. </w:t>
      </w:r>
      <w:r>
        <w:rPr>
          <w:rStyle w:val="Hyperlink"/>
          <w:rFonts w:eastAsia="Times New Roman" w:cs="Times New Roman" w:ascii="Times New Roman" w:hAnsi="Times New Roman"/>
          <w:color w:val="00000A"/>
          <w:sz w:val="22"/>
          <w:szCs w:val="22"/>
          <w:u w:val="none"/>
          <w:lang w:eastAsia="zh-CN"/>
        </w:rPr>
        <w:t>será admitido pela Administração o reajustamento com base no índice do IPCA, sobre o valor praticado no contrato;</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8.1.4.</w:t>
      </w:r>
      <w:r>
        <w:rPr>
          <w:rStyle w:val="Hyperlink"/>
          <w:rFonts w:eastAsia="Times New Roman" w:cs="Times New Roman" w:ascii="Times New Roman" w:hAnsi="Times New Roman"/>
          <w:color w:val="00000A"/>
          <w:sz w:val="22"/>
          <w:szCs w:val="22"/>
          <w:u w:val="none"/>
          <w:lang w:eastAsia="zh-CN"/>
        </w:rPr>
        <w:t xml:space="preserve"> caso ocorra a extinção do índice fixado pela Administração, as partes em comum acordo, elegerão novo índice para reajuste;</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8.1.5.</w:t>
      </w:r>
      <w:r>
        <w:rPr>
          <w:rStyle w:val="Hyperlink"/>
          <w:rFonts w:eastAsia="Times New Roman" w:cs="Times New Roman" w:ascii="Times New Roman" w:hAnsi="Times New Roman"/>
          <w:color w:val="00000A"/>
          <w:sz w:val="22"/>
          <w:szCs w:val="22"/>
          <w:u w:val="none"/>
          <w:lang w:eastAsia="zh-CN"/>
        </w:rPr>
        <w:t xml:space="preserve"> o preço contrato será reajustado para mais ou para menos, de acordo com a variação do índice indicado no item 8.1.3 com base na fórmula abaixo, vedada a periodicidade de reajuste inferior a um ano (12 meses), contados da data limite para apresentação da proposta (redação dada pelo Decreto nº 1.110, de 13/04/1994) - Decreto nº 1054, de 07/02/1994:</w:t>
      </w:r>
    </w:p>
    <w:p>
      <w:pPr>
        <w:pStyle w:val="Normal"/>
        <w:spacing w:lineRule="auto" w:line="276"/>
        <w:rPr>
          <w:rFonts w:ascii="Times New Roman" w:hAnsi="Times New Roman" w:eastAsia="Times New Roman" w:cs="Times New Roman"/>
          <w:color w:val="00000A"/>
          <w:sz w:val="22"/>
          <w:szCs w:val="22"/>
          <w:u w:val="none"/>
          <w:lang w:val="pt-BR" w:eastAsia="zh-CN" w:bidi="ar-SA"/>
        </w:rPr>
      </w:pPr>
      <w:r>
        <w:rPr>
          <w:rFonts w:eastAsia="Times New Roman" w:cs="Times New Roman" w:ascii="Times New Roman" w:hAnsi="Times New Roman"/>
          <w:color w:val="00000A"/>
          <w:sz w:val="22"/>
          <w:szCs w:val="22"/>
          <w:u w:val="none"/>
          <w:lang w:val="pt-BR" w:eastAsia="zh-CN" w:bidi="ar-SA"/>
        </w:rPr>
      </w:r>
    </w:p>
    <w:p>
      <w:pPr>
        <w:pStyle w:val="Normal"/>
        <w:spacing w:lineRule="auto" w:line="276"/>
        <w:ind w:hanging="0" w:left="600"/>
        <w:rPr/>
      </w:pPr>
      <w:r>
        <w:rPr>
          <w:rStyle w:val="Hyperlink"/>
          <w:rFonts w:eastAsia="Times New Roman" w:cs="Times New Roman" w:ascii="Times New Roman" w:hAnsi="Times New Roman"/>
          <w:color w:val="00000A"/>
          <w:sz w:val="22"/>
          <w:szCs w:val="22"/>
          <w:u w:val="none"/>
          <w:lang w:eastAsia="zh-CN"/>
        </w:rPr>
        <w:t>I - Io</w:t>
      </w:r>
    </w:p>
    <w:p>
      <w:pPr>
        <w:pStyle w:val="Normal"/>
        <w:spacing w:lineRule="auto" w:line="276"/>
        <w:rPr>
          <w:rFonts w:ascii="Times New Roman" w:hAnsi="Times New Roman" w:eastAsia="Times New Roman" w:cs="Times New Roman"/>
          <w:color w:val="00000A"/>
          <w:sz w:val="22"/>
          <w:szCs w:val="22"/>
          <w:u w:val="none"/>
          <w:lang w:val="pt-BR" w:eastAsia="zh-CN" w:bidi="ar-SA"/>
        </w:rPr>
      </w:pPr>
      <w:r>
        <w:rPr>
          <w:rFonts w:eastAsia="Times New Roman" w:cs="Times New Roman" w:ascii="Times New Roman" w:hAnsi="Times New Roman"/>
          <w:color w:val="00000A"/>
          <w:sz w:val="22"/>
          <w:szCs w:val="22"/>
          <w:u w:val="none"/>
          <w:lang w:val="pt-BR" w:eastAsia="zh-CN" w:bidi="ar-SA"/>
        </w:rPr>
      </w:r>
    </w:p>
    <w:p>
      <w:pPr>
        <w:pStyle w:val="Normal"/>
        <w:spacing w:lineRule="auto" w:line="276"/>
        <w:ind w:hanging="0" w:left="600"/>
        <w:rPr/>
      </w:pPr>
      <w:r>
        <w:rPr>
          <w:rStyle w:val="Hyperlink"/>
          <w:rFonts w:eastAsia="Times New Roman" w:cs="Times New Roman" w:ascii="Times New Roman" w:hAnsi="Times New Roman"/>
          <w:color w:val="00000A"/>
          <w:sz w:val="22"/>
          <w:szCs w:val="22"/>
          <w:u w:val="none"/>
          <w:lang w:eastAsia="zh-CN"/>
        </w:rPr>
        <w:t>R = V _______ , onde:</w:t>
      </w:r>
    </w:p>
    <w:p>
      <w:pPr>
        <w:pStyle w:val="Normal"/>
        <w:spacing w:lineRule="auto" w:line="276"/>
        <w:rPr>
          <w:rFonts w:ascii="Times New Roman" w:hAnsi="Times New Roman" w:eastAsia="Times New Roman" w:cs="Times New Roman"/>
          <w:color w:val="00000A"/>
          <w:sz w:val="22"/>
          <w:szCs w:val="22"/>
          <w:u w:val="none"/>
          <w:lang w:val="pt-BR" w:eastAsia="zh-CN" w:bidi="ar-SA"/>
        </w:rPr>
      </w:pPr>
      <w:r>
        <w:rPr>
          <w:rFonts w:eastAsia="Times New Roman" w:cs="Times New Roman" w:ascii="Times New Roman" w:hAnsi="Times New Roman"/>
          <w:color w:val="00000A"/>
          <w:sz w:val="22"/>
          <w:szCs w:val="22"/>
          <w:u w:val="none"/>
          <w:lang w:val="pt-BR" w:eastAsia="zh-CN" w:bidi="ar-SA"/>
        </w:rPr>
      </w:r>
    </w:p>
    <w:p>
      <w:pPr>
        <w:pStyle w:val="Normal"/>
        <w:spacing w:lineRule="auto" w:line="276"/>
        <w:ind w:hanging="0" w:left="600"/>
        <w:rPr/>
      </w:pPr>
      <w:r>
        <w:rPr>
          <w:rStyle w:val="Hyperlink"/>
          <w:rFonts w:eastAsia="Times New Roman" w:cs="Times New Roman" w:ascii="Times New Roman" w:hAnsi="Times New Roman"/>
          <w:color w:val="00000A"/>
          <w:sz w:val="22"/>
          <w:szCs w:val="22"/>
          <w:u w:val="none"/>
          <w:lang w:eastAsia="zh-CN"/>
        </w:rPr>
        <w:t>Io</w:t>
      </w:r>
    </w:p>
    <w:p>
      <w:pPr>
        <w:pStyle w:val="Normal"/>
        <w:spacing w:lineRule="auto" w:line="276"/>
        <w:rPr>
          <w:rFonts w:ascii="Times New Roman" w:hAnsi="Times New Roman" w:eastAsia="Times New Roman" w:cs="Times New Roman"/>
          <w:color w:val="00000A"/>
          <w:sz w:val="22"/>
          <w:szCs w:val="22"/>
          <w:u w:val="none"/>
          <w:lang w:val="pt-BR" w:eastAsia="zh-CN" w:bidi="ar-SA"/>
        </w:rPr>
      </w:pPr>
      <w:r>
        <w:rPr>
          <w:rFonts w:eastAsia="Times New Roman" w:cs="Times New Roman" w:ascii="Times New Roman" w:hAnsi="Times New Roman"/>
          <w:color w:val="00000A"/>
          <w:sz w:val="22"/>
          <w:szCs w:val="22"/>
          <w:u w:val="none"/>
          <w:lang w:val="pt-BR" w:eastAsia="zh-CN" w:bidi="ar-SA"/>
        </w:rPr>
      </w:r>
    </w:p>
    <w:p>
      <w:pPr>
        <w:pStyle w:val="Normal"/>
        <w:spacing w:lineRule="auto" w:line="276"/>
        <w:ind w:hanging="0" w:left="600"/>
        <w:rPr/>
      </w:pPr>
      <w:r>
        <w:rPr>
          <w:rStyle w:val="Hyperlink"/>
          <w:rFonts w:eastAsia="Times New Roman" w:cs="Times New Roman" w:ascii="Times New Roman" w:hAnsi="Times New Roman"/>
          <w:color w:val="00000A"/>
          <w:sz w:val="22"/>
          <w:szCs w:val="22"/>
          <w:u w:val="none"/>
          <w:lang w:eastAsia="zh-CN"/>
        </w:rPr>
        <w:t>R = valor do reajuste procurado;</w:t>
      </w:r>
    </w:p>
    <w:p>
      <w:pPr>
        <w:pStyle w:val="Normal"/>
        <w:spacing w:lineRule="auto" w:line="276"/>
        <w:rPr>
          <w:rFonts w:ascii="Times New Roman" w:hAnsi="Times New Roman" w:eastAsia="Times New Roman" w:cs="Times New Roman"/>
          <w:color w:val="00000A"/>
          <w:sz w:val="22"/>
          <w:szCs w:val="22"/>
          <w:u w:val="none"/>
          <w:lang w:val="pt-BR" w:eastAsia="zh-CN" w:bidi="ar-SA"/>
        </w:rPr>
      </w:pPr>
      <w:r>
        <w:rPr>
          <w:rFonts w:eastAsia="Times New Roman" w:cs="Times New Roman" w:ascii="Times New Roman" w:hAnsi="Times New Roman"/>
          <w:color w:val="00000A"/>
          <w:sz w:val="22"/>
          <w:szCs w:val="22"/>
          <w:u w:val="none"/>
          <w:lang w:val="pt-BR" w:eastAsia="zh-CN" w:bidi="ar-SA"/>
        </w:rPr>
      </w:r>
    </w:p>
    <w:p>
      <w:pPr>
        <w:pStyle w:val="Normal"/>
        <w:spacing w:lineRule="auto" w:line="276"/>
        <w:ind w:hanging="0" w:left="600"/>
        <w:rPr/>
      </w:pPr>
      <w:r>
        <w:rPr>
          <w:rStyle w:val="Hyperlink"/>
          <w:rFonts w:eastAsia="Times New Roman" w:cs="Times New Roman" w:ascii="Times New Roman" w:hAnsi="Times New Roman"/>
          <w:color w:val="00000A"/>
          <w:sz w:val="22"/>
          <w:szCs w:val="22"/>
          <w:u w:val="none"/>
          <w:lang w:eastAsia="zh-CN"/>
        </w:rPr>
        <w:t>V = valor contratual do fornecimento, obra ou serviço a ser reajustado;</w:t>
      </w:r>
    </w:p>
    <w:p>
      <w:pPr>
        <w:pStyle w:val="Normal"/>
        <w:spacing w:lineRule="auto" w:line="276"/>
        <w:rPr>
          <w:rFonts w:ascii="Times New Roman" w:hAnsi="Times New Roman" w:eastAsia="Times New Roman" w:cs="Times New Roman"/>
          <w:color w:val="00000A"/>
          <w:sz w:val="22"/>
          <w:szCs w:val="22"/>
          <w:u w:val="none"/>
          <w:lang w:val="pt-BR" w:eastAsia="zh-CN" w:bidi="ar-SA"/>
        </w:rPr>
      </w:pPr>
      <w:r>
        <w:rPr>
          <w:rFonts w:eastAsia="Times New Roman" w:cs="Times New Roman" w:ascii="Times New Roman" w:hAnsi="Times New Roman"/>
          <w:color w:val="00000A"/>
          <w:sz w:val="22"/>
          <w:szCs w:val="22"/>
          <w:u w:val="none"/>
          <w:lang w:val="pt-BR" w:eastAsia="zh-CN" w:bidi="ar-SA"/>
        </w:rPr>
      </w:r>
    </w:p>
    <w:p>
      <w:pPr>
        <w:pStyle w:val="Normal"/>
        <w:spacing w:lineRule="auto" w:line="276"/>
        <w:ind w:firstLine="502" w:left="120"/>
        <w:jc w:val="both"/>
        <w:rPr/>
      </w:pPr>
      <w:r>
        <w:rPr>
          <w:rStyle w:val="Hyperlink"/>
          <w:rFonts w:eastAsia="Times New Roman" w:cs="Times New Roman" w:ascii="Times New Roman" w:hAnsi="Times New Roman"/>
          <w:color w:val="00000A"/>
          <w:sz w:val="22"/>
          <w:szCs w:val="22"/>
          <w:u w:val="none"/>
          <w:lang w:eastAsia="zh-CN"/>
        </w:rPr>
        <w:t>Io = índice inicial - refere-se ao índice de custos ou de preços correspondente à data fixada para entrega da proposta da licitação;</w:t>
      </w:r>
    </w:p>
    <w:p>
      <w:pPr>
        <w:pStyle w:val="Normal"/>
        <w:spacing w:lineRule="auto" w:line="276"/>
        <w:rPr>
          <w:rFonts w:ascii="Times New Roman" w:hAnsi="Times New Roman" w:eastAsia="Times New Roman" w:cs="Times New Roman"/>
          <w:color w:val="00000A"/>
          <w:sz w:val="22"/>
          <w:szCs w:val="22"/>
          <w:u w:val="none"/>
          <w:lang w:val="pt-BR" w:eastAsia="zh-CN" w:bidi="ar-SA"/>
        </w:rPr>
      </w:pPr>
      <w:r>
        <w:rPr>
          <w:rFonts w:eastAsia="Times New Roman" w:cs="Times New Roman" w:ascii="Times New Roman" w:hAnsi="Times New Roman"/>
          <w:color w:val="00000A"/>
          <w:sz w:val="22"/>
          <w:szCs w:val="22"/>
          <w:u w:val="none"/>
          <w:lang w:val="pt-BR" w:eastAsia="zh-CN" w:bidi="ar-SA"/>
        </w:rPr>
      </w:r>
    </w:p>
    <w:p>
      <w:pPr>
        <w:pStyle w:val="Normal"/>
        <w:tabs>
          <w:tab w:val="clear" w:pos="720"/>
          <w:tab w:val="left" w:pos="567" w:leader="none"/>
        </w:tabs>
        <w:spacing w:lineRule="auto" w:line="276"/>
        <w:ind w:hanging="0" w:left="120"/>
        <w:rPr/>
      </w:pPr>
      <w:r>
        <w:rPr>
          <w:rStyle w:val="Hyperlink"/>
          <w:rFonts w:eastAsia="Times New Roman" w:cs="Times New Roman" w:ascii="Times New Roman" w:hAnsi="Times New Roman"/>
          <w:color w:val="00000A"/>
          <w:sz w:val="22"/>
          <w:szCs w:val="22"/>
          <w:u w:val="none"/>
          <w:lang w:eastAsia="zh-CN"/>
        </w:rPr>
        <w:t xml:space="preserve">        </w:t>
      </w:r>
      <w:r>
        <w:rPr>
          <w:rStyle w:val="Hyperlink"/>
          <w:rFonts w:eastAsia="Times New Roman" w:cs="Times New Roman" w:ascii="Times New Roman" w:hAnsi="Times New Roman"/>
          <w:color w:val="00000A"/>
          <w:sz w:val="22"/>
          <w:szCs w:val="22"/>
          <w:u w:val="none"/>
          <w:lang w:eastAsia="zh-CN"/>
        </w:rPr>
        <w:tab/>
        <w:t xml:space="preserve"> I= índice relativo à data do reajuste</w:t>
      </w:r>
    </w:p>
    <w:p>
      <w:pPr>
        <w:pStyle w:val="Normal"/>
        <w:spacing w:lineRule="auto" w:line="276"/>
        <w:ind w:hanging="0" w:left="120"/>
        <w:rPr>
          <w:rFonts w:ascii="Times New Roman" w:hAnsi="Times New Roman" w:eastAsia="SimSun" w:cs="Times New Roman"/>
          <w:color w:val="00000A"/>
          <w:sz w:val="22"/>
          <w:szCs w:val="22"/>
          <w:u w:val="none"/>
          <w:lang w:val="pt-BR" w:eastAsia="pt-BR" w:bidi="ar-SA"/>
        </w:rPr>
      </w:pPr>
      <w:r>
        <w:rPr>
          <w:rFonts w:eastAsia="SimSun" w:cs="Times New Roman" w:ascii="Times New Roman" w:hAnsi="Times New Roman"/>
          <w:color w:val="00000A"/>
          <w:sz w:val="22"/>
          <w:szCs w:val="22"/>
          <w:u w:val="none"/>
          <w:lang w:val="pt-BR" w:eastAsia="pt-BR" w:bidi="ar-SA"/>
        </w:rPr>
      </w:r>
    </w:p>
    <w:p>
      <w:pPr>
        <w:pStyle w:val="Normal"/>
        <w:tabs>
          <w:tab w:val="clear" w:pos="720"/>
          <w:tab w:val="left" w:pos="338" w:leader="none"/>
        </w:tabs>
        <w:spacing w:lineRule="auto" w:line="276"/>
        <w:jc w:val="both"/>
        <w:rPr/>
      </w:pPr>
      <w:r>
        <w:rPr>
          <w:rStyle w:val="Hyperlink"/>
          <w:rFonts w:eastAsia="Times New Roman" w:cs="Times New Roman" w:ascii="Times New Roman" w:hAnsi="Times New Roman"/>
          <w:b/>
          <w:bCs/>
          <w:color w:val="00000A"/>
          <w:sz w:val="22"/>
          <w:szCs w:val="22"/>
          <w:u w:val="none"/>
          <w:lang w:eastAsia="zh-CN"/>
        </w:rPr>
        <w:tab/>
        <w:t xml:space="preserve">8.2. </w:t>
      </w:r>
      <w:r>
        <w:rPr>
          <w:rStyle w:val="Hyperlink"/>
          <w:rFonts w:eastAsia="Times New Roman" w:cs="Times New Roman" w:ascii="Times New Roman" w:hAnsi="Times New Roman"/>
          <w:color w:val="00000A"/>
          <w:sz w:val="22"/>
          <w:szCs w:val="22"/>
          <w:u w:val="none"/>
          <w:lang w:eastAsia="zh-CN"/>
        </w:rPr>
        <w:t>Fica ressalvada a possibilidade de alteração das condições para a concessão de reajustes em face da superveniência de normas federais aplicáveis à espécie.</w:t>
      </w:r>
    </w:p>
    <w:p>
      <w:pPr>
        <w:pStyle w:val="Normal"/>
        <w:spacing w:lineRule="auto" w:line="276"/>
        <w:rPr>
          <w:rFonts w:ascii="Times New Roman" w:hAnsi="Times New Roman" w:eastAsia="Times New Roman" w:cs="Times New Roman"/>
          <w:color w:val="00000A"/>
          <w:sz w:val="22"/>
          <w:szCs w:val="22"/>
          <w:u w:val="none"/>
          <w:lang w:val="pt-BR" w:eastAsia="zh-CN" w:bidi="ar-SA"/>
        </w:rPr>
      </w:pPr>
      <w:r>
        <w:rPr>
          <w:rFonts w:eastAsia="Times New Roman" w:cs="Times New Roman" w:ascii="Times New Roman" w:hAnsi="Times New Roman"/>
          <w:color w:val="00000A"/>
          <w:sz w:val="22"/>
          <w:szCs w:val="22"/>
          <w:u w:val="none"/>
          <w:lang w:val="pt-BR" w:eastAsia="zh-CN" w:bidi="ar-SA"/>
        </w:rPr>
      </w:r>
    </w:p>
    <w:p>
      <w:pPr>
        <w:pStyle w:val="Normal"/>
        <w:spacing w:lineRule="auto" w:line="276"/>
        <w:jc w:val="both"/>
        <w:rPr/>
      </w:pPr>
      <w:r>
        <w:rPr>
          <w:rStyle w:val="Hyperlink"/>
          <w:rFonts w:eastAsia="Times New Roman" w:cs="Times New Roman" w:ascii="Times New Roman" w:hAnsi="Times New Roman"/>
          <w:b/>
          <w:bCs/>
          <w:color w:val="00000A"/>
          <w:sz w:val="22"/>
          <w:szCs w:val="22"/>
          <w:u w:val="none"/>
          <w:lang w:eastAsia="zh-CN"/>
        </w:rPr>
        <w:t>CLÁUSULA NONA – DAS CONDIÇÕES DE RECEBIMENTO DO OBJETO DA ATA DE REGISTRO DE PREÇOS</w:t>
      </w:r>
    </w:p>
    <w:p>
      <w:pPr>
        <w:pStyle w:val="Normal"/>
        <w:spacing w:lineRule="auto" w:line="276"/>
        <w:rPr>
          <w:rFonts w:ascii="Times New Roman" w:hAnsi="Times New Roman" w:eastAsia="Times New Roman" w:cs="Times New Roman"/>
          <w:color w:val="00000A"/>
          <w:sz w:val="22"/>
          <w:szCs w:val="22"/>
          <w:u w:val="none"/>
          <w:shd w:fill="auto" w:val="clear"/>
          <w:lang w:val="pt-BR" w:eastAsia="zh-CN" w:bidi="ar-SA"/>
        </w:rPr>
      </w:pPr>
      <w:r>
        <w:rPr>
          <w:rFonts w:eastAsia="Times New Roman" w:cs="Times New Roman" w:ascii="Times New Roman" w:hAnsi="Times New Roman"/>
          <w:color w:val="00000A"/>
          <w:sz w:val="22"/>
          <w:szCs w:val="22"/>
          <w:u w:val="none"/>
          <w:shd w:fill="auto" w:val="clear"/>
          <w:lang w:val="pt-BR" w:eastAsia="zh-CN" w:bidi="ar-SA"/>
        </w:rPr>
      </w:r>
    </w:p>
    <w:p>
      <w:pPr>
        <w:pStyle w:val="Normal"/>
        <w:tabs>
          <w:tab w:val="clear" w:pos="720"/>
          <w:tab w:val="left" w:pos="338" w:leader="none"/>
        </w:tabs>
        <w:spacing w:lineRule="auto" w:line="276"/>
        <w:jc w:val="both"/>
        <w:rPr/>
      </w:pPr>
      <w:r>
        <w:rPr>
          <w:rStyle w:val="Hyperlink"/>
          <w:rFonts w:eastAsia="Times New Roman" w:cs="Times New Roman" w:ascii="Times New Roman" w:hAnsi="Times New Roman"/>
          <w:b/>
          <w:bCs/>
          <w:color w:val="00000A"/>
          <w:sz w:val="22"/>
          <w:szCs w:val="22"/>
          <w:u w:val="none"/>
          <w:shd w:fill="auto" w:val="clear"/>
          <w:lang w:eastAsia="zh-CN"/>
        </w:rPr>
        <w:tab/>
        <w:t xml:space="preserve">9.1. </w:t>
      </w:r>
      <w:r>
        <w:rPr>
          <w:rStyle w:val="Hyperlink"/>
          <w:rFonts w:eastAsia="Times New Roman" w:cs="Times New Roman" w:ascii="Times New Roman" w:hAnsi="Times New Roman"/>
          <w:color w:val="00000A"/>
          <w:sz w:val="22"/>
          <w:szCs w:val="22"/>
          <w:u w:val="none"/>
          <w:shd w:fill="auto" w:val="clear"/>
          <w:lang w:eastAsia="zh-CN"/>
        </w:rPr>
        <w:t xml:space="preserve">O objeto desta Ata de Registro de Preços será recebido pela IMBEL - FI, consoante o disposto no </w:t>
      </w:r>
      <w:r>
        <w:rPr>
          <w:rStyle w:val="Hyperlink1"/>
          <w:rFonts w:eastAsia="Times New Roman" w:cs="Times New Roman" w:ascii="Times New Roman" w:hAnsi="Times New Roman"/>
          <w:color w:val="000000"/>
          <w:sz w:val="22"/>
          <w:szCs w:val="22"/>
          <w:u w:val="none"/>
          <w:shd w:fill="auto" w:val="clear"/>
          <w:lang w:eastAsia="zh-CN"/>
        </w:rPr>
        <w:t>Art. 182 do Regulamento de Licitações e Contratos da IMBEL e demais normas pertinentes.</w:t>
      </w:r>
    </w:p>
    <w:p>
      <w:pPr>
        <w:pStyle w:val="Normal"/>
        <w:tabs>
          <w:tab w:val="clear" w:pos="720"/>
          <w:tab w:val="left" w:pos="338" w:leader="none"/>
        </w:tabs>
        <w:spacing w:lineRule="auto" w:line="276"/>
        <w:jc w:val="both"/>
        <w:rPr/>
      </w:pPr>
      <w:r>
        <w:rPr>
          <w:rStyle w:val="Hyperlink"/>
          <w:rFonts w:eastAsia="Times New Roman" w:cs="Times New Roman" w:ascii="Times New Roman" w:hAnsi="Times New Roman"/>
          <w:b/>
          <w:bCs/>
          <w:color w:val="00000A"/>
          <w:sz w:val="22"/>
          <w:szCs w:val="22"/>
          <w:u w:val="none"/>
          <w:shd w:fill="auto" w:val="clear"/>
          <w:lang w:eastAsia="zh-CN"/>
        </w:rPr>
        <w:tab/>
        <w:t xml:space="preserve">9.2. </w:t>
      </w:r>
      <w:r>
        <w:rPr>
          <w:rStyle w:val="Hyperlink"/>
          <w:rFonts w:eastAsia="Times New Roman" w:cs="Times New Roman" w:ascii="Times New Roman" w:hAnsi="Times New Roman"/>
          <w:color w:val="00000A"/>
          <w:sz w:val="22"/>
          <w:szCs w:val="22"/>
          <w:u w:val="none"/>
          <w:shd w:fill="auto" w:val="clear"/>
          <w:lang w:eastAsia="zh-CN"/>
        </w:rPr>
        <w:t xml:space="preserve">A cada fornecimento, será emitido recibo nos termos da </w:t>
      </w:r>
      <w:r>
        <w:rPr>
          <w:rStyle w:val="Hyperlink"/>
          <w:rFonts w:eastAsia="Times New Roman" w:cs="Times New Roman" w:ascii="Times New Roman" w:hAnsi="Times New Roman"/>
          <w:color w:val="000000"/>
          <w:sz w:val="22"/>
          <w:szCs w:val="22"/>
          <w:u w:val="none"/>
          <w:shd w:fill="auto" w:val="clear"/>
        </w:rPr>
        <w:t>Lei nº 14.133/2021</w:t>
      </w:r>
      <w:r>
        <w:rPr>
          <w:rStyle w:val="Hyperlink"/>
          <w:rFonts w:eastAsia="Times New Roman" w:cs="Times New Roman" w:ascii="Times New Roman" w:hAnsi="Times New Roman"/>
          <w:color w:val="00000A"/>
          <w:sz w:val="22"/>
          <w:szCs w:val="22"/>
          <w:u w:val="none"/>
          <w:shd w:fill="auto" w:val="clear"/>
          <w:lang w:eastAsia="zh-CN"/>
        </w:rPr>
        <w:t xml:space="preserve"> e Decreto nº 3.555/2000, por pessoa indicada pela administração.</w:t>
      </w:r>
    </w:p>
    <w:p>
      <w:pPr>
        <w:pStyle w:val="Normal"/>
        <w:spacing w:lineRule="auto" w:line="276"/>
        <w:rPr>
          <w:rFonts w:ascii="Times New Roman" w:hAnsi="Times New Roman" w:eastAsia="Times New Roman" w:cs="Times New Roman"/>
          <w:b/>
          <w:bCs/>
          <w:color w:val="00000A"/>
          <w:sz w:val="22"/>
          <w:szCs w:val="22"/>
          <w:u w:val="none"/>
          <w:lang w:val="pt-BR" w:eastAsia="zh-CN" w:bidi="ar-SA"/>
        </w:rPr>
      </w:pPr>
      <w:r>
        <w:rPr>
          <w:rFonts w:eastAsia="Times New Roman" w:cs="Times New Roman" w:ascii="Times New Roman" w:hAnsi="Times New Roman"/>
          <w:b/>
          <w:bCs/>
          <w:color w:val="00000A"/>
          <w:sz w:val="22"/>
          <w:szCs w:val="22"/>
          <w:u w:val="none"/>
          <w:lang w:val="pt-BR" w:eastAsia="zh-CN" w:bidi="ar-SA"/>
        </w:rPr>
      </w:r>
    </w:p>
    <w:p>
      <w:pPr>
        <w:pStyle w:val="Normal"/>
        <w:spacing w:lineRule="auto" w:line="276"/>
        <w:rPr/>
      </w:pPr>
      <w:r>
        <w:rPr>
          <w:rStyle w:val="Hyperlink"/>
          <w:rFonts w:eastAsia="Times New Roman" w:cs="Times New Roman" w:ascii="Times New Roman" w:hAnsi="Times New Roman"/>
          <w:b/>
          <w:bCs/>
          <w:color w:val="00000A"/>
          <w:sz w:val="22"/>
          <w:szCs w:val="22"/>
          <w:u w:val="none"/>
          <w:lang w:eastAsia="zh-CN"/>
        </w:rPr>
        <w:t>CLÁUSULA DÉCIMA – DO CANCELAMENTO DA ATA DE REGISTRO DE PREÇOS</w:t>
      </w:r>
    </w:p>
    <w:p>
      <w:pPr>
        <w:pStyle w:val="Normal"/>
        <w:spacing w:lineRule="auto" w:line="276"/>
        <w:rPr>
          <w:rFonts w:ascii="Times New Roman" w:hAnsi="Times New Roman" w:eastAsia="Times New Roman" w:cs="Times New Roman"/>
          <w:color w:val="00000A"/>
          <w:sz w:val="22"/>
          <w:szCs w:val="22"/>
          <w:u w:val="none"/>
          <w:lang w:val="pt-BR" w:eastAsia="zh-CN" w:bidi="ar-SA"/>
        </w:rPr>
      </w:pPr>
      <w:r>
        <w:rPr>
          <w:rFonts w:eastAsia="Times New Roman" w:cs="Times New Roman" w:ascii="Times New Roman" w:hAnsi="Times New Roman"/>
          <w:color w:val="00000A"/>
          <w:sz w:val="22"/>
          <w:szCs w:val="22"/>
          <w:u w:val="none"/>
          <w:lang w:val="pt-BR" w:eastAsia="zh-CN" w:bidi="ar-SA"/>
        </w:rPr>
      </w:r>
    </w:p>
    <w:p>
      <w:pPr>
        <w:pStyle w:val="Normal"/>
        <w:tabs>
          <w:tab w:val="clear" w:pos="720"/>
          <w:tab w:val="left" w:pos="338" w:leader="none"/>
        </w:tabs>
        <w:spacing w:lineRule="auto" w:line="276"/>
        <w:jc w:val="both"/>
        <w:rPr/>
      </w:pPr>
      <w:r>
        <w:rPr>
          <w:rStyle w:val="Hyperlink"/>
          <w:rFonts w:eastAsia="Times New Roman" w:cs="Times New Roman" w:ascii="Times New Roman" w:hAnsi="Times New Roman"/>
          <w:b/>
          <w:bCs/>
          <w:color w:val="00000A"/>
          <w:sz w:val="22"/>
          <w:szCs w:val="22"/>
          <w:u w:val="none"/>
          <w:lang w:eastAsia="zh-CN"/>
        </w:rPr>
        <w:tab/>
        <w:t xml:space="preserve">10.1. </w:t>
      </w:r>
      <w:r>
        <w:rPr>
          <w:rStyle w:val="Hyperlink"/>
          <w:rFonts w:eastAsia="Times New Roman" w:cs="Times New Roman" w:ascii="Times New Roman" w:hAnsi="Times New Roman"/>
          <w:color w:val="00000A"/>
          <w:sz w:val="22"/>
          <w:szCs w:val="22"/>
          <w:u w:val="none"/>
          <w:lang w:eastAsia="zh-CN"/>
        </w:rPr>
        <w:t>As Atas de Registro de Preços, decorrentes desta licitação serão canceladas de pleno direito pela Administração, assegurado o contraditório e à ampla defesa, quando:</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b/>
          <w:bCs/>
          <w:color w:val="00000A"/>
          <w:sz w:val="22"/>
          <w:szCs w:val="22"/>
          <w:u w:val="none"/>
          <w:lang w:eastAsia="zh-CN"/>
        </w:rPr>
        <w:tab/>
        <w:t>10.1.1.</w:t>
      </w:r>
      <w:r>
        <w:rPr>
          <w:rStyle w:val="Hyperlink"/>
          <w:rFonts w:eastAsia="Times New Roman" w:cs="Times New Roman" w:ascii="Times New Roman" w:hAnsi="Times New Roman"/>
          <w:color w:val="00000A"/>
          <w:sz w:val="22"/>
          <w:szCs w:val="22"/>
          <w:u w:val="none"/>
          <w:lang w:eastAsia="zh-CN"/>
        </w:rPr>
        <w:t xml:space="preserve"> Por decurso de prazo de vigência;</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10.1.2.</w:t>
      </w:r>
      <w:r>
        <w:rPr>
          <w:rStyle w:val="Hyperlink"/>
          <w:rFonts w:eastAsia="Times New Roman" w:cs="Times New Roman" w:ascii="Times New Roman" w:hAnsi="Times New Roman"/>
          <w:color w:val="00000A"/>
          <w:sz w:val="22"/>
          <w:szCs w:val="22"/>
          <w:u w:val="none"/>
          <w:lang w:eastAsia="zh-CN"/>
        </w:rPr>
        <w:t xml:space="preserve"> Não restarem fornecedores registrados;</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10.1.3.</w:t>
      </w:r>
      <w:r>
        <w:rPr>
          <w:rStyle w:val="Hyperlink"/>
          <w:rFonts w:eastAsia="Times New Roman" w:cs="Times New Roman" w:ascii="Times New Roman" w:hAnsi="Times New Roman"/>
          <w:color w:val="00000A"/>
          <w:sz w:val="22"/>
          <w:szCs w:val="22"/>
          <w:u w:val="none"/>
          <w:lang w:eastAsia="zh-CN"/>
        </w:rPr>
        <w:t xml:space="preserve"> A detentora não cumprir as obrigações constantes desta Ata de Registro de Preços;</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10.1.4.</w:t>
      </w:r>
      <w:r>
        <w:rPr>
          <w:rStyle w:val="Hyperlink"/>
          <w:rFonts w:eastAsia="Times New Roman" w:cs="Times New Roman" w:ascii="Times New Roman" w:hAnsi="Times New Roman"/>
          <w:color w:val="00000A"/>
          <w:sz w:val="22"/>
          <w:szCs w:val="22"/>
          <w:u w:val="none"/>
          <w:lang w:eastAsia="zh-CN"/>
        </w:rPr>
        <w:t xml:space="preserve"> A detentora não retirar o pedido de compra no prazo estabelecido e a Administração não aceitar sua justificativa;</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 xml:space="preserve">10.1.5. </w:t>
      </w:r>
      <w:r>
        <w:rPr>
          <w:rStyle w:val="Hyperlink"/>
          <w:rFonts w:eastAsia="Times New Roman" w:cs="Times New Roman" w:ascii="Times New Roman" w:hAnsi="Times New Roman"/>
          <w:color w:val="00000A"/>
          <w:sz w:val="22"/>
          <w:szCs w:val="22"/>
          <w:u w:val="none"/>
          <w:lang w:eastAsia="zh-CN"/>
        </w:rPr>
        <w:t>A detentora der causa a rescisão administrativa do contrato decorrente de Registro de Preços;</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10.1.6.</w:t>
      </w:r>
      <w:r>
        <w:rPr>
          <w:rStyle w:val="Hyperlink"/>
          <w:rFonts w:eastAsia="Times New Roman" w:cs="Times New Roman" w:ascii="Times New Roman" w:hAnsi="Times New Roman"/>
          <w:color w:val="00000A"/>
          <w:sz w:val="22"/>
          <w:szCs w:val="22"/>
          <w:u w:val="none"/>
          <w:lang w:eastAsia="zh-CN"/>
        </w:rPr>
        <w:t xml:space="preserve"> Em qualquer das hipóteses de inexecução total ou parcial do contrato decorrente de Registro de Preços;</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color w:val="00000A"/>
          <w:sz w:val="22"/>
          <w:szCs w:val="22"/>
          <w:u w:val="none"/>
          <w:lang w:eastAsia="zh-CN"/>
        </w:rPr>
        <w:tab/>
      </w:r>
      <w:r>
        <w:rPr>
          <w:rStyle w:val="Hyperlink"/>
          <w:rFonts w:eastAsia="Times New Roman" w:cs="Times New Roman" w:ascii="Times New Roman" w:hAnsi="Times New Roman"/>
          <w:b/>
          <w:bCs/>
          <w:color w:val="00000A"/>
          <w:sz w:val="22"/>
          <w:szCs w:val="22"/>
          <w:u w:val="none"/>
          <w:lang w:eastAsia="zh-CN"/>
        </w:rPr>
        <w:t>10.1.7.</w:t>
      </w:r>
      <w:r>
        <w:rPr>
          <w:rStyle w:val="Hyperlink"/>
          <w:rFonts w:eastAsia="Times New Roman" w:cs="Times New Roman" w:ascii="Times New Roman" w:hAnsi="Times New Roman"/>
          <w:color w:val="00000A"/>
          <w:sz w:val="22"/>
          <w:szCs w:val="22"/>
          <w:u w:val="none"/>
          <w:lang w:eastAsia="zh-CN"/>
        </w:rPr>
        <w:t xml:space="preserve"> Os preços registrados se apresentarem superiores aos praticados no mercado, após prévia convocação para negociação com o fornecedor. Caso frustrada a negociação o fornecedor será liberado, sendo convocados os demais fornecedores visando igual oportunidade de negociação;</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b/>
          <w:bCs/>
          <w:color w:val="00000A"/>
          <w:sz w:val="22"/>
          <w:szCs w:val="22"/>
          <w:u w:val="none"/>
          <w:lang w:eastAsia="zh-CN"/>
        </w:rPr>
        <w:tab/>
        <w:t>10.1.8.</w:t>
      </w:r>
      <w:r>
        <w:rPr>
          <w:rStyle w:val="Hyperlink"/>
          <w:rFonts w:eastAsia="Times New Roman" w:cs="Times New Roman" w:ascii="Times New Roman" w:hAnsi="Times New Roman"/>
          <w:color w:val="00000A"/>
          <w:sz w:val="22"/>
          <w:szCs w:val="22"/>
          <w:u w:val="none"/>
          <w:lang w:eastAsia="zh-CN"/>
        </w:rPr>
        <w:t xml:space="preserve"> Por razões de interesse público devidamente demonstrados e justificados pela Administração, observando os princípios do contraditório e da ampla defesa;</w:t>
      </w:r>
    </w:p>
    <w:p>
      <w:pPr>
        <w:pStyle w:val="Normal"/>
        <w:tabs>
          <w:tab w:val="clear" w:pos="720"/>
          <w:tab w:val="left" w:pos="567" w:leader="none"/>
        </w:tabs>
        <w:spacing w:lineRule="auto" w:line="276"/>
        <w:jc w:val="both"/>
        <w:rPr/>
      </w:pPr>
      <w:r>
        <w:rPr>
          <w:rStyle w:val="Hyperlink"/>
          <w:rFonts w:eastAsia="Times New Roman" w:cs="Times New Roman" w:ascii="Times New Roman" w:hAnsi="Times New Roman"/>
          <w:b/>
          <w:bCs/>
          <w:color w:val="00000A"/>
          <w:sz w:val="22"/>
          <w:szCs w:val="22"/>
          <w:u w:val="none"/>
          <w:lang w:eastAsia="zh-CN"/>
        </w:rPr>
        <w:tab/>
        <w:t>10.1.9.</w:t>
      </w:r>
      <w:r>
        <w:rPr>
          <w:rStyle w:val="Hyperlink"/>
          <w:rFonts w:eastAsia="Times New Roman" w:cs="Times New Roman" w:ascii="Times New Roman" w:hAnsi="Times New Roman"/>
          <w:color w:val="00000A"/>
          <w:sz w:val="22"/>
          <w:szCs w:val="22"/>
          <w:u w:val="none"/>
          <w:lang w:eastAsia="zh-CN"/>
        </w:rPr>
        <w:t xml:space="preserve"> As detentoras, mediante solicitação por escrito, comprovarem estar impossibilitadas de cumprir as exigências desta Ata de Registro de Preços, por ocorrência de casos fortuitos ou de força maior.</w:t>
      </w:r>
    </w:p>
    <w:p>
      <w:pPr>
        <w:pStyle w:val="Normal"/>
        <w:tabs>
          <w:tab w:val="clear" w:pos="720"/>
          <w:tab w:val="left" w:pos="338" w:leader="none"/>
        </w:tabs>
        <w:spacing w:lineRule="auto" w:line="276"/>
        <w:jc w:val="both"/>
        <w:rPr/>
      </w:pPr>
      <w:r>
        <w:rPr>
          <w:rStyle w:val="Hyperlink"/>
          <w:rFonts w:eastAsia="Times New Roman" w:cs="Times New Roman" w:ascii="Times New Roman" w:hAnsi="Times New Roman"/>
          <w:b/>
          <w:bCs/>
          <w:color w:val="00000A"/>
          <w:sz w:val="22"/>
          <w:szCs w:val="22"/>
          <w:u w:val="none"/>
          <w:lang w:eastAsia="zh-CN"/>
        </w:rPr>
        <w:tab/>
        <w:t>10.</w:t>
      </w:r>
      <w:r>
        <w:rPr>
          <w:rStyle w:val="Hyperlink"/>
          <w:rFonts w:eastAsia="Times New Roman" w:cs="Times New Roman" w:ascii="Times New Roman" w:hAnsi="Times New Roman"/>
          <w:b/>
          <w:bCs/>
          <w:color w:val="000000"/>
          <w:sz w:val="22"/>
          <w:szCs w:val="22"/>
          <w:u w:val="none"/>
          <w:lang w:eastAsia="zh-CN"/>
        </w:rPr>
        <w:t xml:space="preserve">2. </w:t>
      </w:r>
      <w:r>
        <w:rPr>
          <w:rStyle w:val="Hyperlink"/>
          <w:rFonts w:eastAsia="Times New Roman" w:cs="Times New Roman" w:ascii="Times New Roman" w:hAnsi="Times New Roman"/>
          <w:color w:val="000000"/>
          <w:sz w:val="22"/>
          <w:szCs w:val="22"/>
          <w:u w:val="none"/>
          <w:lang w:eastAsia="zh-CN"/>
        </w:rPr>
        <w:t xml:space="preserve">A comunicação do cancelamento do preço registrado, nos casos previstos no item 10.1, Cláusula Décima, será feita por correspondência com aviso de recebimento, juntando-se o comprovante aos autos que deram origem ao registro de </w:t>
      </w:r>
      <w:r>
        <w:rPr>
          <w:rStyle w:val="Hyperlink"/>
          <w:rFonts w:cs="Times New Roman" w:ascii="Times New Roman" w:hAnsi="Times New Roman"/>
          <w:color w:val="000000"/>
          <w:sz w:val="22"/>
          <w:szCs w:val="22"/>
          <w:u w:val="none"/>
        </w:rPr>
        <w:t>preços.</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 xml:space="preserve">10.3. </w:t>
      </w:r>
      <w:r>
        <w:rPr>
          <w:rStyle w:val="Hyperlink"/>
          <w:rFonts w:cs="Times New Roman" w:ascii="Times New Roman" w:hAnsi="Times New Roman"/>
          <w:color w:val="000000"/>
          <w:sz w:val="22"/>
          <w:szCs w:val="22"/>
          <w:u w:val="none"/>
        </w:rPr>
        <w:t>No caso de ser ignorado, incerto ou inacessível o endereço da detentora, a comunicação será feita por publicação no Diário Oficial, considerando-se cancelado o preço registrado após 01 (um) dia da publicação.</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 xml:space="preserve">10.4. </w:t>
      </w:r>
      <w:r>
        <w:rPr>
          <w:rStyle w:val="Hyperlink"/>
          <w:rFonts w:cs="Times New Roman" w:ascii="Times New Roman" w:hAnsi="Times New Roman"/>
          <w:color w:val="000000"/>
          <w:sz w:val="22"/>
          <w:szCs w:val="22"/>
          <w:u w:val="none"/>
        </w:rPr>
        <w:t xml:space="preserve">A solicitação das detentoras para cancelamento dos preços registrados deverá ser formulada com a antecedência de 30 (trinta) dias, facultada à Administração a aplicação das penalidades previstas na </w:t>
      </w:r>
      <w:r>
        <w:rPr>
          <w:rStyle w:val="Hyperlink"/>
          <w:rFonts w:cs="Times New Roman" w:ascii="Times New Roman" w:hAnsi="Times New Roman"/>
          <w:b/>
          <w:color w:val="000000"/>
          <w:sz w:val="22"/>
          <w:szCs w:val="22"/>
          <w:u w:val="none"/>
        </w:rPr>
        <w:t xml:space="preserve">Cláusula Sétima </w:t>
      </w:r>
      <w:r>
        <w:rPr>
          <w:rStyle w:val="Hyperlink"/>
          <w:rFonts w:cs="Times New Roman" w:ascii="Times New Roman" w:hAnsi="Times New Roman"/>
          <w:color w:val="000000"/>
          <w:sz w:val="22"/>
          <w:szCs w:val="22"/>
          <w:u w:val="none"/>
        </w:rPr>
        <w:t>desta Ata de Registro de Preços, caso não aceitas as razões do pedido.</w:t>
      </w:r>
    </w:p>
    <w:p>
      <w:pPr>
        <w:pStyle w:val="Normal"/>
        <w:spacing w:lineRule="auto" w:line="276"/>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spacing w:lineRule="auto" w:line="276"/>
        <w:jc w:val="both"/>
        <w:rPr/>
      </w:pPr>
      <w:r>
        <w:rPr>
          <w:rStyle w:val="Hyperlink"/>
          <w:rFonts w:cs="Times New Roman" w:ascii="Times New Roman" w:hAnsi="Times New Roman"/>
          <w:b/>
          <w:bCs/>
          <w:color w:val="000000"/>
          <w:sz w:val="22"/>
          <w:szCs w:val="22"/>
          <w:u w:val="none"/>
        </w:rPr>
        <w:t>CLÁUSULA DÉCIMA PRIMEIRA – DA AUTORIZAÇÃO PARA AQUISIÇÃO E EMISSÃO DOS PEDIDOS DE COMPRA</w:t>
      </w:r>
    </w:p>
    <w:p>
      <w:pPr>
        <w:pStyle w:val="Normal"/>
        <w:spacing w:lineRule="auto" w:line="276"/>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 xml:space="preserve">11.1. </w:t>
      </w:r>
      <w:r>
        <w:rPr>
          <w:rStyle w:val="Hyperlink"/>
          <w:rFonts w:cs="Times New Roman" w:ascii="Times New Roman" w:hAnsi="Times New Roman"/>
          <w:color w:val="000000"/>
          <w:sz w:val="22"/>
          <w:szCs w:val="22"/>
          <w:u w:val="none"/>
        </w:rPr>
        <w:t>Os fornecimentos do objeto da presente Ata de Registro de Preços serão autorizadas, pelo Ordenador de Despesas da IMBEL – FI;</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 xml:space="preserve">11.2. </w:t>
      </w:r>
      <w:r>
        <w:rPr>
          <w:rStyle w:val="Hyperlink"/>
          <w:rFonts w:cs="Times New Roman" w:ascii="Times New Roman" w:hAnsi="Times New Roman"/>
          <w:color w:val="000000"/>
          <w:sz w:val="22"/>
          <w:szCs w:val="22"/>
          <w:u w:val="none"/>
        </w:rPr>
        <w:t>A emissão das ordens de compra, sua retificação ou cancelamento, total ou parcial, serão igualmente autorizados pelo almoxarife, quando da solicitação dos itens.</w:t>
      </w:r>
    </w:p>
    <w:p>
      <w:pPr>
        <w:pStyle w:val="Normal"/>
        <w:spacing w:lineRule="auto" w:line="276"/>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spacing w:lineRule="auto" w:line="276"/>
        <w:jc w:val="both"/>
        <w:rPr/>
      </w:pPr>
      <w:r>
        <w:rPr>
          <w:rStyle w:val="Hyperlink"/>
          <w:rFonts w:cs="Times New Roman" w:ascii="Times New Roman" w:hAnsi="Times New Roman"/>
          <w:b/>
          <w:bCs/>
          <w:color w:val="000000"/>
          <w:sz w:val="22"/>
          <w:szCs w:val="22"/>
          <w:u w:val="none"/>
        </w:rPr>
        <w:t>CLÁUSULA DÉCIMA SEGUNDA – DAS DISPOSIÇÕES FINAIS</w:t>
      </w:r>
    </w:p>
    <w:p>
      <w:pPr>
        <w:pStyle w:val="Normal"/>
        <w:spacing w:lineRule="auto" w:line="276"/>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 xml:space="preserve">12.1. </w:t>
      </w:r>
      <w:r>
        <w:rPr>
          <w:rStyle w:val="Hyperlink"/>
          <w:rFonts w:cs="Times New Roman" w:ascii="Times New Roman" w:hAnsi="Times New Roman"/>
          <w:color w:val="000000"/>
          <w:sz w:val="22"/>
          <w:szCs w:val="22"/>
          <w:u w:val="none"/>
        </w:rPr>
        <w:t>Integram esta Ata, independentemente de transcrição, implicando em plena aceitação, o respectivo instrumento convocatório e seus anexos, bem</w:t>
      </w:r>
      <w:r>
        <w:rPr>
          <w:rStyle w:val="Hyperlink"/>
          <w:rFonts w:cs="Times New Roman" w:ascii="Times New Roman" w:hAnsi="Times New Roman"/>
          <w:color w:val="000000"/>
          <w:sz w:val="22"/>
          <w:szCs w:val="22"/>
          <w:u w:val="none"/>
          <w:shd w:fill="auto" w:val="clear"/>
        </w:rPr>
        <w:t xml:space="preserve"> como a proposta vencedora do certame;</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shd w:fill="auto" w:val="clear"/>
        </w:rPr>
        <w:tab/>
        <w:t xml:space="preserve">12.2. </w:t>
      </w:r>
      <w:r>
        <w:rPr>
          <w:rStyle w:val="Hyperlink"/>
          <w:rFonts w:cs="Times New Roman" w:ascii="Times New Roman" w:hAnsi="Times New Roman"/>
          <w:color w:val="000000"/>
          <w:sz w:val="22"/>
          <w:szCs w:val="22"/>
          <w:u w:val="none"/>
          <w:shd w:fill="auto" w:val="clear"/>
        </w:rPr>
        <w:t xml:space="preserve">Os casos omissos serão resolvidos de acordo com a Lei nº 14.133/2021, e Decretos </w:t>
      </w:r>
      <w:r>
        <w:rPr>
          <w:rStyle w:val="Hyperlink"/>
          <w:rFonts w:cs="Times New Roman" w:ascii="Times New Roman" w:hAnsi="Times New Roman"/>
          <w:b w:val="false"/>
          <w:bCs w:val="false"/>
          <w:color w:val="000000"/>
          <w:sz w:val="22"/>
          <w:szCs w:val="22"/>
          <w:u w:val="none"/>
          <w:shd w:fill="auto" w:val="clear"/>
        </w:rPr>
        <w:t>nº 11.462/2023 e nº 3.555, de 08 de agosto de 2000</w:t>
      </w:r>
      <w:r>
        <w:rPr>
          <w:rStyle w:val="Hyperlink"/>
          <w:rFonts w:cs="Times New Roman" w:ascii="Times New Roman" w:hAnsi="Times New Roman"/>
          <w:color w:val="000000"/>
          <w:sz w:val="22"/>
          <w:szCs w:val="22"/>
          <w:u w:val="none"/>
          <w:shd w:fill="auto" w:val="clear"/>
        </w:rPr>
        <w:t>, e demais normas aplicáveis.</w:t>
      </w:r>
    </w:p>
    <w:p>
      <w:pPr>
        <w:pStyle w:val="Normal"/>
        <w:spacing w:lineRule="auto" w:line="276"/>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spacing w:lineRule="auto" w:line="276"/>
        <w:rPr/>
      </w:pPr>
      <w:r>
        <w:rPr>
          <w:rStyle w:val="Hyperlink"/>
          <w:rFonts w:cs="Times New Roman" w:ascii="Times New Roman" w:hAnsi="Times New Roman"/>
          <w:b/>
          <w:bCs/>
          <w:color w:val="000000"/>
          <w:sz w:val="22"/>
          <w:szCs w:val="22"/>
          <w:u w:val="none"/>
        </w:rPr>
        <w:t>CLÁUSULA DÉCIMA TERCEIRA – DO FORO</w:t>
      </w:r>
    </w:p>
    <w:p>
      <w:pPr>
        <w:pStyle w:val="Normal"/>
        <w:spacing w:lineRule="auto" w:line="276"/>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 xml:space="preserve">13.1. </w:t>
      </w:r>
      <w:r>
        <w:rPr>
          <w:rStyle w:val="Hyperlink"/>
          <w:rFonts w:cs="Times New Roman" w:ascii="Times New Roman" w:hAnsi="Times New Roman"/>
          <w:color w:val="000000"/>
          <w:sz w:val="22"/>
          <w:szCs w:val="22"/>
          <w:u w:val="none"/>
        </w:rPr>
        <w:t xml:space="preserve">As questões decorrentes da utilização da presente Ata, que não possam ser dirimidas administrativamente, serão processadas e julgadas </w:t>
      </w:r>
      <w:r>
        <w:rPr>
          <w:rStyle w:val="Hyperlink"/>
          <w:rFonts w:cs="Times New Roman" w:ascii="Times New Roman" w:hAnsi="Times New Roman"/>
          <w:bCs/>
          <w:color w:val="000000"/>
          <w:sz w:val="22"/>
          <w:szCs w:val="22"/>
          <w:u w:val="none"/>
        </w:rPr>
        <w:t>no Foro da Justiça Federal da Seção Judiciária do Estado de Minas Gerais, localizado em Pouso Alegre,</w:t>
      </w:r>
      <w:r>
        <w:rPr>
          <w:rStyle w:val="Hyperlink"/>
          <w:rFonts w:cs="Times New Roman" w:ascii="Times New Roman" w:hAnsi="Times New Roman"/>
          <w:color w:val="000000"/>
          <w:sz w:val="22"/>
          <w:szCs w:val="22"/>
          <w:u w:val="none"/>
        </w:rPr>
        <w:t xml:space="preserve"> com exclusão de qualquer outro, por mais privilegiado que seja;</w:t>
      </w:r>
    </w:p>
    <w:p>
      <w:pPr>
        <w:pStyle w:val="Normal"/>
        <w:tabs>
          <w:tab w:val="clear" w:pos="720"/>
          <w:tab w:val="left" w:pos="338" w:leader="none"/>
        </w:tabs>
        <w:spacing w:lineRule="auto" w:line="276"/>
        <w:jc w:val="both"/>
        <w:rPr/>
      </w:pPr>
      <w:r>
        <w:rPr>
          <w:rStyle w:val="Hyperlink"/>
          <w:rFonts w:cs="Times New Roman" w:ascii="Times New Roman" w:hAnsi="Times New Roman"/>
          <w:b/>
          <w:bCs/>
          <w:color w:val="000000"/>
          <w:sz w:val="22"/>
          <w:szCs w:val="22"/>
          <w:u w:val="none"/>
        </w:rPr>
        <w:tab/>
        <w:t>13.2.</w:t>
      </w:r>
      <w:r>
        <w:rPr>
          <w:rStyle w:val="Hyperlink"/>
          <w:rFonts w:cs="Times New Roman" w:ascii="Times New Roman" w:hAnsi="Times New Roman"/>
          <w:color w:val="000000"/>
          <w:sz w:val="22"/>
          <w:szCs w:val="22"/>
          <w:u w:val="none"/>
        </w:rPr>
        <w:t xml:space="preserve"> E para firmeza e validade do que foi pactuado, lavrou-se  presente ATA em 02 (duas) vias de igual teor, forma, para um só efeito, as quais depois de lidas e achadas conforme, são assinadas pelas partes.</w:t>
      </w:r>
    </w:p>
    <w:p>
      <w:pPr>
        <w:pStyle w:val="Normal"/>
        <w:tabs>
          <w:tab w:val="clear" w:pos="720"/>
          <w:tab w:val="left" w:pos="338" w:leader="none"/>
        </w:tabs>
        <w:spacing w:lineRule="auto" w:line="276"/>
        <w:jc w:val="both"/>
        <w:rPr>
          <w:rFonts w:ascii="Times New Roman" w:hAnsi="Times New Roman" w:eastAsia="SimSun" w:cs="Times New Roman"/>
          <w:color w:val="000000"/>
          <w:sz w:val="22"/>
          <w:szCs w:val="22"/>
          <w:u w:val="none"/>
          <w:lang w:val="pt-BR" w:eastAsia="pt-BR" w:bidi="ar-SA"/>
        </w:rPr>
      </w:pPr>
      <w:r>
        <w:rPr>
          <w:rFonts w:eastAsia="SimSun" w:cs="Times New Roman" w:ascii="Times New Roman" w:hAnsi="Times New Roman"/>
          <w:color w:val="000000"/>
          <w:sz w:val="22"/>
          <w:szCs w:val="22"/>
          <w:u w:val="none"/>
          <w:lang w:val="pt-BR" w:eastAsia="pt-BR" w:bidi="ar-SA"/>
        </w:rPr>
      </w:r>
    </w:p>
    <w:p>
      <w:pPr>
        <w:pStyle w:val="Corpodetextorecuado"/>
        <w:spacing w:lineRule="auto" w:line="276"/>
        <w:jc w:val="center"/>
        <w:rPr>
          <w:rStyle w:val="Hyperlink"/>
          <w:rFonts w:ascii="Times New Roman" w:hAnsi="Times New Roman" w:cs="Times New Roman"/>
          <w:b w:val="false"/>
          <w:color w:val="000000"/>
          <w:sz w:val="22"/>
          <w:szCs w:val="22"/>
          <w:u w:val="none"/>
        </w:rPr>
      </w:pPr>
      <w:r>
        <w:rPr>
          <w:rFonts w:cs="Times New Roman" w:ascii="Times New Roman" w:hAnsi="Times New Roman"/>
          <w:b w:val="false"/>
          <w:color w:val="000000"/>
          <w:sz w:val="22"/>
          <w:szCs w:val="22"/>
          <w:u w:val="none"/>
        </w:rPr>
      </w:r>
    </w:p>
    <w:p>
      <w:pPr>
        <w:pStyle w:val="Corpodetextorecuado"/>
        <w:spacing w:lineRule="auto" w:line="276"/>
        <w:jc w:val="center"/>
        <w:rPr/>
      </w:pPr>
      <w:r>
        <w:rPr>
          <w:rStyle w:val="Hyperlink"/>
          <w:rFonts w:cs="Times New Roman" w:ascii="Times New Roman" w:hAnsi="Times New Roman"/>
          <w:b w:val="false"/>
          <w:color w:val="000000"/>
          <w:sz w:val="22"/>
          <w:szCs w:val="22"/>
          <w:u w:val="none"/>
        </w:rPr>
        <w:t>Itajubá-MG,       de                           de 2026.</w:t>
      </w:r>
    </w:p>
    <w:p>
      <w:pPr>
        <w:pStyle w:val="Normal"/>
        <w:numPr>
          <w:ilvl w:val="0"/>
          <w:numId w:val="0"/>
        </w:numPr>
        <w:tabs>
          <w:tab w:val="clear" w:pos="720"/>
          <w:tab w:val="left" w:pos="0" w:leader="none"/>
          <w:tab w:val="left" w:pos="3332" w:leader="none"/>
        </w:tabs>
        <w:spacing w:lineRule="auto" w:line="276"/>
        <w:ind w:hanging="0" w:left="0" w:right="0"/>
        <w:jc w:val="center"/>
        <w:rPr>
          <w:rFonts w:ascii="Times New Roman" w:hAnsi="Times New Roman" w:eastAsia="SimSun" w:cs="Times New Roman"/>
          <w:b w:val="false"/>
          <w:bCs w:val="false"/>
          <w:color w:val="000000"/>
          <w:sz w:val="22"/>
          <w:szCs w:val="22"/>
          <w:u w:val="none"/>
          <w:lang w:val="pt-BR" w:eastAsia="pt-BR" w:bidi="ar-SA"/>
        </w:rPr>
      </w:pPr>
      <w:r>
        <w:rPr>
          <w:rFonts w:eastAsia="SimSun" w:cs="Times New Roman" w:ascii="Times New Roman" w:hAnsi="Times New Roman"/>
          <w:b w:val="false"/>
          <w:bCs w:val="false"/>
          <w:color w:val="000000"/>
          <w:sz w:val="22"/>
          <w:szCs w:val="22"/>
          <w:u w:val="none"/>
          <w:lang w:val="pt-BR" w:eastAsia="pt-BR" w:bidi="ar-SA"/>
        </w:rPr>
      </w:r>
    </w:p>
    <w:p>
      <w:pPr>
        <w:pStyle w:val="Normal"/>
        <w:spacing w:lineRule="auto" w:line="276"/>
        <w:jc w:val="center"/>
        <w:rPr/>
      </w:pPr>
      <w:r>
        <w:rPr>
          <w:rStyle w:val="Hyperlink"/>
          <w:rFonts w:cs="Times New Roman" w:ascii="Times New Roman" w:hAnsi="Times New Roman"/>
          <w:color w:val="000000"/>
          <w:sz w:val="22"/>
          <w:szCs w:val="22"/>
          <w:u w:val="none"/>
        </w:rPr>
        <w:t>_____________________________________________________</w:t>
      </w:r>
    </w:p>
    <w:p>
      <w:pPr>
        <w:pStyle w:val="BodyText"/>
        <w:numPr>
          <w:ilvl w:val="0"/>
          <w:numId w:val="0"/>
        </w:numPr>
        <w:tabs>
          <w:tab w:val="clear" w:pos="720"/>
          <w:tab w:val="left" w:pos="0" w:leader="none"/>
          <w:tab w:val="left" w:pos="3332" w:leader="none"/>
        </w:tabs>
        <w:spacing w:lineRule="auto" w:line="276"/>
        <w:ind w:hanging="0" w:left="0" w:right="0"/>
        <w:jc w:val="center"/>
        <w:rPr/>
      </w:pPr>
      <w:r>
        <w:rPr>
          <w:rStyle w:val="Hyperlink"/>
          <w:rFonts w:cs="Times New Roman" w:ascii="Times New Roman" w:hAnsi="Times New Roman"/>
          <w:b w:val="false"/>
          <w:bCs w:val="false"/>
          <w:color w:val="000000"/>
          <w:sz w:val="22"/>
          <w:szCs w:val="22"/>
          <w:u w:val="none"/>
        </w:rPr>
        <w:t>INDÚSTRIA DE MATERIAL BÉLICO DO BRASIL – IMBEL</w:t>
      </w:r>
    </w:p>
    <w:p>
      <w:pPr>
        <w:pStyle w:val="BodyText"/>
        <w:numPr>
          <w:ilvl w:val="0"/>
          <w:numId w:val="0"/>
        </w:numPr>
        <w:tabs>
          <w:tab w:val="clear" w:pos="720"/>
          <w:tab w:val="left" w:pos="0" w:leader="none"/>
          <w:tab w:val="left" w:pos="3332" w:leader="none"/>
        </w:tabs>
        <w:spacing w:lineRule="auto" w:line="276"/>
        <w:ind w:hanging="0" w:left="0" w:right="0"/>
        <w:jc w:val="center"/>
        <w:rPr>
          <w:rFonts w:ascii="Times New Roman" w:hAnsi="Times New Roman" w:cs="Times New Roman"/>
          <w:b w:val="false"/>
          <w:bCs w:val="false"/>
          <w:color w:val="000000"/>
          <w:sz w:val="22"/>
          <w:szCs w:val="22"/>
          <w:u w:val="none"/>
        </w:rPr>
      </w:pPr>
      <w:r>
        <w:rPr>
          <w:rFonts w:cs="Times New Roman" w:ascii="Times New Roman" w:hAnsi="Times New Roman"/>
          <w:b w:val="false"/>
          <w:bCs w:val="false"/>
          <w:color w:val="000000"/>
          <w:sz w:val="22"/>
          <w:szCs w:val="22"/>
          <w:u w:val="none"/>
        </w:rPr>
      </w:r>
    </w:p>
    <w:p>
      <w:pPr>
        <w:pStyle w:val="BodyText"/>
        <w:numPr>
          <w:ilvl w:val="0"/>
          <w:numId w:val="0"/>
        </w:numPr>
        <w:tabs>
          <w:tab w:val="clear" w:pos="720"/>
          <w:tab w:val="left" w:pos="0" w:leader="none"/>
          <w:tab w:val="left" w:pos="3332" w:leader="none"/>
        </w:tabs>
        <w:spacing w:lineRule="auto" w:line="276"/>
        <w:ind w:hanging="0" w:left="0" w:right="0"/>
        <w:jc w:val="center"/>
        <w:rPr>
          <w:rFonts w:ascii="Times New Roman" w:hAnsi="Times New Roman" w:cs="Times New Roman"/>
          <w:b w:val="false"/>
          <w:bCs w:val="false"/>
          <w:color w:val="000000"/>
          <w:sz w:val="22"/>
          <w:szCs w:val="22"/>
          <w:u w:val="none"/>
        </w:rPr>
      </w:pPr>
      <w:r>
        <w:rPr>
          <w:rFonts w:cs="Times New Roman" w:ascii="Times New Roman" w:hAnsi="Times New Roman"/>
          <w:b w:val="false"/>
          <w:bCs w:val="false"/>
          <w:color w:val="000000"/>
          <w:sz w:val="22"/>
          <w:szCs w:val="22"/>
          <w:u w:val="none"/>
        </w:rPr>
      </w:r>
    </w:p>
    <w:p>
      <w:pPr>
        <w:pStyle w:val="BodyText"/>
        <w:numPr>
          <w:ilvl w:val="0"/>
          <w:numId w:val="0"/>
        </w:numPr>
        <w:tabs>
          <w:tab w:val="clear" w:pos="720"/>
          <w:tab w:val="left" w:pos="0" w:leader="none"/>
          <w:tab w:val="left" w:pos="3332" w:leader="none"/>
        </w:tabs>
        <w:spacing w:lineRule="auto" w:line="276"/>
        <w:ind w:hanging="0" w:left="0" w:right="0"/>
        <w:jc w:val="center"/>
        <w:rPr>
          <w:rFonts w:ascii="Times New Roman" w:hAnsi="Times New Roman" w:cs="Times New Roman"/>
          <w:b w:val="false"/>
          <w:bCs w:val="false"/>
          <w:color w:val="000000"/>
          <w:sz w:val="22"/>
          <w:szCs w:val="22"/>
          <w:u w:val="none"/>
        </w:rPr>
      </w:pPr>
      <w:r>
        <w:rPr>
          <w:rFonts w:cs="Times New Roman" w:ascii="Times New Roman" w:hAnsi="Times New Roman"/>
          <w:b w:val="false"/>
          <w:bCs w:val="false"/>
          <w:color w:val="000000"/>
          <w:sz w:val="22"/>
          <w:szCs w:val="22"/>
          <w:u w:val="none"/>
        </w:rPr>
      </w:r>
    </w:p>
    <w:p>
      <w:pPr>
        <w:pStyle w:val="Normal"/>
        <w:spacing w:lineRule="auto" w:line="276"/>
        <w:jc w:val="center"/>
        <w:rPr/>
      </w:pPr>
      <w:r>
        <w:rPr>
          <w:rStyle w:val="Hyperlink"/>
          <w:rFonts w:cs="Times New Roman" w:ascii="Times New Roman" w:hAnsi="Times New Roman"/>
          <w:color w:val="000000"/>
          <w:sz w:val="22"/>
          <w:szCs w:val="22"/>
          <w:u w:val="none"/>
        </w:rPr>
        <w:t>_____________________________________________________</w:t>
      </w:r>
    </w:p>
    <w:p>
      <w:pPr>
        <w:pStyle w:val="BodyText"/>
        <w:numPr>
          <w:ilvl w:val="0"/>
          <w:numId w:val="0"/>
        </w:numPr>
        <w:tabs>
          <w:tab w:val="clear" w:pos="720"/>
          <w:tab w:val="left" w:pos="0" w:leader="none"/>
          <w:tab w:val="left" w:pos="3332" w:leader="none"/>
        </w:tabs>
        <w:spacing w:lineRule="auto" w:line="276"/>
        <w:ind w:hanging="0" w:left="0" w:right="0"/>
        <w:jc w:val="center"/>
        <w:rPr/>
      </w:pPr>
      <w:r>
        <w:rPr>
          <w:rStyle w:val="Hyperlink"/>
          <w:rFonts w:cs="Times New Roman" w:ascii="Times New Roman" w:hAnsi="Times New Roman"/>
          <w:b w:val="false"/>
          <w:bCs w:val="false"/>
          <w:color w:val="000000"/>
          <w:sz w:val="22"/>
          <w:szCs w:val="22"/>
          <w:u w:val="none"/>
        </w:rPr>
        <w:t>FORNECEDOR (nome da empresa)</w:t>
      </w:r>
    </w:p>
    <w:p>
      <w:pPr>
        <w:pStyle w:val="Normal"/>
        <w:spacing w:lineRule="auto" w:line="276"/>
        <w:jc w:val="center"/>
        <w:rPr/>
      </w:pPr>
      <w:r>
        <w:rPr/>
      </w:r>
    </w:p>
    <w:p>
      <w:pPr>
        <w:pStyle w:val="Normal"/>
        <w:spacing w:lineRule="auto" w:line="276"/>
        <w:jc w:val="center"/>
        <w:rPr/>
      </w:pPr>
      <w:r>
        <w:rPr/>
      </w:r>
    </w:p>
    <w:p>
      <w:pPr>
        <w:pStyle w:val="Normal"/>
        <w:spacing w:lineRule="auto" w:line="276"/>
        <w:jc w:val="center"/>
        <w:rPr/>
      </w:pPr>
      <w:r>
        <w:rPr/>
      </w:r>
    </w:p>
    <w:p>
      <w:pPr>
        <w:pStyle w:val="Normal"/>
        <w:spacing w:lineRule="auto" w:line="276"/>
        <w:jc w:val="center"/>
        <w:rPr/>
      </w:pPr>
      <w:r>
        <w:rPr/>
      </w:r>
    </w:p>
    <w:p>
      <w:pPr>
        <w:pStyle w:val="Normal"/>
        <w:spacing w:lineRule="auto" w:line="276"/>
        <w:jc w:val="center"/>
        <w:rPr/>
      </w:pPr>
      <w:r>
        <w:rPr/>
      </w:r>
    </w:p>
    <w:p>
      <w:pPr>
        <w:pStyle w:val="Normal"/>
        <w:spacing w:lineRule="auto" w:line="276"/>
        <w:jc w:val="center"/>
        <w:rPr/>
      </w:pPr>
      <w:r>
        <w:rPr/>
      </w:r>
    </w:p>
    <w:p>
      <w:pPr>
        <w:pStyle w:val="Normal"/>
        <w:spacing w:lineRule="auto" w:line="276"/>
        <w:jc w:val="center"/>
        <w:rPr/>
      </w:pPr>
      <w:r>
        <w:rPr/>
        <w:drawing>
          <wp:inline distT="0" distB="0" distL="0" distR="0">
            <wp:extent cx="647065" cy="693420"/>
            <wp:effectExtent l="0" t="0" r="0" b="0"/>
            <wp:docPr id="10"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2" descr=""/>
                    <pic:cNvPicPr>
                      <a:picLocks noChangeAspect="1" noChangeArrowheads="1"/>
                    </pic:cNvPicPr>
                  </pic:nvPicPr>
                  <pic:blipFill>
                    <a:blip r:embed="rId63"/>
                    <a:srcRect l="-278" t="-259" r="-278" b="-259"/>
                    <a:stretch>
                      <a:fillRect/>
                    </a:stretch>
                  </pic:blipFill>
                  <pic:spPr bwMode="auto">
                    <a:xfrm>
                      <a:off x="0" y="0"/>
                      <a:ext cx="647065" cy="693420"/>
                    </a:xfrm>
                    <a:prstGeom prst="rect">
                      <a:avLst/>
                    </a:prstGeom>
                  </pic:spPr>
                </pic:pic>
              </a:graphicData>
            </a:graphic>
          </wp:inline>
        </w:drawing>
      </w:r>
    </w:p>
    <w:p>
      <w:pPr>
        <w:pStyle w:val="Normal"/>
        <w:spacing w:lineRule="auto" w:line="276"/>
        <w:jc w:val="center"/>
        <w:rPr>
          <w:rFonts w:ascii="Times New Roman" w:hAnsi="Times New Roman" w:eastAsia="SimSun" w:cs="Times New Roman"/>
          <w:b/>
          <w:bCs/>
          <w:color w:val="000000"/>
          <w:sz w:val="22"/>
          <w:szCs w:val="22"/>
          <w:u w:val="single"/>
          <w:lang w:val="pt-BR" w:eastAsia="pt-BR" w:bidi="ar-SA"/>
        </w:rPr>
      </w:pPr>
      <w:r>
        <w:rPr>
          <w:rFonts w:eastAsia="SimSun" w:cs="Times New Roman" w:ascii="Times New Roman" w:hAnsi="Times New Roman"/>
          <w:b/>
          <w:bCs/>
          <w:color w:val="000000"/>
          <w:sz w:val="22"/>
          <w:szCs w:val="22"/>
          <w:u w:val="single"/>
          <w:lang w:val="pt-BR" w:eastAsia="pt-BR" w:bidi="ar-SA"/>
        </w:rPr>
      </w:r>
    </w:p>
    <w:p>
      <w:pPr>
        <w:pStyle w:val="Normal"/>
        <w:spacing w:lineRule="auto" w:line="276"/>
        <w:jc w:val="center"/>
        <w:rPr/>
      </w:pPr>
      <w:r>
        <w:rPr>
          <w:rStyle w:val="Hyperlink"/>
          <w:rFonts w:cs="Times New Roman" w:ascii="Times New Roman" w:hAnsi="Times New Roman"/>
          <w:b/>
          <w:bCs/>
          <w:color w:val="000000"/>
          <w:sz w:val="22"/>
          <w:szCs w:val="22"/>
          <w:u w:val="none"/>
        </w:rPr>
        <w:t>MINISTÉRIO DA DEFESA</w:t>
        <w:br/>
        <w:t>COMANDO DO EXÉRCITO</w:t>
        <w:br/>
        <w:t>INDÚSTRIA DE MATERIAL BELICO DO BRASIL/FI/MG</w:t>
      </w:r>
    </w:p>
    <w:p>
      <w:pPr>
        <w:pStyle w:val="Normal"/>
        <w:spacing w:lineRule="auto" w:line="276"/>
        <w:jc w:val="center"/>
        <w:rPr>
          <w:rFonts w:ascii="Times New Roman" w:hAnsi="Times New Roman" w:eastAsia="SimSun" w:cs="Times New Roman"/>
          <w:b/>
          <w:bCs/>
          <w:color w:val="000000"/>
          <w:sz w:val="22"/>
          <w:szCs w:val="22"/>
          <w:u w:val="single"/>
          <w:lang w:val="pt-BR" w:eastAsia="pt-BR" w:bidi="ar-SA"/>
        </w:rPr>
      </w:pPr>
      <w:r>
        <w:rPr>
          <w:rFonts w:eastAsia="SimSun" w:cs="Times New Roman" w:ascii="Times New Roman" w:hAnsi="Times New Roman"/>
          <w:b/>
          <w:bCs/>
          <w:color w:val="000000"/>
          <w:sz w:val="22"/>
          <w:szCs w:val="22"/>
          <w:u w:val="single"/>
          <w:lang w:val="pt-BR" w:eastAsia="pt-BR" w:bidi="ar-SA"/>
        </w:rPr>
      </w:r>
    </w:p>
    <w:p>
      <w:pPr>
        <w:pStyle w:val="Normal"/>
        <w:spacing w:lineRule="auto" w:line="276"/>
        <w:jc w:val="center"/>
        <w:rPr/>
      </w:pPr>
      <w:r>
        <w:rPr>
          <w:rStyle w:val="Hyperlink"/>
          <w:rFonts w:cs="Times New Roman" w:ascii="Times New Roman" w:hAnsi="Times New Roman"/>
          <w:b/>
          <w:bCs/>
          <w:color w:val="000000"/>
          <w:sz w:val="22"/>
          <w:szCs w:val="22"/>
          <w:u w:val="single"/>
        </w:rPr>
        <w:t>ANEXO IV</w:t>
      </w:r>
    </w:p>
    <w:p>
      <w:pPr>
        <w:pStyle w:val="Heading2"/>
        <w:spacing w:lineRule="auto" w:line="276"/>
        <w:jc w:val="both"/>
        <w:rPr>
          <w:rFonts w:ascii="Times New Roman" w:hAnsi="Times New Roman" w:eastAsia="SimSun" w:cs="Times New Roman"/>
          <w:b/>
          <w:color w:val="000000"/>
          <w:sz w:val="22"/>
          <w:szCs w:val="22"/>
          <w:lang w:val="pt-BR" w:eastAsia="pt-BR" w:bidi="ar-SA"/>
        </w:rPr>
      </w:pPr>
      <w:r>
        <w:rPr>
          <w:rFonts w:eastAsia="SimSun" w:cs="Times New Roman"/>
          <w:b/>
          <w:color w:val="000000"/>
          <w:sz w:val="22"/>
          <w:szCs w:val="22"/>
          <w:lang w:val="pt-BR" w:eastAsia="pt-BR" w:bidi="ar-SA"/>
        </w:rPr>
      </w:r>
    </w:p>
    <w:p>
      <w:pPr>
        <w:pStyle w:val="Normal"/>
        <w:spacing w:lineRule="auto" w:line="276"/>
        <w:jc w:val="center"/>
        <w:rPr/>
      </w:pPr>
      <w:r>
        <w:rPr>
          <w:rStyle w:val="Hyperlink"/>
          <w:rFonts w:cs="Times New Roman" w:ascii="Times New Roman" w:hAnsi="Times New Roman"/>
          <w:b/>
          <w:bCs/>
          <w:color w:val="000000"/>
          <w:sz w:val="22"/>
          <w:szCs w:val="22"/>
          <w:u w:val="none"/>
        </w:rPr>
        <w:t>PROCESSO ADMINISTRATIVO N.º 2026PR000090</w:t>
      </w:r>
    </w:p>
    <w:p>
      <w:pPr>
        <w:pStyle w:val="Normal"/>
        <w:spacing w:lineRule="auto" w:line="276"/>
        <w:jc w:val="center"/>
        <w:rPr>
          <w:rFonts w:ascii="Times New Roman" w:hAnsi="Times New Roman" w:eastAsia="SimSun" w:cs="Times New Roman"/>
          <w:b/>
          <w:bCs/>
          <w:color w:val="000000"/>
          <w:sz w:val="22"/>
          <w:szCs w:val="22"/>
          <w:u w:val="none"/>
          <w:lang w:val="pt-BR" w:eastAsia="pt-BR" w:bidi="ar-SA"/>
        </w:rPr>
      </w:pPr>
      <w:r>
        <w:rPr>
          <w:rFonts w:eastAsia="SimSun" w:cs="Times New Roman" w:ascii="Times New Roman" w:hAnsi="Times New Roman"/>
          <w:b/>
          <w:bCs/>
          <w:color w:val="000000"/>
          <w:sz w:val="22"/>
          <w:szCs w:val="22"/>
          <w:u w:val="none"/>
          <w:lang w:val="pt-BR" w:eastAsia="pt-BR" w:bidi="ar-SA"/>
        </w:rPr>
      </w:r>
    </w:p>
    <w:p>
      <w:pPr>
        <w:pStyle w:val="Normal"/>
        <w:spacing w:lineRule="auto" w:line="276"/>
        <w:ind w:firstLine="555" w:left="0" w:right="0"/>
        <w:jc w:val="center"/>
        <w:rPr/>
      </w:pPr>
      <w:r>
        <w:rPr>
          <w:rStyle w:val="Hyperlink"/>
          <w:rFonts w:cs="Times New Roman" w:ascii="Times New Roman" w:hAnsi="Times New Roman"/>
          <w:b/>
          <w:bCs/>
          <w:color w:val="000000"/>
          <w:sz w:val="22"/>
          <w:szCs w:val="22"/>
          <w:u w:val="none"/>
        </w:rPr>
        <w:t>PREGÃO ELETRÔNICO Nº 90090/2026 (SRP)</w:t>
      </w:r>
    </w:p>
    <w:p>
      <w:pPr>
        <w:pStyle w:val="Heading2"/>
        <w:spacing w:lineRule="auto" w:line="276"/>
        <w:rPr>
          <w:rFonts w:ascii="Times New Roman" w:hAnsi="Times New Roman" w:eastAsia="SimSun" w:cs="Times New Roman"/>
          <w:b/>
          <w:color w:val="000000"/>
          <w:sz w:val="22"/>
          <w:szCs w:val="22"/>
          <w:u w:val="none"/>
          <w:lang w:val="pt-BR" w:eastAsia="pt-BR" w:bidi="ar-SA"/>
        </w:rPr>
      </w:pPr>
      <w:r>
        <w:rPr>
          <w:rFonts w:eastAsia="SimSun" w:cs="Times New Roman"/>
          <w:b/>
          <w:color w:val="000000"/>
          <w:sz w:val="22"/>
          <w:szCs w:val="22"/>
          <w:u w:val="none"/>
          <w:lang w:val="pt-BR" w:eastAsia="pt-BR" w:bidi="ar-SA"/>
        </w:rPr>
      </w:r>
    </w:p>
    <w:p>
      <w:pPr>
        <w:pStyle w:val="Heading2"/>
        <w:spacing w:lineRule="auto" w:line="276"/>
        <w:rPr/>
      </w:pPr>
      <w:r>
        <w:rPr>
          <w:rStyle w:val="Hyperlink"/>
          <w:rFonts w:cs="Times New Roman"/>
          <w:color w:val="000000"/>
          <w:sz w:val="22"/>
          <w:szCs w:val="22"/>
          <w:u w:val="none"/>
        </w:rPr>
        <w:t>VALIDADE: 12 (DOZE) MESES</w:t>
      </w:r>
    </w:p>
    <w:p>
      <w:pPr>
        <w:pStyle w:val="Normal"/>
        <w:spacing w:lineRule="auto" w:line="276"/>
        <w:jc w:val="center"/>
        <w:rPr>
          <w:rFonts w:ascii="Times New Roman" w:hAnsi="Times New Roman" w:eastAsia="SimSun" w:cs="Times New Roman"/>
          <w:b/>
          <w:color w:val="000000"/>
          <w:sz w:val="22"/>
          <w:szCs w:val="22"/>
          <w:u w:val="none"/>
          <w:lang w:val="pt-BR" w:eastAsia="pt-BR" w:bidi="ar-SA"/>
        </w:rPr>
      </w:pPr>
      <w:r>
        <w:rPr>
          <w:rFonts w:eastAsia="SimSun" w:cs="Times New Roman" w:ascii="Times New Roman" w:hAnsi="Times New Roman"/>
          <w:b/>
          <w:color w:val="000000"/>
          <w:sz w:val="22"/>
          <w:szCs w:val="22"/>
          <w:u w:val="none"/>
          <w:lang w:val="pt-BR" w:eastAsia="pt-BR" w:bidi="ar-SA"/>
        </w:rPr>
      </w:r>
    </w:p>
    <w:p>
      <w:pPr>
        <w:pStyle w:val="Heading5"/>
        <w:numPr>
          <w:ilvl w:val="4"/>
          <w:numId w:val="1"/>
        </w:numPr>
        <w:spacing w:lineRule="auto" w:line="276"/>
        <w:ind w:hanging="0" w:left="0" w:right="0"/>
        <w:rPr/>
      </w:pPr>
      <w:r>
        <w:rPr>
          <w:rStyle w:val="Hyperlink"/>
          <w:rFonts w:eastAsia="Arial Unicode MS" w:cs="Times New Roman" w:ascii="Times New Roman" w:hAnsi="Times New Roman"/>
          <w:b/>
          <w:color w:val="000000"/>
          <w:sz w:val="22"/>
          <w:szCs w:val="22"/>
          <w:u w:val="none"/>
        </w:rPr>
        <w:t>RELAÇÃO DA EMPRESA BENEFICIÁRIA DO REGISTRO DE PREÇOS</w:t>
      </w:r>
    </w:p>
    <w:p>
      <w:pPr>
        <w:pStyle w:val="Header"/>
        <w:tabs>
          <w:tab w:val="left" w:pos="708" w:leader="none"/>
          <w:tab w:val="center" w:pos="4252" w:leader="none"/>
          <w:tab w:val="center" w:pos="4419" w:leader="none"/>
          <w:tab w:val="right" w:pos="8504" w:leader="none"/>
          <w:tab w:val="right" w:pos="8838" w:leader="none"/>
        </w:tabs>
        <w:spacing w:lineRule="auto" w:line="276"/>
        <w:jc w:val="center"/>
        <w:rPr>
          <w:rFonts w:ascii="Times New Roman" w:hAnsi="Times New Roman" w:eastAsia="SimSun" w:cs="Times New Roman"/>
          <w:color w:val="000000"/>
          <w:sz w:val="22"/>
          <w:szCs w:val="22"/>
          <w:lang w:val="pt-BR" w:eastAsia="pt-BR" w:bidi="ar-SA"/>
        </w:rPr>
      </w:pPr>
      <w:r>
        <w:rPr>
          <w:rFonts w:eastAsia="SimSun" w:cs="Times New Roman" w:ascii="Times New Roman" w:hAnsi="Times New Roman"/>
          <w:color w:val="000000"/>
          <w:sz w:val="22"/>
          <w:szCs w:val="22"/>
          <w:lang w:val="pt-BR" w:eastAsia="pt-BR" w:bidi="ar-SA"/>
        </w:rPr>
      </w:r>
    </w:p>
    <w:p>
      <w:pPr>
        <w:pStyle w:val="BodyText"/>
        <w:tabs>
          <w:tab w:val="clear" w:pos="720"/>
          <w:tab w:val="left" w:pos="338" w:leader="none"/>
        </w:tabs>
        <w:spacing w:lineRule="auto" w:line="276" w:before="0" w:after="0"/>
        <w:ind w:hanging="0" w:left="0" w:right="0"/>
        <w:jc w:val="both"/>
        <w:rPr/>
      </w:pPr>
      <w:r>
        <w:rPr>
          <w:rStyle w:val="Hyperlink"/>
          <w:rFonts w:cs="Times New Roman" w:ascii="Times New Roman" w:hAnsi="Times New Roman"/>
          <w:b w:val="false"/>
          <w:color w:val="000000"/>
          <w:sz w:val="22"/>
          <w:szCs w:val="22"/>
          <w:u w:val="none"/>
        </w:rPr>
        <w:tab/>
        <w:t xml:space="preserve">Em decorrência das propostas apresentadas e homologadas no certame licitatório de que trata o Edital de Pregão Eletrônico para Registro de </w:t>
      </w:r>
      <w:r>
        <w:rPr>
          <w:rStyle w:val="Hyperlink"/>
          <w:rFonts w:cs="Times New Roman" w:ascii="Times New Roman" w:hAnsi="Times New Roman"/>
          <w:b w:val="false"/>
          <w:color w:val="000000"/>
          <w:sz w:val="22"/>
          <w:szCs w:val="22"/>
          <w:u w:val="none"/>
          <w:shd w:fill="FFFF00" w:val="clear"/>
        </w:rPr>
        <w:t>Preços nº 90090/2026</w:t>
      </w:r>
      <w:r>
        <w:rPr>
          <w:rStyle w:val="Hyperlink"/>
          <w:rFonts w:cs="Times New Roman" w:ascii="Times New Roman" w:hAnsi="Times New Roman"/>
          <w:b w:val="false"/>
          <w:color w:val="000000"/>
          <w:sz w:val="22"/>
          <w:szCs w:val="22"/>
          <w:u w:val="none"/>
        </w:rPr>
        <w:t>, ficam registrados, para fornecimento do material descrito no objeto, no período de 12 (doze) meses a contar da publicação da Ata no Diário Oficial da União – DOU, os preços unitários e respectivas licitantes classificadas por item:</w:t>
      </w:r>
    </w:p>
    <w:p>
      <w:pPr>
        <w:pStyle w:val="BodyText"/>
        <w:tabs>
          <w:tab w:val="clear" w:pos="720"/>
          <w:tab w:val="left" w:pos="338" w:leader="none"/>
        </w:tabs>
        <w:spacing w:lineRule="auto" w:line="276" w:before="0" w:after="0"/>
        <w:ind w:hanging="0" w:left="0" w:right="0"/>
        <w:jc w:val="both"/>
        <w:rPr>
          <w:rFonts w:ascii="Times New Roman" w:hAnsi="Times New Roman" w:cs="Times New Roman"/>
          <w:b w:val="false"/>
          <w:color w:val="000000"/>
          <w:sz w:val="22"/>
          <w:szCs w:val="22"/>
          <w:u w:val="none"/>
        </w:rPr>
      </w:pPr>
      <w:r>
        <w:rPr>
          <w:rFonts w:cs="Times New Roman" w:ascii="Times New Roman" w:hAnsi="Times New Roman"/>
          <w:b w:val="false"/>
          <w:color w:val="000000"/>
          <w:sz w:val="22"/>
          <w:szCs w:val="22"/>
          <w:u w:val="none"/>
        </w:rPr>
      </w:r>
    </w:p>
    <w:tbl>
      <w:tblPr>
        <w:tblW w:w="9848" w:type="dxa"/>
        <w:jc w:val="left"/>
        <w:tblInd w:w="42" w:type="dxa"/>
        <w:tblLayout w:type="fixed"/>
        <w:tblCellMar>
          <w:top w:w="108" w:type="dxa"/>
          <w:left w:w="38" w:type="dxa"/>
          <w:bottom w:w="108" w:type="dxa"/>
          <w:right w:w="108" w:type="dxa"/>
        </w:tblCellMar>
      </w:tblPr>
      <w:tblGrid>
        <w:gridCol w:w="833"/>
        <w:gridCol w:w="4593"/>
        <w:gridCol w:w="848"/>
        <w:gridCol w:w="917"/>
        <w:gridCol w:w="1233"/>
        <w:gridCol w:w="1423"/>
      </w:tblGrid>
      <w:tr>
        <w:trPr/>
        <w:tc>
          <w:tcPr>
            <w:tcW w:w="833" w:type="dxa"/>
            <w:tcBorders>
              <w:top w:val="single" w:sz="4" w:space="0" w:color="00000A"/>
              <w:left w:val="single" w:sz="4" w:space="0" w:color="00000A"/>
              <w:bottom w:val="single" w:sz="4" w:space="0" w:color="00000A"/>
            </w:tcBorders>
            <w:shd w:fill="EEEEEE" w:val="clear"/>
            <w:vAlign w:val="center"/>
          </w:tcPr>
          <w:p>
            <w:pPr>
              <w:pStyle w:val="Normal"/>
              <w:widowControl w:val="false"/>
              <w:spacing w:lineRule="auto" w:line="276"/>
              <w:jc w:val="center"/>
              <w:rPr/>
            </w:pPr>
            <w:r>
              <w:rPr>
                <w:rStyle w:val="Hyperlink"/>
                <w:rFonts w:cs="Times New Roman" w:ascii="Times New Roman" w:hAnsi="Times New Roman"/>
                <w:b/>
                <w:bCs/>
                <w:color w:val="000000"/>
                <w:sz w:val="22"/>
                <w:szCs w:val="22"/>
                <w:u w:val="none"/>
              </w:rPr>
              <w:t>ITEM</w:t>
            </w:r>
          </w:p>
        </w:tc>
        <w:tc>
          <w:tcPr>
            <w:tcW w:w="4593" w:type="dxa"/>
            <w:tcBorders>
              <w:top w:val="single" w:sz="4" w:space="0" w:color="00000A"/>
              <w:left w:val="single" w:sz="4" w:space="0" w:color="00000A"/>
              <w:bottom w:val="single" w:sz="4" w:space="0" w:color="00000A"/>
            </w:tcBorders>
            <w:shd w:fill="EEEEEE" w:val="clear"/>
            <w:vAlign w:val="center"/>
          </w:tcPr>
          <w:p>
            <w:pPr>
              <w:pStyle w:val="Normal"/>
              <w:widowControl w:val="false"/>
              <w:spacing w:lineRule="auto" w:line="276"/>
              <w:jc w:val="center"/>
              <w:rPr/>
            </w:pPr>
            <w:r>
              <w:rPr>
                <w:rStyle w:val="Hyperlink"/>
                <w:rFonts w:cs="Times New Roman" w:ascii="Times New Roman" w:hAnsi="Times New Roman"/>
                <w:b/>
                <w:bCs/>
                <w:color w:val="000000"/>
                <w:sz w:val="22"/>
                <w:szCs w:val="22"/>
                <w:u w:val="none"/>
              </w:rPr>
              <w:t>ESPECIFICAÇÃO</w:t>
            </w:r>
          </w:p>
        </w:tc>
        <w:tc>
          <w:tcPr>
            <w:tcW w:w="848" w:type="dxa"/>
            <w:tcBorders>
              <w:top w:val="single" w:sz="4" w:space="0" w:color="00000A"/>
              <w:left w:val="single" w:sz="4" w:space="0" w:color="00000A"/>
              <w:bottom w:val="single" w:sz="4" w:space="0" w:color="00000A"/>
            </w:tcBorders>
            <w:shd w:fill="EEEEEE" w:val="clear"/>
            <w:vAlign w:val="center"/>
          </w:tcPr>
          <w:p>
            <w:pPr>
              <w:pStyle w:val="Normal"/>
              <w:widowControl w:val="false"/>
              <w:spacing w:lineRule="auto" w:line="276"/>
              <w:jc w:val="center"/>
              <w:rPr/>
            </w:pPr>
            <w:r>
              <w:rPr>
                <w:rStyle w:val="Hyperlink"/>
                <w:rFonts w:cs="Times New Roman" w:ascii="Times New Roman" w:hAnsi="Times New Roman"/>
                <w:b/>
                <w:bCs/>
                <w:color w:val="000000"/>
                <w:sz w:val="22"/>
                <w:szCs w:val="22"/>
                <w:u w:val="none"/>
              </w:rPr>
              <w:t>UNID</w:t>
            </w:r>
          </w:p>
        </w:tc>
        <w:tc>
          <w:tcPr>
            <w:tcW w:w="917" w:type="dxa"/>
            <w:tcBorders>
              <w:top w:val="single" w:sz="4" w:space="0" w:color="00000A"/>
              <w:left w:val="single" w:sz="4" w:space="0" w:color="00000A"/>
              <w:bottom w:val="single" w:sz="4" w:space="0" w:color="00000A"/>
            </w:tcBorders>
            <w:shd w:fill="EEEEEE" w:val="clear"/>
            <w:vAlign w:val="center"/>
          </w:tcPr>
          <w:p>
            <w:pPr>
              <w:pStyle w:val="Normal"/>
              <w:widowControl w:val="false"/>
              <w:spacing w:lineRule="auto" w:line="276"/>
              <w:jc w:val="center"/>
              <w:rPr/>
            </w:pPr>
            <w:r>
              <w:rPr>
                <w:rStyle w:val="Hyperlink"/>
                <w:rFonts w:cs="Times New Roman" w:ascii="Times New Roman" w:hAnsi="Times New Roman"/>
                <w:b/>
                <w:bCs/>
                <w:color w:val="000000"/>
                <w:sz w:val="22"/>
                <w:szCs w:val="22"/>
                <w:u w:val="none"/>
              </w:rPr>
              <w:t>QTDE</w:t>
            </w:r>
          </w:p>
        </w:tc>
        <w:tc>
          <w:tcPr>
            <w:tcW w:w="1233" w:type="dxa"/>
            <w:tcBorders>
              <w:top w:val="single" w:sz="4" w:space="0" w:color="00000A"/>
              <w:left w:val="single" w:sz="4" w:space="0" w:color="00000A"/>
              <w:bottom w:val="single" w:sz="4" w:space="0" w:color="00000A"/>
            </w:tcBorders>
            <w:shd w:fill="EEEEEE" w:val="clear"/>
            <w:vAlign w:val="center"/>
          </w:tcPr>
          <w:p>
            <w:pPr>
              <w:pStyle w:val="Normal"/>
              <w:widowControl w:val="false"/>
              <w:spacing w:lineRule="auto" w:line="276"/>
              <w:jc w:val="center"/>
              <w:rPr/>
            </w:pPr>
            <w:r>
              <w:rPr>
                <w:rStyle w:val="Hyperlink"/>
                <w:rFonts w:cs="Times New Roman" w:ascii="Times New Roman" w:hAnsi="Times New Roman"/>
                <w:b/>
                <w:bCs/>
                <w:color w:val="000000"/>
                <w:sz w:val="22"/>
                <w:szCs w:val="22"/>
                <w:u w:val="none"/>
              </w:rPr>
              <w:t>VALOR UNIT.</w:t>
            </w:r>
          </w:p>
        </w:tc>
        <w:tc>
          <w:tcPr>
            <w:tcW w:w="1423" w:type="dxa"/>
            <w:tcBorders>
              <w:top w:val="single" w:sz="4" w:space="0" w:color="00000A"/>
              <w:left w:val="single" w:sz="4" w:space="0" w:color="00000A"/>
              <w:bottom w:val="single" w:sz="4" w:space="0" w:color="00000A"/>
              <w:right w:val="single" w:sz="4" w:space="0" w:color="00000A"/>
            </w:tcBorders>
            <w:shd w:fill="EEEEEE" w:val="clear"/>
            <w:vAlign w:val="center"/>
          </w:tcPr>
          <w:p>
            <w:pPr>
              <w:pStyle w:val="Normal"/>
              <w:widowControl w:val="false"/>
              <w:spacing w:lineRule="auto" w:line="276"/>
              <w:jc w:val="center"/>
              <w:rPr/>
            </w:pPr>
            <w:r>
              <w:rPr>
                <w:rStyle w:val="Hyperlink"/>
                <w:rFonts w:cs="Times New Roman" w:ascii="Times New Roman" w:hAnsi="Times New Roman"/>
                <w:b/>
                <w:bCs/>
                <w:color w:val="000000"/>
                <w:sz w:val="22"/>
                <w:szCs w:val="22"/>
                <w:u w:val="none"/>
              </w:rPr>
              <w:t>VALOR TOTAL</w:t>
            </w:r>
          </w:p>
        </w:tc>
      </w:tr>
      <w:tr>
        <w:trPr/>
        <w:tc>
          <w:tcPr>
            <w:tcW w:w="833" w:type="dxa"/>
            <w:tcBorders>
              <w:top w:val="single" w:sz="4" w:space="0" w:color="00000A"/>
              <w:left w:val="single" w:sz="4" w:space="0" w:color="00000A"/>
              <w:bottom w:val="single" w:sz="4" w:space="0" w:color="00000A"/>
            </w:tcBorders>
            <w:shd w:fill="auto" w:val="clear"/>
            <w:tcMar>
              <w:top w:w="0" w:type="dxa"/>
              <w:bottom w:w="0" w:type="dxa"/>
            </w:tcMar>
            <w:vAlign w:val="center"/>
          </w:tcPr>
          <w:p>
            <w:pPr>
              <w:pStyle w:val="Normal"/>
              <w:widowControl w:val="false"/>
              <w:spacing w:lineRule="auto" w:line="276"/>
              <w:jc w:val="center"/>
              <w:rPr/>
            </w:pPr>
            <w:r>
              <w:rPr>
                <w:rStyle w:val="Hyperlink"/>
                <w:rFonts w:cs="Times New Roman" w:ascii="Times New Roman" w:hAnsi="Times New Roman"/>
                <w:color w:val="000000"/>
                <w:sz w:val="22"/>
                <w:szCs w:val="22"/>
                <w:u w:val="none"/>
              </w:rPr>
              <w:t>01</w:t>
            </w:r>
          </w:p>
        </w:tc>
        <w:tc>
          <w:tcPr>
            <w:tcW w:w="4593" w:type="dxa"/>
            <w:tcBorders>
              <w:top w:val="single" w:sz="4" w:space="0" w:color="00000A"/>
              <w:left w:val="single" w:sz="4" w:space="0" w:color="00000A"/>
              <w:bottom w:val="single" w:sz="4" w:space="0" w:color="00000A"/>
            </w:tcBorders>
            <w:shd w:fill="auto" w:val="clear"/>
            <w:tcMar>
              <w:top w:w="0" w:type="dxa"/>
              <w:bottom w:w="0" w:type="dxa"/>
            </w:tcMar>
          </w:tcPr>
          <w:p>
            <w:pPr>
              <w:pStyle w:val="Normal"/>
              <w:widowControl w:val="false"/>
              <w:spacing w:lineRule="auto" w:line="276"/>
              <w:jc w:val="center"/>
              <w:rPr/>
            </w:pPr>
            <w:r>
              <w:rPr>
                <w:rStyle w:val="Hyperlink"/>
                <w:rFonts w:cs="Times New Roman" w:ascii="Times New Roman" w:hAnsi="Times New Roman"/>
                <w:b w:val="false"/>
                <w:i w:val="false"/>
                <w:strike w:val="false"/>
                <w:dstrike w:val="false"/>
                <w:outline w:val="false"/>
                <w:shadow w:val="false"/>
                <w:color w:val="000000"/>
                <w:sz w:val="22"/>
                <w:szCs w:val="22"/>
                <w:u w:val="none"/>
                <w:em w:val="none"/>
              </w:rPr>
              <w:t>xxxxxxxxxxxxxxxxxxxxxxxxxxx</w:t>
            </w:r>
            <w:r>
              <w:rPr>
                <w:rStyle w:val="Hyperlink"/>
                <w:rFonts w:cs="Times New Roman" w:ascii="Times New Roman" w:hAnsi="Times New Roman"/>
                <w:color w:val="000000"/>
                <w:sz w:val="22"/>
                <w:szCs w:val="22"/>
                <w:u w:val="none"/>
              </w:rPr>
              <w:t>xxxxxx</w:t>
            </w:r>
          </w:p>
        </w:tc>
        <w:tc>
          <w:tcPr>
            <w:tcW w:w="848" w:type="dxa"/>
            <w:tcBorders>
              <w:top w:val="single" w:sz="4" w:space="0" w:color="00000A"/>
              <w:left w:val="single" w:sz="4" w:space="0" w:color="00000A"/>
              <w:bottom w:val="single" w:sz="4" w:space="0" w:color="00000A"/>
            </w:tcBorders>
            <w:shd w:fill="auto" w:val="clear"/>
            <w:tcMar>
              <w:top w:w="0" w:type="dxa"/>
              <w:bottom w:w="0" w:type="dxa"/>
            </w:tcMar>
            <w:vAlign w:val="center"/>
          </w:tcPr>
          <w:p>
            <w:pPr>
              <w:pStyle w:val="Normal"/>
              <w:widowControl w:val="false"/>
              <w:spacing w:lineRule="auto" w:line="276"/>
              <w:jc w:val="center"/>
              <w:rPr/>
            </w:pPr>
            <w:r>
              <w:rPr>
                <w:rStyle w:val="Hyperlink"/>
                <w:rFonts w:cs="Times New Roman" w:ascii="Times New Roman" w:hAnsi="Times New Roman"/>
                <w:color w:val="000000"/>
                <w:sz w:val="22"/>
                <w:szCs w:val="22"/>
                <w:u w:val="none"/>
              </w:rPr>
              <w:t>xxxxxx</w:t>
            </w:r>
          </w:p>
        </w:tc>
        <w:tc>
          <w:tcPr>
            <w:tcW w:w="917" w:type="dxa"/>
            <w:tcBorders>
              <w:top w:val="single" w:sz="4" w:space="0" w:color="00000A"/>
              <w:left w:val="single" w:sz="4" w:space="0" w:color="00000A"/>
              <w:bottom w:val="single" w:sz="4" w:space="0" w:color="00000A"/>
            </w:tcBorders>
            <w:shd w:fill="auto" w:val="clear"/>
            <w:tcMar>
              <w:top w:w="0" w:type="dxa"/>
              <w:bottom w:w="0" w:type="dxa"/>
            </w:tcMar>
            <w:vAlign w:val="center"/>
          </w:tcPr>
          <w:p>
            <w:pPr>
              <w:pStyle w:val="Normal"/>
              <w:widowControl w:val="false"/>
              <w:spacing w:lineRule="auto" w:line="276"/>
              <w:jc w:val="center"/>
              <w:rPr/>
            </w:pPr>
            <w:r>
              <w:rPr>
                <w:rStyle w:val="Hyperlink"/>
                <w:rFonts w:cs="Times New Roman" w:ascii="Times New Roman" w:hAnsi="Times New Roman"/>
                <w:color w:val="000000"/>
                <w:sz w:val="22"/>
                <w:szCs w:val="22"/>
                <w:u w:val="none"/>
              </w:rPr>
              <w:t>xx</w:t>
            </w:r>
          </w:p>
        </w:tc>
        <w:tc>
          <w:tcPr>
            <w:tcW w:w="1233" w:type="dxa"/>
            <w:tcBorders>
              <w:top w:val="single" w:sz="4" w:space="0" w:color="00000A"/>
              <w:left w:val="single" w:sz="4" w:space="0" w:color="00000A"/>
              <w:bottom w:val="single" w:sz="4" w:space="0" w:color="00000A"/>
            </w:tcBorders>
            <w:shd w:fill="auto" w:val="clear"/>
            <w:tcMar>
              <w:top w:w="0" w:type="dxa"/>
              <w:bottom w:w="0" w:type="dxa"/>
            </w:tcMar>
            <w:vAlign w:val="center"/>
          </w:tcPr>
          <w:p>
            <w:pPr>
              <w:pStyle w:val="Normal"/>
              <w:widowControl w:val="false"/>
              <w:spacing w:lineRule="auto" w:line="276"/>
              <w:jc w:val="center"/>
              <w:rPr/>
            </w:pPr>
            <w:r>
              <w:rPr>
                <w:rStyle w:val="Hyperlink"/>
                <w:rFonts w:cs="Times New Roman" w:ascii="Times New Roman" w:hAnsi="Times New Roman"/>
                <w:color w:val="000000"/>
                <w:sz w:val="22"/>
                <w:szCs w:val="22"/>
                <w:u w:val="none"/>
              </w:rPr>
              <w:t>R$</w:t>
            </w:r>
          </w:p>
        </w:tc>
        <w:tc>
          <w:tcPr>
            <w:tcW w:w="1423" w:type="dxa"/>
            <w:tcBorders>
              <w:top w:val="single" w:sz="4" w:space="0" w:color="00000A"/>
              <w:left w:val="single" w:sz="4" w:space="0" w:color="00000A"/>
              <w:bottom w:val="single" w:sz="4" w:space="0" w:color="00000A"/>
              <w:right w:val="single" w:sz="4" w:space="0" w:color="00000A"/>
            </w:tcBorders>
            <w:shd w:fill="auto" w:val="clear"/>
            <w:tcMar>
              <w:top w:w="0" w:type="dxa"/>
              <w:bottom w:w="0" w:type="dxa"/>
            </w:tcMar>
            <w:vAlign w:val="center"/>
          </w:tcPr>
          <w:p>
            <w:pPr>
              <w:pStyle w:val="Normal"/>
              <w:widowControl w:val="false"/>
              <w:spacing w:lineRule="auto" w:line="276"/>
              <w:jc w:val="center"/>
              <w:rPr/>
            </w:pPr>
            <w:r>
              <w:rPr>
                <w:rStyle w:val="Hyperlink"/>
                <w:rFonts w:cs="Times New Roman" w:ascii="Times New Roman" w:hAnsi="Times New Roman"/>
                <w:color w:val="000000"/>
                <w:sz w:val="22"/>
                <w:szCs w:val="22"/>
                <w:u w:val="none"/>
              </w:rPr>
              <w:t>R$</w:t>
            </w:r>
          </w:p>
        </w:tc>
      </w:tr>
      <w:tr>
        <w:trPr/>
        <w:tc>
          <w:tcPr>
            <w:tcW w:w="8424" w:type="dxa"/>
            <w:gridSpan w:val="5"/>
            <w:tcBorders>
              <w:top w:val="single" w:sz="4" w:space="0" w:color="00000A"/>
              <w:left w:val="single" w:sz="4" w:space="0" w:color="00000A"/>
              <w:bottom w:val="single" w:sz="4" w:space="0" w:color="00000A"/>
            </w:tcBorders>
            <w:shd w:fill="EEEEEE" w:val="clear"/>
            <w:tcMar>
              <w:top w:w="0" w:type="dxa"/>
              <w:bottom w:w="0" w:type="dxa"/>
            </w:tcMar>
            <w:vAlign w:val="center"/>
          </w:tcPr>
          <w:p>
            <w:pPr>
              <w:pStyle w:val="Contedodatabela"/>
              <w:widowControl w:val="false"/>
              <w:spacing w:lineRule="auto" w:line="276"/>
              <w:jc w:val="right"/>
              <w:rPr/>
            </w:pPr>
            <w:r>
              <w:rPr>
                <w:rStyle w:val="Hyperlink"/>
                <w:rFonts w:cs="Times New Roman" w:ascii="Times New Roman" w:hAnsi="Times New Roman"/>
                <w:b/>
                <w:bCs/>
                <w:color w:val="000000"/>
                <w:sz w:val="22"/>
                <w:szCs w:val="22"/>
                <w:u w:val="none"/>
              </w:rPr>
              <w:t>VALOR TOTAL GLOBAL</w:t>
            </w:r>
          </w:p>
        </w:tc>
        <w:tc>
          <w:tcPr>
            <w:tcW w:w="1423" w:type="dxa"/>
            <w:tcBorders>
              <w:top w:val="single" w:sz="4" w:space="0" w:color="00000A"/>
              <w:left w:val="single" w:sz="4" w:space="0" w:color="00000A"/>
              <w:bottom w:val="single" w:sz="4" w:space="0" w:color="00000A"/>
              <w:right w:val="single" w:sz="4" w:space="0" w:color="00000A"/>
            </w:tcBorders>
            <w:shd w:fill="EEEEEE" w:val="clear"/>
            <w:tcMar>
              <w:top w:w="0" w:type="dxa"/>
              <w:bottom w:w="0" w:type="dxa"/>
            </w:tcMar>
            <w:vAlign w:val="center"/>
          </w:tcPr>
          <w:p>
            <w:pPr>
              <w:pStyle w:val="Normal"/>
              <w:widowControl w:val="false"/>
              <w:spacing w:lineRule="auto" w:line="276"/>
              <w:jc w:val="center"/>
              <w:rPr/>
            </w:pPr>
            <w:r>
              <w:rPr>
                <w:rStyle w:val="Hyperlink"/>
                <w:rFonts w:cs="Times New Roman" w:ascii="Times New Roman" w:hAnsi="Times New Roman"/>
                <w:b/>
                <w:bCs/>
                <w:color w:val="000000"/>
                <w:sz w:val="22"/>
                <w:szCs w:val="22"/>
                <w:u w:val="none"/>
              </w:rPr>
              <w:t>R$</w:t>
            </w:r>
          </w:p>
        </w:tc>
      </w:tr>
    </w:tbl>
    <w:p>
      <w:pPr>
        <w:pStyle w:val="Normal"/>
        <w:spacing w:lineRule="auto" w:line="276"/>
        <w:ind w:hanging="709" w:left="1560" w:right="0"/>
        <w:jc w:val="both"/>
        <w:rPr/>
      </w:pPr>
      <w:r>
        <w:rPr>
          <w:rStyle w:val="Hyperlink"/>
          <w:rFonts w:cs="Times New Roman" w:ascii="Times New Roman" w:hAnsi="Times New Roman"/>
          <w:color w:val="000000"/>
          <w:sz w:val="22"/>
          <w:szCs w:val="22"/>
          <w:u w:val="none"/>
        </w:rPr>
        <w:tab/>
        <w:tab/>
      </w:r>
    </w:p>
    <w:p>
      <w:pPr>
        <w:pStyle w:val="Normal"/>
        <w:numPr>
          <w:ilvl w:val="0"/>
          <w:numId w:val="0"/>
        </w:numPr>
        <w:tabs>
          <w:tab w:val="clear" w:pos="720"/>
          <w:tab w:val="left" w:pos="0" w:leader="none"/>
          <w:tab w:val="left" w:pos="3332" w:leader="none"/>
        </w:tabs>
        <w:spacing w:lineRule="auto" w:line="276"/>
        <w:ind w:hanging="0" w:left="0" w:right="0"/>
        <w:jc w:val="both"/>
        <w:rPr/>
      </w:pPr>
      <w:r>
        <w:rPr>
          <w:rStyle w:val="Hyperlink"/>
          <w:rFonts w:eastAsia="Times New Roman" w:cs="Times New Roman" w:ascii="Times New Roman" w:hAnsi="Times New Roman"/>
          <w:b w:val="false"/>
          <w:bCs w:val="false"/>
          <w:color w:val="000000"/>
          <w:sz w:val="22"/>
          <w:szCs w:val="22"/>
          <w:u w:val="none"/>
          <w:lang w:eastAsia="pt-BR" w:bidi="pt-BR"/>
        </w:rPr>
        <w:t>Valor total da proposta R$ XX.XXX,XX (XXXXXXXXXXXXXXXXXXXXXXXXXX) em algarismos e por extenso.</w:t>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widowControl/>
        <w:numPr>
          <w:ilvl w:val="0"/>
          <w:numId w:val="0"/>
        </w:numPr>
        <w:tabs>
          <w:tab w:val="clear" w:pos="720"/>
          <w:tab w:val="left" w:pos="0" w:leader="none"/>
          <w:tab w:val="left" w:pos="3332" w:leader="none"/>
        </w:tabs>
        <w:suppressAutoHyphens w:val="true"/>
        <w:bidi w:val="0"/>
        <w:spacing w:lineRule="auto" w:line="276" w:before="0" w:after="0"/>
        <w:ind w:hanging="0" w:left="0" w:right="0"/>
        <w:jc w:val="center"/>
        <w:rPr>
          <w:rFonts w:ascii="Times New Roman" w:hAnsi="Times New Roman"/>
          <w:color w:val="000000"/>
          <w:sz w:val="22"/>
          <w:szCs w:val="22"/>
          <w:u w:val="none"/>
        </w:rPr>
      </w:pPr>
      <w:r>
        <w:rPr>
          <w:rFonts w:ascii="Times New Roman" w:hAnsi="Times New Roman"/>
          <w:color w:val="000000"/>
          <w:sz w:val="22"/>
          <w:szCs w:val="22"/>
          <w:u w:val="none"/>
        </w:rPr>
      </w:r>
    </w:p>
    <w:p>
      <w:pPr>
        <w:pStyle w:val="Normal"/>
        <w:spacing w:lineRule="auto" w:line="240" w:before="0" w:after="0"/>
        <w:ind w:hanging="0" w:left="-284" w:right="0"/>
        <w:jc w:val="center"/>
        <w:rPr>
          <w:rFonts w:ascii="Times New Roman" w:hAnsi="Times New Roman" w:cs="Times New Roman"/>
          <w:sz w:val="22"/>
          <w:szCs w:val="22"/>
          <w:u w:val="single"/>
        </w:rPr>
      </w:pPr>
      <w:r>
        <w:rPr>
          <w:rFonts w:cs="Times New Roman" w:ascii="Times New Roman" w:hAnsi="Times New Roman"/>
          <w:sz w:val="22"/>
          <w:szCs w:val="22"/>
          <w:u w:val="single"/>
        </w:rPr>
      </w:r>
    </w:p>
    <w:sectPr>
      <w:headerReference w:type="even" r:id="rId64"/>
      <w:headerReference w:type="default" r:id="rId65"/>
      <w:headerReference w:type="first" r:id="rId66"/>
      <w:footerReference w:type="even" r:id="rId67"/>
      <w:footerReference w:type="default" r:id="rId68"/>
      <w:footerReference w:type="first" r:id="rId69"/>
      <w:type w:val="nextPage"/>
      <w:pgSz w:w="11906" w:h="16838"/>
      <w:pgMar w:left="1083" w:right="976" w:gutter="0" w:header="1418" w:top="1694"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Century Gothic">
    <w:charset w:val="00"/>
    <w:family w:val="roman"/>
    <w:pitch w:val="variable"/>
  </w:font>
  <w:font w:name="Tahoma">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Verdana">
    <w:charset w:val="00"/>
    <w:family w:val="roman"/>
    <w:pitch w:val="variable"/>
  </w:font>
  <w:font w:name="Segoe U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fldChar w:fldCharType="begin"/>
    </w:r>
    <w:r>
      <w:rPr/>
      <w:instrText xml:space="preserve"> PAGE </w:instrText>
    </w:r>
    <w:r>
      <w:rPr/>
      <w:fldChar w:fldCharType="separate"/>
    </w:r>
    <w:r>
      <w:rPr/>
      <w:t>28</w:t>
    </w:r>
    <w:r>
      <w:rPr/>
      <w:fldChar w:fldCharType="end"/>
    </w:r>
  </w:p>
  <w:p>
    <w:pPr>
      <w:pStyle w:val="Normal"/>
      <w:rPr>
        <w:rFonts w:ascii="Ecofont_Spranq_eco_Sans" w:hAnsi="Ecofont_Spranq_eco_Sans" w:eastAsia="SimSun" w:cs="Tahoma"/>
        <w:color w:val="00000A"/>
        <w:sz w:val="24"/>
        <w:szCs w:val="24"/>
        <w:lang w:val="pt-BR" w:eastAsia="pt-BR" w:bidi="ar-SA"/>
      </w:rPr>
    </w:pPr>
    <w:r>
      <w:rPr>
        <w:rFonts w:eastAsia="SimSun" w:cs="Tahoma"/>
        <w:color w:val="00000A"/>
        <w:sz w:val="24"/>
        <w:szCs w:val="24"/>
        <w:lang w:val="pt-BR" w:eastAsia="pt-BR" w:bidi="ar-SA"/>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fldChar w:fldCharType="begin"/>
    </w:r>
    <w:r>
      <w:rPr/>
      <w:instrText xml:space="preserve"> PAGE </w:instrText>
    </w:r>
    <w:r>
      <w:rPr/>
      <w:fldChar w:fldCharType="separate"/>
    </w:r>
    <w:r>
      <w:rPr/>
      <w:t>28</w:t>
    </w:r>
    <w:r>
      <w:rPr/>
      <w:fldChar w:fldCharType="end"/>
    </w:r>
  </w:p>
  <w:p>
    <w:pPr>
      <w:pStyle w:val="Normal"/>
      <w:rPr>
        <w:rFonts w:ascii="Ecofont_Spranq_eco_Sans" w:hAnsi="Ecofont_Spranq_eco_Sans" w:eastAsia="SimSun" w:cs="Tahoma"/>
        <w:color w:val="00000A"/>
        <w:sz w:val="24"/>
        <w:szCs w:val="24"/>
        <w:lang w:val="pt-BR" w:eastAsia="pt-BR" w:bidi="ar-SA"/>
      </w:rPr>
    </w:pPr>
    <w:r>
      <w:rPr>
        <w:rFonts w:eastAsia="SimSun" w:cs="Tahoma"/>
        <w:color w:val="00000A"/>
        <w:sz w:val="24"/>
        <w:szCs w:val="24"/>
        <w:lang w:val="pt-BR" w:eastAsia="pt-BR" w:bidi="ar-SA"/>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fldChar w:fldCharType="begin"/>
    </w:r>
    <w:r>
      <w:rPr/>
      <w:instrText xml:space="preserve"> PAGE </w:instrText>
    </w:r>
    <w:r>
      <w:rPr/>
      <w:fldChar w:fldCharType="separate"/>
    </w:r>
    <w:r>
      <w:rPr/>
      <w:t>36</w:t>
    </w:r>
    <w:r>
      <w:rPr/>
      <w:fldChar w:fldCharType="end"/>
    </w:r>
  </w:p>
  <w:p>
    <w:pPr>
      <w:pStyle w:val="Normal"/>
      <w:rPr>
        <w:rFonts w:ascii="Ecofont_Spranq_eco_Sans" w:hAnsi="Ecofont_Spranq_eco_Sans" w:eastAsia="SimSun" w:cs="Tahoma"/>
        <w:color w:val="00000A"/>
        <w:sz w:val="24"/>
        <w:szCs w:val="24"/>
        <w:lang w:val="pt-BR" w:eastAsia="pt-BR" w:bidi="ar-SA"/>
      </w:rPr>
    </w:pPr>
    <w:r>
      <w:rPr>
        <w:rFonts w:eastAsia="SimSun" w:cs="Tahoma"/>
        <w:color w:val="00000A"/>
        <w:sz w:val="24"/>
        <w:szCs w:val="24"/>
        <w:lang w:val="pt-BR" w:eastAsia="pt-BR" w:bidi="ar-SA"/>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fldChar w:fldCharType="begin"/>
    </w:r>
    <w:r>
      <w:rPr/>
      <w:instrText xml:space="preserve"> PAGE </w:instrText>
    </w:r>
    <w:r>
      <w:rPr/>
      <w:fldChar w:fldCharType="separate"/>
    </w:r>
    <w:r>
      <w:rPr/>
      <w:t>36</w:t>
    </w:r>
    <w:r>
      <w:rPr/>
      <w:fldChar w:fldCharType="end"/>
    </w:r>
  </w:p>
  <w:p>
    <w:pPr>
      <w:pStyle w:val="Normal"/>
      <w:rPr>
        <w:rFonts w:ascii="Ecofont_Spranq_eco_Sans" w:hAnsi="Ecofont_Spranq_eco_Sans" w:eastAsia="SimSun" w:cs="Tahoma"/>
        <w:color w:val="00000A"/>
        <w:sz w:val="24"/>
        <w:szCs w:val="24"/>
        <w:lang w:val="pt-BR" w:eastAsia="pt-BR" w:bidi="ar-SA"/>
      </w:rPr>
    </w:pPr>
    <w:r>
      <w:rPr>
        <w:rFonts w:eastAsia="SimSun" w:cs="Tahoma"/>
        <w:color w:val="00000A"/>
        <w:sz w:val="24"/>
        <w:szCs w:val="24"/>
        <w:lang w:val="pt-BR" w:eastAsia="pt-BR" w:bidi="ar-SA"/>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41">
          <wp:simplePos x="0" y="0"/>
          <wp:positionH relativeFrom="column">
            <wp:posOffset>5544185</wp:posOffset>
          </wp:positionH>
          <wp:positionV relativeFrom="paragraph">
            <wp:posOffset>-713105</wp:posOffset>
          </wp:positionV>
          <wp:extent cx="786130" cy="746760"/>
          <wp:effectExtent l="0" t="0" r="0" b="0"/>
          <wp:wrapSquare wrapText="largest"/>
          <wp:docPr id="7" name="Figura2 Copia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2 Copia 2" descr=""/>
                  <pic:cNvPicPr>
                    <a:picLocks noChangeAspect="1" noChangeArrowheads="1"/>
                  </pic:cNvPicPr>
                </pic:nvPicPr>
                <pic:blipFill>
                  <a:blip r:embed="rId1"/>
                  <a:stretch>
                    <a:fillRect/>
                  </a:stretch>
                </pic:blipFill>
                <pic:spPr bwMode="auto">
                  <a:xfrm>
                    <a:off x="0" y="0"/>
                    <a:ext cx="786130" cy="746760"/>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41">
          <wp:simplePos x="0" y="0"/>
          <wp:positionH relativeFrom="column">
            <wp:posOffset>5544185</wp:posOffset>
          </wp:positionH>
          <wp:positionV relativeFrom="paragraph">
            <wp:posOffset>-713105</wp:posOffset>
          </wp:positionV>
          <wp:extent cx="786130" cy="746760"/>
          <wp:effectExtent l="0" t="0" r="0" b="0"/>
          <wp:wrapSquare wrapText="largest"/>
          <wp:docPr id="8" name="Figura2 Copia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2 Copia 2" descr=""/>
                  <pic:cNvPicPr>
                    <a:picLocks noChangeAspect="1" noChangeArrowheads="1"/>
                  </pic:cNvPicPr>
                </pic:nvPicPr>
                <pic:blipFill>
                  <a:blip r:embed="rId1"/>
                  <a:stretch>
                    <a:fillRect/>
                  </a:stretch>
                </pic:blipFill>
                <pic:spPr bwMode="auto">
                  <a:xfrm>
                    <a:off x="0" y="0"/>
                    <a:ext cx="786130" cy="746760"/>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13">
          <wp:simplePos x="0" y="0"/>
          <wp:positionH relativeFrom="column">
            <wp:posOffset>5601335</wp:posOffset>
          </wp:positionH>
          <wp:positionV relativeFrom="paragraph">
            <wp:posOffset>-763270</wp:posOffset>
          </wp:positionV>
          <wp:extent cx="786130" cy="746760"/>
          <wp:effectExtent l="0" t="0" r="0" b="0"/>
          <wp:wrapSquare wrapText="largest"/>
          <wp:docPr id="11" name="Figura2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2 Copia 1" descr=""/>
                  <pic:cNvPicPr>
                    <a:picLocks noChangeAspect="1" noChangeArrowheads="1"/>
                  </pic:cNvPicPr>
                </pic:nvPicPr>
                <pic:blipFill>
                  <a:blip r:embed="rId1"/>
                  <a:stretch>
                    <a:fillRect/>
                  </a:stretch>
                </pic:blipFill>
                <pic:spPr bwMode="auto">
                  <a:xfrm>
                    <a:off x="0" y="0"/>
                    <a:ext cx="786130" cy="746760"/>
                  </a:xfrm>
                  <a:prstGeom prst="rect">
                    <a:avLst/>
                  </a:prstGeom>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13">
          <wp:simplePos x="0" y="0"/>
          <wp:positionH relativeFrom="column">
            <wp:posOffset>5601335</wp:posOffset>
          </wp:positionH>
          <wp:positionV relativeFrom="paragraph">
            <wp:posOffset>-763270</wp:posOffset>
          </wp:positionV>
          <wp:extent cx="786130" cy="746760"/>
          <wp:effectExtent l="0" t="0" r="0" b="0"/>
          <wp:wrapSquare wrapText="largest"/>
          <wp:docPr id="12" name="Figura2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2 Copia 1" descr=""/>
                  <pic:cNvPicPr>
                    <a:picLocks noChangeAspect="1" noChangeArrowheads="1"/>
                  </pic:cNvPicPr>
                </pic:nvPicPr>
                <pic:blipFill>
                  <a:blip r:embed="rId1"/>
                  <a:stretch>
                    <a:fillRect/>
                  </a:stretch>
                </pic:blipFill>
                <pic:spPr bwMode="auto">
                  <a:xfrm>
                    <a:off x="0" y="0"/>
                    <a:ext cx="786130" cy="74676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3672" w:hanging="432"/>
      </w:pPr>
      <w:rPr/>
    </w:lvl>
    <w:lvl w:ilvl="1">
      <w:start w:val="1"/>
      <w:numFmt w:val="none"/>
      <w:suff w:val="nothing"/>
      <w:lvlText w:val=""/>
      <w:lvlJc w:val="left"/>
      <w:pPr>
        <w:tabs>
          <w:tab w:val="num" w:pos="0"/>
        </w:tabs>
        <w:ind w:left="3816" w:hanging="576"/>
      </w:pPr>
      <w:rPr/>
    </w:lvl>
    <w:lvl w:ilvl="2">
      <w:start w:val="1"/>
      <w:numFmt w:val="none"/>
      <w:suff w:val="nothing"/>
      <w:lvlText w:val=""/>
      <w:lvlJc w:val="left"/>
      <w:pPr>
        <w:tabs>
          <w:tab w:val="num" w:pos="0"/>
        </w:tabs>
        <w:ind w:left="3960" w:hanging="720"/>
      </w:pPr>
      <w:rPr/>
    </w:lvl>
    <w:lvl w:ilvl="3">
      <w:start w:val="1"/>
      <w:numFmt w:val="none"/>
      <w:suff w:val="nothing"/>
      <w:lvlText w:val=""/>
      <w:lvlJc w:val="left"/>
      <w:pPr>
        <w:tabs>
          <w:tab w:val="num" w:pos="0"/>
        </w:tabs>
        <w:ind w:left="3240" w:hanging="0"/>
      </w:pPr>
      <w:rPr/>
    </w:lvl>
    <w:lvl w:ilvl="4">
      <w:start w:val="1"/>
      <w:numFmt w:val="none"/>
      <w:suff w:val="nothing"/>
      <w:lvlText w:val=""/>
      <w:lvlJc w:val="left"/>
      <w:pPr>
        <w:tabs>
          <w:tab w:val="num" w:pos="0"/>
        </w:tabs>
        <w:ind w:left="4248" w:hanging="1008"/>
      </w:pPr>
      <w:rPr>
        <w:sz w:val="22"/>
        <w:b/>
        <w:szCs w:val="16"/>
      </w:rPr>
    </w:lvl>
    <w:lvl w:ilvl="5">
      <w:start w:val="1"/>
      <w:numFmt w:val="none"/>
      <w:suff w:val="nothing"/>
      <w:lvlText w:val=""/>
      <w:lvlJc w:val="left"/>
      <w:pPr>
        <w:tabs>
          <w:tab w:val="num" w:pos="0"/>
        </w:tabs>
        <w:ind w:left="4392" w:hanging="1152"/>
      </w:pPr>
      <w:rPr/>
    </w:lvl>
    <w:lvl w:ilvl="6">
      <w:start w:val="1"/>
      <w:numFmt w:val="none"/>
      <w:suff w:val="nothing"/>
      <w:lvlText w:val=""/>
      <w:lvlJc w:val="left"/>
      <w:pPr>
        <w:tabs>
          <w:tab w:val="num" w:pos="0"/>
        </w:tabs>
        <w:ind w:left="3240" w:hanging="0"/>
      </w:pPr>
      <w:rPr/>
    </w:lvl>
    <w:lvl w:ilvl="7">
      <w:start w:val="1"/>
      <w:numFmt w:val="none"/>
      <w:suff w:val="nothing"/>
      <w:lvlText w:val=""/>
      <w:lvlJc w:val="left"/>
      <w:pPr>
        <w:tabs>
          <w:tab w:val="num" w:pos="0"/>
        </w:tabs>
        <w:ind w:left="4680" w:hanging="1440"/>
      </w:pPr>
      <w:rPr/>
    </w:lvl>
    <w:lvl w:ilvl="8">
      <w:start w:val="1"/>
      <w:numFmt w:val="none"/>
      <w:suff w:val="nothing"/>
      <w:lvlText w:val=""/>
      <w:lvlJc w:val="left"/>
      <w:pPr>
        <w:tabs>
          <w:tab w:val="num" w:pos="0"/>
        </w:tabs>
        <w:ind w:left="4824" w:hanging="1584"/>
      </w:pPr>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5"/>
  <w:defaultTabStop w:val="720"/>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en-US" w:bidi="ar-SA"/>
      </w:rPr>
    </w:rPrDefault>
    <w:pPrDefault>
      <w:pPr>
        <w:suppressAutoHyphens w:val="true"/>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67" w:unhideWhenUsed="0"/>
    <w:lsdException w:name="No Spacing" w:uiPriority="68" w:semiHidden="0" w:unhideWhenUsed="0"/>
    <w:lsdException w:name="Light Shading" w:uiPriority="69" w:semiHidden="0" w:unhideWhenUsed="0"/>
    <w:lsdException w:name="Light List" w:uiPriority="70" w:semiHidden="0" w:unhideWhenUsed="0"/>
    <w:lsdException w:name="Light Grid" w:uiPriority="71" w:semiHidden="0" w:unhideWhenUsed="0"/>
    <w:lsdException w:name="Medium Shading 1" w:uiPriority="72" w:semiHidden="0" w:unhideWhenUsed="0"/>
    <w:lsdException w:name="Medium Shading 2" w:uiPriority="73" w:semiHidden="0" w:unhideWhenUsed="0"/>
    <w:lsdException w:name="Medium List 1" w:uiPriority="60" w:semiHidden="0" w:unhideWhenUsed="0"/>
    <w:lsdException w:name="Medium List 2" w:uiPriority="61" w:semiHidden="0" w:unhideWhenUsed="0"/>
    <w:lsdException w:name="Medium Grid 1" w:uiPriority="62" w:semiHidden="0" w:unhideWhenUsed="0"/>
    <w:lsdException w:name="Medium Grid 2" w:uiPriority="63" w:semiHidden="0" w:unhideWhenUsed="0"/>
    <w:lsdException w:name="Medium Grid 3" w:uiPriority="64" w:semiHidden="0" w:unhideWhenUsed="0"/>
    <w:lsdException w:name="Dark List" w:uiPriority="65" w:semiHidden="0" w:unhideWhenUsed="0"/>
    <w:lsdException w:name="Colorful Shading" w:uiPriority="99" w:semiHidden="0" w:unhideWhenUsed="0"/>
    <w:lsdException w:name="Colorful List" w:uiPriority="34" w:semiHidden="0" w:unhideWhenUsed="0" w:qFormat="1"/>
    <w:lsdException w:name="Colorful Grid" w:uiPriority="29" w:semiHidden="0" w:unhideWhenUsed="0" w:qFormat="1"/>
    <w:lsdException w:name="Light Shading Accent 1" w:uiPriority="30" w:semiHidden="0" w:unhideWhenUsed="0" w:qFormat="1"/>
    <w:lsdException w:name="Light List Accent 1" w:uiPriority="66" w:semiHidden="0" w:unhideWhenUsed="0"/>
    <w:lsdException w:name="Light Grid Accent 1" w:uiPriority="67" w:semiHidden="0" w:unhideWhenUsed="0"/>
    <w:lsdException w:name="Medium Shading 1 Accent 1" w:uiPriority="68" w:semiHidden="0" w:unhideWhenUsed="0"/>
    <w:lsdException w:name="Medium Shading 2 Accent 1" w:uiPriority="69" w:semiHidden="0" w:unhideWhenUsed="0"/>
    <w:lsdException w:name="Medium List 1 Accent 1" w:uiPriority="70" w:semiHidden="0" w:unhideWhenUsed="0"/>
    <w:lsdException w:name="Revision" w:uiPriority="71" w:unhideWhenUsed="0"/>
    <w:lsdException w:name="List Paragraph" w:uiPriority="34" w:semiHidden="0" w:unhideWhenUsed="0" w:qFormat="1"/>
    <w:lsdException w:name="Quote" w:semiHidden="0" w:unhideWhenUsed="0" w:qFormat="1"/>
    <w:lsdException w:name="Intense Quote" w:uiPriority="60" w:semiHidden="0" w:unhideWhenUsed="0"/>
    <w:lsdException w:name="Medium List 2 Accent 1" w:uiPriority="61" w:semiHidden="0" w:unhideWhenUsed="0"/>
    <w:lsdException w:name="Medium Grid 1 Accent 1" w:uiPriority="62" w:semiHidden="0" w:unhideWhenUsed="0"/>
    <w:lsdException w:name="Medium Grid 2 Accent 1" w:uiPriority="63" w:semiHidden="0" w:unhideWhenUsed="0"/>
    <w:lsdException w:name="Medium Grid 3 Accent 1" w:uiPriority="64" w:semiHidden="0" w:unhideWhenUsed="0"/>
    <w:lsdException w:name="Dark List Accent 1" w:uiPriority="65" w:semiHidden="0" w:unhideWhenUsed="0"/>
    <w:lsdException w:name="Colorful Shading Accent 1" w:uiPriority="66" w:semiHidden="0" w:unhideWhenUsed="0"/>
    <w:lsdException w:name="Colorful List Accent 1" w:uiPriority="67" w:semiHidden="0" w:unhideWhenUsed="0"/>
    <w:lsdException w:name="Colorful Grid Accent 1" w:uiPriority="68" w:semiHidden="0" w:unhideWhenUsed="0"/>
    <w:lsdException w:name="Light Shading Accent 2" w:uiPriority="69" w:semiHidden="0" w:unhideWhenUsed="0"/>
    <w:lsdException w:name="Light List Accent 2" w:uiPriority="70" w:semiHidden="0" w:unhideWhenUsed="0"/>
    <w:lsdException w:name="Light Grid Accent 2" w:uiPriority="71" w:semiHidden="0" w:unhideWhenUsed="0"/>
    <w:lsdException w:name="Medium Shading 1 Accent 2" w:uiPriority="72" w:semiHidden="0" w:unhideWhenUsed="0"/>
    <w:lsdException w:name="Medium Shading 2 Accent 2" w:uiPriority="73" w:semiHidden="0" w:unhideWhenUsed="0"/>
    <w:lsdException w:name="Medium List 1 Accent 2" w:uiPriority="60" w:semiHidden="0" w:unhideWhenUsed="0"/>
    <w:lsdException w:name="Medium List 2 Accent 2" w:uiPriority="61" w:semiHidden="0" w:unhideWhenUsed="0"/>
    <w:lsdException w:name="Medium Grid 1 Accent 2" w:uiPriority="62" w:semiHidden="0" w:unhideWhenUsed="0"/>
    <w:lsdException w:name="Medium Grid 2 Accent 2" w:uiPriority="63" w:semiHidden="0" w:unhideWhenUsed="0"/>
    <w:lsdException w:name="Medium Grid 3 Accent 2" w:uiPriority="64" w:semiHidden="0" w:unhideWhenUsed="0"/>
    <w:lsdException w:name="Dark List Accent 2" w:uiPriority="65" w:semiHidden="0" w:unhideWhenUsed="0"/>
    <w:lsdException w:name="Colorful Shading Accent 2" w:uiPriority="66" w:semiHidden="0" w:unhideWhenUsed="0"/>
    <w:lsdException w:name="Colorful List Accent 2" w:uiPriority="67" w:semiHidden="0" w:unhideWhenUsed="0"/>
    <w:lsdException w:name="Colorful Grid Accent 2" w:uiPriority="68" w:semiHidden="0" w:unhideWhenUsed="0"/>
    <w:lsdException w:name="Light Shading Accent 3" w:uiPriority="69" w:semiHidden="0" w:unhideWhenUsed="0"/>
    <w:lsdException w:name="Light List Accent 3" w:uiPriority="70" w:semiHidden="0" w:unhideWhenUsed="0"/>
    <w:lsdException w:name="Light Grid Accent 3" w:uiPriority="71" w:semiHidden="0" w:unhideWhenUsed="0"/>
    <w:lsdException w:name="Medium Shading 1 Accent 3" w:uiPriority="72" w:semiHidden="0" w:unhideWhenUsed="0"/>
    <w:lsdException w:name="Medium Shading 2 Accent 3" w:uiPriority="73" w:semiHidden="0" w:unhideWhenUsed="0"/>
    <w:lsdException w:name="Medium List 1 Accent 3" w:uiPriority="60" w:semiHidden="0" w:unhideWhenUsed="0"/>
    <w:lsdException w:name="Medium List 2 Accent 3" w:uiPriority="61" w:semiHidden="0" w:unhideWhenUsed="0"/>
    <w:lsdException w:name="Medium Grid 1 Accent 3" w:uiPriority="62" w:semiHidden="0" w:unhideWhenUsed="0"/>
    <w:lsdException w:name="Medium Grid 2 Accent 3" w:uiPriority="63" w:semiHidden="0" w:unhideWhenUsed="0"/>
    <w:lsdException w:name="Medium Grid 3 Accent 3" w:uiPriority="64" w:semiHidden="0" w:unhideWhenUsed="0"/>
    <w:lsdException w:name="Dark List Accent 3" w:uiPriority="65" w:semiHidden="0" w:unhideWhenUsed="0"/>
    <w:lsdException w:name="Colorful Shading Accent 3" w:uiPriority="66" w:semiHidden="0" w:unhideWhenUsed="0"/>
    <w:lsdException w:name="Colorful List Accent 3" w:uiPriority="67" w:semiHidden="0" w:unhideWhenUsed="0"/>
    <w:lsdException w:name="Colorful Grid Accent 3" w:uiPriority="68" w:semiHidden="0" w:unhideWhenUsed="0"/>
    <w:lsdException w:name="Light Shading Accent 4" w:uiPriority="69" w:semiHidden="0" w:unhideWhenUsed="0"/>
    <w:lsdException w:name="Light List Accent 4" w:uiPriority="70" w:semiHidden="0" w:unhideWhenUsed="0"/>
    <w:lsdException w:name="Light Grid Accent 4" w:uiPriority="71" w:semiHidden="0" w:unhideWhenUsed="0"/>
    <w:lsdException w:name="Medium Shading 1 Accent 4" w:uiPriority="72" w:semiHidden="0" w:unhideWhenUsed="0"/>
    <w:lsdException w:name="Medium Shading 2 Accent 4" w:uiPriority="73" w:semiHidden="0" w:unhideWhenUsed="0"/>
    <w:lsdException w:name="Medium List 1 Accent 4" w:uiPriority="60" w:semiHidden="0" w:unhideWhenUsed="0"/>
    <w:lsdException w:name="Medium List 2 Accent 4" w:uiPriority="61" w:semiHidden="0" w:unhideWhenUsed="0"/>
    <w:lsdException w:name="Medium Grid 1 Accent 4" w:uiPriority="62" w:semiHidden="0" w:unhideWhenUsed="0"/>
    <w:lsdException w:name="Medium Grid 2 Accent 4" w:uiPriority="63" w:semiHidden="0" w:unhideWhenUsed="0"/>
    <w:lsdException w:name="Medium Grid 3 Accent 4" w:uiPriority="64" w:semiHidden="0" w:unhideWhenUsed="0"/>
    <w:lsdException w:name="Dark List Accent 4" w:uiPriority="65" w:semiHidden="0" w:unhideWhenUsed="0"/>
    <w:lsdException w:name="Colorful Shading Accent 4" w:uiPriority="66" w:semiHidden="0" w:unhideWhenUsed="0"/>
    <w:lsdException w:name="Colorful List Accent 4" w:uiPriority="67" w:semiHidden="0" w:unhideWhenUsed="0"/>
    <w:lsdException w:name="Colorful Grid Accent 4" w:uiPriority="68" w:semiHidden="0" w:unhideWhenUsed="0"/>
    <w:lsdException w:name="Light Shading Accent 5" w:uiPriority="69" w:semiHidden="0" w:unhideWhenUsed="0"/>
    <w:lsdException w:name="Light List Accent 5" w:uiPriority="70" w:semiHidden="0" w:unhideWhenUsed="0"/>
    <w:lsdException w:name="Light Grid Accent 5" w:uiPriority="71" w:semiHidden="0" w:unhideWhenUsed="0"/>
    <w:lsdException w:name="Medium Shading 1 Accent 5" w:uiPriority="72" w:semiHidden="0" w:unhideWhenUsed="0"/>
    <w:lsdException w:name="Medium Shading 2 Accent 5" w:uiPriority="73" w:semiHidden="0" w:unhideWhenUsed="0"/>
    <w:lsdException w:name="Medium List 1 Accent 5" w:uiPriority="60" w:semiHidden="0" w:unhideWhenUsed="0"/>
    <w:lsdException w:name="Medium List 2 Accent 5" w:uiPriority="61" w:semiHidden="0" w:unhideWhenUsed="0"/>
    <w:lsdException w:name="Medium Grid 1 Accent 5" w:uiPriority="62" w:semiHidden="0" w:unhideWhenUsed="0"/>
    <w:lsdException w:name="Medium Grid 2 Accent 5" w:uiPriority="63" w:semiHidden="0" w:unhideWhenUsed="0"/>
    <w:lsdException w:name="Medium Grid 3 Accent 5" w:uiPriority="64" w:semiHidden="0" w:unhideWhenUsed="0"/>
    <w:lsdException w:name="Dark List Accent 5" w:uiPriority="65" w:semiHidden="0" w:unhideWhenUsed="0"/>
    <w:lsdException w:name="Colorful Shading Accent 5" w:uiPriority="66" w:semiHidden="0" w:unhideWhenUsed="0"/>
    <w:lsdException w:name="Colorful List Accent 5" w:uiPriority="67" w:semiHidden="0" w:unhideWhenUsed="0"/>
    <w:lsdException w:name="Colorful Grid Accent 5" w:uiPriority="68" w:semiHidden="0" w:unhideWhenUsed="0"/>
    <w:lsdException w:name="Light Shading Accent 6" w:uiPriority="69" w:semiHidden="0" w:unhideWhenUsed="0"/>
    <w:lsdException w:name="Light List Accent 6" w:uiPriority="70" w:semiHidden="0" w:unhideWhenUsed="0"/>
    <w:lsdException w:name="Light Grid Accent 6" w:uiPriority="71" w:semiHidden="0" w:unhideWhenUsed="0"/>
    <w:lsdException w:name="Medium Shading 1 Accent 6" w:uiPriority="72" w:semiHidden="0" w:unhideWhenUsed="0"/>
    <w:lsdException w:name="Medium Shading 2 Accent 6" w:uiPriority="73" w:semiHidden="0" w:unhideWhenUsed="0"/>
    <w:lsdException w:name="Medium List 1 Accent 6" w:uiPriority="19" w:semiHidden="0" w:unhideWhenUsed="0" w:qFormat="1"/>
    <w:lsdException w:name="Medium List 2 Accent 6" w:uiPriority="21" w:semiHidden="0" w:unhideWhenUsed="0" w:qFormat="1"/>
    <w:lsdException w:name="Medium Grid 1 Accent 6" w:uiPriority="31" w:semiHidden="0" w:unhideWhenUsed="0" w:qFormat="1"/>
    <w:lsdException w:name="Medium Grid 2 Accent 6" w:uiPriority="32" w:semiHidden="0" w:unhideWhenUsed="0" w:qFormat="1"/>
    <w:lsdException w:name="Medium Grid 3 Accent 6" w:uiPriority="33" w:semiHidden="0" w:unhideWhenUsed="0" w:qFormat="1"/>
    <w:lsdException w:name="Dark List Accent 6" w:uiPriority="37" w:semiHidden="0" w:unhideWhenUsed="0"/>
    <w:lsdException w:name="Colorful Shading Accent 6" w:uiPriority="39" w:semiHidden="0" w:unhideWhenUsed="0" w:qFormat="1"/>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a3a05"/>
    <w:pPr>
      <w:widowControl/>
      <w:suppressAutoHyphens w:val="true"/>
      <w:bidi w:val="0"/>
      <w:spacing w:before="0" w:after="0"/>
      <w:jc w:val="left"/>
    </w:pPr>
    <w:rPr>
      <w:rFonts w:ascii="Ecofont_Spranq_eco_Sans" w:hAnsi="Ecofont_Spranq_eco_Sans" w:eastAsia="SimSun" w:cs="Tahoma"/>
      <w:color w:val="00000A"/>
      <w:kern w:val="0"/>
      <w:sz w:val="24"/>
      <w:szCs w:val="24"/>
      <w:lang w:val="pt-BR" w:eastAsia="pt-BR" w:bidi="ar-SA"/>
    </w:rPr>
  </w:style>
  <w:style w:type="paragraph" w:styleId="Heading1">
    <w:name w:val="Heading 1"/>
    <w:basedOn w:val="Normal"/>
    <w:next w:val="Normal"/>
    <w:link w:val="Ttulo1Char"/>
    <w:qFormat/>
    <w:rsid w:val="007f77ad"/>
    <w:pPr>
      <w:keepNext w:val="true"/>
      <w:keepLines/>
      <w:spacing w:before="480" w:after="0"/>
      <w:outlineLvl w:val="0"/>
    </w:pPr>
    <w:rPr>
      <w:rFonts w:ascii="Calibri" w:hAnsi="Calibri"/>
      <w:b/>
      <w:bCs/>
      <w:color w:val="365F91"/>
      <w:sz w:val="28"/>
      <w:szCs w:val="28"/>
    </w:rPr>
  </w:style>
  <w:style w:type="paragraph" w:styleId="Heading2">
    <w:name w:val="Heading 2"/>
    <w:basedOn w:val="Normal"/>
    <w:next w:val="Normal"/>
    <w:link w:val="Ttulo2Char"/>
    <w:qFormat/>
    <w:rsid w:val="004b460a"/>
    <w:pPr>
      <w:keepNext w:val="true"/>
      <w:tabs>
        <w:tab w:val="clear" w:pos="720"/>
        <w:tab w:val="left" w:pos="1701" w:leader="none"/>
      </w:tabs>
      <w:ind w:hanging="0" w:right="-1"/>
      <w:jc w:val="center"/>
      <w:outlineLvl w:val="1"/>
    </w:pPr>
    <w:rPr>
      <w:rFonts w:ascii="Times New Roman" w:hAnsi="Times New Roman" w:cs="Times New Roman"/>
      <w:b/>
      <w:color w:val="000000"/>
      <w:szCs w:val="20"/>
    </w:rPr>
  </w:style>
  <w:style w:type="paragraph" w:styleId="Heading3">
    <w:name w:val="Heading 3"/>
    <w:basedOn w:val="Title"/>
    <w:qFormat/>
    <w:pPr>
      <w:outlineLvl w:val="2"/>
    </w:pPr>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i/>
      <w:iCs/>
      <w:color w:val="365F91"/>
    </w:rPr>
  </w:style>
  <w:style w:type="paragraph" w:styleId="Heading5">
    <w:name w:val="Heading 5"/>
    <w:basedOn w:val="Normal"/>
    <w:next w:val="Normal"/>
    <w:qFormat/>
    <w:pPr>
      <w:keepNext w:val="true"/>
      <w:tabs>
        <w:tab w:val="clear" w:pos="720"/>
        <w:tab w:val="left" w:pos="0" w:leader="none"/>
      </w:tabs>
      <w:ind w:hanging="0" w:left="0" w:right="0"/>
      <w:jc w:val="center"/>
      <w:outlineLvl w:val="4"/>
    </w:pPr>
    <w:rPr>
      <w:sz w:val="24"/>
    </w:rPr>
  </w:style>
  <w:style w:type="paragraph" w:styleId="Heading6">
    <w:name w:val="Heading 6"/>
    <w:basedOn w:val="Normal"/>
    <w:next w:val="Normal"/>
    <w:qFormat/>
    <w:pPr>
      <w:keepNext w:val="true"/>
      <w:tabs>
        <w:tab w:val="clear" w:pos="720"/>
        <w:tab w:val="left" w:pos="-24823" w:leader="none"/>
      </w:tabs>
      <w:ind w:hanging="0" w:left="993" w:right="0"/>
      <w:jc w:val="both"/>
      <w:outlineLvl w:val="5"/>
    </w:pPr>
    <w:rPr>
      <w:rFonts w:ascii="Century Gothic" w:hAnsi="Century Gothic" w:cs="Century Gothic"/>
      <w:b/>
      <w:sz w:val="24"/>
    </w:rPr>
  </w:style>
  <w:style w:type="paragraph" w:styleId="Heading8">
    <w:name w:val="Heading 8"/>
    <w:basedOn w:val="Normal"/>
    <w:next w:val="Normal"/>
    <w:qFormat/>
    <w:pPr>
      <w:keepNext w:val="true"/>
      <w:tabs>
        <w:tab w:val="clear" w:pos="720"/>
        <w:tab w:val="left" w:pos="0" w:leader="none"/>
      </w:tabs>
      <w:jc w:val="both"/>
      <w:outlineLvl w:val="7"/>
    </w:pPr>
    <w:rPr>
      <w:rFonts w:ascii="Century Gothic" w:hAnsi="Century Gothic" w:cs="Century Gothic"/>
      <w:b/>
    </w:rPr>
  </w:style>
  <w:style w:type="character" w:styleId="DefaultParagraphFont" w:default="1">
    <w:name w:val="Default Paragraph Font"/>
    <w:uiPriority w:val="1"/>
    <w:semiHidden/>
    <w:unhideWhenUsed/>
    <w:qFormat/>
    <w:rPr/>
  </w:style>
  <w:style w:type="character" w:styleId="TextodebaloChar" w:customStyle="1">
    <w:name w:val="Texto de balão Char"/>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customStyle="1">
    <w:name w:val="Hyperlink"/>
    <w:rsid w:val="00bf1a7f"/>
    <w:rPr>
      <w:color w:val="000080"/>
      <w:u w:val="single"/>
      <w:lang w:val="zxx" w:eastAsia="zxx" w:bidi="zxx"/>
    </w:rPr>
  </w:style>
  <w:style w:type="character" w:styleId="CitaoChar" w:customStyle="1">
    <w:name w:val="Citação Char"/>
    <w:qFormat/>
    <w:rsid w:val="00080b53"/>
    <w:rPr>
      <w:rFonts w:ascii="Arial" w:hAnsi="Arial" w:eastAsia="Calibri" w:cs="Tahoma"/>
      <w:i/>
      <w:iCs/>
      <w:color w:val="000000"/>
      <w:szCs w:val="24"/>
      <w:shd w:fill="FFFFCC" w:val="clear"/>
    </w:rPr>
  </w:style>
  <w:style w:type="character" w:styleId="citao2Char" w:customStyle="1">
    <w:name w:val="citação 2 Char"/>
    <w:basedOn w:val="CitaoChar"/>
    <w:qFormat/>
    <w:rsid w:val="000a23da"/>
    <w:rPr>
      <w:rFonts w:ascii="Ecofont_Spranq_eco_Sans" w:hAnsi="Ecofont_Spranq_eco_Sans" w:eastAsia="Calibri" w:cs="Tahoma"/>
      <w:i/>
      <w:iCs/>
      <w:color w:val="000000"/>
      <w:szCs w:val="24"/>
      <w:shd w:fill="FFFFCC" w:val="clear"/>
      <w:lang w:eastAsia="en-US"/>
    </w:rPr>
  </w:style>
  <w:style w:type="character" w:styleId="CabealhoChar" w:customStyle="1">
    <w:name w:val="Cabeçalho Char"/>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iPriority w:val="99"/>
    <w:unhideWhenUsed/>
    <w:qFormat/>
    <w:rsid w:val="00430fdb"/>
    <w:rPr>
      <w:sz w:val="16"/>
      <w:szCs w:val="16"/>
    </w:rPr>
  </w:style>
  <w:style w:type="character" w:styleId="TextodecomentrioChar" w:customStyle="1">
    <w:name w:val="Texto de comentário Char"/>
    <w:basedOn w:val="DefaultParagraphFon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i/>
      <w:iCs/>
      <w:color w:val="365F91"/>
      <w:sz w:val="24"/>
      <w:szCs w:val="24"/>
      <w:lang w:eastAsia="pt-BR"/>
    </w:rPr>
  </w:style>
  <w:style w:type="character" w:styleId="TtuloChar" w:customStyle="1">
    <w:name w:val="Título Char"/>
    <w:basedOn w:val="DefaultParagraphFont"/>
    <w:link w:val="Ttulo"/>
    <w:qFormat/>
    <w:rsid w:val="007f77ad"/>
    <w:rPr>
      <w:rFonts w:ascii="Calibri" w:hAnsi="Calibri"/>
      <w:color w:val="17365D"/>
      <w:spacing w:val="5"/>
      <w:sz w:val="52"/>
      <w:szCs w:val="52"/>
      <w:lang w:eastAsia="pt-BR"/>
    </w:rPr>
  </w:style>
  <w:style w:type="character" w:styleId="Nivel01Char" w:customStyle="1">
    <w:name w:val="Nivel 01 Char"/>
    <w:basedOn w:val="TtuloChar"/>
    <w:link w:val="Nivel01"/>
    <w:qFormat/>
    <w:rsid w:val="007f77ad"/>
    <w:rPr>
      <w:rFonts w:ascii="Ecofont_Spranq_eco_Sans" w:hAnsi="Ecofont_Spranq_eco_Sans"/>
      <w:b/>
      <w:bCs/>
      <w:color w:val="000000"/>
      <w:spacing w:val="5"/>
      <w:sz w:val="52"/>
      <w:szCs w:val="52"/>
      <w:lang w:eastAsia="pt-BR"/>
    </w:rPr>
  </w:style>
  <w:style w:type="character" w:styleId="Ttulo1Char" w:customStyle="1">
    <w:name w:val="Título 1 Char"/>
    <w:basedOn w:val="DefaultParagraphFont"/>
    <w:qFormat/>
    <w:rsid w:val="007f77ad"/>
    <w:rPr>
      <w:rFonts w:ascii="Calibri" w:hAnsi="Calibri"/>
      <w:b/>
      <w:bCs/>
      <w:color w:val="365F91"/>
      <w:sz w:val="28"/>
      <w:szCs w:val="28"/>
      <w:lang w:eastAsia="pt-BR"/>
    </w:rPr>
  </w:style>
  <w:style w:type="character" w:styleId="Nivel01TituloChar" w:customStyle="1">
    <w:name w:val="Nivel_01_Titulo Char"/>
    <w:basedOn w:val="Nivel01Char"/>
    <w:link w:val="Nivel01Titulo"/>
    <w:qFormat/>
    <w:rsid w:val="00e967ea"/>
    <w:rPr>
      <w:rFonts w:ascii="Ecofont_Spranq_eco_Sans" w:hAnsi="Ecofont_Spranq_eco_Sans"/>
      <w:b/>
      <w:bCs/>
      <w:color w:val="000000"/>
      <w:spacing w:val="5"/>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cs="Arial"/>
      <w:b/>
      <w:bCs w:val="false"/>
      <w:color w:val="000000"/>
      <w:sz w:val="28"/>
      <w:szCs w:val="28"/>
      <w:lang w:eastAsia="pt-BR"/>
    </w:rPr>
  </w:style>
  <w:style w:type="character" w:styleId="Nivel4Char" w:customStyle="1">
    <w:name w:val="Nivel 4 Char"/>
    <w:basedOn w:val="DefaultParagraphFont"/>
    <w:link w:val="Nivel4"/>
    <w:qFormat/>
    <w:rsid w:val="003629e4"/>
    <w:rPr>
      <w:rFonts w:ascii="Ecofont_Spranq_eco_Sans" w:hAnsi="Ecofont_Spranq_eco_Sans" w:eastAsia="Arial Unicode MS" w:cs="Arial"/>
      <w:lang w:eastAsia="pt-BR"/>
    </w:rPr>
  </w:style>
  <w:style w:type="character" w:styleId="Smbolosdenumerao" w:customStyle="1">
    <w:name w:val="Símbolos de numeração"/>
    <w:qFormat/>
    <w:rPr/>
  </w:style>
  <w:style w:type="character" w:styleId="Fontepargpadro">
    <w:name w:val="Fonte parág. padrão"/>
    <w:qFormat/>
    <w:rPr/>
  </w:style>
  <w:style w:type="character" w:styleId="WW-Fontepargpadro1111">
    <w:name w:val="WW-Fonte parág. padrão1111"/>
    <w:qFormat/>
    <w:rPr/>
  </w:style>
  <w:style w:type="character" w:styleId="FollowedHyperlink">
    <w:name w:val="FollowedHyperlink"/>
    <w:basedOn w:val="WW-Fontepargpadro1111"/>
    <w:rPr>
      <w:color w:val="800080"/>
      <w:u w:val="single"/>
      <w:lang w:val="zxx" w:eastAsia="zxx" w:bidi="zxx"/>
    </w:rPr>
  </w:style>
  <w:style w:type="character" w:styleId="Emphasis">
    <w:name w:val="Emphasis"/>
    <w:qFormat/>
    <w:rPr>
      <w:i/>
      <w:iCs/>
    </w:rPr>
  </w:style>
  <w:style w:type="character" w:styleId="WW8Num4z0">
    <w:name w:val="WW8Num4z0"/>
    <w:qFormat/>
    <w:rPr>
      <w:rFonts w:ascii="Symbol" w:hAnsi="Symbol" w:cs="OpenSymbol;Arial Unicode MS"/>
    </w:rPr>
  </w:style>
  <w:style w:type="character" w:styleId="WW8Num4z1">
    <w:name w:val="WW8Num4z1"/>
    <w:qFormat/>
    <w:rPr>
      <w:rFonts w:ascii="OpenSymbol;Arial Unicode MS" w:hAnsi="OpenSymbol;Arial Unicode MS" w:cs="OpenSymbol;Arial Unicode MS"/>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rFonts w:cs="Times New Roman"/>
      <w:sz w:val="16"/>
      <w:szCs w:val="16"/>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rFonts w:ascii="Times New Roman" w:hAnsi="Times New Roman" w:cs="Times New Roman"/>
      <w:b/>
      <w:color w:val="00000A"/>
      <w:sz w:val="16"/>
      <w:szCs w:val="16"/>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rong">
    <w:name w:val="Strong"/>
    <w:qFormat/>
    <w:rPr>
      <w:b/>
    </w:rPr>
  </w:style>
  <w:style w:type="character" w:styleId="CITE">
    <w:name w:val="CITE"/>
    <w:qFormat/>
    <w:rPr>
      <w:i/>
    </w:rPr>
  </w:style>
  <w:style w:type="character" w:styleId="CODE">
    <w:name w:val="CODE"/>
    <w:qFormat/>
    <w:rPr>
      <w:rFonts w:ascii="Courier New" w:hAnsi="Courier New"/>
      <w:sz w:val="20"/>
    </w:rPr>
  </w:style>
  <w:style w:type="character" w:styleId="Keyboard">
    <w:name w:val="Keyboard"/>
    <w:qFormat/>
    <w:rPr>
      <w:rFonts w:ascii="Courier New" w:hAnsi="Courier New"/>
      <w:b/>
      <w:sz w:val="20"/>
    </w:rPr>
  </w:style>
  <w:style w:type="character" w:styleId="Sample">
    <w:name w:val="Sample"/>
    <w:qFormat/>
    <w:rPr>
      <w:rFonts w:ascii="Courier New" w:hAnsi="Courier New"/>
    </w:rPr>
  </w:style>
  <w:style w:type="character" w:styleId="Typewriter">
    <w:name w:val="Typewriter"/>
    <w:qFormat/>
    <w:rPr>
      <w:rFonts w:ascii="Courier New" w:hAnsi="Courier New"/>
      <w:sz w:val="20"/>
    </w:rPr>
  </w:style>
  <w:style w:type="character" w:styleId="HTMLMarkup">
    <w:name w:val="HTML Markup"/>
    <w:qFormat/>
    <w:rPr>
      <w:vanish/>
      <w:color w:val="FF0000"/>
    </w:rPr>
  </w:style>
  <w:style w:type="character" w:styleId="Comment">
    <w:name w:val="Comment"/>
    <w:qFormat/>
    <w:rPr>
      <w:vanish/>
    </w:rPr>
  </w:style>
  <w:style w:type="character" w:styleId="Marcas">
    <w:name w:val="Marcas"/>
    <w:qFormat/>
    <w:rPr>
      <w:rFonts w:ascii="Times New Roman" w:hAnsi="Times New Roman" w:eastAsia="OpenSymbol;Arial Unicode MS" w:cs="OpenSymbol;Arial Unicode MS"/>
      <w:sz w:val="30"/>
      <w:szCs w:val="30"/>
    </w:rPr>
  </w:style>
  <w:style w:type="character" w:styleId="WW8Num7z0">
    <w:name w:val="WW8Num7z0"/>
    <w:qFormat/>
    <w:rPr>
      <w:rFonts w:ascii="Arial" w:hAnsi="Arial" w:cs="Arial"/>
      <w:sz w:val="16"/>
      <w:szCs w:val="16"/>
    </w:rPr>
  </w:style>
  <w:style w:type="character" w:styleId="WW8Num5z0">
    <w:name w:val="WW8Num5z0"/>
    <w:qFormat/>
    <w:rPr>
      <w:rFonts w:ascii="Symbol" w:hAnsi="Symbol" w:cs="Arial"/>
    </w:rPr>
  </w:style>
  <w:style w:type="character" w:styleId="Fontepargpadro1">
    <w:name w:val="Fonte parág. padrão1"/>
    <w:qFormat/>
    <w:rPr/>
  </w:style>
  <w:style w:type="character" w:styleId="PageNumber">
    <w:name w:val="Page Number"/>
    <w:basedOn w:val="Fontepargpadro1"/>
    <w:rPr/>
  </w:style>
  <w:style w:type="character" w:styleId="Marcadores">
    <w:name w:val="Marcadores"/>
    <w:qFormat/>
    <w:rPr>
      <w:rFonts w:ascii="OpenSymbol" w:hAnsi="OpenSymbol" w:eastAsia="OpenSymbol" w:cs="OpenSymbol"/>
      <w:sz w:val="16"/>
      <w:szCs w:val="16"/>
    </w:rPr>
  </w:style>
  <w:style w:type="character" w:styleId="Tipodeletrapredefinidodopargrafo">
    <w:name w:val="Tipo de letra predefinido do parágrafo"/>
    <w:qFormat/>
    <w:rPr/>
  </w:style>
  <w:style w:type="character" w:styleId="Hyperlink1">
    <w:name w:val="Hyperlink1"/>
    <w:qFormat/>
    <w:rPr>
      <w:color w:val="000080"/>
      <w:u w:val="single"/>
    </w:rPr>
  </w:style>
  <w:style w:type="character" w:styleId="WW8Num8z0">
    <w:name w:val="WW8Num8z0"/>
    <w:qFormat/>
    <w:rPr>
      <w:rFonts w:ascii="Symbol" w:hAnsi="Symbol" w:cs="OpenSymbol;Arial Unicode MS"/>
      <w:color w:val="000000"/>
      <w:sz w:val="24"/>
      <w:szCs w:val="24"/>
    </w:rPr>
  </w:style>
  <w:style w:type="character" w:styleId="WW8Num8z1">
    <w:name w:val="WW8Num8z1"/>
    <w:qFormat/>
    <w:rPr>
      <w:rFonts w:ascii="OpenSymbol;Arial Unicode MS" w:hAnsi="OpenSymbol;Arial Unicode MS" w:cs="OpenSymbol;Arial Unicode MS"/>
    </w:rPr>
  </w:style>
  <w:style w:type="character" w:styleId="WW8Num9z0">
    <w:name w:val="WW8Num9z0"/>
    <w:qFormat/>
    <w:rPr>
      <w:rFonts w:ascii="Symbol" w:hAnsi="Symbol" w:cs="OpenSymbol;Arial Unicode MS"/>
      <w:color w:val="000000"/>
      <w:sz w:val="24"/>
      <w:szCs w:val="24"/>
      <w:shd w:fill="auto" w:val="clear"/>
    </w:rPr>
  </w:style>
  <w:style w:type="character" w:styleId="WW8Num9z1">
    <w:name w:val="WW8Num9z1"/>
    <w:qFormat/>
    <w:rPr>
      <w:rFonts w:ascii="OpenSymbol;Arial Unicode MS" w:hAnsi="OpenSymbol;Arial Unicode MS" w:cs="OpenSymbol;Arial Unicode MS"/>
    </w:rPr>
  </w:style>
  <w:style w:type="character" w:styleId="WW8Num10z0">
    <w:name w:val="WW8Num10z0"/>
    <w:qFormat/>
    <w:rPr>
      <w:rFonts w:ascii="Symbol" w:hAnsi="Symbol" w:cs="OpenSymbol;Arial Unicode MS"/>
      <w:color w:val="000000"/>
      <w:sz w:val="24"/>
      <w:szCs w:val="24"/>
      <w:shd w:fill="auto" w:val="clear"/>
    </w:rPr>
  </w:style>
  <w:style w:type="character" w:styleId="WW8Num10z1">
    <w:name w:val="WW8Num10z1"/>
    <w:qFormat/>
    <w:rPr>
      <w:rFonts w:ascii="OpenSymbol;Arial Unicode MS" w:hAnsi="OpenSymbol;Arial Unicode MS" w:cs="OpenSymbol;Arial Unicode MS"/>
    </w:rPr>
  </w:style>
  <w:style w:type="character" w:styleId="WW8Num6z0">
    <w:name w:val="WW8Num6z0"/>
    <w:qFormat/>
    <w:rPr>
      <w:rFonts w:ascii="Times New Roman" w:hAnsi="Times New Roman" w:eastAsia="Times New Roman" w:cs="Times New Roman"/>
      <w:b/>
      <w:bCs/>
      <w:sz w:val="24"/>
      <w:szCs w:val="24"/>
      <w:lang w:eastAsia="ar-SA"/>
    </w:rPr>
  </w:style>
  <w:style w:type="character" w:styleId="tex5a1">
    <w:name w:val="tex5a1"/>
    <w:basedOn w:val="Fontepargpadro"/>
    <w:qFormat/>
    <w:rPr>
      <w:rFonts w:ascii="Verdana" w:hAnsi="Verdana" w:cs="Verdana"/>
      <w:color w:val="000000"/>
      <w:sz w:val="17"/>
      <w:szCs w:val="17"/>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CharLFO9LVL9">
    <w:name w:val="WW_CharLFO9LVL9"/>
    <w:qFormat/>
    <w:rPr>
      <w:rFonts w:ascii="OpenSymbol" w:hAnsi="OpenSymbol" w:eastAsia="OpenSymbol" w:cs="OpenSymbol"/>
    </w:rPr>
  </w:style>
  <w:style w:type="character" w:styleId="WWCharLFO9LVL8">
    <w:name w:val="WW_CharLFO9LVL8"/>
    <w:qFormat/>
    <w:rPr>
      <w:rFonts w:ascii="OpenSymbol" w:hAnsi="OpenSymbol" w:eastAsia="OpenSymbol" w:cs="OpenSymbol"/>
    </w:rPr>
  </w:style>
  <w:style w:type="character" w:styleId="WWCharLFO9LVL7">
    <w:name w:val="WW_CharLFO9LVL7"/>
    <w:qFormat/>
    <w:rPr>
      <w:rFonts w:ascii="OpenSymbol" w:hAnsi="OpenSymbol" w:eastAsia="OpenSymbol" w:cs="OpenSymbol"/>
    </w:rPr>
  </w:style>
  <w:style w:type="character" w:styleId="WWCharLFO9LVL6">
    <w:name w:val="WW_CharLFO9LVL6"/>
    <w:qFormat/>
    <w:rPr>
      <w:rFonts w:ascii="OpenSymbol" w:hAnsi="OpenSymbol" w:eastAsia="OpenSymbol" w:cs="OpenSymbol"/>
    </w:rPr>
  </w:style>
  <w:style w:type="character" w:styleId="WWCharLFO9LVL5">
    <w:name w:val="WW_CharLFO9LVL5"/>
    <w:qFormat/>
    <w:rPr>
      <w:rFonts w:ascii="OpenSymbol" w:hAnsi="OpenSymbol" w:eastAsia="OpenSymbol" w:cs="OpenSymbol"/>
    </w:rPr>
  </w:style>
  <w:style w:type="character" w:styleId="WWCharLFO9LVL4">
    <w:name w:val="WW_CharLFO9LVL4"/>
    <w:qFormat/>
    <w:rPr>
      <w:rFonts w:ascii="OpenSymbol" w:hAnsi="OpenSymbol" w:eastAsia="OpenSymbol" w:cs="OpenSymbol"/>
    </w:rPr>
  </w:style>
  <w:style w:type="character" w:styleId="WWCharLFO9LVL3">
    <w:name w:val="WW_CharLFO9LVL3"/>
    <w:qFormat/>
    <w:rPr>
      <w:rFonts w:ascii="OpenSymbol" w:hAnsi="OpenSymbol" w:eastAsia="OpenSymbol" w:cs="OpenSymbol"/>
    </w:rPr>
  </w:style>
  <w:style w:type="character" w:styleId="WWCharLFO9LVL2">
    <w:name w:val="WW_CharLFO9LVL2"/>
    <w:qFormat/>
    <w:rPr>
      <w:rFonts w:ascii="OpenSymbol" w:hAnsi="OpenSymbol" w:eastAsia="OpenSymbol" w:cs="OpenSymbol"/>
    </w:rPr>
  </w:style>
  <w:style w:type="character" w:styleId="WWCharLFO9LVL1">
    <w:name w:val="WW_CharLFO9LVL1"/>
    <w:qFormat/>
    <w:rPr>
      <w:rFonts w:ascii="OpenSymbol" w:hAnsi="OpenSymbol" w:eastAsia="OpenSymbol" w:cs="OpenSymbol"/>
    </w:rPr>
  </w:style>
  <w:style w:type="character" w:styleId="WWCharLFO8LVL9">
    <w:name w:val="WW_CharLFO8LVL9"/>
    <w:qFormat/>
    <w:rPr>
      <w:rFonts w:ascii="OpenSymbol" w:hAnsi="OpenSymbol" w:eastAsia="OpenSymbol" w:cs="OpenSymbol"/>
    </w:rPr>
  </w:style>
  <w:style w:type="character" w:styleId="WWCharLFO8LVL8">
    <w:name w:val="WW_CharLFO8LVL8"/>
    <w:qFormat/>
    <w:rPr>
      <w:rFonts w:ascii="OpenSymbol" w:hAnsi="OpenSymbol" w:eastAsia="OpenSymbol" w:cs="OpenSymbol"/>
    </w:rPr>
  </w:style>
  <w:style w:type="character" w:styleId="WWCharLFO8LVL7">
    <w:name w:val="WW_CharLFO8LVL7"/>
    <w:qFormat/>
    <w:rPr>
      <w:rFonts w:ascii="OpenSymbol" w:hAnsi="OpenSymbol" w:eastAsia="OpenSymbol" w:cs="OpenSymbol"/>
    </w:rPr>
  </w:style>
  <w:style w:type="character" w:styleId="WWCharLFO8LVL6">
    <w:name w:val="WW_CharLFO8LVL6"/>
    <w:qFormat/>
    <w:rPr>
      <w:rFonts w:ascii="OpenSymbol" w:hAnsi="OpenSymbol" w:eastAsia="OpenSymbol" w:cs="OpenSymbol"/>
    </w:rPr>
  </w:style>
  <w:style w:type="character" w:styleId="WWCharLFO8LVL5">
    <w:name w:val="WW_CharLFO8LVL5"/>
    <w:qFormat/>
    <w:rPr>
      <w:rFonts w:ascii="OpenSymbol" w:hAnsi="OpenSymbol" w:eastAsia="OpenSymbol" w:cs="OpenSymbol"/>
    </w:rPr>
  </w:style>
  <w:style w:type="character" w:styleId="WWCharLFO8LVL4">
    <w:name w:val="WW_CharLFO8LVL4"/>
    <w:qFormat/>
    <w:rPr>
      <w:rFonts w:ascii="OpenSymbol" w:hAnsi="OpenSymbol" w:eastAsia="OpenSymbol" w:cs="OpenSymbol"/>
    </w:rPr>
  </w:style>
  <w:style w:type="character" w:styleId="WWCharLFO8LVL3">
    <w:name w:val="WW_CharLFO8LVL3"/>
    <w:qFormat/>
    <w:rPr>
      <w:rFonts w:ascii="OpenSymbol" w:hAnsi="OpenSymbol" w:eastAsia="OpenSymbol" w:cs="OpenSymbol"/>
    </w:rPr>
  </w:style>
  <w:style w:type="character" w:styleId="WWCharLFO8LVL2">
    <w:name w:val="WW_CharLFO8LVL2"/>
    <w:qFormat/>
    <w:rPr>
      <w:rFonts w:ascii="OpenSymbol" w:hAnsi="OpenSymbol" w:eastAsia="OpenSymbol" w:cs="OpenSymbol"/>
    </w:rPr>
  </w:style>
  <w:style w:type="character" w:styleId="WWCharLFO8LVL1">
    <w:name w:val="WW_CharLFO8LVL1"/>
    <w:qFormat/>
    <w:rPr>
      <w:rFonts w:ascii="OpenSymbol" w:hAnsi="OpenSymbol" w:eastAsia="OpenSymbol" w:cs="OpenSymbol"/>
    </w:rPr>
  </w:style>
  <w:style w:type="character" w:styleId="WWCharLFO7LVL9">
    <w:name w:val="WW_CharLFO7LVL9"/>
    <w:qFormat/>
    <w:rPr>
      <w:rFonts w:ascii="OpenSymbol" w:hAnsi="OpenSymbol" w:eastAsia="OpenSymbol" w:cs="OpenSymbol"/>
    </w:rPr>
  </w:style>
  <w:style w:type="character" w:styleId="WWCharLFO7LVL8">
    <w:name w:val="WW_CharLFO7LVL8"/>
    <w:qFormat/>
    <w:rPr>
      <w:rFonts w:ascii="OpenSymbol" w:hAnsi="OpenSymbol" w:eastAsia="OpenSymbol" w:cs="OpenSymbol"/>
    </w:rPr>
  </w:style>
  <w:style w:type="character" w:styleId="WWCharLFO7LVL7">
    <w:name w:val="WW_CharLFO7LVL7"/>
    <w:qFormat/>
    <w:rPr>
      <w:rFonts w:ascii="OpenSymbol" w:hAnsi="OpenSymbol" w:eastAsia="OpenSymbol" w:cs="OpenSymbol"/>
    </w:rPr>
  </w:style>
  <w:style w:type="character" w:styleId="WWCharLFO7LVL6">
    <w:name w:val="WW_CharLFO7LVL6"/>
    <w:qFormat/>
    <w:rPr>
      <w:rFonts w:ascii="OpenSymbol" w:hAnsi="OpenSymbol" w:eastAsia="OpenSymbol" w:cs="OpenSymbol"/>
    </w:rPr>
  </w:style>
  <w:style w:type="character" w:styleId="WWCharLFO7LVL5">
    <w:name w:val="WW_CharLFO7LVL5"/>
    <w:qFormat/>
    <w:rPr>
      <w:rFonts w:ascii="OpenSymbol" w:hAnsi="OpenSymbol" w:eastAsia="OpenSymbol" w:cs="OpenSymbol"/>
    </w:rPr>
  </w:style>
  <w:style w:type="character" w:styleId="WWCharLFO7LVL4">
    <w:name w:val="WW_CharLFO7LVL4"/>
    <w:qFormat/>
    <w:rPr>
      <w:rFonts w:ascii="OpenSymbol" w:hAnsi="OpenSymbol" w:eastAsia="OpenSymbol" w:cs="OpenSymbol"/>
    </w:rPr>
  </w:style>
  <w:style w:type="character" w:styleId="WWCharLFO7LVL3">
    <w:name w:val="WW_CharLFO7LVL3"/>
    <w:qFormat/>
    <w:rPr>
      <w:rFonts w:ascii="OpenSymbol" w:hAnsi="OpenSymbol" w:eastAsia="OpenSymbol" w:cs="OpenSymbol"/>
    </w:rPr>
  </w:style>
  <w:style w:type="character" w:styleId="WWCharLFO7LVL2">
    <w:name w:val="WW_CharLFO7LVL2"/>
    <w:qFormat/>
    <w:rPr>
      <w:rFonts w:ascii="OpenSymbol" w:hAnsi="OpenSymbol" w:eastAsia="OpenSymbol" w:cs="OpenSymbol"/>
    </w:rPr>
  </w:style>
  <w:style w:type="character" w:styleId="WWCharLFO7LVL1">
    <w:name w:val="WW_CharLFO7LVL1"/>
    <w:qFormat/>
    <w:rPr>
      <w:rFonts w:ascii="OpenSymbol" w:hAnsi="OpenSymbol" w:eastAsia="OpenSymbol" w:cs="OpenSymbol"/>
    </w:rPr>
  </w:style>
  <w:style w:type="character" w:styleId="WWCharLFO6LVL9">
    <w:name w:val="WW_CharLFO6LVL9"/>
    <w:qFormat/>
    <w:rPr>
      <w:rFonts w:ascii="OpenSymbol" w:hAnsi="OpenSymbol" w:eastAsia="OpenSymbol" w:cs="OpenSymbol"/>
    </w:rPr>
  </w:style>
  <w:style w:type="character" w:styleId="WWCharLFO6LVL8">
    <w:name w:val="WW_CharLFO6LVL8"/>
    <w:qFormat/>
    <w:rPr>
      <w:rFonts w:ascii="OpenSymbol" w:hAnsi="OpenSymbol" w:eastAsia="OpenSymbol" w:cs="OpenSymbol"/>
    </w:rPr>
  </w:style>
  <w:style w:type="character" w:styleId="WWCharLFO6LVL7">
    <w:name w:val="WW_CharLFO6LVL7"/>
    <w:qFormat/>
    <w:rPr>
      <w:rFonts w:ascii="OpenSymbol" w:hAnsi="OpenSymbol" w:eastAsia="OpenSymbol" w:cs="OpenSymbol"/>
    </w:rPr>
  </w:style>
  <w:style w:type="character" w:styleId="WWCharLFO6LVL6">
    <w:name w:val="WW_CharLFO6LVL6"/>
    <w:qFormat/>
    <w:rPr>
      <w:rFonts w:ascii="OpenSymbol" w:hAnsi="OpenSymbol" w:eastAsia="OpenSymbol" w:cs="OpenSymbol"/>
    </w:rPr>
  </w:style>
  <w:style w:type="character" w:styleId="WWCharLFO6LVL5">
    <w:name w:val="WW_CharLFO6LVL5"/>
    <w:qFormat/>
    <w:rPr>
      <w:rFonts w:ascii="OpenSymbol" w:hAnsi="OpenSymbol" w:eastAsia="OpenSymbol" w:cs="OpenSymbol"/>
    </w:rPr>
  </w:style>
  <w:style w:type="character" w:styleId="WWCharLFO6LVL4">
    <w:name w:val="WW_CharLFO6LVL4"/>
    <w:qFormat/>
    <w:rPr>
      <w:rFonts w:ascii="OpenSymbol" w:hAnsi="OpenSymbol" w:eastAsia="OpenSymbol" w:cs="OpenSymbol"/>
    </w:rPr>
  </w:style>
  <w:style w:type="character" w:styleId="WWCharLFO6LVL3">
    <w:name w:val="WW_CharLFO6LVL3"/>
    <w:qFormat/>
    <w:rPr>
      <w:rFonts w:ascii="OpenSymbol" w:hAnsi="OpenSymbol" w:eastAsia="OpenSymbol" w:cs="OpenSymbol"/>
    </w:rPr>
  </w:style>
  <w:style w:type="character" w:styleId="WWCharLFO6LVL2">
    <w:name w:val="WW_CharLFO6LVL2"/>
    <w:qFormat/>
    <w:rPr>
      <w:rFonts w:ascii="OpenSymbol" w:hAnsi="OpenSymbol" w:eastAsia="OpenSymbol" w:cs="OpenSymbol"/>
    </w:rPr>
  </w:style>
  <w:style w:type="character" w:styleId="WWCharLFO6LVL1">
    <w:name w:val="WW_CharLFO6LVL1"/>
    <w:qFormat/>
    <w:rPr>
      <w:rFonts w:ascii="OpenSymbol" w:hAnsi="OpenSymbol" w:eastAsia="OpenSymbol" w:cs="OpenSymbol"/>
    </w:rPr>
  </w:style>
  <w:style w:type="character" w:styleId="WWCharLFO5LVL9">
    <w:name w:val="WW_CharLFO5LVL9"/>
    <w:qFormat/>
    <w:rPr>
      <w:rFonts w:ascii="OpenSymbol" w:hAnsi="OpenSymbol" w:eastAsia="OpenSymbol" w:cs="OpenSymbol"/>
    </w:rPr>
  </w:style>
  <w:style w:type="character" w:styleId="WWCharLFO5LVL8">
    <w:name w:val="WW_CharLFO5LVL8"/>
    <w:qFormat/>
    <w:rPr>
      <w:rFonts w:ascii="OpenSymbol" w:hAnsi="OpenSymbol" w:eastAsia="OpenSymbol" w:cs="OpenSymbol"/>
    </w:rPr>
  </w:style>
  <w:style w:type="character" w:styleId="WWCharLFO5LVL7">
    <w:name w:val="WW_CharLFO5LVL7"/>
    <w:qFormat/>
    <w:rPr>
      <w:rFonts w:ascii="OpenSymbol" w:hAnsi="OpenSymbol" w:eastAsia="OpenSymbol" w:cs="OpenSymbol"/>
    </w:rPr>
  </w:style>
  <w:style w:type="character" w:styleId="WWCharLFO5LVL6">
    <w:name w:val="WW_CharLFO5LVL6"/>
    <w:qFormat/>
    <w:rPr>
      <w:rFonts w:ascii="OpenSymbol" w:hAnsi="OpenSymbol" w:eastAsia="OpenSymbol" w:cs="OpenSymbol"/>
    </w:rPr>
  </w:style>
  <w:style w:type="character" w:styleId="WWCharLFO5LVL5">
    <w:name w:val="WW_CharLFO5LVL5"/>
    <w:qFormat/>
    <w:rPr>
      <w:rFonts w:ascii="OpenSymbol" w:hAnsi="OpenSymbol" w:eastAsia="OpenSymbol" w:cs="OpenSymbol"/>
    </w:rPr>
  </w:style>
  <w:style w:type="character" w:styleId="WWCharLFO5LVL4">
    <w:name w:val="WW_CharLFO5LVL4"/>
    <w:qFormat/>
    <w:rPr>
      <w:rFonts w:ascii="OpenSymbol" w:hAnsi="OpenSymbol" w:eastAsia="OpenSymbol" w:cs="OpenSymbol"/>
    </w:rPr>
  </w:style>
  <w:style w:type="character" w:styleId="WWCharLFO5LVL3">
    <w:name w:val="WW_CharLFO5LVL3"/>
    <w:qFormat/>
    <w:rPr>
      <w:rFonts w:ascii="OpenSymbol" w:hAnsi="OpenSymbol" w:eastAsia="OpenSymbol" w:cs="OpenSymbol"/>
    </w:rPr>
  </w:style>
  <w:style w:type="character" w:styleId="WWCharLFO5LVL2">
    <w:name w:val="WW_CharLFO5LVL2"/>
    <w:qFormat/>
    <w:rPr>
      <w:rFonts w:ascii="OpenSymbol" w:hAnsi="OpenSymbol" w:eastAsia="OpenSymbol" w:cs="OpenSymbol"/>
    </w:rPr>
  </w:style>
  <w:style w:type="character" w:styleId="WWCharLFO5LVL1">
    <w:name w:val="WW_CharLFO5LVL1"/>
    <w:qFormat/>
    <w:rPr>
      <w:rFonts w:ascii="OpenSymbol" w:hAnsi="OpenSymbol" w:eastAsia="OpenSymbol" w:cs="OpenSymbol"/>
    </w:rPr>
  </w:style>
  <w:style w:type="character" w:styleId="WWCharLFO4LVL9">
    <w:name w:val="WW_CharLFO4LVL9"/>
    <w:qFormat/>
    <w:rPr>
      <w:rFonts w:ascii="OpenSymbol" w:hAnsi="OpenSymbol" w:eastAsia="OpenSymbol" w:cs="OpenSymbol"/>
    </w:rPr>
  </w:style>
  <w:style w:type="character" w:styleId="WWCharLFO4LVL8">
    <w:name w:val="WW_CharLFO4LVL8"/>
    <w:qFormat/>
    <w:rPr>
      <w:rFonts w:ascii="OpenSymbol" w:hAnsi="OpenSymbol" w:eastAsia="OpenSymbol" w:cs="OpenSymbol"/>
    </w:rPr>
  </w:style>
  <w:style w:type="character" w:styleId="WWCharLFO4LVL7">
    <w:name w:val="WW_CharLFO4LVL7"/>
    <w:qFormat/>
    <w:rPr>
      <w:rFonts w:ascii="OpenSymbol" w:hAnsi="OpenSymbol" w:eastAsia="OpenSymbol" w:cs="OpenSymbol"/>
    </w:rPr>
  </w:style>
  <w:style w:type="character" w:styleId="WWCharLFO4LVL6">
    <w:name w:val="WW_CharLFO4LVL6"/>
    <w:qFormat/>
    <w:rPr>
      <w:rFonts w:ascii="OpenSymbol" w:hAnsi="OpenSymbol" w:eastAsia="OpenSymbol" w:cs="OpenSymbol"/>
    </w:rPr>
  </w:style>
  <w:style w:type="character" w:styleId="WWCharLFO4LVL5">
    <w:name w:val="WW_CharLFO4LVL5"/>
    <w:qFormat/>
    <w:rPr>
      <w:rFonts w:ascii="OpenSymbol" w:hAnsi="OpenSymbol" w:eastAsia="OpenSymbol" w:cs="OpenSymbol"/>
    </w:rPr>
  </w:style>
  <w:style w:type="character" w:styleId="WWCharLFO4LVL4">
    <w:name w:val="WW_CharLFO4LVL4"/>
    <w:qFormat/>
    <w:rPr>
      <w:rFonts w:ascii="OpenSymbol" w:hAnsi="OpenSymbol" w:eastAsia="OpenSymbol" w:cs="OpenSymbol"/>
    </w:rPr>
  </w:style>
  <w:style w:type="character" w:styleId="WWCharLFO4LVL3">
    <w:name w:val="WW_CharLFO4LVL3"/>
    <w:qFormat/>
    <w:rPr>
      <w:rFonts w:ascii="OpenSymbol" w:hAnsi="OpenSymbol" w:eastAsia="OpenSymbol" w:cs="OpenSymbol"/>
    </w:rPr>
  </w:style>
  <w:style w:type="character" w:styleId="WWCharLFO4LVL2">
    <w:name w:val="WW_CharLFO4LVL2"/>
    <w:qFormat/>
    <w:rPr>
      <w:rFonts w:ascii="OpenSymbol" w:hAnsi="OpenSymbol" w:eastAsia="OpenSymbol" w:cs="OpenSymbol"/>
    </w:rPr>
  </w:style>
  <w:style w:type="character" w:styleId="WWCharLFO4LVL1">
    <w:name w:val="WW_CharLFO4LVL1"/>
    <w:qFormat/>
    <w:rPr>
      <w:rFonts w:ascii="OpenSymbol" w:hAnsi="OpenSymbol" w:eastAsia="OpenSymbol" w:cs="OpenSymbol"/>
    </w:rPr>
  </w:style>
  <w:style w:type="character" w:styleId="WWCharLFO2LVL9">
    <w:name w:val="WW_CharLFO2LVL9"/>
    <w:qFormat/>
    <w:rPr>
      <w:rFonts w:ascii="OpenSymbol" w:hAnsi="OpenSymbol" w:eastAsia="OpenSymbol" w:cs="OpenSymbol"/>
    </w:rPr>
  </w:style>
  <w:style w:type="character" w:styleId="WWCharLFO2LVL8">
    <w:name w:val="WW_CharLFO2LVL8"/>
    <w:qFormat/>
    <w:rPr>
      <w:rFonts w:ascii="OpenSymbol" w:hAnsi="OpenSymbol" w:eastAsia="OpenSymbol" w:cs="OpenSymbol"/>
    </w:rPr>
  </w:style>
  <w:style w:type="character" w:styleId="WWCharLFO2LVL7">
    <w:name w:val="WW_CharLFO2LVL7"/>
    <w:qFormat/>
    <w:rPr>
      <w:rFonts w:ascii="OpenSymbol" w:hAnsi="OpenSymbol" w:eastAsia="OpenSymbol" w:cs="OpenSymbol"/>
    </w:rPr>
  </w:style>
  <w:style w:type="character" w:styleId="WWCharLFO2LVL6">
    <w:name w:val="WW_CharLFO2LVL6"/>
    <w:qFormat/>
    <w:rPr>
      <w:rFonts w:ascii="OpenSymbol" w:hAnsi="OpenSymbol" w:eastAsia="OpenSymbol" w:cs="OpenSymbol"/>
    </w:rPr>
  </w:style>
  <w:style w:type="character" w:styleId="WWCharLFO2LVL5">
    <w:name w:val="WW_CharLFO2LVL5"/>
    <w:qFormat/>
    <w:rPr>
      <w:rFonts w:ascii="OpenSymbol" w:hAnsi="OpenSymbol" w:eastAsia="OpenSymbol" w:cs="OpenSymbol"/>
    </w:rPr>
  </w:style>
  <w:style w:type="character" w:styleId="WWCharLFO2LVL4">
    <w:name w:val="WW_CharLFO2LVL4"/>
    <w:qFormat/>
    <w:rPr>
      <w:rFonts w:ascii="OpenSymbol" w:hAnsi="OpenSymbol" w:eastAsia="OpenSymbol" w:cs="OpenSymbol"/>
    </w:rPr>
  </w:style>
  <w:style w:type="character" w:styleId="WWCharLFO2LVL3">
    <w:name w:val="WW_CharLFO2LVL3"/>
    <w:qFormat/>
    <w:rPr>
      <w:rFonts w:ascii="OpenSymbol" w:hAnsi="OpenSymbol" w:eastAsia="OpenSymbol" w:cs="OpenSymbol"/>
    </w:rPr>
  </w:style>
  <w:style w:type="character" w:styleId="WWCharLFO2LVL2">
    <w:name w:val="WW_CharLFO2LVL2"/>
    <w:qFormat/>
    <w:rPr>
      <w:rFonts w:ascii="OpenSymbol" w:hAnsi="OpenSymbol" w:eastAsia="OpenSymbol" w:cs="OpenSymbol"/>
    </w:rPr>
  </w:style>
  <w:style w:type="character" w:styleId="WWCharLFO2LVL1">
    <w:name w:val="WW_CharLFO2LVL1"/>
    <w:qFormat/>
    <w:rPr>
      <w:rFonts w:ascii="OpenSymbol" w:hAnsi="OpenSymbol" w:eastAsia="OpenSymbol" w:cs="OpenSymbol"/>
    </w:rPr>
  </w:style>
  <w:style w:type="character" w:styleId="WWCharLFO1LVL9">
    <w:name w:val="WW_CharLFO1LVL9"/>
    <w:qFormat/>
    <w:rPr>
      <w:rFonts w:ascii="OpenSymbol;Arial Unicode MS" w:hAnsi="OpenSymbol;Arial Unicode MS" w:cs="OpenSymbol;Arial Unicode MS"/>
    </w:rPr>
  </w:style>
  <w:style w:type="character" w:styleId="WWCharLFO1LVL8">
    <w:name w:val="WW_CharLFO1LVL8"/>
    <w:qFormat/>
    <w:rPr>
      <w:rFonts w:ascii="OpenSymbol;Arial Unicode MS" w:hAnsi="OpenSymbol;Arial Unicode MS" w:cs="OpenSymbol;Arial Unicode MS"/>
    </w:rPr>
  </w:style>
  <w:style w:type="character" w:styleId="WWCharLFO1LVL7">
    <w:name w:val="WW_CharLFO1LVL7"/>
    <w:qFormat/>
    <w:rPr>
      <w:rFonts w:ascii="Symbol" w:hAnsi="Symbol" w:cs="OpenSymbol;Arial Unicode MS"/>
      <w:strike w:val="false"/>
      <w:dstrike w:val="false"/>
      <w:outline w:val="false"/>
      <w:sz w:val="20"/>
      <w:szCs w:val="20"/>
      <w:em w:val="none"/>
    </w:rPr>
  </w:style>
  <w:style w:type="character" w:styleId="WWCharLFO1LVL6">
    <w:name w:val="WW_CharLFO1LVL6"/>
    <w:qFormat/>
    <w:rPr>
      <w:rFonts w:ascii="OpenSymbol;Arial Unicode MS" w:hAnsi="OpenSymbol;Arial Unicode MS" w:cs="OpenSymbol;Arial Unicode MS"/>
    </w:rPr>
  </w:style>
  <w:style w:type="character" w:styleId="WWCharLFO1LVL5">
    <w:name w:val="WW_CharLFO1LVL5"/>
    <w:qFormat/>
    <w:rPr>
      <w:rFonts w:ascii="OpenSymbol;Arial Unicode MS" w:hAnsi="OpenSymbol;Arial Unicode MS" w:cs="OpenSymbol;Arial Unicode MS"/>
    </w:rPr>
  </w:style>
  <w:style w:type="character" w:styleId="WWCharLFO1LVL4">
    <w:name w:val="WW_CharLFO1LVL4"/>
    <w:qFormat/>
    <w:rPr>
      <w:rFonts w:ascii="Symbol" w:hAnsi="Symbol" w:cs="OpenSymbol;Arial Unicode MS"/>
      <w:strike w:val="false"/>
      <w:dstrike w:val="false"/>
      <w:outline w:val="false"/>
      <w:sz w:val="20"/>
      <w:szCs w:val="20"/>
      <w:em w:val="none"/>
    </w:rPr>
  </w:style>
  <w:style w:type="character" w:styleId="WWCharLFO1LVL3">
    <w:name w:val="WW_CharLFO1LVL3"/>
    <w:qFormat/>
    <w:rPr>
      <w:rFonts w:ascii="OpenSymbol;Arial Unicode MS" w:hAnsi="OpenSymbol;Arial Unicode MS" w:cs="OpenSymbol;Arial Unicode MS"/>
    </w:rPr>
  </w:style>
  <w:style w:type="character" w:styleId="WWCharLFO1LVL2">
    <w:name w:val="WW_CharLFO1LVL2"/>
    <w:qFormat/>
    <w:rPr>
      <w:rFonts w:ascii="OpenSymbol;Arial Unicode MS" w:hAnsi="OpenSymbol;Arial Unicode MS" w:cs="OpenSymbol;Arial Unicode MS"/>
    </w:rPr>
  </w:style>
  <w:style w:type="character" w:styleId="WWCharLFO1LVL1">
    <w:name w:val="WW_CharLFO1LVL1"/>
    <w:qFormat/>
    <w:rPr>
      <w:rFonts w:ascii="Symbol" w:hAnsi="Symbol" w:cs="OpenSymbol;Arial Unicode MS"/>
      <w:strike w:val="false"/>
      <w:dstrike w:val="false"/>
      <w:outline w:val="false"/>
      <w:sz w:val="20"/>
      <w:szCs w:val="20"/>
      <w:em w:val="none"/>
    </w:rPr>
  </w:style>
  <w:style w:type="character" w:styleId="TextodebaloCarter">
    <w:name w:val="Texto de balão Caráter"/>
    <w:basedOn w:val="Tipodeletrapredefinidodopargrafo"/>
    <w:qFormat/>
    <w:rPr>
      <w:rFonts w:ascii="Segoe UI" w:hAnsi="Segoe UI" w:eastAsia="Segoe UI" w:cs="Segoe UI"/>
      <w:sz w:val="18"/>
      <w:szCs w:val="18"/>
    </w:rPr>
  </w:style>
  <w:style w:type="character" w:styleId="InternetLink">
    <w:name w:val="Internet Link"/>
    <w:qFormat/>
    <w:rPr>
      <w:color w:val="000080"/>
      <w:u w:val="single"/>
    </w:rPr>
  </w:style>
  <w:style w:type="character" w:styleId="Strong1">
    <w:name w:val="Strong1"/>
    <w:qFormat/>
    <w:rPr>
      <w:b/>
      <w:bCs/>
    </w:rPr>
  </w:style>
  <w:style w:type="character" w:styleId="Strong2">
    <w:name w:val="Strong2"/>
    <w:qFormat/>
    <w:rPr>
      <w:b/>
      <w:bCs/>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iPriority w:val="99"/>
    <w:unhideWhenUsed/>
    <w:rsid w:val="00405763"/>
    <w:pPr>
      <w:spacing w:lineRule="auto" w:line="288"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Mangal"/>
    </w:rPr>
  </w:style>
  <w:style w:type="paragraph" w:styleId="Title">
    <w:name w:val="Title"/>
    <w:basedOn w:val="Normal"/>
    <w:link w:val="TtuloChar"/>
    <w:qFormat/>
    <w:rsid w:val="007f77ad"/>
    <w:pPr>
      <w:pBdr>
        <w:bottom w:val="single" w:sz="8" w:space="4" w:color="4F81BD"/>
      </w:pBdr>
      <w:spacing w:before="0" w:after="300"/>
      <w:contextualSpacing/>
      <w:jc w:val="left"/>
    </w:pPr>
    <w:rPr>
      <w:rFonts w:ascii="Calibri" w:hAnsi="Calibri"/>
      <w:color w:val="17365D"/>
      <w:spacing w:val="5"/>
      <w:sz w:val="52"/>
      <w:szCs w:val="52"/>
    </w:rPr>
  </w:style>
  <w:style w:type="paragraph" w:styleId="caption1">
    <w:name w:val="caption1"/>
    <w:basedOn w:val="Normal"/>
    <w:qFormat/>
    <w:pPr>
      <w:suppressLineNumbers/>
      <w:spacing w:before="120" w:after="120"/>
    </w:pPr>
    <w:rPr>
      <w:rFonts w:cs="Mangal"/>
      <w:i/>
      <w:iCs/>
    </w:rPr>
  </w:style>
  <w:style w:type="paragraph" w:styleId="ListParagraph">
    <w:name w:val="List Paragraph"/>
    <w:basedOn w:val="Normal"/>
    <w:uiPriority w:val="34"/>
    <w:qFormat/>
    <w:rsid w:val="004773fc"/>
    <w:pPr>
      <w:spacing w:before="0" w:after="0"/>
      <w:ind w:hanging="0" w:left="720"/>
      <w:contextualSpacing/>
    </w:pPr>
    <w:rPr/>
  </w:style>
  <w:style w:type="paragraph" w:styleId="NormalWeb">
    <w:name w:val="Normal (Web)"/>
    <w:basedOn w:val="Normal"/>
    <w:uiPriority w:val="99"/>
    <w:qFormat/>
    <w:rsid w:val="006b156a"/>
    <w:pPr>
      <w:spacing w:before="0" w:after="280"/>
    </w:pPr>
    <w:rPr>
      <w:rFonts w:ascii="Times New Roman" w:hAnsi="Times New Roman" w:cs="Times New Roman"/>
    </w:rPr>
  </w:style>
  <w:style w:type="paragraph" w:styleId="BalloonText">
    <w:name w:val="Balloon Text"/>
    <w:basedOn w:val="Normal"/>
    <w:link w:val="TextodebaloChar"/>
    <w:qFormat/>
    <w:rsid w:val="003a73c1"/>
    <w:pPr/>
    <w:rPr>
      <w:rFonts w:ascii="Tahoma" w:hAnsi="Tahoma"/>
      <w:sz w:val="16"/>
      <w:szCs w:val="16"/>
    </w:rPr>
  </w:style>
  <w:style w:type="paragraph" w:styleId="Nvel2" w:customStyle="1">
    <w:name w:val="Nível 2"/>
    <w:basedOn w:val="Normal"/>
    <w:next w:val="Normal"/>
    <w:qFormat/>
    <w:rsid w:val="004b460a"/>
    <w:pPr>
      <w:spacing w:before="0" w:after="120"/>
      <w:jc w:val="both"/>
    </w:pPr>
    <w:rPr>
      <w:rFonts w:ascii="Arial" w:hAnsi="Arial" w:cs="Times New Roman"/>
      <w:b/>
      <w:szCs w:val="20"/>
    </w:rPr>
  </w:style>
  <w:style w:type="paragraph" w:styleId="Quote">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spacing w:before="0" w:after="0"/>
      <w:contextualSpacing/>
    </w:pPr>
    <w:rPr/>
  </w:style>
  <w:style w:type="paragraph" w:styleId="citao2" w:customStyle="1">
    <w:name w:val="citação 2"/>
    <w:basedOn w:val="Quote"/>
    <w:qFormat/>
    <w:rsid w:val="000a23da"/>
    <w:pPr>
      <w:shd w:val="clear" w:fill="FFFFCC"/>
    </w:pPr>
    <w:rPr>
      <w:szCs w:val="20"/>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Cabealhoerodap31">
    <w:name w:val="Cabeçalho e rodapé31"/>
    <w:basedOn w:val="Normal"/>
    <w:qFormat/>
    <w:pPr/>
    <w:rPr/>
  </w:style>
  <w:style w:type="paragraph" w:styleId="Cabealhoerodap32">
    <w:name w:val="Cabeçalho e rodapé32"/>
    <w:basedOn w:val="Normal"/>
    <w:qFormat/>
    <w:pPr/>
    <w:rPr/>
  </w:style>
  <w:style w:type="paragraph" w:styleId="Cabealhoerodap33">
    <w:name w:val="Cabeçalho e rodapé33"/>
    <w:basedOn w:val="Normal"/>
    <w:qFormat/>
    <w:pPr/>
    <w:rPr/>
  </w:style>
  <w:style w:type="paragraph" w:styleId="Cabealhoerodap34">
    <w:name w:val="Cabeçalho e rodapé34"/>
    <w:basedOn w:val="Normal"/>
    <w:qFormat/>
    <w:pPr/>
    <w:rPr/>
  </w:style>
  <w:style w:type="paragraph" w:styleId="Cabealhoerodap35">
    <w:name w:val="Cabeçalho e rodapé35"/>
    <w:basedOn w:val="Normal"/>
    <w:qFormat/>
    <w:pPr/>
    <w:rPr/>
  </w:style>
  <w:style w:type="paragraph" w:styleId="Cabealhoerodap36">
    <w:name w:val="Cabeçalho e rodapé36"/>
    <w:basedOn w:val="Normal"/>
    <w:qFormat/>
    <w:pPr/>
    <w:rPr/>
  </w:style>
  <w:style w:type="paragraph" w:styleId="Header">
    <w:name w:val="Header"/>
    <w:basedOn w:val="Normal"/>
    <w:link w:val="CabealhoChar"/>
    <w:rsid w:val="00ca24fb"/>
    <w:pPr>
      <w:tabs>
        <w:tab w:val="clear" w:pos="720"/>
        <w:tab w:val="center" w:pos="4252" w:leader="none"/>
        <w:tab w:val="right" w:pos="8504" w:leader="none"/>
      </w:tabs>
    </w:pPr>
    <w:rPr/>
  </w:style>
  <w:style w:type="paragraph" w:styleId="Footer">
    <w:name w:val="Footer"/>
    <w:basedOn w:val="Normal"/>
    <w:link w:val="RodapChar"/>
    <w:uiPriority w:val="99"/>
    <w:rsid w:val="00ca24fb"/>
    <w:pPr>
      <w:tabs>
        <w:tab w:val="clear" w:pos="720"/>
        <w:tab w:val="center" w:pos="4252" w:leader="none"/>
        <w:tab w:val="right" w:pos="8504" w:leader="none"/>
      </w:tabs>
    </w:pPr>
    <w:rPr/>
  </w:style>
  <w:style w:type="paragraph" w:styleId="AnnotationText">
    <w:name w:val="Annotation Text"/>
    <w:basedOn w:val="Normal"/>
    <w:link w:val="TextodecomentrioChar"/>
    <w:uiPriority w:val="99"/>
    <w:unhideWhenUsed/>
    <w:qFormat/>
    <w:rsid w:val="00430fdb"/>
    <w:pPr/>
    <w:rPr>
      <w:sz w:val="20"/>
      <w:szCs w:val="20"/>
    </w:rPr>
  </w:style>
  <w:style w:type="paragraph" w:styleId="annotationsubject">
    <w:name w:val="annotation subject"/>
    <w:basedOn w:val="AnnotationText"/>
    <w:link w:val="AssuntodocomentrioChar"/>
    <w:semiHidden/>
    <w:unhideWhenUsed/>
    <w:qFormat/>
    <w:rsid w:val="00430fdb"/>
    <w:pPr/>
    <w:rPr>
      <w:b/>
      <w:bCs/>
    </w:rPr>
  </w:style>
  <w:style w:type="paragraph" w:styleId="Nivel01" w:customStyle="1">
    <w:name w:val="Nivel 01"/>
    <w:basedOn w:val="Heading1"/>
    <w:next w:val="Normal"/>
    <w:link w:val="Nivel01Char"/>
    <w:qFormat/>
    <w:rsid w:val="007f77ad"/>
    <w:pPr>
      <w:tabs>
        <w:tab w:val="clear" w:pos="720"/>
        <w:tab w:val="left" w:pos="567" w:leader="none"/>
      </w:tabs>
      <w:spacing w:before="240" w:after="0"/>
      <w:jc w:val="both"/>
    </w:pPr>
    <w:rPr>
      <w:rFonts w:ascii="Ecofont_Spranq_eco_Sans" w:hAnsi="Ecofont_Spranq_eco_Sans" w:cs="Times New Roman"/>
      <w:color w:val="000000"/>
      <w:sz w:val="20"/>
      <w:szCs w:val="20"/>
    </w:rPr>
  </w:style>
  <w:style w:type="paragraph" w:styleId="Nivel01Titulo" w:customStyle="1">
    <w:name w:val="Nivel_01_Titulo"/>
    <w:basedOn w:val="Nivel01"/>
    <w:link w:val="Nivel01TituloChar"/>
    <w:qFormat/>
    <w:rsid w:val="00e967ea"/>
    <w:pPr>
      <w:jc w:val="left"/>
    </w:pPr>
    <w:rPr>
      <w:spacing w:val="5"/>
      <w:sz w:val="52"/>
      <w:szCs w:val="52"/>
    </w:rPr>
  </w:style>
  <w:style w:type="paragraph" w:styleId="PADRO" w:customStyle="1">
    <w:name w:val="PADRÃO"/>
    <w:qFormat/>
    <w:rsid w:val="001e2495"/>
    <w:pPr>
      <w:keepNext w:val="true"/>
      <w:widowControl w:val="false"/>
      <w:shd w:val="clear"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00000A"/>
      <w:kern w:val="0"/>
      <w:sz w:val="24"/>
      <w:szCs w:val="24"/>
      <w:lang w:val="pt-BR" w:eastAsia="zh-CN" w:bidi="hi-IN"/>
    </w:rPr>
  </w:style>
  <w:style w:type="paragraph" w:styleId="Citao1" w:customStyle="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53119e"/>
    <w:pPr>
      <w:spacing w:before="0" w:after="280"/>
    </w:pPr>
    <w:rPr>
      <w:rFonts w:ascii="Times New Roman" w:hAnsi="Times New Roman" w:eastAsia="Times New Roman" w:cs="Times New Roman"/>
    </w:rPr>
  </w:style>
  <w:style w:type="paragraph" w:styleId="Nivel1" w:customStyle="1">
    <w:name w:val="Nivel1"/>
    <w:basedOn w:val="Heading1"/>
    <w:link w:val="Nivel1Char"/>
    <w:qFormat/>
    <w:rsid w:val="001b6423"/>
    <w:pPr>
      <w:spacing w:lineRule="auto" w:line="276"/>
      <w:ind w:hanging="357" w:left="357"/>
      <w:jc w:val="both"/>
    </w:pPr>
    <w:rPr>
      <w:rFonts w:ascii="Arial" w:hAnsi="Arial" w:cs="Arial"/>
      <w:bCs w:val="false"/>
      <w:color w:val="000000"/>
    </w:rPr>
  </w:style>
  <w:style w:type="paragraph" w:styleId="PargrafodaLista1" w:customStyle="1">
    <w:name w:val="Parágrafo da Lista1"/>
    <w:basedOn w:val="Normal"/>
    <w:qFormat/>
    <w:rsid w:val="00e84570"/>
    <w:pPr>
      <w:ind w:hanging="0" w:left="720"/>
    </w:pPr>
    <w:rPr>
      <w:rFonts w:eastAsia="Times New Roman" w:cs="Ecofont_Spranq_eco_Sans"/>
    </w:rPr>
  </w:style>
  <w:style w:type="paragraph" w:styleId="Nivel2" w:customStyle="1">
    <w:name w:val="Nivel 2"/>
    <w:qFormat/>
    <w:rsid w:val="003629e4"/>
    <w:pPr>
      <w:widowControl/>
      <w:suppressAutoHyphens w:val="true"/>
      <w:bidi w:val="0"/>
      <w:spacing w:lineRule="auto" w:line="276" w:before="120" w:after="120"/>
      <w:jc w:val="both"/>
    </w:pPr>
    <w:rPr>
      <w:rFonts w:ascii="Ecofont_Spranq_eco_Sans" w:hAnsi="Ecofont_Spranq_eco_Sans" w:eastAsia="Arial Unicode MS" w:cs="Times New Roman"/>
      <w:color w:val="00000A"/>
      <w:kern w:val="0"/>
      <w:sz w:val="24"/>
      <w:szCs w:val="20"/>
      <w:lang w:val="pt-BR" w:eastAsia="pt-BR" w:bidi="ar-SA"/>
    </w:rPr>
  </w:style>
  <w:style w:type="paragraph" w:styleId="Nivel11" w:customStyle="1">
    <w:name w:val="Nivel 1"/>
    <w:basedOn w:val="Nivel2"/>
    <w:qFormat/>
    <w:rsid w:val="003629e4"/>
    <w:pPr/>
    <w:rPr>
      <w:rFonts w:cs="Arial"/>
      <w:b/>
    </w:rPr>
  </w:style>
  <w:style w:type="paragraph" w:styleId="Nivel3" w:customStyle="1">
    <w:name w:val="Nivel 3"/>
    <w:basedOn w:val="Nivel2"/>
    <w:qFormat/>
    <w:rsid w:val="003629e4"/>
    <w:pPr/>
    <w:rPr>
      <w:rFonts w:cs="Arial"/>
      <w:color w:val="000000"/>
    </w:rPr>
  </w:style>
  <w:style w:type="paragraph" w:styleId="Nivel4" w:customStyle="1">
    <w:name w:val="Nivel 4"/>
    <w:basedOn w:val="Nivel3"/>
    <w:link w:val="Nivel4Char"/>
    <w:qFormat/>
    <w:rsid w:val="003629e4"/>
    <w:pPr/>
    <w:rPr>
      <w:color w:val="00000A"/>
    </w:rPr>
  </w:style>
  <w:style w:type="paragraph" w:styleId="Nivel5" w:customStyle="1">
    <w:name w:val="Nivel 5"/>
    <w:basedOn w:val="Nivel4"/>
    <w:qFormat/>
    <w:rsid w:val="003629e4"/>
    <w:pPr>
      <w:ind w:hanging="1080" w:left="3348"/>
    </w:pPr>
    <w:rPr/>
  </w:style>
  <w:style w:type="paragraph" w:styleId="textbody" w:customStyle="1">
    <w:name w:val="textbody"/>
    <w:basedOn w:val="Normal"/>
    <w:qFormat/>
    <w:rsid w:val="00d87e37"/>
    <w:pPr>
      <w:spacing w:before="0" w:after="280"/>
    </w:pPr>
    <w:rPr>
      <w:rFonts w:ascii="Times New Roman" w:hAnsi="Times New Roman" w:eastAsia="Times New Roman" w:cs="Times New Roman"/>
    </w:rPr>
  </w:style>
  <w:style w:type="paragraph" w:styleId="Contedodatabela" w:customStyle="1">
    <w:name w:val="Conteúdo da tabela"/>
    <w:basedOn w:val="Normal"/>
    <w:qFormat/>
    <w:pPr/>
    <w:rPr/>
  </w:style>
  <w:style w:type="paragraph" w:styleId="Citaes" w:customStyle="1">
    <w:name w:val="Citações"/>
    <w:basedOn w:val="Normal"/>
    <w:qFormat/>
    <w:pPr/>
    <w:rPr/>
  </w:style>
  <w:style w:type="paragraph" w:styleId="Subtitle">
    <w:name w:val="Subtitle"/>
    <w:basedOn w:val="Title"/>
    <w:qFormat/>
    <w:pPr>
      <w:jc w:val="left"/>
    </w:pPr>
    <w:rPr/>
  </w:style>
  <w:style w:type="paragraph" w:styleId="WW-Ttulo">
    <w:name w:val="WW-Título"/>
    <w:basedOn w:val="Normal"/>
    <w:qFormat/>
    <w:pPr>
      <w:jc w:val="center"/>
    </w:pPr>
    <w:rPr>
      <w:rFonts w:ascii="Arial" w:hAnsi="Arial" w:cs="Arial"/>
      <w:b/>
      <w:sz w:val="24"/>
    </w:rPr>
  </w:style>
  <w:style w:type="paragraph" w:styleId="Recuodecorpodetexto31">
    <w:name w:val="Recuo de corpo de texto 31"/>
    <w:basedOn w:val="Normal"/>
    <w:qFormat/>
    <w:pPr>
      <w:ind w:firstLine="708" w:left="0" w:right="0"/>
      <w:jc w:val="both"/>
    </w:pPr>
    <w:rPr>
      <w:rFonts w:ascii="Arial" w:hAnsi="Arial" w:cs="Arial"/>
      <w:bCs/>
    </w:rPr>
  </w:style>
  <w:style w:type="paragraph" w:styleId="Corpodetextorecuado">
    <w:name w:val="Corpo de texto recuado"/>
    <w:basedOn w:val="Normal"/>
    <w:qFormat/>
    <w:pPr>
      <w:jc w:val="both"/>
    </w:pPr>
    <w:rPr>
      <w:b/>
      <w:sz w:val="24"/>
    </w:rPr>
  </w:style>
  <w:style w:type="paragraph" w:styleId="Ttulodetabela">
    <w:name w:val="Título de tabela"/>
    <w:basedOn w:val="Contedodatabela"/>
    <w:qFormat/>
    <w:pPr/>
    <w:rPr/>
  </w:style>
  <w:style w:type="paragraph" w:styleId="DefinitionTerm">
    <w:name w:val="Definition Term"/>
    <w:basedOn w:val="Normal"/>
    <w:qFormat/>
    <w:pPr/>
    <w:rPr/>
  </w:style>
  <w:style w:type="paragraph" w:styleId="DefinitionList">
    <w:name w:val="Definition List"/>
    <w:basedOn w:val="Normal"/>
    <w:qFormat/>
    <w:pPr>
      <w:ind w:hanging="0" w:left="360"/>
    </w:pPr>
    <w:rPr/>
  </w:style>
  <w:style w:type="paragraph" w:styleId="H1">
    <w:name w:val="H1"/>
    <w:basedOn w:val="Normal"/>
    <w:qFormat/>
    <w:pPr>
      <w:keepNext w:val="true"/>
      <w:spacing w:before="100" w:after="100"/>
      <w:outlineLvl w:val="1"/>
    </w:pPr>
    <w:rPr>
      <w:b/>
      <w:kern w:val="2"/>
      <w:sz w:val="48"/>
    </w:rPr>
  </w:style>
  <w:style w:type="paragraph" w:styleId="H2">
    <w:name w:val="H2"/>
    <w:basedOn w:val="Normal"/>
    <w:qFormat/>
    <w:pPr>
      <w:keepNext w:val="true"/>
      <w:spacing w:before="100" w:after="100"/>
      <w:outlineLvl w:val="2"/>
    </w:pPr>
    <w:rPr>
      <w:b/>
      <w:sz w:val="36"/>
    </w:rPr>
  </w:style>
  <w:style w:type="paragraph" w:styleId="H3">
    <w:name w:val="H3"/>
    <w:basedOn w:val="Normal"/>
    <w:qFormat/>
    <w:pPr>
      <w:keepNext w:val="true"/>
      <w:spacing w:before="100" w:after="100"/>
      <w:outlineLvl w:val="3"/>
    </w:pPr>
    <w:rPr>
      <w:b/>
      <w:sz w:val="28"/>
    </w:rPr>
  </w:style>
  <w:style w:type="paragraph" w:styleId="H4">
    <w:name w:val="H4"/>
    <w:basedOn w:val="Normal"/>
    <w:qFormat/>
    <w:pPr>
      <w:keepNext w:val="true"/>
      <w:spacing w:before="100" w:after="100"/>
      <w:outlineLvl w:val="4"/>
    </w:pPr>
    <w:rPr>
      <w:b/>
      <w:sz w:val="24"/>
    </w:rPr>
  </w:style>
  <w:style w:type="paragraph" w:styleId="H5">
    <w:name w:val="H5"/>
    <w:basedOn w:val="Normal"/>
    <w:qFormat/>
    <w:pPr>
      <w:keepNext w:val="true"/>
      <w:spacing w:before="100" w:after="100"/>
      <w:outlineLvl w:val="5"/>
    </w:pPr>
    <w:rPr>
      <w:b/>
      <w:sz w:val="20"/>
    </w:rPr>
  </w:style>
  <w:style w:type="paragraph" w:styleId="H6">
    <w:name w:val="H6"/>
    <w:basedOn w:val="Normal"/>
    <w:qFormat/>
    <w:pPr>
      <w:keepNext w:val="true"/>
      <w:spacing w:before="100" w:after="100"/>
      <w:outlineLvl w:val="6"/>
    </w:pPr>
    <w:rPr>
      <w:b/>
      <w:sz w:val="16"/>
    </w:rPr>
  </w:style>
  <w:style w:type="paragraph" w:styleId="Address">
    <w:name w:val="Address"/>
    <w:basedOn w:val="Normal"/>
    <w:qFormat/>
    <w:pPr/>
    <w:rPr>
      <w:i/>
    </w:rPr>
  </w:style>
  <w:style w:type="paragraph" w:styleId="Blockquote">
    <w:name w:val="Blockquote"/>
    <w:basedOn w:val="Normal"/>
    <w:qFormat/>
    <w:pPr>
      <w:spacing w:before="100" w:after="100"/>
      <w:ind w:hanging="0" w:left="360" w:right="360"/>
    </w:pPr>
    <w:rPr/>
  </w:style>
  <w:style w:type="paragraph" w:styleId="Preformatted">
    <w:name w:val="Preformatted"/>
    <w:basedOn w:val="Normal"/>
    <w:qFormat/>
    <w:pPr>
      <w:tabs>
        <w:tab w:val="clear" w:pos="720"/>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spacing w:before="0" w:after="0"/>
    </w:pPr>
    <w:rPr>
      <w:rFonts w:ascii="Courier New" w:hAnsi="Courier New"/>
      <w:sz w:val="20"/>
    </w:rPr>
  </w:style>
  <w:style w:type="paragraph" w:styleId="z-BottomofForm">
    <w:name w:val="z-Bottom of Form"/>
    <w:qFormat/>
    <w:pPr>
      <w:widowControl/>
      <w:pBdr>
        <w:top w:val="double" w:sz="2" w:space="0" w:color="000000"/>
      </w:pBdr>
      <w:suppressAutoHyphens w:val="true"/>
      <w:bidi w:val="0"/>
      <w:spacing w:before="0" w:after="0"/>
      <w:jc w:val="center"/>
    </w:pPr>
    <w:rPr>
      <w:rFonts w:ascii="Arial" w:hAnsi="Arial" w:eastAsia="Arial" w:cs="Courier New"/>
      <w:vanish/>
      <w:color w:val="auto"/>
      <w:kern w:val="0"/>
      <w:sz w:val="16"/>
      <w:szCs w:val="24"/>
      <w:lang w:val="pt-BR" w:eastAsia="en-US" w:bidi="ar-SA"/>
    </w:rPr>
  </w:style>
  <w:style w:type="paragraph" w:styleId="z-TopofForm">
    <w:name w:val="z-Top of Form"/>
    <w:qFormat/>
    <w:pPr>
      <w:widowControl/>
      <w:pBdr>
        <w:bottom w:val="double" w:sz="2" w:space="0" w:color="000000"/>
      </w:pBdr>
      <w:suppressAutoHyphens w:val="true"/>
      <w:bidi w:val="0"/>
      <w:spacing w:before="0" w:after="0"/>
      <w:jc w:val="center"/>
    </w:pPr>
    <w:rPr>
      <w:rFonts w:ascii="Arial" w:hAnsi="Arial" w:eastAsia="Arial" w:cs="Courier New"/>
      <w:vanish/>
      <w:color w:val="auto"/>
      <w:kern w:val="0"/>
      <w:sz w:val="16"/>
      <w:szCs w:val="24"/>
      <w:lang w:val="pt-BR" w:eastAsia="en-US" w:bidi="ar-SA"/>
    </w:rPr>
  </w:style>
  <w:style w:type="paragraph" w:styleId="Contedodoquadro">
    <w:name w:val="Conteúdo do quadro"/>
    <w:basedOn w:val="Normal"/>
    <w:qFormat/>
    <w:pPr/>
    <w:rPr/>
  </w:style>
  <w:style w:type="paragraph" w:styleId="BodyTextIndent">
    <w:name w:val="Body Text Indent"/>
    <w:basedOn w:val="Normal"/>
    <w:pPr>
      <w:jc w:val="both"/>
    </w:pPr>
    <w:rPr>
      <w:b/>
      <w:sz w:val="24"/>
    </w:rPr>
  </w:style>
  <w:style w:type="paragraph" w:styleId="Estilo2">
    <w:name w:val="Estilo2"/>
    <w:basedOn w:val="Normal"/>
    <w:qFormat/>
    <w:pPr>
      <w:spacing w:before="0" w:after="0"/>
      <w:ind w:firstLine="851" w:left="0" w:right="0"/>
    </w:pPr>
    <w:rPr/>
  </w:style>
  <w:style w:type="paragraph" w:styleId="Standard">
    <w:name w:val="Standard"/>
    <w:qFormat/>
    <w:pPr>
      <w:widowControl w:val="false"/>
      <w:suppressAutoHyphens w:val="true"/>
      <w:bidi w:val="0"/>
      <w:spacing w:before="0" w:after="0"/>
      <w:jc w:val="left"/>
      <w:textAlignment w:val="baseline"/>
    </w:pPr>
    <w:rPr>
      <w:rFonts w:ascii="Calibri" w:hAnsi="Calibri" w:eastAsia="Segoe UI" w:cs="Tahoma"/>
      <w:color w:val="000000"/>
      <w:kern w:val="2"/>
      <w:sz w:val="24"/>
      <w:szCs w:val="24"/>
      <w:lang w:val="en-US" w:eastAsia="zh-CN" w:bidi="en-US"/>
    </w:rPr>
  </w:style>
  <w:style w:type="paragraph" w:styleId="TableParagraph">
    <w:name w:val="Table Paragraph"/>
    <w:basedOn w:val="Normal"/>
    <w:qFormat/>
    <w:pPr>
      <w:widowControl w:val="false"/>
      <w:suppressAutoHyphens w:val="false"/>
      <w:overflowPunct w:val="false"/>
      <w:spacing w:lineRule="exact" w:line="234"/>
      <w:jc w:val="center"/>
    </w:pPr>
    <w:rPr>
      <w:rFonts w:ascii="Calibri" w:hAnsi="Calibri" w:eastAsia="Calibri" w:cs="Calibri"/>
      <w:color w:val="auto"/>
      <w:sz w:val="22"/>
      <w:szCs w:val="22"/>
      <w:lang w:val="pt-PT" w:eastAsia="en-US"/>
    </w:rPr>
  </w:style>
  <w:style w:type="paragraph" w:styleId="Texto">
    <w:name w:val="Texto"/>
    <w:basedOn w:val="Normal"/>
    <w:qFormat/>
    <w:pPr>
      <w:suppressAutoHyphens w:val="true"/>
      <w:spacing w:lineRule="auto" w:line="276" w:before="240" w:after="0"/>
      <w:jc w:val="both"/>
    </w:pPr>
    <w:rPr>
      <w:rFonts w:ascii="Times New Roman" w:hAnsi="Times New Roman" w:cs="Times New Roman"/>
      <w:lang w:val="pt-BR"/>
    </w:rPr>
  </w:style>
  <w:style w:type="paragraph" w:styleId="Default">
    <w:name w:val="Default"/>
    <w:qFormat/>
    <w:pPr>
      <w:widowControl/>
      <w:suppressAutoHyphens w:val="true"/>
      <w:bidi w:val="0"/>
      <w:spacing w:before="0" w:after="0"/>
      <w:jc w:val="left"/>
    </w:pPr>
    <w:rPr>
      <w:rFonts w:ascii="Arial" w:hAnsi="Arial" w:eastAsia="Calibri" w:cs="Times New Roman"/>
      <w:color w:val="000000"/>
      <w:kern w:val="0"/>
      <w:sz w:val="24"/>
      <w:szCs w:val="22"/>
      <w:lang w:val="en-US" w:eastAsia="en-US" w:bidi="ar-SA"/>
    </w:rPr>
  </w:style>
  <w:style w:type="paragraph" w:styleId="Normal1">
    <w:name w:val="Normal1"/>
    <w:basedOn w:val="Normal"/>
    <w:qFormat/>
    <w:pPr>
      <w:jc w:val="left"/>
    </w:pPr>
    <w:rPr>
      <w:rFonts w:ascii="Tahoma" w:hAnsi="Tahoma" w:eastAsia="Tahoma" w:cs="Tahoma"/>
      <w:color w:val="000000"/>
      <w:lang w:val="en-US" w:bidi="en-US"/>
    </w:rPr>
  </w:style>
  <w:style w:type="paragraph" w:styleId="Standard1">
    <w:name w:val="Standard1"/>
    <w:qFormat/>
    <w:pPr>
      <w:widowControl w:val="false"/>
      <w:suppressAutoHyphens w:val="true"/>
      <w:bidi w:val="0"/>
      <w:spacing w:before="0" w:after="0"/>
      <w:jc w:val="left"/>
      <w:textAlignment w:val="baseline"/>
    </w:pPr>
    <w:rPr>
      <w:rFonts w:ascii="Calibri" w:hAnsi="Calibri" w:eastAsia="Segoe UI" w:cs="Tahoma"/>
      <w:color w:val="000000"/>
      <w:kern w:val="2"/>
      <w:sz w:val="24"/>
      <w:szCs w:val="24"/>
      <w:lang w:val="en-US" w:eastAsia="zh-CN" w:bidi="en-US"/>
    </w:rPr>
  </w:style>
  <w:style w:type="paragraph" w:styleId="LO-Normal">
    <w:name w:val="LO-Normal"/>
    <w:qFormat/>
    <w:pPr>
      <w:widowControl/>
      <w:suppressAutoHyphens w:val="true"/>
      <w:bidi w:val="0"/>
      <w:spacing w:before="0" w:after="0"/>
      <w:jc w:val="left"/>
    </w:pPr>
    <w:rPr>
      <w:rFonts w:ascii="Liberation Serif" w:hAnsi="Liberation Serif" w:eastAsia="0" w:cs="Lucida Sans"/>
      <w:color w:val="auto"/>
      <w:kern w:val="0"/>
      <w:sz w:val="20"/>
      <w:szCs w:val="20"/>
      <w:lang w:val="pt-BR" w:eastAsia="zh-CN" w:bidi="hi-IN"/>
    </w:rPr>
  </w:style>
  <w:style w:type="paragraph" w:styleId="Textodebalo">
    <w:name w:val="Texto de balão"/>
    <w:basedOn w:val="Normal2"/>
    <w:qFormat/>
    <w:pPr>
      <w:suppressAutoHyphens w:val="true"/>
    </w:pPr>
    <w:rPr>
      <w:rFonts w:ascii="Segoe UI" w:hAnsi="Segoe UI" w:cs="Segoe UI"/>
      <w:sz w:val="18"/>
      <w:szCs w:val="18"/>
    </w:rPr>
  </w:style>
  <w:style w:type="paragraph" w:styleId="Normal2">
    <w:name w:val="Normal2"/>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en-US" w:bidi="ar-SA"/>
    </w:rPr>
  </w:style>
  <w:style w:type="paragraph" w:styleId="Corpodetexto2">
    <w:name w:val="Corpo de texto 2"/>
    <w:basedOn w:val="Normal"/>
    <w:qFormat/>
    <w:pPr>
      <w:suppressAutoHyphens w:val="false"/>
      <w:jc w:val="both"/>
    </w:pPr>
    <w:rPr>
      <w:rFonts w:ascii="Arial" w:hAnsi="Arial" w:eastAsia="Arial" w:cs="Arial"/>
    </w:rPr>
  </w:style>
  <w:style w:type="paragraph" w:styleId="PargrafodaLista">
    <w:name w:val="Parágrafo da Lista"/>
    <w:basedOn w:val="Normal"/>
    <w:qFormat/>
    <w:pPr>
      <w:tabs>
        <w:tab w:val="clear" w:pos="720"/>
      </w:tabs>
      <w:suppressAutoHyphens w:val="false"/>
      <w:spacing w:before="0" w:after="0"/>
      <w:ind w:hanging="0" w:left="720" w:right="0"/>
      <w:contextualSpacing/>
    </w:pPr>
    <w:rPr/>
  </w:style>
  <w:style w:type="numbering" w:styleId="Semlista" w:default="1">
    <w:name w:val="Sem lista"/>
    <w:uiPriority w:val="99"/>
    <w:semiHidden/>
    <w:unhideWhenUsed/>
    <w:qFormat/>
  </w:style>
  <w:style w:type="numbering" w:styleId="Estilo1" w:customStyle="1">
    <w:name w:val="Estilo1"/>
    <w:uiPriority w:val="99"/>
    <w:qFormat/>
    <w:rsid w:val="008c6874"/>
  </w:style>
  <w:style w:type="numbering" w:styleId="Estilo21" w:customStyle="1">
    <w:name w:val="Estilo21"/>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numbering" w:styleId="WW8Num4">
    <w:name w:val="WW8Num4"/>
    <w:qFormat/>
  </w:style>
  <w:style w:type="numbering" w:styleId="WW8Num2">
    <w:name w:val="WW8Num2"/>
    <w:qFormat/>
  </w:style>
  <w:style w:type="numbering" w:styleId="WW8Num3">
    <w:name w:val="WW8Num3"/>
    <w:qFormat/>
  </w:style>
  <w:style w:type="numbering" w:styleId="WW8Num7">
    <w:name w:val="WW8Num7"/>
    <w:qFormat/>
  </w:style>
  <w:style w:type="numbering" w:styleId="WW8Num5">
    <w:name w:val="WW8Num5"/>
    <w:qFormat/>
  </w:style>
  <w:style w:type="numbering" w:styleId="WW8Num8">
    <w:name w:val="WW8Num8"/>
    <w:qFormat/>
  </w:style>
  <w:style w:type="numbering" w:styleId="WW8Num9">
    <w:name w:val="WW8Num9"/>
    <w:qFormat/>
  </w:style>
  <w:style w:type="numbering" w:styleId="WW8Num10">
    <w:name w:val="WW8Num10"/>
    <w:qFormat/>
  </w:style>
  <w:style w:type="numbering" w:styleId="WW8Num6">
    <w:name w:val="WW8Num6"/>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gov.br/compras" TargetMode="External"/><Relationship Id="rId4" Type="http://schemas.openxmlformats.org/officeDocument/2006/relationships/hyperlink" Target="https://certidoes-apf.apps.tcu.gov.br/" TargetMode="External"/><Relationship Id="rId5" Type="http://schemas.openxmlformats.org/officeDocument/2006/relationships/hyperlink" Target="mailto:milene.fi@imbel.gov.br" TargetMode="External"/><Relationship Id="rId6" Type="http://schemas.openxmlformats.org/officeDocument/2006/relationships/hyperlink" Target="http://www.gov.br/compras" TargetMode="External"/><Relationship Id="rId7" Type="http://schemas.openxmlformats.org/officeDocument/2006/relationships/hyperlink" Target="http://www.gov.br/compras" TargetMode="External"/><Relationship Id="rId8" Type="http://schemas.openxmlformats.org/officeDocument/2006/relationships/hyperlink" Target="http://www.gov.br/compras" TargetMode="External"/><Relationship Id="rId9" Type="http://schemas.openxmlformats.org/officeDocument/2006/relationships/hyperlink" Target="http://www.gov.br/compras" TargetMode="External"/><Relationship Id="rId10" Type="http://schemas.openxmlformats.org/officeDocument/2006/relationships/hyperlink" Target="http://www.gov.br/compras" TargetMode="External"/><Relationship Id="rId11" Type="http://schemas.openxmlformats.org/officeDocument/2006/relationships/hyperlink" Target="http://www.gov.br/compras" TargetMode="External"/><Relationship Id="rId12" Type="http://schemas.openxmlformats.org/officeDocument/2006/relationships/hyperlink" Target="http://www.gov.br/compras" TargetMode="External"/><Relationship Id="rId13" Type="http://schemas.openxmlformats.org/officeDocument/2006/relationships/hyperlink" Target="http://www.gov.br/compras" TargetMode="External"/><Relationship Id="rId14" Type="http://schemas.openxmlformats.org/officeDocument/2006/relationships/hyperlink" Target="http://www.gov.br/compras" TargetMode="External"/><Relationship Id="rId15" Type="http://schemas.openxmlformats.org/officeDocument/2006/relationships/image" Target="media/image1.jpeg"/><Relationship Id="rId16" Type="http://schemas.openxmlformats.org/officeDocument/2006/relationships/hyperlink" Target="http://www.gov.br/compras" TargetMode="External"/><Relationship Id="rId17" Type="http://schemas.openxmlformats.org/officeDocument/2006/relationships/hyperlink" Target="http://www.gov.br/compras" TargetMode="External"/><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jpeg"/><Relationship Id="rId22" Type="http://schemas.openxmlformats.org/officeDocument/2006/relationships/hyperlink" Target="http://www.gov.br/compras" TargetMode="External"/><Relationship Id="rId23" Type="http://schemas.openxmlformats.org/officeDocument/2006/relationships/hyperlink" Target="http://www.gov.br/compras" TargetMode="External"/><Relationship Id="rId24" Type="http://schemas.openxmlformats.org/officeDocument/2006/relationships/hyperlink" Target="http://www.gov.br/compras" TargetMode="External"/><Relationship Id="rId25" Type="http://schemas.openxmlformats.org/officeDocument/2006/relationships/hyperlink" Target="http://www.gov.br/compras" TargetMode="External"/><Relationship Id="rId26" Type="http://schemas.openxmlformats.org/officeDocument/2006/relationships/hyperlink" Target="http://www.gov.br/compras" TargetMode="External"/><Relationship Id="rId27" Type="http://schemas.openxmlformats.org/officeDocument/2006/relationships/hyperlink" Target="http://www.gov.br/compras" TargetMode="External"/><Relationship Id="rId28" Type="http://schemas.openxmlformats.org/officeDocument/2006/relationships/hyperlink" Target="http://www.gov.br/compras" TargetMode="External"/><Relationship Id="rId29" Type="http://schemas.openxmlformats.org/officeDocument/2006/relationships/hyperlink" Target="http://www.gov.br/compras" TargetMode="External"/><Relationship Id="rId30" Type="http://schemas.openxmlformats.org/officeDocument/2006/relationships/hyperlink" Target="http://www.gov.br/compras" TargetMode="External"/><Relationship Id="rId31" Type="http://schemas.openxmlformats.org/officeDocument/2006/relationships/hyperlink" Target="http://www.gov.br/compras" TargetMode="External"/><Relationship Id="rId32" Type="http://schemas.openxmlformats.org/officeDocument/2006/relationships/hyperlink" Target="http://www.gov.br/compras" TargetMode="External"/><Relationship Id="rId33" Type="http://schemas.openxmlformats.org/officeDocument/2006/relationships/hyperlink" Target="http://www.gov.br/compras" TargetMode="External"/><Relationship Id="rId34" Type="http://schemas.openxmlformats.org/officeDocument/2006/relationships/hyperlink" Target="http://www.gov.br/compras" TargetMode="External"/><Relationship Id="rId35" Type="http://schemas.openxmlformats.org/officeDocument/2006/relationships/hyperlink" Target="http://www.gov.br/compras" TargetMode="External"/><Relationship Id="rId36" Type="http://schemas.openxmlformats.org/officeDocument/2006/relationships/hyperlink" Target="http://www.gov.br/compras" TargetMode="External"/><Relationship Id="rId37" Type="http://schemas.openxmlformats.org/officeDocument/2006/relationships/hyperlink" Target="http://www.gov.br/compras" TargetMode="External"/><Relationship Id="rId38" Type="http://schemas.openxmlformats.org/officeDocument/2006/relationships/hyperlink" Target="http://www.gov.br/compras" TargetMode="External"/><Relationship Id="rId39" Type="http://schemas.openxmlformats.org/officeDocument/2006/relationships/hyperlink" Target="http://www.gov.br/compras" TargetMode="External"/><Relationship Id="rId40" Type="http://schemas.openxmlformats.org/officeDocument/2006/relationships/hyperlink" Target="http://www.gov.br/compras" TargetMode="External"/><Relationship Id="rId41" Type="http://schemas.openxmlformats.org/officeDocument/2006/relationships/hyperlink" Target="http://www.gov.br/compras" TargetMode="External"/><Relationship Id="rId42" Type="http://schemas.openxmlformats.org/officeDocument/2006/relationships/hyperlink" Target="http://www.gov.br/compras" TargetMode="External"/><Relationship Id="rId43" Type="http://schemas.openxmlformats.org/officeDocument/2006/relationships/hyperlink" Target="http://www.gov.br/compras" TargetMode="External"/><Relationship Id="rId44" Type="http://schemas.openxmlformats.org/officeDocument/2006/relationships/hyperlink" Target="http://www.gov.br/compras" TargetMode="External"/><Relationship Id="rId45" Type="http://schemas.openxmlformats.org/officeDocument/2006/relationships/hyperlink" Target="http://www.gov.br/compras" TargetMode="External"/><Relationship Id="rId46" Type="http://schemas.openxmlformats.org/officeDocument/2006/relationships/hyperlink" Target="http://www.gov.br/compras" TargetMode="External"/><Relationship Id="rId47" Type="http://schemas.openxmlformats.org/officeDocument/2006/relationships/hyperlink" Target="http://www.gov.br/compras" TargetMode="External"/><Relationship Id="rId48" Type="http://schemas.openxmlformats.org/officeDocument/2006/relationships/hyperlink" Target="http://www.gov.br/compras" TargetMode="External"/><Relationship Id="rId49" Type="http://schemas.openxmlformats.org/officeDocument/2006/relationships/hyperlink" Target="http://www.gov.br/compras" TargetMode="External"/><Relationship Id="rId50" Type="http://schemas.openxmlformats.org/officeDocument/2006/relationships/hyperlink" Target="http://www.gov.br/compras" TargetMode="External"/><Relationship Id="rId51" Type="http://schemas.openxmlformats.org/officeDocument/2006/relationships/hyperlink" Target="http://www.gov.br/compras" TargetMode="External"/><Relationship Id="rId52" Type="http://schemas.openxmlformats.org/officeDocument/2006/relationships/hyperlink" Target="http://www.gov.br/compras" TargetMode="External"/><Relationship Id="rId53" Type="http://schemas.openxmlformats.org/officeDocument/2006/relationships/header" Target="header1.xml"/><Relationship Id="rId54" Type="http://schemas.openxmlformats.org/officeDocument/2006/relationships/header" Target="header2.xml"/><Relationship Id="rId55" Type="http://schemas.openxmlformats.org/officeDocument/2006/relationships/header" Target="header3.xml"/><Relationship Id="rId56" Type="http://schemas.openxmlformats.org/officeDocument/2006/relationships/footer" Target="footer1.xml"/><Relationship Id="rId57" Type="http://schemas.openxmlformats.org/officeDocument/2006/relationships/footer" Target="footer2.xml"/><Relationship Id="rId58" Type="http://schemas.openxmlformats.org/officeDocument/2006/relationships/footer" Target="footer3.xml"/><Relationship Id="rId59" Type="http://schemas.openxmlformats.org/officeDocument/2006/relationships/image" Target="media/image1.jpeg"/><Relationship Id="rId60" Type="http://schemas.openxmlformats.org/officeDocument/2006/relationships/hyperlink" Target="http://www.gov.br/compras" TargetMode="External"/><Relationship Id="rId61" Type="http://schemas.openxmlformats.org/officeDocument/2006/relationships/hyperlink" Target="http://www.gov.br/compras" TargetMode="External"/><Relationship Id="rId62" Type="http://schemas.openxmlformats.org/officeDocument/2006/relationships/hyperlink" Target="http://www.gov.br/compras" TargetMode="External"/><Relationship Id="rId63" Type="http://schemas.openxmlformats.org/officeDocument/2006/relationships/image" Target="media/image7.png"/><Relationship Id="rId64" Type="http://schemas.openxmlformats.org/officeDocument/2006/relationships/header" Target="header4.xml"/><Relationship Id="rId65" Type="http://schemas.openxmlformats.org/officeDocument/2006/relationships/header" Target="header5.xml"/><Relationship Id="rId66" Type="http://schemas.openxmlformats.org/officeDocument/2006/relationships/header" Target="header6.xml"/><Relationship Id="rId67" Type="http://schemas.openxmlformats.org/officeDocument/2006/relationships/footer" Target="footer4.xml"/><Relationship Id="rId68" Type="http://schemas.openxmlformats.org/officeDocument/2006/relationships/footer" Target="footer5.xml"/><Relationship Id="rId69" Type="http://schemas.openxmlformats.org/officeDocument/2006/relationships/footer" Target="footer6.xml"/><Relationship Id="rId70" Type="http://schemas.openxmlformats.org/officeDocument/2006/relationships/numbering" Target="numbering.xml"/><Relationship Id="rId71" Type="http://schemas.openxmlformats.org/officeDocument/2006/relationships/fontTable" Target="fontTable.xml"/><Relationship Id="rId72" Type="http://schemas.openxmlformats.org/officeDocument/2006/relationships/settings" Target="settings.xml"/><Relationship Id="rId73" Type="http://schemas.openxmlformats.org/officeDocument/2006/relationships/theme" Target="theme/theme1.xml"/><Relationship Id="rId74" Type="http://schemas.openxmlformats.org/officeDocument/2006/relationships/customXml" Target="../customXml/item1.xml"/><Relationship Id="rId75" Type="http://schemas.openxmlformats.org/officeDocument/2006/relationships/customXml" Target="../customXml/item2.xml"/><Relationship Id="rId76" Type="http://schemas.openxmlformats.org/officeDocument/2006/relationships/customXml" Target="../customXml/item3.xml"/><Relationship Id="rId77"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6.png"/>
</Relationships>
</file>

<file path=word/_rels/header3.xml.rels><?xml version="1.0" encoding="UTF-8"?>
<Relationships xmlns="http://schemas.openxmlformats.org/package/2006/relationships"><Relationship Id="rId1" Type="http://schemas.openxmlformats.org/officeDocument/2006/relationships/image" Target="media/image6.png"/>
</Relationships>
</file>

<file path=word/_rels/header5.xml.rels><?xml version="1.0" encoding="UTF-8"?>
<Relationships xmlns="http://schemas.openxmlformats.org/package/2006/relationships"><Relationship Id="rId1" Type="http://schemas.openxmlformats.org/officeDocument/2006/relationships/image" Target="media/image6.png"/>
</Relationships>
</file>

<file path=word/_rels/header6.xml.rels><?xml version="1.0" encoding="UTF-8"?>
<Relationships xmlns="http://schemas.openxmlformats.org/package/2006/relationships"><Relationship Id="rId1" Type="http://schemas.openxmlformats.org/officeDocument/2006/relationships/image" Target="media/image6.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www.w3.org/XML/1998/namespace"/>
    <ds:schemaRef ds:uri="http://schemas.microsoft.com/office/2006/metadata/properties"/>
    <ds:schemaRef ds:uri="http://purl.org/dc/dcmityp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52c93ea8-e2de-466c-b401-d7fabeb9490e"/>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3E74491F-2410-48C2-B186-747C2248F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97943</TotalTime>
  <Application>LibreOffice/24.2.7.2$Windows_X86_64 LibreOffice_project/ee3885777aa7032db5a9b65deec9457448a91162</Application>
  <AppVersion>15.0000</AppVersion>
  <Pages>43</Pages>
  <Words>16137</Words>
  <Characters>90429</Characters>
  <CharactersWithSpaces>106554</CharactersWithSpaces>
  <Paragraphs>683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2019-10-14T16:26:00Z</dcterms:created>
  <dc:creator>Manoel Paz</dc:creator>
  <dc:description/>
  <dc:language>pt-BR</dc:language>
  <cp:lastModifiedBy/>
  <cp:lastPrinted>2025-07-16T13:17:31Z</cp:lastPrinted>
  <dcterms:modified xsi:type="dcterms:W3CDTF">2026-10-07T10:14:08Z</dcterms:modified>
  <cp:revision>894</cp:revision>
  <dc:subject/>
  <dc:title>Edital Pregão Compras - Ampla Participação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1</vt:bool>
  </property>
</Properties>
</file>