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</w:rPr>
        <w:t>INDÚSTRIA DE MATERIAL BÉLICO DO BRASIL – IMBEL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</w:rPr>
        <w:t>FÁBRICA DE ITAJUBÁ – IMBEL/FI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</w:rPr>
        <w:t>AVISO DE CONTRATAÇÃO DIRETA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</w:rPr>
        <w:t>DISPENSA DE LICITAÇÃO Nº 2026DL000150</w:t>
      </w:r>
    </w:p>
    <w:p>
      <w:pPr>
        <w:pStyle w:val="Normal"/>
        <w:spacing w:before="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INDÚSTRIA DE MATERIAL BÉLICO DO BRASIL – IMBEL, por intermédio da Fábrica de Itajubá – IMBEL/FI, vinculada ao Ministério da Defesa – Comando do Exército, torna público, para conhecimento dos interessados, que realizará Contratação Direta por Dispensa de Licitação, com fundamento na Lei nº 13.303, de 30 de junho de 2016, e no Regulamento de Licitações e Contratos da IMBEL.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</w:rPr>
        <w:t>1. OBJETO</w:t>
      </w:r>
    </w:p>
    <w:p>
      <w:pPr>
        <w:pStyle w:val="Normal"/>
        <w:spacing w:before="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Aquisição de Normas Internacionais, conforme especificações e condições estabelecidas pela IMBEL/FI, contemplando os seguintes itens:</w:t>
      </w:r>
    </w:p>
    <w:tbl>
      <w:tblPr>
        <w:tblStyle w:val="TableGrid"/>
        <w:tblW w:w="94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881"/>
        <w:gridCol w:w="1881"/>
        <w:gridCol w:w="1881"/>
        <w:gridCol w:w="1881"/>
        <w:gridCol w:w="1881"/>
      </w:tblGrid>
      <w:tr>
        <w:trPr/>
        <w:tc>
          <w:tcPr>
            <w:tcW w:w="1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b/>
                <w:kern w:val="0"/>
                <w:szCs w:val="22"/>
                <w:lang w:val="en-US" w:eastAsia="en-US" w:bidi="ar-SA"/>
              </w:rPr>
              <w:t>Item</w:t>
            </w:r>
          </w:p>
        </w:tc>
        <w:tc>
          <w:tcPr>
            <w:tcW w:w="1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b/>
                <w:kern w:val="0"/>
                <w:szCs w:val="22"/>
                <w:lang w:val="en-US" w:eastAsia="en-US" w:bidi="ar-SA"/>
              </w:rPr>
              <w:t>Organismo</w:t>
            </w:r>
          </w:p>
        </w:tc>
        <w:tc>
          <w:tcPr>
            <w:tcW w:w="1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b/>
                <w:kern w:val="0"/>
                <w:szCs w:val="22"/>
                <w:lang w:val="en-US" w:eastAsia="en-US" w:bidi="ar-SA"/>
              </w:rPr>
              <w:t>Código</w:t>
            </w:r>
          </w:p>
        </w:tc>
        <w:tc>
          <w:tcPr>
            <w:tcW w:w="1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b/>
                <w:kern w:val="0"/>
                <w:szCs w:val="22"/>
                <w:lang w:val="en-US" w:eastAsia="en-US" w:bidi="ar-SA"/>
              </w:rPr>
              <w:t>Descrição</w:t>
            </w:r>
          </w:p>
        </w:tc>
        <w:tc>
          <w:tcPr>
            <w:tcW w:w="1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b/>
                <w:kern w:val="0"/>
                <w:szCs w:val="22"/>
                <w:lang w:val="en-US" w:eastAsia="en-US" w:bidi="ar-SA"/>
              </w:rPr>
              <w:t>Qtd.</w:t>
            </w:r>
          </w:p>
        </w:tc>
      </w:tr>
      <w:tr>
        <w:trPr/>
        <w:tc>
          <w:tcPr>
            <w:tcW w:w="188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Cs w:val="22"/>
                <w:lang w:val="en-US" w:eastAsia="en-US" w:bidi="ar-SA"/>
              </w:rPr>
              <w:t>01</w:t>
            </w:r>
          </w:p>
        </w:tc>
        <w:tc>
          <w:tcPr>
            <w:tcW w:w="188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Cs w:val="22"/>
                <w:lang w:val="en-US" w:eastAsia="en-US" w:bidi="ar-SA"/>
              </w:rPr>
              <w:t>DIN</w:t>
            </w:r>
          </w:p>
        </w:tc>
        <w:tc>
          <w:tcPr>
            <w:tcW w:w="188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Cs w:val="22"/>
                <w:lang w:val="en-US" w:eastAsia="en-US" w:bidi="ar-SA"/>
              </w:rPr>
              <w:t>16742</w:t>
            </w:r>
          </w:p>
        </w:tc>
        <w:tc>
          <w:tcPr>
            <w:tcW w:w="188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Cs w:val="22"/>
                <w:lang w:val="en-US" w:eastAsia="en-US" w:bidi="ar-SA"/>
              </w:rPr>
              <w:t>Tolerances for moulded parts of plastic materials</w:t>
            </w:r>
          </w:p>
        </w:tc>
        <w:tc>
          <w:tcPr>
            <w:tcW w:w="188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Cs w:val="22"/>
                <w:lang w:val="en-US" w:eastAsia="en-US" w:bidi="ar-SA"/>
              </w:rPr>
              <w:t>01</w:t>
            </w:r>
          </w:p>
        </w:tc>
      </w:tr>
      <w:tr>
        <w:trPr/>
        <w:tc>
          <w:tcPr>
            <w:tcW w:w="188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Cs w:val="22"/>
                <w:lang w:val="en-US" w:eastAsia="en-US" w:bidi="ar-SA"/>
              </w:rPr>
              <w:t>02</w:t>
            </w:r>
          </w:p>
        </w:tc>
        <w:tc>
          <w:tcPr>
            <w:tcW w:w="188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Cs w:val="22"/>
                <w:lang w:val="en-US" w:eastAsia="en-US" w:bidi="ar-SA"/>
              </w:rPr>
              <w:t>DIN</w:t>
            </w:r>
          </w:p>
        </w:tc>
        <w:tc>
          <w:tcPr>
            <w:tcW w:w="188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Cs w:val="22"/>
                <w:lang w:val="en-US" w:eastAsia="en-US" w:bidi="ar-SA"/>
              </w:rPr>
              <w:t>EN 10270-1</w:t>
            </w:r>
          </w:p>
        </w:tc>
        <w:tc>
          <w:tcPr>
            <w:tcW w:w="188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Cs w:val="22"/>
                <w:lang w:val="en-US" w:eastAsia="en-US" w:bidi="ar-SA"/>
              </w:rPr>
              <w:t>Round steel wire for springs; patented cold drawn, carbon steel wire for springs; technical delivery conditions.</w:t>
            </w:r>
          </w:p>
        </w:tc>
        <w:tc>
          <w:tcPr>
            <w:tcW w:w="188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Cs w:val="22"/>
                <w:lang w:val="en-US" w:eastAsia="en-US" w:bidi="ar-SA"/>
              </w:rPr>
              <w:t>01</w:t>
            </w:r>
          </w:p>
        </w:tc>
      </w:tr>
    </w:tbl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</w:rPr>
        <w:t>2. PERÍODO PARA CADASTRAMENTO DAS PROPOSTAS</w:t>
      </w:r>
    </w:p>
    <w:p>
      <w:pPr>
        <w:pStyle w:val="Normal"/>
        <w:spacing w:before="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cadastramento e o recebimento das propostas terão início em 09/10/2026.</w:t>
      </w:r>
    </w:p>
    <w:p>
      <w:pPr>
        <w:pStyle w:val="Normal"/>
        <w:spacing w:before="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Os interessados deverão observar o prazo e as condições estabelecidas no sistema de contratação utilizado pela IMBEL/FI.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</w:rPr>
        <w:t>3. CONDIÇÕES PARA APRESENTAÇÃO DA PROPOSTA</w:t>
      </w:r>
    </w:p>
    <w:p>
      <w:pPr>
        <w:pStyle w:val="Normal"/>
        <w:spacing w:before="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proposta deverá ser apresentada em papel timbrado da empresa, devidamente datada e assinada pelo responsável, contendo, obrigatoriamente:</w:t>
      </w:r>
    </w:p>
    <w:p>
      <w:pPr>
        <w:pStyle w:val="ListBullet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Razão social da empresa;</w:t>
      </w:r>
    </w:p>
    <w:p>
      <w:pPr>
        <w:pStyle w:val="ListBullet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CNPJ;</w:t>
      </w:r>
    </w:p>
    <w:p>
      <w:pPr>
        <w:pStyle w:val="ListBullet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Descrição do objeto ofertado;</w:t>
      </w:r>
    </w:p>
    <w:p>
      <w:pPr>
        <w:pStyle w:val="ListBullet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Valor unitário e valor total;</w:t>
      </w:r>
    </w:p>
    <w:p>
      <w:pPr>
        <w:pStyle w:val="ListBullet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Prazo de entrega;</w:t>
      </w:r>
    </w:p>
    <w:p>
      <w:pPr>
        <w:pStyle w:val="ListBullet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Condições de pagamento;</w:t>
      </w:r>
    </w:p>
    <w:p>
      <w:pPr>
        <w:pStyle w:val="ListBullet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Impostos inclusos;</w:t>
      </w:r>
    </w:p>
    <w:p>
      <w:pPr>
        <w:pStyle w:val="ListBullet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Frete CIF – Itajubá/MG;</w:t>
      </w:r>
    </w:p>
    <w:p>
      <w:pPr>
        <w:pStyle w:val="ListBullet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Validade da proposta de, no mínimo, 60 (sessenta) dias.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</w:rPr>
        <w:t>4. CONDIÇÕES DE PAGAMENTO</w:t>
      </w:r>
    </w:p>
    <w:p>
      <w:pPr>
        <w:pStyle w:val="Normal"/>
        <w:spacing w:before="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pagamento será realizado por meio de Nota de Empenho, em até 30 (trinta) dias após o aceite da Nota Fiscal, mediante depósito bancário, observadas as condições estabelecidas pela IMBEL/FI.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</w:rPr>
        <w:t>5. ENTREGA</w:t>
      </w:r>
    </w:p>
    <w:p>
      <w:pPr>
        <w:pStyle w:val="Normal"/>
        <w:spacing w:before="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entrega deverá ocorrer na:</w:t>
      </w:r>
    </w:p>
    <w:p>
      <w:pPr>
        <w:pStyle w:val="Normal"/>
        <w:spacing w:before="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IMBEL – Fábrica de Itajubá – IMBEL/FI</w:t>
        <w:br/>
        <w:t>Avenida Coronel Aventino Ribeiro, nº 1099 – Imbel</w:t>
        <w:br/>
        <w:t>Itajubá/MG – CEP 37.501-345</w:t>
      </w:r>
    </w:p>
    <w:p>
      <w:pPr>
        <w:pStyle w:val="Normal"/>
        <w:spacing w:before="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Horário para recebimento: de segunda-feira a sexta-feira, das 07h às 11h e das 13h às 15h.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</w:rPr>
        <w:t>6. CRITÉRIO DE SELEÇÃO</w:t>
      </w:r>
    </w:p>
    <w:p>
      <w:pPr>
        <w:pStyle w:val="Normal"/>
        <w:spacing w:before="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Será considerada vencedora a proposta que apresentar o menor preço, desde que atenda integralmente às especificações técnicas, condições comerciais e demais exigências estabelecidas pela IMBEL/FI.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</w:rPr>
        <w:t>7. DISPOSIÇÕES GERAIS</w:t>
      </w:r>
    </w:p>
    <w:p>
      <w:pPr>
        <w:pStyle w:val="Normal"/>
        <w:spacing w:before="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participação no procedimento implica a aceitação integral das condições estabelecidas neste Aviso, na documentação da contratação e na legislação aplicável.</w:t>
      </w:r>
    </w:p>
    <w:p>
      <w:pPr>
        <w:pStyle w:val="Normal"/>
        <w:spacing w:before="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fornecedor vencedor deverá apresentar a documentação exigida pela IMBEL/FI para fins de contratação.</w:t>
      </w:r>
    </w:p>
    <w:p>
      <w:pPr>
        <w:pStyle w:val="Normal"/>
        <w:spacing w:before="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IMBEL poderá solicitar esclarecimentos e/ou documentos complementares necessários à análise das propostas e à formalização da contratação.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 w:val="false"/>
        </w:rPr>
        <w:t>Itajubá/MG, 08 de outubro de 2026.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MILENE ALINE DA SILVA</w:t>
      </w:r>
    </w:p>
    <w:p>
      <w:pPr>
        <w:pStyle w:val="Normal"/>
        <w:spacing w:before="0" w:after="20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Auxiliar Técnico Administrativo</w:t>
      </w:r>
    </w:p>
    <w:sectPr>
      <w:type w:val="nextPage"/>
      <w:pgSz w:w="12240" w:h="15840"/>
      <w:pgMar w:left="1417" w:right="1417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Courier">
    <w:altName w:val="Courier New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76" w:before="0" w:after="200"/>
      <w:jc w:val="left"/>
    </w:pPr>
    <w:rPr>
      <w:rFonts w:ascii="Arial" w:hAnsi="Arial" w:eastAsia="ＭＳ 明朝" w:cs="" w:cstheme="minorBidi" w:eastAsiaTheme="minorEastAsia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uiPriority w:val="99"/>
    <w:qFormat/>
    <w:rsid w:val="00e618bf"/>
    <w:rPr/>
  </w:style>
  <w:style w:type="character" w:styleId="FooterChar" w:customStyle="1">
    <w:name w:val="Footer Char"/>
    <w:basedOn w:val="DefaultParagraphFont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lef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lef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lef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lef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left="1080"/>
      <w:contextualSpacing/>
    </w:pPr>
    <w:rPr/>
  </w:style>
  <w:style w:type="paragraph" w:styleId="macro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Ttulo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LibreOffice/24.2.7.2$Windows_X86_64 LibreOffice_project/ee3885777aa7032db5a9b65deec9457448a91162</Application>
  <AppVersion>15.0000</AppVersion>
  <Pages>2</Pages>
  <Words>403</Words>
  <Characters>2358</Characters>
  <CharactersWithSpaces>2711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pt-BR</dc:language>
  <cp:lastModifiedBy/>
  <dcterms:modified xsi:type="dcterms:W3CDTF">2026-10-08T08:45:12Z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