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Normal"/>
        <w:pBdr>
          <w:top w:val="double" w:sz="4" w:space="12" w:color="000000"/>
          <w:bottom w:val="double" w:sz="4" w:space="12" w:color="000000"/>
        </w:pBdr>
        <w:spacing w:lineRule="auto" w:line="240" w:before="0" w:after="120"/>
        <w:jc w:val="center"/>
        <w:rPr>
          <w:rFonts w:ascii="Arial" w:hAnsi="Arial" w:cs="Arial"/>
          <w:b/>
          <w:b/>
          <w:bCs/>
          <w:sz w:val="24"/>
          <w:szCs w:val="24"/>
          <w:lang w:eastAsia="pt-BR"/>
        </w:rPr>
      </w:pPr>
      <w:r>
        <w:rPr>
          <w:rFonts w:cs="Arial" w:ascii="Arial" w:hAnsi="Arial"/>
          <w:b/>
          <w:bCs/>
          <w:sz w:val="24"/>
          <w:szCs w:val="24"/>
          <w:lang w:eastAsia="pt-BR"/>
        </w:rPr>
        <w:t>PREGÃO ELETRÔNICO N. 90010/2024</w:t>
      </w:r>
      <w:r>
        <w:rPr>
          <w:rFonts w:cs="Arial" w:ascii="Arial" w:hAnsi="Arial"/>
          <w:b/>
          <w:bCs/>
          <w:color w:val="FF0000"/>
          <w:sz w:val="24"/>
          <w:szCs w:val="24"/>
          <w:lang w:eastAsia="pt-BR"/>
        </w:rPr>
        <w:t xml:space="preserve"> </w:t>
      </w:r>
    </w:p>
    <w:p>
      <w:pPr>
        <w:pStyle w:val="Normal"/>
        <w:pBdr>
          <w:top w:val="double" w:sz="4" w:space="12" w:color="000000"/>
          <w:bottom w:val="double" w:sz="4" w:space="12" w:color="000000"/>
        </w:pBdr>
        <w:spacing w:lineRule="auto" w:line="240" w:before="0" w:after="0"/>
        <w:jc w:val="center"/>
        <w:rPr>
          <w:rFonts w:ascii="Arial" w:hAnsi="Arial" w:cs="Arial"/>
          <w:sz w:val="24"/>
          <w:szCs w:val="24"/>
          <w:lang w:eastAsia="pt-BR"/>
        </w:rPr>
      </w:pPr>
      <w:r>
        <w:rPr>
          <w:rFonts w:cs="Arial" w:ascii="Arial" w:hAnsi="Arial"/>
          <w:sz w:val="24"/>
          <w:szCs w:val="24"/>
          <w:lang w:eastAsia="pt-BR"/>
        </w:rPr>
        <w:t>(Processo Administrativo n. 0002268-21.2024.4.03.8001)</w:t>
      </w:r>
    </w:p>
    <w:p>
      <w:pPr>
        <w:pStyle w:val="Normal"/>
        <w:spacing w:lineRule="auto" w:line="240" w:before="0" w:after="240"/>
        <w:ind w:left="120" w:right="120" w:hanging="0"/>
        <w:jc w:val="both"/>
        <w:rPr>
          <w:rFonts w:ascii="Arial" w:hAnsi="Arial" w:eastAsia="Times New Roman" w:cs="Arial"/>
          <w:color w:val="000000"/>
          <w:sz w:val="24"/>
          <w:szCs w:val="24"/>
          <w:lang w:eastAsia="pt-BR"/>
        </w:rPr>
      </w:pPr>
      <w:r>
        <w:rPr>
          <w:rFonts w:eastAsia="Times New Roman" w:cs="Arial" w:ascii="Arial" w:hAnsi="Arial"/>
          <w:color w:val="000000"/>
          <w:sz w:val="24"/>
          <w:szCs w:val="24"/>
          <w:lang w:eastAsia="pt-BR"/>
        </w:rPr>
      </w:r>
    </w:p>
    <w:p>
      <w:pPr>
        <w:pStyle w:val="Normal"/>
        <w:jc w:val="both"/>
        <w:rPr>
          <w:rFonts w:ascii="Arial" w:hAnsi="Arial" w:eastAsia="Times New Roman" w:cs="Arial"/>
          <w:color w:val="000000"/>
          <w:sz w:val="24"/>
          <w:szCs w:val="24"/>
          <w:lang w:eastAsia="pt-BR"/>
        </w:rPr>
      </w:pPr>
      <w:r>
        <w:rPr>
          <w:rFonts w:eastAsia="Times New Roman" w:cs="Arial" w:ascii="Arial" w:hAnsi="Arial"/>
          <w:color w:val="000000"/>
          <w:sz w:val="24"/>
          <w:szCs w:val="24"/>
          <w:lang w:eastAsia="pt-BR"/>
        </w:rPr>
        <w:t>Torna-se público que a JUSTIÇA FEDERAL DE 1º GRAU EM SÃO PAULO, por meio da</w:t>
      </w:r>
      <w:r>
        <w:rPr>
          <w:rFonts w:cs="Arial" w:ascii="Arial" w:hAnsi="Arial"/>
          <w:sz w:val="24"/>
          <w:szCs w:val="24"/>
        </w:rPr>
        <w:t xml:space="preserve"> </w:t>
      </w:r>
      <w:r>
        <w:rPr>
          <w:rFonts w:eastAsia="Times New Roman" w:cs="Arial" w:ascii="Arial" w:hAnsi="Arial"/>
          <w:color w:val="000000"/>
          <w:sz w:val="24"/>
          <w:szCs w:val="24"/>
          <w:lang w:eastAsia="pt-BR"/>
        </w:rPr>
        <w:t xml:space="preserve">Subsecretaria de Compras, Licitações e Contratos - UCOL, sediada na </w:t>
      </w:r>
      <w:r>
        <w:rPr>
          <w:rFonts w:eastAsia="Times New Roman" w:cs="Arial" w:ascii="Arial" w:hAnsi="Arial"/>
          <w:sz w:val="24"/>
          <w:szCs w:val="24"/>
          <w:lang w:eastAsia="pt-BR"/>
        </w:rPr>
        <w:t>Rua Peixoto Gomide n. 768 - Jardim Paulista – São Paulo - SP</w:t>
      </w:r>
      <w:r>
        <w:rPr>
          <w:rFonts w:eastAsia="Times New Roman" w:cs="Arial" w:ascii="Arial" w:hAnsi="Arial"/>
          <w:b/>
          <w:sz w:val="24"/>
          <w:szCs w:val="24"/>
          <w:lang w:eastAsia="pt-BR"/>
        </w:rPr>
        <w:t xml:space="preserve">, </w:t>
      </w:r>
      <w:r>
        <w:rPr>
          <w:rFonts w:eastAsia="Times New Roman" w:cs="Arial" w:ascii="Arial" w:hAnsi="Arial"/>
          <w:sz w:val="24"/>
          <w:szCs w:val="24"/>
          <w:lang w:eastAsia="pt-BR"/>
        </w:rPr>
        <w:t>CEP 01409-903</w:t>
      </w:r>
      <w:r>
        <w:rPr>
          <w:rFonts w:eastAsia="Times New Roman" w:cs="Arial" w:ascii="Arial" w:hAnsi="Arial"/>
          <w:color w:val="000000"/>
          <w:sz w:val="24"/>
          <w:szCs w:val="24"/>
          <w:lang w:eastAsia="pt-BR"/>
        </w:rPr>
        <w:t>, realizará licitação, na modalidade PREGÃO, na forma ELETRÔNICA, nos termos da Lei n. 14.133/2021, demais normas aplicáveis e, ainda, de acordo com as condições estabelecidas neste Edital.</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Valor total da contratação:</w:t>
      </w:r>
    </w:p>
    <w:p>
      <w:pPr>
        <w:pStyle w:val="Normal"/>
        <w:spacing w:lineRule="auto" w:line="240" w:before="0" w:after="240"/>
        <w:ind w:left="119" w:right="119"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R$ 78.198,00</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Data da sessão pública:</w:t>
      </w:r>
    </w:p>
    <w:p>
      <w:pPr>
        <w:pStyle w:val="Normal"/>
        <w:spacing w:lineRule="auto" w:line="240" w:before="0" w:after="240"/>
        <w:ind w:left="119" w:right="119"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Dia 05/07/2024, às 13h (horário de Brasília)</w:t>
      </w:r>
    </w:p>
    <w:p>
      <w:pPr>
        <w:pStyle w:val="Normal"/>
        <w:spacing w:lineRule="auto" w:line="240" w:before="0" w:after="24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 xml:space="preserve">Local: </w:t>
      </w:r>
      <w:r>
        <w:rPr>
          <w:rFonts w:eastAsia="Times New Roman" w:cs="Arial" w:ascii="Arial" w:hAnsi="Arial"/>
          <w:color w:val="000000"/>
          <w:sz w:val="24"/>
          <w:szCs w:val="24"/>
          <w:lang w:eastAsia="pt-BR"/>
        </w:rPr>
        <w:t xml:space="preserve">Portal de Compras do Governo Federal – </w:t>
      </w:r>
      <w:hyperlink r:id="rId2">
        <w:r>
          <w:rPr>
            <w:rStyle w:val="LinkdaInternet"/>
            <w:rFonts w:eastAsia="Times New Roman" w:cs="Arial" w:ascii="Arial" w:hAnsi="Arial"/>
            <w:sz w:val="24"/>
            <w:szCs w:val="24"/>
            <w:lang w:eastAsia="pt-BR"/>
          </w:rPr>
          <w:t>www.gov.br/compras/</w:t>
        </w:r>
      </w:hyperlink>
    </w:p>
    <w:p>
      <w:pPr>
        <w:pStyle w:val="Normal"/>
        <w:spacing w:lineRule="auto" w:line="240" w:before="0" w:after="240"/>
        <w:ind w:left="119" w:right="119" w:hanging="0"/>
        <w:jc w:val="both"/>
        <w:rPr>
          <w:rFonts w:ascii="Arial" w:hAnsi="Arial" w:eastAsia="Times New Roman" w:cs="Arial"/>
          <w:b/>
          <w:b/>
          <w:bCs/>
          <w:color w:val="000000"/>
          <w:sz w:val="24"/>
          <w:szCs w:val="24"/>
          <w:lang w:eastAsia="pt-BR"/>
        </w:rPr>
      </w:pPr>
      <w:r>
        <w:rPr>
          <w:rFonts w:eastAsia="Times New Roman" w:cs="Arial" w:ascii="Arial" w:hAnsi="Arial"/>
          <w:b/>
          <w:bCs/>
          <w:color w:val="000000"/>
          <w:sz w:val="24"/>
          <w:szCs w:val="24"/>
          <w:lang w:eastAsia="pt-BR"/>
        </w:rPr>
        <w:t xml:space="preserve">UASG: </w:t>
      </w:r>
      <w:r>
        <w:rPr>
          <w:rFonts w:eastAsia="Times New Roman" w:cs="Arial" w:ascii="Arial" w:hAnsi="Arial"/>
          <w:sz w:val="24"/>
          <w:szCs w:val="24"/>
          <w:lang w:eastAsia="pt-BR"/>
        </w:rPr>
        <w:t>090017</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Critério de julgamento:</w:t>
      </w:r>
    </w:p>
    <w:p>
      <w:pPr>
        <w:pStyle w:val="Normal"/>
        <w:spacing w:lineRule="auto" w:line="240" w:before="0" w:after="240"/>
        <w:ind w:left="119" w:right="119"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Menor preço</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Modo de disputa:</w:t>
      </w:r>
    </w:p>
    <w:p>
      <w:pPr>
        <w:pStyle w:val="Normal"/>
        <w:spacing w:lineRule="auto" w:line="240" w:before="0" w:after="240"/>
        <w:ind w:left="119" w:right="119"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Aberto</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Participação exclusiva ME/EPP/Equiparadas:</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w:t>
      </w:r>
    </w:p>
    <w:p>
      <w:pPr>
        <w:pStyle w:val="Normal"/>
        <w:tabs>
          <w:tab w:val="clear" w:pos="567"/>
          <w:tab w:val="left" w:pos="3480" w:leader="none"/>
        </w:tabs>
        <w:spacing w:lineRule="auto" w:line="240" w:before="0" w:after="240"/>
        <w:ind w:left="120" w:right="120" w:firstLine="447"/>
        <w:jc w:val="both"/>
        <w:rPr>
          <w:rFonts w:ascii="Arial" w:hAnsi="Arial" w:eastAsia="Times New Roman" w:cs="Arial"/>
          <w:sz w:val="24"/>
          <w:szCs w:val="24"/>
          <w:lang w:eastAsia="pt-BR"/>
        </w:rPr>
      </w:pPr>
      <w:r>
        <w:rPr>
          <w:rFonts w:eastAsia="Times New Roman" w:cs="Arial" w:ascii="Arial" w:hAnsi="Arial"/>
          <w:sz w:val="24"/>
          <w:szCs w:val="24"/>
          <w:lang w:eastAsia="pt-BR"/>
        </w:rPr>
        <w:tab/>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DO OBJETO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objeto da presente licitação é a escolha da proposta mais vantajosa para a prestação do serviço de conservação e manutenção mensal preventiva e corretiva em elevadores, com fornecimento de peças novas, conforme condições, quantidades e exigências estabelecidas neste Edital e seus anexos.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licitação será dividida em itens, conforme tabela constante do Termo de Referência, facultando-se ao licitante a participação em quantos itens forem de seu interesse.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O critério de julgamento adotado será o </w:t>
      </w:r>
      <w:r>
        <w:rPr>
          <w:rFonts w:eastAsia="Times New Roman" w:cs="Arial" w:ascii="Arial" w:hAnsi="Arial"/>
          <w:b/>
          <w:bCs/>
          <w:sz w:val="24"/>
          <w:szCs w:val="24"/>
          <w:lang w:eastAsia="pt-BR"/>
        </w:rPr>
        <w:t>menor preço</w:t>
      </w:r>
      <w:r>
        <w:rPr>
          <w:b/>
          <w:bCs/>
        </w:rPr>
        <w:t xml:space="preserve"> </w:t>
      </w:r>
      <w:r>
        <w:rPr>
          <w:rFonts w:eastAsia="Times New Roman" w:cs="Arial" w:ascii="Arial" w:hAnsi="Arial"/>
          <w:b/>
          <w:bCs/>
          <w:sz w:val="24"/>
          <w:szCs w:val="24"/>
          <w:lang w:eastAsia="pt-BR"/>
        </w:rPr>
        <w:t>do item</w:t>
      </w:r>
      <w:r>
        <w:rPr>
          <w:rFonts w:eastAsia="Times New Roman" w:cs="Arial" w:ascii="Arial" w:hAnsi="Arial"/>
          <w:sz w:val="24"/>
          <w:szCs w:val="24"/>
          <w:lang w:eastAsia="pt-BR"/>
        </w:rPr>
        <w:t>, observadas as exigências contidas neste Edital e seus Anexos quanto às especificações do objeto.</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 PARTICIPAÇÃO NA LICITAÇÃO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Poderão participar deste Pregão os interessados que estiverem previamente credenciados no Sistema de Cadastramento Unificado de Fornecedores - Sicaf e no Sistema de Compras do Governo Federal (</w:t>
      </w:r>
      <w:hyperlink r:id="rId3">
        <w:r>
          <w:rPr>
            <w:rStyle w:val="LinkdaInternet"/>
            <w:rFonts w:eastAsia="Times New Roman" w:cs="Arial" w:ascii="Arial" w:hAnsi="Arial"/>
            <w:sz w:val="24"/>
            <w:szCs w:val="24"/>
            <w:lang w:eastAsia="pt-BR"/>
          </w:rPr>
          <w:t>www.gov.br/compras</w:t>
        </w:r>
      </w:hyperlink>
      <w:r>
        <w:rPr>
          <w:rFonts w:eastAsia="Times New Roman" w:cs="Arial" w:ascii="Arial" w:hAnsi="Arial"/>
          <w:color w:val="000000"/>
          <w:sz w:val="24"/>
          <w:szCs w:val="24"/>
          <w:lang w:eastAsia="pt-BR"/>
        </w:rPr>
        <w:t>), por meio de Certificado Digital conferido pela Infraestrutura de Chaves Públicas Brasileira – ICP – Brasil.</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interessados deverão atender às condições exigidas no cadastramento no Sicaf até o terceiro dia útil anterior à data prevista para recebimento das propostas.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não observância do disposto no item anterior poderá ensejar desclassificação no momento da habilitação.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0" w:name="_Ref145317550"/>
      <w:r>
        <w:rPr>
          <w:rFonts w:eastAsia="Times New Roman" w:cs="Arial" w:ascii="Arial" w:hAnsi="Arial"/>
          <w:color w:val="000000"/>
          <w:sz w:val="24"/>
          <w:szCs w:val="24"/>
          <w:lang w:eastAsia="pt-BR"/>
        </w:rPr>
        <w:t>A obtenção dos benefícios da Lei Complementar n.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concedido tratamento favorecido para as microempresas e empresas de pequeno porte, para as sociedades cooperativas mencionadas no artigo 16 da Lei n. 14.133/2021, para o agricultor familiar, o produtor rural pessoa física e para o microempreendedor individual - MEI, caso permitida a participação, nos limites previstos da Lei Complementar n. 123/2006 e do Decreto n. 8.538/2015.</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1" w:name="_Ref145316959"/>
      <w:r>
        <w:rPr>
          <w:rFonts w:eastAsia="Times New Roman" w:cs="Arial" w:ascii="Arial" w:hAnsi="Arial"/>
          <w:color w:val="000000"/>
          <w:sz w:val="24"/>
          <w:szCs w:val="24"/>
          <w:lang w:eastAsia="pt-BR"/>
        </w:rPr>
        <w:t>Não poderão disputar esta licitação:</w:t>
      </w:r>
      <w:bookmarkEnd w:id="1"/>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aquele que não atenda às condições deste Edital e seu(s) anexo(s);</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bookmarkStart w:id="2" w:name="_Ref145274300"/>
      <w:r>
        <w:rPr>
          <w:rFonts w:eastAsia="Times New Roman" w:cs="Arial" w:ascii="Arial" w:hAnsi="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bookmarkStart w:id="3" w:name="_Ref145274321"/>
      <w:r>
        <w:rPr>
          <w:rFonts w:eastAsia="Times New Roman" w:cs="Arial" w:ascii="Arial" w:hAnsi="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bookmarkStart w:id="4" w:name="_Ref145274185"/>
      <w:r>
        <w:rPr>
          <w:rFonts w:eastAsia="Times New Roman" w:cs="Arial" w:ascii="Arial" w:hAnsi="Arial"/>
          <w:color w:val="000000"/>
          <w:sz w:val="24"/>
          <w:szCs w:val="24"/>
          <w:lang w:eastAsia="pt-BR"/>
        </w:rPr>
        <w:t>pessoa física ou jurídica que se encontre, ao tempo da licitação, impossibilitada de participar da licitação em decorrência de sanção que lhe foi imposta;</w:t>
      </w:r>
      <w:bookmarkEnd w:id="4"/>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empresas controladoras, controladas ou coligadas, nos termos da Lei n. 6.404, de 15 de dezembro de 1976, concorrendo entre si;</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bookmarkStart w:id="5" w:name="_Ref145275153"/>
      <w:r>
        <w:rPr>
          <w:rFonts w:eastAsia="Times New Roman" w:cs="Arial" w:ascii="Arial" w:hAnsi="Arial"/>
          <w:color w:val="000000"/>
          <w:sz w:val="24"/>
          <w:szCs w:val="24"/>
          <w:lang w:eastAsia="pt-BR"/>
        </w:rPr>
        <w:t>agente público do órgão ou entidade licitante;</w:t>
      </w:r>
      <w:bookmarkEnd w:id="5"/>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Organizações da Sociedade Civil de Interesse Público - OSCIP, atuando nessa condição;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6" w:name="_Ref145273734"/>
      <w:r>
        <w:rPr>
          <w:rFonts w:eastAsia="Times New Roman" w:cs="Arial" w:ascii="Arial" w:hAnsi="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 </w:t>
      </w:r>
      <w:r>
        <w:rPr>
          <w:rFonts w:eastAsia="Times New Roman" w:cs="Arial" w:ascii="Arial" w:hAnsi="Arial"/>
          <w:color w:val="000000"/>
          <w:sz w:val="24"/>
          <w:szCs w:val="24"/>
          <w:lang w:eastAsia="pt-BR"/>
        </w:rPr>
        <w:t xml:space="preserve">a vedação constante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_Ref145273734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2.7.10</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 14.133/2021.</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Pessoas físicas, conforme justificativa apresentada no Estudo Técnico Preliminar.</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impedimento de que trata 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_Ref145274185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2.7.4</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critério da Administração e exclusivamente a seu serviço, o autor dos projetos e a empresa a que se referem 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_Ref145274300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2.7.2</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_Ref145274321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2.7.3</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poderão participar no apoio das atividades de planejamento da contratação, de execução da licitação ou de gestão do contrato, desde que sob supervisão exclusiva de agentes públicos do órgão ou entidade.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Equiparam-se aos autores do projeto as empresas integrantes do mesmo grupo econômico.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disposto nos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_Ref145274300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2.7.2</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_Ref145274321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2.7.3</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 14.133/2021.</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vedação de que trata 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_Ref145275153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2.7.8</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Cooperativas não poderão disputar esta licitação, conforme justificativa apresentada no Estudo Técnico Preliminar.</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w:t>
      </w:r>
      <w:r>
        <w:rPr>
          <w:rFonts w:eastAsia="Times New Roman" w:cs="Arial" w:ascii="Arial" w:hAnsi="Arial"/>
          <w:sz w:val="24"/>
          <w:szCs w:val="24"/>
          <w:lang w:eastAsia="pt-BR"/>
        </w:rPr>
        <w:t xml:space="preserve"> permitida a participação de consórcio de empresas, serão observadas as seguintes condições, sem prejuízo do disposto no subitem </w:t>
      </w:r>
      <w:r>
        <w:rPr>
          <w:rFonts w:eastAsia="Times New Roman" w:cs="Arial" w:ascii="Arial" w:hAnsi="Arial"/>
          <w:color w:val="0000FF"/>
          <w:sz w:val="24"/>
          <w:szCs w:val="24"/>
          <w:highlight w:val="yellow"/>
          <w:u w:val="single"/>
          <w:lang w:eastAsia="pt-BR"/>
        </w:rPr>
        <w:fldChar w:fldCharType="begin"/>
      </w:r>
      <w:r>
        <w:rPr>
          <w:sz w:val="24"/>
          <w:u w:val="single"/>
          <w:szCs w:val="24"/>
          <w:highlight w:val="yellow"/>
          <w:rFonts w:eastAsia="Times New Roman" w:cs="Arial" w:ascii="Arial" w:hAnsi="Arial"/>
          <w:color w:val="0000FF"/>
          <w:lang w:eastAsia="pt-BR"/>
        </w:rPr>
        <w:instrText xml:space="preserve"> REF _Ref163728257 \r \h </w:instrText>
      </w:r>
      <w:r>
        <w:rPr>
          <w:sz w:val="24"/>
          <w:u w:val="single"/>
          <w:szCs w:val="24"/>
          <w:highlight w:val="yellow"/>
          <w:rFonts w:eastAsia="Times New Roman" w:cs="Arial" w:ascii="Arial" w:hAnsi="Arial"/>
          <w:color w:val="0000FF"/>
          <w:lang w:eastAsia="pt-BR"/>
        </w:rPr>
        <w:fldChar w:fldCharType="separate"/>
      </w:r>
      <w:r>
        <w:rPr>
          <w:sz w:val="24"/>
          <w:u w:val="single"/>
          <w:szCs w:val="24"/>
          <w:highlight w:val="yellow"/>
          <w:rFonts w:eastAsia="Times New Roman" w:cs="Arial" w:ascii="Arial" w:hAnsi="Arial"/>
          <w:color w:val="0000FF"/>
          <w:lang w:eastAsia="pt-BR"/>
        </w:rPr>
        <w:t>7.3</w:t>
      </w:r>
      <w:r>
        <w:rPr>
          <w:sz w:val="24"/>
          <w:u w:val="single"/>
          <w:szCs w:val="24"/>
          <w:highlight w:val="yellow"/>
          <w:rFonts w:eastAsia="Times New Roman" w:cs="Arial" w:ascii="Arial" w:hAnsi="Arial"/>
          <w:color w:val="0000FF"/>
          <w:lang w:eastAsia="pt-BR"/>
        </w:rPr>
        <w:fldChar w:fldCharType="end"/>
      </w:r>
      <w:r>
        <w:rPr>
          <w:rFonts w:eastAsia="Times New Roman" w:cs="Arial" w:ascii="Arial" w:hAnsi="Arial"/>
          <w:sz w:val="24"/>
          <w:szCs w:val="24"/>
          <w:lang w:eastAsia="pt-BR"/>
        </w:rPr>
        <w:t xml:space="preserve"> e do </w:t>
      </w:r>
      <w:hyperlink w:anchor="Anexo_II">
        <w:r>
          <w:rPr>
            <w:rStyle w:val="LinkdaInternet"/>
            <w:rFonts w:eastAsia="Times New Roman" w:cs="Arial" w:ascii="Arial" w:hAnsi="Arial"/>
            <w:sz w:val="24"/>
            <w:szCs w:val="24"/>
            <w:lang w:eastAsia="pt-BR"/>
          </w:rPr>
          <w:t>Anexo II</w:t>
        </w:r>
      </w:hyperlink>
      <w:r>
        <w:rPr>
          <w:rFonts w:eastAsia="Times New Roman" w:cs="Arial" w:ascii="Arial" w:hAnsi="Arial"/>
          <w:sz w:val="24"/>
          <w:szCs w:val="24"/>
          <w:lang w:eastAsia="pt-BR"/>
        </w:rPr>
        <w:t xml:space="preserve"> do Edital – Documentação exigida para habilitação:</w:t>
      </w:r>
    </w:p>
    <w:p>
      <w:pPr>
        <w:pStyle w:val="ListParagraph"/>
        <w:numPr>
          <w:ilvl w:val="2"/>
          <w:numId w:val="1"/>
        </w:numPr>
        <w:tabs>
          <w:tab w:val="clear" w:pos="567"/>
          <w:tab w:val="left" w:pos="1418" w:leader="none"/>
        </w:tabs>
        <w:spacing w:lineRule="auto" w:line="240" w:before="0" w:after="240"/>
        <w:ind w:left="567" w:hanging="0"/>
        <w:contextualSpacing w:val="false"/>
        <w:jc w:val="both"/>
        <w:rPr>
          <w:rFonts w:ascii="Arial" w:hAnsi="Arial" w:eastAsia="Times New Roman" w:cs="Arial"/>
          <w:sz w:val="24"/>
          <w:szCs w:val="24"/>
          <w:lang w:eastAsia="pt-BR"/>
        </w:rPr>
      </w:pPr>
      <w:bookmarkStart w:id="7" w:name="_Ref163578618"/>
      <w:r>
        <w:rPr>
          <w:rFonts w:eastAsia="Times New Roman" w:cs="Arial" w:ascii="Arial" w:hAnsi="Arial"/>
          <w:sz w:val="24"/>
          <w:szCs w:val="24"/>
          <w:lang w:eastAsia="pt-BR"/>
        </w:rPr>
        <w:t xml:space="preserve">Comprovação de compromisso público ou particular de constituição de consórcio, </w:t>
      </w:r>
      <w:r>
        <w:rPr>
          <w:rFonts w:eastAsia="Times New Roman" w:cs="Arial" w:ascii="Arial" w:hAnsi="Arial"/>
          <w:color w:val="000000"/>
          <w:sz w:val="24"/>
          <w:szCs w:val="24"/>
          <w:lang w:eastAsia="pt-BR"/>
        </w:rPr>
        <w:t>subscrito</w:t>
      </w:r>
      <w:r>
        <w:rPr>
          <w:rFonts w:eastAsia="Times New Roman" w:cs="Arial" w:ascii="Arial" w:hAnsi="Arial"/>
          <w:sz w:val="24"/>
          <w:szCs w:val="24"/>
          <w:lang w:eastAsia="pt-BR"/>
        </w:rPr>
        <w:t xml:space="preserve"> pelos consorciados.</w:t>
      </w:r>
      <w:bookmarkEnd w:id="7"/>
    </w:p>
    <w:p>
      <w:pPr>
        <w:pStyle w:val="ListParagraph"/>
        <w:numPr>
          <w:ilvl w:val="2"/>
          <w:numId w:val="1"/>
        </w:numPr>
        <w:tabs>
          <w:tab w:val="clear" w:pos="567"/>
          <w:tab w:val="left" w:pos="1418"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Indicação da empresa líder do consórcio, que será responsável por sua representação perante a Administração.</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Deverão ser observadas as </w:t>
      </w:r>
      <w:r>
        <w:rPr>
          <w:rFonts w:eastAsia="Times New Roman" w:cs="Arial" w:ascii="Arial" w:hAnsi="Arial"/>
          <w:color w:val="000000"/>
          <w:sz w:val="24"/>
          <w:szCs w:val="24"/>
          <w:lang w:eastAsia="pt-BR"/>
        </w:rPr>
        <w:t>seguintes</w:t>
      </w:r>
      <w:r>
        <w:rPr>
          <w:rFonts w:eastAsia="Times New Roman" w:cs="Arial" w:ascii="Arial" w:hAnsi="Arial"/>
          <w:sz w:val="24"/>
          <w:szCs w:val="24"/>
          <w:lang w:eastAsia="pt-BR"/>
        </w:rPr>
        <w:t xml:space="preserve"> condições de liderança:</w:t>
      </w:r>
    </w:p>
    <w:p>
      <w:pPr>
        <w:pStyle w:val="Normal"/>
        <w:spacing w:lineRule="auto" w:line="240" w:before="0" w:after="240"/>
        <w:ind w:left="1134" w:hanging="0"/>
        <w:jc w:val="both"/>
        <w:rPr>
          <w:rFonts w:ascii="Arial" w:hAnsi="Arial" w:eastAsia="Times New Roman" w:cs="Arial"/>
          <w:sz w:val="24"/>
          <w:szCs w:val="24"/>
          <w:lang w:eastAsia="pt-BR"/>
        </w:rPr>
      </w:pPr>
      <w:r>
        <w:rPr>
          <w:rFonts w:eastAsia="Times New Roman" w:cs="Arial" w:ascii="Arial" w:hAnsi="Arial"/>
          <w:sz w:val="24"/>
          <w:szCs w:val="24"/>
          <w:lang w:eastAsia="pt-BR"/>
        </w:rPr>
        <w:t>a) responsabilizar-se por todas as comunicações e informações do consórcio perante o contratante;</w:t>
      </w:r>
    </w:p>
    <w:p>
      <w:pPr>
        <w:pStyle w:val="Normal"/>
        <w:spacing w:lineRule="auto" w:line="240" w:before="0" w:after="240"/>
        <w:ind w:left="1134" w:hanging="0"/>
        <w:jc w:val="both"/>
        <w:rPr>
          <w:rFonts w:ascii="Arial" w:hAnsi="Arial" w:eastAsia="Times New Roman" w:cs="Arial"/>
          <w:sz w:val="24"/>
          <w:szCs w:val="24"/>
          <w:lang w:eastAsia="pt-BR"/>
        </w:rPr>
      </w:pPr>
      <w:r>
        <w:rPr>
          <w:rFonts w:eastAsia="Times New Roman" w:cs="Arial" w:ascii="Arial" w:hAnsi="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pPr>
        <w:pStyle w:val="Normal"/>
        <w:spacing w:lineRule="auto" w:line="240" w:before="0" w:after="240"/>
        <w:ind w:left="1134" w:hanging="0"/>
        <w:jc w:val="both"/>
        <w:rPr>
          <w:rFonts w:ascii="Arial" w:hAnsi="Arial" w:eastAsia="Times New Roman" w:cs="Arial"/>
          <w:sz w:val="24"/>
          <w:szCs w:val="24"/>
          <w:lang w:eastAsia="pt-BR"/>
        </w:rPr>
      </w:pPr>
      <w:r>
        <w:rPr>
          <w:rFonts w:eastAsia="Times New Roman" w:cs="Arial" w:ascii="Arial" w:hAnsi="Arial"/>
          <w:sz w:val="24"/>
          <w:szCs w:val="24"/>
          <w:lang w:eastAsia="pt-BR"/>
        </w:rPr>
        <w:t>c) ter poderes expressos para receber citação e responder administrativa e judicialmente pelo consórcio;</w:t>
      </w:r>
    </w:p>
    <w:p>
      <w:pPr>
        <w:pStyle w:val="Normal"/>
        <w:spacing w:lineRule="auto" w:line="240" w:before="0" w:after="240"/>
        <w:ind w:left="1134" w:hanging="0"/>
        <w:jc w:val="both"/>
        <w:rPr>
          <w:rFonts w:ascii="Arial" w:hAnsi="Arial" w:eastAsia="Times New Roman" w:cs="Arial"/>
          <w:sz w:val="24"/>
          <w:szCs w:val="24"/>
          <w:lang w:eastAsia="pt-BR"/>
        </w:rPr>
      </w:pPr>
      <w:r>
        <w:rPr>
          <w:rFonts w:eastAsia="Times New Roman" w:cs="Arial" w:ascii="Arial" w:hAnsi="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pPr>
        <w:pStyle w:val="ListParagraph"/>
        <w:numPr>
          <w:ilvl w:val="2"/>
          <w:numId w:val="1"/>
        </w:numPr>
        <w:tabs>
          <w:tab w:val="clear" w:pos="567"/>
          <w:tab w:val="left" w:pos="1418"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Impedimento de a empresa consorciada participar, na mesma licitação, de mais de um consórcio ou de forma isolada.</w:t>
      </w:r>
    </w:p>
    <w:p>
      <w:pPr>
        <w:pStyle w:val="ListParagraph"/>
        <w:numPr>
          <w:ilvl w:val="2"/>
          <w:numId w:val="1"/>
        </w:numPr>
        <w:tabs>
          <w:tab w:val="clear" w:pos="567"/>
          <w:tab w:val="left" w:pos="1418"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Responsabilidade solidária dos integrantes pelos atos praticados em consórcio, tanto na fase de licitação quanto na de execução do contrato.</w:t>
      </w:r>
    </w:p>
    <w:p>
      <w:pPr>
        <w:pStyle w:val="ListParagraph"/>
        <w:numPr>
          <w:ilvl w:val="2"/>
          <w:numId w:val="1"/>
        </w:numPr>
        <w:tabs>
          <w:tab w:val="clear" w:pos="567"/>
          <w:tab w:val="left" w:pos="1418"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Constituição e registro do consórcio antes da celebração do contrato nos termos do compromisso referido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_Ref163578618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2.15.1</w:t>
      </w:r>
      <w:r>
        <w:rPr>
          <w:sz w:val="24"/>
          <w:u w:val="single"/>
          <w:szCs w:val="24"/>
          <w:rFonts w:eastAsia="Times New Roman" w:cs="Arial" w:ascii="Arial" w:hAnsi="Arial"/>
          <w:color w:val="0000FF"/>
          <w:lang w:eastAsia="pt-BR"/>
        </w:rPr>
        <w:fldChar w:fldCharType="end"/>
      </w:r>
      <w:r>
        <w:rPr>
          <w:rFonts w:eastAsia="Times New Roman" w:cs="Arial" w:ascii="Arial" w:hAnsi="Arial"/>
          <w:sz w:val="24"/>
          <w:szCs w:val="24"/>
          <w:lang w:eastAsia="pt-BR"/>
        </w:rPr>
        <w:t>.</w:t>
      </w:r>
    </w:p>
    <w:p>
      <w:pPr>
        <w:pStyle w:val="ListParagraph"/>
        <w:tabs>
          <w:tab w:val="clear" w:pos="567"/>
          <w:tab w:val="left" w:pos="1418"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 APRESENTAÇÃO DA PROPOSTA E DOS DOCUMENTOS DE HABILITAÇÃO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presente licitação, a fase de habilitação sucederá as fases de apresentação de propostas e lances e de julgamento.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bookmarkStart w:id="8" w:name="_Ref145278433"/>
      <w:r>
        <w:rPr>
          <w:rFonts w:eastAsia="Times New Roman" w:cs="Arial" w:ascii="Arial" w:hAnsi="Arial"/>
          <w:color w:val="000000"/>
          <w:sz w:val="24"/>
          <w:szCs w:val="24"/>
          <w:lang w:eastAsia="pt-BR"/>
        </w:rPr>
        <w:t>No cadastramento da proposta inicial, o licitante declarará, em campo próprio do sistema, que:</w:t>
      </w:r>
      <w:bookmarkEnd w:id="8"/>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e que cumpre os requisitos de habilitação definidos no instrumento convocatório;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9" w:name="_Ref163724546"/>
      <w:r>
        <w:rPr>
          <w:rFonts w:eastAsia="Times New Roman" w:cs="Arial" w:ascii="Arial" w:hAnsi="Arial"/>
          <w:color w:val="000000"/>
          <w:sz w:val="24"/>
          <w:szCs w:val="24"/>
          <w:lang w:eastAsia="pt-BR"/>
        </w:rPr>
        <w:t>não emprega menor de 18 anos em trabalho noturno, perigoso ou insalubre e não emprega menor de 16 anos, salvo menor, a partir de 14 anos, na condição de aprendiz, nos termos do artigo 7°, XXXIII, da Constituição;</w:t>
      </w:r>
      <w:bookmarkEnd w:id="9"/>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possui empregados executando trabalho degradante ou forçado, observando o disposto nos incisos III e IV do art. 1º e no inciso III do art. 5º da Constituição Federal;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cumpre as exigências de reserva de cargos para pessoa com deficiência e para reabilitado da Previdência Social, previstas em lei e em outras normas específicas.</w:t>
      </w:r>
    </w:p>
    <w:p>
      <w:pPr>
        <w:pStyle w:val="ListParagraph"/>
        <w:numPr>
          <w:ilvl w:val="1"/>
          <w:numId w:val="1"/>
        </w:numPr>
        <w:spacing w:lineRule="auto" w:line="240" w:before="0" w:after="240"/>
        <w:ind w:left="0" w:right="120" w:hanging="0"/>
        <w:contextualSpacing/>
        <w:jc w:val="both"/>
        <w:rPr>
          <w:rFonts w:ascii="Arial" w:hAnsi="Arial" w:eastAsia="Times New Roman" w:cs="Arial"/>
          <w:sz w:val="24"/>
          <w:szCs w:val="24"/>
          <w:lang w:eastAsia="pt-BR"/>
        </w:rPr>
      </w:pPr>
      <w:bookmarkStart w:id="10" w:name="_Ref145278466"/>
      <w:r>
        <w:rPr>
          <w:rFonts w:eastAsia="Times New Roman" w:cs="Arial" w:ascii="Arial" w:hAnsi="Arial"/>
          <w:color w:val="000000" w:themeColor="text1"/>
          <w:sz w:val="24"/>
          <w:szCs w:val="24"/>
          <w:lang w:eastAsia="pt-BR"/>
        </w:rPr>
        <w:t>O fornecedor enquadrado como microempresa ou empresa de pequeno porte deverá declarar, ainda, em campo próprio do sistema eletrônico, que cumpre os requisitos estabelecidos no artigo 3° da Lei Complementar n. 123/2006, estando apto a usufruir do tratamento favorecido estabelecido em seus arts. 42 a 49, observado o disposto nos §§ 1º ao 3º do art. 4º, da Lei n. 14.133/2021.</w:t>
      </w:r>
      <w:bookmarkEnd w:id="10"/>
    </w:p>
    <w:p>
      <w:pPr>
        <w:pStyle w:val="ListParagraph"/>
        <w:spacing w:lineRule="auto" w:line="240" w:before="0" w:after="240"/>
        <w:ind w:left="0" w:right="120" w:hanging="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no(s) item(ns) em que a participação não for exclusiva para microempresas e empresas de pequeno porte, a assinalação do campo “não” apenas produzirá o efeito de o licitante não ter direito ao tratamento favorecido previsto na Lei Complementar n. 123/2006, mesmo que microempresa ou empresa de pequeno porte.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falsidade da declaração de que trata 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_Ref145278433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3.3</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ou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_Ref145278466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3.4</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sujeitará o licitante às sanções previstas na Lei n. 14.133/2021 e neste Edital.</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Serão disponibilizados para acesso público os documentos que compõem a proposta dos licitantes convocados para apresentação de propostas, após a fase de envio de lances.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bookmarkStart w:id="11" w:name="_Ref145327045"/>
      <w:r>
        <w:rPr>
          <w:rFonts w:eastAsia="Times New Roman" w:cs="Arial" w:ascii="Arial" w:hAnsi="Arial"/>
          <w:color w:val="000000"/>
          <w:sz w:val="24"/>
          <w:szCs w:val="24"/>
          <w:lang w:eastAsia="pt-BR"/>
        </w:rPr>
        <w:t>Desde que disponibilizada a funcionalidade no sistema, o licitante poderá parametrizar o seu valor final mínimo ou o seu percentual de desconto final máximo quando do cadastramento da proposta e obedecerá às seguintes regras:</w:t>
      </w:r>
      <w:bookmarkEnd w:id="11"/>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aplicação do intervalo mínimo de diferença de valores ou de percentuais entre os lances, que incidirá tanto em relação aos lances intermediários quanto em relação ao lance que cobrir a melhor oferta; 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lances serão de envio automático pelo sistema, respeitado o valor final mínimo estabelecido e o intervalo de que trata o subitem acima.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valor final mínimo ou o percentual de desconto final máximo parametrizado no sistema poderá ser alterado pelo fornecedor durante a fase de disputa, sendo vedado: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valor superior a lance já registrado pelo fornecedor no sistema, quando adotado o critério de julgamento por menor preço; 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percentual de desconto inferior a lance já registrado pelo fornecedor no sistema, quando adotado o critério de julgamento por maior desconto.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valor final mínimo ou o percentual de desconto final máximo parametrizado na forma do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_Ref145327045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3.9</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deverá comunicar imediatamente ao provedor do sistema qualquer acontecimento que possa comprometer o sigilo ou a segurança, para imediato bloqueio de acesso.</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DO PREENCHIMENTO DA PROPOSTA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deverá enviar sua proposta mediante o preenchimento, no sistema eletrônico, dos seguintes campos: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b/>
          <w:bCs/>
          <w:sz w:val="24"/>
          <w:szCs w:val="24"/>
          <w:lang w:eastAsia="pt-BR"/>
        </w:rPr>
        <w:t>Valor total do item</w:t>
      </w:r>
      <w:r>
        <w:rPr>
          <w:rFonts w:eastAsia="Times New Roman" w:cs="Arial" w:ascii="Arial" w:hAnsi="Arial"/>
          <w:sz w:val="24"/>
          <w:szCs w:val="24"/>
          <w:lang w:eastAsia="pt-BR"/>
        </w:rPr>
        <w:t>;</w:t>
      </w:r>
    </w:p>
    <w:p>
      <w:pPr>
        <w:pStyle w:val="Normal"/>
        <w:spacing w:lineRule="auto" w:line="240" w:before="0" w:after="240"/>
        <w:ind w:left="567" w:right="120" w:hanging="0"/>
        <w:jc w:val="both"/>
        <w:rPr>
          <w:rFonts w:ascii="Arial" w:hAnsi="Arial" w:eastAsia="Times New Roman" w:cs="Arial"/>
          <w:sz w:val="24"/>
          <w:szCs w:val="24"/>
          <w:lang w:eastAsia="pt-BR"/>
        </w:rPr>
      </w:pPr>
      <w:r>
        <w:rPr>
          <w:rFonts w:eastAsia="Times New Roman" w:cs="Arial" w:ascii="Arial" w:hAnsi="Arial"/>
          <w:b/>
          <w:bCs/>
          <w:sz w:val="24"/>
          <w:szCs w:val="24"/>
          <w:lang w:eastAsia="pt-BR"/>
        </w:rPr>
        <w:t>Observação</w:t>
      </w:r>
      <w:r>
        <w:rPr>
          <w:rFonts w:eastAsia="Times New Roman" w:cs="Arial" w:ascii="Arial" w:hAnsi="Arial"/>
          <w:sz w:val="24"/>
          <w:szCs w:val="24"/>
          <w:lang w:eastAsia="pt-BR"/>
        </w:rPr>
        <w:t>: Para a correta operacionalização do sistema Compras.gov.br, o licitante, ao formular sua proposta no sistema, deverá preencher o valor unitário idêntico ao valor total do item (assim considerado o preço final de cada item obtido a partir do preenchimento da planilha do Anexo III), em razão da natureza do objeto licitado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Descrição do objeto, contendo as informações similares à especificação do Termo de Referência;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Todas as especificações do objeto contidas na proposta vinculam o licitante.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Independentemente do percentual de tributo inserido na planilha, no pagamento serão retidos na fonte os percentuais estabelecidos na legislação vigente.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presente licitação, a Microempresa e a Empresa de Pequeno Porte poderão se beneficiar do regime de tributação pelo Simples Nacional.</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 e, quando for o caso, fornecer os materiais, equipamentos, ferramentas e utensílios necessários, em quantidades e qualidades adequadas à perfeita execução contratual, promovendo, quando requerido, sua substituição.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prazo de validade da proposta não será inferior a </w:t>
      </w:r>
      <w:r>
        <w:rPr>
          <w:rFonts w:eastAsia="Times New Roman" w:cs="Arial" w:ascii="Arial" w:hAnsi="Arial"/>
          <w:b/>
          <w:bCs/>
          <w:color w:val="000000"/>
          <w:sz w:val="24"/>
          <w:szCs w:val="24"/>
          <w:u w:val="single"/>
          <w:lang w:eastAsia="pt-BR"/>
        </w:rPr>
        <w:t>60 (sessenta) dias</w:t>
      </w:r>
      <w:r>
        <w:rPr>
          <w:rFonts w:eastAsia="Times New Roman" w:cs="Arial" w:ascii="Arial" w:hAnsi="Arial"/>
          <w:color w:val="000000"/>
          <w:sz w:val="24"/>
          <w:szCs w:val="24"/>
          <w:lang w:eastAsia="pt-BR"/>
        </w:rPr>
        <w:t>, a contar da data limite para sua apresentação.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bookmarkStart w:id="12" w:name="_Ref145278980"/>
      <w:r>
        <w:rPr>
          <w:rFonts w:eastAsia="Times New Roman" w:cs="Arial" w:ascii="Arial" w:hAnsi="Arial"/>
          <w:color w:val="000000"/>
          <w:sz w:val="24"/>
          <w:szCs w:val="24"/>
          <w:lang w:eastAsia="pt-BR"/>
        </w:rPr>
        <w:t>Os licitantes devem respeitar os preços máximos estabelecidos nas normas de regência de contratações públicas federais, quando participarem de licitações públicas.</w:t>
      </w:r>
      <w:bookmarkEnd w:id="12"/>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Caso o critério de julgamento seja o de maior desconto, o preço já decorrente da aplicação do desconto ofertado deverá respeitar os preços máximos conforme previsto no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_Ref145278980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4.10</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ormal"/>
        <w:spacing w:lineRule="auto" w:line="240" w:before="0" w:after="240"/>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sz w:val="24"/>
          <w:szCs w:val="24"/>
          <w:lang w:eastAsia="pt-BR"/>
        </w:rPr>
        <w:t>DA ABERTURA DA SESSÃO, CLASSIFICAÇÃO DAS PROPOSTAS E FORMULAÇÃO DE LANCES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abertura da presente licitação dar-se-á automaticamente em sessão pública, por meio de sistema eletrônico, na data, horário e local indicados neste Edital.</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Os licitantes poderão retirar ou substituir a proposta ou os documentos de habilitação, quando for o caso, anteriormente inseridos no sistema, até a abertura da sessão pública.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sistema disponibilizará campo próprio para troca de mensagens entre o Pregoeiro e os licitantes.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O lance deverá ser ofertado pelo </w:t>
      </w:r>
      <w:r>
        <w:rPr>
          <w:rFonts w:eastAsia="Times New Roman" w:cs="Arial" w:ascii="Arial" w:hAnsi="Arial"/>
          <w:b/>
          <w:bCs/>
          <w:sz w:val="24"/>
          <w:szCs w:val="24"/>
          <w:lang w:eastAsia="pt-BR"/>
        </w:rPr>
        <w:t>valor total do item</w:t>
      </w:r>
      <w:r>
        <w:rPr>
          <w:rFonts w:eastAsia="Times New Roman" w:cs="Arial" w:ascii="Arial" w:hAnsi="Arial"/>
          <w:sz w:val="24"/>
          <w:szCs w:val="24"/>
          <w:lang w:eastAsia="pt-BR"/>
        </w:rPr>
        <w:t>.</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Os licitantes poderão oferecer lances sucessivos, observando o horário fixado para abertura da sessão e as regras estabelecidas no Edital.</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licitante somente poderá oferecer lance de valor inferior ou percentual de desconto superior ao último por ele ofertado e registrado pelo sistema, observado o intervalo mínimo de diferença de valores ou de percentuais entre os lances.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O intervalo mínimo de diferença de valores ou de percentuais entre os lances, que incidirá tanto em relação aos lances intermediários quanto em relação à proposta que cobrir a melhor oferta deverá ser de </w:t>
      </w:r>
      <w:r>
        <w:rPr>
          <w:rFonts w:eastAsia="Times New Roman" w:cs="Arial" w:ascii="Arial" w:hAnsi="Arial"/>
          <w:b/>
          <w:bCs/>
          <w:sz w:val="24"/>
          <w:szCs w:val="24"/>
          <w:lang w:eastAsia="pt-BR"/>
        </w:rPr>
        <w:t>R$ 200,00 (duzentos reais)</w:t>
      </w:r>
      <w:r>
        <w:rPr>
          <w:rFonts w:eastAsia="Times New Roman" w:cs="Arial" w:ascii="Arial" w:hAnsi="Arial"/>
          <w:sz w:val="24"/>
          <w:szCs w:val="24"/>
          <w:lang w:eastAsia="pt-BR"/>
        </w:rPr>
        <w:t xml:space="preserve"> para cada um dos itens 1 e 2.</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licitante poderá, uma única vez, excluir seu último lance ofertado, no intervalo de quinze segundos após o registro no sistema, na hipótese de lance inconsistente ou inexequível.</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hyperlink r:id="rId4">
        <w:r>
          <w:rPr>
            <w:rStyle w:val="LinkdaInternet"/>
            <w:rFonts w:eastAsia="Times New Roman" w:cs="Arial" w:ascii="Arial" w:hAnsi="Arial"/>
            <w:sz w:val="24"/>
            <w:szCs w:val="24"/>
            <w:lang w:eastAsia="pt-BR"/>
          </w:rPr>
          <w:t>Instrução Normativa SEGES n. 73/2022</w:t>
        </w:r>
      </w:hyperlink>
      <w:r>
        <w:rPr>
          <w:rFonts w:eastAsia="Times New Roman" w:cs="Arial" w:ascii="Arial" w:hAnsi="Arial"/>
          <w:sz w:val="24"/>
          <w:szCs w:val="24"/>
          <w:lang w:eastAsia="pt-BR"/>
        </w:rPr>
        <w:t>).</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Eventual</w:t>
      </w:r>
      <w:r>
        <w:rPr>
          <w:rFonts w:eastAsia="Times New Roman" w:cs="Arial" w:ascii="Arial" w:hAnsi="Arial"/>
          <w:sz w:val="24"/>
          <w:szCs w:val="24"/>
          <w:lang w:eastAsia="pt-BR"/>
        </w:rPr>
        <w:t xml:space="preserve"> exclusão de proposta do licitante, de que trata o subitem anterior, implica a retirada do licitante do certame, sem prejuízo do direito de defesa.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procedimento seguirá de acordo com o modo de disputa adotado.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Neste pregão eletrônico, foi adotado o modo de disputa “aberto”, em que os licitantes apresentarão lances públicos e sucessivos, com prorrogações, conforme o critério de julgamento adotado neste Edital.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Não havendo novos lances na forma estabelecida nos itens anteriores, a sessão pública encerrar-se-á automaticamente, e o sistema ordenará e divulgará os lances conforme a ordem final de classificação.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Após o reinício previsto no item supra, os licitantes serão convocados para apresentar lances intermediários.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13" w:name="_Ref145279182"/>
      <w:r>
        <w:rPr>
          <w:rFonts w:eastAsia="Times New Roman" w:cs="Arial" w:ascii="Arial" w:hAnsi="Arial"/>
          <w:sz w:val="24"/>
          <w:szCs w:val="24"/>
          <w:lang w:eastAsia="pt-BR"/>
        </w:rPr>
        <w:t>Encerrados os prazos estabelecidos nos itens anteriores, o sistema ordenará e divulgará os lances segundo a ordem crescente de valores quando adotado o critério de julgamento por menor preço ou na ordem decrescente, quando adotado o critério de julgamento por maior desconto.</w:t>
      </w:r>
      <w:bookmarkEnd w:id="13"/>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Após o término dos prazos estabelecidos nos subitens anteriores, o sistema ordenará e divulgará os lances conforme disposto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_Ref145279182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5.12.6</w:t>
      </w:r>
      <w:r>
        <w:rPr>
          <w:sz w:val="24"/>
          <w:u w:val="single"/>
          <w:szCs w:val="24"/>
          <w:rFonts w:eastAsia="Times New Roman" w:cs="Arial" w:ascii="Arial" w:hAnsi="Arial"/>
          <w:color w:val="0000FF"/>
          <w:lang w:eastAsia="pt-BR"/>
        </w:rPr>
        <w:fldChar w:fldCharType="end"/>
      </w:r>
      <w:r>
        <w:rPr>
          <w:rFonts w:eastAsia="Times New Roman" w:cs="Arial" w:ascii="Arial" w:hAnsi="Arial"/>
          <w:sz w:val="24"/>
          <w:szCs w:val="24"/>
          <w:lang w:eastAsia="pt-BR"/>
        </w:rPr>
        <w:t>.</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Não serão aceitos dois ou mais lances de mesmo valor, prevalecendo aquele que for recebido e registrado em primeiro lugar.</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Durante o transcurso da sessão pública, os licitantes serão informados, em tempo real, do valor do menor lance registrado, vedada a identificação do licitante.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No caso de desconexão com o Pregoeiro, no decorrer da etapa competitiva do pregão, o sistema eletrônico poderá permanecer acessível aos licitantes para a recepção dos lances.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o licitante não apresente lances, concorrerá com o valor de sua proposta.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 relação a itens não exclusivos para participação de microempresas e empresas de pequeno porte, uma vez encerrada a fase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 123/2006, regulamentada pelo Decreto n. 8.538/2015.</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Nessas condições, as propostas de microempresas e empresas de pequeno porte que se encontrarem na faixa de até 5% (cinco por cento) acima da melhor proposta ou melhor lance serão consideradas empatadas com a primeira colocada.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Só poderá haver empate entre propostas iguais (não seguidas de lances), ou entre lances finais da fase fechada do modo de disputa aberto e fechado.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Havendo eventual empate entre propostas ou lances, o critério de desempate será aquele previsto no art. 60 da Lei n. 14.133/2021, nesta ordem:</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w:t>
      </w:r>
      <w:r>
        <w:rPr>
          <w:rFonts w:eastAsia="Times New Roman" w:cs="Arial" w:ascii="Arial" w:hAnsi="Arial"/>
          <w:color w:val="000000"/>
          <w:sz w:val="24"/>
          <w:szCs w:val="24"/>
          <w:lang w:eastAsia="pt-BR"/>
        </w:rPr>
        <w:t>isputa</w:t>
      </w:r>
      <w:r>
        <w:rPr>
          <w:rFonts w:eastAsia="Times New Roman" w:cs="Arial" w:ascii="Arial" w:hAnsi="Arial"/>
          <w:sz w:val="24"/>
          <w:szCs w:val="24"/>
          <w:lang w:eastAsia="pt-BR"/>
        </w:rPr>
        <w:t xml:space="preserve"> final, hipótese em que os licitantes empatados poderão apresentar nova proposta em ato contínuo à classificação;</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avaliação do desempenho contratual prévio dos licitantes, para a qual deverão preferencialmente ser utilizados registros cadastrais para efeito de atesto de cumprimento de obrigações previstos na Lei n. 14.133/2021;</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desenvolvimento pelo licitante de ações de equidade entre homens e mulheres no ambiente de trabalho, conforme disposto no art. 8º da Resolução n. 497, de 14 de abril de 2023, do Conselho Nacional de Justiça - CNJ.</w:t>
      </w:r>
    </w:p>
    <w:p>
      <w:pPr>
        <w:pStyle w:val="ListParagraph"/>
        <w:numPr>
          <w:ilvl w:val="4"/>
          <w:numId w:val="1"/>
        </w:numPr>
        <w:tabs>
          <w:tab w:val="clear" w:pos="567"/>
          <w:tab w:val="left" w:pos="2552" w:leader="none"/>
        </w:tabs>
        <w:spacing w:lineRule="auto" w:line="240" w:before="0" w:after="240"/>
        <w:ind w:left="1418"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Para fins do disposto no subitem anterior, serão consideradas ações de equidade, respeitada a seguinte ordem:</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a) medidas de inserção, de participação e de ascensão profissional igualitária entre mulheres e homens, incluída a proporção de mulheres em cargos de direção do licitante;</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b) ações de promoção da igualdade de oportunidades e de tratamento entre mulheres e homens em matéria de emprego e ocupação;</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c) igualdade de remuneração e paridade salarial entre mulheres e homens;</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d) práticas de prevenção e de enfrentamento do assédio moral e sexual;</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e) programas destinados à equidade de gênero e de raça; e</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f) ações em saúde e segurança do trabalho que considerem as diferenças entre os gêneros.</w:t>
      </w:r>
    </w:p>
    <w:p>
      <w:pPr>
        <w:pStyle w:val="ListParagraph"/>
        <w:numPr>
          <w:ilvl w:val="4"/>
          <w:numId w:val="1"/>
        </w:numPr>
        <w:tabs>
          <w:tab w:val="clear" w:pos="567"/>
          <w:tab w:val="left" w:pos="2552" w:leader="none"/>
        </w:tabs>
        <w:spacing w:lineRule="auto" w:line="240" w:before="0" w:after="240"/>
        <w:ind w:left="1418"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licitante deverá comprovar a ação de equidade considerada para efeito de critério desempate mediante documentação em que se indique ou se demonstre a ação de equidade implementada pela empresa.</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desenvolvimento pelo licitante de programa de integridade, conforme orientações dos órgãos de controle.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Persistindo o empate, será assegurada preferência, sucessivamente, aos bens e serviços produzidos ou prestados por:</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empresas brasileiras;</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empresas que invistam em pesquisa e no desenvolvimento de tecnologia no País;</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empresas que comprovem a prática de mitigação, nos termos da Lei n. 12.187, de 29 de dezembro de 2009.</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acima do preço máximo ou inferior ao desconto definido para a contratação.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negociação será realizada exclusivamente por meio do sistema, podendo ser acompanhada pelos demais licitantes.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resultado da negociação será divulgado a todos os licitantes e anexado aos autos do processo licitatório.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14" w:name="_Ref145317973"/>
      <w:r>
        <w:rPr>
          <w:rFonts w:eastAsia="Times New Roman" w:cs="Arial" w:ascii="Arial" w:hAnsi="Arial"/>
          <w:sz w:val="24"/>
          <w:szCs w:val="24"/>
          <w:lang w:eastAsia="pt-BR"/>
        </w:rPr>
        <w:t xml:space="preserve">O pregoeiro solicitará ao licitante mais bem classificado que, no prazo de </w:t>
      </w:r>
      <w:r>
        <w:rPr>
          <w:rFonts w:eastAsia="Times New Roman" w:cs="Arial" w:ascii="Arial" w:hAnsi="Arial"/>
          <w:b/>
          <w:bCs/>
          <w:sz w:val="24"/>
          <w:szCs w:val="24"/>
          <w:lang w:eastAsia="pt-BR"/>
        </w:rPr>
        <w:t>2 (duas) horas</w:t>
      </w:r>
      <w:r>
        <w:rPr>
          <w:rFonts w:eastAsia="Times New Roman" w:cs="Arial" w:ascii="Arial" w:hAnsi="Arial"/>
          <w:sz w:val="24"/>
          <w:szCs w:val="24"/>
          <w:lang w:eastAsia="pt-BR"/>
        </w:rPr>
        <w:t xml:space="preserve">, envie a proposta adequada ao último lance ofertado após a negociação realizada, acompanhada, se for o caso, dos documentos complementares, quando necessários à confirmação daqueles exigidos neste Edital e já apresentados, sem prejuízo do disposto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_Ref145279703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6.11</w:t>
      </w:r>
      <w:r>
        <w:rPr>
          <w:sz w:val="24"/>
          <w:u w:val="single"/>
          <w:szCs w:val="24"/>
          <w:rFonts w:eastAsia="Times New Roman" w:cs="Arial" w:ascii="Arial" w:hAnsi="Arial"/>
          <w:color w:val="0000FF"/>
          <w:lang w:eastAsia="pt-BR"/>
        </w:rPr>
        <w:fldChar w:fldCharType="end"/>
      </w:r>
      <w:r>
        <w:rPr>
          <w:rFonts w:eastAsia="Times New Roman" w:cs="Arial" w:ascii="Arial" w:hAnsi="Arial"/>
          <w:sz w:val="24"/>
          <w:szCs w:val="24"/>
          <w:lang w:eastAsia="pt-BR"/>
        </w:rPr>
        <w:t>.</w:t>
      </w:r>
      <w:bookmarkEnd w:id="14"/>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É facultado ao pregoeiro prorrogar o prazo estabelecido, a partir de solicitação fundamentada feita no chat pelo licitante, antes de findo o prazo.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Após a negociação do preço, o pregoeiro iniciará a fase de aceitação e julgamento da proposta.</w:t>
      </w:r>
    </w:p>
    <w:p>
      <w:pPr>
        <w:pStyle w:val="Normal"/>
        <w:spacing w:lineRule="auto" w:line="240" w:before="0" w:after="240"/>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 xml:space="preserve">DA FASE </w:t>
      </w:r>
      <w:r>
        <w:rPr>
          <w:rFonts w:eastAsia="Times New Roman" w:cs="Arial" w:ascii="Arial" w:hAnsi="Arial"/>
          <w:b/>
          <w:bCs/>
          <w:sz w:val="24"/>
          <w:szCs w:val="24"/>
          <w:lang w:eastAsia="pt-BR"/>
        </w:rPr>
        <w:t>DE</w:t>
      </w:r>
      <w:r>
        <w:rPr>
          <w:rFonts w:eastAsia="Times New Roman" w:cs="Arial" w:ascii="Arial" w:hAnsi="Arial"/>
          <w:b/>
          <w:bCs/>
          <w:color w:val="000000"/>
          <w:sz w:val="24"/>
          <w:szCs w:val="24"/>
          <w:lang w:eastAsia="pt-BR"/>
        </w:rPr>
        <w:t xml:space="preserve"> JULGAMENTO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Encerrada</w:t>
      </w:r>
      <w:r>
        <w:rPr>
          <w:rFonts w:eastAsia="Times New Roman" w:cs="Arial" w:ascii="Arial" w:hAnsi="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Lei n. 14.133/2021, na legislação correlata e no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_Ref145316959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2.7</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do Edital, especialmente quanto à existência de sanção que impeça a participação no certame ou a futura contratação, mediante a consulta aos seguintes cadastros:</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Sicaf;</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b) Cadastro Nacional de Empresas Inidôneas e Suspensas - CEIS, mantido pela Controladoria-Geral da União;</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 Cadastro Nacional de Empresas Punidas – CNEP, mantido pela Controladoria-Geral da União;</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 Cadastro Nacional de Condenações Cíveis por Atos de Improbidade Administrativa, mantido pelo Conselho Nacional de Justiça;</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 Lista de Inidôneos mantida pelo Tribunal de Contas da União - TCU.</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Para a </w:t>
      </w:r>
      <w:r>
        <w:rPr>
          <w:rFonts w:eastAsia="Times New Roman" w:cs="Arial" w:ascii="Arial" w:hAnsi="Arial"/>
          <w:sz w:val="24"/>
          <w:szCs w:val="24"/>
          <w:lang w:eastAsia="pt-BR"/>
        </w:rPr>
        <w:t>consulta</w:t>
      </w:r>
      <w:r>
        <w:rPr>
          <w:rFonts w:eastAsia="Times New Roman" w:cs="Arial" w:ascii="Arial" w:hAnsi="Arial"/>
          <w:color w:val="000000"/>
          <w:sz w:val="24"/>
          <w:szCs w:val="24"/>
          <w:lang w:eastAsia="pt-BR"/>
        </w:rPr>
        <w:t xml:space="preserve"> de fornecedores pessoa jurídica poderá haver a substituição das consultas das alíneas “b”, “c” “d” e "e" acima pela Consulta Consolidada de Pessoa Jurídica do TCU.</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bookmarkStart w:id="15" w:name="_Ref145317116"/>
      <w:r>
        <w:rPr>
          <w:rFonts w:eastAsia="Times New Roman" w:cs="Arial" w:ascii="Arial" w:hAnsi="Arial"/>
          <w:color w:val="000000"/>
          <w:sz w:val="24"/>
          <w:szCs w:val="24"/>
          <w:lang w:eastAsia="pt-BR"/>
        </w:rPr>
        <w:t xml:space="preserve">A </w:t>
      </w:r>
      <w:r>
        <w:rPr>
          <w:rFonts w:eastAsia="Times New Roman" w:cs="Arial" w:ascii="Arial" w:hAnsi="Arial"/>
          <w:sz w:val="24"/>
          <w:szCs w:val="24"/>
          <w:lang w:eastAsia="pt-BR"/>
        </w:rPr>
        <w:t>consulta</w:t>
      </w:r>
      <w:r>
        <w:rPr>
          <w:rFonts w:eastAsia="Times New Roman" w:cs="Arial" w:ascii="Arial" w:hAnsi="Arial"/>
          <w:color w:val="000000"/>
          <w:sz w:val="24"/>
          <w:szCs w:val="24"/>
          <w:lang w:eastAsia="pt-BR"/>
        </w:rPr>
        <w:t xml:space="preserve"> aos cadastros será realizada em nome da pessoa física ou da empresa licitante e também de seu sócio majoritário, por força da vedação de que trata o artigo 12 da Lei n° 8.429/1992.</w:t>
      </w:r>
      <w:bookmarkEnd w:id="15"/>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Para o caso de empresa que possua sócios igualitários (50%), as consultas dos sites citados no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_Ref145317116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6.2</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serão realizadas para ambos.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Caso conste na Consulta de Situação do licitante a existência de Ocorrências Impeditivas Indiretas, o Pregoeiro diligenciará para verificar se houve fraude por parte das empresas apontadas no Relatório de Ocorrências Impeditivas Indiretas. (</w:t>
      </w:r>
      <w:hyperlink r:id="rId5">
        <w:r>
          <w:rPr>
            <w:rStyle w:val="LinkdaInternet"/>
            <w:rFonts w:eastAsia="Times New Roman" w:cs="Arial" w:ascii="Arial" w:hAnsi="Arial"/>
            <w:sz w:val="24"/>
            <w:szCs w:val="24"/>
            <w:lang w:eastAsia="pt-BR"/>
          </w:rPr>
          <w:t>IN n. 3/2018</w:t>
        </w:r>
      </w:hyperlink>
      <w:r>
        <w:rPr>
          <w:rFonts w:eastAsia="Times New Roman" w:cs="Arial" w:ascii="Arial" w:hAnsi="Arial"/>
          <w:color w:val="000000"/>
          <w:sz w:val="24"/>
          <w:szCs w:val="24"/>
          <w:lang w:eastAsia="pt-BR"/>
        </w:rPr>
        <w:t>, art. 29, caput).</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tentativa de burla será verificada por meio dos vínculos societários, linhas de fornecimento similares, dentre outros. (</w:t>
      </w:r>
      <w:hyperlink r:id="rId6">
        <w:r>
          <w:rPr>
            <w:rStyle w:val="LinkdaInternet"/>
            <w:rFonts w:eastAsia="Times New Roman" w:cs="Arial" w:ascii="Arial" w:hAnsi="Arial"/>
            <w:sz w:val="24"/>
            <w:szCs w:val="24"/>
            <w:lang w:eastAsia="pt-BR"/>
          </w:rPr>
          <w:t>IN n. 3/2018</w:t>
        </w:r>
      </w:hyperlink>
      <w:r>
        <w:rPr>
          <w:rFonts w:eastAsia="Times New Roman" w:cs="Arial" w:ascii="Arial" w:hAnsi="Arial"/>
          <w:color w:val="000000"/>
          <w:sz w:val="24"/>
          <w:szCs w:val="24"/>
          <w:lang w:eastAsia="pt-BR"/>
        </w:rPr>
        <w:t>, art. 29, §1º).</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será convocado para manifestação previamente a uma eventual desclassificação (</w:t>
      </w:r>
      <w:hyperlink r:id="rId7">
        <w:r>
          <w:rPr>
            <w:rStyle w:val="LinkdaInternet"/>
            <w:rFonts w:eastAsia="Times New Roman" w:cs="Arial" w:ascii="Arial" w:hAnsi="Arial"/>
            <w:sz w:val="24"/>
            <w:szCs w:val="24"/>
            <w:lang w:eastAsia="pt-BR"/>
          </w:rPr>
          <w:t>IN n. 3/2018</w:t>
        </w:r>
      </w:hyperlink>
      <w:r>
        <w:rPr>
          <w:rFonts w:eastAsia="Times New Roman" w:cs="Arial" w:ascii="Arial" w:hAnsi="Arial"/>
          <w:color w:val="000000"/>
          <w:sz w:val="24"/>
          <w:szCs w:val="24"/>
          <w:lang w:eastAsia="pt-BR"/>
        </w:rPr>
        <w:t>, art. 29, §2º).</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Constatada a existência de sanção, o licitante será reputado inabilitado, por falta de condição de participação.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Caso o licitante provisoriamente classificado em primeiro lugar tenha se utilizado de algum tratamento favorecido às ME/EPPs, o pregoeiro verificará se faz jus ao benefício, em conformidade com os itens</w:t>
      </w:r>
      <w:r>
        <w:rPr>
          <w:rFonts w:eastAsia="Times New Roman" w:cs="Arial" w:ascii="Arial" w:hAnsi="Arial"/>
          <w:color w:val="FF0000"/>
          <w:sz w:val="24"/>
          <w:szCs w:val="24"/>
          <w:lang w:eastAsia="pt-BR"/>
        </w:rPr>
        <w:t xml:space="preserv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_Ref145317550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2.5</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_Ref145278466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3.4</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w:t>
      </w:r>
      <w:r>
        <w:rPr>
          <w:rFonts w:eastAsia="Times New Roman" w:cs="Arial" w:ascii="Arial" w:hAnsi="Arial"/>
          <w:sz w:val="24"/>
          <w:szCs w:val="24"/>
          <w:lang w:eastAsia="pt-BR"/>
        </w:rPr>
        <w:t>deste Edital</w:t>
      </w:r>
      <w:r>
        <w:rPr>
          <w:rFonts w:eastAsia="Times New Roman" w:cs="Arial" w:ascii="Arial" w:hAnsi="Arial"/>
          <w:color w:val="000000"/>
          <w:sz w:val="24"/>
          <w:szCs w:val="24"/>
          <w:lang w:eastAsia="pt-BR"/>
        </w:rPr>
        <w:t>.</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 73/2022.</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bookmarkStart w:id="16" w:name="_Ref145334184"/>
      <w:r>
        <w:rPr>
          <w:rFonts w:eastAsia="Times New Roman" w:cs="Arial" w:ascii="Arial" w:hAnsi="Arial"/>
          <w:color w:val="000000"/>
          <w:sz w:val="24"/>
          <w:szCs w:val="24"/>
          <w:lang w:eastAsia="pt-BR"/>
        </w:rPr>
        <w:t>Será desclassificada a proposta mais bem classificada que:</w:t>
      </w:r>
      <w:bookmarkEnd w:id="16"/>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contiver vícios insanáveis;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obedecer às especificações técnicas contidas no Termo de Referência;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apresentar preços inexequíveis ou permanecerem acima do preço máximo definido para a contratação;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tiverem sua exequibilidade demonstrada, quando exigido pela Administração;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apresentar desconformidade com quaisquer outras exigências deste Edital ou seus anexos, desde que insanável.</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 caso de bens e serviços em geral, é indício de inexequibilidade das propostas valores inferiores a 50% (cinquenta por cento) do valor orçado pela Administração.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inexequibilidade, na hipótese de que trata o caput, só será considerada após diligência do pregoeiro, que comprove:</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que</w:t>
      </w:r>
      <w:r>
        <w:rPr>
          <w:rFonts w:eastAsia="Times New Roman" w:cs="Arial" w:ascii="Arial" w:hAnsi="Arial"/>
          <w:color w:val="000000"/>
          <w:sz w:val="24"/>
          <w:szCs w:val="24"/>
          <w:lang w:eastAsia="pt-BR"/>
        </w:rPr>
        <w:t xml:space="preserve"> o custo do licitante ultrapassa o valor da proposta; e</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inexistirem custos de oportunidade capazes de justificar o vulto da oferta.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Em contratação de serviços de engenharia, além das disposições do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_Ref145334184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6.6</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a análise de exequibilidade e sobrepreço considerará o seguinte: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 regime de execução por empreitada por preço global, a caracterização do sobrepreço se dará pela superação do valor global estimado;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No caso de serviços de engenharia, serão consideradas inexequíveis as propostas cujos valores forem inferiores a 75% (setenta e cinco por cento) do valor orçado pela Administração, independentemente do regime de execução, sem prejuízo do disposto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_Ref145317868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6.9</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garantia adicional, dentre as modalidades previstas no art. 96, § 1º, da Lei n. 14.133/2021, cuja opção caberá ao licitante vencedor, a partir da homologação do procedimento, deverá ser apresentada antes da assinatura do contrato.</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Aplicam-se, por analogia, as disposições dos artigos 96 a 102 da Lei 14.133/2021, no que couber.</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As demais regras aplicáveis constam do Termo de Referência.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bookmarkStart w:id="17" w:name="_Ref145317868"/>
      <w:r>
        <w:rPr>
          <w:rFonts w:eastAsia="Times New Roman" w:cs="Arial" w:ascii="Arial" w:hAnsi="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17"/>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bookmarkStart w:id="18" w:name="_Ref145320889"/>
      <w:r>
        <w:rPr>
          <w:rFonts w:eastAsia="Times New Roman" w:cs="Arial" w:ascii="Arial" w:hAnsi="Arial"/>
          <w:color w:val="000000"/>
          <w:sz w:val="24"/>
          <w:szCs w:val="24"/>
          <w:lang w:eastAsia="pt-BR"/>
        </w:rPr>
        <w:t xml:space="preserve">Erros no preenchimento da planilha não constituem motivo para a desclassificação da proposta. A planilha poderá́ ser ajustada pelo licitante, no prazo previsto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_Ref145317973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5.21.4</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desde que não haja majoração do preço e que se comprove que este é o bastante para arcar com todos os custos da contratação.</w:t>
      </w:r>
      <w:bookmarkEnd w:id="18"/>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prazo estabelecido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_Ref145320889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6.10</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poderá ser prorrogado, se houver justificativa para tanto, desde que a solicitação escrita seja formulada antes do seu término.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ajuste de que trata este dispositivo se limita a sanar erros ou falhas que não alterem a substância das propostas.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bookmarkStart w:id="19" w:name="_Ref145279703"/>
      <w:r>
        <w:rPr>
          <w:rFonts w:eastAsia="Times New Roman" w:cs="Arial" w:ascii="Arial" w:hAnsi="Arial"/>
          <w:color w:val="000000"/>
          <w:sz w:val="24"/>
          <w:szCs w:val="24"/>
          <w:lang w:eastAsia="pt-BR"/>
        </w:rPr>
        <w:t>O pregoeiro, durante a fase de julgamento das propostas, pode solicitar documento ausente, comprobatório de condição atendida pelo fornecedor quando apresentou sua proposta, com fundamento nos Acórdãos TCU 1211/2021 e 2443/2021, artigo 5º da Lei n. 14.133/2021 e artigo 19 do Decreto n. 9.830/2019.</w:t>
      </w:r>
      <w:bookmarkEnd w:id="19"/>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Encerrada a fase de julgamento, após a verificação de conformidade da proposta, será examinada a documentação de habilitação do licitante observado o disposto no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_Ref145334744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7</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deste Edital.</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bookmarkStart w:id="20" w:name="_Ref145334744"/>
      <w:r>
        <w:rPr>
          <w:rFonts w:eastAsia="Times New Roman" w:cs="Arial" w:ascii="Arial" w:hAnsi="Arial"/>
          <w:b/>
          <w:bCs/>
          <w:color w:val="000000"/>
          <w:sz w:val="24"/>
          <w:szCs w:val="24"/>
          <w:lang w:eastAsia="pt-BR"/>
        </w:rPr>
        <w:t>DA FASE DE HABILITAÇÃO</w:t>
      </w:r>
      <w:bookmarkEnd w:id="20"/>
      <w:r>
        <w:rPr>
          <w:rFonts w:eastAsia="Times New Roman" w:cs="Arial" w:ascii="Arial" w:hAnsi="Arial"/>
          <w:b/>
          <w:bCs/>
          <w:color w:val="000000"/>
          <w:sz w:val="24"/>
          <w:szCs w:val="24"/>
          <w:lang w:eastAsia="pt-BR"/>
        </w:rPr>
        <w:t xml:space="preserve"> </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Os documentos previstos no </w:t>
      </w:r>
      <w:hyperlink w:anchor="Anexo_II">
        <w:r>
          <w:rPr>
            <w:rStyle w:val="LinkdaInternet"/>
            <w:rFonts w:eastAsia="Times New Roman" w:cs="Arial" w:ascii="Arial" w:hAnsi="Arial"/>
            <w:sz w:val="24"/>
            <w:szCs w:val="24"/>
            <w:lang w:eastAsia="pt-BR"/>
          </w:rPr>
          <w:t>Anexo II</w:t>
        </w:r>
      </w:hyperlink>
      <w:r>
        <w:rPr>
          <w:rFonts w:eastAsia="Times New Roman" w:cs="Arial" w:ascii="Arial" w:hAnsi="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arts. 62 a 70 da Lei n. 14.133/2021.</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21" w:name="_Ref145276174"/>
      <w:r>
        <w:rPr>
          <w:rFonts w:eastAsia="Times New Roman" w:cs="Arial" w:ascii="Arial" w:hAnsi="Arial"/>
          <w:color w:val="000000"/>
          <w:sz w:val="24"/>
          <w:szCs w:val="24"/>
          <w:lang w:eastAsia="pt-BR"/>
        </w:rPr>
        <w:t>A documentação exigida para fins de habilitação jurídica, fiscal, social e trabalhista e econômico-ﬁnanceira, poderá ser substituída pelo registro cadastral no Sicaf.</w:t>
      </w:r>
      <w:bookmarkEnd w:id="21"/>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 8.660, de 29 de janeiro de 2016, ou de outro que venha a substituí-lo, ou consularizados pelos respectivos consulados ou embaixadas.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bookmarkStart w:id="22" w:name="_Ref163728257"/>
      <w:r>
        <w:rPr>
          <w:rFonts w:eastAsia="Times New Roman" w:cs="Arial" w:ascii="Arial" w:hAnsi="Arial"/>
          <w:sz w:val="24"/>
          <w:szCs w:val="24"/>
          <w:lang w:eastAsia="pt-B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bookmarkEnd w:id="22"/>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bookmarkStart w:id="23" w:name="_Ref145418717"/>
      <w:r>
        <w:rPr>
          <w:rFonts w:eastAsia="Times New Roman" w:cs="Arial" w:ascii="Arial" w:hAnsi="Arial"/>
          <w:color w:val="000000"/>
          <w:sz w:val="24"/>
          <w:szCs w:val="24"/>
          <w:lang w:eastAsia="pt-BR"/>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bookmarkEnd w:id="23"/>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24" w:name="_Ref145418723"/>
      <w:r>
        <w:rPr>
          <w:rFonts w:eastAsia="Times New Roman" w:cs="Arial" w:ascii="Arial" w:hAnsi="Arial"/>
          <w:color w:val="000000"/>
          <w:sz w:val="24"/>
          <w:szCs w:val="24"/>
          <w:lang w:eastAsia="pt-BR"/>
        </w:rPr>
        <w:t>Não havendo a comprovação cumulativa dos requisitos de habilitação, a inabilitação recairá sobre o(s) item(ns) de menor(es) valor(es) cuja retirada(s) seja(m) suficiente(s) para a habilitação do licitante nos remanescentes.</w:t>
      </w:r>
      <w:bookmarkEnd w:id="24"/>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disposto nos subitens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_Ref145418717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7.4</w:t>
      </w:r>
      <w:r>
        <w:rPr>
          <w:sz w:val="24"/>
          <w:u w:val="single"/>
          <w:szCs w:val="24"/>
          <w:rFonts w:eastAsia="Times New Roman" w:cs="Arial" w:ascii="Arial" w:hAnsi="Arial"/>
          <w:color w:val="0000FF"/>
          <w:lang w:eastAsia="pt-BR"/>
        </w:rPr>
        <w:fldChar w:fldCharType="end"/>
      </w:r>
      <w:r>
        <w:rPr>
          <w:rFonts w:eastAsia="Times New Roman" w:cs="Arial" w:ascii="Arial" w:hAnsi="Arial"/>
          <w:color w:val="0000FF"/>
          <w:sz w:val="24"/>
          <w:szCs w:val="24"/>
          <w:lang w:eastAsia="pt-BR"/>
        </w:rPr>
        <w:t xml:space="preserve"> </w:t>
      </w:r>
      <w:r>
        <w:rPr>
          <w:rFonts w:eastAsia="Times New Roman" w:cs="Arial" w:ascii="Arial" w:hAnsi="Arial"/>
          <w:color w:val="000000"/>
          <w:sz w:val="24"/>
          <w:szCs w:val="24"/>
          <w:lang w:eastAsia="pt-BR"/>
        </w:rPr>
        <w:t xml:space="preserve">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_Ref145418723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7.4.1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só se aplica nas licitações por itens, e desde que o edital exija comprovação de capital mínimo ou patrimônio líquido, para fins de qualificação econômico-financeira, ou comprovação de aptidão, para fins de qualificação técnica.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documentos exigidos para fins de habilitação serão apresentados em formato digital.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25" w:name="_Ref145342839"/>
      <w:r>
        <w:rPr>
          <w:rFonts w:eastAsia="Times New Roman" w:cs="Arial" w:ascii="Arial" w:hAnsi="Arial"/>
          <w:color w:val="000000"/>
          <w:sz w:val="24"/>
          <w:szCs w:val="24"/>
          <w:lang w:eastAsia="pt-B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8">
        <w:r>
          <w:rPr>
            <w:rStyle w:val="LinkdaInternet"/>
            <w:rFonts w:eastAsia="Times New Roman" w:cs="Arial" w:ascii="Arial" w:hAnsi="Arial"/>
            <w:sz w:val="24"/>
            <w:szCs w:val="24"/>
            <w:lang w:eastAsia="pt-BR"/>
          </w:rPr>
          <w:t>IN n. 3/2018</w:t>
        </w:r>
      </w:hyperlink>
      <w:r>
        <w:rPr>
          <w:rFonts w:eastAsia="Times New Roman" w:cs="Arial" w:ascii="Arial" w:hAnsi="Arial"/>
          <w:color w:val="000000"/>
          <w:sz w:val="24"/>
          <w:szCs w:val="24"/>
          <w:lang w:eastAsia="pt-BR"/>
        </w:rPr>
        <w:t>, art. 4º, §1º, e art. 6º, §4º).</w:t>
      </w:r>
      <w:bookmarkEnd w:id="25"/>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Na hipótese do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_Ref145342839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7.6.1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o licitante será convocado a apresentar os documentos originais não-digitais no prazo de 05 (cinco) dias úteis, contados da convocação. Caberá ao agente administrativo comparar o documento original e a cópia para atestar a autenticidade.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documentos exigidos para fins de habilitação poderão ser substituídos por registro cadastral emitido por órgão ou entidade pública, desde que o registro tenha sido feito em obediência ao disposto na Lei n. 14.133/2021.</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verificado se o licitante apresentou declaração de que atende aos requisitos de habilitação, e o declarante responderá pela veracidade das informações prestadas, na forma da Lei (art. 63, I, da Lei n. 14.133/2021).</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que optar por realizar vistoria prévia terá disponibilizado pela Administração data e horário exclusivos, a ser agendado, conforme disposto no Termo de Referência, de modo que seu agendamento não coincida com o agendamento de outros licitantes.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bookmarkStart w:id="26" w:name="_Ref145276249"/>
      <w:r>
        <w:rPr>
          <w:rFonts w:eastAsia="Times New Roman" w:cs="Arial" w:ascii="Arial" w:hAnsi="Arial"/>
          <w:color w:val="000000"/>
          <w:sz w:val="24"/>
          <w:szCs w:val="24"/>
          <w:lang w:eastAsia="pt-BR"/>
        </w:rPr>
        <w:t xml:space="preserve">A habilitação será verificada por meio do Sicaf, nos documentos por ele abrangidos, e dos documentos arrolados no </w:t>
      </w:r>
      <w:hyperlink w:anchor="Anexo_II">
        <w:r>
          <w:rPr>
            <w:rStyle w:val="LinkdaInternet"/>
            <w:rFonts w:eastAsia="Times New Roman" w:cs="Arial" w:ascii="Arial" w:hAnsi="Arial"/>
            <w:sz w:val="24"/>
            <w:szCs w:val="24"/>
            <w:lang w:eastAsia="pt-BR"/>
          </w:rPr>
          <w:t>Anexo II</w:t>
        </w:r>
      </w:hyperlink>
      <w:r>
        <w:rPr>
          <w:rFonts w:eastAsia="Times New Roman" w:cs="Arial" w:ascii="Arial" w:hAnsi="Arial"/>
          <w:color w:val="000000"/>
          <w:sz w:val="24"/>
          <w:szCs w:val="24"/>
          <w:lang w:eastAsia="pt-BR"/>
        </w:rPr>
        <w:t xml:space="preserve"> – Documentação exigida para habilitação.</w:t>
      </w:r>
      <w:bookmarkEnd w:id="26"/>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É de responsabilidade do licitante conferir a exatidão dos seus dados cadastrais no Sicaf e mantê-los atualizados junto aos órgãos responsáveis pela informação, devendo proceder à correção ou à alteração dos registros tão logo identifique incorreção ou aqueles se tornem desatualizados. (</w:t>
      </w:r>
      <w:hyperlink r:id="rId9">
        <w:r>
          <w:rPr>
            <w:rStyle w:val="LinkdaInternet"/>
            <w:rFonts w:eastAsia="Times New Roman" w:cs="Arial" w:ascii="Arial" w:hAnsi="Arial"/>
            <w:sz w:val="24"/>
            <w:szCs w:val="24"/>
            <w:lang w:eastAsia="pt-BR"/>
          </w:rPr>
          <w:t>IN n. 3/2018</w:t>
        </w:r>
      </w:hyperlink>
      <w:r>
        <w:rPr>
          <w:rFonts w:eastAsia="Times New Roman" w:cs="Arial" w:ascii="Arial" w:hAnsi="Arial"/>
          <w:color w:val="000000"/>
          <w:sz w:val="24"/>
          <w:szCs w:val="24"/>
          <w:lang w:eastAsia="pt-BR"/>
        </w:rPr>
        <w:t>, art. 7º, caput).</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não observância do disposto no item anterior poderá ensejar desclassificação no momento da habilitação. (</w:t>
      </w:r>
      <w:hyperlink r:id="rId10">
        <w:r>
          <w:rPr>
            <w:rStyle w:val="LinkdaInternet"/>
            <w:rFonts w:eastAsia="Times New Roman" w:cs="Arial" w:ascii="Arial" w:hAnsi="Arial"/>
            <w:sz w:val="24"/>
            <w:szCs w:val="24"/>
            <w:lang w:eastAsia="pt-BR"/>
          </w:rPr>
          <w:t>IN n. 3/2018</w:t>
        </w:r>
      </w:hyperlink>
      <w:r>
        <w:rPr>
          <w:rFonts w:eastAsia="Times New Roman" w:cs="Arial" w:ascii="Arial" w:hAnsi="Arial"/>
          <w:color w:val="000000"/>
          <w:sz w:val="24"/>
          <w:szCs w:val="24"/>
          <w:lang w:eastAsia="pt-BR"/>
        </w:rPr>
        <w:t>, art. 7º, parágrafo único).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verificação pelo pregoeiro, em sítios eletrônicos oficiais de órgãos e entidades emissores de certidões constitui meio legal de prova, para fins de habilitação.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certidões que condicionem sua validade à apresentação de certidão de dívida ativa somente serão aceitas se apresentadas em conjunto.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 as certidões não trouxerem expresso o prazo de validade, considerar-se-á o prazo de 06 (seis) meses da data da sua expedição.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serão aceitos documentos com indicação de CPF/CNPJ diferentes, salvo aqueles legalmente permitidos.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bookmarkStart w:id="27" w:name="_Ref145276594"/>
      <w:r>
        <w:rPr>
          <w:rFonts w:eastAsia="Times New Roman" w:cs="Arial" w:ascii="Arial" w:hAnsi="Arial"/>
          <w:color w:val="000000"/>
          <w:sz w:val="24"/>
          <w:szCs w:val="24"/>
          <w:lang w:eastAsia="pt-BR"/>
        </w:rPr>
        <w:t xml:space="preserve">Os documentos exigidos para habilitação que não estejam contemplados no Sicaf serão enviados por meio do sistema, em formato digital, no prazo de </w:t>
      </w:r>
      <w:r>
        <w:rPr>
          <w:rFonts w:eastAsia="Times New Roman" w:cs="Arial" w:ascii="Arial" w:hAnsi="Arial"/>
          <w:b/>
          <w:color w:val="000000"/>
          <w:sz w:val="24"/>
          <w:szCs w:val="24"/>
          <w:lang w:eastAsia="pt-BR"/>
        </w:rPr>
        <w:t>2 (duas) horas</w:t>
      </w:r>
      <w:r>
        <w:rPr>
          <w:rFonts w:eastAsia="Times New Roman" w:cs="Arial" w:ascii="Arial" w:hAnsi="Arial"/>
          <w:color w:val="000000"/>
          <w:sz w:val="24"/>
          <w:szCs w:val="24"/>
          <w:lang w:eastAsia="pt-BR"/>
        </w:rPr>
        <w:t>, prorrogável por igual período, contado da solicitação do pregoeiro.</w:t>
      </w:r>
      <w:bookmarkEnd w:id="27"/>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É facultado ao pregoeiro prorrogar o prazo estabelecido, a partir de solicitação fundamentada feita no chat pelo licitante, antes de findo o prazo.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verificação no Sicaf ou a exigência dos documentos nele não contidos somente será feita em relação ao licitante mais bem classificado.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28" w:name="_Ref145276492"/>
      <w:r>
        <w:rPr>
          <w:rFonts w:eastAsia="Times New Roman" w:cs="Arial" w:ascii="Arial" w:hAnsi="Arial"/>
          <w:color w:val="000000"/>
          <w:sz w:val="24"/>
          <w:szCs w:val="24"/>
          <w:lang w:eastAsia="pt-BR"/>
        </w:rPr>
        <w:t xml:space="preserve">Os documentos relativos à regularidade fiscal que constem do </w:t>
      </w:r>
      <w:hyperlink w:anchor="Anexo_II">
        <w:r>
          <w:rPr>
            <w:rStyle w:val="LinkdaInternet"/>
            <w:rFonts w:eastAsia="Times New Roman" w:cs="Arial" w:ascii="Arial" w:hAnsi="Arial"/>
            <w:sz w:val="24"/>
            <w:szCs w:val="24"/>
            <w:lang w:eastAsia="pt-BR"/>
          </w:rPr>
          <w:t>Anexo II</w:t>
        </w:r>
      </w:hyperlink>
      <w:r>
        <w:rPr>
          <w:rFonts w:eastAsia="Times New Roman" w:cs="Arial" w:ascii="Arial" w:hAnsi="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28"/>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Após a entrega dos documentos para habilitação, não será permitida a substituição ou a apresentação de novos documentos, salvo em sede de diligência, para</w:t>
      </w:r>
      <w:r>
        <w:rPr>
          <w:rFonts w:eastAsia="Times New Roman" w:cs="Arial" w:ascii="Arial" w:hAnsi="Arial"/>
          <w:sz w:val="24"/>
          <w:szCs w:val="24"/>
          <w:lang w:eastAsia="pt-BR"/>
        </w:rPr>
        <w:t>:</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complementação de informações acerca dos documentos já apresentados pelos licitantes e desde que necessária para apurar fatos existentes à época da abertura do certame; 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atualização de documentos cuja validade tenha expirado após a data de recebimento das propostas;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as regras desse subitem não obstam a aplicação do disposto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_Ref145340251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7.25</w:t>
      </w:r>
      <w:r>
        <w:rPr>
          <w:sz w:val="24"/>
          <w:u w:val="single"/>
          <w:szCs w:val="24"/>
          <w:rFonts w:eastAsia="Times New Roman" w:cs="Arial" w:ascii="Arial" w:hAnsi="Arial"/>
          <w:color w:val="0000FF"/>
          <w:lang w:eastAsia="pt-BR"/>
        </w:rPr>
        <w:fldChar w:fldCharType="end"/>
      </w:r>
      <w:r>
        <w:rPr>
          <w:rFonts w:eastAsia="Times New Roman" w:cs="Arial" w:ascii="Arial" w:hAnsi="Arial"/>
          <w:sz w:val="24"/>
          <w:szCs w:val="24"/>
          <w:lang w:eastAsia="pt-BR"/>
        </w:rPr>
        <w:t>.</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_Ref145276594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7.18</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Pr>
          <w:rFonts w:eastAsia="Times New Roman" w:cs="Arial" w:ascii="Arial" w:hAnsi="Arial"/>
          <w:sz w:val="24"/>
          <w:szCs w:val="24"/>
          <w:lang w:eastAsia="pt-BR"/>
        </w:rPr>
        <w:t>licitação (art. 4º do Decreto n. 8.538/2015).</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bookmarkStart w:id="29" w:name="_Ref145340251"/>
      <w:r>
        <w:rPr>
          <w:rFonts w:eastAsia="Times New Roman" w:cs="Arial" w:ascii="Arial" w:hAnsi="Arial"/>
          <w:color w:val="000000"/>
          <w:sz w:val="24"/>
          <w:szCs w:val="24"/>
          <w:lang w:eastAsia="pt-BR"/>
        </w:rPr>
        <w:t>O pregoeiro, durante o exame da fase de habilitação, pode solicitar documento ausente, comprobatório de condição atendida pelo fornecedor quando apresentou sua proposta, com fundamento nos Acórdãos TCU 1211/2021 e 2443/2021, artigo 5º da Lei n. 14.133/2021 e artigo 19 do Decreto n. 9.830/2019.</w:t>
      </w:r>
      <w:bookmarkEnd w:id="29"/>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sz w:val="24"/>
          <w:szCs w:val="24"/>
          <w:lang w:eastAsia="pt-BR"/>
        </w:rPr>
        <w:t xml:space="preserve">DOS </w:t>
      </w:r>
      <w:r>
        <w:rPr>
          <w:rFonts w:eastAsia="Times New Roman" w:cs="Arial" w:ascii="Arial" w:hAnsi="Arial"/>
          <w:b/>
          <w:bCs/>
          <w:color w:val="000000"/>
          <w:sz w:val="24"/>
          <w:szCs w:val="24"/>
          <w:lang w:eastAsia="pt-BR"/>
        </w:rPr>
        <w:t>RECURSOS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w:t>
      </w:r>
      <w:r>
        <w:rPr>
          <w:rFonts w:eastAsia="Times New Roman" w:cs="Arial" w:ascii="Arial" w:hAnsi="Arial"/>
          <w:sz w:val="24"/>
          <w:szCs w:val="24"/>
          <w:lang w:eastAsia="pt-BR"/>
        </w:rPr>
        <w:t xml:space="preserve">interposição de </w:t>
      </w:r>
      <w:r>
        <w:rPr>
          <w:rFonts w:eastAsia="Times New Roman" w:cs="Arial" w:ascii="Arial" w:hAnsi="Arial"/>
          <w:color w:val="000000"/>
          <w:sz w:val="24"/>
          <w:szCs w:val="24"/>
          <w:lang w:eastAsia="pt-BR"/>
        </w:rPr>
        <w:t xml:space="preserve">recurso referente ao julgamento das propostas, à habilitação ou inabilitação de licitantes, à anulação ou revogação da licitação, observará o disposto no art. 165 da Lei n. 14.133/2021 e no art. 40 da </w:t>
      </w:r>
      <w:hyperlink r:id="rId11">
        <w:r>
          <w:rPr>
            <w:rStyle w:val="LinkdaInternet"/>
            <w:rFonts w:eastAsia="Times New Roman" w:cs="Arial" w:ascii="Arial" w:hAnsi="Arial"/>
            <w:sz w:val="24"/>
            <w:szCs w:val="24"/>
            <w:lang w:eastAsia="pt-BR"/>
          </w:rPr>
          <w:t>Instrução Normativa SEGES n. 73/2022</w:t>
        </w:r>
      </w:hyperlink>
      <w:r>
        <w:rPr>
          <w:rFonts w:eastAsia="Times New Roman" w:cs="Arial" w:ascii="Arial" w:hAnsi="Arial"/>
          <w:color w:val="000000"/>
          <w:sz w:val="24"/>
          <w:szCs w:val="24"/>
          <w:lang w:eastAsia="pt-BR"/>
        </w:rPr>
        <w:t>.</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prazo recursal é de </w:t>
      </w:r>
      <w:r>
        <w:rPr>
          <w:rFonts w:eastAsia="Times New Roman" w:cs="Arial" w:ascii="Arial" w:hAnsi="Arial"/>
          <w:b/>
          <w:bCs/>
          <w:color w:val="000000"/>
          <w:sz w:val="24"/>
          <w:szCs w:val="24"/>
          <w:lang w:eastAsia="pt-BR"/>
        </w:rPr>
        <w:t>3 (três) dias úteis</w:t>
      </w:r>
      <w:r>
        <w:rPr>
          <w:rFonts w:eastAsia="Times New Roman" w:cs="Arial" w:ascii="Arial" w:hAnsi="Arial"/>
          <w:color w:val="000000"/>
          <w:sz w:val="24"/>
          <w:szCs w:val="24"/>
          <w:lang w:eastAsia="pt-BR"/>
        </w:rPr>
        <w:t>, contados da data de intimação ou de lavratura da ata.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 o recurso apresentado impugnar o julgamento das propostas ou o ato de habilitação ou inabilitação do licitante: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a intenção de </w:t>
      </w:r>
      <w:r>
        <w:rPr>
          <w:rFonts w:eastAsia="Times New Roman" w:cs="Arial" w:ascii="Arial" w:hAnsi="Arial"/>
          <w:color w:val="000000"/>
          <w:sz w:val="24"/>
          <w:szCs w:val="24"/>
          <w:lang w:eastAsia="pt-BR"/>
        </w:rPr>
        <w:t xml:space="preserve">recorrer deverá ser manifestada no prazo de </w:t>
      </w:r>
      <w:r>
        <w:rPr>
          <w:rFonts w:eastAsia="Times New Roman" w:cs="Arial" w:ascii="Arial" w:hAnsi="Arial"/>
          <w:b/>
          <w:bCs/>
          <w:color w:val="000000"/>
          <w:sz w:val="24"/>
          <w:szCs w:val="24"/>
          <w:lang w:eastAsia="pt-BR"/>
        </w:rPr>
        <w:t>30 minutos</w:t>
      </w:r>
      <w:r>
        <w:rPr>
          <w:rFonts w:eastAsia="Times New Roman" w:cs="Arial" w:ascii="Arial" w:hAnsi="Arial"/>
          <w:color w:val="000000"/>
          <w:sz w:val="24"/>
          <w:szCs w:val="24"/>
          <w:lang w:eastAsia="pt-BR"/>
        </w:rPr>
        <w:t>, de forma imediata após o término do julgamento das propostas e do ato de habilitação ou inabilitação, em campo próprio do sistema, sob pena de preclusão, ficando a autoridade superior autorizada a adjudicar o objeto ao licitante declarado vencedor;</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prazo </w:t>
      </w:r>
      <w:r>
        <w:rPr>
          <w:rFonts w:eastAsia="Times New Roman" w:cs="Arial" w:ascii="Arial" w:hAnsi="Arial"/>
          <w:sz w:val="24"/>
          <w:szCs w:val="24"/>
          <w:lang w:eastAsia="pt-BR"/>
        </w:rPr>
        <w:t>para</w:t>
      </w:r>
      <w:r>
        <w:rPr>
          <w:rFonts w:eastAsia="Times New Roman" w:cs="Arial" w:ascii="Arial" w:hAnsi="Arial"/>
          <w:color w:val="000000"/>
          <w:sz w:val="24"/>
          <w:szCs w:val="24"/>
          <w:lang w:eastAsia="pt-BR"/>
        </w:rPr>
        <w:t xml:space="preserve"> apresentação das razões recursais será iniciado na data de intimação ou de lavratura da ata de habilitação ou inabilitação;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recursos deverão ser encaminhados em campo próprio do sistema.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recursos interpostos fora do prazo não serão conhecidos, devendo ser analisados como direito de petição nos termos do art. 5º, inciso XXXIV, alínea "a", da Constituição Federal de 1988.</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assegurado a todos os interessados vista dos elementos indispensáveis à defesa de seus interesses.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recurso e o pedido de reconsideração terão efeito suspensivo do ato ou da decisão recorrida até que sobrevenha decisão final da autoridade competente.</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acolhimento do recurso invalida tão somente os atos insuscetíveis de aproveitamento.</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Os autos do processo permanecerão com vista franqueada, devendo o interessado enviar solicitação para o e-mail </w:t>
      </w:r>
      <w:hyperlink r:id="rId12">
        <w:r>
          <w:rPr>
            <w:rStyle w:val="LinkdaInternet"/>
            <w:rFonts w:eastAsia="Times New Roman" w:cs="Arial" w:ascii="Arial" w:hAnsi="Arial"/>
            <w:sz w:val="24"/>
            <w:szCs w:val="24"/>
            <w:lang w:eastAsia="pt-BR"/>
          </w:rPr>
          <w:t>admsp-suli@trf3.jus.br</w:t>
        </w:r>
      </w:hyperlink>
      <w:r>
        <w:rPr>
          <w:rFonts w:eastAsia="Times New Roman" w:cs="Arial" w:ascii="Arial" w:hAnsi="Arial"/>
          <w:color w:val="000000"/>
          <w:sz w:val="24"/>
          <w:szCs w:val="24"/>
          <w:lang w:eastAsia="pt-BR"/>
        </w:rPr>
        <w:t>.</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 xml:space="preserve">DA </w:t>
      </w:r>
      <w:r>
        <w:rPr>
          <w:rFonts w:eastAsia="Times New Roman" w:cs="Arial" w:ascii="Arial" w:hAnsi="Arial"/>
          <w:b/>
          <w:bCs/>
          <w:sz w:val="24"/>
          <w:szCs w:val="24"/>
          <w:lang w:eastAsia="pt-BR"/>
        </w:rPr>
        <w:t>CONTRATAÇÃO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Encerradas as fases de julgamento e habilitação, e exauridos os recursos administrativos, o processo licitatório será encaminhado à autoridade superior para adjudicar o objeto e homologar o procedimento, observado o disposto no art. 71 da Lei n. 14.133/2021.</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adjudicatário terá o prazo de </w:t>
      </w:r>
      <w:r>
        <w:rPr>
          <w:rFonts w:eastAsia="Times New Roman" w:cs="Arial" w:ascii="Arial" w:hAnsi="Arial"/>
          <w:b/>
          <w:bCs/>
          <w:color w:val="000000"/>
          <w:sz w:val="24"/>
          <w:szCs w:val="24"/>
          <w:lang w:eastAsia="pt-BR"/>
        </w:rPr>
        <w:t>03 (três) dias úteis</w:t>
      </w:r>
      <w:r>
        <w:rPr>
          <w:rFonts w:eastAsia="Times New Roman" w:cs="Arial" w:ascii="Arial" w:hAnsi="Arial"/>
          <w:color w:val="000000"/>
          <w:sz w:val="24"/>
          <w:szCs w:val="24"/>
          <w:lang w:eastAsia="pt-BR"/>
        </w:rPr>
        <w:t>, contados a partir da data de sua convocação, para assinar o termo de contrato, sob pena de decair o direito à contratação, sem prejuízo das sanções previstas na Lei n. 14.133/2021 e neste Edital e seus anexos.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assinatura do termo de contrato se dará mediante cadastro de usuário externo no sítio da Justiça Federal - Seção Judiciária de São Paulo, no endereço eletrônico </w:t>
      </w:r>
      <w:hyperlink r:id="rId13" w:tgtFrame="Ir para o site da JFSP.">
        <w:r>
          <w:rPr>
            <w:rStyle w:val="LinkdaInternet"/>
            <w:rFonts w:cs="Arial" w:ascii="Arial" w:hAnsi="Arial"/>
            <w:sz w:val="24"/>
            <w:szCs w:val="24"/>
          </w:rPr>
          <w:t>http://www.jfsp.jus.br</w:t>
        </w:r>
      </w:hyperlink>
      <w:r>
        <w:rPr>
          <w:rStyle w:val="LinkdaInternet"/>
          <w:rFonts w:cs="Arial" w:ascii="Arial" w:hAnsi="Arial"/>
          <w:color w:val="auto"/>
          <w:sz w:val="24"/>
          <w:szCs w:val="24"/>
          <w:u w:val="none"/>
        </w:rPr>
        <w:t>,</w:t>
      </w:r>
      <w:r>
        <w:rPr>
          <w:rFonts w:eastAsia="Times New Roman" w:cs="Arial" w:ascii="Arial" w:hAnsi="Arial"/>
          <w:color w:val="000000"/>
          <w:sz w:val="24"/>
          <w:szCs w:val="24"/>
          <w:lang w:eastAsia="pt-BR"/>
        </w:rPr>
        <w:t xml:space="preserve"> no ícone “sei! ACESSO EXTERNO SISTEMA SEI” (Link para acesso: </w:t>
      </w:r>
      <w:hyperlink r:id="rId14">
        <w:r>
          <w:rPr>
            <w:rStyle w:val="LinkdaInternet"/>
            <w:rFonts w:eastAsia="Times New Roman" w:cs="Arial" w:ascii="Arial" w:hAnsi="Arial"/>
            <w:sz w:val="24"/>
            <w:szCs w:val="24"/>
            <w:lang w:eastAsia="pt-BR"/>
          </w:rPr>
          <w:t>SEI - Acesso Externo</w:t>
        </w:r>
      </w:hyperlink>
      <w:r>
        <w:rPr>
          <w:rFonts w:eastAsia="Times New Roman" w:cs="Arial" w:ascii="Arial" w:hAnsi="Arial"/>
          <w:color w:val="000000"/>
          <w:sz w:val="24"/>
          <w:szCs w:val="24"/>
          <w:lang w:eastAsia="pt-BR"/>
        </w:rPr>
        <w:t>). Para tanto, o representante indicado na Proposta Comercial para assinatura eletrônica do termo deverá cadastrar a senha, mediante e-mail pessoa física.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adjudicatário fica incumbido de apresentar cópia da procuração, contrato social ou documento equivalente, que designe expressamente seu representante habilitado para assinatura do termo de contrato.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 houver dúvida em relação à integridade dos documentos, o adjudicatário será convocado a apresentar os documentos originais não-digitais no prazo de 5 (cinco) dias úteis, contados da convocação. Caberá ao agente administrativo comparar o documento original e a cópia para atestar a autenticidade.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prazo de vigência da contratação é o estabelecido no Termo de Referência.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assinatura do contrato ou do instrumento equivalente, será exigida a comprovação das condições de habilitação e contratação consignadas neste Edital, que deverão ser mantidas pelo contratado durante a vigência do contrato.</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DAS INFRAÇÕES ADMINISTRATIVAS E SANÇÕES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Comete infração administrativa, nos termos da Lei, o licitante que, com dolo ou culpa: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30" w:name="_Ref145341925"/>
      <w:r>
        <w:rPr>
          <w:rFonts w:eastAsia="Times New Roman" w:cs="Arial" w:ascii="Arial" w:hAnsi="Arial"/>
          <w:color w:val="000000"/>
          <w:sz w:val="24"/>
          <w:szCs w:val="24"/>
          <w:lang w:eastAsia="pt-BR"/>
        </w:rPr>
        <w:t>deixar de entregar a documentação exigida para o certame ou não entregar qualquer documento que tenha sido solicitado pelo pregoeiro durante o certame;</w:t>
      </w:r>
      <w:bookmarkEnd w:id="30"/>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31" w:name="_Ref145341958"/>
      <w:r>
        <w:rPr>
          <w:rFonts w:eastAsia="Times New Roman" w:cs="Arial" w:ascii="Arial" w:hAnsi="Arial"/>
          <w:color w:val="000000"/>
          <w:sz w:val="24"/>
          <w:szCs w:val="24"/>
          <w:lang w:eastAsia="pt-BR"/>
        </w:rPr>
        <w:t>Salvo em decorrência de fato superveniente devidamente justificado, não mantiver a proposta em especial quando:</w:t>
      </w:r>
      <w:bookmarkEnd w:id="31"/>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enviar a proposta adequada ao último lance ofertado ou após a negociação;</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recusar-se a enviar o detalhamento da proposta quando exigível;</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pedir para ser desclassificado quando encerrada a etapa competitiva; ou</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apresentar proposta em desacordo com as especificações do Edital;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32" w:name="_Ref145341966"/>
      <w:r>
        <w:rPr>
          <w:rFonts w:eastAsia="Times New Roman" w:cs="Arial" w:ascii="Arial" w:hAnsi="Arial"/>
          <w:color w:val="000000"/>
          <w:sz w:val="24"/>
          <w:szCs w:val="24"/>
          <w:lang w:eastAsia="pt-BR"/>
        </w:rPr>
        <w:t>não celebrar o contrato ou não entregar a documentação exigida para a contratação, quando convocado dentro do prazo de validade de sua proposta;</w:t>
      </w:r>
      <w:bookmarkEnd w:id="32"/>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bookmarkStart w:id="33" w:name="_Ref145342637"/>
      <w:r>
        <w:rPr>
          <w:rFonts w:eastAsia="Times New Roman" w:cs="Arial" w:ascii="Arial" w:hAnsi="Arial"/>
          <w:color w:val="000000"/>
          <w:sz w:val="24"/>
          <w:szCs w:val="24"/>
          <w:lang w:eastAsia="pt-BR"/>
        </w:rPr>
        <w:t>recusar-se, sem justificativa, a assinar o contrato ou a ata de registro de preço, ou a aceitar ou retirar o instrumento equivalente no prazo estabelecido pela Administração;</w:t>
      </w:r>
      <w:bookmarkEnd w:id="33"/>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34" w:name="_Ref145342203"/>
      <w:r>
        <w:rPr>
          <w:rFonts w:eastAsia="Times New Roman" w:cs="Arial" w:ascii="Arial" w:hAnsi="Arial"/>
          <w:color w:val="000000"/>
          <w:sz w:val="24"/>
          <w:szCs w:val="24"/>
          <w:lang w:eastAsia="pt-BR"/>
        </w:rPr>
        <w:t>apresentar declaração ou documentação falsa exigida para o certame, a exemplo de declaração falsa quanto às condições de participação ou quanto ao enquadramento como ME/EPP, ou prestar declaração falsa durante a licitação;</w:t>
      </w:r>
      <w:bookmarkEnd w:id="34"/>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35" w:name="_Ref145342207"/>
      <w:r>
        <w:rPr>
          <w:rFonts w:eastAsia="Times New Roman" w:cs="Arial" w:ascii="Arial" w:hAnsi="Arial"/>
          <w:color w:val="000000"/>
          <w:sz w:val="24"/>
          <w:szCs w:val="24"/>
          <w:lang w:eastAsia="pt-BR"/>
        </w:rPr>
        <w:t>fraudar a licitação;</w:t>
      </w:r>
      <w:bookmarkEnd w:id="35"/>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36" w:name="_Ref145342210"/>
      <w:r>
        <w:rPr>
          <w:rFonts w:eastAsia="Times New Roman" w:cs="Arial" w:ascii="Arial" w:hAnsi="Arial"/>
          <w:color w:val="000000"/>
          <w:sz w:val="24"/>
          <w:szCs w:val="24"/>
          <w:lang w:eastAsia="pt-BR"/>
        </w:rPr>
        <w:t>comportar-se de modo inidôneo ou cometer fraude de qualquer natureza, em especial quando:</w:t>
      </w:r>
      <w:bookmarkEnd w:id="36"/>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agir em conluio ou em desconformidade com a lei;</w:t>
      </w:r>
    </w:p>
    <w:p>
      <w:pPr>
        <w:pStyle w:val="ListParagraph"/>
        <w:numPr>
          <w:ilvl w:val="3"/>
          <w:numId w:val="1"/>
        </w:numPr>
        <w:tabs>
          <w:tab w:val="clear" w:pos="567"/>
          <w:tab w:val="left" w:pos="2268" w:leader="none"/>
        </w:tabs>
        <w:spacing w:lineRule="auto" w:line="240" w:before="0" w:after="240"/>
        <w:ind w:left="1134"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induzir deliberadamente a erro no julgamento;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37" w:name="_Ref145342218"/>
      <w:r>
        <w:rPr>
          <w:rFonts w:eastAsia="Times New Roman" w:cs="Arial" w:ascii="Arial" w:hAnsi="Arial"/>
          <w:color w:val="000000"/>
          <w:sz w:val="24"/>
          <w:szCs w:val="24"/>
          <w:lang w:eastAsia="pt-BR"/>
        </w:rPr>
        <w:t>praticar atos ilícitos com vistas a frustrar os objetivos da licitação;</w:t>
      </w:r>
      <w:bookmarkEnd w:id="37"/>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bookmarkStart w:id="38" w:name="_Ref145342221"/>
      <w:r>
        <w:rPr>
          <w:rFonts w:eastAsia="Times New Roman" w:cs="Arial" w:ascii="Arial" w:hAnsi="Arial"/>
          <w:color w:val="000000"/>
          <w:sz w:val="24"/>
          <w:szCs w:val="24"/>
          <w:lang w:eastAsia="pt-BR"/>
        </w:rPr>
        <w:t>praticar ato lesivo previsto no art. 5º da Lei n. 12.846/2013.</w:t>
      </w:r>
      <w:bookmarkEnd w:id="38"/>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Com fulcro na Lei n. 14.133/2021, a Administração poderá, garantida a prévia defesa, aplicar aos licitantes e/ou adjudicatários as seguintes sanções, sem prejuízo das responsabilidades civil e criminal: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multa;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impedimento de licitar e contratar 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declaração de inidoneidade para licitar ou contratar.</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aplicação das sanções serão considerados: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natureza e a gravidade da infração cometida;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peculiaridades do caso concreto;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circunstâncias agravantes ou atenuantes;</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danos que dela provierem para a Administração Pública;</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implantação ou o aperfeiçoamento de programa de integridade, conforme normas e orientações dos órgãos de controle.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multa será recolhida em percentual de 0,5% a 30% incidente sobre o valor estimado da contratação ou do item pertinente, recolhida no prazo máximo de 5 (cinco) dias úteis, a contar da comunicação oficial.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 caso de não recolhimento no prazo estabelecido, ocorrerá o encaminhamento à cobrança judicial.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Para as infrações previstas nos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_Ref145341925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_Ref145341958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10.1.2</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_Ref145341966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10.1.3</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a multa será de 0,5% a 15% do valor estimado da contratação ou do item pertinente.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Para as infrações previstas nos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_Ref145342203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10.1.4</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_Ref145342207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10.1.5</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_Ref145342210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10.1.6</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_Ref145342218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10.1.7</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_Ref145342221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10.1.8</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a multa será de 20% a 30% do valor estimado da contratação ou do item pertinente.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sanções de impedimento de licitar e contratar e declaração de inidoneidade para licitar ou contratar poderão ser aplicadas, cumulativamente ou não, à penalidade de multa.</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aplicação da sanção de multa será facultada a defesa do interessado no prazo de 15 (quinze) dias úteis, contado da data de sua intimação.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sanção de impedimento de licitar e contratar será aplicada ao responsável em decorrência das infrações administrativas relacionadas nos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_Ref145341925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_Ref145341958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10.1.2</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_Ref145341966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10.1.3</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quando não se justificar a imposição de penalidade mais grave, e impedirá o responsável de licitar e contratar no âmbito da União, pelo prazo máximo de 3 (três) anos.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_Ref145342203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10.1.4</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a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_Ref145342221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10.1.8</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bem como pelas infrações administrativas previstas nos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_Ref145341925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a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_Ref145341966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10.1.3</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_Ref145342637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10.1.3.1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caracterizará o descumprimento total da obrigação assumida e o sujeitará às penalidades conforme previsto em termo de contrato ou instrumento equivalente                                                                                                                                                                                                                                                                                                                                                                                                                                                                                                                                                                                                                                                                                                                                                                                                          , nos termos do art. 45, § 4º, da </w:t>
      </w:r>
      <w:hyperlink r:id="rId15">
        <w:r>
          <w:rPr>
            <w:rStyle w:val="LinkdaInternet"/>
            <w:rFonts w:eastAsia="Times New Roman" w:cs="Arial" w:ascii="Arial" w:hAnsi="Arial"/>
            <w:sz w:val="24"/>
            <w:szCs w:val="24"/>
            <w:lang w:eastAsia="pt-BR"/>
          </w:rPr>
          <w:t>IN SEGES n. 73/2022</w:t>
        </w:r>
      </w:hyperlink>
      <w:r>
        <w:rPr>
          <w:rFonts w:eastAsia="Times New Roman" w:cs="Arial" w:ascii="Arial" w:hAnsi="Arial"/>
          <w:color w:val="000000"/>
          <w:sz w:val="24"/>
          <w:szCs w:val="24"/>
          <w:lang w:eastAsia="pt-BR"/>
        </w:rPr>
        <w:t>.</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recurso e o pedido de reconsideração terão efeito suspensivo do ato ou da decisão recorrida até que sobrevenha decisão final da autoridade competente.</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aplicação das sanções previstas neste Edital não exclui, em hipótese alguma, a obrigação de reparação integral dos danos causados.</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Os atos previstos como infrações administrativas na Lei n. 14.133/2021, ou em outras leis de licitações e contratos da Administração Pública que também sejam tipificados como atos lesivos na </w:t>
      </w:r>
      <w:hyperlink r:id="rId16">
        <w:r>
          <w:rPr>
            <w:rStyle w:val="LinkdaInternet"/>
            <w:rFonts w:eastAsia="Times New Roman" w:cs="Arial" w:ascii="Arial" w:hAnsi="Arial"/>
            <w:sz w:val="24"/>
            <w:szCs w:val="24"/>
            <w:lang w:eastAsia="pt-BR"/>
          </w:rPr>
          <w:t>Lei n. 12.846/2013</w:t>
        </w:r>
      </w:hyperlink>
      <w:r>
        <w:rPr>
          <w:rFonts w:eastAsia="Times New Roman" w:cs="Arial" w:ascii="Arial" w:hAnsi="Arial"/>
          <w:color w:val="000000"/>
          <w:sz w:val="24"/>
          <w:szCs w:val="24"/>
          <w:lang w:eastAsia="pt-BR"/>
        </w:rPr>
        <w:t>, serão apurados e julgados conjuntamente, nos mesmos autos, observados o rito procedimental e autoridade competente definidos na referida Lei (art. 159 da Lei n. 14.133/2021).</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personalidade jurídica do fornecedor poderá ser desconsiderada sempre que utilizada com abuso do direito para facilitar, encobrir ou dissimular a prática dos atos ilícitos previstos na Lei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Lei n. 14.133/2021).</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 14.133/2021).</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sanções de impedimento de licitar e contratar e declaração de inidoneidade para licitar ou contratar são passíveis de reabilitação na forma do art. 163 da Lei n. 14.133/2021.</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 IMPUGNAÇÃO AO EDITAL E DO PEDIDO DE ESCLARECIMENTO</w:t>
      </w:r>
    </w:p>
    <w:p>
      <w:pPr>
        <w:pStyle w:val="ListParagraph"/>
        <w:numPr>
          <w:ilvl w:val="1"/>
          <w:numId w:val="1"/>
        </w:numPr>
        <w:spacing w:lineRule="auto" w:line="240" w:before="0" w:after="240"/>
        <w:ind w:left="0"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Qualquer pessoa é parte legítima para impugnar este Edital por irregularidade na aplicação da Lei n. 14.133/2021 ou para solicitar esclarecimento sobre seus termos, devendo protocolar o pedido até 3 (três) dias úteis antes da data da abertura do certame.</w:t>
      </w:r>
    </w:p>
    <w:p>
      <w:pPr>
        <w:pStyle w:val="ListParagraph"/>
        <w:numPr>
          <w:ilvl w:val="1"/>
          <w:numId w:val="1"/>
        </w:numPr>
        <w:spacing w:lineRule="auto" w:line="240" w:before="0" w:after="240"/>
        <w:ind w:left="0" w:right="119" w:hanging="0"/>
        <w:contextualSpacing w:val="false"/>
        <w:jc w:val="both"/>
        <w:rPr>
          <w:rFonts w:ascii="Arial" w:hAnsi="Arial" w:eastAsia="Times New Roman" w:cs="Arial"/>
          <w:sz w:val="24"/>
          <w:szCs w:val="24"/>
          <w:lang w:eastAsia="pt-BR"/>
        </w:rPr>
      </w:pPr>
      <w:bookmarkStart w:id="39" w:name="_Ref145340712"/>
      <w:r>
        <w:rPr>
          <w:rFonts w:eastAsia="Times New Roman" w:cs="Arial" w:ascii="Arial" w:hAnsi="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39"/>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pregoeiro poderá requisitar subsídios formais aos responsáveis pela elaboração deste Edital e de seus anexos para a resposta a que se refere 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_Ref145340712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11.2</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impugnação e o pedido de esclarecimento deverão ser realizados por forma eletrônica no seguinte endereço: </w:t>
      </w:r>
      <w:hyperlink r:id="rId17">
        <w:r>
          <w:rPr>
            <w:rStyle w:val="LinkdaInternet"/>
            <w:rFonts w:eastAsia="Times New Roman" w:cs="Arial" w:ascii="Arial" w:hAnsi="Arial"/>
            <w:sz w:val="24"/>
            <w:szCs w:val="24"/>
            <w:lang w:eastAsia="pt-BR"/>
          </w:rPr>
          <w:t>admsp-suli@trf3.jus.br</w:t>
        </w:r>
      </w:hyperlink>
      <w:r>
        <w:rPr>
          <w:rFonts w:eastAsia="Times New Roman" w:cs="Arial" w:ascii="Arial" w:hAnsi="Arial"/>
          <w:color w:val="000000"/>
          <w:sz w:val="24"/>
          <w:szCs w:val="24"/>
          <w:lang w:eastAsia="pt-BR"/>
        </w:rPr>
        <w:t>.</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impugnações e pedidos de esclarecimentos não suspendem os prazos previstos no certame.</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concessão de efeito suspensivo à impugnação é medida excepcional e deverá ser motivada pelo pregoeiro, nos autos do processo de licitação.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Acolhida a impugnação, será definida e publicada nova data para a realização do certame.</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respostas aos pedidos de esclarecimentos e impugnações vincularão os participantes e a Administração.</w:t>
      </w:r>
    </w:p>
    <w:p>
      <w:pPr>
        <w:pStyle w:val="Normal"/>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right="12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DAS DISPOSIÇÕES GERAIS</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divulgada ata da sessão pública no sistema eletrônico.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Todas as referências de tempo no Edital, no aviso e durante a sessão pública observarão o horário de Brasília - DF.</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homologação do resultado desta licitação não implicará direito à contratação.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pPr>
        <w:pStyle w:val="ListParagraph"/>
        <w:numPr>
          <w:ilvl w:val="1"/>
          <w:numId w:val="1"/>
        </w:numPr>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 caso de divergência entre disposições deste Edital e de seus anexos ou demais peças que compõem o processo, prevalecerão as deste Edital.</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 caso de divergência entre informações insertas no SIASG/Compras Governamentais e este Edital, prevalecerão as deste Edital.</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Eventuais correspondências expedidas pelas partes signatárias deverão mencionar o número deste Edital e o assunto específico da correspondência.</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As comunicações feitas à Administração, após a homologação do certame, deverão ser endereçadas à Divisão de Manutenção Predial - DUMT, situada na Rua Peixoto Gomide, 768, São Paulo/SP, CEP: 01409-903, telefones (11) 2172-6395, ou no e-mail: </w:t>
      </w:r>
      <w:hyperlink r:id="rId18">
        <w:r>
          <w:rPr>
            <w:rStyle w:val="LinkdaInternet"/>
            <w:rFonts w:eastAsia="Times New Roman" w:cs="Arial" w:ascii="Arial" w:hAnsi="Arial"/>
            <w:sz w:val="24"/>
            <w:szCs w:val="24"/>
            <w:lang w:eastAsia="pt-BR"/>
          </w:rPr>
          <w:t>admsp-succ@trf3.jus.br</w:t>
        </w:r>
      </w:hyperlink>
      <w:r>
        <w:rPr>
          <w:rFonts w:eastAsia="Times New Roman" w:cs="Arial" w:ascii="Arial" w:hAnsi="Arial"/>
          <w:color w:val="000000"/>
          <w:sz w:val="24"/>
          <w:szCs w:val="24"/>
          <w:lang w:eastAsia="pt-BR"/>
        </w:rPr>
        <w:t>.</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comunicações feitas pela Administração em decorrência desta contratação ou de eventuais processos administrativos a ela inerentes, inclusive as relativas ao informe de rendimentos anual (conforme previsão contida no art. 37 da IN RFB n. 1.234/2012, em se tratando de pessoa jurídica, e no art. 3º, § 3º, da IN RFB n. 2.060/2021, no caso de pessoa física), serão realizadas em regra, por via eletrônica, no e-mail informado na Proposta Comercial, devendo o licitante mantê-lo atualizado.</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Ao licitante caberá confirmar o recebimento da correspondência eletrônica, no prazo de 1 (um) dia útil, contado de seu envio pela Administração.</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hipótese de ausência de confirmação do recebimento da correspondência eletrônica no prazo acima estipulado, considerar-se-á como realizada e recebida a comunicação pelo licitante.</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Nos prazos para apresentação de defesa prévia e de recurso, a Seção responsável pela intimação do licitante, franqueará, independentemente de pedido expresso, acesso ao “SEI – Sistema Eletrônico de Informações” ao representante legal do licitante, cujos dados foram informados na Proposta Comercial.</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 estritamente necessário, as comunicações serão enviadas por via postal para o endereço declarado na Proposta Comercial.</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Eventuais mudanças de endereços deverão ser comunicadas por escrito.</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licitante que desejar obter maiores informações sobre a contratação poderá entrar em contato com a </w:t>
      </w:r>
      <w:r>
        <w:rPr>
          <w:rFonts w:cs="Arial" w:ascii="Arial" w:hAnsi="Arial"/>
          <w:sz w:val="24"/>
          <w:szCs w:val="24"/>
        </w:rPr>
        <w:t>Seção de Licitações</w:t>
      </w:r>
      <w:r>
        <w:rPr>
          <w:rFonts w:eastAsia="Times New Roman" w:cs="Arial" w:ascii="Arial" w:hAnsi="Arial"/>
          <w:color w:val="000000"/>
          <w:sz w:val="24"/>
          <w:szCs w:val="24"/>
          <w:lang w:eastAsia="pt-BR"/>
        </w:rPr>
        <w:t xml:space="preserve"> (SULI) pelo e-mail </w:t>
      </w:r>
      <w:hyperlink r:id="rId19">
        <w:r>
          <w:rPr>
            <w:rStyle w:val="LinkdaInternet"/>
            <w:rFonts w:eastAsia="Times New Roman" w:cs="Arial" w:ascii="Arial" w:hAnsi="Arial"/>
            <w:sz w:val="24"/>
            <w:szCs w:val="24"/>
            <w:lang w:eastAsia="pt-BR"/>
          </w:rPr>
          <w:t>admsp-suli@trf3.jus.br</w:t>
        </w:r>
      </w:hyperlink>
      <w:r>
        <w:rPr>
          <w:rFonts w:eastAsia="Times New Roman" w:cs="Arial" w:ascii="Arial" w:hAnsi="Arial"/>
          <w:color w:val="000000"/>
          <w:sz w:val="24"/>
          <w:szCs w:val="24"/>
          <w:lang w:eastAsia="pt-BR"/>
        </w:rPr>
        <w:t xml:space="preserve"> no horário </w:t>
      </w:r>
      <w:r>
        <w:rPr>
          <w:rFonts w:cs="Arial" w:ascii="Arial" w:hAnsi="Arial"/>
          <w:sz w:val="24"/>
          <w:szCs w:val="24"/>
        </w:rPr>
        <w:t>das 13h às 19h</w:t>
      </w:r>
      <w:r>
        <w:rPr>
          <w:rFonts w:eastAsia="Times New Roman" w:cs="Arial" w:ascii="Arial" w:hAnsi="Arial"/>
          <w:color w:val="000000"/>
          <w:sz w:val="24"/>
          <w:szCs w:val="24"/>
          <w:lang w:eastAsia="pt-BR"/>
        </w:rPr>
        <w:t>.</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Edital e seus anexos estão disponíveis, na íntegra, no Portal Nacional de Contratações Públicas (PNCP) e no endereço eletrônico </w:t>
      </w:r>
      <w:hyperlink r:id="rId20" w:tgtFrame="Ir para o Portal de Transparência do TRF3">
        <w:r>
          <w:rPr>
            <w:rStyle w:val="LinkdaInternet"/>
            <w:rFonts w:eastAsia="Arial" w:cs="Arial" w:ascii="Arial" w:hAnsi="Arial"/>
            <w:sz w:val="24"/>
            <w:szCs w:val="24"/>
          </w:rPr>
          <w:t>web.trf3.jus.br/contas/Licitacoes</w:t>
        </w:r>
      </w:hyperlink>
      <w:r>
        <w:rPr>
          <w:rFonts w:eastAsia="Arial" w:cs="Arial" w:ascii="Arial" w:hAnsi="Arial"/>
          <w:sz w:val="24"/>
          <w:szCs w:val="24"/>
        </w:rPr>
        <w:t xml:space="preserve"> (órgão: Justiça Federal de São Paulo)</w:t>
      </w:r>
      <w:r>
        <w:rPr>
          <w:rFonts w:eastAsia="Times New Roman" w:cs="Arial" w:ascii="Arial" w:hAnsi="Arial"/>
          <w:color w:val="000000"/>
          <w:sz w:val="24"/>
          <w:szCs w:val="24"/>
          <w:lang w:eastAsia="pt-BR"/>
        </w:rPr>
        <w:t>.</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Os autos do processo permanecerão com vista franqueada, devendo o interessado enviar solicitação para o e-mail </w:t>
      </w:r>
      <w:hyperlink r:id="rId21" w:tgtFrame="E-mail da Seção de Licitações">
        <w:r>
          <w:rPr>
            <w:rStyle w:val="LinkdaInternet"/>
            <w:rFonts w:cs="Arial" w:ascii="Arial" w:hAnsi="Arial"/>
            <w:sz w:val="24"/>
            <w:szCs w:val="24"/>
          </w:rPr>
          <w:t>admsp-suli@trf3.jus.br</w:t>
        </w:r>
      </w:hyperlink>
      <w:r>
        <w:rPr>
          <w:rFonts w:eastAsia="Times New Roman" w:cs="Arial" w:ascii="Arial" w:hAnsi="Arial"/>
          <w:color w:val="000000"/>
          <w:sz w:val="24"/>
          <w:szCs w:val="24"/>
          <w:lang w:eastAsia="pt-BR"/>
        </w:rPr>
        <w:t>.</w:t>
      </w:r>
    </w:p>
    <w:p>
      <w:pPr>
        <w:pStyle w:val="ListParagraph"/>
        <w:numPr>
          <w:ilvl w:val="2"/>
          <w:numId w:val="1"/>
        </w:numPr>
        <w:tabs>
          <w:tab w:val="clear" w:pos="567"/>
          <w:tab w:val="left" w:pos="1560"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liberação de acesso aos autos do processo eletrônico para vistas se fará via e-mail, para o endereço eletrônico informado pelo solicitante.</w:t>
      </w:r>
    </w:p>
    <w:p>
      <w:pPr>
        <w:pStyle w:val="ListParagraph"/>
        <w:numPr>
          <w:ilvl w:val="1"/>
          <w:numId w:val="1"/>
        </w:numPr>
        <w:tabs>
          <w:tab w:val="clear" w:pos="567"/>
          <w:tab w:val="left" w:pos="709" w:leader="none"/>
        </w:tabs>
        <w:spacing w:lineRule="auto" w:line="240" w:before="0" w:after="240"/>
        <w:ind w:left="0" w:right="12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Integram este Edital, para todos os fins e efeitos, os seguintes anexos:</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ANEXO I </w:t>
        <w:tab/>
        <w:t xml:space="preserve">– </w:t>
        <w:tab/>
        <w:t>Termo de Referência;</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ANEXO I-A</w:t>
        <w:tab/>
        <w:t>-</w:t>
        <w:tab/>
        <w:t>Instrumento de Medição de Resultado - IMR</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ANEXO I-B</w:t>
        <w:tab/>
        <w:t>–</w:t>
        <w:tab/>
      </w:r>
      <w:r>
        <w:rPr>
          <w:rFonts w:eastAsia="Times New Roman" w:cs="Arial" w:ascii="Arial" w:hAnsi="Arial"/>
          <w:sz w:val="24"/>
          <w:szCs w:val="24"/>
          <w:lang w:eastAsia="pt-BR"/>
        </w:rPr>
        <w:t xml:space="preserve">Planilha de Preços Referenciais   </w:t>
      </w:r>
      <w:r>
        <w:rPr>
          <w:rStyle w:val="LinkdaInternet"/>
          <w:rFonts w:eastAsia="Times New Roman" w:cs="Arial" w:ascii="Arial" w:hAnsi="Arial"/>
          <w:b w:val="false"/>
          <w:i w:val="false"/>
          <w:caps w:val="false"/>
          <w:smallCaps w:val="false"/>
          <w:strike w:val="false"/>
          <w:dstrike w:val="false"/>
          <w:color w:val="000000"/>
          <w:spacing w:val="0"/>
          <w:sz w:val="24"/>
          <w:szCs w:val="24"/>
          <w:u w:val="none"/>
          <w:effect w:val="none"/>
          <w:shd w:fill="auto" w:val="clear"/>
          <w:lang w:eastAsia="pt-BR"/>
        </w:rPr>
        <w:t>Link para download do ANEXO I-B:</w:t>
      </w:r>
      <w:r>
        <w:rPr>
          <w:rStyle w:val="LinkdaInternet"/>
          <w:rFonts w:eastAsia="Times New Roman" w:cs="Arial" w:ascii="Helvetica Neue;Helvetica;Arial;sans-serif" w:hAnsi="Helvetica Neue;Helvetica;Arial;sans-serif"/>
          <w:b w:val="false"/>
          <w:i w:val="false"/>
          <w:caps w:val="false"/>
          <w:smallCaps w:val="false"/>
          <w:strike w:val="false"/>
          <w:dstrike w:val="false"/>
          <w:color w:val="337AB7"/>
          <w:spacing w:val="0"/>
          <w:sz w:val="17"/>
          <w:szCs w:val="24"/>
          <w:u w:val="none"/>
          <w:effect w:val="none"/>
          <w:shd w:fill="auto" w:val="clear"/>
          <w:lang w:eastAsia="pt-BR"/>
        </w:rPr>
        <w:t xml:space="preserve"> </w:t>
        <w:br/>
      </w:r>
      <w:r>
        <w:rPr>
          <w:rStyle w:val="LinkdaInternet"/>
          <w:rFonts w:eastAsia="Times New Roman" w:cs="Arial" w:ascii="Arial" w:hAnsi="Arial"/>
          <w:b w:val="false"/>
          <w:i w:val="false"/>
          <w:caps w:val="false"/>
          <w:smallCaps w:val="false"/>
          <w:strike w:val="false"/>
          <w:dstrike w:val="false"/>
          <w:color w:val="000000"/>
          <w:spacing w:val="0"/>
          <w:sz w:val="24"/>
          <w:szCs w:val="24"/>
          <w:u w:val="none"/>
          <w:effect w:val="none"/>
          <w:shd w:fill="auto" w:val="clear"/>
          <w:lang w:eastAsia="pt-BR"/>
        </w:rPr>
        <w:t>https://web.trf3.jus.br/anexos/download/R681194002</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ANEXO I-C</w:t>
        <w:tab/>
        <w:t>–</w:t>
        <w:tab/>
        <w:t>Estudos Técnicos Preliminares - ETP;</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ANEXO II </w:t>
        <w:tab/>
        <w:t xml:space="preserve">– </w:t>
        <w:tab/>
        <w:t>Documentação exigida para Habilitação;</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ANEXO III </w:t>
        <w:tab/>
        <w:t xml:space="preserve">– </w:t>
        <w:tab/>
        <w:t>Modelo de Proposta Comercial;</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ANEXO IV </w:t>
        <w:tab/>
        <w:t xml:space="preserve">– </w:t>
        <w:tab/>
        <w:t>Minuta de Contrato.</w:t>
      </w:r>
    </w:p>
    <w:p>
      <w:pPr>
        <w:pStyle w:val="Normal"/>
        <w:spacing w:lineRule="auto" w:line="240" w:before="0" w:after="240"/>
        <w:ind w:left="120" w:right="120" w:hanging="0"/>
        <w:jc w:val="center"/>
        <w:rPr>
          <w:rFonts w:ascii="Arial" w:hAnsi="Arial" w:eastAsia="Times New Roman" w:cs="Arial"/>
          <w:sz w:val="24"/>
          <w:szCs w:val="24"/>
          <w:lang w:eastAsia="pt-BR"/>
        </w:rPr>
      </w:pPr>
      <w:r>
        <w:rPr>
          <w:rFonts w:eastAsia="Times New Roman" w:cs="Arial" w:ascii="Arial" w:hAnsi="Arial"/>
          <w:color w:val="000000"/>
          <w:sz w:val="24"/>
          <w:szCs w:val="24"/>
          <w:lang w:eastAsia="pt-BR"/>
        </w:rPr>
        <w:t>São Paulo, 12 de junho de 2024.</w:t>
      </w:r>
    </w:p>
    <w:p>
      <w:pPr>
        <w:pStyle w:val="Normal"/>
        <w:tabs>
          <w:tab w:val="clear" w:pos="567"/>
          <w:tab w:val="left" w:pos="3450" w:leader="none"/>
        </w:tabs>
        <w:spacing w:lineRule="auto" w:line="240" w:before="0" w:after="240"/>
        <w:ind w:left="120" w:right="120" w:hanging="0"/>
        <w:jc w:val="center"/>
        <w:rPr>
          <w:rFonts w:ascii="Arial" w:hAnsi="Arial" w:eastAsia="Times New Roman" w:cs="Arial"/>
          <w:color w:val="000000"/>
          <w:sz w:val="24"/>
          <w:szCs w:val="24"/>
          <w:lang w:eastAsia="pt-BR"/>
        </w:rPr>
      </w:pPr>
      <w:r>
        <w:rPr>
          <w:rFonts w:eastAsia="Times New Roman" w:cs="Arial" w:ascii="Arial" w:hAnsi="Arial"/>
          <w:color w:val="000000"/>
          <w:sz w:val="24"/>
          <w:szCs w:val="24"/>
          <w:lang w:eastAsia="pt-BR"/>
        </w:rPr>
        <w:t>Vinícius Oliveira Teixeira</w:t>
      </w:r>
    </w:p>
    <w:p>
      <w:pPr>
        <w:pStyle w:val="Normal"/>
        <w:spacing w:lineRule="auto" w:line="240" w:before="0" w:after="240"/>
        <w:ind w:left="120" w:right="120" w:hanging="0"/>
        <w:jc w:val="center"/>
        <w:rPr>
          <w:rFonts w:ascii="Arial" w:hAnsi="Arial" w:eastAsia="Times New Roman" w:cs="Arial"/>
          <w:sz w:val="24"/>
          <w:szCs w:val="24"/>
          <w:lang w:eastAsia="pt-BR"/>
        </w:rPr>
      </w:pPr>
      <w:r>
        <w:rPr>
          <w:rFonts w:eastAsia="Times New Roman" w:cs="Arial" w:ascii="Arial" w:hAnsi="Arial"/>
          <w:color w:val="000000"/>
          <w:sz w:val="24"/>
          <w:szCs w:val="24"/>
          <w:lang w:eastAsia="pt-BR"/>
        </w:rPr>
        <w:t>Diretor da Divisão de Planejamento de Contratações</w:t>
      </w:r>
    </w:p>
    <w:p>
      <w:pPr>
        <w:pStyle w:val="Normal"/>
        <w:tabs>
          <w:tab w:val="clear" w:pos="567"/>
          <w:tab w:val="left" w:pos="3450" w:leader="none"/>
        </w:tabs>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Normal"/>
        <w:spacing w:lineRule="auto" w:line="240" w:before="0" w:after="0"/>
        <w:jc w:val="center"/>
        <w:rPr>
          <w:rFonts w:ascii="Arial" w:hAnsi="Arial" w:eastAsia="Times New Roman" w:cs="Arial"/>
          <w:b/>
          <w:b/>
          <w:bCs/>
          <w:sz w:val="24"/>
          <w:szCs w:val="24"/>
          <w:lang w:eastAsia="pt-BR"/>
        </w:rPr>
      </w:pPr>
      <w:r>
        <w:rPr>
          <w:rFonts w:eastAsia="Times New Roman" w:cs="Arial" w:ascii="Arial" w:hAnsi="Arial"/>
          <w:b/>
          <w:bCs/>
          <w:sz w:val="24"/>
          <w:szCs w:val="24"/>
          <w:lang w:eastAsia="pt-BR"/>
        </w:rPr>
      </w:r>
    </w:p>
    <w:p>
      <w:pPr>
        <w:pStyle w:val="Normal"/>
        <w:spacing w:lineRule="auto" w:line="240" w:before="0" w:after="240"/>
        <w:jc w:val="center"/>
        <w:rPr>
          <w:rFonts w:ascii="Arial" w:hAnsi="Arial" w:eastAsia="Times New Roman" w:cs="Arial"/>
          <w:sz w:val="24"/>
          <w:szCs w:val="24"/>
          <w:lang w:eastAsia="pt-BR"/>
        </w:rPr>
      </w:pPr>
      <w:bookmarkStart w:id="40" w:name="Anexo_II"/>
      <w:r>
        <w:rPr>
          <w:rFonts w:eastAsia="Times New Roman" w:cs="Arial" w:ascii="Arial" w:hAnsi="Arial"/>
          <w:b/>
          <w:bCs/>
          <w:sz w:val="24"/>
          <w:szCs w:val="24"/>
          <w:lang w:eastAsia="pt-BR"/>
        </w:rPr>
        <w:t>ANEXO II</w:t>
      </w:r>
      <w:bookmarkEnd w:id="40"/>
      <w:r>
        <w:rPr>
          <w:rFonts w:eastAsia="Times New Roman" w:cs="Arial" w:ascii="Arial" w:hAnsi="Arial"/>
          <w:b/>
          <w:bCs/>
          <w:sz w:val="24"/>
          <w:szCs w:val="24"/>
          <w:lang w:eastAsia="pt-BR"/>
        </w:rPr>
        <w:t xml:space="preserve"> – DOCUMENTAÇÃO EXIGIDA PARA HABILITAÇÃO</w:t>
      </w:r>
    </w:p>
    <w:p>
      <w:pPr>
        <w:pStyle w:val="Normal"/>
        <w:spacing w:lineRule="auto" w:line="240" w:before="0" w:after="0"/>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2"/>
        </w:numPr>
        <w:spacing w:lineRule="auto" w:line="240" w:before="0" w:after="240"/>
        <w:ind w:left="720" w:hanging="0"/>
        <w:contextualSpacing w:val="false"/>
        <w:jc w:val="both"/>
        <w:rPr>
          <w:rFonts w:ascii="Arial" w:hAnsi="Arial" w:eastAsia="Times New Roman" w:cs="Arial"/>
          <w:b/>
          <w:b/>
          <w:bCs/>
          <w:sz w:val="24"/>
          <w:szCs w:val="24"/>
          <w:lang w:eastAsia="pt-BR"/>
        </w:rPr>
      </w:pPr>
      <w:r>
        <w:rPr>
          <w:rFonts w:eastAsia="Times New Roman" w:cs="Arial" w:ascii="Arial" w:hAnsi="Arial"/>
          <w:b/>
          <w:bCs/>
          <w:sz w:val="24"/>
          <w:szCs w:val="24"/>
          <w:lang w:eastAsia="pt-BR"/>
        </w:rPr>
        <w:t xml:space="preserve"> </w:t>
      </w:r>
      <w:r>
        <w:rPr>
          <w:rFonts w:eastAsia="Times New Roman" w:cs="Arial" w:ascii="Arial" w:hAnsi="Arial"/>
          <w:b/>
          <w:bCs/>
          <w:sz w:val="24"/>
          <w:szCs w:val="24"/>
          <w:lang w:eastAsia="pt-BR"/>
        </w:rPr>
        <w:t>Habilitação jurídica:</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Empresário individual</w:t>
      </w:r>
      <w:r>
        <w:rPr>
          <w:rFonts w:eastAsia="Times New Roman" w:cs="Arial" w:ascii="Arial" w:hAnsi="Arial"/>
          <w:sz w:val="24"/>
          <w:szCs w:val="24"/>
          <w:lang w:eastAsia="pt-BR"/>
        </w:rPr>
        <w:t>: inscrição no Registro Público de Empresas Mercantis, a cargo da Junta Comercial da respectiva sede;</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Microempreendedor Individual - MEI</w:t>
      </w:r>
      <w:r>
        <w:rPr>
          <w:rFonts w:eastAsia="Times New Roman" w:cs="Arial" w:ascii="Arial" w:hAnsi="Arial"/>
          <w:sz w:val="24"/>
          <w:szCs w:val="24"/>
          <w:lang w:eastAsia="pt-BR"/>
        </w:rPr>
        <w:t>: Certificado da Condição de Microempreendedor Individual - CCMEI, cuja aceitação ficará condicionada à verificação da autenticidade no sítio eletrônico próprio;</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Sociedade empresária ou sociedade limitada unipessoal – SLU</w:t>
      </w:r>
      <w:r>
        <w:rPr>
          <w:rFonts w:eastAsia="Times New Roman" w:cs="Arial" w:ascii="Arial" w:hAnsi="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Sociedade empresária estrangeira</w:t>
      </w:r>
      <w:r>
        <w:rPr>
          <w:rFonts w:eastAsia="Times New Roman" w:cs="Arial" w:ascii="Arial" w:hAnsi="Arial"/>
          <w:sz w:val="24"/>
          <w:szCs w:val="24"/>
          <w:lang w:eastAsia="pt-BR"/>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 77, de 18 de março de 2020;</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Sociedade simples</w:t>
      </w:r>
      <w:r>
        <w:rPr>
          <w:rFonts w:eastAsia="Times New Roman" w:cs="Arial" w:ascii="Arial" w:hAnsi="Arial"/>
          <w:sz w:val="24"/>
          <w:szCs w:val="24"/>
          <w:lang w:eastAsia="pt-BR"/>
        </w:rPr>
        <w:t>: inscrição do ato constitutivo no Registro Civil de Pessoas Jurídicas do local de sua sede, acompanhada de documento comprobatório de seus administradores;</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Filial, sucursal ou agência de sociedade simples ou empresária</w:t>
      </w:r>
      <w:r>
        <w:rPr>
          <w:rFonts w:eastAsia="Times New Roman" w:cs="Arial" w:ascii="Arial" w:hAnsi="Arial"/>
          <w:sz w:val="24"/>
          <w:szCs w:val="24"/>
          <w:lang w:eastAsia="pt-BR"/>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Agricultor familiar</w:t>
      </w:r>
      <w:r>
        <w:rPr>
          <w:rFonts w:eastAsia="Times New Roman" w:cs="Arial" w:ascii="Arial" w:hAnsi="Arial"/>
          <w:sz w:val="24"/>
          <w:szCs w:val="24"/>
          <w:lang w:eastAsia="pt-BR"/>
        </w:rPr>
        <w:t>: Declaração de Aptidão ao Pronaf – DAP ou DAP-P válida, ou, ainda, outros documentos definidos pela Secretaria Especial de Agricultura Familiar e do Desenvolvimento Agrário, nos termos do art. 2º, §3º, do Decreto 11.802, de 28 de novembro de 2023.</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Produtor Rural</w:t>
      </w:r>
      <w:r>
        <w:rPr>
          <w:rFonts w:eastAsia="Times New Roman" w:cs="Arial" w:ascii="Arial" w:hAnsi="Arial"/>
          <w:sz w:val="24"/>
          <w:szCs w:val="24"/>
          <w:lang w:eastAsia="pt-BR"/>
        </w:rPr>
        <w:t>: matrícula no Cadastro Específico do INSS – CEI, que comprove a qualificação como produtor rural pessoa física, nos termos da Instrução Normativa RFB n. 2110, de 17 de outubro de 2022.</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Os documentos apresentados deverão estar acompanhados de todas as alterações ou da consolidação respectiva.</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Será verificada a compatibilidade do objeto social do licitante com o objeto da contratação.</w:t>
      </w:r>
    </w:p>
    <w:p>
      <w:pPr>
        <w:pStyle w:val="ListParagraph"/>
        <w:tabs>
          <w:tab w:val="clear" w:pos="567"/>
          <w:tab w:val="left" w:pos="1395" w:leader="none"/>
        </w:tabs>
        <w:spacing w:lineRule="auto" w:line="240" w:before="0" w:after="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b/>
      </w:r>
    </w:p>
    <w:p>
      <w:pPr>
        <w:pStyle w:val="ListParagraph"/>
        <w:numPr>
          <w:ilvl w:val="0"/>
          <w:numId w:val="2"/>
        </w:numPr>
        <w:spacing w:lineRule="auto" w:line="240" w:before="0" w:after="240"/>
        <w:ind w:left="720" w:hanging="0"/>
        <w:contextualSpacing w:val="false"/>
        <w:jc w:val="both"/>
        <w:rPr>
          <w:rFonts w:ascii="Arial" w:hAnsi="Arial" w:eastAsia="Times New Roman" w:cs="Arial"/>
          <w:b/>
          <w:b/>
          <w:bCs/>
          <w:sz w:val="24"/>
          <w:szCs w:val="24"/>
          <w:lang w:eastAsia="pt-BR"/>
        </w:rPr>
      </w:pPr>
      <w:r>
        <w:rPr>
          <w:rFonts w:eastAsia="Times New Roman" w:cs="Arial" w:ascii="Arial" w:hAnsi="Arial"/>
          <w:b/>
          <w:bCs/>
          <w:sz w:val="24"/>
          <w:szCs w:val="24"/>
          <w:lang w:eastAsia="pt-BR"/>
        </w:rPr>
        <w:t xml:space="preserve"> </w:t>
      </w:r>
      <w:r>
        <w:rPr>
          <w:rFonts w:eastAsia="Times New Roman" w:cs="Arial" w:ascii="Arial" w:hAnsi="Arial"/>
          <w:b/>
          <w:bCs/>
          <w:sz w:val="24"/>
          <w:szCs w:val="24"/>
          <w:lang w:eastAsia="pt-BR"/>
        </w:rPr>
        <w:t>Regularidade fiscal, social e trabalhista:</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inscrição no Cadastro Nacional da Pessoa Jurídica (CNPJ);</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 1.751, de 02/10/2014, do Secretário da Receita Federal do Brasil e da Procuradora-Geral da Fazenda Nacional.</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regularidade com o Fundo de Garantia do Tempo de Serviço (FGTS);</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Declaração eletrônica de que não emprega menor de 18 anos em trabalho noturno, perigoso ou insalubre e não emprega menor de 16 anos, salvo menor, a partir de 14 anos, na condição de aprendiz, nos termos do artigo 7°, XXXIII, da Constituição;</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 5.452, de 1º de maio de 1943;</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inscrição no cadastro de contribuintes Municipal/Distrital relativo ao domicílio ou sede do fornecedor, pertinente ao seu ramo de atividade e compatível com o objeto contratual;</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regularidade com a Fazenda Municipal/Distrital do domicílio ou sede do fornecedor, relativa à atividade em cujo exercício contrata ou concorre;</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o fornecedor seja considerado isento dos tributos Municipal/Distrital relacionados ao objeto contratual, deverá comprovar tal condição mediante a apresentação de declaração da Fazenda respectiva do seu domicílio ou sede, ou outra equivalente, na forma da lei.</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fornecedor enquadrado como microempreendedor individual que pretenda auferir os benefícios do tratamento diferenciado previstos na Lei Complementar n. 123/2006, estará dispensado da prova de inscrição nos cadastros de contribuintes estadual e municipal.</w:t>
      </w:r>
    </w:p>
    <w:p>
      <w:pPr>
        <w:pStyle w:val="Normal"/>
        <w:tabs>
          <w:tab w:val="clear" w:pos="567"/>
          <w:tab w:val="left" w:pos="975" w:leader="none"/>
        </w:tabs>
        <w:spacing w:lineRule="auto" w:line="240" w:before="0" w:after="0"/>
        <w:rPr>
          <w:rFonts w:ascii="Arial" w:hAnsi="Arial" w:eastAsia="Times New Roman" w:cs="Arial"/>
          <w:sz w:val="24"/>
          <w:szCs w:val="24"/>
          <w:lang w:eastAsia="pt-BR"/>
        </w:rPr>
      </w:pPr>
      <w:r>
        <w:rPr>
          <w:rFonts w:eastAsia="Times New Roman" w:cs="Arial" w:ascii="Arial" w:hAnsi="Arial"/>
          <w:sz w:val="24"/>
          <w:szCs w:val="24"/>
          <w:lang w:eastAsia="pt-BR"/>
        </w:rPr>
        <w:tab/>
      </w:r>
    </w:p>
    <w:p>
      <w:pPr>
        <w:pStyle w:val="ListParagraph"/>
        <w:numPr>
          <w:ilvl w:val="0"/>
          <w:numId w:val="2"/>
        </w:numPr>
        <w:spacing w:lineRule="auto" w:line="240" w:before="0" w:after="240"/>
        <w:ind w:left="720" w:hanging="0"/>
        <w:contextualSpacing w:val="false"/>
        <w:jc w:val="both"/>
        <w:rPr>
          <w:rFonts w:ascii="Arial" w:hAnsi="Arial" w:eastAsia="Times New Roman" w:cs="Arial"/>
          <w:b/>
          <w:b/>
          <w:bCs/>
          <w:sz w:val="24"/>
          <w:szCs w:val="24"/>
          <w:lang w:eastAsia="pt-BR"/>
        </w:rPr>
      </w:pPr>
      <w:r>
        <w:rPr>
          <w:rFonts w:eastAsia="Times New Roman" w:cs="Arial" w:ascii="Arial" w:hAnsi="Arial"/>
          <w:b/>
          <w:bCs/>
          <w:sz w:val="24"/>
          <w:szCs w:val="24"/>
          <w:lang w:eastAsia="pt-BR"/>
        </w:rPr>
        <w:t xml:space="preserve"> </w:t>
      </w:r>
      <w:r>
        <w:rPr>
          <w:rFonts w:eastAsia="Times New Roman" w:cs="Arial" w:ascii="Arial" w:hAnsi="Arial"/>
          <w:b/>
          <w:bCs/>
          <w:sz w:val="24"/>
          <w:szCs w:val="24"/>
          <w:lang w:eastAsia="pt-BR"/>
        </w:rPr>
        <w:t>Qualificação Econômico-Financeira:</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cs="Arial" w:ascii="Arial" w:hAnsi="Arial"/>
          <w:sz w:val="24"/>
          <w:szCs w:val="24"/>
        </w:rPr>
        <w:t>Certidão negativa de insolvência civil expedida pelo distribuidor do domicílio ou sede do licitante, caso se trate de pessoa física, desde que admitida a sua participação na licitação (art. 5º, inciso II, alínea “c”, da IN SEGES/ME nº 116/2021), ou de sociedade simples;</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Certidão negativa de falência expedida pelo distribuidor da sede do licitante;</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cs="Arial" w:ascii="Arial" w:hAnsi="Arial"/>
          <w:sz w:val="24"/>
          <w:szCs w:val="24"/>
        </w:rPr>
        <w:t>Balanço patrimonial, demonstração de resultado de exercício e demais demonstrações contábeis dos 2 (dois) últimos exercícios sociais, conforme critérios e justificativas apresentados no ETP (Anexo I-C) comprovando:</w:t>
      </w:r>
    </w:p>
    <w:p>
      <w:pPr>
        <w:pStyle w:val="ListParagraph"/>
        <w:numPr>
          <w:ilvl w:val="2"/>
          <w:numId w:val="2"/>
        </w:numPr>
        <w:spacing w:lineRule="auto" w:line="240" w:before="0" w:after="240"/>
        <w:ind w:left="851" w:hanging="0"/>
        <w:contextualSpacing/>
        <w:jc w:val="both"/>
        <w:rPr>
          <w:rFonts w:ascii="Arial" w:hAnsi="Arial" w:eastAsia="Times New Roman" w:cs="Arial"/>
          <w:sz w:val="24"/>
          <w:szCs w:val="24"/>
          <w:lang w:eastAsia="pt-BR"/>
        </w:rPr>
      </w:pPr>
      <w:r>
        <w:rPr>
          <w:rFonts w:cs="Arial" w:ascii="Arial" w:hAnsi="Arial"/>
          <w:sz w:val="24"/>
          <w:szCs w:val="24"/>
        </w:rPr>
        <w:t>Patrimônio líquido positivo (maior ou igual a zero).</w:t>
      </w:r>
    </w:p>
    <w:p>
      <w:pPr>
        <w:pStyle w:val="ListParagraph"/>
        <w:spacing w:lineRule="auto" w:line="240" w:before="0" w:after="240"/>
        <w:ind w:left="851" w:hanging="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2"/>
          <w:numId w:val="2"/>
        </w:numPr>
        <w:spacing w:lineRule="auto" w:line="240" w:before="0" w:after="240"/>
        <w:ind w:left="851" w:hanging="0"/>
        <w:contextualSpacing/>
        <w:jc w:val="both"/>
        <w:rPr>
          <w:rFonts w:ascii="Arial" w:hAnsi="Arial" w:eastAsia="Times New Roman" w:cs="Arial"/>
          <w:sz w:val="24"/>
          <w:szCs w:val="24"/>
          <w:lang w:eastAsia="pt-BR"/>
        </w:rPr>
      </w:pPr>
      <w:r>
        <w:rPr>
          <w:rFonts w:cs="Arial" w:ascii="Arial" w:hAnsi="Arial"/>
          <w:sz w:val="24"/>
          <w:szCs w:val="24"/>
        </w:rPr>
        <w:t>Os documentos referidos acima limitar-se-ão ao último exercício no caso de a pessoa jurídica ter sido constituída há menos de 2 (dois) anos.</w:t>
      </w:r>
    </w:p>
    <w:p>
      <w:pPr>
        <w:pStyle w:val="ListParagrap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2"/>
          <w:numId w:val="2"/>
        </w:numPr>
        <w:spacing w:lineRule="auto" w:line="240" w:before="0" w:after="240"/>
        <w:ind w:left="851" w:hanging="0"/>
        <w:contextualSpacing/>
        <w:jc w:val="both"/>
        <w:rPr>
          <w:rFonts w:ascii="Arial" w:hAnsi="Arial" w:eastAsia="Times New Roman" w:cs="Arial"/>
          <w:sz w:val="24"/>
          <w:szCs w:val="24"/>
          <w:lang w:eastAsia="pt-BR"/>
        </w:rPr>
      </w:pPr>
      <w:r>
        <w:rPr>
          <w:rFonts w:cs="Arial" w:ascii="Arial" w:hAnsi="Arial"/>
          <w:sz w:val="24"/>
          <w:szCs w:val="24"/>
        </w:rPr>
        <w:t>Os documentos referidos acima deverão ser exigidos com base no limite definido pela Receita Federal do Brasil para transmissão da Escrituração Contábil Digital - ECD ao Sped.</w:t>
      </w:r>
    </w:p>
    <w:p>
      <w:pPr>
        <w:pStyle w:val="ListParagrap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2"/>
          <w:numId w:val="2"/>
        </w:numPr>
        <w:spacing w:lineRule="auto" w:line="240" w:before="0" w:after="240"/>
        <w:ind w:left="851" w:hanging="0"/>
        <w:contextualSpacing/>
        <w:jc w:val="both"/>
        <w:rPr>
          <w:rFonts w:ascii="Arial" w:hAnsi="Arial" w:eastAsia="Times New Roman" w:cs="Arial"/>
          <w:sz w:val="24"/>
          <w:szCs w:val="24"/>
          <w:lang w:eastAsia="pt-BR"/>
        </w:rPr>
      </w:pPr>
      <w:r>
        <w:rPr>
          <w:rFonts w:cs="Arial" w:ascii="Arial" w:hAnsi="Arial"/>
          <w:sz w:val="24"/>
          <w:szCs w:val="24"/>
        </w:rPr>
        <w:t>É admissível o balanço intermediário, se decorrer de lei ou do contrato/estatuto social.</w:t>
      </w:r>
    </w:p>
    <w:p>
      <w:pPr>
        <w:pStyle w:val="ListParagrap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cs="Arial" w:ascii="Arial" w:hAnsi="Arial"/>
          <w:sz w:val="24"/>
          <w:szCs w:val="24"/>
        </w:rPr>
        <w:t>As empresas criadas no exercício financeiro da licitação deverão atender a todas as exigências da habilitação e poderão substituir os demonstrativos contábeis pelo balanço de abertura</w:t>
      </w:r>
      <w:r>
        <w:rPr>
          <w:rFonts w:eastAsia="Times New Roman" w:cs="Arial" w:ascii="Arial" w:hAnsi="Arial"/>
          <w:sz w:val="24"/>
          <w:szCs w:val="24"/>
          <w:lang w:eastAsia="pt-BR"/>
        </w:rPr>
        <w:t>.</w:t>
      </w:r>
    </w:p>
    <w:p>
      <w:pPr>
        <w:pStyle w:val="Normal"/>
        <w:spacing w:lineRule="auto" w:line="240" w:before="0" w:after="0"/>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2"/>
        </w:numPr>
        <w:spacing w:lineRule="auto" w:line="240" w:before="0" w:after="240"/>
        <w:ind w:left="720" w:hanging="0"/>
        <w:contextualSpacing w:val="false"/>
        <w:jc w:val="both"/>
        <w:rPr>
          <w:rFonts w:ascii="Arial" w:hAnsi="Arial" w:eastAsia="Times New Roman" w:cs="Arial"/>
          <w:b/>
          <w:b/>
          <w:bCs/>
          <w:sz w:val="24"/>
          <w:szCs w:val="24"/>
          <w:lang w:eastAsia="pt-BR"/>
        </w:rPr>
      </w:pPr>
      <w:r>
        <w:rPr>
          <w:rFonts w:eastAsia="Times New Roman" w:cs="Arial" w:ascii="Arial" w:hAnsi="Arial"/>
          <w:b/>
          <w:bCs/>
          <w:sz w:val="24"/>
          <w:szCs w:val="24"/>
          <w:lang w:eastAsia="pt-BR"/>
        </w:rPr>
        <w:t xml:space="preserve"> </w:t>
      </w:r>
      <w:r>
        <w:rPr>
          <w:rFonts w:eastAsia="Times New Roman" w:cs="Arial" w:ascii="Arial" w:hAnsi="Arial"/>
          <w:b/>
          <w:bCs/>
          <w:sz w:val="24"/>
          <w:szCs w:val="24"/>
          <w:lang w:eastAsia="pt-BR"/>
        </w:rPr>
        <w:t>Qualificação Técnica:</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Conforme critérios previstos nos subitens 9.4.1 a 9.8.3 do Termo de Referência (Anexo I), transcritos a seguir:</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cs="Arial" w:ascii="Arial" w:hAnsi="Arial"/>
          <w:sz w:val="24"/>
          <w:szCs w:val="24"/>
        </w:rPr>
        <w:t>Registro da empresa licitante no Conselho Regional de Engenharia e Agronomia – CREA, Conselho Regional dos Técnicos Industriais - CRT ou órgão de Classe correspondente (entidade profissional competente)</w:t>
      </w:r>
      <w:r>
        <w:rPr>
          <w:rFonts w:eastAsia="Times New Roman" w:cs="Arial" w:ascii="Arial" w:hAnsi="Arial"/>
          <w:sz w:val="24"/>
          <w:szCs w:val="24"/>
          <w:lang w:eastAsia="pt-BR"/>
        </w:rPr>
        <w:t>.</w:t>
      </w:r>
    </w:p>
    <w:p>
      <w:pPr>
        <w:pStyle w:val="ListParagraph"/>
        <w:numPr>
          <w:ilvl w:val="2"/>
          <w:numId w:val="2"/>
        </w:numPr>
        <w:spacing w:lineRule="auto" w:line="240" w:before="0" w:after="240"/>
        <w:ind w:left="851" w:hanging="0"/>
        <w:contextualSpacing w:val="false"/>
        <w:jc w:val="both"/>
        <w:rPr>
          <w:rFonts w:ascii="Arial" w:hAnsi="Arial" w:eastAsia="Times New Roman" w:cs="Arial"/>
          <w:sz w:val="24"/>
          <w:szCs w:val="24"/>
          <w:lang w:eastAsia="pt-BR"/>
        </w:rPr>
      </w:pPr>
      <w:r>
        <w:rPr>
          <w:rFonts w:cs="Arial" w:ascii="Arial" w:hAnsi="Arial"/>
          <w:sz w:val="24"/>
          <w:szCs w:val="24"/>
        </w:rPr>
        <w:t>Sociedades</w:t>
      </w:r>
      <w:r>
        <w:rPr>
          <w:rFonts w:eastAsia="Times New Roman" w:cs="Arial" w:ascii="Arial" w:hAnsi="Arial"/>
          <w:sz w:val="24"/>
          <w:szCs w:val="24"/>
          <w:lang w:eastAsia="pt-BR"/>
        </w:rPr>
        <w:t xml:space="preserve"> empresárias estrangeiras atenderão à exigência por meio da apresentação, no momento da assinatura do contrato, da solicitação de registro perante a entidade profissional </w:t>
      </w:r>
      <w:r>
        <w:rPr>
          <w:rFonts w:cs="Arial" w:ascii="Arial" w:hAnsi="Arial"/>
          <w:sz w:val="24"/>
          <w:szCs w:val="24"/>
        </w:rPr>
        <w:t>competente</w:t>
      </w:r>
      <w:r>
        <w:rPr>
          <w:rFonts w:eastAsia="Times New Roman" w:cs="Arial" w:ascii="Arial" w:hAnsi="Arial"/>
          <w:sz w:val="24"/>
          <w:szCs w:val="24"/>
          <w:lang w:eastAsia="pt-BR"/>
        </w:rPr>
        <w:t xml:space="preserve"> no Brasil.</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cs="Arial" w:ascii="Arial" w:hAnsi="Arial"/>
          <w:sz w:val="24"/>
          <w:szCs w:val="24"/>
          <w:u w:val="single"/>
        </w:rPr>
        <w:t>Capacidade Técnico Operacional</w:t>
      </w:r>
      <w:r>
        <w:rPr>
          <w:rFonts w:cs="Arial" w:ascii="Arial" w:hAnsi="Arial"/>
          <w:sz w:val="24"/>
          <w:szCs w:val="24"/>
        </w:rPr>
        <w:t>: Comprovação de aptidão para a prestação dos serviços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 inclusive a CAO - Certidão de Acervo Operacional, conforme disposto na regulamentação do Conselho Federal de Engenharia e Agronomia - CONFEA.</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cs="Arial" w:ascii="Arial" w:hAnsi="Arial"/>
          <w:sz w:val="24"/>
          <w:szCs w:val="24"/>
        </w:rPr>
        <w:t>Para fins da comprovação de que trata o subitem anterior, os atestados deverão dizer respeito a contratos executados, cuja compatibilidade com o serviço que se pretende contratar será avaliada através do ICT - Índice de Capacidade Técnica, em conformidade com o que segue:</w:t>
      </w:r>
    </w:p>
    <w:tbl>
      <w:tblPr>
        <w:tblW w:w="8505" w:type="dxa"/>
        <w:jc w:val="left"/>
        <w:tblInd w:w="418" w:type="dxa"/>
        <w:tblLayout w:type="fixed"/>
        <w:tblCellMar>
          <w:top w:w="0" w:type="dxa"/>
          <w:left w:w="7" w:type="dxa"/>
          <w:bottom w:w="0" w:type="dxa"/>
          <w:right w:w="7" w:type="dxa"/>
        </w:tblCellMar>
        <w:tblLook w:firstRow="1" w:noVBand="1" w:lastRow="0" w:firstColumn="1" w:lastColumn="0" w:noHBand="0" w:val="04a0"/>
      </w:tblPr>
      <w:tblGrid>
        <w:gridCol w:w="2446"/>
        <w:gridCol w:w="1997"/>
        <w:gridCol w:w="1900"/>
        <w:gridCol w:w="2161"/>
      </w:tblGrid>
      <w:tr>
        <w:trPr/>
        <w:tc>
          <w:tcPr>
            <w:tcW w:w="2446" w:type="dxa"/>
            <w:tcBorders>
              <w:top w:val="single" w:sz="6" w:space="0" w:color="000000"/>
              <w:left w:val="single" w:sz="6" w:space="0" w:color="000000"/>
              <w:bottom w:val="single" w:sz="6" w:space="0" w:color="000000"/>
              <w:right w:val="single" w:sz="6" w:space="0" w:color="000000"/>
            </w:tcBorders>
            <w:vAlign w:val="center"/>
          </w:tcPr>
          <w:p>
            <w:pPr>
              <w:pStyle w:val="ListParagraph"/>
              <w:widowControl w:val="false"/>
              <w:spacing w:lineRule="auto" w:line="240" w:beforeAutospacing="1" w:after="0"/>
              <w:ind w:left="360" w:hanging="0"/>
              <w:contextualSpacing/>
              <w:rPr>
                <w:rFonts w:ascii="Arial" w:hAnsi="Arial" w:eastAsia="Times New Roman" w:cs="Arial"/>
                <w:color w:val="000000"/>
                <w:lang w:eastAsia="pt-BR"/>
              </w:rPr>
            </w:pPr>
            <w:r>
              <w:rPr>
                <w:rFonts w:eastAsia="Times New Roman" w:cs="Arial" w:ascii="Arial" w:hAnsi="Arial"/>
                <w:b/>
                <w:bCs/>
                <w:color w:val="000000"/>
                <w:lang w:eastAsia="pt-BR"/>
              </w:rPr>
              <w:t>DADOS DO ELEVADOR/ PLATAFORMA ELEVATÓRIA</w:t>
            </w:r>
          </w:p>
        </w:tc>
        <w:tc>
          <w:tcPr>
            <w:tcW w:w="19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rPr>
                <w:rFonts w:ascii="Arial" w:hAnsi="Arial" w:eastAsia="Times New Roman" w:cs="Arial"/>
                <w:color w:val="000000"/>
                <w:lang w:eastAsia="pt-BR"/>
              </w:rPr>
            </w:pPr>
            <w:r>
              <w:rPr>
                <w:rFonts w:eastAsia="Times New Roman" w:cs="Arial" w:ascii="Arial" w:hAnsi="Arial"/>
                <w:b/>
                <w:bCs/>
                <w:color w:val="000000"/>
                <w:lang w:eastAsia="pt-BR"/>
              </w:rPr>
              <w:t>Características do Elevador da Justiça Federal</w:t>
            </w:r>
          </w:p>
        </w:tc>
        <w:tc>
          <w:tcPr>
            <w:tcW w:w="19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rPr>
                <w:rFonts w:ascii="Arial" w:hAnsi="Arial" w:eastAsia="Times New Roman" w:cs="Arial"/>
                <w:color w:val="000000"/>
                <w:lang w:eastAsia="pt-BR"/>
              </w:rPr>
            </w:pPr>
            <w:r>
              <w:rPr>
                <w:rFonts w:eastAsia="Times New Roman" w:cs="Arial" w:ascii="Arial" w:hAnsi="Arial"/>
                <w:b/>
                <w:bCs/>
                <w:color w:val="000000"/>
                <w:lang w:eastAsia="pt-BR"/>
              </w:rPr>
              <w:t>Atestado de Capacidade Técnica</w:t>
            </w:r>
          </w:p>
        </w:tc>
        <w:tc>
          <w:tcPr>
            <w:tcW w:w="2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rPr>
                <w:rFonts w:ascii="Arial" w:hAnsi="Arial" w:eastAsia="Times New Roman" w:cs="Arial"/>
                <w:color w:val="000000"/>
                <w:lang w:eastAsia="pt-BR"/>
              </w:rPr>
            </w:pPr>
            <w:r>
              <w:rPr>
                <w:rFonts w:eastAsia="Times New Roman" w:cs="Arial" w:ascii="Arial" w:hAnsi="Arial"/>
                <w:b/>
                <w:bCs/>
                <w:color w:val="000000"/>
                <w:lang w:eastAsia="pt-BR"/>
              </w:rPr>
              <w:t>Índice de Capacidade Técnica “Ict”</w:t>
            </w:r>
          </w:p>
        </w:tc>
      </w:tr>
      <w:tr>
        <w:trPr/>
        <w:tc>
          <w:tcPr>
            <w:tcW w:w="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rPr>
                <w:rFonts w:ascii="Arial" w:hAnsi="Arial" w:eastAsia="Times New Roman" w:cs="Arial"/>
                <w:color w:val="000000"/>
                <w:lang w:eastAsia="pt-BR"/>
              </w:rPr>
            </w:pPr>
            <w:r>
              <w:rPr>
                <w:rFonts w:eastAsia="Times New Roman" w:cs="Arial" w:ascii="Arial" w:hAnsi="Arial"/>
                <w:b/>
                <w:bCs/>
                <w:color w:val="000000"/>
                <w:lang w:eastAsia="pt-BR"/>
              </w:rPr>
              <w:t>Vel. Máq. (m/min)</w:t>
            </w:r>
          </w:p>
        </w:tc>
        <w:tc>
          <w:tcPr>
            <w:tcW w:w="19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b/>
                <w:bCs/>
                <w:color w:val="000000"/>
                <w:lang w:eastAsia="pt-BR"/>
              </w:rPr>
              <w:t>A</w:t>
            </w:r>
          </w:p>
        </w:tc>
        <w:tc>
          <w:tcPr>
            <w:tcW w:w="19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b/>
                <w:bCs/>
                <w:color w:val="000000"/>
                <w:lang w:eastAsia="pt-BR"/>
              </w:rPr>
              <w:t>a</w:t>
            </w:r>
          </w:p>
        </w:tc>
        <w:tc>
          <w:tcPr>
            <w:tcW w:w="2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color w:val="000000"/>
                <w:lang w:eastAsia="pt-BR"/>
              </w:rPr>
              <w:t>Ict ≥ 80 %</w:t>
            </w:r>
          </w:p>
        </w:tc>
      </w:tr>
      <w:tr>
        <w:trPr/>
        <w:tc>
          <w:tcPr>
            <w:tcW w:w="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rPr>
                <w:rFonts w:ascii="Arial" w:hAnsi="Arial" w:eastAsia="Times New Roman" w:cs="Arial"/>
                <w:color w:val="000000"/>
                <w:lang w:eastAsia="pt-BR"/>
              </w:rPr>
            </w:pPr>
            <w:r>
              <w:rPr>
                <w:rFonts w:eastAsia="Times New Roman" w:cs="Arial" w:ascii="Arial" w:hAnsi="Arial"/>
                <w:b/>
                <w:bCs/>
                <w:color w:val="000000"/>
                <w:lang w:eastAsia="pt-BR"/>
              </w:rPr>
              <w:t>Capacidade (kg)</w:t>
            </w:r>
          </w:p>
        </w:tc>
        <w:tc>
          <w:tcPr>
            <w:tcW w:w="19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b/>
                <w:bCs/>
                <w:color w:val="000000"/>
                <w:lang w:eastAsia="pt-BR"/>
              </w:rPr>
              <w:t>B</w:t>
            </w:r>
          </w:p>
        </w:tc>
        <w:tc>
          <w:tcPr>
            <w:tcW w:w="19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b/>
                <w:bCs/>
                <w:color w:val="000000"/>
                <w:lang w:eastAsia="pt-BR"/>
              </w:rPr>
              <w:t>b</w:t>
            </w:r>
          </w:p>
        </w:tc>
        <w:tc>
          <w:tcPr>
            <w:tcW w:w="2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color w:val="000000"/>
                <w:lang w:eastAsia="pt-BR"/>
              </w:rPr>
              <w:t>Ict ≥ 80 %</w:t>
            </w:r>
          </w:p>
        </w:tc>
      </w:tr>
      <w:tr>
        <w:trPr/>
        <w:tc>
          <w:tcPr>
            <w:tcW w:w="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rPr>
                <w:rFonts w:ascii="Arial" w:hAnsi="Arial" w:eastAsia="Times New Roman" w:cs="Arial"/>
                <w:color w:val="000000"/>
                <w:lang w:eastAsia="pt-BR"/>
              </w:rPr>
            </w:pPr>
            <w:r>
              <w:rPr>
                <w:rFonts w:eastAsia="Times New Roman" w:cs="Arial" w:ascii="Arial" w:hAnsi="Arial"/>
                <w:b/>
                <w:bCs/>
                <w:color w:val="000000"/>
                <w:lang w:eastAsia="pt-BR"/>
              </w:rPr>
              <w:t>N.º Passageiros</w:t>
            </w:r>
          </w:p>
        </w:tc>
        <w:tc>
          <w:tcPr>
            <w:tcW w:w="19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b/>
                <w:bCs/>
                <w:color w:val="000000"/>
                <w:lang w:eastAsia="pt-BR"/>
              </w:rPr>
              <w:t>C</w:t>
            </w:r>
          </w:p>
        </w:tc>
        <w:tc>
          <w:tcPr>
            <w:tcW w:w="19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b/>
                <w:bCs/>
                <w:color w:val="000000"/>
                <w:lang w:eastAsia="pt-BR"/>
              </w:rPr>
              <w:t>c</w:t>
            </w:r>
          </w:p>
        </w:tc>
        <w:tc>
          <w:tcPr>
            <w:tcW w:w="2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color w:val="000000"/>
                <w:lang w:eastAsia="pt-BR"/>
              </w:rPr>
              <w:t>Ict ≥ 80 %</w:t>
            </w:r>
          </w:p>
        </w:tc>
      </w:tr>
      <w:tr>
        <w:trPr/>
        <w:tc>
          <w:tcPr>
            <w:tcW w:w="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rPr>
                <w:rFonts w:ascii="Arial" w:hAnsi="Arial" w:eastAsia="Times New Roman" w:cs="Arial"/>
                <w:color w:val="000000"/>
                <w:lang w:eastAsia="pt-BR"/>
              </w:rPr>
            </w:pPr>
            <w:r>
              <w:rPr>
                <w:rFonts w:eastAsia="Times New Roman" w:cs="Arial" w:ascii="Arial" w:hAnsi="Arial"/>
                <w:b/>
                <w:bCs/>
                <w:color w:val="000000"/>
                <w:lang w:eastAsia="pt-BR"/>
              </w:rPr>
              <w:t>N.º Paradas</w:t>
            </w:r>
          </w:p>
        </w:tc>
        <w:tc>
          <w:tcPr>
            <w:tcW w:w="19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b/>
                <w:bCs/>
                <w:color w:val="000000"/>
                <w:lang w:eastAsia="pt-BR"/>
              </w:rPr>
              <w:t>D</w:t>
            </w:r>
          </w:p>
        </w:tc>
        <w:tc>
          <w:tcPr>
            <w:tcW w:w="19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b/>
                <w:bCs/>
                <w:color w:val="000000"/>
                <w:lang w:eastAsia="pt-BR"/>
              </w:rPr>
              <w:t>d</w:t>
            </w:r>
          </w:p>
        </w:tc>
        <w:tc>
          <w:tcPr>
            <w:tcW w:w="2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color w:val="000000"/>
                <w:lang w:eastAsia="pt-BR"/>
              </w:rPr>
              <w:t>Ict ≥ 80 %</w:t>
            </w:r>
          </w:p>
        </w:tc>
      </w:tr>
      <w:tr>
        <w:trPr/>
        <w:tc>
          <w:tcPr>
            <w:tcW w:w="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rPr>
                <w:rFonts w:ascii="Arial" w:hAnsi="Arial" w:eastAsia="Times New Roman" w:cs="Arial"/>
                <w:color w:val="000000"/>
                <w:lang w:eastAsia="pt-BR"/>
              </w:rPr>
            </w:pPr>
            <w:r>
              <w:rPr>
                <w:rFonts w:eastAsia="Times New Roman" w:cs="Arial" w:ascii="Arial" w:hAnsi="Arial"/>
                <w:b/>
                <w:bCs/>
                <w:color w:val="000000"/>
                <w:lang w:eastAsia="pt-BR"/>
              </w:rPr>
              <w:t>N.º Elevadores/ Plataformas Elevatórias</w:t>
            </w:r>
          </w:p>
        </w:tc>
        <w:tc>
          <w:tcPr>
            <w:tcW w:w="19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b/>
                <w:bCs/>
                <w:color w:val="000000"/>
                <w:lang w:eastAsia="pt-BR"/>
              </w:rPr>
              <w:t>E</w:t>
            </w:r>
          </w:p>
        </w:tc>
        <w:tc>
          <w:tcPr>
            <w:tcW w:w="19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b/>
                <w:bCs/>
                <w:color w:val="000000"/>
                <w:lang w:eastAsia="pt-BR"/>
              </w:rPr>
              <w:t>e</w:t>
            </w:r>
          </w:p>
        </w:tc>
        <w:tc>
          <w:tcPr>
            <w:tcW w:w="2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40" w:beforeAutospacing="1" w:after="0"/>
              <w:jc w:val="center"/>
              <w:rPr>
                <w:rFonts w:ascii="Arial" w:hAnsi="Arial" w:eastAsia="Times New Roman" w:cs="Arial"/>
                <w:color w:val="000000"/>
                <w:lang w:eastAsia="pt-BR"/>
              </w:rPr>
            </w:pPr>
            <w:r>
              <w:rPr>
                <w:rFonts w:eastAsia="Times New Roman" w:cs="Arial" w:ascii="Arial" w:hAnsi="Arial"/>
                <w:color w:val="000000"/>
                <w:lang w:eastAsia="pt-BR"/>
              </w:rPr>
              <w:t>Ict ≥ 80 %</w:t>
            </w:r>
          </w:p>
        </w:tc>
      </w:tr>
    </w:tbl>
    <w:p>
      <w:pPr>
        <w:pStyle w:val="ListParagraph"/>
        <w:spacing w:lineRule="auto" w:line="240" w:before="0" w:after="12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Normal"/>
        <w:spacing w:lineRule="auto" w:line="240" w:before="0" w:after="0"/>
        <w:ind w:left="426" w:hanging="0"/>
        <w:jc w:val="both"/>
        <w:rPr>
          <w:rFonts w:ascii="Arial" w:hAnsi="Arial" w:eastAsia="Times New Roman" w:cs="Arial"/>
          <w:sz w:val="24"/>
          <w:szCs w:val="24"/>
          <w:lang w:eastAsia="pt-BR"/>
        </w:rPr>
      </w:pPr>
      <w:r>
        <w:rPr>
          <w:rFonts w:eastAsia="Times New Roman" w:cs="Arial" w:ascii="Arial" w:hAnsi="Arial"/>
          <w:b/>
          <w:bCs/>
          <w:sz w:val="24"/>
          <w:szCs w:val="24"/>
          <w:u w:val="single"/>
          <w:lang w:eastAsia="pt-BR"/>
        </w:rPr>
        <w:t>Ict</w:t>
      </w:r>
      <w:r>
        <w:rPr>
          <w:rFonts w:eastAsia="Times New Roman" w:cs="Arial" w:ascii="Arial" w:hAnsi="Arial"/>
          <w:b/>
          <w:bCs/>
          <w:sz w:val="24"/>
          <w:szCs w:val="24"/>
          <w:lang w:eastAsia="pt-BR"/>
        </w:rPr>
        <w:t xml:space="preserve"> = </w:t>
      </w:r>
      <w:r>
        <w:rPr>
          <w:rFonts w:eastAsia="Times New Roman" w:cs="Arial" w:ascii="Arial" w:hAnsi="Arial"/>
          <w:b/>
          <w:bCs/>
          <w:sz w:val="24"/>
          <w:szCs w:val="24"/>
          <w:u w:val="single"/>
          <w:lang w:eastAsia="pt-BR"/>
        </w:rPr>
        <w:t xml:space="preserve">Características do Atestado de Capacidade Técnica (da empresa licitante) </w:t>
      </w:r>
      <w:r>
        <w:rPr>
          <w:rFonts w:eastAsia="Times New Roman" w:cs="Arial" w:ascii="Arial" w:hAnsi="Arial"/>
          <w:b/>
          <w:bCs/>
          <w:sz w:val="24"/>
          <w:szCs w:val="24"/>
          <w:lang w:eastAsia="pt-BR"/>
        </w:rPr>
        <w:t>x 100</w:t>
      </w:r>
    </w:p>
    <w:p>
      <w:pPr>
        <w:pStyle w:val="Normal"/>
        <w:spacing w:lineRule="auto" w:line="240" w:beforeAutospacing="1" w:afterAutospacing="1"/>
        <w:ind w:left="426" w:hanging="0"/>
        <w:jc w:val="both"/>
        <w:rPr>
          <w:rFonts w:ascii="Arial" w:hAnsi="Arial" w:eastAsia="Times New Roman" w:cs="Arial"/>
          <w:sz w:val="24"/>
          <w:szCs w:val="24"/>
          <w:lang w:eastAsia="pt-BR"/>
        </w:rPr>
      </w:pPr>
      <w:r>
        <w:rPr>
          <w:rFonts w:eastAsia="Times New Roman" w:cs="Arial" w:ascii="Arial" w:hAnsi="Arial"/>
          <w:b/>
          <w:bCs/>
          <w:sz w:val="24"/>
          <w:szCs w:val="24"/>
          <w:lang w:eastAsia="pt-BR"/>
        </w:rPr>
        <w:t xml:space="preserve">Características dos Elevadores </w:t>
      </w:r>
      <w:r>
        <w:rPr>
          <w:rFonts w:eastAsia="Times New Roman" w:cs="Arial" w:ascii="Arial" w:hAnsi="Arial"/>
          <w:sz w:val="24"/>
          <w:szCs w:val="24"/>
          <w:lang w:eastAsia="pt-BR"/>
        </w:rPr>
        <w:t>(</w:t>
      </w:r>
      <w:r>
        <w:rPr>
          <w:rFonts w:eastAsia="Times New Roman" w:cs="Arial" w:ascii="Arial" w:hAnsi="Arial"/>
          <w:b/>
          <w:bCs/>
          <w:sz w:val="24"/>
          <w:szCs w:val="24"/>
          <w:lang w:eastAsia="pt-BR"/>
        </w:rPr>
        <w:t>plataformas elevatórias)</w:t>
      </w:r>
      <w:r>
        <w:rPr>
          <w:rFonts w:eastAsia="Times New Roman" w:cs="Arial" w:ascii="Arial" w:hAnsi="Arial"/>
          <w:sz w:val="24"/>
          <w:szCs w:val="24"/>
          <w:lang w:eastAsia="pt-BR"/>
        </w:rPr>
        <w:t xml:space="preserve"> </w:t>
      </w:r>
      <w:r>
        <w:rPr>
          <w:rFonts w:eastAsia="Times New Roman" w:cs="Arial" w:ascii="Arial" w:hAnsi="Arial"/>
          <w:b/>
          <w:bCs/>
          <w:sz w:val="24"/>
          <w:szCs w:val="24"/>
          <w:lang w:eastAsia="pt-BR"/>
        </w:rPr>
        <w:t>da Justiça Federal (objeto da licitação)</w:t>
      </w:r>
    </w:p>
    <w:p>
      <w:pPr>
        <w:pStyle w:val="Normal"/>
        <w:spacing w:lineRule="auto" w:line="240" w:beforeAutospacing="1" w:afterAutospacing="1"/>
        <w:ind w:left="426" w:hanging="0"/>
        <w:jc w:val="both"/>
        <w:rPr>
          <w:rFonts w:ascii="Arial" w:hAnsi="Arial" w:eastAsia="Times New Roman" w:cs="Arial"/>
          <w:sz w:val="24"/>
          <w:szCs w:val="24"/>
          <w:lang w:eastAsia="pt-BR"/>
        </w:rPr>
      </w:pPr>
      <w:r>
        <w:rPr>
          <w:rFonts w:eastAsia="Times New Roman" w:cs="Arial" w:ascii="Arial" w:hAnsi="Arial"/>
          <w:b/>
          <w:bCs/>
          <w:sz w:val="24"/>
          <w:szCs w:val="24"/>
          <w:lang w:eastAsia="pt-BR"/>
        </w:rPr>
        <w:t>Onde: Ict = Índice de Capacidade Técnica</w:t>
      </w:r>
    </w:p>
    <w:p>
      <w:pPr>
        <w:pStyle w:val="Normal"/>
        <w:spacing w:lineRule="auto" w:line="240" w:beforeAutospacing="1" w:afterAutospacing="1"/>
        <w:ind w:left="426" w:hanging="0"/>
        <w:jc w:val="both"/>
        <w:rPr>
          <w:rFonts w:ascii="Arial" w:hAnsi="Arial" w:eastAsia="Times New Roman" w:cs="Arial"/>
          <w:sz w:val="24"/>
          <w:szCs w:val="24"/>
          <w:lang w:eastAsia="pt-BR"/>
        </w:rPr>
      </w:pPr>
      <w:r>
        <w:rPr>
          <w:rFonts w:eastAsia="Times New Roman" w:cs="Arial" w:ascii="Arial" w:hAnsi="Arial"/>
          <w:b/>
          <w:bCs/>
          <w:sz w:val="24"/>
          <w:szCs w:val="24"/>
          <w:lang w:eastAsia="pt-BR"/>
        </w:rPr>
        <w:t>Critério de Avaliação do Ict:</w:t>
      </w:r>
    </w:p>
    <w:p>
      <w:pPr>
        <w:pStyle w:val="Normal"/>
        <w:spacing w:lineRule="auto" w:line="240" w:beforeAutospacing="1" w:afterAutospacing="1"/>
        <w:ind w:left="426" w:hanging="0"/>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A empresa </w:t>
      </w:r>
      <w:r>
        <w:rPr>
          <w:rFonts w:eastAsia="Times New Roman" w:cs="Arial" w:ascii="Arial" w:hAnsi="Arial"/>
          <w:b/>
          <w:bCs/>
          <w:sz w:val="24"/>
          <w:szCs w:val="24"/>
          <w:u w:val="single"/>
          <w:lang w:eastAsia="pt-BR"/>
        </w:rPr>
        <w:t>está qualificada</w:t>
      </w:r>
      <w:r>
        <w:rPr>
          <w:rFonts w:eastAsia="Times New Roman" w:cs="Arial" w:ascii="Arial" w:hAnsi="Arial"/>
          <w:sz w:val="24"/>
          <w:szCs w:val="24"/>
          <w:lang w:eastAsia="pt-BR"/>
        </w:rPr>
        <w:t xml:space="preserve">, ou seja, </w:t>
      </w:r>
      <w:r>
        <w:rPr>
          <w:rFonts w:eastAsia="Times New Roman" w:cs="Arial" w:ascii="Arial" w:hAnsi="Arial"/>
          <w:b/>
          <w:bCs/>
          <w:sz w:val="24"/>
          <w:szCs w:val="24"/>
          <w:u w:val="single"/>
          <w:lang w:eastAsia="pt-BR"/>
        </w:rPr>
        <w:t>atende</w:t>
      </w:r>
      <w:r>
        <w:rPr>
          <w:rFonts w:eastAsia="Times New Roman" w:cs="Arial" w:ascii="Arial" w:hAnsi="Arial"/>
          <w:sz w:val="24"/>
          <w:szCs w:val="24"/>
          <w:lang w:eastAsia="pt-BR"/>
        </w:rPr>
        <w:t> à exigência de Capacidade Técnico-operacional </w:t>
      </w:r>
      <w:r>
        <w:rPr>
          <w:rFonts w:eastAsia="Times New Roman" w:cs="Arial" w:ascii="Arial" w:hAnsi="Arial"/>
          <w:b/>
          <w:bCs/>
          <w:sz w:val="24"/>
          <w:szCs w:val="24"/>
          <w:lang w:eastAsia="pt-BR"/>
        </w:rPr>
        <w:t>se igualar ou exceder ao</w:t>
      </w:r>
      <w:r>
        <w:rPr>
          <w:rFonts w:eastAsia="Times New Roman" w:cs="Arial" w:ascii="Arial" w:hAnsi="Arial"/>
          <w:sz w:val="24"/>
          <w:szCs w:val="24"/>
          <w:lang w:eastAsia="pt-BR"/>
        </w:rPr>
        <w:t xml:space="preserve"> </w:t>
      </w:r>
      <w:r>
        <w:rPr>
          <w:rFonts w:eastAsia="Times New Roman" w:cs="Arial" w:ascii="Arial" w:hAnsi="Arial"/>
          <w:b/>
          <w:bCs/>
          <w:sz w:val="24"/>
          <w:szCs w:val="24"/>
          <w:lang w:eastAsia="pt-BR"/>
        </w:rPr>
        <w:t>Índice de Capacidade Técnica - “Ict”</w:t>
      </w:r>
      <w:r>
        <w:rPr>
          <w:rFonts w:eastAsia="Times New Roman" w:cs="Arial" w:ascii="Arial" w:hAnsi="Arial"/>
          <w:sz w:val="24"/>
          <w:szCs w:val="24"/>
          <w:lang w:eastAsia="pt-BR"/>
        </w:rPr>
        <w:t xml:space="preserve"> de todas as características da tabela acima, como segue: </w:t>
      </w:r>
      <w:r>
        <w:rPr>
          <w:rFonts w:eastAsia="Times New Roman" w:cs="Arial" w:ascii="Arial" w:hAnsi="Arial"/>
          <w:b/>
          <w:bCs/>
          <w:sz w:val="24"/>
          <w:szCs w:val="24"/>
          <w:lang w:eastAsia="pt-BR"/>
        </w:rPr>
        <w:t>Vel. Máq., (m/min), Capacidade (kg), N.º Passageiros, N.º Paradas, N.º Elevadores (plataformas elevatórias).</w:t>
      </w:r>
    </w:p>
    <w:p>
      <w:pPr>
        <w:pStyle w:val="ListParagraph"/>
        <w:numPr>
          <w:ilvl w:val="2"/>
          <w:numId w:val="3"/>
        </w:numPr>
        <w:spacing w:lineRule="auto" w:line="240" w:before="0" w:after="240"/>
        <w:ind w:left="720" w:hanging="11"/>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 </w:t>
      </w:r>
      <w:bookmarkStart w:id="41" w:name="_Ref167892534"/>
      <w:r>
        <w:rPr>
          <w:rFonts w:cs="Arial" w:ascii="Arial" w:hAnsi="Arial"/>
          <w:sz w:val="24"/>
          <w:szCs w:val="24"/>
        </w:rPr>
        <w:t>O(s) atestado (s) de capacidade técnica deverá(ão) comprovar a prestação de serviços de manutenção preventiva e corretiva em elevadores, pelo período mínimo de 12 (doze) meses.</w:t>
      </w:r>
      <w:bookmarkEnd w:id="41"/>
    </w:p>
    <w:p>
      <w:pPr>
        <w:pStyle w:val="ListParagraph"/>
        <w:spacing w:lineRule="auto" w:line="240" w:before="0" w:after="24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3"/>
          <w:numId w:val="4"/>
        </w:numPr>
        <w:spacing w:lineRule="auto" w:line="240" w:before="0" w:after="240"/>
        <w:ind w:left="720" w:firstLine="54"/>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Será admitido, para fins de comprovação do período mencionado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_Ref167892534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4.3.2</w:t>
      </w:r>
      <w:r>
        <w:rPr>
          <w:sz w:val="24"/>
          <w:u w:val="single"/>
          <w:szCs w:val="24"/>
          <w:rFonts w:eastAsia="Times New Roman" w:cs="Arial" w:ascii="Arial" w:hAnsi="Arial"/>
          <w:color w:val="0000FF"/>
          <w:lang w:eastAsia="pt-BR"/>
        </w:rPr>
        <w:fldChar w:fldCharType="end"/>
      </w:r>
      <w:r>
        <w:rPr>
          <w:rFonts w:eastAsia="Times New Roman" w:cs="Arial" w:ascii="Arial" w:hAnsi="Arial"/>
          <w:sz w:val="24"/>
          <w:szCs w:val="24"/>
          <w:lang w:eastAsia="pt-BR"/>
        </w:rPr>
        <w:t xml:space="preserve"> o somatório de atestados.</w:t>
      </w:r>
    </w:p>
    <w:p>
      <w:pPr>
        <w:pStyle w:val="ListParagraph"/>
        <w:spacing w:lineRule="auto" w:line="240" w:before="0" w:after="240"/>
        <w:ind w:left="1134" w:hanging="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2"/>
          <w:numId w:val="4"/>
        </w:numPr>
        <w:spacing w:lineRule="auto" w:line="240" w:before="0" w:after="240"/>
        <w:ind w:left="709" w:hanging="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t>Os atestados de capacidade técnica podem ser apresentados em nome da matriz ou da filial da empresa licitante.</w:t>
      </w:r>
    </w:p>
    <w:p>
      <w:pPr>
        <w:pStyle w:val="ListParagraph"/>
        <w:spacing w:lineRule="auto" w:line="240" w:before="0" w:after="240"/>
        <w:ind w:left="709" w:hanging="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2"/>
          <w:numId w:val="4"/>
        </w:numPr>
        <w:spacing w:lineRule="auto" w:line="240" w:before="0" w:after="240"/>
        <w:ind w:left="709" w:hanging="0"/>
        <w:contextualSpacing/>
        <w:jc w:val="both"/>
        <w:rPr>
          <w:rFonts w:ascii="Arial" w:hAnsi="Arial" w:eastAsia="Times New Roman" w:cs="Arial"/>
          <w:sz w:val="24"/>
          <w:szCs w:val="24"/>
          <w:lang w:eastAsia="pt-BR"/>
        </w:rPr>
      </w:pPr>
      <w:r>
        <w:rPr>
          <w:rFonts w:cs="Arial" w:ascii="Arial" w:hAnsi="Arial"/>
          <w:sz w:val="24"/>
          <w:szCs w:val="24"/>
        </w:rPr>
        <w:t>O licitante disponibilizará todas as informações necessárias à comprovação da legitimidade dos atestados, apresentando, quando solicitado pela Administração, Anotação de Responsabilidade Técnica – ART respectiva ou documento equivalente do órgão de classe, cópia do contrato que deu suporte à contratação, endereço atual da contratante e local em que foram prestados os serviços, entre outros documentos.</w:t>
      </w:r>
    </w:p>
    <w:p>
      <w:pPr>
        <w:pStyle w:val="ListParagrap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2"/>
          <w:numId w:val="4"/>
        </w:numPr>
        <w:spacing w:lineRule="auto" w:line="240" w:before="0" w:after="240"/>
        <w:ind w:left="709" w:hanging="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t>Os atestados deverão referir-se a serviços prestados no âmbito de sua atividade econômica principal ou secundária especificada no contrato social vigente.</w:t>
      </w:r>
    </w:p>
    <w:p>
      <w:pPr>
        <w:pStyle w:val="ListParagrap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1"/>
          <w:numId w:val="4"/>
        </w:numPr>
        <w:spacing w:lineRule="auto" w:line="240" w:before="0" w:after="240"/>
        <w:ind w:left="426" w:hanging="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t>Serão aceitos atestados ou outros documentos hábeis emitidos por entidades estrangeiras quando acompanhados de tradução para o português, salvo se comprovada a inidoneidade da entidade emissora.</w:t>
      </w:r>
    </w:p>
    <w:p>
      <w:pPr>
        <w:pStyle w:val="ListParagraph"/>
        <w:spacing w:lineRule="auto" w:line="240" w:before="0" w:after="240"/>
        <w:ind w:left="426" w:hanging="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1"/>
          <w:numId w:val="4"/>
        </w:numPr>
        <w:spacing w:lineRule="auto" w:line="240" w:before="0" w:after="240"/>
        <w:ind w:left="426" w:hanging="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t>A apresentação de certidões ou atestados de desempenho anterior emitido em favor de consórcio do qual tenha feito parte será admitido, desde que atendidos os requisitos do art. 67, §§ 10 e 11, da Lei nº 14.133/2021 e regulamentos sobre o tema.</w:t>
      </w:r>
    </w:p>
    <w:p>
      <w:pPr>
        <w:pStyle w:val="ListParagrap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1"/>
          <w:numId w:val="4"/>
        </w:numPr>
        <w:spacing w:lineRule="auto" w:line="240" w:before="0" w:after="240"/>
        <w:ind w:left="426" w:hanging="0"/>
        <w:contextualSpacing/>
        <w:jc w:val="both"/>
        <w:rPr>
          <w:rFonts w:ascii="Arial" w:hAnsi="Arial" w:eastAsia="Times New Roman" w:cs="Arial"/>
          <w:sz w:val="24"/>
          <w:szCs w:val="24"/>
          <w:lang w:eastAsia="pt-BR"/>
        </w:rPr>
      </w:pPr>
      <w:r>
        <w:rPr>
          <w:rFonts w:cs="Arial" w:ascii="Arial" w:hAnsi="Arial"/>
          <w:sz w:val="24"/>
          <w:szCs w:val="24"/>
          <w:u w:val="single"/>
        </w:rPr>
        <w:t>Capacidade Técnico-profissional</w:t>
      </w:r>
      <w:r>
        <w:rPr>
          <w:rFonts w:cs="Arial" w:ascii="Arial" w:hAnsi="Arial"/>
          <w:sz w:val="24"/>
          <w:szCs w:val="24"/>
        </w:rPr>
        <w:t>: Apresentação de atestado(s) fornecido(s) por pessoas jurídicas de Direito Público ou Privado, comprovando a prestação de serviço(s) de manutenção mensal preventiva e corretiva em elevadores, por profissional(is), devidamente registrado(s) no Conselho Regional de Engenharia e Agronomia – CREA, Conselho Regional dos Técnicos Industriais - CRT ou órgão de Classe correspondente, acompanhado da Certidão de Acervo Técnico, de acordo com o órgão de classe ou em nome do(s) profissional(is) pertencente(s) ao Quadro Permanente da empresa.</w:t>
      </w:r>
    </w:p>
    <w:p>
      <w:pPr>
        <w:pStyle w:val="ListParagraph"/>
        <w:spacing w:lineRule="auto" w:line="240" w:before="0" w:after="240"/>
        <w:ind w:left="426" w:hanging="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2"/>
          <w:numId w:val="5"/>
        </w:numPr>
        <w:spacing w:lineRule="auto" w:line="240" w:before="0" w:after="240"/>
        <w:ind w:left="720" w:hanging="11"/>
        <w:contextualSpacing/>
        <w:jc w:val="both"/>
        <w:rPr>
          <w:rFonts w:ascii="Arial" w:hAnsi="Arial" w:eastAsia="Times New Roman" w:cs="Arial"/>
          <w:sz w:val="24"/>
          <w:szCs w:val="24"/>
          <w:lang w:eastAsia="pt-BR"/>
        </w:rPr>
      </w:pPr>
      <w:r>
        <w:rPr>
          <w:rFonts w:cs="Arial" w:ascii="Arial" w:hAnsi="Arial"/>
          <w:sz w:val="24"/>
          <w:szCs w:val="24"/>
        </w:rPr>
        <w:t>Não serão admitidos atestados de responsabilidade técnica de profissionais que, na forma de regulamento, tenham dado causa à aplicação das sanções previstas nos incisos III e IV do caput do art. 156 da Lei n. 14.133/2021 em decorrência de orientação proposta, de prescrição técnica ou de qualquer ato profissional de sua responsabilidade.</w:t>
      </w:r>
    </w:p>
    <w:p>
      <w:pPr>
        <w:pStyle w:val="ListParagraph"/>
        <w:spacing w:lineRule="auto" w:line="240" w:before="0" w:after="24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2"/>
          <w:numId w:val="5"/>
        </w:numPr>
        <w:spacing w:lineRule="auto" w:line="240" w:before="0" w:after="240"/>
        <w:ind w:left="720" w:hanging="11"/>
        <w:contextualSpacing/>
        <w:jc w:val="both"/>
        <w:rPr>
          <w:rFonts w:ascii="Arial" w:hAnsi="Arial" w:eastAsia="Times New Roman" w:cs="Arial"/>
          <w:sz w:val="24"/>
          <w:szCs w:val="24"/>
          <w:lang w:eastAsia="pt-BR"/>
        </w:rPr>
      </w:pPr>
      <w:r>
        <w:rPr>
          <w:rFonts w:cs="Arial" w:ascii="Arial" w:hAnsi="Arial"/>
          <w:sz w:val="24"/>
          <w:szCs w:val="24"/>
        </w:rPr>
        <w:t>O(s) profissional(is) indicado(s) na forma supra pertencerão ao quadro permanente da empresa, com atribuições na área de:</w:t>
      </w:r>
    </w:p>
    <w:p>
      <w:pPr>
        <w:pStyle w:val="ListParagrap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3"/>
          <w:numId w:val="5"/>
        </w:numPr>
        <w:spacing w:lineRule="auto" w:line="240" w:before="0" w:after="240"/>
        <w:ind w:left="993" w:hanging="0"/>
        <w:contextualSpacing/>
        <w:jc w:val="both"/>
        <w:rPr>
          <w:rFonts w:ascii="Arial" w:hAnsi="Arial" w:eastAsia="Times New Roman" w:cs="Arial"/>
          <w:sz w:val="24"/>
          <w:szCs w:val="24"/>
          <w:lang w:eastAsia="pt-BR"/>
        </w:rPr>
      </w:pPr>
      <w:r>
        <w:rPr>
          <w:rFonts w:cs="Arial" w:ascii="Arial" w:hAnsi="Arial"/>
          <w:sz w:val="24"/>
          <w:szCs w:val="24"/>
        </w:rPr>
        <w:t>Engenharia Mecânica (art. 12º da Resolução nº 218, de 29/06/1973, do Conselho Federal de Engenharia e Agronomia – CONFEA) ou outra modalidade devidamente reconhecida pelo CREA/CONFEA, inclusive para aquele indicado como responsável técnico, devendo participar do serviço objeto do contrato, sendo admitida a sua substituição por profissionais de experiência equivalente ou superior, desde que aprovada pela Administração.</w:t>
      </w:r>
    </w:p>
    <w:p>
      <w:pPr>
        <w:pStyle w:val="ListParagraph"/>
        <w:spacing w:lineRule="auto" w:line="240" w:before="0" w:after="240"/>
        <w:ind w:left="993" w:hanging="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3"/>
          <w:numId w:val="5"/>
        </w:numPr>
        <w:spacing w:lineRule="auto" w:line="240" w:before="0" w:after="240"/>
        <w:ind w:left="993" w:hanging="0"/>
        <w:contextualSpacing/>
        <w:jc w:val="both"/>
        <w:rPr>
          <w:rFonts w:ascii="Arial" w:hAnsi="Arial" w:eastAsia="Times New Roman" w:cs="Arial"/>
          <w:sz w:val="24"/>
          <w:szCs w:val="24"/>
          <w:lang w:eastAsia="pt-BR"/>
        </w:rPr>
      </w:pPr>
      <w:r>
        <w:rPr>
          <w:rFonts w:cs="Arial" w:ascii="Arial" w:hAnsi="Arial"/>
          <w:color w:val="000000"/>
          <w:sz w:val="24"/>
          <w:szCs w:val="24"/>
        </w:rPr>
        <w:t>Técnico Industrial em modalidade compatível, reconhecida pelo CRT/CFT.</w:t>
      </w:r>
    </w:p>
    <w:p>
      <w:pPr>
        <w:pStyle w:val="ListParagrap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3"/>
          <w:numId w:val="5"/>
        </w:numPr>
        <w:spacing w:lineRule="auto" w:line="240" w:before="0" w:after="240"/>
        <w:ind w:left="993" w:hanging="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t>Outro profissional cuja atribuição seja regulamentada pelo respectivo órgão de classe e seja compatível com o objeto a ser contratado.</w:t>
      </w:r>
    </w:p>
    <w:p>
      <w:pPr>
        <w:pStyle w:val="ListParagrap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2"/>
          <w:numId w:val="5"/>
        </w:numPr>
        <w:spacing w:lineRule="auto" w:line="240" w:before="0" w:after="240"/>
        <w:ind w:left="720" w:hanging="11"/>
        <w:contextualSpacing/>
        <w:jc w:val="both"/>
        <w:rPr>
          <w:rFonts w:ascii="Arial" w:hAnsi="Arial" w:eastAsia="Times New Roman" w:cs="Arial"/>
          <w:sz w:val="24"/>
          <w:szCs w:val="24"/>
          <w:lang w:eastAsia="pt-BR"/>
        </w:rPr>
      </w:pPr>
      <w:r>
        <w:rPr>
          <w:rFonts w:cs="Arial" w:ascii="Arial" w:hAnsi="Arial"/>
          <w:sz w:val="24"/>
          <w:szCs w:val="24"/>
        </w:rPr>
        <w:t>A comprovação de que o profissional pertence ao Quadro Permanente da Licitante deverá ser feita através de Contrato Social ou Livro/Ficha de Registro de Empregados, ou outro documento que comprove o vínculo do profissional com o licitante.</w:t>
      </w:r>
    </w:p>
    <w:p>
      <w:pPr>
        <w:pStyle w:val="ListParagraph"/>
        <w:spacing w:lineRule="auto" w:line="240" w:before="0" w:after="240"/>
        <w:contextualSpacing/>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2"/>
          <w:numId w:val="5"/>
        </w:numPr>
        <w:spacing w:lineRule="auto" w:line="240" w:before="0" w:after="240"/>
        <w:ind w:left="720" w:hanging="11"/>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comprovação do vínculo do responsável técnico poderá ser substituída por declaração de contratação futura, acompanhada de anuência do profissional indicado.</w:t>
      </w:r>
    </w:p>
    <w:p>
      <w:pPr>
        <w:pStyle w:val="ListParagraph"/>
        <w:tabs>
          <w:tab w:val="clear" w:pos="567"/>
          <w:tab w:val="left" w:pos="1200" w:leader="none"/>
        </w:tabs>
        <w:spacing w:lineRule="auto" w:line="240" w:before="0" w:after="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b/>
      </w:r>
    </w:p>
    <w:p>
      <w:pPr>
        <w:pStyle w:val="ListParagraph"/>
        <w:numPr>
          <w:ilvl w:val="0"/>
          <w:numId w:val="5"/>
        </w:numPr>
        <w:spacing w:lineRule="auto" w:line="240" w:before="0" w:after="240"/>
        <w:ind w:left="284" w:hanging="0"/>
        <w:contextualSpacing w:val="false"/>
        <w:jc w:val="both"/>
        <w:rPr>
          <w:rFonts w:ascii="Arial" w:hAnsi="Arial" w:eastAsia="Times New Roman" w:cs="Arial"/>
          <w:sz w:val="24"/>
          <w:szCs w:val="24"/>
          <w:lang w:eastAsia="pt-BR"/>
        </w:rPr>
      </w:pPr>
      <w:r>
        <w:rPr>
          <w:rFonts w:eastAsia="Times New Roman" w:cs="Arial" w:ascii="Arial" w:hAnsi="Arial"/>
          <w:b/>
          <w:bCs/>
          <w:sz w:val="24"/>
          <w:szCs w:val="24"/>
          <w:lang w:eastAsia="pt-BR"/>
        </w:rPr>
        <w:t>Empresas reunidas em consórcio:</w:t>
      </w:r>
    </w:p>
    <w:p>
      <w:pPr>
        <w:pStyle w:val="ListParagraph"/>
        <w:numPr>
          <w:ilvl w:val="1"/>
          <w:numId w:val="5"/>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Tratando-se de licitantes reunidos em consórcio, serão observadas as seguintes exigências:</w:t>
      </w:r>
    </w:p>
    <w:p>
      <w:pPr>
        <w:pStyle w:val="ListParagraph"/>
        <w:numPr>
          <w:ilvl w:val="2"/>
          <w:numId w:val="5"/>
        </w:numPr>
        <w:spacing w:lineRule="auto" w:line="240" w:before="0" w:after="240"/>
        <w:ind w:left="851" w:hanging="0"/>
        <w:contextualSpacing w:val="false"/>
        <w:jc w:val="both"/>
        <w:rPr>
          <w:rFonts w:ascii="Arial" w:hAnsi="Arial" w:eastAsia="Times New Roman" w:cs="Arial"/>
          <w:b/>
          <w:b/>
          <w:bCs/>
          <w:sz w:val="24"/>
          <w:szCs w:val="24"/>
          <w:lang w:eastAsia="pt-BR"/>
        </w:rPr>
      </w:pPr>
      <w:r>
        <w:rPr>
          <w:rFonts w:eastAsia="Times New Roman" w:cs="Arial" w:ascii="Arial" w:hAnsi="Arial"/>
          <w:sz w:val="24"/>
          <w:szCs w:val="24"/>
          <w:lang w:eastAsia="pt-BR"/>
        </w:rPr>
        <w:t>Apresentação dos documentos exigidos nos itens 1 a 4 desta relação de documentos por parte de cada consorciado, admitindo-se para efeito de qualificação técnica, o somatório dos quantitativos de cada consorciado e, para efeito de habilitação econômico-financeira, do somatório dos valores de cada consorciado.</w:t>
      </w:r>
    </w:p>
    <w:sectPr>
      <w:headerReference w:type="default" r:id="rId22"/>
      <w:headerReference w:type="first" r:id="rId23"/>
      <w:footerReference w:type="first" r:id="rId24"/>
      <w:type w:val="nextPage"/>
      <w:pgSz w:w="11906" w:h="16838"/>
      <w:pgMar w:left="1474" w:right="1474" w:gutter="0" w:header="709" w:top="1418" w:footer="510" w:bottom="1361"/>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erif">
    <w:altName w:val="Times New Roman"/>
    <w:charset w:val="00"/>
    <w:family w:val="swiss"/>
    <w:pitch w:val="variable"/>
  </w:font>
  <w:font w:name="Segoe UI">
    <w:charset w:val="00"/>
    <w:family w:val="roman"/>
    <w:pitch w:val="variable"/>
  </w:font>
  <w:font w:name="Liberation Sans">
    <w:altName w:val="Arial"/>
    <w:charset w:val="00"/>
    <w:family w:val="roman"/>
    <w:pitch w:val="variable"/>
  </w:font>
  <w:font w:name="Arial">
    <w:charset w:val="00"/>
    <w:family w:val="roman"/>
    <w:pitch w:val="variable"/>
  </w:font>
  <w:font w:name="Helvetica Neue">
    <w:altName w:val="Helvetica"/>
    <w:charset w:val="00"/>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right"/>
      <w:rPr>
        <w:rFonts w:ascii="Times New Roman" w:hAnsi="Times New Roman" w:cs="Times New Roman"/>
        <w:i/>
        <w:i/>
        <w:iCs/>
        <w:color w:val="3B3838" w:themeColor="background2" w:themeShade="40"/>
        <w:sz w:val="16"/>
        <w:szCs w:val="16"/>
      </w:rPr>
    </w:pPr>
    <w:r>
      <w:rPr>
        <w:rFonts w:cs="Times New Roman" w:ascii="Times New Roman" w:hAnsi="Times New Roman"/>
        <w:i/>
        <w:iCs/>
        <w:color w:val="3B3838" w:themeColor="background2" w:themeShade="40"/>
        <w:sz w:val="16"/>
        <w:szCs w:val="16"/>
      </w:rPr>
      <w:t>Modelo de Edital - Pregão Eletrônico - Lei 14.133/2021 - versão janeiro/2024</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Pregão Eletrônico n. 90010/2024</w:t>
    </w:r>
  </w:p>
  <w:p>
    <w:pPr>
      <w:pStyle w:val="Normal"/>
      <w:spacing w:before="0" w:after="160"/>
      <w:jc w:val="right"/>
      <w:rPr>
        <w:rFonts w:ascii="Arial" w:hAnsi="Arial" w:cs="Arial"/>
        <w:color w:val="FFFFFF" w:themeColor="background1"/>
        <w:sz w:val="18"/>
        <w:szCs w:val="18"/>
      </w:rPr>
    </w:pPr>
    <w:r>
      <w:rPr>
        <w:rFonts w:cs="Arial" w:ascii="Arial" w:hAnsi="Arial"/>
        <w:sz w:val="18"/>
        <w:szCs w:val="18"/>
      </w:rPr>
      <w:t xml:space="preserve">Edital - Página </w:t>
    </w:r>
    <w:r>
      <w:rPr>
        <w:rFonts w:cs="Arial" w:ascii="Arial" w:hAnsi="Arial"/>
        <w:sz w:val="18"/>
        <w:szCs w:val="18"/>
      </w:rPr>
      <w:fldChar w:fldCharType="begin"/>
    </w:r>
    <w:r>
      <w:rPr>
        <w:sz w:val="18"/>
        <w:szCs w:val="18"/>
        <w:rFonts w:cs="Arial" w:ascii="Arial" w:hAnsi="Arial"/>
      </w:rPr>
      <w:instrText xml:space="preserve"> PAGE </w:instrText>
    </w:r>
    <w:r>
      <w:rPr>
        <w:sz w:val="18"/>
        <w:szCs w:val="18"/>
        <w:rFonts w:cs="Arial" w:ascii="Arial" w:hAnsi="Arial"/>
      </w:rPr>
      <w:fldChar w:fldCharType="separate"/>
    </w:r>
    <w:r>
      <w:rPr>
        <w:sz w:val="18"/>
        <w:szCs w:val="18"/>
        <w:rFonts w:cs="Arial" w:ascii="Arial" w:hAnsi="Arial"/>
      </w:rPr>
      <w:t>27</w:t>
    </w:r>
    <w:r>
      <w:rPr>
        <w:sz w:val="18"/>
        <w:szCs w:val="18"/>
        <w:rFonts w:cs="Arial" w:ascii="Arial" w:hAnsi="Arial"/>
      </w:rPr>
      <w:fldChar w:fldCharType="end"/>
    </w:r>
    <w:r>
      <w:rPr>
        <w:rFonts w:cs="Arial" w:ascii="Arial" w:hAnsi="Arial"/>
        <w:sz w:val="18"/>
        <w:szCs w:val="18"/>
      </w:rPr>
      <w:t xml:space="preserve"> de </w:t>
    </w:r>
    <w:r>
      <w:rPr>
        <w:rFonts w:cs="Arial" w:ascii="Arial" w:hAnsi="Arial"/>
        <w:sz w:val="18"/>
        <w:szCs w:val="18"/>
      </w:rPr>
      <w:fldChar w:fldCharType="begin"/>
    </w:r>
    <w:r>
      <w:rPr>
        <w:sz w:val="18"/>
        <w:szCs w:val="18"/>
        <w:rFonts w:cs="Arial" w:ascii="Arial" w:hAnsi="Arial"/>
      </w:rPr>
      <w:instrText xml:space="preserve"> NUMPAGES </w:instrText>
    </w:r>
    <w:r>
      <w:rPr>
        <w:sz w:val="18"/>
        <w:szCs w:val="18"/>
        <w:rFonts w:cs="Arial" w:ascii="Arial" w:hAnsi="Arial"/>
      </w:rPr>
      <w:fldChar w:fldCharType="separate"/>
    </w:r>
    <w:r>
      <w:rPr>
        <w:sz w:val="18"/>
        <w:szCs w:val="18"/>
        <w:rFonts w:cs="Arial" w:ascii="Arial" w:hAnsi="Arial"/>
      </w:rPr>
      <w:t>32</w:t>
    </w:r>
    <w:r>
      <w:rPr>
        <w:sz w:val="18"/>
        <w:szCs w:val="18"/>
        <w:rFonts w:cs="Arial" w:ascii="Arial" w:hAnsi="Arial"/>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numPr>
        <w:ilvl w:val="0"/>
        <w:numId w:val="0"/>
      </w:numPr>
      <w:tabs>
        <w:tab w:val="clear" w:pos="567"/>
        <w:tab w:val="left" w:pos="8505" w:leader="none"/>
      </w:tabs>
      <w:ind w:left="0" w:hanging="0"/>
      <w:jc w:val="center"/>
      <w:outlineLvl w:val="0"/>
      <w:rPr>
        <w:rFonts w:ascii="Arial" w:hAnsi="Arial" w:eastAsia="Times New Roman" w:cs="Arial"/>
        <w:sz w:val="24"/>
        <w:szCs w:val="24"/>
        <w:lang w:eastAsia="pt-BR"/>
      </w:rPr>
    </w:pPr>
    <w:r>
      <w:rPr>
        <w:rFonts w:eastAsia="Times New Roman" w:cs="Arial" w:ascii="Arial" w:hAnsi="Arial"/>
        <w:sz w:val="24"/>
        <w:szCs w:val="24"/>
        <w:lang w:eastAsia="pt-BR"/>
      </w:rPr>
      <w:drawing>
        <wp:anchor behindDoc="1" distT="0" distB="0" distL="0" distR="0" simplePos="0" locked="0" layoutInCell="0" allowOverlap="1" relativeHeight="2">
          <wp:simplePos x="0" y="0"/>
          <wp:positionH relativeFrom="margin">
            <wp:posOffset>2463165</wp:posOffset>
          </wp:positionH>
          <wp:positionV relativeFrom="paragraph">
            <wp:posOffset>-229870</wp:posOffset>
          </wp:positionV>
          <wp:extent cx="855980" cy="914400"/>
          <wp:effectExtent l="0" t="0" r="0" b="0"/>
          <wp:wrapNone/>
          <wp:docPr id="1"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Foto preta e branca de um relógio&#10;&#10;Descrição gerada automaticamente"/>
                  <pic:cNvPicPr>
                    <a:picLocks noChangeAspect="1" noChangeArrowheads="1"/>
                  </pic:cNvPicPr>
                </pic:nvPicPr>
                <pic:blipFill>
                  <a:blip r:embed="rId1"/>
                  <a:stretch>
                    <a:fillRect/>
                  </a:stretch>
                </pic:blipFill>
                <pic:spPr bwMode="auto">
                  <a:xfrm>
                    <a:off x="0" y="0"/>
                    <a:ext cx="855980" cy="914400"/>
                  </a:xfrm>
                  <a:prstGeom prst="rect">
                    <a:avLst/>
                  </a:prstGeom>
                </pic:spPr>
              </pic:pic>
            </a:graphicData>
          </a:graphic>
        </wp:anchor>
      </w:drawing>
    </w:r>
  </w:p>
  <w:p>
    <w:pPr>
      <w:pStyle w:val="Normal"/>
      <w:spacing w:before="240" w:after="160"/>
      <w:jc w:val="center"/>
      <w:rPr>
        <w:rFonts w:ascii="Arial" w:hAnsi="Arial" w:cs="Arial"/>
        <w:lang w:eastAsia="pt-BR"/>
      </w:rPr>
    </w:pPr>
    <w:r>
      <w:rPr>
        <w:rFonts w:cs="Arial" w:ascii="Arial" w:hAnsi="Arial"/>
        <w:lang w:eastAsia="pt-BR"/>
      </w:rPr>
    </w:r>
  </w:p>
  <w:p>
    <w:pPr>
      <w:pStyle w:val="Normal"/>
      <w:spacing w:lineRule="auto" w:line="240" w:before="0" w:after="0"/>
      <w:jc w:val="center"/>
      <w:rPr>
        <w:rFonts w:ascii="Arial" w:hAnsi="Arial" w:cs="Arial"/>
        <w:lang w:eastAsia="pt-BR"/>
      </w:rPr>
    </w:pPr>
    <w:r>
      <w:rPr>
        <w:rFonts w:cs="Arial" w:ascii="Arial" w:hAnsi="Arial"/>
        <w:lang w:eastAsia="pt-BR"/>
      </w:rPr>
    </w:r>
  </w:p>
  <w:p>
    <w:pPr>
      <w:pStyle w:val="Normal"/>
      <w:spacing w:lineRule="auto" w:line="240" w:before="0" w:after="0"/>
      <w:jc w:val="center"/>
      <w:rPr>
        <w:rFonts w:ascii="Arial" w:hAnsi="Arial" w:cs="Arial"/>
        <w:lang w:eastAsia="pt-BR"/>
      </w:rPr>
    </w:pPr>
    <w:r>
      <w:rPr>
        <w:rFonts w:cs="Arial" w:ascii="Arial" w:hAnsi="Arial"/>
        <w:lang w:eastAsia="pt-BR"/>
      </w:rPr>
      <w:t>PODER JUDICIÁRIO</w:t>
    </w:r>
  </w:p>
  <w:p>
    <w:pPr>
      <w:pStyle w:val="Normal"/>
      <w:spacing w:lineRule="auto" w:line="240" w:before="0" w:after="0"/>
      <w:jc w:val="center"/>
      <w:rPr>
        <w:rFonts w:ascii="Arial" w:hAnsi="Arial" w:cs="Arial"/>
        <w:b/>
        <w:b/>
        <w:bCs/>
        <w:sz w:val="24"/>
        <w:szCs w:val="24"/>
        <w:lang w:eastAsia="pt-BR"/>
      </w:rPr>
    </w:pPr>
    <w:r>
      <w:rPr>
        <w:rFonts w:cs="Arial" w:ascii="Arial" w:hAnsi="Arial"/>
        <w:b/>
        <w:bCs/>
        <w:sz w:val="24"/>
        <w:szCs w:val="24"/>
        <w:lang w:eastAsia="pt-BR"/>
      </w:rPr>
      <w:t>JUSTIÇA FEDERAL</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bCs/>
        <w:rFonts w:ascii="Arial" w:hAnsi="Arial" w:cs="Arial"/>
      </w:rPr>
    </w:lvl>
    <w:lvl w:ilvl="1">
      <w:start w:val="1"/>
      <w:numFmt w:val="decimal"/>
      <w:lvlText w:val="%1.%2."/>
      <w:lvlJc w:val="left"/>
      <w:pPr>
        <w:tabs>
          <w:tab w:val="num" w:pos="0"/>
        </w:tabs>
        <w:ind w:left="4969" w:hanging="432"/>
      </w:pPr>
      <w:rPr>
        <w:rFonts w:ascii="Arial" w:hAnsi="Arial" w:cs="Arial"/>
        <w:color w:val="auto"/>
      </w:rPr>
    </w:lvl>
    <w:lvl w:ilvl="2">
      <w:start w:val="1"/>
      <w:numFmt w:val="decimal"/>
      <w:lvlText w:val="%1.%2.%3."/>
      <w:lvlJc w:val="left"/>
      <w:pPr>
        <w:tabs>
          <w:tab w:val="num" w:pos="0"/>
        </w:tabs>
        <w:ind w:left="1224" w:hanging="504"/>
      </w:pPr>
      <w:rPr>
        <w:rFonts w:ascii="Arial" w:hAnsi="Arial" w:cs="Arial"/>
      </w:rPr>
    </w:lvl>
    <w:lvl w:ilvl="3">
      <w:start w:val="1"/>
      <w:numFmt w:val="decimal"/>
      <w:lvlText w:val="%1.%2.%3.%4."/>
      <w:lvlJc w:val="left"/>
      <w:pPr>
        <w:tabs>
          <w:tab w:val="num" w:pos="0"/>
        </w:tabs>
        <w:ind w:left="1728" w:hanging="648"/>
      </w:pPr>
      <w:rPr>
        <w:rFonts w:ascii="Arial" w:hAnsi="Arial" w:cs="Arial"/>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4"/>
      <w:numFmt w:val="decimal"/>
      <w:lvlText w:val="%1"/>
      <w:lvlJc w:val="left"/>
      <w:pPr>
        <w:tabs>
          <w:tab w:val="num" w:pos="0"/>
        </w:tabs>
        <w:ind w:left="525" w:hanging="525"/>
      </w:pPr>
      <w:rPr/>
    </w:lvl>
    <w:lvl w:ilvl="1">
      <w:start w:val="3"/>
      <w:numFmt w:val="decimal"/>
      <w:lvlText w:val="%1.%2"/>
      <w:lvlJc w:val="left"/>
      <w:pPr>
        <w:tabs>
          <w:tab w:val="num" w:pos="0"/>
        </w:tabs>
        <w:ind w:left="525" w:hanging="525"/>
      </w:pPr>
      <w:rPr/>
    </w:lvl>
    <w:lvl w:ilvl="2">
      <w:start w:val="2"/>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4">
    <w:lvl w:ilvl="0">
      <w:start w:val="4"/>
      <w:numFmt w:val="decimal"/>
      <w:lvlText w:val="%1."/>
      <w:lvlJc w:val="left"/>
      <w:pPr>
        <w:tabs>
          <w:tab w:val="num" w:pos="0"/>
        </w:tabs>
        <w:ind w:left="780" w:hanging="780"/>
      </w:pPr>
      <w:rPr/>
    </w:lvl>
    <w:lvl w:ilvl="1">
      <w:start w:val="3"/>
      <w:numFmt w:val="decimal"/>
      <w:lvlText w:val="%1.%2."/>
      <w:lvlJc w:val="left"/>
      <w:pPr>
        <w:tabs>
          <w:tab w:val="num" w:pos="0"/>
        </w:tabs>
        <w:ind w:left="780" w:hanging="780"/>
      </w:pPr>
      <w:rPr/>
    </w:lvl>
    <w:lvl w:ilvl="2">
      <w:start w:val="2"/>
      <w:numFmt w:val="decimal"/>
      <w:lvlText w:val="%1.%2.%3."/>
      <w:lvlJc w:val="left"/>
      <w:pPr>
        <w:tabs>
          <w:tab w:val="num" w:pos="0"/>
        </w:tabs>
        <w:ind w:left="780" w:hanging="78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5">
    <w:lvl w:ilvl="0">
      <w:start w:val="4"/>
      <w:numFmt w:val="decimal"/>
      <w:lvlText w:val="%1."/>
      <w:lvlJc w:val="left"/>
      <w:pPr>
        <w:tabs>
          <w:tab w:val="num" w:pos="0"/>
        </w:tabs>
        <w:ind w:left="585" w:hanging="585"/>
      </w:pPr>
      <w:rPr>
        <w:b/>
        <w:bCs/>
      </w:rPr>
    </w:lvl>
    <w:lvl w:ilvl="1">
      <w:start w:val="4"/>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b w:val="false"/>
        <w:bCs w:val="false"/>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567"/>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readOnly" w:cryptProviderType="rsaAES" w:cryptAlgorithmClass="hash" w:cryptAlgorithmType="typeAny" w:cryptAlgorithmSid="" w:cryptSpinCount="0" w:hash="" w:sal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5">
    <w:name w:val="Heading 5"/>
    <w:basedOn w:val="Ttulo"/>
    <w:next w:val="Corpodotexto"/>
    <w:qFormat/>
    <w:pPr>
      <w:spacing w:before="120" w:after="60"/>
      <w:outlineLvl w:val="4"/>
    </w:pPr>
    <w:rPr>
      <w:rFonts w:ascii="Liberation Serif" w:hAnsi="Liberation Serif" w:eastAsia="Segoe UI" w:cs="Tahoma"/>
      <w:b/>
      <w:bCs/>
      <w:sz w:val="20"/>
      <w:szCs w:val="20"/>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646428"/>
    <w:rPr>
      <w:b/>
      <w:bCs/>
    </w:rPr>
  </w:style>
  <w:style w:type="character" w:styleId="LinkdaInternet">
    <w:name w:val="Hyperlink"/>
    <w:basedOn w:val="DefaultParagraphFont"/>
    <w:uiPriority w:val="99"/>
    <w:unhideWhenUsed/>
    <w:rsid w:val="00646428"/>
    <w:rPr>
      <w:color w:val="0000FF"/>
      <w:u w:val="single"/>
    </w:rPr>
  </w:style>
  <w:style w:type="character" w:styleId="Linkdainternetvisitado">
    <w:name w:val="FollowedHyperlink"/>
    <w:basedOn w:val="DefaultParagraphFont"/>
    <w:uiPriority w:val="99"/>
    <w:semiHidden/>
    <w:unhideWhenUsed/>
    <w:rsid w:val="00646428"/>
    <w:rPr>
      <w:color w:val="800080"/>
      <w:u w:val="single"/>
    </w:rPr>
  </w:style>
  <w:style w:type="character" w:styleId="Annotationreference">
    <w:name w:val="annotation reference"/>
    <w:basedOn w:val="DefaultParagraphFont"/>
    <w:uiPriority w:val="99"/>
    <w:semiHidden/>
    <w:unhideWhenUsed/>
    <w:qFormat/>
    <w:rsid w:val="00a16952"/>
    <w:rPr>
      <w:sz w:val="16"/>
      <w:szCs w:val="16"/>
    </w:rPr>
  </w:style>
  <w:style w:type="character" w:styleId="TextodecomentrioChar" w:customStyle="1">
    <w:name w:val="Texto de comentário Char"/>
    <w:basedOn w:val="DefaultParagraphFont"/>
    <w:link w:val="Annotationtext"/>
    <w:uiPriority w:val="99"/>
    <w:qFormat/>
    <w:rsid w:val="00a16952"/>
    <w:rPr>
      <w:sz w:val="20"/>
      <w:szCs w:val="20"/>
    </w:rPr>
  </w:style>
  <w:style w:type="character" w:styleId="AssuntodocomentrioChar" w:customStyle="1">
    <w:name w:val="Assunto do comentário Char"/>
    <w:basedOn w:val="TextodecomentrioChar"/>
    <w:link w:val="Annotationsubject"/>
    <w:uiPriority w:val="99"/>
    <w:semiHidden/>
    <w:qFormat/>
    <w:rsid w:val="00a16952"/>
    <w:rPr>
      <w:b/>
      <w:bCs/>
      <w:sz w:val="20"/>
      <w:szCs w:val="20"/>
    </w:rPr>
  </w:style>
  <w:style w:type="character" w:styleId="Cf01" w:customStyle="1">
    <w:name w:val="cf01"/>
    <w:basedOn w:val="DefaultParagraphFont"/>
    <w:qFormat/>
    <w:rsid w:val="00c01489"/>
    <w:rPr>
      <w:rFonts w:ascii="Segoe UI" w:hAnsi="Segoe UI" w:cs="Segoe UI"/>
      <w:sz w:val="18"/>
      <w:szCs w:val="18"/>
    </w:rPr>
  </w:style>
  <w:style w:type="character" w:styleId="UnresolvedMention">
    <w:name w:val="Unresolved Mention"/>
    <w:basedOn w:val="DefaultParagraphFont"/>
    <w:uiPriority w:val="99"/>
    <w:semiHidden/>
    <w:unhideWhenUsed/>
    <w:qFormat/>
    <w:rsid w:val="00dd73dc"/>
    <w:rPr>
      <w:color w:val="605E5C"/>
      <w:shd w:fill="E1DFDD" w:val="clear"/>
    </w:rPr>
  </w:style>
  <w:style w:type="character" w:styleId="CabealhoChar" w:customStyle="1">
    <w:name w:val="Cabeçalho Char"/>
    <w:basedOn w:val="DefaultParagraphFont"/>
    <w:uiPriority w:val="99"/>
    <w:qFormat/>
    <w:rsid w:val="00aa69f7"/>
    <w:rPr/>
  </w:style>
  <w:style w:type="character" w:styleId="RodapChar" w:customStyle="1">
    <w:name w:val="Rodapé Char"/>
    <w:basedOn w:val="DefaultParagraphFont"/>
    <w:uiPriority w:val="99"/>
    <w:qFormat/>
    <w:rsid w:val="00aa69f7"/>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Msonormal" w:customStyle="1">
    <w:name w:val="msonormal"/>
    <w:basedOn w:val="Normal"/>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Textocentralizadomaiusculas" w:customStyle="1">
    <w:name w:val="texto_centralizado_maiusculas"/>
    <w:basedOn w:val="Normal"/>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Textoementa" w:customStyle="1">
    <w:name w:val="texto_ementa"/>
    <w:basedOn w:val="Normal"/>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Textojustificado" w:customStyle="1">
    <w:name w:val="texto_justificado"/>
    <w:basedOn w:val="Normal"/>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NormalWeb">
    <w:name w:val="Normal (Web)"/>
    <w:basedOn w:val="Normal"/>
    <w:uiPriority w:val="99"/>
    <w:semiHidden/>
    <w:unhideWhenUsed/>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ListParagraph">
    <w:name w:val="List Paragraph"/>
    <w:basedOn w:val="Normal"/>
    <w:uiPriority w:val="34"/>
    <w:qFormat/>
    <w:rsid w:val="0091529c"/>
    <w:pPr>
      <w:spacing w:before="0" w:after="160"/>
      <w:ind w:left="720" w:hanging="0"/>
      <w:contextualSpacing/>
    </w:pPr>
    <w:rPr/>
  </w:style>
  <w:style w:type="paragraph" w:styleId="Annotationtext">
    <w:name w:val="annotation text"/>
    <w:basedOn w:val="Normal"/>
    <w:link w:val="TextodecomentrioChar"/>
    <w:uiPriority w:val="99"/>
    <w:unhideWhenUsed/>
    <w:qFormat/>
    <w:rsid w:val="00a16952"/>
    <w:pPr>
      <w:spacing w:lineRule="auto" w:line="240"/>
    </w:pPr>
    <w:rPr>
      <w:sz w:val="20"/>
      <w:szCs w:val="20"/>
    </w:rPr>
  </w:style>
  <w:style w:type="paragraph" w:styleId="Annotationsubject">
    <w:name w:val="annotation subject"/>
    <w:basedOn w:val="Annotationtext"/>
    <w:next w:val="Annotationtext"/>
    <w:link w:val="AssuntodocomentrioChar"/>
    <w:uiPriority w:val="99"/>
    <w:semiHidden/>
    <w:unhideWhenUsed/>
    <w:qFormat/>
    <w:rsid w:val="00a16952"/>
    <w:pPr/>
    <w:rPr>
      <w:b/>
      <w:bCs/>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aa69f7"/>
    <w:pPr>
      <w:tabs>
        <w:tab w:val="clear" w:pos="567"/>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aa69f7"/>
    <w:pPr>
      <w:tabs>
        <w:tab w:val="clear" w:pos="567"/>
        <w:tab w:val="center" w:pos="4252" w:leader="none"/>
        <w:tab w:val="right" w:pos="8504" w:leader="none"/>
      </w:tabs>
      <w:spacing w:lineRule="auto" w:line="240" w:before="0" w:after="0"/>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cb11b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gov.br/compras/" TargetMode="External"/><Relationship Id="rId3" Type="http://schemas.openxmlformats.org/officeDocument/2006/relationships/hyperlink" Target="http://www.gov.br/compras" TargetMode="External"/><Relationship Id="rId4"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s://www.gov.br/compras/pt-br/acesso-a-informacao/legislacao/instrucoes-normativas/instrucao-normativa-no-3-de-26-de-abril-de-2018" TargetMode="External"/><Relationship Id="rId6" Type="http://schemas.openxmlformats.org/officeDocument/2006/relationships/hyperlink" Target="https://www.gov.br/compras/pt-br/acesso-a-informacao/legislacao/instrucoes-normativas/instrucao-normativa-no-3-de-26-de-abril-de-2018" TargetMode="External"/><Relationship Id="rId7" Type="http://schemas.openxmlformats.org/officeDocument/2006/relationships/hyperlink" Target="https://www.gov.br/compras/pt-br/acesso-a-informacao/legislacao/instrucoes-normativas/instrucao-normativa-no-3-de-26-de-abril-de-2018" TargetMode="External"/><Relationship Id="rId8" Type="http://schemas.openxmlformats.org/officeDocument/2006/relationships/hyperlink" Target="https://www.gov.br/compras/pt-br/acesso-a-informacao/legislacao/instrucoes-normativas/instrucao-normativa-no-3-de-26-de-abril-de-2018" TargetMode="External"/><Relationship Id="rId9" Type="http://schemas.openxmlformats.org/officeDocument/2006/relationships/hyperlink" Target="https://www.gov.br/compras/pt-br/acesso-a-informacao/legislacao/instrucoes-normativas/instrucao-normativa-no-3-de-26-de-abril-de-2018" TargetMode="External"/><Relationship Id="rId10"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s://www.gov.br/compras/pt-br/acesso-a-informacao/legislacao/instrucoes-normativas/instrucao-normativa-seges-me-no-73-de-30-de-setembro-de-2022" TargetMode="External"/><Relationship Id="rId12" Type="http://schemas.openxmlformats.org/officeDocument/2006/relationships/hyperlink" Target="mailto:admsp-suli@trf3.jus.br" TargetMode="External"/><Relationship Id="rId13" Type="http://schemas.openxmlformats.org/officeDocument/2006/relationships/hyperlink" Target="http://www.jfsp.jus.br/" TargetMode="External"/><Relationship Id="rId14" Type="http://schemas.openxmlformats.org/officeDocument/2006/relationships/hyperlink" Target="https://sei.trf3.jus.br/sei/controlador_externo.php?acao=usuario_externo_logar&amp;id_orgao_acesso_externo=1" TargetMode="External"/><Relationship Id="rId15" Type="http://schemas.openxmlformats.org/officeDocument/2006/relationships/hyperlink" Target="https://www.gov.br/compras/pt-br/acesso-a-informacao/legislacao/instrucoes-normativas/instrucao-normativa-seges-me-no-73-de-30-de-setembro-de-2022" TargetMode="External"/><Relationship Id="rId16" Type="http://schemas.openxmlformats.org/officeDocument/2006/relationships/hyperlink" Target="https://www.planalto.gov.br/ccivil_03/_ato2011-2014/2013/lei/l12846.htm" TargetMode="External"/><Relationship Id="rId17" Type="http://schemas.openxmlformats.org/officeDocument/2006/relationships/hyperlink" Target="mailto:admsp-suli@trf3.jus.br" TargetMode="External"/><Relationship Id="rId18" Type="http://schemas.openxmlformats.org/officeDocument/2006/relationships/hyperlink" Target="mailto:admsp-succ@trf3.jus.br" TargetMode="External"/><Relationship Id="rId19" Type="http://schemas.openxmlformats.org/officeDocument/2006/relationships/hyperlink" Target="mailto:admsp-suli@trf3.jus.br" TargetMode="External"/><Relationship Id="rId20" Type="http://schemas.openxmlformats.org/officeDocument/2006/relationships/hyperlink" Target="https://web.trf3.jus.br/contas/Licitacoes" TargetMode="External"/><Relationship Id="rId21" Type="http://schemas.openxmlformats.org/officeDocument/2006/relationships/hyperlink" Target="mailto:admsp-suli@trf3.jus.br" TargetMode="External"/><Relationship Id="rId22" Type="http://schemas.openxmlformats.org/officeDocument/2006/relationships/header" Target="header1.xml"/><Relationship Id="rId23" Type="http://schemas.openxmlformats.org/officeDocument/2006/relationships/header" Target="header2.xml"/><Relationship Id="rId24" Type="http://schemas.openxmlformats.org/officeDocument/2006/relationships/footer" Target="footer1.xml"/><Relationship Id="rId25" Type="http://schemas.openxmlformats.org/officeDocument/2006/relationships/numbering" Target="numbering.xml"/><Relationship Id="rId26" Type="http://schemas.openxmlformats.org/officeDocument/2006/relationships/fontTable" Target="fontTable.xml"/><Relationship Id="rId27" Type="http://schemas.openxmlformats.org/officeDocument/2006/relationships/settings" Target="settings.xml"/><Relationship Id="rId28" Type="http://schemas.openxmlformats.org/officeDocument/2006/relationships/theme" Target="theme/theme1.xml"/><Relationship Id="rId29"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941D6-A4EE-4944-90C8-002A9A40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3793</TotalTime>
  <Application>LibreOffice/7.4.6.2$Windows_X86_64 LibreOffice_project/5b1f5509c2decdade7fda905e3e1429a67acd63d</Application>
  <AppVersion>15.0000</AppVersion>
  <Pages>32</Pages>
  <Words>11241</Words>
  <Characters>63670</Characters>
  <CharactersWithSpaces>74934</CharactersWithSpaces>
  <Paragraphs>440</Paragraphs>
  <Company>Tribunal Regional Federal 3ª Região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2023-07-18T07:16:00Z</dcterms:created>
  <dc:creator>JOCELITO DE BRITO CAVALCANTI</dc:creator>
  <dc:description/>
  <dc:language>pt-BR</dc:language>
  <cp:lastModifiedBy/>
  <dcterms:modified xsi:type="dcterms:W3CDTF">2024-06-19T12:35:10Z</dcterms:modified>
  <cp:revision>889</cp:revision>
  <dc:subject/>
  <dc:title/>
</cp:coreProperties>
</file>

<file path=docProps/custom.xml><?xml version="1.0" encoding="utf-8"?>
<Properties xmlns="http://schemas.openxmlformats.org/officeDocument/2006/custom-properties" xmlns:vt="http://schemas.openxmlformats.org/officeDocument/2006/docPropsVTypes"/>
</file>