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5E335" w14:textId="77777777" w:rsidR="00485F95" w:rsidRPr="00485F95" w:rsidRDefault="00485F95" w:rsidP="00A81D23">
      <w:pPr>
        <w:spacing w:after="165" w:line="240" w:lineRule="auto"/>
        <w:jc w:val="both"/>
        <w:rPr>
          <w:rFonts w:ascii="Arial" w:eastAsia="Times New Roman" w:hAnsi="Arial" w:cs="Arial"/>
          <w:sz w:val="24"/>
          <w:szCs w:val="24"/>
          <w:lang w:eastAsia="pt-BR"/>
        </w:rPr>
      </w:pPr>
    </w:p>
    <w:p w14:paraId="5E35C508" w14:textId="283C7D67" w:rsidR="00A81D23" w:rsidRPr="00485F95" w:rsidRDefault="00A81D23" w:rsidP="00A81D23">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485F95">
        <w:rPr>
          <w:rFonts w:ascii="Arial" w:eastAsia="Times New Roman" w:hAnsi="Arial" w:cs="Arial"/>
          <w:b/>
          <w:bCs/>
          <w:sz w:val="24"/>
          <w:szCs w:val="24"/>
          <w:lang w:eastAsia="pt-BR"/>
        </w:rPr>
        <w:t xml:space="preserve">PREGÃO ELETRÔNICO Nº </w:t>
      </w:r>
      <w:bookmarkStart w:id="0" w:name="_Hlk198655847"/>
      <w:r w:rsidR="00281598" w:rsidRPr="00485F95">
        <w:rPr>
          <w:rFonts w:ascii="Arial" w:eastAsia="Times New Roman" w:hAnsi="Arial" w:cs="Arial"/>
          <w:b/>
          <w:bCs/>
          <w:sz w:val="24"/>
          <w:szCs w:val="24"/>
          <w:lang w:eastAsia="pt-BR"/>
        </w:rPr>
        <w:t>90011/2025-RP</w:t>
      </w:r>
      <w:bookmarkEnd w:id="0"/>
    </w:p>
    <w:p w14:paraId="008A2933" w14:textId="6FDC5E0C" w:rsidR="00A81D23" w:rsidRPr="00485F95" w:rsidRDefault="00A81D23" w:rsidP="00A81D23">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485F95">
        <w:rPr>
          <w:rFonts w:ascii="Arial" w:eastAsia="Times New Roman" w:hAnsi="Arial" w:cs="Arial"/>
          <w:b/>
          <w:bCs/>
          <w:sz w:val="24"/>
          <w:szCs w:val="24"/>
          <w:lang w:eastAsia="pt-BR"/>
        </w:rPr>
        <w:t xml:space="preserve">ANEXO </w:t>
      </w:r>
      <w:r w:rsidR="00281598" w:rsidRPr="00485F95">
        <w:rPr>
          <w:rFonts w:ascii="Arial" w:eastAsia="Times New Roman" w:hAnsi="Arial" w:cs="Arial"/>
          <w:b/>
          <w:bCs/>
          <w:sz w:val="24"/>
          <w:szCs w:val="24"/>
          <w:lang w:eastAsia="pt-BR"/>
        </w:rPr>
        <w:t>V</w:t>
      </w:r>
      <w:r w:rsidRPr="00485F95">
        <w:rPr>
          <w:rFonts w:ascii="Arial" w:eastAsia="Times New Roman" w:hAnsi="Arial" w:cs="Arial"/>
          <w:b/>
          <w:bCs/>
          <w:sz w:val="24"/>
          <w:szCs w:val="24"/>
          <w:lang w:eastAsia="pt-BR"/>
        </w:rPr>
        <w:t xml:space="preserve"> - MINUTA </w:t>
      </w:r>
      <w:r w:rsidR="00281598" w:rsidRPr="00485F95">
        <w:rPr>
          <w:rFonts w:ascii="Arial" w:eastAsia="Times New Roman" w:hAnsi="Arial" w:cs="Arial"/>
          <w:b/>
          <w:bCs/>
          <w:sz w:val="24"/>
          <w:szCs w:val="24"/>
          <w:lang w:eastAsia="pt-BR"/>
        </w:rPr>
        <w:t>DE</w:t>
      </w:r>
      <w:r w:rsidRPr="00485F95">
        <w:rPr>
          <w:rFonts w:ascii="Arial" w:eastAsia="Times New Roman" w:hAnsi="Arial" w:cs="Arial"/>
          <w:b/>
          <w:bCs/>
          <w:sz w:val="24"/>
          <w:szCs w:val="24"/>
          <w:lang w:eastAsia="pt-BR"/>
        </w:rPr>
        <w:t xml:space="preserve"> CONTRATO</w:t>
      </w:r>
    </w:p>
    <w:p w14:paraId="024EA759" w14:textId="77777777" w:rsidR="00485F95" w:rsidRPr="00485F95" w:rsidRDefault="00485F95" w:rsidP="008F380D">
      <w:pPr>
        <w:spacing w:before="120" w:after="120" w:line="240" w:lineRule="auto"/>
        <w:ind w:left="120" w:right="120"/>
        <w:jc w:val="both"/>
        <w:rPr>
          <w:rFonts w:ascii="Arial" w:eastAsia="Times New Roman" w:hAnsi="Arial" w:cs="Arial"/>
          <w:b/>
          <w:bCs/>
          <w:sz w:val="24"/>
          <w:szCs w:val="24"/>
          <w:lang w:eastAsia="pt-BR"/>
        </w:rPr>
      </w:pPr>
    </w:p>
    <w:p w14:paraId="20B4198F" w14:textId="5C56A040"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 xml:space="preserve">CONTRATO ADMINISTRATIVO Nº ......../...., QUE FAZEM ENTRE SI A UNIÃO, POR INTERMÉDIO DA </w:t>
      </w:r>
      <w:r w:rsidR="00A81D23" w:rsidRPr="00485F95">
        <w:rPr>
          <w:rFonts w:ascii="Arial" w:eastAsia="Times New Roman" w:hAnsi="Arial" w:cs="Arial"/>
          <w:b/>
          <w:bCs/>
          <w:sz w:val="24"/>
          <w:szCs w:val="24"/>
          <w:lang w:eastAsia="pt-BR"/>
        </w:rPr>
        <w:t>JUSTIÇA FEDERAL DE PRIMEIRO GRAU EM SÃO PAULO</w:t>
      </w:r>
      <w:r w:rsidRPr="00485F95">
        <w:rPr>
          <w:rFonts w:ascii="Arial" w:eastAsia="Times New Roman" w:hAnsi="Arial" w:cs="Arial"/>
          <w:b/>
          <w:bCs/>
          <w:sz w:val="24"/>
          <w:szCs w:val="24"/>
          <w:lang w:eastAsia="pt-BR"/>
        </w:rPr>
        <w:t xml:space="preserve"> E A EMPRESA ............................................................. </w:t>
      </w:r>
    </w:p>
    <w:p w14:paraId="38455320" w14:textId="0B4A282B"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A União, por intermédio </w:t>
      </w:r>
      <w:r w:rsidR="00A81D23" w:rsidRPr="00485F95">
        <w:rPr>
          <w:rFonts w:ascii="Arial" w:eastAsia="Times New Roman" w:hAnsi="Arial" w:cs="Arial"/>
          <w:sz w:val="24"/>
          <w:szCs w:val="24"/>
          <w:lang w:eastAsia="pt-BR"/>
        </w:rPr>
        <w:t>da Justiça Federal de Primeiro Grau em São Paulo,</w:t>
      </w:r>
      <w:r w:rsidRPr="00485F95">
        <w:rPr>
          <w:rFonts w:ascii="Arial" w:eastAsia="Times New Roman" w:hAnsi="Arial" w:cs="Arial"/>
          <w:sz w:val="24"/>
          <w:szCs w:val="24"/>
          <w:lang w:eastAsia="pt-BR"/>
        </w:rPr>
        <w:t xml:space="preserve"> com sede </w:t>
      </w:r>
      <w:r w:rsidR="00A81D23" w:rsidRPr="00485F95">
        <w:rPr>
          <w:rFonts w:ascii="Arial" w:eastAsia="Times New Roman" w:hAnsi="Arial" w:cs="Arial"/>
          <w:sz w:val="24"/>
          <w:szCs w:val="24"/>
          <w:lang w:eastAsia="pt-BR"/>
        </w:rPr>
        <w:t>na Rua Peixoto Gomide nº 768, Jardim Paulista,</w:t>
      </w:r>
      <w:r w:rsidRPr="00485F95">
        <w:rPr>
          <w:rFonts w:ascii="Arial" w:eastAsia="Times New Roman" w:hAnsi="Arial" w:cs="Arial"/>
          <w:sz w:val="24"/>
          <w:szCs w:val="24"/>
          <w:lang w:eastAsia="pt-BR"/>
        </w:rPr>
        <w:t xml:space="preserve"> na cidade de </w:t>
      </w:r>
      <w:r w:rsidR="00A81D23" w:rsidRPr="00485F95">
        <w:rPr>
          <w:rFonts w:ascii="Arial" w:eastAsia="Times New Roman" w:hAnsi="Arial" w:cs="Arial"/>
          <w:sz w:val="24"/>
          <w:szCs w:val="24"/>
          <w:lang w:eastAsia="pt-BR"/>
        </w:rPr>
        <w:t>São Paulo/SP</w:t>
      </w:r>
      <w:r w:rsidRPr="00485F95">
        <w:rPr>
          <w:rFonts w:ascii="Arial" w:eastAsia="Times New Roman" w:hAnsi="Arial" w:cs="Arial"/>
          <w:sz w:val="24"/>
          <w:szCs w:val="24"/>
          <w:lang w:eastAsia="pt-BR"/>
        </w:rPr>
        <w:t xml:space="preserve">, inscrita no CNPJ sob o nº </w:t>
      </w:r>
      <w:r w:rsidR="00A81D23" w:rsidRPr="00485F95">
        <w:rPr>
          <w:rFonts w:ascii="Arial" w:eastAsia="Times New Roman" w:hAnsi="Arial" w:cs="Arial"/>
          <w:sz w:val="24"/>
          <w:szCs w:val="24"/>
          <w:lang w:eastAsia="pt-BR"/>
        </w:rPr>
        <w:t>05.445.105/0001-78</w:t>
      </w:r>
      <w:r w:rsidRPr="00485F95">
        <w:rPr>
          <w:rFonts w:ascii="Arial" w:eastAsia="Times New Roman" w:hAnsi="Arial" w:cs="Arial"/>
          <w:sz w:val="24"/>
          <w:szCs w:val="24"/>
          <w:lang w:eastAsia="pt-BR"/>
        </w:rPr>
        <w:t xml:space="preserve">, neste ato representada pelo </w:t>
      </w:r>
      <w:r w:rsidR="00404C95" w:rsidRPr="00485F95">
        <w:rPr>
          <w:rFonts w:ascii="Arial" w:eastAsia="Times New Roman" w:hAnsi="Arial" w:cs="Arial"/>
          <w:sz w:val="24"/>
          <w:szCs w:val="24"/>
          <w:lang w:eastAsia="pt-BR"/>
        </w:rPr>
        <w:t>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w:t>
      </w:r>
      <w:r w:rsidRPr="00485F95">
        <w:rPr>
          <w:rFonts w:ascii="Arial" w:eastAsia="Times New Roman" w:hAnsi="Arial" w:cs="Arial"/>
          <w:sz w:val="24"/>
          <w:szCs w:val="24"/>
          <w:lang w:eastAsia="pt-BR"/>
        </w:rPr>
        <w:t xml:space="preserve"> doravante denominado CONTRATANTE, e o(a) .............................. inscrito(a) no CNPJ/MF sob o nº ............................, sediado(a) na ..................................., </w:t>
      </w:r>
      <w:proofErr w:type="spellStart"/>
      <w:r w:rsidRPr="00485F95">
        <w:rPr>
          <w:rFonts w:ascii="Arial" w:eastAsia="Times New Roman" w:hAnsi="Arial" w:cs="Arial"/>
          <w:sz w:val="24"/>
          <w:szCs w:val="24"/>
          <w:lang w:eastAsia="pt-BR"/>
        </w:rPr>
        <w:t>em</w:t>
      </w:r>
      <w:proofErr w:type="spellEnd"/>
      <w:r w:rsidRPr="00485F95">
        <w:rPr>
          <w:rFonts w:ascii="Arial" w:eastAsia="Times New Roman" w:hAnsi="Arial" w:cs="Arial"/>
          <w:sz w:val="24"/>
          <w:szCs w:val="24"/>
          <w:lang w:eastAsia="pt-BR"/>
        </w:rPr>
        <w:t xml:space="preserve"> ............................. doravante designado CONTRATADO, neste ato representada por .................................. (nome e função no contratado), conforme atos constitutivos da empresa OU procuração apresentada nos autos, tendo em vista o que consta no</w:t>
      </w:r>
      <w:r w:rsidR="00A81D23" w:rsidRPr="00485F95">
        <w:rPr>
          <w:rFonts w:ascii="Arial" w:eastAsia="Times New Roman" w:hAnsi="Arial" w:cs="Arial"/>
          <w:sz w:val="24"/>
          <w:szCs w:val="24"/>
          <w:lang w:eastAsia="pt-BR"/>
        </w:rPr>
        <w:t>s</w:t>
      </w:r>
      <w:r w:rsidRPr="00485F95">
        <w:rPr>
          <w:rFonts w:ascii="Arial" w:eastAsia="Times New Roman" w:hAnsi="Arial" w:cs="Arial"/>
          <w:sz w:val="24"/>
          <w:szCs w:val="24"/>
          <w:lang w:eastAsia="pt-BR"/>
        </w:rPr>
        <w:t xml:space="preserve"> Processo</w:t>
      </w:r>
      <w:r w:rsidR="00A81D23" w:rsidRPr="00485F95">
        <w:rPr>
          <w:rFonts w:ascii="Arial" w:eastAsia="Times New Roman" w:hAnsi="Arial" w:cs="Arial"/>
          <w:sz w:val="24"/>
          <w:szCs w:val="24"/>
          <w:lang w:eastAsia="pt-BR"/>
        </w:rPr>
        <w:t>s</w:t>
      </w:r>
      <w:r w:rsidRPr="00485F95">
        <w:rPr>
          <w:rFonts w:ascii="Arial" w:eastAsia="Times New Roman" w:hAnsi="Arial" w:cs="Arial"/>
          <w:sz w:val="24"/>
          <w:szCs w:val="24"/>
          <w:lang w:eastAsia="pt-BR"/>
        </w:rPr>
        <w:t xml:space="preserve"> nº </w:t>
      </w:r>
      <w:r w:rsidR="00281598" w:rsidRPr="00485F95">
        <w:rPr>
          <w:rFonts w:ascii="Arial" w:eastAsia="Times New Roman" w:hAnsi="Arial" w:cs="Arial"/>
          <w:sz w:val="24"/>
          <w:szCs w:val="24"/>
          <w:lang w:eastAsia="pt-BR"/>
        </w:rPr>
        <w:t xml:space="preserve">0012782-67.2023.4.03.8001 </w:t>
      </w:r>
      <w:r w:rsidR="00A81D23" w:rsidRPr="00485F95">
        <w:rPr>
          <w:rFonts w:ascii="Arial" w:eastAsia="Times New Roman" w:hAnsi="Arial" w:cs="Arial"/>
          <w:sz w:val="24"/>
          <w:szCs w:val="24"/>
          <w:lang w:eastAsia="pt-BR"/>
        </w:rPr>
        <w:t>e nº</w:t>
      </w:r>
      <w:r w:rsidRPr="00485F95">
        <w:rPr>
          <w:rFonts w:ascii="Arial" w:eastAsia="Times New Roman" w:hAnsi="Arial" w:cs="Arial"/>
          <w:sz w:val="24"/>
          <w:szCs w:val="24"/>
          <w:lang w:eastAsia="pt-BR"/>
        </w:rPr>
        <w:t>...................</w:t>
      </w:r>
      <w:r w:rsidR="00A81D23" w:rsidRPr="00485F95">
        <w:rPr>
          <w:rFonts w:ascii="Arial" w:eastAsia="Times New Roman" w:hAnsi="Arial" w:cs="Arial"/>
          <w:sz w:val="24"/>
          <w:szCs w:val="24"/>
          <w:lang w:eastAsia="pt-BR"/>
        </w:rPr>
        <w:t>,</w:t>
      </w:r>
      <w:r w:rsidRPr="00485F95">
        <w:rPr>
          <w:rFonts w:ascii="Arial" w:eastAsia="Times New Roman" w:hAnsi="Arial" w:cs="Arial"/>
          <w:sz w:val="24"/>
          <w:szCs w:val="24"/>
          <w:lang w:eastAsia="pt-BR"/>
        </w:rPr>
        <w:t xml:space="preserve"> e em observância às disposições da Lei nº 14.133, de 1º de abril de 2021, </w:t>
      </w:r>
      <w:r w:rsidR="00281598" w:rsidRPr="00485F95">
        <w:rPr>
          <w:rFonts w:ascii="Arial" w:eastAsia="Times New Roman" w:hAnsi="Arial" w:cs="Arial"/>
          <w:sz w:val="24"/>
          <w:szCs w:val="24"/>
          <w:lang w:eastAsia="pt-BR"/>
        </w:rPr>
        <w:t xml:space="preserve">do Decreto nº 11.462, de 31 de março de 2023, </w:t>
      </w:r>
      <w:r w:rsidRPr="00485F95">
        <w:rPr>
          <w:rFonts w:ascii="Arial" w:eastAsia="Times New Roman" w:hAnsi="Arial" w:cs="Arial"/>
          <w:sz w:val="24"/>
          <w:szCs w:val="24"/>
          <w:lang w:eastAsia="pt-BR"/>
        </w:rPr>
        <w:t xml:space="preserve">e demais normas aplicáveis, resolvem celebrar o presente Termo de Contrato, decorrente do Pregão Eletrônico n. </w:t>
      </w:r>
      <w:r w:rsidR="00281598" w:rsidRPr="00485F95">
        <w:rPr>
          <w:rFonts w:ascii="Arial" w:eastAsia="Times New Roman" w:hAnsi="Arial" w:cs="Arial"/>
          <w:sz w:val="24"/>
          <w:szCs w:val="24"/>
          <w:lang w:eastAsia="pt-BR"/>
        </w:rPr>
        <w:t>90011/2025-RP</w:t>
      </w:r>
      <w:r w:rsidRPr="00485F95">
        <w:rPr>
          <w:rFonts w:ascii="Arial" w:eastAsia="Times New Roman" w:hAnsi="Arial" w:cs="Arial"/>
          <w:sz w:val="24"/>
          <w:szCs w:val="24"/>
          <w:lang w:eastAsia="pt-BR"/>
        </w:rPr>
        <w:t>, mediante as cláusulas e condições a seguir enunciadas.</w:t>
      </w:r>
    </w:p>
    <w:p w14:paraId="55062D94" w14:textId="4214774F"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690F716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1. CLÁUSULA PRIMEIRA – OBJETO</w:t>
      </w:r>
    </w:p>
    <w:p w14:paraId="107DCF04" w14:textId="556DF785"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1.1. O objeto do presente instrumento é a contratação de serviços de </w:t>
      </w:r>
      <w:r w:rsidR="00281598" w:rsidRPr="00485F95">
        <w:rPr>
          <w:rFonts w:ascii="Arial" w:eastAsia="Times New Roman" w:hAnsi="Arial" w:cs="Arial"/>
          <w:sz w:val="24"/>
          <w:szCs w:val="24"/>
          <w:lang w:eastAsia="pt-BR"/>
        </w:rPr>
        <w:t>instalação de divisórias em placas de gesso acartonado (</w:t>
      </w:r>
      <w:proofErr w:type="spellStart"/>
      <w:r w:rsidR="00281598" w:rsidRPr="00485F95">
        <w:rPr>
          <w:rFonts w:ascii="Arial" w:eastAsia="Times New Roman" w:hAnsi="Arial" w:cs="Arial"/>
          <w:sz w:val="24"/>
          <w:szCs w:val="24"/>
          <w:lang w:eastAsia="pt-BR"/>
        </w:rPr>
        <w:t>drywall</w:t>
      </w:r>
      <w:proofErr w:type="spellEnd"/>
      <w:r w:rsidR="00281598" w:rsidRPr="00485F95">
        <w:rPr>
          <w:rFonts w:ascii="Arial" w:eastAsia="Times New Roman" w:hAnsi="Arial" w:cs="Arial"/>
          <w:sz w:val="24"/>
          <w:szCs w:val="24"/>
          <w:lang w:eastAsia="pt-BR"/>
        </w:rPr>
        <w:t>), com fornecimento de material e pintura,</w:t>
      </w:r>
      <w:r w:rsidRPr="00485F95">
        <w:rPr>
          <w:rFonts w:ascii="Arial" w:eastAsia="Times New Roman" w:hAnsi="Arial" w:cs="Arial"/>
          <w:sz w:val="24"/>
          <w:szCs w:val="24"/>
          <w:lang w:eastAsia="pt-BR"/>
        </w:rPr>
        <w:t xml:space="preserve"> nas condições estabelecidas no Termo de Referência.</w:t>
      </w:r>
    </w:p>
    <w:p w14:paraId="457B7D15"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 Objeto da contratação:</w:t>
      </w:r>
    </w:p>
    <w:p w14:paraId="27429D75" w14:textId="0D9F8A92" w:rsidR="00404C95" w:rsidRPr="00485F95" w:rsidRDefault="00404C95" w:rsidP="00960DCB">
      <w:pPr>
        <w:spacing w:before="120" w:after="120" w:line="240" w:lineRule="auto"/>
        <w:ind w:left="120" w:right="120"/>
        <w:jc w:val="both"/>
        <w:rPr>
          <w:rFonts w:ascii="Arial" w:eastAsia="Times New Roman" w:hAnsi="Arial" w:cs="Arial"/>
          <w:sz w:val="24"/>
          <w:szCs w:val="24"/>
          <w:lang w:eastAsia="pt-BR"/>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9"/>
        <w:gridCol w:w="2647"/>
        <w:gridCol w:w="1029"/>
        <w:gridCol w:w="943"/>
        <w:gridCol w:w="1364"/>
        <w:gridCol w:w="997"/>
        <w:gridCol w:w="892"/>
      </w:tblGrid>
      <w:tr w:rsidR="00485F95" w:rsidRPr="00485F95" w14:paraId="19D7D84F" w14:textId="77777777" w:rsidTr="00404C95">
        <w:trPr>
          <w:trHeight w:val="720"/>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BFBFBF"/>
            <w:noWrap/>
            <w:tcMar>
              <w:top w:w="15" w:type="dxa"/>
              <w:left w:w="15" w:type="dxa"/>
              <w:bottom w:w="0" w:type="dxa"/>
              <w:right w:w="15" w:type="dxa"/>
            </w:tcMar>
            <w:vAlign w:val="bottom"/>
            <w:hideMark/>
          </w:tcPr>
          <w:p w14:paraId="419F5DA2"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GRUPO 1</w:t>
            </w:r>
          </w:p>
        </w:tc>
      </w:tr>
      <w:tr w:rsidR="00485F95" w:rsidRPr="00485F95" w14:paraId="78A723D8" w14:textId="77777777" w:rsidTr="00485F95">
        <w:trPr>
          <w:trHeight w:val="1080"/>
        </w:trPr>
        <w:tc>
          <w:tcPr>
            <w:tcW w:w="365" w:type="pct"/>
            <w:tcBorders>
              <w:top w:val="nil"/>
              <w:left w:val="single" w:sz="6" w:space="0" w:color="000000"/>
              <w:bottom w:val="single" w:sz="6" w:space="0" w:color="000000"/>
              <w:right w:val="single" w:sz="6" w:space="0" w:color="000000"/>
            </w:tcBorders>
            <w:shd w:val="clear" w:color="auto" w:fill="BFBFBF"/>
            <w:tcMar>
              <w:top w:w="15" w:type="dxa"/>
              <w:left w:w="15" w:type="dxa"/>
              <w:bottom w:w="0" w:type="dxa"/>
              <w:right w:w="15" w:type="dxa"/>
            </w:tcMar>
            <w:vAlign w:val="center"/>
            <w:hideMark/>
          </w:tcPr>
          <w:p w14:paraId="08921AFB"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ITENS</w:t>
            </w:r>
          </w:p>
        </w:tc>
        <w:tc>
          <w:tcPr>
            <w:tcW w:w="1559" w:type="pct"/>
            <w:tcBorders>
              <w:top w:val="nil"/>
              <w:left w:val="nil"/>
              <w:bottom w:val="single" w:sz="6" w:space="0" w:color="000000"/>
              <w:right w:val="single" w:sz="6" w:space="0" w:color="000000"/>
            </w:tcBorders>
            <w:shd w:val="clear" w:color="auto" w:fill="BFBFBF"/>
            <w:tcMar>
              <w:top w:w="15" w:type="dxa"/>
              <w:left w:w="15" w:type="dxa"/>
              <w:bottom w:w="0" w:type="dxa"/>
              <w:right w:w="15" w:type="dxa"/>
            </w:tcMar>
            <w:vAlign w:val="center"/>
            <w:hideMark/>
          </w:tcPr>
          <w:p w14:paraId="6821BF36" w14:textId="656862BE" w:rsidR="00404C95" w:rsidRPr="00485F95" w:rsidRDefault="00960DCB"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DESCRIÇÃO</w:t>
            </w:r>
          </w:p>
        </w:tc>
        <w:tc>
          <w:tcPr>
            <w:tcW w:w="606" w:type="pct"/>
            <w:tcBorders>
              <w:top w:val="nil"/>
              <w:left w:val="nil"/>
              <w:bottom w:val="single" w:sz="6" w:space="0" w:color="000000"/>
              <w:right w:val="single" w:sz="6" w:space="0" w:color="000000"/>
            </w:tcBorders>
            <w:shd w:val="clear" w:color="auto" w:fill="BFBFBF"/>
            <w:tcMar>
              <w:top w:w="15" w:type="dxa"/>
              <w:left w:w="15" w:type="dxa"/>
              <w:bottom w:w="0" w:type="dxa"/>
              <w:right w:w="15" w:type="dxa"/>
            </w:tcMar>
            <w:vAlign w:val="center"/>
            <w:hideMark/>
          </w:tcPr>
          <w:p w14:paraId="71B16503"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CATSER</w:t>
            </w:r>
          </w:p>
        </w:tc>
        <w:tc>
          <w:tcPr>
            <w:tcW w:w="555" w:type="pct"/>
            <w:tcBorders>
              <w:top w:val="nil"/>
              <w:left w:val="nil"/>
              <w:bottom w:val="single" w:sz="6" w:space="0" w:color="000000"/>
              <w:right w:val="single" w:sz="6" w:space="0" w:color="000000"/>
            </w:tcBorders>
            <w:shd w:val="clear" w:color="auto" w:fill="BFBFBF"/>
            <w:tcMar>
              <w:top w:w="15" w:type="dxa"/>
              <w:left w:w="15" w:type="dxa"/>
              <w:bottom w:w="0" w:type="dxa"/>
              <w:right w:w="15" w:type="dxa"/>
            </w:tcMar>
            <w:vAlign w:val="center"/>
            <w:hideMark/>
          </w:tcPr>
          <w:p w14:paraId="3D7D2198"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UNIDADE</w:t>
            </w:r>
          </w:p>
        </w:tc>
        <w:tc>
          <w:tcPr>
            <w:tcW w:w="803" w:type="pct"/>
            <w:tcBorders>
              <w:top w:val="nil"/>
              <w:left w:val="nil"/>
              <w:bottom w:val="single" w:sz="6" w:space="0" w:color="000000"/>
              <w:right w:val="single" w:sz="6" w:space="0" w:color="000000"/>
            </w:tcBorders>
            <w:shd w:val="clear" w:color="auto" w:fill="BFBFBF"/>
            <w:tcMar>
              <w:top w:w="15" w:type="dxa"/>
              <w:left w:w="15" w:type="dxa"/>
              <w:bottom w:w="0" w:type="dxa"/>
              <w:right w:w="15" w:type="dxa"/>
            </w:tcMar>
            <w:vAlign w:val="center"/>
            <w:hideMark/>
          </w:tcPr>
          <w:p w14:paraId="047EA7A7" w14:textId="77777777" w:rsidR="00404C95" w:rsidRPr="00485F95" w:rsidRDefault="00404C95" w:rsidP="00404C95">
            <w:pPr>
              <w:spacing w:after="0" w:line="240" w:lineRule="auto"/>
              <w:rPr>
                <w:rFonts w:ascii="Arial" w:eastAsia="Times New Roman" w:hAnsi="Arial" w:cs="Arial"/>
                <w:sz w:val="20"/>
                <w:szCs w:val="20"/>
                <w:lang w:eastAsia="pt-BR"/>
              </w:rPr>
            </w:pPr>
            <w:r w:rsidRPr="00485F95">
              <w:rPr>
                <w:rFonts w:ascii="Arial" w:eastAsia="Times New Roman" w:hAnsi="Arial" w:cs="Arial"/>
                <w:b/>
                <w:bCs/>
                <w:sz w:val="20"/>
                <w:szCs w:val="20"/>
                <w:lang w:eastAsia="pt-BR"/>
              </w:rPr>
              <w:t>QUANTIDADE ESTIMADA</w:t>
            </w:r>
          </w:p>
        </w:tc>
        <w:tc>
          <w:tcPr>
            <w:tcW w:w="587" w:type="pct"/>
            <w:tcBorders>
              <w:top w:val="nil"/>
              <w:left w:val="nil"/>
              <w:bottom w:val="single" w:sz="6" w:space="0" w:color="000000"/>
              <w:right w:val="single" w:sz="6" w:space="0" w:color="000000"/>
            </w:tcBorders>
            <w:shd w:val="clear" w:color="auto" w:fill="BFBFBF"/>
            <w:tcMar>
              <w:top w:w="15" w:type="dxa"/>
              <w:left w:w="15" w:type="dxa"/>
              <w:bottom w:w="0" w:type="dxa"/>
              <w:right w:w="15" w:type="dxa"/>
            </w:tcMar>
            <w:vAlign w:val="center"/>
            <w:hideMark/>
          </w:tcPr>
          <w:p w14:paraId="09F26692"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PREÇO UNITÁRIO EM</w:t>
            </w:r>
            <w:r w:rsidRPr="00485F95">
              <w:rPr>
                <w:rFonts w:ascii="Arial" w:eastAsia="Times New Roman" w:hAnsi="Arial" w:cs="Arial"/>
                <w:sz w:val="20"/>
                <w:szCs w:val="20"/>
                <w:lang w:eastAsia="pt-BR"/>
              </w:rPr>
              <w:br/>
            </w:r>
            <w:r w:rsidRPr="00485F95">
              <w:rPr>
                <w:rFonts w:ascii="Arial" w:eastAsia="Times New Roman" w:hAnsi="Arial" w:cs="Arial"/>
                <w:b/>
                <w:bCs/>
                <w:sz w:val="20"/>
                <w:szCs w:val="20"/>
                <w:lang w:eastAsia="pt-BR"/>
              </w:rPr>
              <w:t>R$ (REAIS)</w:t>
            </w:r>
          </w:p>
        </w:tc>
        <w:tc>
          <w:tcPr>
            <w:tcW w:w="525" w:type="pct"/>
            <w:tcBorders>
              <w:top w:val="nil"/>
              <w:left w:val="nil"/>
              <w:bottom w:val="single" w:sz="6" w:space="0" w:color="000000"/>
              <w:right w:val="single" w:sz="6" w:space="0" w:color="000000"/>
            </w:tcBorders>
            <w:shd w:val="clear" w:color="auto" w:fill="BFBFBF"/>
            <w:tcMar>
              <w:top w:w="15" w:type="dxa"/>
              <w:left w:w="15" w:type="dxa"/>
              <w:bottom w:w="0" w:type="dxa"/>
              <w:right w:w="15" w:type="dxa"/>
            </w:tcMar>
            <w:vAlign w:val="center"/>
            <w:hideMark/>
          </w:tcPr>
          <w:p w14:paraId="3355ABA8"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PREÇO TOTAL EM</w:t>
            </w:r>
            <w:r w:rsidRPr="00485F95">
              <w:rPr>
                <w:rFonts w:ascii="Arial" w:eastAsia="Times New Roman" w:hAnsi="Arial" w:cs="Arial"/>
                <w:sz w:val="20"/>
                <w:szCs w:val="20"/>
                <w:lang w:eastAsia="pt-BR"/>
              </w:rPr>
              <w:br/>
            </w:r>
            <w:r w:rsidRPr="00485F95">
              <w:rPr>
                <w:rFonts w:ascii="Arial" w:eastAsia="Times New Roman" w:hAnsi="Arial" w:cs="Arial"/>
                <w:b/>
                <w:bCs/>
                <w:sz w:val="20"/>
                <w:szCs w:val="20"/>
                <w:lang w:eastAsia="pt-BR"/>
              </w:rPr>
              <w:t>R$ (REAIS)</w:t>
            </w:r>
          </w:p>
        </w:tc>
      </w:tr>
      <w:tr w:rsidR="00485F95" w:rsidRPr="00485F95" w14:paraId="72FAC0FD" w14:textId="77777777" w:rsidTr="00404C95">
        <w:trPr>
          <w:trHeight w:val="315"/>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D9D9D9"/>
            <w:tcMar>
              <w:top w:w="15" w:type="dxa"/>
              <w:left w:w="15" w:type="dxa"/>
              <w:bottom w:w="0" w:type="dxa"/>
              <w:right w:w="15" w:type="dxa"/>
            </w:tcMar>
            <w:vAlign w:val="center"/>
            <w:hideMark/>
          </w:tcPr>
          <w:p w14:paraId="3F17112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PAREDES DE GESSO ACARTONADOS (DRYWALL)</w:t>
            </w:r>
          </w:p>
        </w:tc>
      </w:tr>
      <w:tr w:rsidR="00485F95" w:rsidRPr="00485F95" w14:paraId="53A88364" w14:textId="77777777" w:rsidTr="00485F95">
        <w:trPr>
          <w:trHeight w:val="171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18CA9B5B"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lastRenderedPageBreak/>
              <w:t>1</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FB6A5D6"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Parede de gesso acartonado (</w:t>
            </w:r>
            <w:proofErr w:type="spellStart"/>
            <w:r w:rsidRPr="00485F95">
              <w:rPr>
                <w:rFonts w:ascii="Arial" w:eastAsia="Times New Roman" w:hAnsi="Arial" w:cs="Arial"/>
                <w:sz w:val="20"/>
                <w:szCs w:val="20"/>
                <w:lang w:eastAsia="pt-BR"/>
              </w:rPr>
              <w:t>drywall</w:t>
            </w:r>
            <w:proofErr w:type="spellEnd"/>
            <w:r w:rsidRPr="00485F95">
              <w:rPr>
                <w:rFonts w:ascii="Arial" w:eastAsia="Times New Roman" w:hAnsi="Arial" w:cs="Arial"/>
                <w:sz w:val="20"/>
                <w:szCs w:val="20"/>
                <w:lang w:eastAsia="pt-BR"/>
              </w:rPr>
              <w:t>) com chapa de gesso ST (</w:t>
            </w:r>
            <w:proofErr w:type="spellStart"/>
            <w:r w:rsidRPr="00485F95">
              <w:rPr>
                <w:rFonts w:ascii="Arial" w:eastAsia="Times New Roman" w:hAnsi="Arial" w:cs="Arial"/>
                <w:sz w:val="20"/>
                <w:szCs w:val="20"/>
                <w:lang w:eastAsia="pt-BR"/>
              </w:rPr>
              <w:t>standart</w:t>
            </w:r>
            <w:proofErr w:type="spellEnd"/>
            <w:r w:rsidRPr="00485F95">
              <w:rPr>
                <w:rFonts w:ascii="Arial" w:eastAsia="Times New Roman" w:hAnsi="Arial" w:cs="Arial"/>
                <w:sz w:val="20"/>
                <w:szCs w:val="20"/>
                <w:lang w:eastAsia="pt-BR"/>
              </w:rPr>
              <w:t>), espessura 115/90mm, inclusive estrutura metálica com guias. Montantes simples a cada 60cm. Para alturas até P.D.=3,50m*</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D04C9ED"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BC35202"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F2DC016"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700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792EF005" w14:textId="47DE4DF4"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18BADC77" w14:textId="070437D3"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4C04F048" w14:textId="77777777" w:rsidTr="00485F95">
        <w:trPr>
          <w:trHeight w:val="171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02C57C15"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2</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D35E28E"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Parede de gesso acartonado (</w:t>
            </w:r>
            <w:proofErr w:type="spellStart"/>
            <w:r w:rsidRPr="00485F95">
              <w:rPr>
                <w:rFonts w:ascii="Arial" w:eastAsia="Times New Roman" w:hAnsi="Arial" w:cs="Arial"/>
                <w:sz w:val="20"/>
                <w:szCs w:val="20"/>
                <w:lang w:eastAsia="pt-BR"/>
              </w:rPr>
              <w:t>drywall</w:t>
            </w:r>
            <w:proofErr w:type="spellEnd"/>
            <w:r w:rsidRPr="00485F95">
              <w:rPr>
                <w:rFonts w:ascii="Arial" w:eastAsia="Times New Roman" w:hAnsi="Arial" w:cs="Arial"/>
                <w:sz w:val="20"/>
                <w:szCs w:val="20"/>
                <w:lang w:eastAsia="pt-BR"/>
              </w:rPr>
              <w:t>) com chapa de gesso ST (</w:t>
            </w:r>
            <w:proofErr w:type="spellStart"/>
            <w:r w:rsidRPr="00485F95">
              <w:rPr>
                <w:rFonts w:ascii="Arial" w:eastAsia="Times New Roman" w:hAnsi="Arial" w:cs="Arial"/>
                <w:sz w:val="20"/>
                <w:szCs w:val="20"/>
                <w:lang w:eastAsia="pt-BR"/>
              </w:rPr>
              <w:t>standart</w:t>
            </w:r>
            <w:proofErr w:type="spellEnd"/>
            <w:r w:rsidRPr="00485F95">
              <w:rPr>
                <w:rFonts w:ascii="Arial" w:eastAsia="Times New Roman" w:hAnsi="Arial" w:cs="Arial"/>
                <w:sz w:val="20"/>
                <w:szCs w:val="20"/>
                <w:lang w:eastAsia="pt-BR"/>
              </w:rPr>
              <w:t>), espessura 115/90mm, inclusive estrutura metálica com guias. Montantes simples a cada 40cm. Para alturas até P.D.=3,85m*</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74152E1"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01564DF"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FCB7E67"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700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7CBD0284" w14:textId="4FF60595"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7A167EA1" w14:textId="36615B3D"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0C9D4A9A" w14:textId="77777777" w:rsidTr="00485F95">
        <w:trPr>
          <w:trHeight w:val="171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7482D57E"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3</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A452CB9"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Parede de gesso acartonado (</w:t>
            </w:r>
            <w:proofErr w:type="spellStart"/>
            <w:r w:rsidRPr="00485F95">
              <w:rPr>
                <w:rFonts w:ascii="Arial" w:eastAsia="Times New Roman" w:hAnsi="Arial" w:cs="Arial"/>
                <w:sz w:val="20"/>
                <w:szCs w:val="20"/>
                <w:lang w:eastAsia="pt-BR"/>
              </w:rPr>
              <w:t>drywall</w:t>
            </w:r>
            <w:proofErr w:type="spellEnd"/>
            <w:r w:rsidRPr="00485F95">
              <w:rPr>
                <w:rFonts w:ascii="Arial" w:eastAsia="Times New Roman" w:hAnsi="Arial" w:cs="Arial"/>
                <w:sz w:val="20"/>
                <w:szCs w:val="20"/>
                <w:lang w:eastAsia="pt-BR"/>
              </w:rPr>
              <w:t>) com chapa de gesso ST (</w:t>
            </w:r>
            <w:proofErr w:type="spellStart"/>
            <w:r w:rsidRPr="00485F95">
              <w:rPr>
                <w:rFonts w:ascii="Arial" w:eastAsia="Times New Roman" w:hAnsi="Arial" w:cs="Arial"/>
                <w:sz w:val="20"/>
                <w:szCs w:val="20"/>
                <w:lang w:eastAsia="pt-BR"/>
              </w:rPr>
              <w:t>standart</w:t>
            </w:r>
            <w:proofErr w:type="spellEnd"/>
            <w:r w:rsidRPr="00485F95">
              <w:rPr>
                <w:rFonts w:ascii="Arial" w:eastAsia="Times New Roman" w:hAnsi="Arial" w:cs="Arial"/>
                <w:sz w:val="20"/>
                <w:szCs w:val="20"/>
                <w:lang w:eastAsia="pt-BR"/>
              </w:rPr>
              <w:t>), espessura 115/90mm, inclusive estrutura metálica com guias. Montantes duplos a cada 60cm. Para alturas até P.D.=4,15m*</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AD1890E"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3839B61"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AECA20B"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700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5311569D" w14:textId="5362CEB3"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5B349DF9" w14:textId="2C40F77A"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22775259" w14:textId="77777777" w:rsidTr="00485F95">
        <w:trPr>
          <w:trHeight w:val="171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0943B411"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4</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55F938C"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Parede de gesso acartonado (</w:t>
            </w:r>
            <w:proofErr w:type="spellStart"/>
            <w:r w:rsidRPr="00485F95">
              <w:rPr>
                <w:rFonts w:ascii="Arial" w:eastAsia="Times New Roman" w:hAnsi="Arial" w:cs="Arial"/>
                <w:sz w:val="20"/>
                <w:szCs w:val="20"/>
                <w:lang w:eastAsia="pt-BR"/>
              </w:rPr>
              <w:t>drywall</w:t>
            </w:r>
            <w:proofErr w:type="spellEnd"/>
            <w:r w:rsidRPr="00485F95">
              <w:rPr>
                <w:rFonts w:ascii="Arial" w:eastAsia="Times New Roman" w:hAnsi="Arial" w:cs="Arial"/>
                <w:sz w:val="20"/>
                <w:szCs w:val="20"/>
                <w:lang w:eastAsia="pt-BR"/>
              </w:rPr>
              <w:t>) com chapa de gesso ST (</w:t>
            </w:r>
            <w:proofErr w:type="spellStart"/>
            <w:r w:rsidRPr="00485F95">
              <w:rPr>
                <w:rFonts w:ascii="Arial" w:eastAsia="Times New Roman" w:hAnsi="Arial" w:cs="Arial"/>
                <w:sz w:val="20"/>
                <w:szCs w:val="20"/>
                <w:lang w:eastAsia="pt-BR"/>
              </w:rPr>
              <w:t>standart</w:t>
            </w:r>
            <w:proofErr w:type="spellEnd"/>
            <w:r w:rsidRPr="00485F95">
              <w:rPr>
                <w:rFonts w:ascii="Arial" w:eastAsia="Times New Roman" w:hAnsi="Arial" w:cs="Arial"/>
                <w:sz w:val="20"/>
                <w:szCs w:val="20"/>
                <w:lang w:eastAsia="pt-BR"/>
              </w:rPr>
              <w:t>), espessura 115/90mm, inclusive estrutura metálica com guias. Montantes duplos a cada 40cm. Para alturas até P.D.=4,60m*</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EAC0B25"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9346780"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A738A45"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700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5D8C3AB4" w14:textId="773CA22A"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67B4E9B9" w14:textId="10A07888"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294F99EC" w14:textId="77777777" w:rsidTr="00404C95">
        <w:trPr>
          <w:trHeight w:val="315"/>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D9D9D9"/>
            <w:tcMar>
              <w:top w:w="15" w:type="dxa"/>
              <w:left w:w="15" w:type="dxa"/>
              <w:bottom w:w="0" w:type="dxa"/>
              <w:right w:w="15" w:type="dxa"/>
            </w:tcMar>
            <w:vAlign w:val="center"/>
            <w:hideMark/>
          </w:tcPr>
          <w:p w14:paraId="569EE8A3"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PINTURA DE PAREDES DE GESSO ACARTONADOS</w:t>
            </w:r>
          </w:p>
        </w:tc>
      </w:tr>
      <w:tr w:rsidR="00485F95" w:rsidRPr="00485F95" w14:paraId="5BB11218" w14:textId="77777777" w:rsidTr="00485F95">
        <w:trPr>
          <w:trHeight w:val="69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6DD0AB01"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5</w:t>
            </w:r>
          </w:p>
        </w:tc>
        <w:tc>
          <w:tcPr>
            <w:tcW w:w="1559" w:type="pct"/>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14:paraId="793D2F02"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Fundo preparador de paredes</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B41646D"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56B67772"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111460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5.000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7EB9414D" w14:textId="0D63FE08"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240B2C59" w14:textId="6C261E44"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034D1E3D" w14:textId="77777777" w:rsidTr="00485F95">
        <w:trPr>
          <w:trHeight w:val="88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331012AA"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6</w:t>
            </w:r>
          </w:p>
        </w:tc>
        <w:tc>
          <w:tcPr>
            <w:tcW w:w="1559" w:type="pct"/>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14:paraId="0AA8C579"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Massa corrida à base de resina vinílica (PVA), inclusive preparo</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7AC71E7"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7D9A4E35"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3B7364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5.000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46AAE2F1" w14:textId="5A1D5D33"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24D10F85" w14:textId="50153EF7"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2AFE76E6" w14:textId="77777777" w:rsidTr="00485F95">
        <w:trPr>
          <w:trHeight w:val="102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408DB120"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7</w:t>
            </w:r>
          </w:p>
        </w:tc>
        <w:tc>
          <w:tcPr>
            <w:tcW w:w="1559" w:type="pct"/>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14:paraId="16D0DD7D"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Pintura com tinta acrílica de 1ª linha, semibrilho, cor a definir</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5CDCC1D"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231C6E39"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4BD3396"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5.000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3970C1C8" w14:textId="4FF75BCD"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35C6E9A7" w14:textId="338D54B4"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2697B144" w14:textId="77777777" w:rsidTr="00404C95">
        <w:trPr>
          <w:trHeight w:val="315"/>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D9D9D9"/>
            <w:tcMar>
              <w:top w:w="15" w:type="dxa"/>
              <w:left w:w="15" w:type="dxa"/>
              <w:bottom w:w="0" w:type="dxa"/>
              <w:right w:w="15" w:type="dxa"/>
            </w:tcMar>
            <w:vAlign w:val="center"/>
            <w:hideMark/>
          </w:tcPr>
          <w:p w14:paraId="7F24171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ESQUADRIAS DE MADEIRA</w:t>
            </w:r>
          </w:p>
        </w:tc>
      </w:tr>
      <w:tr w:rsidR="00485F95" w:rsidRPr="00485F95" w14:paraId="04F500CF" w14:textId="77777777" w:rsidTr="00485F95">
        <w:trPr>
          <w:trHeight w:val="157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24784FC0"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8</w:t>
            </w:r>
          </w:p>
        </w:tc>
        <w:tc>
          <w:tcPr>
            <w:tcW w:w="1559" w:type="pct"/>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hideMark/>
          </w:tcPr>
          <w:p w14:paraId="36984E9E"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 xml:space="preserve">Kit de porta de madeira para pintura, </w:t>
            </w:r>
            <w:proofErr w:type="spellStart"/>
            <w:r w:rsidRPr="00485F95">
              <w:rPr>
                <w:rFonts w:ascii="Arial" w:eastAsia="Times New Roman" w:hAnsi="Arial" w:cs="Arial"/>
                <w:sz w:val="20"/>
                <w:szCs w:val="20"/>
                <w:lang w:eastAsia="pt-BR"/>
              </w:rPr>
              <w:t>semi-oca</w:t>
            </w:r>
            <w:proofErr w:type="spellEnd"/>
            <w:r w:rsidRPr="00485F95">
              <w:rPr>
                <w:rFonts w:ascii="Arial" w:eastAsia="Times New Roman" w:hAnsi="Arial" w:cs="Arial"/>
                <w:sz w:val="20"/>
                <w:szCs w:val="20"/>
                <w:lang w:eastAsia="pt-BR"/>
              </w:rPr>
              <w:t xml:space="preserve"> (pesada ou superpesada), padrão médio, 82X210CM, espessura DE 3,5CM, ITENS INCLUSOS: dobradiças, montagem e instalação do batente, fechadura com execução do furo - FORNECIMENTO E </w:t>
            </w:r>
            <w:proofErr w:type="gramStart"/>
            <w:r w:rsidRPr="00485F95">
              <w:rPr>
                <w:rFonts w:ascii="Arial" w:eastAsia="Times New Roman" w:hAnsi="Arial" w:cs="Arial"/>
                <w:sz w:val="20"/>
                <w:szCs w:val="20"/>
                <w:lang w:eastAsia="pt-BR"/>
              </w:rPr>
              <w:t>INSTALAÇÃO.*</w:t>
            </w:r>
            <w:proofErr w:type="gramEnd"/>
            <w:r w:rsidRPr="00485F95">
              <w:rPr>
                <w:rFonts w:ascii="Arial" w:eastAsia="Times New Roman" w:hAnsi="Arial" w:cs="Arial"/>
                <w:sz w:val="20"/>
                <w:szCs w:val="20"/>
                <w:lang w:eastAsia="pt-BR"/>
              </w:rPr>
              <w:t>*</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C0CE363"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657BF43A"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unidade</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F5535C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50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62FDE66B" w14:textId="3D3AD487"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417D74C2" w14:textId="5F899C37"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19F98F38" w14:textId="77777777" w:rsidTr="00485F95">
        <w:trPr>
          <w:trHeight w:val="157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462CBFDE"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lastRenderedPageBreak/>
              <w:t>9</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DC98A1B"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 xml:space="preserve">Kit de porta de madeira para pintura, </w:t>
            </w:r>
            <w:proofErr w:type="spellStart"/>
            <w:r w:rsidRPr="00485F95">
              <w:rPr>
                <w:rFonts w:ascii="Arial" w:eastAsia="Times New Roman" w:hAnsi="Arial" w:cs="Arial"/>
                <w:sz w:val="20"/>
                <w:szCs w:val="20"/>
                <w:lang w:eastAsia="pt-BR"/>
              </w:rPr>
              <w:t>semi-oca</w:t>
            </w:r>
            <w:proofErr w:type="spellEnd"/>
            <w:r w:rsidRPr="00485F95">
              <w:rPr>
                <w:rFonts w:ascii="Arial" w:eastAsia="Times New Roman" w:hAnsi="Arial" w:cs="Arial"/>
                <w:sz w:val="20"/>
                <w:szCs w:val="20"/>
                <w:lang w:eastAsia="pt-BR"/>
              </w:rPr>
              <w:t xml:space="preserve"> (pesada ou superpesada), padrão médio, 92X210CM, espessura de 3,5CM, ITENS INCLUSOS: dobradiças, montagem e instalação do batente, fechadura com execução do furo - FORNECIMENTO E </w:t>
            </w:r>
            <w:proofErr w:type="gramStart"/>
            <w:r w:rsidRPr="00485F95">
              <w:rPr>
                <w:rFonts w:ascii="Arial" w:eastAsia="Times New Roman" w:hAnsi="Arial" w:cs="Arial"/>
                <w:sz w:val="20"/>
                <w:szCs w:val="20"/>
                <w:lang w:eastAsia="pt-BR"/>
              </w:rPr>
              <w:t>INSTALAÇÃO.*</w:t>
            </w:r>
            <w:proofErr w:type="gramEnd"/>
            <w:r w:rsidRPr="00485F95">
              <w:rPr>
                <w:rFonts w:ascii="Arial" w:eastAsia="Times New Roman" w:hAnsi="Arial" w:cs="Arial"/>
                <w:sz w:val="20"/>
                <w:szCs w:val="20"/>
                <w:lang w:eastAsia="pt-BR"/>
              </w:rPr>
              <w:t>*</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7C3FB35"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34891272"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unidade</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995725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4551102F" w14:textId="0E8E9461"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51E6AFF8" w14:textId="14F82420"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6836E6C9" w14:textId="77777777" w:rsidTr="00404C95">
        <w:trPr>
          <w:trHeight w:val="315"/>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D9D9D9"/>
            <w:tcMar>
              <w:top w:w="15" w:type="dxa"/>
              <w:left w:w="15" w:type="dxa"/>
              <w:bottom w:w="0" w:type="dxa"/>
              <w:right w:w="15" w:type="dxa"/>
            </w:tcMar>
            <w:vAlign w:val="center"/>
            <w:hideMark/>
          </w:tcPr>
          <w:p w14:paraId="15F80DD2"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PINTURA DE ESQUADRIAS DE MADEIRA</w:t>
            </w:r>
          </w:p>
        </w:tc>
      </w:tr>
      <w:tr w:rsidR="00485F95" w:rsidRPr="00485F95" w14:paraId="1F86404F" w14:textId="77777777" w:rsidTr="00485F95">
        <w:trPr>
          <w:trHeight w:val="100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1D40A163"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10</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37C09D0"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Lixamento de madeira para aplicação de fundo ou pintura</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89148E7"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58A6A5A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C2EBCEF"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600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7812E38E" w14:textId="1B73466F"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07B0AA69" w14:textId="0EDEFBEC"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6C1B54B4" w14:textId="77777777" w:rsidTr="00485F95">
        <w:trPr>
          <w:trHeight w:val="63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7C5DD915"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11</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75DF849"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Fundo sintético preparador para madeira</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B0AD386"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59618EB3"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EAC4CC3"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600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03097F41" w14:textId="30D82A33"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1E638CC0" w14:textId="3061BE8E"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40B8C868" w14:textId="77777777" w:rsidTr="00485F95">
        <w:trPr>
          <w:trHeight w:val="103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6F8D5BA6"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12</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D01DCA1"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Aplicação de massa a óleo para madeira, para regularização de superfície</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B79C090"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38DD375E"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9A1F016"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600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748434C9" w14:textId="40274869"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0EE9F716" w14:textId="6FD7AD7B"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0EC4404B" w14:textId="77777777" w:rsidTr="00485F95">
        <w:trPr>
          <w:trHeight w:val="109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0BED0737"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13</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F3A7CC2"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Pintura com tinta de acabamento (pigmentada) esmalte sintético acetinado em madeira, 2 demãos.</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1D0E5A9"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66074D4C"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12D52B2"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600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02CA5AB3" w14:textId="4A0E3A14"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280624F3" w14:textId="3E11C062"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3F68D17F" w14:textId="77777777" w:rsidTr="00404C95">
        <w:trPr>
          <w:trHeight w:val="315"/>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D9D9D9"/>
            <w:tcMar>
              <w:top w:w="15" w:type="dxa"/>
              <w:left w:w="15" w:type="dxa"/>
              <w:bottom w:w="0" w:type="dxa"/>
              <w:right w:w="15" w:type="dxa"/>
            </w:tcMar>
            <w:vAlign w:val="center"/>
            <w:hideMark/>
          </w:tcPr>
          <w:p w14:paraId="19E348B4"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PAINEL DE VIDRO NO DRYWALL</w:t>
            </w:r>
          </w:p>
        </w:tc>
      </w:tr>
      <w:tr w:rsidR="00485F95" w:rsidRPr="00485F95" w14:paraId="5D6D8F23" w14:textId="77777777" w:rsidTr="00485F95">
        <w:trPr>
          <w:trHeight w:val="180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3339C024"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14</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98CF819"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Fornecimento de painel de vidro comum, transparente, 6 mm de espessura, com requadro de perfil de alumínio branco para fixação no gesso acartonado. Cada módulo de vidro não deverá exceder as dimensões de 1,20x1,20m</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016BAD0"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43098E56"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0A64BB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300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66B46AF9" w14:textId="3930D803"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3278C014" w14:textId="1ED7003D"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127AAE9E" w14:textId="77777777" w:rsidTr="00404C95">
        <w:trPr>
          <w:trHeight w:val="315"/>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D9D9D9"/>
            <w:tcMar>
              <w:top w:w="15" w:type="dxa"/>
              <w:left w:w="15" w:type="dxa"/>
              <w:bottom w:w="0" w:type="dxa"/>
              <w:right w:w="15" w:type="dxa"/>
            </w:tcMar>
            <w:vAlign w:val="center"/>
            <w:hideMark/>
          </w:tcPr>
          <w:p w14:paraId="4F1923AE"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ISOLAMENTO ACÚSTICO</w:t>
            </w:r>
          </w:p>
        </w:tc>
      </w:tr>
      <w:tr w:rsidR="00485F95" w:rsidRPr="00485F95" w14:paraId="7C8CE3FC" w14:textId="77777777" w:rsidTr="00485F95">
        <w:trPr>
          <w:trHeight w:val="118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0789A62A"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6B846AA"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 xml:space="preserve">Fornecimento de lã de PET (poliéster), espessura 90mm, para isolamento </w:t>
            </w:r>
            <w:proofErr w:type="spellStart"/>
            <w:r w:rsidRPr="00485F95">
              <w:rPr>
                <w:rFonts w:ascii="Arial" w:eastAsia="Times New Roman" w:hAnsi="Arial" w:cs="Arial"/>
                <w:sz w:val="20"/>
                <w:szCs w:val="20"/>
                <w:lang w:eastAsia="pt-BR"/>
              </w:rPr>
              <w:t>acustico</w:t>
            </w:r>
            <w:proofErr w:type="spellEnd"/>
            <w:r w:rsidRPr="00485F95">
              <w:rPr>
                <w:rFonts w:ascii="Arial" w:eastAsia="Times New Roman" w:hAnsi="Arial" w:cs="Arial"/>
                <w:sz w:val="20"/>
                <w:szCs w:val="20"/>
                <w:lang w:eastAsia="pt-BR"/>
              </w:rPr>
              <w:t xml:space="preserve"> em paredes de </w:t>
            </w:r>
            <w:proofErr w:type="spellStart"/>
            <w:r w:rsidRPr="00485F95">
              <w:rPr>
                <w:rFonts w:ascii="Arial" w:eastAsia="Times New Roman" w:hAnsi="Arial" w:cs="Arial"/>
                <w:sz w:val="20"/>
                <w:szCs w:val="20"/>
                <w:lang w:eastAsia="pt-BR"/>
              </w:rPr>
              <w:t>drywall</w:t>
            </w:r>
            <w:proofErr w:type="spellEnd"/>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67BC472"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752C1756"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7883AD9"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1000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0046735F" w14:textId="055E4450"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29C4C381" w14:textId="21DBB93E"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2D71AF93" w14:textId="77777777" w:rsidTr="00404C95">
        <w:trPr>
          <w:trHeight w:val="315"/>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D9D9D9"/>
            <w:tcMar>
              <w:top w:w="15" w:type="dxa"/>
              <w:left w:w="15" w:type="dxa"/>
              <w:bottom w:w="0" w:type="dxa"/>
              <w:right w:w="15" w:type="dxa"/>
            </w:tcMar>
            <w:vAlign w:val="center"/>
            <w:hideMark/>
          </w:tcPr>
          <w:p w14:paraId="441324A5"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RODAPÉ E RODATETO</w:t>
            </w:r>
          </w:p>
        </w:tc>
      </w:tr>
      <w:tr w:rsidR="00485F95" w:rsidRPr="00485F95" w14:paraId="22C1A717" w14:textId="77777777" w:rsidTr="00485F95">
        <w:trPr>
          <w:trHeight w:val="87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7D6967E0"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16</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FC2F589"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Rodapé em poliestireno pintado, cor branca, altura 10cm</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55257AC"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42FA1F3A"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08CC153"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1000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02E14B0C" w14:textId="26FB249E"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1808C030" w14:textId="0C6F5ACD"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670B9606" w14:textId="77777777" w:rsidTr="00485F95">
        <w:trPr>
          <w:trHeight w:val="61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7A33E9EE"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17</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4A241BA" w14:textId="77777777" w:rsidR="00404C95" w:rsidRPr="00485F95" w:rsidRDefault="00404C95" w:rsidP="00404C95">
            <w:pPr>
              <w:spacing w:after="0" w:line="240" w:lineRule="auto"/>
              <w:jc w:val="both"/>
              <w:rPr>
                <w:rFonts w:ascii="Arial" w:eastAsia="Times New Roman" w:hAnsi="Arial" w:cs="Arial"/>
                <w:sz w:val="20"/>
                <w:szCs w:val="20"/>
                <w:lang w:eastAsia="pt-BR"/>
              </w:rPr>
            </w:pPr>
            <w:proofErr w:type="spellStart"/>
            <w:r w:rsidRPr="00485F95">
              <w:rPr>
                <w:rFonts w:ascii="Arial" w:eastAsia="Times New Roman" w:hAnsi="Arial" w:cs="Arial"/>
                <w:sz w:val="20"/>
                <w:szCs w:val="20"/>
                <w:lang w:eastAsia="pt-BR"/>
              </w:rPr>
              <w:t>Rodateto</w:t>
            </w:r>
            <w:proofErr w:type="spellEnd"/>
            <w:r w:rsidRPr="00485F95">
              <w:rPr>
                <w:rFonts w:ascii="Arial" w:eastAsia="Times New Roman" w:hAnsi="Arial" w:cs="Arial"/>
                <w:sz w:val="20"/>
                <w:szCs w:val="20"/>
                <w:lang w:eastAsia="pt-BR"/>
              </w:rPr>
              <w:t xml:space="preserve"> liso de poliestireno, com acabamento para pintura</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FC0568F"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20C58B8F"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587BE18"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1000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5394940E" w14:textId="43E347F0"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0600C82A" w14:textId="0BB89971"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5B0104DD" w14:textId="77777777" w:rsidTr="00404C95">
        <w:trPr>
          <w:trHeight w:val="450"/>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D9D9D9"/>
            <w:tcMar>
              <w:top w:w="15" w:type="dxa"/>
              <w:left w:w="15" w:type="dxa"/>
              <w:bottom w:w="0" w:type="dxa"/>
              <w:right w:w="15" w:type="dxa"/>
            </w:tcMar>
            <w:vAlign w:val="center"/>
            <w:hideMark/>
          </w:tcPr>
          <w:p w14:paraId="428748CF"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Instalações Elétricas</w:t>
            </w:r>
          </w:p>
        </w:tc>
      </w:tr>
      <w:tr w:rsidR="00485F95" w:rsidRPr="00485F95" w14:paraId="551A0A45" w14:textId="77777777" w:rsidTr="00485F95">
        <w:trPr>
          <w:trHeight w:val="180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5124800E"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lastRenderedPageBreak/>
              <w:t>18</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05176E6"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 xml:space="preserve">Fornecimento e Instalação de caixa de passagem 4x2 para interruptor embutida em </w:t>
            </w:r>
            <w:proofErr w:type="spellStart"/>
            <w:r w:rsidRPr="00485F95">
              <w:rPr>
                <w:rFonts w:ascii="Arial" w:eastAsia="Times New Roman" w:hAnsi="Arial" w:cs="Arial"/>
                <w:sz w:val="20"/>
                <w:szCs w:val="20"/>
                <w:lang w:eastAsia="pt-BR"/>
              </w:rPr>
              <w:t>Drywall</w:t>
            </w:r>
            <w:proofErr w:type="spellEnd"/>
            <w:r w:rsidRPr="00485F95">
              <w:rPr>
                <w:rFonts w:ascii="Arial" w:eastAsia="Times New Roman" w:hAnsi="Arial" w:cs="Arial"/>
                <w:sz w:val="20"/>
                <w:szCs w:val="20"/>
                <w:lang w:eastAsia="pt-BR"/>
              </w:rPr>
              <w:t xml:space="preserve">, tipo </w:t>
            </w:r>
            <w:proofErr w:type="spellStart"/>
            <w:r w:rsidRPr="00485F95">
              <w:rPr>
                <w:rFonts w:ascii="Arial" w:eastAsia="Times New Roman" w:hAnsi="Arial" w:cs="Arial"/>
                <w:sz w:val="20"/>
                <w:szCs w:val="20"/>
                <w:lang w:eastAsia="pt-BR"/>
              </w:rPr>
              <w:t>dryfix</w:t>
            </w:r>
            <w:proofErr w:type="spellEnd"/>
            <w:r w:rsidRPr="00485F95">
              <w:rPr>
                <w:rFonts w:ascii="Arial" w:eastAsia="Times New Roman" w:hAnsi="Arial" w:cs="Arial"/>
                <w:sz w:val="20"/>
                <w:szCs w:val="20"/>
                <w:lang w:eastAsia="pt-BR"/>
              </w:rPr>
              <w:t xml:space="preserve">, com acessórios (fixadores eletroduto, olhal de fixação e protetor para o </w:t>
            </w:r>
            <w:proofErr w:type="gramStart"/>
            <w:r w:rsidRPr="00485F95">
              <w:rPr>
                <w:rFonts w:ascii="Arial" w:eastAsia="Times New Roman" w:hAnsi="Arial" w:cs="Arial"/>
                <w:sz w:val="20"/>
                <w:szCs w:val="20"/>
                <w:lang w:eastAsia="pt-BR"/>
              </w:rPr>
              <w:t>montante)*</w:t>
            </w:r>
            <w:proofErr w:type="gramEnd"/>
            <w:r w:rsidRPr="00485F95">
              <w:rPr>
                <w:rFonts w:ascii="Arial" w:eastAsia="Times New Roman" w:hAnsi="Arial" w:cs="Arial"/>
                <w:sz w:val="20"/>
                <w:szCs w:val="20"/>
                <w:lang w:eastAsia="pt-BR"/>
              </w:rPr>
              <w:t>**</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04B18EA"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6C07AE29"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unidade</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DB14B5C"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15A4FAFD" w14:textId="4A2F66ED"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753D8B68" w14:textId="014B8B66"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28DE39D2" w14:textId="77777777" w:rsidTr="00485F95">
        <w:trPr>
          <w:trHeight w:val="124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6308CBB6"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19</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37BEC5E"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Fornecimento e Instalação de Eletroduto flexível 3/4" e todos acessórios de montagem e fixação***</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427B787"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22B886AB"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C1312AF"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300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22C07EC5" w14:textId="00243E31"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4DCC1213" w14:textId="178C65A6"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3A326251" w14:textId="77777777" w:rsidTr="00404C95">
        <w:trPr>
          <w:trHeight w:val="585"/>
        </w:trPr>
        <w:tc>
          <w:tcPr>
            <w:tcW w:w="5000" w:type="pct"/>
            <w:gridSpan w:val="7"/>
            <w:tcBorders>
              <w:top w:val="single" w:sz="6" w:space="0" w:color="000000"/>
              <w:left w:val="single" w:sz="6" w:space="0" w:color="000000"/>
              <w:bottom w:val="single" w:sz="6" w:space="0" w:color="000000"/>
              <w:right w:val="single" w:sz="4" w:space="0" w:color="000000"/>
            </w:tcBorders>
            <w:shd w:val="clear" w:color="auto" w:fill="D9D9D9"/>
            <w:tcMar>
              <w:top w:w="15" w:type="dxa"/>
              <w:left w:w="15" w:type="dxa"/>
              <w:bottom w:w="0" w:type="dxa"/>
              <w:right w:w="15" w:type="dxa"/>
            </w:tcMar>
            <w:vAlign w:val="center"/>
            <w:hideMark/>
          </w:tcPr>
          <w:p w14:paraId="705CFBB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b/>
                <w:bCs/>
                <w:sz w:val="20"/>
                <w:szCs w:val="20"/>
                <w:lang w:eastAsia="pt-BR"/>
              </w:rPr>
              <w:t>Outros Serviços</w:t>
            </w:r>
          </w:p>
        </w:tc>
      </w:tr>
      <w:tr w:rsidR="00485F95" w:rsidRPr="00485F95" w14:paraId="01D5C345" w14:textId="77777777" w:rsidTr="00485F95">
        <w:trPr>
          <w:trHeight w:val="1215"/>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39F2A38E"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20</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C79482B"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Desinstalação de divisórias, incluindo porta(s) completa(s) existente(s).</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3D25B55"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7806B12E"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m²</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3C821BB"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2500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1FC2CBB1" w14:textId="0A19CF88"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0F0D0717" w14:textId="097289B6"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5522C501" w14:textId="77777777" w:rsidTr="00485F95">
        <w:trPr>
          <w:trHeight w:val="1230"/>
        </w:trPr>
        <w:tc>
          <w:tcPr>
            <w:tcW w:w="365" w:type="pct"/>
            <w:tcBorders>
              <w:top w:val="nil"/>
              <w:left w:val="single" w:sz="6" w:space="0" w:color="000000"/>
              <w:bottom w:val="single" w:sz="6" w:space="0" w:color="000000"/>
              <w:right w:val="single" w:sz="6" w:space="0" w:color="000000"/>
            </w:tcBorders>
            <w:noWrap/>
            <w:tcMar>
              <w:top w:w="15" w:type="dxa"/>
              <w:left w:w="15" w:type="dxa"/>
              <w:bottom w:w="0" w:type="dxa"/>
              <w:right w:w="15" w:type="dxa"/>
            </w:tcMar>
            <w:vAlign w:val="center"/>
            <w:hideMark/>
          </w:tcPr>
          <w:p w14:paraId="00B0CD3E"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21</w:t>
            </w: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9BE6638" w14:textId="77777777" w:rsidR="00404C95" w:rsidRPr="00485F95" w:rsidRDefault="00404C95" w:rsidP="00404C95">
            <w:pPr>
              <w:spacing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Taxa de deslocamento para fornecimento e prestação de serviços de instalação e desinstalação para distâncias superiores a 100 km de São Paulo - Capital</w:t>
            </w: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86440A4" w14:textId="77777777" w:rsidR="00404C95" w:rsidRPr="00485F95" w:rsidRDefault="00404C95" w:rsidP="00404C95">
            <w:pPr>
              <w:spacing w:before="100" w:beforeAutospacing="1" w:after="100" w:afterAutospacing="1"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15814</w:t>
            </w:r>
          </w:p>
        </w:tc>
        <w:tc>
          <w:tcPr>
            <w:tcW w:w="555" w:type="pct"/>
            <w:tcBorders>
              <w:top w:val="nil"/>
              <w:left w:val="nil"/>
              <w:bottom w:val="single" w:sz="6" w:space="0" w:color="000000"/>
              <w:right w:val="single" w:sz="6" w:space="0" w:color="000000"/>
            </w:tcBorders>
            <w:shd w:val="clear" w:color="auto" w:fill="FFFFFF"/>
            <w:noWrap/>
            <w:tcMar>
              <w:top w:w="15" w:type="dxa"/>
              <w:left w:w="15" w:type="dxa"/>
              <w:bottom w:w="0" w:type="dxa"/>
              <w:right w:w="15" w:type="dxa"/>
            </w:tcMar>
            <w:vAlign w:val="center"/>
            <w:hideMark/>
          </w:tcPr>
          <w:p w14:paraId="7910932C"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Km</w:t>
            </w: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BEAE8DD" w14:textId="77777777" w:rsidR="00404C95" w:rsidRPr="00485F95" w:rsidRDefault="00404C95" w:rsidP="00404C95">
            <w:pPr>
              <w:spacing w:after="0" w:line="240" w:lineRule="auto"/>
              <w:jc w:val="center"/>
              <w:rPr>
                <w:rFonts w:ascii="Arial" w:eastAsia="Times New Roman" w:hAnsi="Arial" w:cs="Arial"/>
                <w:sz w:val="20"/>
                <w:szCs w:val="20"/>
                <w:lang w:eastAsia="pt-BR"/>
              </w:rPr>
            </w:pPr>
            <w:r w:rsidRPr="00485F95">
              <w:rPr>
                <w:rFonts w:ascii="Arial" w:eastAsia="Times New Roman" w:hAnsi="Arial" w:cs="Arial"/>
                <w:sz w:val="20"/>
                <w:szCs w:val="20"/>
                <w:lang w:eastAsia="pt-BR"/>
              </w:rPr>
              <w:t>2500</w:t>
            </w:r>
          </w:p>
        </w:tc>
        <w:tc>
          <w:tcPr>
            <w:tcW w:w="587"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4DF40CB9" w14:textId="4D7A70B1"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25" w:type="pct"/>
            <w:tcBorders>
              <w:top w:val="nil"/>
              <w:left w:val="nil"/>
              <w:bottom w:val="single" w:sz="6" w:space="0" w:color="000000"/>
              <w:right w:val="single" w:sz="6" w:space="0" w:color="000000"/>
            </w:tcBorders>
            <w:noWrap/>
            <w:tcMar>
              <w:top w:w="15" w:type="dxa"/>
              <w:left w:w="15" w:type="dxa"/>
              <w:bottom w:w="0" w:type="dxa"/>
              <w:right w:w="15" w:type="dxa"/>
            </w:tcMar>
            <w:vAlign w:val="center"/>
          </w:tcPr>
          <w:p w14:paraId="2698F604" w14:textId="1B3B500B" w:rsidR="00404C95" w:rsidRPr="00485F95" w:rsidRDefault="00404C95" w:rsidP="00404C95">
            <w:pPr>
              <w:spacing w:after="0" w:line="240" w:lineRule="auto"/>
              <w:jc w:val="center"/>
              <w:rPr>
                <w:rFonts w:ascii="Arial" w:eastAsia="Times New Roman" w:hAnsi="Arial" w:cs="Arial"/>
                <w:sz w:val="20"/>
                <w:szCs w:val="20"/>
                <w:lang w:eastAsia="pt-BR"/>
              </w:rPr>
            </w:pPr>
          </w:p>
        </w:tc>
      </w:tr>
      <w:tr w:rsidR="00485F95" w:rsidRPr="00485F95" w14:paraId="4DA9DA8C" w14:textId="77777777" w:rsidTr="00485F95">
        <w:trPr>
          <w:trHeight w:val="1230"/>
        </w:trPr>
        <w:tc>
          <w:tcPr>
            <w:tcW w:w="365" w:type="pct"/>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tcPr>
          <w:p w14:paraId="31EC9121" w14:textId="5AE7CAC5" w:rsidR="00404C95" w:rsidRPr="00485F95" w:rsidRDefault="00404C95" w:rsidP="00404C95">
            <w:pPr>
              <w:spacing w:after="0" w:line="240" w:lineRule="auto"/>
              <w:jc w:val="center"/>
              <w:rPr>
                <w:rFonts w:ascii="Arial" w:eastAsia="Times New Roman" w:hAnsi="Arial" w:cs="Arial"/>
                <w:sz w:val="20"/>
                <w:szCs w:val="20"/>
                <w:lang w:eastAsia="pt-BR"/>
              </w:rPr>
            </w:pPr>
          </w:p>
        </w:tc>
        <w:tc>
          <w:tcPr>
            <w:tcW w:w="1559" w:type="pct"/>
            <w:tcBorders>
              <w:top w:val="nil"/>
              <w:left w:val="nil"/>
              <w:bottom w:val="single" w:sz="6" w:space="0" w:color="000000"/>
              <w:right w:val="single" w:sz="6" w:space="0" w:color="000000"/>
            </w:tcBorders>
            <w:tcMar>
              <w:top w:w="15" w:type="dxa"/>
              <w:left w:w="15" w:type="dxa"/>
              <w:bottom w:w="0" w:type="dxa"/>
              <w:right w:w="15" w:type="dxa"/>
            </w:tcMar>
            <w:vAlign w:val="center"/>
          </w:tcPr>
          <w:p w14:paraId="5B8869B1" w14:textId="18E316A1" w:rsidR="00404C95" w:rsidRPr="00485F95" w:rsidRDefault="00404C95" w:rsidP="00404C95">
            <w:pPr>
              <w:spacing w:after="0" w:line="240" w:lineRule="auto"/>
              <w:rPr>
                <w:rFonts w:ascii="Arial" w:eastAsia="Times New Roman" w:hAnsi="Arial" w:cs="Arial"/>
                <w:sz w:val="20"/>
                <w:szCs w:val="20"/>
                <w:lang w:eastAsia="pt-BR"/>
              </w:rPr>
            </w:pPr>
          </w:p>
        </w:tc>
        <w:tc>
          <w:tcPr>
            <w:tcW w:w="606" w:type="pct"/>
            <w:tcBorders>
              <w:top w:val="nil"/>
              <w:left w:val="nil"/>
              <w:bottom w:val="single" w:sz="6" w:space="0" w:color="000000"/>
              <w:right w:val="single" w:sz="6" w:space="0" w:color="000000"/>
            </w:tcBorders>
            <w:tcMar>
              <w:top w:w="15" w:type="dxa"/>
              <w:left w:w="15" w:type="dxa"/>
              <w:bottom w:w="0" w:type="dxa"/>
              <w:right w:w="15" w:type="dxa"/>
            </w:tcMar>
            <w:vAlign w:val="center"/>
          </w:tcPr>
          <w:p w14:paraId="1B4B88D0" w14:textId="7AF80BA1"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55" w:type="pct"/>
            <w:tcBorders>
              <w:top w:val="nil"/>
              <w:left w:val="nil"/>
              <w:bottom w:val="single" w:sz="6" w:space="0" w:color="000000"/>
              <w:right w:val="single" w:sz="6" w:space="0" w:color="000000"/>
            </w:tcBorders>
            <w:shd w:val="clear" w:color="auto" w:fill="FFFFFF"/>
            <w:tcMar>
              <w:top w:w="15" w:type="dxa"/>
              <w:left w:w="15" w:type="dxa"/>
              <w:bottom w:w="0" w:type="dxa"/>
              <w:right w:w="15" w:type="dxa"/>
            </w:tcMar>
            <w:vAlign w:val="center"/>
          </w:tcPr>
          <w:p w14:paraId="3BCC616A" w14:textId="44869B13" w:rsidR="00404C95" w:rsidRPr="00485F95" w:rsidRDefault="00404C95" w:rsidP="00404C95">
            <w:pPr>
              <w:spacing w:after="0" w:line="240" w:lineRule="auto"/>
              <w:jc w:val="center"/>
              <w:rPr>
                <w:rFonts w:ascii="Arial" w:eastAsia="Times New Roman" w:hAnsi="Arial" w:cs="Arial"/>
                <w:sz w:val="20"/>
                <w:szCs w:val="20"/>
                <w:lang w:eastAsia="pt-BR"/>
              </w:rPr>
            </w:pPr>
          </w:p>
        </w:tc>
        <w:tc>
          <w:tcPr>
            <w:tcW w:w="803" w:type="pct"/>
            <w:tcBorders>
              <w:top w:val="nil"/>
              <w:left w:val="nil"/>
              <w:bottom w:val="single" w:sz="6" w:space="0" w:color="000000"/>
              <w:right w:val="single" w:sz="6" w:space="0" w:color="000000"/>
            </w:tcBorders>
            <w:tcMar>
              <w:top w:w="15" w:type="dxa"/>
              <w:left w:w="15" w:type="dxa"/>
              <w:bottom w:w="0" w:type="dxa"/>
              <w:right w:w="15" w:type="dxa"/>
            </w:tcMar>
            <w:vAlign w:val="center"/>
          </w:tcPr>
          <w:p w14:paraId="2AC1EEC9" w14:textId="6B3AA987" w:rsidR="00404C95" w:rsidRPr="00485F95" w:rsidRDefault="00404C95" w:rsidP="00404C95">
            <w:pPr>
              <w:spacing w:after="0" w:line="240" w:lineRule="auto"/>
              <w:jc w:val="center"/>
              <w:rPr>
                <w:rFonts w:ascii="Arial" w:eastAsia="Times New Roman" w:hAnsi="Arial" w:cs="Arial"/>
                <w:sz w:val="20"/>
                <w:szCs w:val="20"/>
                <w:lang w:eastAsia="pt-BR"/>
              </w:rPr>
            </w:pPr>
          </w:p>
        </w:tc>
        <w:tc>
          <w:tcPr>
            <w:tcW w:w="5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24F3D" w14:textId="77777777" w:rsidR="00404C95" w:rsidRPr="00485F95" w:rsidRDefault="00404C95" w:rsidP="00404C95">
            <w:pPr>
              <w:spacing w:before="100" w:beforeAutospacing="1" w:after="0" w:line="240" w:lineRule="auto"/>
              <w:rPr>
                <w:rFonts w:ascii="Arial" w:eastAsia="Times New Roman" w:hAnsi="Arial" w:cs="Arial"/>
                <w:sz w:val="20"/>
                <w:szCs w:val="20"/>
                <w:lang w:eastAsia="pt-BR"/>
              </w:rPr>
            </w:pPr>
            <w:r w:rsidRPr="00485F95">
              <w:rPr>
                <w:rFonts w:ascii="Arial" w:eastAsia="Times New Roman" w:hAnsi="Arial" w:cs="Arial"/>
                <w:sz w:val="20"/>
                <w:szCs w:val="20"/>
                <w:lang w:eastAsia="pt-BR"/>
              </w:rPr>
              <w:t> </w:t>
            </w:r>
          </w:p>
          <w:p w14:paraId="26D6B62C" w14:textId="77777777" w:rsidR="00404C95" w:rsidRPr="00485F95" w:rsidRDefault="00404C95" w:rsidP="00404C95">
            <w:pPr>
              <w:spacing w:before="100" w:beforeAutospacing="1" w:after="0" w:line="240" w:lineRule="auto"/>
              <w:rPr>
                <w:rFonts w:ascii="Arial" w:eastAsia="Times New Roman" w:hAnsi="Arial" w:cs="Arial"/>
                <w:sz w:val="20"/>
                <w:szCs w:val="20"/>
                <w:lang w:eastAsia="pt-BR"/>
              </w:rPr>
            </w:pPr>
            <w:r w:rsidRPr="00485F95">
              <w:rPr>
                <w:rFonts w:ascii="Arial" w:eastAsia="Times New Roman" w:hAnsi="Arial" w:cs="Arial"/>
                <w:b/>
                <w:bCs/>
                <w:sz w:val="20"/>
                <w:szCs w:val="20"/>
                <w:lang w:eastAsia="pt-BR"/>
              </w:rPr>
              <w:t>TOTAL</w:t>
            </w:r>
          </w:p>
          <w:p w14:paraId="161775C0" w14:textId="77777777" w:rsidR="00404C95" w:rsidRPr="00485F95" w:rsidRDefault="00404C95" w:rsidP="00404C95">
            <w:pPr>
              <w:spacing w:before="100" w:beforeAutospacing="1" w:after="0" w:line="240" w:lineRule="auto"/>
              <w:rPr>
                <w:rFonts w:ascii="Arial" w:eastAsia="Times New Roman" w:hAnsi="Arial" w:cs="Arial"/>
                <w:sz w:val="20"/>
                <w:szCs w:val="20"/>
                <w:lang w:eastAsia="pt-BR"/>
              </w:rPr>
            </w:pPr>
            <w:r w:rsidRPr="00485F95">
              <w:rPr>
                <w:rFonts w:ascii="Arial" w:eastAsia="Times New Roman" w:hAnsi="Arial" w:cs="Arial"/>
                <w:b/>
                <w:bCs/>
                <w:sz w:val="20"/>
                <w:szCs w:val="20"/>
                <w:lang w:eastAsia="pt-BR"/>
              </w:rPr>
              <w:t> </w:t>
            </w:r>
          </w:p>
        </w:tc>
        <w:tc>
          <w:tcPr>
            <w:tcW w:w="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BDC29" w14:textId="344236BC" w:rsidR="00404C95" w:rsidRPr="00485F95" w:rsidRDefault="00404C95" w:rsidP="00960DCB">
            <w:pPr>
              <w:spacing w:before="100" w:beforeAutospacing="1" w:after="0" w:line="240" w:lineRule="auto"/>
              <w:rPr>
                <w:rFonts w:ascii="Arial" w:eastAsia="Times New Roman" w:hAnsi="Arial" w:cs="Arial"/>
                <w:sz w:val="20"/>
                <w:szCs w:val="20"/>
                <w:lang w:eastAsia="pt-BR"/>
              </w:rPr>
            </w:pPr>
            <w:r w:rsidRPr="00485F95">
              <w:rPr>
                <w:rFonts w:ascii="Arial" w:eastAsia="Times New Roman" w:hAnsi="Arial" w:cs="Arial"/>
                <w:sz w:val="20"/>
                <w:szCs w:val="20"/>
                <w:lang w:eastAsia="pt-BR"/>
              </w:rPr>
              <w:t> </w:t>
            </w:r>
          </w:p>
        </w:tc>
      </w:tr>
    </w:tbl>
    <w:p w14:paraId="08321BE8" w14:textId="77777777" w:rsidR="00404C95" w:rsidRPr="00485F95" w:rsidRDefault="00404C95" w:rsidP="00404C95">
      <w:pPr>
        <w:spacing w:after="0" w:line="240" w:lineRule="auto"/>
        <w:rPr>
          <w:rFonts w:ascii="Arial" w:eastAsia="Times New Roman" w:hAnsi="Arial" w:cs="Arial"/>
          <w:vanish/>
          <w:sz w:val="20"/>
          <w:szCs w:val="20"/>
          <w:lang w:eastAsia="pt-BR"/>
        </w:rPr>
      </w:pPr>
    </w:p>
    <w:tbl>
      <w:tblPr>
        <w:tblW w:w="5379" w:type="dxa"/>
        <w:tblInd w:w="-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tblGrid>
      <w:tr w:rsidR="00485F95" w:rsidRPr="00485F95" w14:paraId="1A72057A" w14:textId="77777777" w:rsidTr="00960DCB">
        <w:trPr>
          <w:trHeight w:val="600"/>
        </w:trPr>
        <w:tc>
          <w:tcPr>
            <w:tcW w:w="537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654E1B" w14:textId="77777777" w:rsidR="00404C95" w:rsidRPr="00485F95" w:rsidRDefault="00404C95" w:rsidP="00404C95">
            <w:pPr>
              <w:spacing w:before="100" w:beforeAutospacing="1" w:after="0" w:line="240" w:lineRule="auto"/>
              <w:rPr>
                <w:rFonts w:ascii="Arial" w:eastAsia="Times New Roman" w:hAnsi="Arial" w:cs="Arial"/>
                <w:sz w:val="20"/>
                <w:szCs w:val="20"/>
                <w:lang w:eastAsia="pt-BR"/>
              </w:rPr>
            </w:pPr>
            <w:r w:rsidRPr="00485F95">
              <w:rPr>
                <w:rFonts w:ascii="Arial" w:eastAsia="Times New Roman" w:hAnsi="Arial" w:cs="Arial"/>
                <w:b/>
                <w:bCs/>
                <w:sz w:val="20"/>
                <w:szCs w:val="20"/>
                <w:lang w:eastAsia="pt-BR"/>
              </w:rPr>
              <w:t>Observações:</w:t>
            </w:r>
          </w:p>
        </w:tc>
      </w:tr>
      <w:tr w:rsidR="00485F95" w:rsidRPr="00485F95" w14:paraId="3D8BE143" w14:textId="77777777" w:rsidTr="00960DCB">
        <w:trPr>
          <w:trHeight w:val="1410"/>
        </w:trPr>
        <w:tc>
          <w:tcPr>
            <w:tcW w:w="537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48DE7B" w14:textId="77777777" w:rsidR="00404C95" w:rsidRPr="00485F95" w:rsidRDefault="00404C95" w:rsidP="00960DCB">
            <w:pPr>
              <w:spacing w:before="100" w:beforeAutospacing="1"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*Os perfis de montantes devem ser prolongados e fixados às lajes dos ambientes sempre que possível. O P.D. é a altura do piso à laje, onde serão fixados os montantes.</w:t>
            </w:r>
          </w:p>
        </w:tc>
      </w:tr>
      <w:tr w:rsidR="00485F95" w:rsidRPr="00485F95" w14:paraId="4D168B70" w14:textId="77777777" w:rsidTr="00960DCB">
        <w:trPr>
          <w:trHeight w:val="1275"/>
        </w:trPr>
        <w:tc>
          <w:tcPr>
            <w:tcW w:w="537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A4D933E" w14:textId="77777777" w:rsidR="00404C95" w:rsidRPr="00485F95" w:rsidRDefault="00404C95" w:rsidP="00960DCB">
            <w:pPr>
              <w:spacing w:before="100" w:beforeAutospacing="1"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 xml:space="preserve">**As maçanetas devem ser do tipo alavanca em razão da acessibilidade. Não serão aceitas maçanetas </w:t>
            </w:r>
            <w:proofErr w:type="spellStart"/>
            <w:r w:rsidRPr="00485F95">
              <w:rPr>
                <w:rFonts w:ascii="Arial" w:eastAsia="Times New Roman" w:hAnsi="Arial" w:cs="Arial"/>
                <w:sz w:val="20"/>
                <w:szCs w:val="20"/>
                <w:lang w:eastAsia="pt-BR"/>
              </w:rPr>
              <w:t>cilindricas</w:t>
            </w:r>
            <w:proofErr w:type="spellEnd"/>
            <w:r w:rsidRPr="00485F95">
              <w:rPr>
                <w:rFonts w:ascii="Arial" w:eastAsia="Times New Roman" w:hAnsi="Arial" w:cs="Arial"/>
                <w:sz w:val="20"/>
                <w:szCs w:val="20"/>
                <w:lang w:eastAsia="pt-BR"/>
              </w:rPr>
              <w:t xml:space="preserve"> ou arredondadas.</w:t>
            </w:r>
          </w:p>
        </w:tc>
      </w:tr>
      <w:tr w:rsidR="00485F95" w:rsidRPr="00485F95" w14:paraId="3B150BC9" w14:textId="77777777" w:rsidTr="00960DCB">
        <w:trPr>
          <w:trHeight w:val="1200"/>
        </w:trPr>
        <w:tc>
          <w:tcPr>
            <w:tcW w:w="537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F02053" w14:textId="77777777" w:rsidR="00404C95" w:rsidRPr="00485F95" w:rsidRDefault="00404C95" w:rsidP="00960DCB">
            <w:pPr>
              <w:spacing w:before="100" w:beforeAutospacing="1" w:after="0" w:line="240" w:lineRule="auto"/>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***Cada sala a ser criada deverá ter um único ponto para interruptor com caixa 4X2 e eletroduto flexível até o forro.</w:t>
            </w:r>
          </w:p>
        </w:tc>
      </w:tr>
    </w:tbl>
    <w:p w14:paraId="3171ECC5" w14:textId="54FC18D0" w:rsidR="00404C95" w:rsidRPr="00485F95" w:rsidRDefault="00404C95" w:rsidP="00960DCB">
      <w:pPr>
        <w:spacing w:after="0" w:line="240" w:lineRule="auto"/>
        <w:ind w:left="142"/>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Em caso de divergência entre a descrição do CATMAT-CATSER e as especificações previstas no Termo de Referência, prevalecem as disposições do Termo de Referência.</w:t>
      </w:r>
    </w:p>
    <w:p w14:paraId="008EB9DA" w14:textId="77777777" w:rsidR="00960DCB" w:rsidRPr="00485F95" w:rsidRDefault="00960DCB" w:rsidP="00960DCB">
      <w:pPr>
        <w:spacing w:after="0" w:line="240" w:lineRule="auto"/>
        <w:ind w:left="142"/>
        <w:jc w:val="both"/>
        <w:rPr>
          <w:rFonts w:ascii="Arial" w:eastAsia="Times New Roman" w:hAnsi="Arial" w:cs="Arial"/>
          <w:sz w:val="20"/>
          <w:szCs w:val="20"/>
          <w:lang w:eastAsia="pt-BR"/>
        </w:rPr>
      </w:pPr>
    </w:p>
    <w:p w14:paraId="7A9517BB" w14:textId="77777777" w:rsidR="00404C95" w:rsidRPr="00485F95" w:rsidRDefault="00404C95" w:rsidP="00960DCB">
      <w:pPr>
        <w:spacing w:after="0" w:line="240" w:lineRule="auto"/>
        <w:ind w:left="142"/>
        <w:jc w:val="both"/>
        <w:rPr>
          <w:rFonts w:ascii="Arial" w:eastAsia="Times New Roman" w:hAnsi="Arial" w:cs="Arial"/>
          <w:sz w:val="20"/>
          <w:szCs w:val="20"/>
          <w:lang w:eastAsia="pt-BR"/>
        </w:rPr>
      </w:pPr>
      <w:r w:rsidRPr="00485F95">
        <w:rPr>
          <w:rFonts w:ascii="Arial" w:eastAsia="Times New Roman" w:hAnsi="Arial" w:cs="Arial"/>
          <w:sz w:val="20"/>
          <w:szCs w:val="20"/>
          <w:lang w:eastAsia="pt-BR"/>
        </w:rPr>
        <w:t xml:space="preserve">** A taxa de deslocamento somente será devida em distâncias superiores a 100 km e para pagamento será verificada a distância entre São Paulo e o local de execução e entre o </w:t>
      </w:r>
      <w:r w:rsidRPr="00485F95">
        <w:rPr>
          <w:rFonts w:ascii="Arial" w:eastAsia="Times New Roman" w:hAnsi="Arial" w:cs="Arial"/>
          <w:sz w:val="20"/>
          <w:szCs w:val="20"/>
          <w:lang w:eastAsia="pt-BR"/>
        </w:rPr>
        <w:lastRenderedPageBreak/>
        <w:t>município onde estiver sediada a contratada e o local de execução, sendo considerada a menor dessas distâncias.</w:t>
      </w:r>
    </w:p>
    <w:p w14:paraId="2F434709" w14:textId="77777777" w:rsidR="00404C95" w:rsidRPr="00485F95" w:rsidRDefault="00404C95" w:rsidP="008F380D">
      <w:pPr>
        <w:spacing w:before="120" w:after="120" w:line="240" w:lineRule="auto"/>
        <w:ind w:left="120" w:right="120"/>
        <w:jc w:val="both"/>
        <w:rPr>
          <w:rFonts w:ascii="Arial" w:eastAsia="Times New Roman" w:hAnsi="Arial" w:cs="Arial"/>
          <w:sz w:val="24"/>
          <w:szCs w:val="24"/>
          <w:lang w:eastAsia="pt-BR"/>
        </w:rPr>
      </w:pPr>
    </w:p>
    <w:p w14:paraId="5C55730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 Vinculam esta contratação, independentemente de transcrição:</w:t>
      </w:r>
    </w:p>
    <w:p w14:paraId="552B7FA1"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1.3.1. O Termo de Referência;</w:t>
      </w:r>
    </w:p>
    <w:p w14:paraId="00CC2F6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1.3.2. O Edital de Licitação;</w:t>
      </w:r>
    </w:p>
    <w:p w14:paraId="3442B205" w14:textId="05CDCB65"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1.3.3. A Proposta do Contratado</w:t>
      </w:r>
      <w:r w:rsidR="00404C95" w:rsidRPr="00485F95">
        <w:rPr>
          <w:rFonts w:ascii="Arial" w:eastAsia="Times New Roman" w:hAnsi="Arial" w:cs="Arial"/>
          <w:sz w:val="24"/>
          <w:szCs w:val="24"/>
          <w:lang w:eastAsia="pt-BR"/>
        </w:rPr>
        <w:t xml:space="preserve"> (doc. nº ....)</w:t>
      </w:r>
      <w:r w:rsidRPr="00485F95">
        <w:rPr>
          <w:rFonts w:ascii="Arial" w:eastAsia="Times New Roman" w:hAnsi="Arial" w:cs="Arial"/>
          <w:sz w:val="24"/>
          <w:szCs w:val="24"/>
          <w:lang w:eastAsia="pt-BR"/>
        </w:rPr>
        <w:t>;</w:t>
      </w:r>
    </w:p>
    <w:p w14:paraId="7DB4477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1.3.4. Eventuais anexos dos documentos supracitados.</w:t>
      </w:r>
    </w:p>
    <w:p w14:paraId="0826FA9D" w14:textId="430084FC"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1.4. O regime de execução é o de empreitada por preço unitário.</w:t>
      </w:r>
    </w:p>
    <w:p w14:paraId="5A690877" w14:textId="05FA803B"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0A76964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2. CLÁUSULA SEGUNDA – VIGÊNCIA E PRORROGAÇÃO</w:t>
      </w:r>
    </w:p>
    <w:p w14:paraId="4124BC39" w14:textId="53AE35B7" w:rsidR="006902BE" w:rsidRPr="00485F95" w:rsidRDefault="001B338D" w:rsidP="008F380D">
      <w:pPr>
        <w:spacing w:before="120" w:after="120" w:line="240" w:lineRule="auto"/>
        <w:ind w:left="120" w:right="120"/>
        <w:jc w:val="both"/>
        <w:rPr>
          <w:rFonts w:ascii="Arial" w:eastAsia="Times New Roman" w:hAnsi="Arial" w:cs="Arial"/>
          <w:i/>
          <w:iCs/>
          <w:sz w:val="24"/>
          <w:szCs w:val="24"/>
          <w:lang w:eastAsia="pt-BR"/>
        </w:rPr>
      </w:pPr>
      <w:r w:rsidRPr="00485F95">
        <w:rPr>
          <w:rFonts w:ascii="Arial" w:eastAsia="Times New Roman" w:hAnsi="Arial" w:cs="Arial"/>
          <w:sz w:val="24"/>
          <w:szCs w:val="24"/>
          <w:lang w:eastAsia="pt-BR"/>
        </w:rPr>
        <w:t>2.1. O prazo de vigência da contratação é de .........................</w:t>
      </w:r>
      <w:r w:rsidR="000D4721" w:rsidRPr="00485F95">
        <w:t xml:space="preserve"> </w:t>
      </w:r>
      <w:r w:rsidR="000D4721" w:rsidRPr="00485F95">
        <w:rPr>
          <w:rFonts w:ascii="Arial" w:eastAsia="Times New Roman" w:hAnsi="Arial" w:cs="Arial"/>
          <w:sz w:val="24"/>
          <w:szCs w:val="24"/>
          <w:lang w:eastAsia="pt-BR"/>
        </w:rPr>
        <w:t>dias,</w:t>
      </w:r>
      <w:r w:rsidRPr="00485F95">
        <w:rPr>
          <w:rFonts w:ascii="Arial" w:eastAsia="Times New Roman" w:hAnsi="Arial" w:cs="Arial"/>
          <w:sz w:val="24"/>
          <w:szCs w:val="24"/>
          <w:lang w:eastAsia="pt-BR"/>
        </w:rPr>
        <w:t xml:space="preserve"> contados da </w:t>
      </w:r>
      <w:r w:rsidR="00C34CE6" w:rsidRPr="00485F95">
        <w:rPr>
          <w:rFonts w:ascii="Arial" w:eastAsia="Times New Roman" w:hAnsi="Arial" w:cs="Arial"/>
          <w:sz w:val="24"/>
          <w:szCs w:val="24"/>
          <w:lang w:eastAsia="pt-BR"/>
        </w:rPr>
        <w:t>data da assinatura deste Contrato</w:t>
      </w:r>
      <w:r w:rsidRPr="00485F95">
        <w:rPr>
          <w:rFonts w:ascii="Arial" w:eastAsia="Times New Roman" w:hAnsi="Arial" w:cs="Arial"/>
          <w:sz w:val="24"/>
          <w:szCs w:val="24"/>
          <w:lang w:eastAsia="pt-BR"/>
        </w:rPr>
        <w:t>, na forma do artigo 105 da Lei n° 14.133/2021.</w:t>
      </w:r>
      <w:r w:rsidR="006902BE" w:rsidRPr="00485F95">
        <w:rPr>
          <w:rFonts w:ascii="Arial" w:eastAsia="Times New Roman" w:hAnsi="Arial" w:cs="Arial"/>
          <w:sz w:val="24"/>
          <w:szCs w:val="24"/>
          <w:lang w:eastAsia="pt-BR"/>
        </w:rPr>
        <w:t xml:space="preserve"> </w:t>
      </w:r>
      <w:r w:rsidR="006902BE" w:rsidRPr="00485F95">
        <w:rPr>
          <w:rFonts w:ascii="Arial" w:eastAsia="Times New Roman" w:hAnsi="Arial" w:cs="Arial"/>
          <w:i/>
          <w:iCs/>
          <w:sz w:val="24"/>
          <w:szCs w:val="24"/>
          <w:lang w:eastAsia="pt-BR"/>
        </w:rPr>
        <w:t>(A vigência contratual variará de acordo com a quantidade de divisórias de gesso acartonado contratada e o prazo para execução dos serviços também será variável, conforme descrito nas tabelas abaixo:)</w:t>
      </w:r>
    </w:p>
    <w:p w14:paraId="27265F40" w14:textId="77777777" w:rsidR="006902BE" w:rsidRPr="00485F95" w:rsidRDefault="006902BE" w:rsidP="008F380D">
      <w:pPr>
        <w:spacing w:before="120" w:after="120" w:line="240" w:lineRule="auto"/>
        <w:ind w:left="120" w:right="120"/>
        <w:jc w:val="both"/>
        <w:rPr>
          <w:rFonts w:ascii="Arial" w:eastAsia="Times New Roman" w:hAnsi="Arial" w:cs="Arial"/>
          <w:sz w:val="24"/>
          <w:szCs w:val="24"/>
          <w:lang w:eastAsia="pt-BR"/>
        </w:rPr>
      </w:pPr>
    </w:p>
    <w:p w14:paraId="0A102CC8" w14:textId="77777777" w:rsidR="006902BE" w:rsidRPr="00485F95" w:rsidRDefault="006902BE" w:rsidP="007C5860">
      <w:pPr>
        <w:spacing w:after="165" w:line="240" w:lineRule="auto"/>
        <w:ind w:left="1200" w:hanging="633"/>
        <w:rPr>
          <w:rFonts w:ascii="Arial" w:eastAsia="Times New Roman" w:hAnsi="Arial" w:cs="Arial"/>
          <w:sz w:val="24"/>
          <w:szCs w:val="24"/>
          <w:lang w:eastAsia="pt-BR"/>
        </w:rPr>
      </w:pPr>
      <w:r w:rsidRPr="00485F95">
        <w:rPr>
          <w:rFonts w:ascii="Arial" w:eastAsia="Times New Roman" w:hAnsi="Arial" w:cs="Arial"/>
          <w:b/>
          <w:bCs/>
          <w:sz w:val="24"/>
          <w:szCs w:val="24"/>
          <w:lang w:eastAsia="pt-BR"/>
        </w:rPr>
        <w:t>a) até 500 m²</w:t>
      </w:r>
    </w:p>
    <w:tbl>
      <w:tblPr>
        <w:tblW w:w="4426" w:type="pct"/>
        <w:tblInd w:w="8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2"/>
        <w:gridCol w:w="5102"/>
      </w:tblGrid>
      <w:tr w:rsidR="00485F95" w:rsidRPr="00485F95" w14:paraId="7AC1B656" w14:textId="77777777" w:rsidTr="007C5860">
        <w:tc>
          <w:tcPr>
            <w:tcW w:w="1605"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992B133"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b/>
                <w:bCs/>
                <w:sz w:val="23"/>
                <w:szCs w:val="23"/>
                <w:lang w:eastAsia="pt-BR"/>
              </w:rPr>
              <w:t>Quantidade de dias</w:t>
            </w:r>
          </w:p>
        </w:tc>
        <w:tc>
          <w:tcPr>
            <w:tcW w:w="3395"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BA4C25F"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b/>
                <w:bCs/>
                <w:sz w:val="23"/>
                <w:szCs w:val="23"/>
                <w:lang w:eastAsia="pt-BR"/>
              </w:rPr>
              <w:t>Atividade</w:t>
            </w:r>
          </w:p>
        </w:tc>
      </w:tr>
      <w:tr w:rsidR="00485F95" w:rsidRPr="00485F95" w14:paraId="0B9BE7E4"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47CFCF2"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10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7A00CBEB"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Envio da comunicação pela área gestora, autorizando o início dos serviços (prazo necessário para providências burocráticas e confirmações junto à área requisitante)</w:t>
            </w:r>
          </w:p>
        </w:tc>
      </w:tr>
      <w:tr w:rsidR="00485F95" w:rsidRPr="00485F95" w14:paraId="6FDDE6C4"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71BD07E"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30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011A7A99"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Execução dos serviços</w:t>
            </w:r>
          </w:p>
        </w:tc>
      </w:tr>
      <w:tr w:rsidR="00485F95" w:rsidRPr="00485F95" w14:paraId="599AFDB9"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EEAED55"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10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059FAC20"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Recebimento provisório</w:t>
            </w:r>
          </w:p>
        </w:tc>
      </w:tr>
      <w:tr w:rsidR="00485F95" w:rsidRPr="00485F95" w14:paraId="4C3D6A34"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048198"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30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09EC6077"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Recebimento definitivo</w:t>
            </w:r>
          </w:p>
        </w:tc>
      </w:tr>
      <w:tr w:rsidR="00485F95" w:rsidRPr="00485F95" w14:paraId="5852F344"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B2036D6"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30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4DE4A9CD" w14:textId="4C3E0455"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Pagamento (considerando-se o prazo para liquidação constante do Termo de Referência</w:t>
            </w:r>
            <w:r w:rsidR="007C5860" w:rsidRPr="00485F95">
              <w:rPr>
                <w:rFonts w:ascii="Arial" w:eastAsia="Times New Roman" w:hAnsi="Arial" w:cs="Arial"/>
                <w:sz w:val="23"/>
                <w:szCs w:val="23"/>
                <w:lang w:eastAsia="pt-BR"/>
              </w:rPr>
              <w:t xml:space="preserve">) </w:t>
            </w:r>
          </w:p>
        </w:tc>
      </w:tr>
      <w:tr w:rsidR="006902BE" w:rsidRPr="00485F95" w14:paraId="45D9A537"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14B50B9"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b/>
                <w:bCs/>
                <w:sz w:val="23"/>
                <w:szCs w:val="23"/>
                <w:lang w:eastAsia="pt-BR"/>
              </w:rPr>
              <w:t>Total</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41647497"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b/>
                <w:bCs/>
                <w:sz w:val="23"/>
                <w:szCs w:val="23"/>
                <w:lang w:eastAsia="pt-BR"/>
              </w:rPr>
              <w:t>110 dias</w:t>
            </w:r>
          </w:p>
        </w:tc>
      </w:tr>
    </w:tbl>
    <w:p w14:paraId="49A4048C" w14:textId="199CB0F5" w:rsidR="006902BE" w:rsidRPr="00485F95" w:rsidRDefault="006902BE" w:rsidP="006902BE">
      <w:pPr>
        <w:spacing w:after="165" w:line="240" w:lineRule="auto"/>
        <w:rPr>
          <w:rFonts w:ascii="Arial" w:eastAsia="Times New Roman" w:hAnsi="Arial" w:cs="Arial"/>
          <w:sz w:val="23"/>
          <w:szCs w:val="23"/>
          <w:lang w:eastAsia="pt-BR"/>
        </w:rPr>
      </w:pPr>
    </w:p>
    <w:p w14:paraId="344F5955" w14:textId="77777777" w:rsidR="006902BE" w:rsidRPr="00485F95" w:rsidRDefault="006902BE" w:rsidP="007C5860">
      <w:pPr>
        <w:spacing w:after="165" w:line="240" w:lineRule="auto"/>
        <w:ind w:left="1200" w:hanging="633"/>
        <w:rPr>
          <w:rFonts w:ascii="Arial" w:eastAsia="Times New Roman" w:hAnsi="Arial" w:cs="Arial"/>
          <w:sz w:val="24"/>
          <w:szCs w:val="24"/>
          <w:lang w:eastAsia="pt-BR"/>
        </w:rPr>
      </w:pPr>
      <w:r w:rsidRPr="00485F95">
        <w:rPr>
          <w:rFonts w:ascii="Arial" w:eastAsia="Times New Roman" w:hAnsi="Arial" w:cs="Arial"/>
          <w:b/>
          <w:bCs/>
          <w:sz w:val="24"/>
          <w:szCs w:val="24"/>
          <w:lang w:eastAsia="pt-BR"/>
        </w:rPr>
        <w:t>b) de 501 a 1.000 m²</w:t>
      </w:r>
    </w:p>
    <w:tbl>
      <w:tblPr>
        <w:tblW w:w="4426" w:type="pct"/>
        <w:tblInd w:w="8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2"/>
        <w:gridCol w:w="5102"/>
      </w:tblGrid>
      <w:tr w:rsidR="00485F95" w:rsidRPr="00485F95" w14:paraId="783C0C1B" w14:textId="77777777" w:rsidTr="007C5860">
        <w:tc>
          <w:tcPr>
            <w:tcW w:w="1605"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22EFFD"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b/>
                <w:bCs/>
                <w:sz w:val="23"/>
                <w:szCs w:val="23"/>
                <w:lang w:eastAsia="pt-BR"/>
              </w:rPr>
              <w:t>Quantidade de dias</w:t>
            </w:r>
          </w:p>
        </w:tc>
        <w:tc>
          <w:tcPr>
            <w:tcW w:w="3395"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5D9C25"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b/>
                <w:bCs/>
                <w:sz w:val="23"/>
                <w:szCs w:val="23"/>
                <w:lang w:eastAsia="pt-BR"/>
              </w:rPr>
              <w:t>Atividade</w:t>
            </w:r>
          </w:p>
        </w:tc>
      </w:tr>
      <w:tr w:rsidR="00485F95" w:rsidRPr="00485F95" w14:paraId="57A313E3"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2A971C1"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10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297DBC07"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Envio da comunicação pela área gestora, autorizando o início dos serviços (prazo necessário para providências burocráticas e confirmações junto à área requisitante)</w:t>
            </w:r>
          </w:p>
        </w:tc>
      </w:tr>
      <w:tr w:rsidR="00485F95" w:rsidRPr="00485F95" w14:paraId="6C2C44FC"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63EBFE9"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60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50551C52"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Execução dos serviços</w:t>
            </w:r>
          </w:p>
        </w:tc>
      </w:tr>
      <w:tr w:rsidR="00485F95" w:rsidRPr="00485F95" w14:paraId="6A9F1506"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95F7785"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lastRenderedPageBreak/>
              <w:t>10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5E7932CF"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Recebimento provisório</w:t>
            </w:r>
          </w:p>
        </w:tc>
      </w:tr>
      <w:tr w:rsidR="00485F95" w:rsidRPr="00485F95" w14:paraId="25485951"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3F6819C"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30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52D7363B"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Recebimento definitivo</w:t>
            </w:r>
          </w:p>
        </w:tc>
      </w:tr>
      <w:tr w:rsidR="00485F95" w:rsidRPr="00485F95" w14:paraId="67297323"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39730C5"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30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3A36E62F" w14:textId="4227684A"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Pagamento (considerando-se o prazo para liquidação constante do Termo de Referência</w:t>
            </w:r>
            <w:r w:rsidR="007C5860" w:rsidRPr="00485F95">
              <w:rPr>
                <w:rFonts w:ascii="Arial" w:eastAsia="Times New Roman" w:hAnsi="Arial" w:cs="Arial"/>
                <w:sz w:val="23"/>
                <w:szCs w:val="23"/>
                <w:lang w:eastAsia="pt-BR"/>
              </w:rPr>
              <w:t>)</w:t>
            </w:r>
          </w:p>
        </w:tc>
      </w:tr>
      <w:tr w:rsidR="006902BE" w:rsidRPr="00485F95" w14:paraId="74863AC7"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C32EC4B"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b/>
                <w:bCs/>
                <w:sz w:val="23"/>
                <w:szCs w:val="23"/>
                <w:lang w:eastAsia="pt-BR"/>
              </w:rPr>
              <w:t>Total</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089FC647"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b/>
                <w:bCs/>
                <w:sz w:val="23"/>
                <w:szCs w:val="23"/>
                <w:lang w:eastAsia="pt-BR"/>
              </w:rPr>
              <w:t>140 dias</w:t>
            </w:r>
          </w:p>
        </w:tc>
      </w:tr>
    </w:tbl>
    <w:p w14:paraId="5C89CBD8" w14:textId="3A673841" w:rsidR="006902BE" w:rsidRPr="00485F95" w:rsidRDefault="006902BE" w:rsidP="006902BE">
      <w:pPr>
        <w:spacing w:after="165" w:line="240" w:lineRule="auto"/>
        <w:rPr>
          <w:rFonts w:ascii="Arial" w:eastAsia="Times New Roman" w:hAnsi="Arial" w:cs="Arial"/>
          <w:sz w:val="23"/>
          <w:szCs w:val="23"/>
          <w:lang w:eastAsia="pt-BR"/>
        </w:rPr>
      </w:pPr>
    </w:p>
    <w:p w14:paraId="2D5DF882" w14:textId="77777777" w:rsidR="006902BE" w:rsidRPr="00485F95" w:rsidRDefault="006902BE" w:rsidP="007C5860">
      <w:pPr>
        <w:spacing w:after="165" w:line="240" w:lineRule="auto"/>
        <w:ind w:left="1200" w:hanging="633"/>
        <w:rPr>
          <w:rFonts w:ascii="Arial" w:eastAsia="Times New Roman" w:hAnsi="Arial" w:cs="Arial"/>
          <w:sz w:val="24"/>
          <w:szCs w:val="24"/>
          <w:lang w:eastAsia="pt-BR"/>
        </w:rPr>
      </w:pPr>
      <w:r w:rsidRPr="00485F95">
        <w:rPr>
          <w:rFonts w:ascii="Arial" w:eastAsia="Times New Roman" w:hAnsi="Arial" w:cs="Arial"/>
          <w:b/>
          <w:bCs/>
          <w:sz w:val="24"/>
          <w:szCs w:val="24"/>
          <w:lang w:eastAsia="pt-BR"/>
        </w:rPr>
        <w:t>c) acima de 1.000 m²</w:t>
      </w:r>
    </w:p>
    <w:tbl>
      <w:tblPr>
        <w:tblW w:w="4426" w:type="pct"/>
        <w:tblInd w:w="8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2"/>
        <w:gridCol w:w="5102"/>
      </w:tblGrid>
      <w:tr w:rsidR="00485F95" w:rsidRPr="00485F95" w14:paraId="611ACB63" w14:textId="77777777" w:rsidTr="007C5860">
        <w:tc>
          <w:tcPr>
            <w:tcW w:w="1605"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913614E"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b/>
                <w:bCs/>
                <w:sz w:val="23"/>
                <w:szCs w:val="23"/>
                <w:lang w:eastAsia="pt-BR"/>
              </w:rPr>
              <w:t>Quantidade de dias</w:t>
            </w:r>
          </w:p>
        </w:tc>
        <w:tc>
          <w:tcPr>
            <w:tcW w:w="3395"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788AB27"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b/>
                <w:bCs/>
                <w:sz w:val="23"/>
                <w:szCs w:val="23"/>
                <w:lang w:eastAsia="pt-BR"/>
              </w:rPr>
              <w:t>Atividade</w:t>
            </w:r>
          </w:p>
        </w:tc>
      </w:tr>
      <w:tr w:rsidR="00485F95" w:rsidRPr="00485F95" w14:paraId="1447616F"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BF97519"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10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0C0E1BA6"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Envio da comunicação pela área gestora, autorizando o início dos serviços (prazo necessário para providências burocráticas e confirmações junto à área requisitante)</w:t>
            </w:r>
          </w:p>
        </w:tc>
      </w:tr>
      <w:tr w:rsidR="00485F95" w:rsidRPr="00485F95" w14:paraId="1038C5DC"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171A6A9"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90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501351DF"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Execução dos serviços</w:t>
            </w:r>
          </w:p>
        </w:tc>
      </w:tr>
      <w:tr w:rsidR="00485F95" w:rsidRPr="00485F95" w14:paraId="3180AAFF"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D0B4756"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10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64BC93D8"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Recebimento provisório</w:t>
            </w:r>
          </w:p>
        </w:tc>
      </w:tr>
      <w:tr w:rsidR="00485F95" w:rsidRPr="00485F95" w14:paraId="4EC3EFC6"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02CD733"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30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43487BD8"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Recebimento definitivo</w:t>
            </w:r>
          </w:p>
        </w:tc>
      </w:tr>
      <w:tr w:rsidR="00485F95" w:rsidRPr="00485F95" w14:paraId="3B82DF0E"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DD264C2"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sz w:val="23"/>
                <w:szCs w:val="23"/>
                <w:lang w:eastAsia="pt-BR"/>
              </w:rPr>
              <w:t>30</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1B703A8C" w14:textId="6D8549CD"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sz w:val="23"/>
                <w:szCs w:val="23"/>
                <w:lang w:eastAsia="pt-BR"/>
              </w:rPr>
              <w:t>Pagamento (considerando-se o prazo para liquidação constante</w:t>
            </w:r>
            <w:r w:rsidR="007C5860" w:rsidRPr="00485F95">
              <w:rPr>
                <w:rFonts w:ascii="Arial" w:eastAsia="Times New Roman" w:hAnsi="Arial" w:cs="Arial"/>
                <w:sz w:val="23"/>
                <w:szCs w:val="23"/>
                <w:lang w:eastAsia="pt-BR"/>
              </w:rPr>
              <w:t xml:space="preserve"> </w:t>
            </w:r>
            <w:r w:rsidRPr="00485F95">
              <w:rPr>
                <w:rFonts w:ascii="Arial" w:eastAsia="Times New Roman" w:hAnsi="Arial" w:cs="Arial"/>
                <w:sz w:val="23"/>
                <w:szCs w:val="23"/>
                <w:lang w:eastAsia="pt-BR"/>
              </w:rPr>
              <w:t>do Termo de Referência</w:t>
            </w:r>
            <w:r w:rsidR="007C5860" w:rsidRPr="00485F95">
              <w:rPr>
                <w:rFonts w:ascii="Arial" w:eastAsia="Times New Roman" w:hAnsi="Arial" w:cs="Arial"/>
                <w:sz w:val="23"/>
                <w:szCs w:val="23"/>
                <w:lang w:eastAsia="pt-BR"/>
              </w:rPr>
              <w:t>)</w:t>
            </w:r>
          </w:p>
        </w:tc>
      </w:tr>
      <w:tr w:rsidR="007C5860" w:rsidRPr="00485F95" w14:paraId="7D18A069" w14:textId="77777777" w:rsidTr="007C5860">
        <w:tc>
          <w:tcPr>
            <w:tcW w:w="1605"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6B3FFE4" w14:textId="77777777" w:rsidR="006902BE" w:rsidRPr="00485F95" w:rsidRDefault="006902BE" w:rsidP="006902BE">
            <w:pPr>
              <w:spacing w:after="165" w:line="240" w:lineRule="auto"/>
              <w:rPr>
                <w:rFonts w:ascii="Arial" w:eastAsia="Times New Roman" w:hAnsi="Arial" w:cs="Arial"/>
                <w:sz w:val="23"/>
                <w:szCs w:val="23"/>
                <w:lang w:eastAsia="pt-BR"/>
              </w:rPr>
            </w:pPr>
            <w:r w:rsidRPr="00485F95">
              <w:rPr>
                <w:rFonts w:ascii="Arial" w:eastAsia="Times New Roman" w:hAnsi="Arial" w:cs="Arial"/>
                <w:b/>
                <w:bCs/>
                <w:sz w:val="23"/>
                <w:szCs w:val="23"/>
                <w:lang w:eastAsia="pt-BR"/>
              </w:rPr>
              <w:t>Total</w:t>
            </w:r>
          </w:p>
        </w:tc>
        <w:tc>
          <w:tcPr>
            <w:tcW w:w="3395" w:type="pct"/>
            <w:tcBorders>
              <w:top w:val="nil"/>
              <w:left w:val="nil"/>
              <w:bottom w:val="single" w:sz="6" w:space="0" w:color="000000"/>
              <w:right w:val="single" w:sz="6" w:space="0" w:color="000000"/>
            </w:tcBorders>
            <w:tcMar>
              <w:top w:w="0" w:type="dxa"/>
              <w:left w:w="105" w:type="dxa"/>
              <w:bottom w:w="0" w:type="dxa"/>
              <w:right w:w="105" w:type="dxa"/>
            </w:tcMar>
            <w:hideMark/>
          </w:tcPr>
          <w:p w14:paraId="626CA591" w14:textId="77777777" w:rsidR="006902BE" w:rsidRPr="00485F95" w:rsidRDefault="006902BE" w:rsidP="007C5860">
            <w:pPr>
              <w:spacing w:after="165" w:line="240" w:lineRule="auto"/>
              <w:jc w:val="both"/>
              <w:rPr>
                <w:rFonts w:ascii="Arial" w:eastAsia="Times New Roman" w:hAnsi="Arial" w:cs="Arial"/>
                <w:sz w:val="23"/>
                <w:szCs w:val="23"/>
                <w:lang w:eastAsia="pt-BR"/>
              </w:rPr>
            </w:pPr>
            <w:r w:rsidRPr="00485F95">
              <w:rPr>
                <w:rFonts w:ascii="Arial" w:eastAsia="Times New Roman" w:hAnsi="Arial" w:cs="Arial"/>
                <w:b/>
                <w:bCs/>
                <w:sz w:val="23"/>
                <w:szCs w:val="23"/>
                <w:lang w:eastAsia="pt-BR"/>
              </w:rPr>
              <w:t>170 dias</w:t>
            </w:r>
          </w:p>
        </w:tc>
      </w:tr>
    </w:tbl>
    <w:p w14:paraId="509216F9" w14:textId="77777777" w:rsidR="006902BE" w:rsidRPr="00485F95" w:rsidRDefault="006902BE" w:rsidP="008F380D">
      <w:pPr>
        <w:spacing w:before="120" w:after="120" w:line="240" w:lineRule="auto"/>
        <w:ind w:left="120" w:right="120"/>
        <w:jc w:val="both"/>
        <w:rPr>
          <w:rFonts w:ascii="Arial" w:eastAsia="Times New Roman" w:hAnsi="Arial" w:cs="Arial"/>
          <w:sz w:val="23"/>
          <w:szCs w:val="23"/>
          <w:lang w:eastAsia="pt-BR"/>
        </w:rPr>
      </w:pPr>
    </w:p>
    <w:p w14:paraId="6812CCB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7049D818" w14:textId="443D486E"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5BF3F8B8"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3. CLÁUSULA TERCEIRA – MODELOS DE EXECUÇÃO E GESTÃO CONTRATUAIS</w:t>
      </w:r>
    </w:p>
    <w:p w14:paraId="3999892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3.1. O regime de execução contratual, o modelo de gestão, assim como os prazos e condições de conclusão, entrega, observação e recebimento definitivo constam no Termo de Referência, anexo ao Edital.</w:t>
      </w:r>
    </w:p>
    <w:p w14:paraId="418D7D3A" w14:textId="21B94384"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6C09EEE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4. CLÁUSULA QUARTA - SUBCONTRATAÇÃO</w:t>
      </w:r>
    </w:p>
    <w:p w14:paraId="541E6BFB"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4.1. Não será admitida a subcontratação do objeto contratual.</w:t>
      </w:r>
    </w:p>
    <w:p w14:paraId="4C2839B6" w14:textId="5B5FF379"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3E3AC705"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5. CLÁUSULA QUINTA - PREÇO</w:t>
      </w:r>
    </w:p>
    <w:p w14:paraId="202F86BF"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5.1. O valor total da contratação é de R$.......... (.....)</w:t>
      </w:r>
    </w:p>
    <w:p w14:paraId="75B6D51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5.2. No valor acima estão incluídas todas as despesas ordinárias diretas e indiretas decorrentes da execução do objeto, inclusive tributos e/ou impostos, </w:t>
      </w:r>
      <w:r w:rsidRPr="00485F95">
        <w:rPr>
          <w:rFonts w:ascii="Arial" w:eastAsia="Times New Roman" w:hAnsi="Arial" w:cs="Arial"/>
          <w:sz w:val="24"/>
          <w:szCs w:val="24"/>
          <w:lang w:eastAsia="pt-BR"/>
        </w:rPr>
        <w:lastRenderedPageBreak/>
        <w:t>encargos sociais, trabalhistas, previdenciários, fiscais e comerciais incidentes, taxa de administração, frete, seguro e outros necessários ao cumprimento integral do objeto da contratação.</w:t>
      </w:r>
    </w:p>
    <w:p w14:paraId="021A97A6"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5.3. O valor acima é meramente estimativo, de forma que os pagamentos devidos ao contratado dependerão dos quantitativos efetivamente fornecidos.</w:t>
      </w:r>
    </w:p>
    <w:p w14:paraId="7DCDB704" w14:textId="55BF1BCA"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57F30F0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6. CLÁUSULA SEXTA - PAGAMENTO</w:t>
      </w:r>
    </w:p>
    <w:p w14:paraId="2294AC68"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6.1. O prazo para pagamento ao contratado e demais condições a ele referentes encontram-se definidos no Termo de Referência, anexo ao Edital.</w:t>
      </w:r>
    </w:p>
    <w:p w14:paraId="3CA6C6FB" w14:textId="0B0C3E9B"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652C63A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7. CLÁUSULA SÉTIMA - REAJUSTE</w:t>
      </w:r>
    </w:p>
    <w:p w14:paraId="28CF9923" w14:textId="7393B5A6"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7.1. Os preços inicialmente contratados são fixos e irreajustáveis no prazo de um ano contado da data do orçamento estimado, em </w:t>
      </w:r>
      <w:r w:rsidR="00460845" w:rsidRPr="00485F95">
        <w:rPr>
          <w:rFonts w:ascii="Arial" w:eastAsia="Times New Roman" w:hAnsi="Arial" w:cs="Arial"/>
          <w:sz w:val="24"/>
          <w:szCs w:val="24"/>
          <w:lang w:eastAsia="pt-BR"/>
        </w:rPr>
        <w:t>09/04/2025</w:t>
      </w:r>
      <w:r w:rsidRPr="00485F95">
        <w:rPr>
          <w:rFonts w:ascii="Arial" w:eastAsia="Times New Roman" w:hAnsi="Arial" w:cs="Arial"/>
          <w:sz w:val="24"/>
          <w:szCs w:val="24"/>
          <w:lang w:eastAsia="pt-BR"/>
        </w:rPr>
        <w:t>.</w:t>
      </w:r>
    </w:p>
    <w:p w14:paraId="3F329341" w14:textId="45F31A19" w:rsidR="001B338D" w:rsidRPr="00485F95" w:rsidRDefault="001B338D" w:rsidP="00990032">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7.2. Após o interregno de um ano, desde que haja requerimento do contratado, os preços iniciais serão reajustados, mediante a aplicação, pelo contratante, do índice </w:t>
      </w:r>
      <w:r w:rsidR="00460845" w:rsidRPr="00485F95">
        <w:rPr>
          <w:rFonts w:ascii="Arial" w:eastAsia="Times New Roman" w:hAnsi="Arial" w:cs="Arial"/>
          <w:sz w:val="24"/>
          <w:szCs w:val="24"/>
          <w:lang w:eastAsia="pt-BR"/>
        </w:rPr>
        <w:t>IPCA (Índice de Preços ao Consumidor Amplo), apurado pelo IBGE</w:t>
      </w:r>
      <w:r w:rsidRPr="00485F95">
        <w:rPr>
          <w:rFonts w:ascii="Arial" w:eastAsia="Times New Roman" w:hAnsi="Arial" w:cs="Arial"/>
          <w:sz w:val="24"/>
          <w:szCs w:val="24"/>
          <w:lang w:eastAsia="pt-BR"/>
        </w:rPr>
        <w:t>, exclusivamente para as obrigações iniciadas e concluídas após a ocorrência da anualidade.</w:t>
      </w:r>
    </w:p>
    <w:p w14:paraId="1247FFA7" w14:textId="20848736"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7.2.1. O requerimento será encaminhado à </w:t>
      </w:r>
      <w:r w:rsidR="00990032" w:rsidRPr="00485F95">
        <w:rPr>
          <w:rFonts w:ascii="Arial" w:eastAsia="Times New Roman" w:hAnsi="Arial" w:cs="Arial"/>
          <w:sz w:val="24"/>
          <w:szCs w:val="24"/>
          <w:lang w:eastAsia="pt-BR"/>
        </w:rPr>
        <w:t>Seção de Análise, Revisão e Controle de Contratos-SUAN</w:t>
      </w:r>
      <w:r w:rsidR="000D4721" w:rsidRPr="00485F95">
        <w:rPr>
          <w:rFonts w:ascii="Arial" w:eastAsia="Times New Roman" w:hAnsi="Arial" w:cs="Arial"/>
          <w:sz w:val="24"/>
          <w:szCs w:val="24"/>
          <w:lang w:eastAsia="pt-BR"/>
        </w:rPr>
        <w:t>,</w:t>
      </w:r>
      <w:r w:rsidRPr="00485F95">
        <w:rPr>
          <w:rFonts w:ascii="Arial" w:eastAsia="Times New Roman" w:hAnsi="Arial" w:cs="Arial"/>
          <w:sz w:val="24"/>
          <w:szCs w:val="24"/>
          <w:lang w:eastAsia="pt-BR"/>
        </w:rPr>
        <w:t xml:space="preserve"> no endereço eletrônico: </w:t>
      </w:r>
      <w:r w:rsidR="00990032" w:rsidRPr="00485F95">
        <w:rPr>
          <w:rFonts w:ascii="Arial" w:eastAsia="Times New Roman" w:hAnsi="Arial" w:cs="Arial"/>
          <w:sz w:val="24"/>
          <w:szCs w:val="24"/>
          <w:lang w:eastAsia="pt-BR"/>
        </w:rPr>
        <w:t>admsp-suan@trf3.jus.br</w:t>
      </w:r>
      <w:r w:rsidRPr="00485F95">
        <w:rPr>
          <w:rFonts w:ascii="Arial" w:eastAsia="Times New Roman" w:hAnsi="Arial" w:cs="Arial"/>
          <w:sz w:val="24"/>
          <w:szCs w:val="24"/>
          <w:lang w:eastAsia="pt-BR"/>
        </w:rPr>
        <w:t>.</w:t>
      </w:r>
    </w:p>
    <w:p w14:paraId="6F2777B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7.2.2. Concluída a instrução do requerimento de reajuste e de reequilíbrio econômico-financeiro, a Administração terá o prazo de 90 (noventa) dias para decidir, admitida a prorrogação motivada por igual período devidamente referendada pelo ordenador de despesas.</w:t>
      </w:r>
    </w:p>
    <w:p w14:paraId="4A75743F"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7.3. Nos reajustes subsequentes ao primeiro, o interregno mínimo de um ano será contado a partir dos efeitos financeiros do último reajuste.</w:t>
      </w:r>
    </w:p>
    <w:p w14:paraId="16F97F1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7C8C4B0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7.5. Nas aferições finais, o(s) índice(s) utilizado(s) para reajuste será(</w:t>
      </w:r>
      <w:proofErr w:type="spellStart"/>
      <w:r w:rsidRPr="00485F95">
        <w:rPr>
          <w:rFonts w:ascii="Arial" w:eastAsia="Times New Roman" w:hAnsi="Arial" w:cs="Arial"/>
          <w:sz w:val="24"/>
          <w:szCs w:val="24"/>
          <w:lang w:eastAsia="pt-BR"/>
        </w:rPr>
        <w:t>ão</w:t>
      </w:r>
      <w:proofErr w:type="spellEnd"/>
      <w:r w:rsidRPr="00485F95">
        <w:rPr>
          <w:rFonts w:ascii="Arial" w:eastAsia="Times New Roman" w:hAnsi="Arial" w:cs="Arial"/>
          <w:sz w:val="24"/>
          <w:szCs w:val="24"/>
          <w:lang w:eastAsia="pt-BR"/>
        </w:rPr>
        <w:t>), obrigatoriamente, o(s) definitivo(s).</w:t>
      </w:r>
    </w:p>
    <w:p w14:paraId="2D27FB1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7.6. Caso o(s) índice(s) estabelecido(s) para reajustamento venha(m) a ser extinto(s) ou de qualquer forma não possa(m) mais ser utilizado(s), será(</w:t>
      </w:r>
      <w:proofErr w:type="spellStart"/>
      <w:r w:rsidRPr="00485F95">
        <w:rPr>
          <w:rFonts w:ascii="Arial" w:eastAsia="Times New Roman" w:hAnsi="Arial" w:cs="Arial"/>
          <w:sz w:val="24"/>
          <w:szCs w:val="24"/>
          <w:lang w:eastAsia="pt-BR"/>
        </w:rPr>
        <w:t>ão</w:t>
      </w:r>
      <w:proofErr w:type="spellEnd"/>
      <w:r w:rsidRPr="00485F95">
        <w:rPr>
          <w:rFonts w:ascii="Arial" w:eastAsia="Times New Roman" w:hAnsi="Arial" w:cs="Arial"/>
          <w:sz w:val="24"/>
          <w:szCs w:val="24"/>
          <w:lang w:eastAsia="pt-BR"/>
        </w:rPr>
        <w:t>) adotado(s), em substituição, o(s) que vier(em) a ser determinado(s) pela legislação então em vigor.</w:t>
      </w:r>
    </w:p>
    <w:p w14:paraId="71D8018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7.7. Na ausência de previsão legal quanto ao índice substituto, as partes elegerão novo índice oficial, para reajustamento do preço do valor remanescente, por meio de termo aditivo.</w:t>
      </w:r>
    </w:p>
    <w:p w14:paraId="06BED0DD"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7.8. O reajuste será realizado por apostilamento.</w:t>
      </w:r>
    </w:p>
    <w:p w14:paraId="615F72D8" w14:textId="5DC96900"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25C5AA0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lastRenderedPageBreak/>
        <w:t>8. CLÁUSULA OITAVA - OBRIGAÇÕES DO CONTRATANTE</w:t>
      </w:r>
    </w:p>
    <w:p w14:paraId="691AEAA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 São obrigações do contratante:</w:t>
      </w:r>
    </w:p>
    <w:p w14:paraId="48A8640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8.1.1. Exigir o cumprimento de todas as obrigações assumidas pelo contratado, de acordo com o contrato e demais documentos da contratação;</w:t>
      </w:r>
    </w:p>
    <w:p w14:paraId="7F12413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8.1.2. Receber o objeto no prazo e condições estabelecidas no Termo de Referência;</w:t>
      </w:r>
    </w:p>
    <w:p w14:paraId="7A5C278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14:paraId="3C6461F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8.1.4. Acompanhar e fiscalizar a execução do contrato e o cumprimento das obrigações pelo contratado;</w:t>
      </w:r>
    </w:p>
    <w:p w14:paraId="720E51E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8.1.5. Comunicar a empresa para emissão de Nota Fiscal no que </w:t>
      </w:r>
      <w:proofErr w:type="spellStart"/>
      <w:r w:rsidRPr="00485F95">
        <w:rPr>
          <w:rFonts w:ascii="Arial" w:eastAsia="Times New Roman" w:hAnsi="Arial" w:cs="Arial"/>
          <w:sz w:val="24"/>
          <w:szCs w:val="24"/>
          <w:lang w:eastAsia="pt-BR"/>
        </w:rPr>
        <w:t>pertine</w:t>
      </w:r>
      <w:proofErr w:type="spellEnd"/>
      <w:r w:rsidRPr="00485F95">
        <w:rPr>
          <w:rFonts w:ascii="Arial" w:eastAsia="Times New Roman" w:hAnsi="Arial" w:cs="Arial"/>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2A693F0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8.1.6. Efetuar o pagamento ao contratado do valor correspondente à prestação de serviço, no prazo, forma e condições estabelecidos no presente Contrato e no Termo de Referência;</w:t>
      </w:r>
    </w:p>
    <w:p w14:paraId="22A47C5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8.1.7. Aplicar ao contratado as sanções previstas na Lei e neste Contrato;</w:t>
      </w:r>
    </w:p>
    <w:p w14:paraId="1B41D17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70CC7B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5056DEB8"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8.1.9. Notificar os emitentes das garantias quanto ao início de processo administrativo para apuração de descumprimento de cláusulas contratuais.</w:t>
      </w:r>
    </w:p>
    <w:p w14:paraId="2FAB22D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14:paraId="5365795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8.1.11. Comunicar o contratado na hipótese de posterior alteração do projeto pelo contratante, no caso do art. 93, §3º, da Lei nº 14.133/2021.</w:t>
      </w:r>
    </w:p>
    <w:p w14:paraId="76EBC3A8"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8.1.12. Fornecer por escrito as informações necessárias para o desenvolvimento dos serviços objeto do contrato.</w:t>
      </w:r>
    </w:p>
    <w:p w14:paraId="4DBDFCD1"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8.1.13. Realizar avaliações periódicas da qualidade dos serviços, após seu recebimento.</w:t>
      </w:r>
    </w:p>
    <w:p w14:paraId="0C98B04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8.1.14.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8AF38C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lastRenderedPageBreak/>
        <w:t>8.1.15. Não responder por quaisquer compromissos assumidos pelo contratado com terceiros, ainda que vinculados à execução do contrato, bem como por qualquer dano causado a terceiros em decorrência de ato do contratado, de seus empregados, prepostos ou subordinados.</w:t>
      </w:r>
    </w:p>
    <w:p w14:paraId="55232CB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8.1.16. Previamente à expedição da ordem de serviço, verificar pendências, liberar áreas e/ou adotar providências cabíveis para a regularidade do início da sua execução.</w:t>
      </w:r>
    </w:p>
    <w:p w14:paraId="41769E2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8.2.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7E9E10CF" w14:textId="1F9A0680"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10F7E2D1"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9. CLÁUSULA NONA - OBRIGAÇÕES DO CONTRATADO</w:t>
      </w:r>
    </w:p>
    <w:p w14:paraId="7712EFE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2C8AC6B1" w14:textId="19A04EE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 Atender às determinações regulares emitidas pelo fiscal do contrato ou autoridade superior (art. 137, II</w:t>
      </w:r>
      <w:r w:rsidR="00960DCB" w:rsidRPr="00485F95">
        <w:rPr>
          <w:rFonts w:ascii="Arial" w:eastAsia="Times New Roman" w:hAnsi="Arial" w:cs="Arial"/>
          <w:sz w:val="24"/>
          <w:szCs w:val="24"/>
          <w:lang w:eastAsia="pt-BR"/>
        </w:rPr>
        <w:t>, da Lei nº 14.133/2021</w:t>
      </w:r>
      <w:r w:rsidRPr="00485F95">
        <w:rPr>
          <w:rFonts w:ascii="Arial" w:eastAsia="Times New Roman" w:hAnsi="Arial" w:cs="Arial"/>
          <w:sz w:val="24"/>
          <w:szCs w:val="24"/>
          <w:lang w:eastAsia="pt-BR"/>
        </w:rPr>
        <w:t>);</w:t>
      </w:r>
    </w:p>
    <w:p w14:paraId="62F53051"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34B8038"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9.1.3. Reparar, corrigir, remover, reconstruir ou substituir, às suas expensas, no total ou em parte, no prazo fixado pelo fiscal do contrato, os serviços nos quais se verificarem vícios, defeitos ou incorreções resultantes da execução ou dos materiais empregados;</w:t>
      </w:r>
    </w:p>
    <w:p w14:paraId="610B31AD"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9.1.4.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057DA11A"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9.1.5.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3F9A2176"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9.1.6.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w:t>
      </w:r>
      <w:r w:rsidRPr="00485F95">
        <w:rPr>
          <w:rFonts w:ascii="Arial" w:eastAsia="Times New Roman" w:hAnsi="Arial" w:cs="Arial"/>
          <w:sz w:val="24"/>
          <w:szCs w:val="24"/>
          <w:lang w:eastAsia="pt-BR"/>
        </w:rPr>
        <w:lastRenderedPageBreak/>
        <w:t>conforme art. 3º da Resolução nº 007/2005, do Conselho Nacional de Justiça, e suas alterações posteriores;</w:t>
      </w:r>
    </w:p>
    <w:p w14:paraId="17027C7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4707D015"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11C68415"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07C5D3ED"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9.1.10. Prestar todo esclarecimento ou informação solicitada pelo contratante ou por seus prepostos, garantindo-lhes o acesso, a qualquer tempo, ao local dos trabalhos, bem como aos documentos relativos à execução do empreendimento;</w:t>
      </w:r>
    </w:p>
    <w:p w14:paraId="4B5FEAB6"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39BC2A2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02A8D795"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22632D5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9.1.14. Submeter previamente, por escrito, ao contratante, para análise e aprovação, quaisquer mudanças nos métodos executivos que fujam às especificações do memorial descritivo ou instrumento congênere;</w:t>
      </w:r>
    </w:p>
    <w:p w14:paraId="51CE737D"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9.1.15. Não permitir a utilização de qualquer trabalho do menor de dezesseis anos, exceto na condição de aprendiz para os maiores de quatorze anos, nem permitir a utilização do trabalho do menor de dezoito anos em trabalho noturno, perigoso ou insalubre;</w:t>
      </w:r>
    </w:p>
    <w:p w14:paraId="783164F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9.1.16. Manter durante toda a vigência do contrato, em compatibilidade com as obrigações assumidas, todas as condições exigidas para habilitação na licitação, ou para qualificação, na contratação direta;</w:t>
      </w:r>
    </w:p>
    <w:p w14:paraId="19FA45EC" w14:textId="6520F52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lastRenderedPageBreak/>
        <w:t>9.1.17. Cumprir, durante todo o período de execução do contrato, a reserva de cargos prevista em lei para pessoa com deficiência, para reabilitado da Previdência Social ou para aprendiz, bem como as reservas de cargos previstas na legislação (art. 116</w:t>
      </w:r>
      <w:r w:rsidR="00460845" w:rsidRPr="00485F95">
        <w:rPr>
          <w:rFonts w:ascii="Arial" w:eastAsia="Times New Roman" w:hAnsi="Arial" w:cs="Arial"/>
          <w:sz w:val="24"/>
          <w:szCs w:val="24"/>
          <w:lang w:eastAsia="pt-BR"/>
        </w:rPr>
        <w:t xml:space="preserve"> da Lei nº 14.133/2021</w:t>
      </w:r>
      <w:r w:rsidRPr="00485F95">
        <w:rPr>
          <w:rFonts w:ascii="Arial" w:eastAsia="Times New Roman" w:hAnsi="Arial" w:cs="Arial"/>
          <w:sz w:val="24"/>
          <w:szCs w:val="24"/>
          <w:lang w:eastAsia="pt-BR"/>
        </w:rPr>
        <w:t>);</w:t>
      </w:r>
    </w:p>
    <w:p w14:paraId="31593698" w14:textId="797C1781"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9.1.18. Comprovar a reserva de cargos a que se refere a cláusula acima, no prazo fixado pelo fiscal do contrato, com a indicação dos empregados que preencheram as referidas vagas (art. 116, parágrafo único</w:t>
      </w:r>
      <w:r w:rsidR="00460845" w:rsidRPr="00485F95">
        <w:rPr>
          <w:rFonts w:ascii="Arial" w:eastAsia="Times New Roman" w:hAnsi="Arial" w:cs="Arial"/>
          <w:sz w:val="24"/>
          <w:szCs w:val="24"/>
          <w:lang w:eastAsia="pt-BR"/>
        </w:rPr>
        <w:t>, da Lei nº 14.133/2021</w:t>
      </w:r>
      <w:r w:rsidRPr="00485F95">
        <w:rPr>
          <w:rFonts w:ascii="Arial" w:eastAsia="Times New Roman" w:hAnsi="Arial" w:cs="Arial"/>
          <w:sz w:val="24"/>
          <w:szCs w:val="24"/>
          <w:lang w:eastAsia="pt-BR"/>
        </w:rPr>
        <w:t>);</w:t>
      </w:r>
    </w:p>
    <w:p w14:paraId="4690201D"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9.1.19. Guardar sigilo sobre todas as informações obtidas em decorrência do cumprimento do contrato;</w:t>
      </w:r>
    </w:p>
    <w:p w14:paraId="222CC98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2B3C4DCF"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9.1.21. Cumprir, além dos postulados legais vigentes de âmbito federal, estadual ou municipal, as normas de segurança do contratante;</w:t>
      </w:r>
    </w:p>
    <w:p w14:paraId="409B6124" w14:textId="1743F6C4"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9.1.2</w:t>
      </w:r>
      <w:r w:rsidR="00460845" w:rsidRPr="00485F95">
        <w:rPr>
          <w:rFonts w:ascii="Arial" w:eastAsia="Times New Roman" w:hAnsi="Arial" w:cs="Arial"/>
          <w:sz w:val="24"/>
          <w:szCs w:val="24"/>
          <w:lang w:eastAsia="pt-BR"/>
        </w:rPr>
        <w:t>2</w:t>
      </w:r>
      <w:r w:rsidRPr="00485F95">
        <w:rPr>
          <w:rFonts w:ascii="Arial" w:eastAsia="Times New Roman" w:hAnsi="Arial" w:cs="Arial"/>
          <w:sz w:val="24"/>
          <w:szCs w:val="24"/>
          <w:lang w:eastAsia="pt-BR"/>
        </w:rPr>
        <w:t>.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https://web.trf3.jus.br/atos-normativos/</w:t>
      </w:r>
      <w:r w:rsidR="000D4721" w:rsidRPr="00485F95">
        <w:rPr>
          <w:rFonts w:ascii="Arial" w:eastAsia="Times New Roman" w:hAnsi="Arial" w:cs="Arial"/>
          <w:sz w:val="24"/>
          <w:szCs w:val="24"/>
          <w:lang w:eastAsia="pt-BR"/>
        </w:rPr>
        <w:t>.</w:t>
      </w:r>
    </w:p>
    <w:p w14:paraId="23EA6A16" w14:textId="411E4BF6"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72F496D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10. CLÁUSULA DÉCIMA - OBRIGAÇÕES PERTINENTES À LGPD</w:t>
      </w:r>
    </w:p>
    <w:p w14:paraId="7EF7F05A"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08CC9A5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10.2. Os dados obtidos somente poderão ser utilizados para as finalidades que justificaram seu acesso e de acordo com a boa-fé e com os princípios do art. 6º da LGPD.</w:t>
      </w:r>
    </w:p>
    <w:p w14:paraId="2C48E56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10.3. É vedado o compartilhamento com terceiros dos dados obtidos fora das hipóteses permitidas em Lei.</w:t>
      </w:r>
    </w:p>
    <w:p w14:paraId="0394667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10.4. A Administração deverá ser informada no prazo de 5 (cinco) dias úteis sobre todos os contratos de </w:t>
      </w:r>
      <w:proofErr w:type="spellStart"/>
      <w:r w:rsidRPr="00485F95">
        <w:rPr>
          <w:rFonts w:ascii="Arial" w:eastAsia="Times New Roman" w:hAnsi="Arial" w:cs="Arial"/>
          <w:sz w:val="24"/>
          <w:szCs w:val="24"/>
          <w:lang w:eastAsia="pt-BR"/>
        </w:rPr>
        <w:t>suboperação</w:t>
      </w:r>
      <w:proofErr w:type="spellEnd"/>
      <w:r w:rsidRPr="00485F95">
        <w:rPr>
          <w:rFonts w:ascii="Arial" w:eastAsia="Times New Roman" w:hAnsi="Arial" w:cs="Arial"/>
          <w:sz w:val="24"/>
          <w:szCs w:val="24"/>
          <w:lang w:eastAsia="pt-BR"/>
        </w:rPr>
        <w:t xml:space="preserve"> firmados ou que venham a ser celebrados pelo contratado.</w:t>
      </w:r>
    </w:p>
    <w:p w14:paraId="6F2B03B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6039AD2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lastRenderedPageBreak/>
        <w:t>10.6. É dever do contratado orientar e treinar seus empregados sobre os deveres, requisitos e responsabilidades decorrentes da LGPD.</w:t>
      </w:r>
    </w:p>
    <w:p w14:paraId="4FACA035"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10.7. O contratado deverá exigir de </w:t>
      </w:r>
      <w:proofErr w:type="spellStart"/>
      <w:r w:rsidRPr="00485F95">
        <w:rPr>
          <w:rFonts w:ascii="Arial" w:eastAsia="Times New Roman" w:hAnsi="Arial" w:cs="Arial"/>
          <w:sz w:val="24"/>
          <w:szCs w:val="24"/>
          <w:lang w:eastAsia="pt-BR"/>
        </w:rPr>
        <w:t>suboperadores</w:t>
      </w:r>
      <w:proofErr w:type="spellEnd"/>
      <w:r w:rsidRPr="00485F95">
        <w:rPr>
          <w:rFonts w:ascii="Arial" w:eastAsia="Times New Roman" w:hAnsi="Arial" w:cs="Arial"/>
          <w:sz w:val="24"/>
          <w:szCs w:val="24"/>
          <w:lang w:eastAsia="pt-BR"/>
        </w:rPr>
        <w:t xml:space="preserve"> e subcontratados o cumprimento dos deveres da presente cláusula, permanecendo integralmente responsável por garantir sua observância.</w:t>
      </w:r>
    </w:p>
    <w:p w14:paraId="2C8B00C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3ADD651F"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5A7D1DD1"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0CEDC6AD"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10.10.1. Os referidos bancos de dados devem ser desenvolvidos em formato interoperável, a fim de garantir a reutilização desses dados pela Administração nas hipóteses previstas na LGPD.</w:t>
      </w:r>
    </w:p>
    <w:p w14:paraId="18EB95F8"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20E50AA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10.12. Os contratos e convênios de que trata o § 1º do art. 26 da LGPD deverão ser comunicados à autoridade nacional.</w:t>
      </w:r>
    </w:p>
    <w:p w14:paraId="141C544E" w14:textId="688102FD"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1DDAEE1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11. CLÁUSULA DÉCIMA PRIMEIRA – GARANTIA DE EXECUÇÃO</w:t>
      </w:r>
    </w:p>
    <w:p w14:paraId="3A33F661" w14:textId="77777777" w:rsidR="001B338D" w:rsidRPr="00485F95" w:rsidRDefault="001B338D" w:rsidP="00CC5892">
      <w:pPr>
        <w:spacing w:before="100" w:beforeAutospacing="1" w:after="100" w:afterAutospacing="1" w:line="240" w:lineRule="auto"/>
        <w:ind w:left="142"/>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11.1. Não haverá exigência de garantia contratual da execução.</w:t>
      </w:r>
    </w:p>
    <w:p w14:paraId="5B14670B" w14:textId="7EAA5B64"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38C1F0D5"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 xml:space="preserve">12. CLÁUSULA DÉCIMA SEGUNDA - INFRAÇÕES E SANÇÕES ADMINISTRATIVAS </w:t>
      </w:r>
    </w:p>
    <w:p w14:paraId="0340DB1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 Comete infração administrativa nos termos do art. 155 da Lei n.º 14.133/2021 o contratado que, com dolo ou culpa:</w:t>
      </w:r>
    </w:p>
    <w:p w14:paraId="6A210426"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12.1.1. der causa à inexecução parcial do contrato;</w:t>
      </w:r>
    </w:p>
    <w:p w14:paraId="0FA9120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12.1.2. der causa à inexecução parcial do contrato que cause grave dano à Administração, ao funcionamento dos serviços públicos ou ao interesse coletivo;</w:t>
      </w:r>
    </w:p>
    <w:p w14:paraId="642485E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12.1.3. der causa à inexecução total do contrato;</w:t>
      </w:r>
    </w:p>
    <w:p w14:paraId="6832E5EF"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lastRenderedPageBreak/>
        <w:t>12.1.4. ensejar o retardamento da execução ou da entrega do objeto da contratação sem motivo justificado;</w:t>
      </w:r>
    </w:p>
    <w:p w14:paraId="03ABDFF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12.1.5. apresentar documentação falsa ou prestar declaração falsa durante a execução do contrato;</w:t>
      </w:r>
    </w:p>
    <w:p w14:paraId="73BAB30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12.1.6. praticar ato fraudulento na execução do contrato;</w:t>
      </w:r>
    </w:p>
    <w:p w14:paraId="5C741B1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12.1.7. comportar-se de modo inidôneo ou cometer fraude de qualquer natureza;</w:t>
      </w:r>
    </w:p>
    <w:p w14:paraId="6D4131A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12.1.8. praticar atos ilícitos com vistas a frustrar os objetivos da contratação;</w:t>
      </w:r>
    </w:p>
    <w:p w14:paraId="7919BE4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12.1.9. praticar ato lesivo previsto no art. 5.º da Lei n.º 12.846/2013.</w:t>
      </w:r>
    </w:p>
    <w:p w14:paraId="6BA4E2F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12.2. O contratado que cometer qualquer das infrações discriminadas nos subitens anteriores estará sujeita, sem prejuízo da responsabilidade civil e criminal, à aplicação das seguintes sanções administrativas, garantidos o contraditório e a ampla defesa, em conformidade com os artigos 156 e seguintes da Lei nº 14.133/2021:</w:t>
      </w:r>
    </w:p>
    <w:p w14:paraId="2FA4C4E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a) Advertência pela falta prevista no subitem 12.1.1, quando não se justificar a imposição de penalidade mais grave, observada a alínea "f" deste item 12 quando for o caso;</w:t>
      </w:r>
    </w:p>
    <w:p w14:paraId="5F218B6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b) Impedimento de licitar e contratar no âmbito da Administração Pública direta e indireta da União, pelo prazo máximo de 3 (três) anos, nos casos dos subitens 12.1.2, 12.1.3 e 12.1.4, quando não se justificar a imposição de penalidade mais grave;</w:t>
      </w:r>
    </w:p>
    <w:p w14:paraId="24EEF4C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14:paraId="7E31F6EB"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d) multa moratória de 0,5% (cinco décimos por cento) por dia de atraso injustificado sobre o valor da parcela inadimplida, até o limite de 15 (quinze dias) dias;</w:t>
      </w:r>
    </w:p>
    <w:p w14:paraId="5DDA9A2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14:paraId="2658523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f) multa compensatória de 10% (dez por cento) sobre o valor do contrato pela infração prevista no subitem 12.1.1, quando for o caso;</w:t>
      </w:r>
    </w:p>
    <w:p w14:paraId="2555BFA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g) multa compensatória de 15% (quinze por cento) sobre o valor do contrato pela infração prevista no subitem 12.1.2;</w:t>
      </w:r>
    </w:p>
    <w:p w14:paraId="65A51BD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h) multa compensatória de 20% a 30% (vinte a trinta por cento) sobre o valor do contrato pelas infrações previstas nos subitens 12.1.3 e 12.1.5, 12.1.6, 12.1.7, 12.1.8 e 12.1.9.</w:t>
      </w:r>
    </w:p>
    <w:p w14:paraId="0A29E23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12.2.1. A recusa injustificada do adjudicatário em assinar o contrato ou a ata de registro de preço, ou em aceitar ou retirar o instrumento equivalente no </w:t>
      </w:r>
      <w:r w:rsidRPr="00485F95">
        <w:rPr>
          <w:rFonts w:ascii="Arial" w:eastAsia="Times New Roman" w:hAnsi="Arial" w:cs="Arial"/>
          <w:sz w:val="24"/>
          <w:szCs w:val="24"/>
          <w:lang w:eastAsia="pt-BR"/>
        </w:rPr>
        <w:lastRenderedPageBreak/>
        <w:t>prazo estabelecido pela Administração caracterizará o descumprimento total da obrigação assumida e configurará a infração prevista no subitem 12.1.3 e as respectivas sanções, inclusive a imediata perda da garantia de proposta em favor da unidade gestora promotora da licitação, nos termos do art. 45, § 4º, da IN SEGES nº 73/2022.</w:t>
      </w:r>
    </w:p>
    <w:p w14:paraId="03D8536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12.2.2. Se o descumprimento consistir na perda das condições de habilitação, a Administração concederá o prazo de 30 (trinta) dias para a empresa regularizar a sua situação, sem cominação de penalidade para o período.</w:t>
      </w:r>
    </w:p>
    <w:p w14:paraId="1D03DD06"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14:paraId="36C1191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12.3. Na aplicação das sanções serão considerados (art. 156, § 1º, da Lei nº 14.133/2021):</w:t>
      </w:r>
    </w:p>
    <w:p w14:paraId="28EBBF2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12.3.1. a natureza e a gravidade da infração cometida;</w:t>
      </w:r>
    </w:p>
    <w:p w14:paraId="77100491"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12.3.2. as peculiaridades do caso concreto;</w:t>
      </w:r>
    </w:p>
    <w:p w14:paraId="3C8C15A1"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12.3.3. as circunstâncias agravantes ou atenuantes;</w:t>
      </w:r>
    </w:p>
    <w:p w14:paraId="65268B2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12.3.4. os danos que dela provierem para a Administração Pública;</w:t>
      </w:r>
    </w:p>
    <w:p w14:paraId="12B4D32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12.3.5. a implantação ou o aperfeiçoamento de programa de integridade, conforme normas e orientações dos órgãos de controle.</w:t>
      </w:r>
    </w:p>
    <w:p w14:paraId="3E142D7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12.4. A aplicação das sanções previstas neste Contrato não exclui, em hipótese alguma, a obrigação de reparação integral do dano causado à Contratante (art. 156, §9º, da Lei nº 14.133/2021).</w:t>
      </w:r>
    </w:p>
    <w:p w14:paraId="27203872"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12.5. Todas as sanções previstas neste Contrato poderão ser aplicadas cumulativamente com a multa (art. 156, §7º, da Lei nº 14.133/2021).</w:t>
      </w:r>
    </w:p>
    <w:p w14:paraId="1A22329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12.6. Antes da aplicação da multa será facultada a defesa do interessado no prazo de 15 (quinze) dias úteis, contado da data de sua intimação (art. 157, da Lei nº 14.133/2021).</w:t>
      </w:r>
    </w:p>
    <w:p w14:paraId="2CFAFDFB"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33EE5216"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12.8. Previamente ao encaminhamento à cobrança judicial, a multa poderá ser recolhida administrativamente no prazo máximo de 5 (cinco) dias úteis, a contar da data da comunicação oficial.</w:t>
      </w:r>
    </w:p>
    <w:p w14:paraId="58CFEFE8"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12.9.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C336FE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12.10. Caberá a apresentação de pedido de reconsideração da aplicação da sanção de declaração de inidoneidade para licitar ou contratar no prazo de 15 </w:t>
      </w:r>
      <w:r w:rsidRPr="00485F95">
        <w:rPr>
          <w:rFonts w:ascii="Arial" w:eastAsia="Times New Roman" w:hAnsi="Arial" w:cs="Arial"/>
          <w:sz w:val="24"/>
          <w:szCs w:val="24"/>
          <w:lang w:eastAsia="pt-BR"/>
        </w:rPr>
        <w:lastRenderedPageBreak/>
        <w:t>(quinze) dias úteis, contado da data da intimação, e decidido no prazo máximo de 20 (vinte) dias úteis, contado do seu recebimento.</w:t>
      </w:r>
    </w:p>
    <w:p w14:paraId="1C598601"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12.11. O recurso e o pedido de reconsideração terão efeito suspensivo do ato ou da decisão recorrida até que sobrevenha decisão final da autoridade competente.</w:t>
      </w:r>
    </w:p>
    <w:p w14:paraId="3176A2F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14:paraId="2F56A5F6"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12.13. A personalidade jurídica do contratado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2A29AC1B"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12.14.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85F95">
        <w:rPr>
          <w:rFonts w:ascii="Arial" w:eastAsia="Times New Roman" w:hAnsi="Arial" w:cs="Arial"/>
          <w:sz w:val="24"/>
          <w:szCs w:val="24"/>
          <w:lang w:eastAsia="pt-BR"/>
        </w:rPr>
        <w:t>Ceis</w:t>
      </w:r>
      <w:proofErr w:type="spellEnd"/>
      <w:r w:rsidRPr="00485F95">
        <w:rPr>
          <w:rFonts w:ascii="Arial" w:eastAsia="Times New Roman" w:hAnsi="Arial" w:cs="Arial"/>
          <w:sz w:val="24"/>
          <w:szCs w:val="24"/>
          <w:lang w:eastAsia="pt-BR"/>
        </w:rPr>
        <w:t>) e no Cadastro Nacional de Empresas Punidas (</w:t>
      </w:r>
      <w:proofErr w:type="spellStart"/>
      <w:r w:rsidRPr="00485F95">
        <w:rPr>
          <w:rFonts w:ascii="Arial" w:eastAsia="Times New Roman" w:hAnsi="Arial" w:cs="Arial"/>
          <w:sz w:val="24"/>
          <w:szCs w:val="24"/>
          <w:lang w:eastAsia="pt-BR"/>
        </w:rPr>
        <w:t>Cnep</w:t>
      </w:r>
      <w:proofErr w:type="spellEnd"/>
      <w:r w:rsidRPr="00485F95">
        <w:rPr>
          <w:rFonts w:ascii="Arial" w:eastAsia="Times New Roman" w:hAnsi="Arial" w:cs="Arial"/>
          <w:sz w:val="24"/>
          <w:szCs w:val="24"/>
          <w:lang w:eastAsia="pt-BR"/>
        </w:rPr>
        <w:t>), instituídos no âmbito do Poder Executivo Federal (Art. 161 da Lei nº 14.133/2021).</w:t>
      </w:r>
    </w:p>
    <w:p w14:paraId="1BBC443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12.15. As sanções de impedimento de licitar e contratar e declaração de inidoneidade para licitar ou contratar são passíveis de reabilitação na forma do art. 163 da Lei nº 14.133/2021.</w:t>
      </w:r>
    </w:p>
    <w:p w14:paraId="209141CE" w14:textId="385C80E6"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7F96372D"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 xml:space="preserve">13. CLÁUSULA DÉCIMA TERCEIRA - EXTINÇÃO CONTRATUAL </w:t>
      </w:r>
    </w:p>
    <w:p w14:paraId="7B3F314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13.1. O contrato será extinto quando cumpridas as obrigações de ambas as partes, ainda que isso ocorra antes do prazo estipulado para tanto.</w:t>
      </w:r>
    </w:p>
    <w:p w14:paraId="42526D5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6F38DECB"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13.1.2. Quando a não conclusão do contrato referida no item anterior decorrer de culpa do contratado:</w:t>
      </w:r>
    </w:p>
    <w:p w14:paraId="73C8032F"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a) ficará ele constituído em mora, sendo-lhe aplicáveis as respectivas sanções administrativas; e</w:t>
      </w:r>
    </w:p>
    <w:p w14:paraId="5B2F229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b) poderá a Administração optar pela extinção do contrato e, nesse caso, adotará as medidas admitidas em lei para a continuidade da execução contratual.</w:t>
      </w:r>
    </w:p>
    <w:p w14:paraId="75FA136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lastRenderedPageBreak/>
        <w:t>13.2. O contrato poderá ser extinto antes de cumpridas as obrigações nele estipuladas, ou antes do prazo nele fixado, por algum dos motivos previstos no artigo 137 da Lei nº 14.133/2021, bem como amigavelmente, assegurados o contraditório e a ampla defesa.</w:t>
      </w:r>
    </w:p>
    <w:p w14:paraId="15C84C1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13.2.1. Nesta hipótese, aplicam-se também os artigos 138 e 139 da mesma Lei.</w:t>
      </w:r>
    </w:p>
    <w:p w14:paraId="401BBBD6"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13.2.2. A alteração social ou a modificação da finalidade ou da estrutura da empresa não ensejará a extinção se não restringir sua capacidade de concluir o contrato.</w:t>
      </w:r>
    </w:p>
    <w:p w14:paraId="0301E46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13.2.2.1. Se a operação implicar mudança da pessoa jurídica contratada, deverá ser formalizado termo aditivo para alteração subjetiva.</w:t>
      </w:r>
    </w:p>
    <w:p w14:paraId="7AA3E6DB"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7CDC5C8A"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2CD70A2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13.4. O termo de extinção, sempre que possível, será precedido:</w:t>
      </w:r>
    </w:p>
    <w:p w14:paraId="50AD42E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13.4.1. Balanço dos eventos contratuais já cumpridos ou parcialmente cumpridos;</w:t>
      </w:r>
    </w:p>
    <w:p w14:paraId="21ED3FE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13.4.2. Relação dos pagamentos já efetuados e ainda devidos;</w:t>
      </w:r>
    </w:p>
    <w:p w14:paraId="25B8AD6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13.4.3. Indenizações e multas.</w:t>
      </w:r>
    </w:p>
    <w:p w14:paraId="38E0016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14:paraId="04A2E23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13.6. O contratado reconhece os direitos da Administração previstos nos artigos 137 a 139 da Lei nº 14.133/2021.</w:t>
      </w:r>
    </w:p>
    <w:p w14:paraId="77CC9C2F" w14:textId="21298D72"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7F90B93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14. CLÁUSULA DÉCIMA QUARTA – ALTERAÇÕES</w:t>
      </w:r>
    </w:p>
    <w:p w14:paraId="29E67FB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14.1. Eventuais alterações contratuais reger-se-ão pela disciplina dos </w:t>
      </w:r>
      <w:proofErr w:type="spellStart"/>
      <w:r w:rsidRPr="00485F95">
        <w:rPr>
          <w:rFonts w:ascii="Arial" w:eastAsia="Times New Roman" w:hAnsi="Arial" w:cs="Arial"/>
          <w:sz w:val="24"/>
          <w:szCs w:val="24"/>
          <w:lang w:eastAsia="pt-BR"/>
        </w:rPr>
        <w:t>arts</w:t>
      </w:r>
      <w:proofErr w:type="spellEnd"/>
      <w:r w:rsidRPr="00485F95">
        <w:rPr>
          <w:rFonts w:ascii="Arial" w:eastAsia="Times New Roman" w:hAnsi="Arial" w:cs="Arial"/>
          <w:sz w:val="24"/>
          <w:szCs w:val="24"/>
          <w:lang w:eastAsia="pt-BR"/>
        </w:rPr>
        <w:t>. 124 e seguintes da Lei nº 14.133/2021.</w:t>
      </w:r>
    </w:p>
    <w:p w14:paraId="0ABEB71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14:paraId="5182FA38"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lastRenderedPageBreak/>
        <w:t>14.3. As supressões resultantes de acordo celebrado entre as partes contratantes poderão exceder o limite de 25% (vinte e cinco por cento) do valor inicial atualizado do contrato.</w:t>
      </w:r>
    </w:p>
    <w:p w14:paraId="54308CA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659189A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14.5. Registros que não caracterizam alteração do contrato podem ser realizados por simples apostila, dispensada a celebração de termo aditivo, na forma do art. 136 da Lei nº 14.133/2021.</w:t>
      </w:r>
    </w:p>
    <w:p w14:paraId="1B5AF6CF" w14:textId="6F577619"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0BBB1195"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15. CLÁUSULA DÉCIMA QUINTA – DOTAÇÃO ORÇAMENTÁRIA</w:t>
      </w:r>
    </w:p>
    <w:p w14:paraId="229E4551"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15.1. As despesas decorrentes da presente contratação correrão à conta de recursos específicos consignados no Orçamento Geral da União deste exercício, na dotação abaixo discriminada:</w:t>
      </w:r>
    </w:p>
    <w:p w14:paraId="2CD5F324" w14:textId="3651E640"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I. Gestão/Unidade:</w:t>
      </w:r>
      <w:r w:rsidR="00C34CE6" w:rsidRPr="00485F95">
        <w:rPr>
          <w:rFonts w:ascii="Arial" w:eastAsia="Times New Roman" w:hAnsi="Arial" w:cs="Arial"/>
          <w:sz w:val="24"/>
          <w:szCs w:val="24"/>
          <w:lang w:eastAsia="pt-BR"/>
        </w:rPr>
        <w:t xml:space="preserve"> UG/Gestão:090017/0001 - Justiça Federal de Primeiro Grau de São Paulo;</w:t>
      </w:r>
    </w:p>
    <w:p w14:paraId="26DD8731" w14:textId="04A2D65B"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II. Fonte de Recursos:</w:t>
      </w:r>
      <w:r w:rsidR="00C34CE6" w:rsidRPr="00485F95">
        <w:rPr>
          <w:rFonts w:ascii="Arial" w:eastAsia="Times New Roman" w:hAnsi="Arial" w:cs="Arial"/>
          <w:sz w:val="24"/>
          <w:szCs w:val="24"/>
          <w:lang w:eastAsia="pt-BR"/>
        </w:rPr>
        <w:t xml:space="preserve"> Recursos Primários de Livre Aplicação;</w:t>
      </w:r>
    </w:p>
    <w:p w14:paraId="1B9837D9" w14:textId="3981E584"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III. Programa de Trabalho:</w:t>
      </w:r>
      <w:r w:rsidR="00C34CE6" w:rsidRPr="00485F95">
        <w:rPr>
          <w:rFonts w:ascii="Arial" w:eastAsia="Times New Roman" w:hAnsi="Arial" w:cs="Arial"/>
          <w:sz w:val="24"/>
          <w:szCs w:val="24"/>
          <w:lang w:eastAsia="pt-BR"/>
        </w:rPr>
        <w:t xml:space="preserve"> Julgamento de Causas - Cód. PTRES 168.312;</w:t>
      </w:r>
    </w:p>
    <w:p w14:paraId="39A33987" w14:textId="62ED9742"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IV. Elemento de Despesa:</w:t>
      </w:r>
      <w:r w:rsidR="00C34CE6" w:rsidRPr="00485F95">
        <w:rPr>
          <w:rFonts w:ascii="Arial" w:eastAsia="Times New Roman" w:hAnsi="Arial" w:cs="Arial"/>
          <w:sz w:val="24"/>
          <w:szCs w:val="24"/>
          <w:lang w:eastAsia="pt-BR"/>
        </w:rPr>
        <w:t xml:space="preserve"> Material permanente - Cód. 4.4.90.52;</w:t>
      </w:r>
    </w:p>
    <w:p w14:paraId="45E2C4A3" w14:textId="422CFD89"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V. Plano Interno:</w:t>
      </w:r>
      <w:r w:rsidR="00C34CE6" w:rsidRPr="00485F95">
        <w:rPr>
          <w:rFonts w:ascii="Arial" w:eastAsia="Times New Roman" w:hAnsi="Arial" w:cs="Arial"/>
          <w:sz w:val="24"/>
          <w:szCs w:val="24"/>
          <w:lang w:eastAsia="pt-BR"/>
        </w:rPr>
        <w:t xml:space="preserve"> Não se aplica;</w:t>
      </w:r>
    </w:p>
    <w:p w14:paraId="279E7DD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VI. Nota de Empenho:</w:t>
      </w:r>
    </w:p>
    <w:p w14:paraId="064DF4FA"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15.2. A dotação relativa aos exercícios financeiros subsequentes será indicada após aprovação da Lei Orçamentária respectiva e liberação dos créditos correspondentes, mediante apostilamento.</w:t>
      </w:r>
    </w:p>
    <w:p w14:paraId="7AFA2A5F" w14:textId="5307576C"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6A3887DA"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 xml:space="preserve">16. CLÁUSULA DÉCIMA SEXTA – DOS CASOS OMISSOS </w:t>
      </w:r>
    </w:p>
    <w:p w14:paraId="15C0B47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11C04FCE" w14:textId="74E71CEC"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19C2565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17. CLÁUSULA DÉCIMA SÉTIMA – PUBLICAÇÃO</w:t>
      </w:r>
    </w:p>
    <w:p w14:paraId="4F76626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485F95">
        <w:rPr>
          <w:rFonts w:ascii="Arial" w:eastAsia="Times New Roman" w:hAnsi="Arial" w:cs="Arial"/>
          <w:i/>
          <w:iCs/>
          <w:sz w:val="24"/>
          <w:szCs w:val="24"/>
          <w:lang w:eastAsia="pt-BR"/>
        </w:rPr>
        <w:t>caput,</w:t>
      </w:r>
      <w:r w:rsidRPr="00485F95">
        <w:rPr>
          <w:rFonts w:ascii="Arial" w:eastAsia="Times New Roman" w:hAnsi="Arial" w:cs="Arial"/>
          <w:sz w:val="24"/>
          <w:szCs w:val="24"/>
          <w:lang w:eastAsia="pt-BR"/>
        </w:rPr>
        <w:t xml:space="preserve"> da Lei n.º 14.133/2021, e ao art. 8º, §2º, da Lei n.º 12.527/2011. </w:t>
      </w:r>
    </w:p>
    <w:p w14:paraId="0BA8EDDF" w14:textId="614D8DAE" w:rsidR="001B338D" w:rsidRPr="00485F95" w:rsidRDefault="001B338D" w:rsidP="009C592E">
      <w:pPr>
        <w:spacing w:before="120" w:after="120" w:line="240" w:lineRule="auto"/>
        <w:ind w:left="120" w:right="120"/>
        <w:jc w:val="both"/>
        <w:rPr>
          <w:rFonts w:ascii="Arial" w:eastAsia="Times New Roman" w:hAnsi="Arial" w:cs="Arial"/>
          <w:sz w:val="24"/>
          <w:szCs w:val="24"/>
          <w:lang w:eastAsia="pt-BR"/>
        </w:rPr>
      </w:pPr>
    </w:p>
    <w:p w14:paraId="6ABA3430"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18. CLÁUSULA DÉCIMA OITAVA - COMUNICAÇÕES</w:t>
      </w:r>
    </w:p>
    <w:p w14:paraId="04710DC7"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lastRenderedPageBreak/>
        <w:t>18.1. Eventuais correspondências expedidas pelas partes signatárias deverão mencionar o número deste instrumento e o assunto específico da correspondência.</w:t>
      </w:r>
    </w:p>
    <w:p w14:paraId="002A33D5" w14:textId="32FBB60C"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18.1.1. As comunicações feitas ao contratante deverão ser endereçadas à </w:t>
      </w:r>
      <w:r w:rsidR="00404C95" w:rsidRPr="00485F95">
        <w:rPr>
          <w:rFonts w:ascii="Arial" w:eastAsia="Times New Roman" w:hAnsi="Arial" w:cs="Arial"/>
          <w:sz w:val="24"/>
          <w:szCs w:val="24"/>
          <w:lang w:eastAsia="pt-BR"/>
        </w:rPr>
        <w:t>Divisão de Administração Predial e Gestão de Serviços - DUAP</w:t>
      </w:r>
      <w:r w:rsidRPr="00485F95">
        <w:rPr>
          <w:rFonts w:ascii="Arial" w:eastAsia="Times New Roman" w:hAnsi="Arial" w:cs="Arial"/>
          <w:sz w:val="24"/>
          <w:szCs w:val="24"/>
          <w:lang w:eastAsia="pt-BR"/>
        </w:rPr>
        <w:t xml:space="preserve">, situada na </w:t>
      </w:r>
      <w:r w:rsidR="00404C95" w:rsidRPr="00485F95">
        <w:rPr>
          <w:rFonts w:ascii="Arial" w:eastAsia="Times New Roman" w:hAnsi="Arial" w:cs="Arial"/>
          <w:sz w:val="24"/>
          <w:szCs w:val="24"/>
          <w:lang w:eastAsia="pt-BR"/>
        </w:rPr>
        <w:t>Rua Peixoto Gomide, 768, Jardim Paulista, São Paulo/SP</w:t>
      </w:r>
      <w:r w:rsidRPr="00485F95">
        <w:rPr>
          <w:rFonts w:ascii="Arial" w:eastAsia="Times New Roman" w:hAnsi="Arial" w:cs="Arial"/>
          <w:sz w:val="24"/>
          <w:szCs w:val="24"/>
          <w:lang w:eastAsia="pt-BR"/>
        </w:rPr>
        <w:t xml:space="preserve">, telefones </w:t>
      </w:r>
      <w:r w:rsidR="00404C95" w:rsidRPr="00485F95">
        <w:rPr>
          <w:rFonts w:ascii="Arial" w:eastAsia="Times New Roman" w:hAnsi="Arial" w:cs="Arial"/>
          <w:sz w:val="24"/>
          <w:szCs w:val="24"/>
          <w:lang w:eastAsia="pt-BR"/>
        </w:rPr>
        <w:t>(11) 2172-6239 e (11) 2172-6407</w:t>
      </w:r>
      <w:r w:rsidRPr="00485F95">
        <w:rPr>
          <w:rFonts w:ascii="Arial" w:eastAsia="Times New Roman" w:hAnsi="Arial" w:cs="Arial"/>
          <w:sz w:val="24"/>
          <w:szCs w:val="24"/>
          <w:lang w:eastAsia="pt-BR"/>
        </w:rPr>
        <w:t>, ou no</w:t>
      </w:r>
      <w:r w:rsidR="000D4721" w:rsidRPr="00485F95">
        <w:rPr>
          <w:rFonts w:ascii="Arial" w:eastAsia="Times New Roman" w:hAnsi="Arial" w:cs="Arial"/>
          <w:sz w:val="24"/>
          <w:szCs w:val="24"/>
          <w:lang w:eastAsia="pt-BR"/>
        </w:rPr>
        <w:t>s</w:t>
      </w:r>
      <w:r w:rsidRPr="00485F95">
        <w:rPr>
          <w:rFonts w:ascii="Arial" w:eastAsia="Times New Roman" w:hAnsi="Arial" w:cs="Arial"/>
          <w:sz w:val="24"/>
          <w:szCs w:val="24"/>
          <w:lang w:eastAsia="pt-BR"/>
        </w:rPr>
        <w:t xml:space="preserve"> e-mail</w:t>
      </w:r>
      <w:r w:rsidR="000D4721" w:rsidRPr="00485F95">
        <w:rPr>
          <w:rFonts w:ascii="Arial" w:eastAsia="Times New Roman" w:hAnsi="Arial" w:cs="Arial"/>
          <w:sz w:val="24"/>
          <w:szCs w:val="24"/>
          <w:lang w:eastAsia="pt-BR"/>
        </w:rPr>
        <w:t>s</w:t>
      </w:r>
      <w:r w:rsidRPr="00485F95">
        <w:rPr>
          <w:rFonts w:ascii="Arial" w:eastAsia="Times New Roman" w:hAnsi="Arial" w:cs="Arial"/>
          <w:sz w:val="24"/>
          <w:szCs w:val="24"/>
          <w:lang w:eastAsia="pt-BR"/>
        </w:rPr>
        <w:t xml:space="preserve">: </w:t>
      </w:r>
      <w:r w:rsidR="00404C95" w:rsidRPr="00485F95">
        <w:rPr>
          <w:rFonts w:ascii="Arial" w:eastAsia="Times New Roman" w:hAnsi="Arial" w:cs="Arial"/>
          <w:sz w:val="24"/>
          <w:szCs w:val="24"/>
          <w:lang w:eastAsia="pt-BR"/>
        </w:rPr>
        <w:t>admsp-suai@trf3.jus.br e admsp-duap@trf3.jus.br</w:t>
      </w:r>
      <w:r w:rsidRPr="00485F95">
        <w:rPr>
          <w:rFonts w:ascii="Arial" w:eastAsia="Times New Roman" w:hAnsi="Arial" w:cs="Arial"/>
          <w:sz w:val="24"/>
          <w:szCs w:val="24"/>
          <w:lang w:eastAsia="pt-BR"/>
        </w:rPr>
        <w:t>.</w:t>
      </w:r>
    </w:p>
    <w:p w14:paraId="6E13301E"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7129E283"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18.1.3. Ao contratado caberá confirmar o recebimento da correspondência eletrônica, no prazo de 1 (um) dia útil, contado de seu envio pelo contratante.</w:t>
      </w:r>
    </w:p>
    <w:p w14:paraId="6EE3AE4D"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18.1.3.1. Na hipótese de ausência de confirmação do recebimento da correspondência eletrônica no prazo acima estipulado, considerar-se-á como realizada e recebida a comunicação pelo contratado.</w:t>
      </w:r>
    </w:p>
    <w:p w14:paraId="2FA2C3C6"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123D49E4" w14:textId="7E458009"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18.1.5. Quando estritamente necessário, as comunicações serão enviadas por via postal, endereçadas à empresa .........., situada na Rua/Avenida .........., nº ..., Bairro, Cidade, Estado, CEP ..., telefone (</w:t>
      </w:r>
      <w:r w:rsidR="009C592E" w:rsidRPr="00485F95">
        <w:rPr>
          <w:rFonts w:ascii="Arial" w:eastAsia="Times New Roman" w:hAnsi="Arial" w:cs="Arial"/>
          <w:sz w:val="24"/>
          <w:szCs w:val="24"/>
          <w:lang w:eastAsia="pt-BR"/>
        </w:rPr>
        <w:t>...</w:t>
      </w:r>
      <w:r w:rsidRPr="00485F95">
        <w:rPr>
          <w:rFonts w:ascii="Arial" w:eastAsia="Times New Roman" w:hAnsi="Arial" w:cs="Arial"/>
          <w:sz w:val="24"/>
          <w:szCs w:val="24"/>
          <w:lang w:eastAsia="pt-BR"/>
        </w:rPr>
        <w:t>) ....</w:t>
      </w:r>
    </w:p>
    <w:p w14:paraId="544863D4"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782A9819"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18.1.6. Eventuais mudanças de endereços deverão ser comunicadas por escrito.</w:t>
      </w:r>
    </w:p>
    <w:p w14:paraId="151A005B" w14:textId="4B4DD61A"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218C4D8C"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b/>
          <w:bCs/>
          <w:sz w:val="24"/>
          <w:szCs w:val="24"/>
          <w:lang w:eastAsia="pt-BR"/>
        </w:rPr>
        <w:t xml:space="preserve">19. CLÁUSULA DÉCIMA NONA – FORO </w:t>
      </w:r>
    </w:p>
    <w:p w14:paraId="1E87A6F6" w14:textId="76DC0AED"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 xml:space="preserve">19.1. É eleito o Foro da Justiça Federal </w:t>
      </w:r>
      <w:r w:rsidR="00404C95" w:rsidRPr="00485F95">
        <w:rPr>
          <w:rFonts w:ascii="Arial" w:eastAsia="Times New Roman" w:hAnsi="Arial" w:cs="Arial"/>
          <w:sz w:val="24"/>
          <w:szCs w:val="24"/>
          <w:lang w:eastAsia="pt-BR"/>
        </w:rPr>
        <w:t>de Primeiro Grau em São Paulo</w:t>
      </w:r>
      <w:r w:rsidRPr="00485F95">
        <w:rPr>
          <w:rFonts w:ascii="Arial" w:eastAsia="Times New Roman" w:hAnsi="Arial" w:cs="Arial"/>
          <w:sz w:val="24"/>
          <w:szCs w:val="24"/>
          <w:lang w:eastAsia="pt-BR"/>
        </w:rPr>
        <w:t xml:space="preserve">, </w:t>
      </w:r>
      <w:r w:rsidR="00404C95" w:rsidRPr="00485F95">
        <w:rPr>
          <w:rFonts w:ascii="Arial" w:eastAsia="Times New Roman" w:hAnsi="Arial" w:cs="Arial"/>
          <w:sz w:val="24"/>
          <w:szCs w:val="24"/>
          <w:lang w:eastAsia="pt-BR"/>
        </w:rPr>
        <w:t>1ª Subseção Judiciária,</w:t>
      </w:r>
      <w:r w:rsidRPr="00485F95">
        <w:rPr>
          <w:rFonts w:ascii="Arial" w:eastAsia="Times New Roman" w:hAnsi="Arial" w:cs="Arial"/>
          <w:sz w:val="24"/>
          <w:szCs w:val="24"/>
          <w:lang w:eastAsia="pt-BR"/>
        </w:rPr>
        <w:t xml:space="preserve"> para dirimir os litígios que decorrerem da execução deste Termo de Contrato que não possam ser compostos pela conciliação, conforme art. 92, §1º da Lei nº 14.133/2021.</w:t>
      </w:r>
    </w:p>
    <w:p w14:paraId="551D008F" w14:textId="77777777"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t>19.2. A unidade gestora poderá empregar métodos de resolução consensual de conflitos observados o art. 151 da Lei nº 14.133/2021 e a Recomendação nº 140, do Conselho Nacional de Justiça.</w:t>
      </w:r>
    </w:p>
    <w:p w14:paraId="54AB5BF1" w14:textId="729C13A4" w:rsidR="001B338D" w:rsidRPr="00485F95" w:rsidRDefault="001B338D" w:rsidP="008F380D">
      <w:pPr>
        <w:spacing w:before="120" w:after="120" w:line="240" w:lineRule="auto"/>
        <w:ind w:left="120" w:right="120"/>
        <w:jc w:val="both"/>
        <w:rPr>
          <w:rFonts w:ascii="Arial" w:eastAsia="Times New Roman" w:hAnsi="Arial" w:cs="Arial"/>
          <w:sz w:val="24"/>
          <w:szCs w:val="24"/>
          <w:lang w:eastAsia="pt-BR"/>
        </w:rPr>
      </w:pPr>
    </w:p>
    <w:p w14:paraId="6CB1395F" w14:textId="44ACE7CA" w:rsidR="00404C95" w:rsidRPr="00485F95" w:rsidRDefault="00404C95" w:rsidP="008F380D">
      <w:pPr>
        <w:spacing w:before="120" w:after="120" w:line="240" w:lineRule="auto"/>
        <w:ind w:left="120" w:right="120"/>
        <w:jc w:val="both"/>
        <w:rPr>
          <w:rFonts w:ascii="Arial" w:eastAsia="Times New Roman" w:hAnsi="Arial" w:cs="Arial"/>
          <w:sz w:val="24"/>
          <w:szCs w:val="24"/>
          <w:lang w:eastAsia="pt-BR"/>
        </w:rPr>
      </w:pPr>
      <w:r w:rsidRPr="00485F95">
        <w:rPr>
          <w:rFonts w:ascii="Arial" w:eastAsia="Times New Roman" w:hAnsi="Arial" w:cs="Arial"/>
          <w:sz w:val="24"/>
          <w:szCs w:val="24"/>
          <w:lang w:eastAsia="pt-BR"/>
        </w:rPr>
        <w:lastRenderedPageBreak/>
        <w:t>Assim, por estarem justas e acertadas, firmam as partes o presente Instrumento em meio eletrônico, constante no Processo Administrativo em epígrafe, através do Sistema Eletrônico de Informações da CONTRATANTE.</w:t>
      </w:r>
    </w:p>
    <w:sectPr w:rsidR="00404C95" w:rsidRPr="00485F9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38D"/>
    <w:rsid w:val="000D4721"/>
    <w:rsid w:val="001877C8"/>
    <w:rsid w:val="001B338D"/>
    <w:rsid w:val="00281598"/>
    <w:rsid w:val="00404C95"/>
    <w:rsid w:val="00410026"/>
    <w:rsid w:val="00460845"/>
    <w:rsid w:val="00485F95"/>
    <w:rsid w:val="004B7497"/>
    <w:rsid w:val="005B5F7F"/>
    <w:rsid w:val="005B7DB4"/>
    <w:rsid w:val="006902BE"/>
    <w:rsid w:val="007358C9"/>
    <w:rsid w:val="0077470A"/>
    <w:rsid w:val="007C5860"/>
    <w:rsid w:val="008F380D"/>
    <w:rsid w:val="00960DCB"/>
    <w:rsid w:val="00990032"/>
    <w:rsid w:val="009C592E"/>
    <w:rsid w:val="00A81D23"/>
    <w:rsid w:val="00BC069E"/>
    <w:rsid w:val="00C34CE6"/>
    <w:rsid w:val="00CC5892"/>
    <w:rsid w:val="00D72F3D"/>
    <w:rsid w:val="00D91D0F"/>
    <w:rsid w:val="00EA1A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F86CD"/>
  <w15:chartTrackingRefBased/>
  <w15:docId w15:val="{36C71086-0F94-41D8-AD1E-266BBE10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B33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B338D"/>
    <w:rPr>
      <w:b/>
      <w:bCs/>
    </w:rPr>
  </w:style>
  <w:style w:type="character" w:styleId="Hyperlink">
    <w:name w:val="Hyperlink"/>
    <w:basedOn w:val="Fontepargpadro"/>
    <w:uiPriority w:val="99"/>
    <w:semiHidden/>
    <w:unhideWhenUsed/>
    <w:rsid w:val="001B338D"/>
    <w:rPr>
      <w:color w:val="0000FF"/>
      <w:u w:val="single"/>
    </w:rPr>
  </w:style>
  <w:style w:type="paragraph" w:customStyle="1" w:styleId="textojustificado">
    <w:name w:val="texto_justificado"/>
    <w:basedOn w:val="Normal"/>
    <w:rsid w:val="001B338D"/>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99226">
      <w:bodyDiv w:val="1"/>
      <w:marLeft w:val="0"/>
      <w:marRight w:val="0"/>
      <w:marTop w:val="0"/>
      <w:marBottom w:val="0"/>
      <w:divBdr>
        <w:top w:val="none" w:sz="0" w:space="0" w:color="auto"/>
        <w:left w:val="none" w:sz="0" w:space="0" w:color="auto"/>
        <w:bottom w:val="none" w:sz="0" w:space="0" w:color="auto"/>
        <w:right w:val="none" w:sz="0" w:space="0" w:color="auto"/>
      </w:divBdr>
    </w:div>
    <w:div w:id="1274051584">
      <w:bodyDiv w:val="1"/>
      <w:marLeft w:val="0"/>
      <w:marRight w:val="0"/>
      <w:marTop w:val="0"/>
      <w:marBottom w:val="0"/>
      <w:divBdr>
        <w:top w:val="none" w:sz="0" w:space="0" w:color="auto"/>
        <w:left w:val="none" w:sz="0" w:space="0" w:color="auto"/>
        <w:bottom w:val="none" w:sz="0" w:space="0" w:color="auto"/>
        <w:right w:val="none" w:sz="0" w:space="0" w:color="auto"/>
      </w:divBdr>
    </w:div>
    <w:div w:id="1974477268">
      <w:bodyDiv w:val="1"/>
      <w:marLeft w:val="0"/>
      <w:marRight w:val="0"/>
      <w:marTop w:val="0"/>
      <w:marBottom w:val="0"/>
      <w:divBdr>
        <w:top w:val="none" w:sz="0" w:space="0" w:color="auto"/>
        <w:left w:val="none" w:sz="0" w:space="0" w:color="auto"/>
        <w:bottom w:val="none" w:sz="0" w:space="0" w:color="auto"/>
        <w:right w:val="none" w:sz="0" w:space="0" w:color="auto"/>
      </w:divBdr>
    </w:div>
    <w:div w:id="21290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19</Pages>
  <Words>6399</Words>
  <Characters>34559</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40877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dcterms:created xsi:type="dcterms:W3CDTF">2025-05-23T18:10:00Z</dcterms:created>
  <dcterms:modified xsi:type="dcterms:W3CDTF">2025-05-23T18:10:00Z</dcterms:modified>
</cp:coreProperties>
</file>