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6C724" w14:textId="3C376410" w:rsidR="008F27A2" w:rsidRPr="00591873" w:rsidRDefault="00D733DB" w:rsidP="008F27A2">
      <w:pPr>
        <w:pStyle w:val="NormalWeb"/>
        <w:pBdr>
          <w:top w:val="double" w:sz="4" w:space="1" w:color="auto"/>
          <w:bottom w:val="double" w:sz="4" w:space="1" w:color="auto"/>
        </w:pBdr>
        <w:ind w:left="142" w:right="140"/>
        <w:jc w:val="center"/>
        <w:rPr>
          <w:rFonts w:ascii="Arial" w:hAnsi="Arial" w:cs="Arial"/>
          <w:b/>
          <w:bCs/>
        </w:rPr>
      </w:pPr>
      <w:r w:rsidRPr="00D733DB">
        <w:rPr>
          <w:rFonts w:ascii="Arial" w:hAnsi="Arial" w:cs="Arial"/>
          <w:color w:val="000000"/>
        </w:rPr>
        <w:t> </w:t>
      </w:r>
      <w:r w:rsidR="008F27A2" w:rsidRPr="00591873">
        <w:rPr>
          <w:rFonts w:ascii="Arial" w:hAnsi="Arial" w:cs="Arial"/>
          <w:b/>
          <w:bCs/>
        </w:rPr>
        <w:t xml:space="preserve">PREGÃO ELETRÔNICO Nº </w:t>
      </w:r>
      <w:bookmarkStart w:id="0" w:name="_Hlk190857142"/>
      <w:r w:rsidR="008F27A2" w:rsidRPr="00591873">
        <w:rPr>
          <w:rFonts w:ascii="Arial" w:hAnsi="Arial" w:cs="Arial"/>
          <w:b/>
          <w:bCs/>
        </w:rPr>
        <w:t>900</w:t>
      </w:r>
      <w:r w:rsidR="00262179">
        <w:rPr>
          <w:rFonts w:ascii="Arial" w:hAnsi="Arial" w:cs="Arial"/>
          <w:b/>
          <w:bCs/>
        </w:rPr>
        <w:t>30</w:t>
      </w:r>
      <w:r w:rsidR="008F27A2" w:rsidRPr="00591873">
        <w:rPr>
          <w:rFonts w:ascii="Arial" w:hAnsi="Arial" w:cs="Arial"/>
          <w:b/>
          <w:bCs/>
        </w:rPr>
        <w:t>/202</w:t>
      </w:r>
      <w:r w:rsidR="00262179">
        <w:rPr>
          <w:rFonts w:ascii="Arial" w:hAnsi="Arial" w:cs="Arial"/>
          <w:b/>
          <w:bCs/>
        </w:rPr>
        <w:t>6</w:t>
      </w:r>
      <w:r w:rsidR="008F27A2" w:rsidRPr="00591873">
        <w:rPr>
          <w:rFonts w:ascii="Arial" w:hAnsi="Arial" w:cs="Arial"/>
          <w:b/>
          <w:bCs/>
        </w:rPr>
        <w:t>-RP</w:t>
      </w:r>
      <w:bookmarkEnd w:id="0"/>
    </w:p>
    <w:p w14:paraId="0ED28F9D" w14:textId="77777777" w:rsidR="008F27A2" w:rsidRPr="00591873" w:rsidRDefault="008F27A2" w:rsidP="008F27A2">
      <w:pPr>
        <w:pStyle w:val="NormalWeb"/>
        <w:pBdr>
          <w:top w:val="double" w:sz="4" w:space="1" w:color="auto"/>
          <w:bottom w:val="double" w:sz="4" w:space="1" w:color="auto"/>
        </w:pBdr>
        <w:ind w:left="142" w:right="140"/>
        <w:jc w:val="center"/>
        <w:rPr>
          <w:rFonts w:ascii="Arial" w:hAnsi="Arial" w:cs="Arial"/>
          <w:b/>
          <w:bCs/>
        </w:rPr>
      </w:pPr>
      <w:r w:rsidRPr="00591873">
        <w:rPr>
          <w:rFonts w:ascii="Arial" w:hAnsi="Arial" w:cs="Arial"/>
          <w:b/>
          <w:bCs/>
        </w:rPr>
        <w:t>ANEXO V - MINUTA DE CONTRATO</w:t>
      </w:r>
    </w:p>
    <w:p w14:paraId="0B8B4032" w14:textId="3EDC4437" w:rsidR="00D733DB" w:rsidRP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3493CAAA" w14:textId="77777777" w:rsidR="008F27A2" w:rsidRPr="0013331D" w:rsidRDefault="008F27A2" w:rsidP="008F27A2">
      <w:pPr>
        <w:spacing w:before="100" w:beforeAutospacing="1" w:after="100" w:afterAutospacing="1" w:line="240" w:lineRule="auto"/>
        <w:jc w:val="both"/>
        <w:rPr>
          <w:rFonts w:ascii="Arial" w:eastAsia="Times New Roman" w:hAnsi="Arial" w:cs="Arial"/>
          <w:color w:val="000000"/>
          <w:sz w:val="24"/>
          <w:szCs w:val="24"/>
          <w:lang w:eastAsia="pt-BR"/>
        </w:rPr>
      </w:pPr>
      <w:r w:rsidRPr="008F27A2">
        <w:rPr>
          <w:rFonts w:ascii="Arial" w:eastAsia="Times New Roman" w:hAnsi="Arial" w:cs="Arial"/>
          <w:b/>
          <w:bCs/>
          <w:color w:val="000000"/>
          <w:sz w:val="24"/>
          <w:szCs w:val="24"/>
          <w:lang w:eastAsia="pt-BR"/>
        </w:rPr>
        <w:t xml:space="preserve">CONTRATO ADMINISTRATIVO Nº ......../...., QUE FAZEM ENTRE SI A UNIÃO, </w:t>
      </w:r>
      <w:r w:rsidRPr="0013331D">
        <w:rPr>
          <w:rFonts w:ascii="Arial" w:eastAsia="Times New Roman" w:hAnsi="Arial" w:cs="Arial"/>
          <w:b/>
          <w:bCs/>
          <w:color w:val="000000"/>
          <w:sz w:val="24"/>
          <w:szCs w:val="24"/>
          <w:lang w:eastAsia="pt-BR"/>
        </w:rPr>
        <w:t>POR INTERMÉDIO DA JUSTIÇA FEDERAL DE PRIMEIRO GRAU EM SÃO PAULO E A EMPRESA .............................................................</w:t>
      </w:r>
    </w:p>
    <w:p w14:paraId="7E4B8773" w14:textId="3198572B" w:rsidR="00D733DB" w:rsidRPr="0013331D" w:rsidRDefault="008F27A2" w:rsidP="00D733DB">
      <w:pPr>
        <w:spacing w:before="100" w:beforeAutospacing="1" w:after="100" w:afterAutospacing="1" w:line="240" w:lineRule="auto"/>
        <w:jc w:val="both"/>
        <w:rPr>
          <w:rFonts w:ascii="Arial" w:eastAsia="Times New Roman" w:hAnsi="Arial" w:cs="Arial"/>
          <w:color w:val="000000"/>
          <w:sz w:val="24"/>
          <w:szCs w:val="24"/>
          <w:lang w:eastAsia="pt-BR"/>
        </w:rPr>
      </w:pPr>
      <w:r w:rsidRPr="0013331D">
        <w:rPr>
          <w:rFonts w:ascii="Arial" w:eastAsia="Times New Roman" w:hAnsi="Arial" w:cs="Arial"/>
          <w:color w:val="000000"/>
          <w:sz w:val="24"/>
          <w:szCs w:val="24"/>
          <w:lang w:eastAsia="pt-BR"/>
        </w:rPr>
        <w:t>A</w:t>
      </w:r>
      <w:r w:rsidRPr="0013331D">
        <w:rPr>
          <w:rFonts w:ascii="Arial" w:eastAsia="Times New Roman" w:hAnsi="Arial" w:cs="Arial"/>
          <w:b/>
          <w:bCs/>
          <w:color w:val="000000"/>
          <w:sz w:val="24"/>
          <w:szCs w:val="24"/>
          <w:lang w:eastAsia="pt-BR"/>
        </w:rPr>
        <w:t xml:space="preserve"> UNIÃO</w:t>
      </w:r>
      <w:r w:rsidRPr="0013331D">
        <w:rPr>
          <w:rFonts w:ascii="Arial" w:eastAsia="Times New Roman" w:hAnsi="Arial" w:cs="Arial"/>
          <w:color w:val="000000"/>
          <w:sz w:val="24"/>
          <w:szCs w:val="24"/>
          <w:lang w:eastAsia="pt-BR"/>
        </w:rPr>
        <w:t xml:space="preserve">, por intermédio da </w:t>
      </w:r>
      <w:r w:rsidRPr="0013331D">
        <w:rPr>
          <w:rFonts w:ascii="Arial" w:eastAsia="Times New Roman" w:hAnsi="Arial" w:cs="Arial"/>
          <w:b/>
          <w:bCs/>
          <w:color w:val="000000"/>
          <w:sz w:val="24"/>
          <w:szCs w:val="24"/>
          <w:lang w:eastAsia="pt-BR"/>
        </w:rPr>
        <w:t>JUSTIÇA FEDERAL DE PRIMEIRO GRAU EM SÃO PAULO</w:t>
      </w:r>
      <w:r w:rsidRPr="0013331D">
        <w:rPr>
          <w:rFonts w:ascii="Arial" w:eastAsia="Times New Roman" w:hAnsi="Arial" w:cs="Arial"/>
          <w:color w:val="000000"/>
          <w:sz w:val="24"/>
          <w:szCs w:val="24"/>
          <w:lang w:eastAsia="pt-BR"/>
        </w:rPr>
        <w:t xml:space="preserve">,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doravante denominada </w:t>
      </w:r>
      <w:r w:rsidRPr="0013331D">
        <w:rPr>
          <w:rFonts w:ascii="Arial" w:eastAsia="Times New Roman" w:hAnsi="Arial" w:cs="Arial"/>
          <w:b/>
          <w:bCs/>
          <w:color w:val="000000"/>
          <w:sz w:val="24"/>
          <w:szCs w:val="24"/>
          <w:lang w:eastAsia="pt-BR"/>
        </w:rPr>
        <w:t>CONTRATANTE</w:t>
      </w:r>
      <w:r w:rsidRPr="0013331D">
        <w:rPr>
          <w:rFonts w:ascii="Arial" w:eastAsia="Times New Roman" w:hAnsi="Arial" w:cs="Arial"/>
          <w:color w:val="000000"/>
          <w:sz w:val="24"/>
          <w:szCs w:val="24"/>
          <w:lang w:eastAsia="pt-BR"/>
        </w:rPr>
        <w:t xml:space="preserve">, e o(a) .............................. inscrito(a) no CNPJ/MF sob o nº ............................, sediado(a) na ..................................., em ............................. doravante designado CONTRATADO, neste ato representada por .................................. (nome e função no contratado), conforme atos constitutivos da empresa OU procuração apresentada nos autos, tendo em vista o que consta no Processo nº </w:t>
      </w:r>
      <w:r w:rsidR="00E82DFF" w:rsidRPr="0013331D">
        <w:rPr>
          <w:rFonts w:ascii="Arial" w:eastAsia="Times New Roman" w:hAnsi="Arial" w:cs="Arial"/>
          <w:color w:val="000000"/>
          <w:sz w:val="24"/>
          <w:szCs w:val="24"/>
          <w:lang w:eastAsia="pt-BR"/>
        </w:rPr>
        <w:t xml:space="preserve">0003774-61.2026.4.03.8001 </w:t>
      </w:r>
      <w:r w:rsidRPr="0013331D">
        <w:rPr>
          <w:rFonts w:ascii="Arial" w:eastAsia="Times New Roman" w:hAnsi="Arial" w:cs="Arial"/>
          <w:color w:val="000000"/>
          <w:sz w:val="24"/>
          <w:szCs w:val="24"/>
          <w:lang w:eastAsia="pt-BR"/>
        </w:rPr>
        <w:t>e em observância às disposições da Lei nº 14.133, de 1º de abril de 2021, e demais normas aplicáveis, resolvem celebrar o presente Termo de Contrato, decorrente do Pregão Eletrônico n º 900</w:t>
      </w:r>
      <w:r w:rsidR="00F60567" w:rsidRPr="0013331D">
        <w:rPr>
          <w:rFonts w:ascii="Arial" w:eastAsia="Times New Roman" w:hAnsi="Arial" w:cs="Arial"/>
          <w:color w:val="000000"/>
          <w:sz w:val="24"/>
          <w:szCs w:val="24"/>
          <w:lang w:eastAsia="pt-BR"/>
        </w:rPr>
        <w:t>30</w:t>
      </w:r>
      <w:r w:rsidRPr="0013331D">
        <w:rPr>
          <w:rFonts w:ascii="Arial" w:eastAsia="Times New Roman" w:hAnsi="Arial" w:cs="Arial"/>
          <w:color w:val="000000"/>
          <w:sz w:val="24"/>
          <w:szCs w:val="24"/>
          <w:lang w:eastAsia="pt-BR"/>
        </w:rPr>
        <w:t>/2026</w:t>
      </w:r>
      <w:r w:rsidR="00A177B9" w:rsidRPr="0013331D">
        <w:rPr>
          <w:rFonts w:ascii="Arial" w:eastAsia="Times New Roman" w:hAnsi="Arial" w:cs="Arial"/>
          <w:color w:val="000000"/>
          <w:sz w:val="24"/>
          <w:szCs w:val="24"/>
          <w:lang w:eastAsia="pt-BR"/>
        </w:rPr>
        <w:t>-RP</w:t>
      </w:r>
      <w:r w:rsidRPr="0013331D">
        <w:rPr>
          <w:rFonts w:ascii="Arial" w:eastAsia="Times New Roman" w:hAnsi="Arial" w:cs="Arial"/>
          <w:color w:val="000000"/>
          <w:sz w:val="24"/>
          <w:szCs w:val="24"/>
          <w:lang w:eastAsia="pt-BR"/>
        </w:rPr>
        <w:t>, mediante as cláusulas e condições a seguir:</w:t>
      </w:r>
      <w:r w:rsidR="00D733DB" w:rsidRPr="0013331D">
        <w:rPr>
          <w:rFonts w:ascii="Arial" w:eastAsia="Times New Roman" w:hAnsi="Arial" w:cs="Arial"/>
          <w:color w:val="000000"/>
          <w:sz w:val="24"/>
          <w:szCs w:val="24"/>
          <w:lang w:eastAsia="pt-BR"/>
        </w:rPr>
        <w:t> </w:t>
      </w:r>
    </w:p>
    <w:p w14:paraId="329843D5"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 CLÁUSULA PRIMEIRA – OBJETO</w:t>
      </w:r>
    </w:p>
    <w:p w14:paraId="166F225D" w14:textId="0ABCFBCE" w:rsidR="00D733DB" w:rsidRP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xml:space="preserve">1.1. O objeto do presente instrumento é a </w:t>
      </w:r>
      <w:r w:rsidR="00A74FC0" w:rsidRPr="0013331D">
        <w:rPr>
          <w:rFonts w:ascii="Arial" w:eastAsia="Times New Roman" w:hAnsi="Arial" w:cs="Arial"/>
          <w:color w:val="000000"/>
          <w:sz w:val="24"/>
          <w:szCs w:val="24"/>
          <w:lang w:eastAsia="pt-BR"/>
        </w:rPr>
        <w:t>contratação de serviços de instalação</w:t>
      </w:r>
      <w:r w:rsidR="00A74FC0" w:rsidRPr="00A74FC0">
        <w:rPr>
          <w:rFonts w:ascii="Arial" w:eastAsia="Times New Roman" w:hAnsi="Arial" w:cs="Arial"/>
          <w:color w:val="000000"/>
          <w:sz w:val="24"/>
          <w:szCs w:val="24"/>
          <w:lang w:eastAsia="pt-BR"/>
        </w:rPr>
        <w:t xml:space="preserve"> de divisórias, portas e acessórios, com fornecimento de material, para atender às necessidades dos prédios ocupados ou que vierem a ser ocupados pela Justiça Federal no Estado de São Paulo</w:t>
      </w:r>
      <w:r w:rsidRPr="00D733DB">
        <w:rPr>
          <w:rFonts w:ascii="Arial" w:eastAsia="Times New Roman" w:hAnsi="Arial" w:cs="Arial"/>
          <w:color w:val="000000"/>
          <w:sz w:val="24"/>
          <w:szCs w:val="24"/>
          <w:lang w:eastAsia="pt-BR"/>
        </w:rPr>
        <w:t>, nas condições estabelecidas no Termo de Referência.</w:t>
      </w:r>
    </w:p>
    <w:p w14:paraId="40861769" w14:textId="77777777" w:rsidR="00D733DB" w:rsidRDefault="00D733DB" w:rsidP="00D733DB">
      <w:pPr>
        <w:spacing w:before="100" w:beforeAutospacing="1" w:after="100" w:afterAutospacing="1" w:line="240" w:lineRule="auto"/>
        <w:jc w:val="both"/>
        <w:rPr>
          <w:rFonts w:ascii="Arial" w:eastAsia="Times New Roman" w:hAnsi="Arial" w:cs="Arial"/>
          <w:color w:val="000000"/>
          <w:sz w:val="24"/>
          <w:szCs w:val="24"/>
          <w:lang w:eastAsia="pt-BR"/>
        </w:rPr>
      </w:pPr>
      <w:r w:rsidRPr="00D733DB">
        <w:rPr>
          <w:rFonts w:ascii="Arial" w:eastAsia="Times New Roman" w:hAnsi="Arial" w:cs="Arial"/>
          <w:color w:val="000000"/>
          <w:sz w:val="24"/>
          <w:szCs w:val="24"/>
          <w:lang w:eastAsia="pt-BR"/>
        </w:rPr>
        <w:t>1.2. Objeto da contratação:</w:t>
      </w:r>
    </w:p>
    <w:tbl>
      <w:tblPr>
        <w:tblW w:w="81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99"/>
        <w:gridCol w:w="1937"/>
        <w:gridCol w:w="1056"/>
        <w:gridCol w:w="756"/>
        <w:gridCol w:w="1276"/>
        <w:gridCol w:w="1179"/>
        <w:gridCol w:w="1412"/>
      </w:tblGrid>
      <w:tr w:rsidR="0069413D" w:rsidRPr="001859D5" w14:paraId="40C4CE34" w14:textId="77777777" w:rsidTr="00E33436">
        <w:trPr>
          <w:trHeight w:val="975"/>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5300A38" w14:textId="77777777" w:rsidR="0069413D" w:rsidRPr="001859D5" w:rsidRDefault="0069413D" w:rsidP="002B2EAA">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Item</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F04F6CF" w14:textId="77777777" w:rsidR="0069413D" w:rsidRPr="001859D5" w:rsidRDefault="0069413D" w:rsidP="002B2EAA">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Serviços de instalação com fornecimento de materiais</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C7D55C5" w14:textId="77777777" w:rsidR="0069413D" w:rsidRPr="001859D5" w:rsidRDefault="0069413D" w:rsidP="002B2EAA">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CATSER</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F500FA1" w14:textId="77777777" w:rsidR="0069413D" w:rsidRPr="001859D5" w:rsidRDefault="0069413D" w:rsidP="002B2EAA">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D745BA4" w14:textId="77777777" w:rsidR="0069413D" w:rsidRPr="001859D5" w:rsidRDefault="0069413D" w:rsidP="002B2EAA">
            <w:pPr>
              <w:spacing w:before="216" w:after="216" w:line="240" w:lineRule="auto"/>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Quantidade</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3EC9FB5" w14:textId="77777777" w:rsidR="0069413D" w:rsidRPr="001859D5" w:rsidRDefault="0069413D" w:rsidP="002B2EAA">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Valor Unitário</w:t>
            </w: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7B7C9C7" w14:textId="77777777" w:rsidR="0069413D" w:rsidRPr="001859D5" w:rsidRDefault="0069413D" w:rsidP="002B2EAA">
            <w:pPr>
              <w:spacing w:before="216" w:after="216" w:line="240" w:lineRule="auto"/>
              <w:jc w:val="center"/>
              <w:rPr>
                <w:rFonts w:ascii="Arial" w:eastAsia="Times New Roman" w:hAnsi="Arial" w:cs="Arial"/>
                <w:b/>
                <w:bCs/>
                <w:sz w:val="16"/>
                <w:szCs w:val="16"/>
                <w:lang w:eastAsia="pt-BR"/>
              </w:rPr>
            </w:pPr>
            <w:r w:rsidRPr="001859D5">
              <w:rPr>
                <w:rFonts w:ascii="Arial" w:eastAsia="Times New Roman" w:hAnsi="Arial" w:cs="Arial"/>
                <w:b/>
                <w:bCs/>
                <w:sz w:val="16"/>
                <w:szCs w:val="16"/>
                <w:lang w:eastAsia="pt-BR"/>
              </w:rPr>
              <w:t>Valor Total</w:t>
            </w:r>
          </w:p>
        </w:tc>
      </w:tr>
      <w:tr w:rsidR="0069413D" w:rsidRPr="00790FD9" w14:paraId="3ED1245D"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92784D8"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C203825"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com miolo celular, (tipo colmeia) 35mm, contra placadas em eucaplac ou similar. Tipo colmeia 35 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B16CFF0"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53404A1"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7A2512F"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2250</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911307E"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37E495C"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5B6033FB"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86CEABC"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5761E2B"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e septos com 35 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F701271"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980431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89A41CA"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900</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0DAAEF6"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076DF4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4D5C0F21"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4B6FCD4"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3</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B0DFFEC"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(tipo colmeia) 35mm piso teto cega com bandeira de vidros (5mm)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31FCF5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661DE7A"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3A0A5B2"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5015A0F"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FE8B45C"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6311F5B3"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FBD396E"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4</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95125FF"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cega, com bandeira de vidro duplo (4mm)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92B9D33"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93A8737"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5623314"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34E67E6"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1F4B008"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76E95F6B"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30BC937"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5</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633201E"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com painel inferior cego e parte superior com vidro duplo (4mm) e micropersianas (16mm) e bandeira de vidro duplo</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263F04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F056AF2"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DE4A49F"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600</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78C5861"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E275B60"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6B4F3C3F"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1FE7B49"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6</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ACCA39E"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acústicas 48mm piso teto com painel inferior cego e parte superior com vidro duplo (4mm)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7ADC73B"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0C0EC50"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43696A7"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750</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D3E3320"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63C1DC8"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5F5C416C"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9C73EBC"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7</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BBEAA42"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Divisórias (tipo colmeia) 35 mm piso teto com painel inferior cego e parte superior com vidro comum (5 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C96786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395B366"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11041E0"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335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7BBDE7A"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D52DFB0"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2A02705B"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146A7F2"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EA5D557"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0,82m com bandeira de divisória tipo colmeia</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AF65021"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66D06E9"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FAEFB7A"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6F24133"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6BC1F1C"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7AAF7157"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A9D1E36"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9</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89CDE93"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0,92m com bandeira de divisória tipo colmeia</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51388E3"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977645B"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4519C26"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9E03447"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9422C6E"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61DE4D2B"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79C20B3"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10</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B9F43DF"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0,82m com bandeira de divisória acústica</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7FBC1D7"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0482A74"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B915358"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1374172"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FD6789E"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7E319C26"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843498F"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869ABBF"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0,92m com bandeira de divisória acústica</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8EE8C16"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2810FB2"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C43E221"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346C3E3"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CD5B947"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5BA5E123"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0406952"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12</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2155105"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com 0,82 m com bandeira de vidro comum (5 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6D20BAE"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316C40B"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B6B8574"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6EB9A78"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791B3A6"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36B197BD"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5BAE2E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13</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D9F233C"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0,82 m, com bandeira de vidro duplo (4mm)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D17AFE8"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0C41B8A"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E61692E"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A0CE0B4"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B152ECF"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1D07204F"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616EDA6"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14</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8A7D7CA"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acústicas com 0,92 m com bandeira de vidro duplo (4 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A0E3C18"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F244B2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E63AFE4"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15FBBC9"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0B3CE88"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43426B84"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56F4107"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81E8A94"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completas (tipo colmeia) com 0,92 m, com bandeira de vidro comum (5mm)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6B70BDC"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74EC454"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3CE6FFA"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115</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1AAC321"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1F0CA5D4"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4B0C8094"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62374F4"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16</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94A91D9"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duplas de abrir completas (tipo colmeia) com 02 folhas 0,82 m com visor de vidro laminado (6 mm) em ambas e bandeira de divisória colmeia</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CCA3089"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3B4D79B"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BC01500"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52F2639C"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7E443DF"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352EDA10"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9AD7AF1"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17</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F524CD6"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Portas duplas de abrir completas acústicas com 02 folhas 0,82 m com visor de vidro laminado (6 mm) em ambas e bandeira de vidro laminado (6 mm)</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35A8D0E"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3E2075C"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14133E1"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D70284F"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02C75C5C"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090C0087"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1706AD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18</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0BF681D"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Guichê em vidro temperado de 6 mm (incluindo todos os perfis e elementos que compõem a sua estrutura) com visor de 100 mm ou 150 mm</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A09E83E"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91F65D8"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492E8B6"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25</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2F64E69"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E2ABFC7"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21404DA0"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C7CED3F"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19</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FA65830"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Placa de vidro laminado de 6 mm (incluindo todos os perfis e elementos que compõem a sua estrutura) para módulos de divisória ou bandeiras de portas</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B91FC29"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A8378C0"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0BC3F02"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8</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60CA00B9"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08AA09C"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8639F2" w14:paraId="1A02D396"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AEEBB82" w14:textId="77777777" w:rsidR="0069413D" w:rsidRPr="008639F2" w:rsidRDefault="0069413D" w:rsidP="002B2EAA">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Item</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39C2F88" w14:textId="77777777" w:rsidR="0069413D" w:rsidRPr="008639F2" w:rsidRDefault="0069413D" w:rsidP="002B2EAA">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Outros Serviços</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9D87548" w14:textId="70E0C9F4" w:rsidR="0069413D" w:rsidRPr="008639F2" w:rsidRDefault="0069413D" w:rsidP="002B2EAA">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CATSER</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018352F" w14:textId="77777777" w:rsidR="0069413D" w:rsidRPr="008639F2" w:rsidRDefault="0069413D" w:rsidP="002B2EAA">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Unidade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BBD0061" w14:textId="77777777" w:rsidR="0069413D" w:rsidRPr="008639F2" w:rsidRDefault="0069413D" w:rsidP="002B2EAA">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Quantidade</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CC43478" w14:textId="77777777" w:rsidR="0069413D" w:rsidRPr="008639F2" w:rsidRDefault="0069413D" w:rsidP="002B2EAA">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Valor Unitário</w:t>
            </w: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E1DD861" w14:textId="7AB09BAF" w:rsidR="0069413D" w:rsidRPr="008639F2" w:rsidRDefault="0069413D" w:rsidP="002B2EAA">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Valor Total</w:t>
            </w:r>
          </w:p>
        </w:tc>
      </w:tr>
      <w:tr w:rsidR="0069413D" w:rsidRPr="00790FD9" w14:paraId="0CBFEB21"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797BECDE"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20</w:t>
            </w:r>
          </w:p>
        </w:tc>
        <w:tc>
          <w:tcPr>
            <w:tcW w:w="1937"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23AF683"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Desinstalação de divisórias, incluindo porta(s) completa(s) existente(s).</w:t>
            </w:r>
          </w:p>
        </w:tc>
        <w:tc>
          <w:tcPr>
            <w:tcW w:w="10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4B0FCECA"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87CF4FF"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m²</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2CCFBDC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2250</w:t>
            </w:r>
          </w:p>
        </w:tc>
        <w:tc>
          <w:tcPr>
            <w:tcW w:w="1179"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38AFEDF5"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FFFFFF"/>
            <w:tcMar>
              <w:top w:w="48" w:type="dxa"/>
              <w:left w:w="48" w:type="dxa"/>
              <w:bottom w:w="48" w:type="dxa"/>
              <w:right w:w="48" w:type="dxa"/>
            </w:tcMar>
            <w:vAlign w:val="center"/>
            <w:hideMark/>
          </w:tcPr>
          <w:p w14:paraId="50489D1B"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7CC3BA52" w14:textId="77777777" w:rsidTr="00E33436">
        <w:trPr>
          <w:trHeight w:val="900"/>
        </w:trPr>
        <w:tc>
          <w:tcPr>
            <w:tcW w:w="49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39AC0E0E"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lastRenderedPageBreak/>
              <w:t>21</w:t>
            </w:r>
          </w:p>
        </w:tc>
        <w:tc>
          <w:tcPr>
            <w:tcW w:w="1937"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18A40A5A" w14:textId="77777777" w:rsidR="0069413D" w:rsidRPr="00790FD9" w:rsidRDefault="0069413D" w:rsidP="00E33436">
            <w:pPr>
              <w:spacing w:before="216" w:after="216" w:line="240" w:lineRule="auto"/>
              <w:jc w:val="both"/>
              <w:rPr>
                <w:rFonts w:ascii="Arial" w:eastAsia="Times New Roman" w:hAnsi="Arial" w:cs="Arial"/>
                <w:sz w:val="16"/>
                <w:szCs w:val="16"/>
                <w:lang w:eastAsia="pt-BR"/>
              </w:rPr>
            </w:pPr>
            <w:r w:rsidRPr="00790FD9">
              <w:rPr>
                <w:rFonts w:ascii="Arial" w:eastAsia="Times New Roman" w:hAnsi="Arial" w:cs="Arial"/>
                <w:sz w:val="16"/>
                <w:szCs w:val="16"/>
                <w:lang w:eastAsia="pt-BR"/>
              </w:rPr>
              <w:t>Taxa de deslocamento para fornecimento e prestação de serviços de instalação e desinstalação para distâncias superiores a 100 km de São Paulo - Capital</w:t>
            </w:r>
          </w:p>
        </w:tc>
        <w:tc>
          <w:tcPr>
            <w:tcW w:w="10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682DDB4F"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15814</w:t>
            </w:r>
          </w:p>
        </w:tc>
        <w:tc>
          <w:tcPr>
            <w:tcW w:w="75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24363E1"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km</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2E5B8415"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3750</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07E6EF33" w14:textId="77777777" w:rsidR="0069413D" w:rsidRPr="00790FD9" w:rsidRDefault="0069413D" w:rsidP="00E33436">
            <w:pPr>
              <w:spacing w:before="216" w:after="216" w:line="240" w:lineRule="auto"/>
              <w:rPr>
                <w:rFonts w:ascii="Arial" w:eastAsia="Times New Roman" w:hAnsi="Arial" w:cs="Arial"/>
                <w:sz w:val="16"/>
                <w:szCs w:val="16"/>
                <w:lang w:eastAsia="pt-BR"/>
              </w:rPr>
            </w:pP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1733BA3"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r w:rsidR="0069413D" w:rsidRPr="00790FD9" w14:paraId="3A67F815" w14:textId="77777777" w:rsidTr="002B2EAA">
        <w:trPr>
          <w:trHeight w:val="900"/>
        </w:trPr>
        <w:tc>
          <w:tcPr>
            <w:tcW w:w="499"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7BCFE162"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937"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710667B5" w14:textId="77777777" w:rsidR="0069413D" w:rsidRPr="00790FD9" w:rsidRDefault="0069413D" w:rsidP="00E33436">
            <w:pPr>
              <w:spacing w:before="216" w:after="216" w:line="240" w:lineRule="auto"/>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056"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1DC57561" w14:textId="77777777" w:rsidR="0069413D" w:rsidRPr="00790FD9" w:rsidRDefault="0069413D" w:rsidP="00E33436">
            <w:pPr>
              <w:spacing w:before="216" w:after="216" w:line="240" w:lineRule="auto"/>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756"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3B34CFFF"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276" w:type="dxa"/>
            <w:tcBorders>
              <w:top w:val="single" w:sz="4" w:space="0" w:color="auto"/>
              <w:left w:val="single" w:sz="4" w:space="0" w:color="auto"/>
              <w:bottom w:val="single" w:sz="4" w:space="0" w:color="auto"/>
              <w:right w:val="single" w:sz="4" w:space="0" w:color="auto"/>
            </w:tcBorders>
            <w:tcMar>
              <w:top w:w="48" w:type="dxa"/>
              <w:left w:w="48" w:type="dxa"/>
              <w:bottom w:w="48" w:type="dxa"/>
              <w:right w:w="48" w:type="dxa"/>
            </w:tcMar>
            <w:vAlign w:val="center"/>
            <w:hideMark/>
          </w:tcPr>
          <w:p w14:paraId="741C4798"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r w:rsidRPr="00790FD9">
              <w:rPr>
                <w:rFonts w:ascii="Arial" w:eastAsia="Times New Roman" w:hAnsi="Arial" w:cs="Arial"/>
                <w:sz w:val="16"/>
                <w:szCs w:val="16"/>
                <w:lang w:eastAsia="pt-BR"/>
              </w:rPr>
              <w:t> </w:t>
            </w:r>
          </w:p>
        </w:tc>
        <w:tc>
          <w:tcPr>
            <w:tcW w:w="1179"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7BF389E0" w14:textId="77777777" w:rsidR="0069413D" w:rsidRPr="008639F2" w:rsidRDefault="0069413D" w:rsidP="00E33436">
            <w:pPr>
              <w:spacing w:before="216" w:after="216" w:line="240" w:lineRule="auto"/>
              <w:jc w:val="center"/>
              <w:rPr>
                <w:rFonts w:ascii="Arial" w:eastAsia="Times New Roman" w:hAnsi="Arial" w:cs="Arial"/>
                <w:b/>
                <w:bCs/>
                <w:sz w:val="16"/>
                <w:szCs w:val="16"/>
                <w:lang w:eastAsia="pt-BR"/>
              </w:rPr>
            </w:pPr>
            <w:r w:rsidRPr="008639F2">
              <w:rPr>
                <w:rFonts w:ascii="Arial" w:eastAsia="Times New Roman" w:hAnsi="Arial" w:cs="Arial"/>
                <w:b/>
                <w:bCs/>
                <w:sz w:val="16"/>
                <w:szCs w:val="16"/>
                <w:lang w:eastAsia="pt-BR"/>
              </w:rPr>
              <w:t>TOTAL </w:t>
            </w:r>
          </w:p>
        </w:tc>
        <w:tc>
          <w:tcPr>
            <w:tcW w:w="1412" w:type="dxa"/>
            <w:tcBorders>
              <w:top w:val="single" w:sz="4" w:space="0" w:color="auto"/>
              <w:left w:val="single" w:sz="4" w:space="0" w:color="auto"/>
              <w:bottom w:val="single" w:sz="4" w:space="0" w:color="auto"/>
              <w:right w:val="single" w:sz="4" w:space="0" w:color="auto"/>
            </w:tcBorders>
            <w:shd w:val="clear" w:color="auto" w:fill="E7E6E6" w:themeFill="background2"/>
            <w:tcMar>
              <w:top w:w="48" w:type="dxa"/>
              <w:left w:w="48" w:type="dxa"/>
              <w:bottom w:w="48" w:type="dxa"/>
              <w:right w:w="48" w:type="dxa"/>
            </w:tcMar>
            <w:vAlign w:val="center"/>
            <w:hideMark/>
          </w:tcPr>
          <w:p w14:paraId="48FD59B9" w14:textId="77777777" w:rsidR="0069413D" w:rsidRPr="00790FD9" w:rsidRDefault="0069413D" w:rsidP="00E33436">
            <w:pPr>
              <w:spacing w:before="216" w:after="216" w:line="240" w:lineRule="auto"/>
              <w:jc w:val="center"/>
              <w:rPr>
                <w:rFonts w:ascii="Arial" w:eastAsia="Times New Roman" w:hAnsi="Arial" w:cs="Arial"/>
                <w:sz w:val="16"/>
                <w:szCs w:val="16"/>
                <w:lang w:eastAsia="pt-BR"/>
              </w:rPr>
            </w:pPr>
          </w:p>
        </w:tc>
      </w:tr>
    </w:tbl>
    <w:p w14:paraId="2E1FD473" w14:textId="77777777" w:rsidR="002B2EAA" w:rsidRDefault="002B2EAA" w:rsidP="002B2EAA">
      <w:pPr>
        <w:spacing w:after="0" w:line="240" w:lineRule="auto"/>
        <w:ind w:left="3600" w:right="60"/>
        <w:jc w:val="both"/>
        <w:rPr>
          <w:rFonts w:ascii="Times New Roman" w:eastAsia="Times New Roman" w:hAnsi="Times New Roman" w:cs="Times New Roman"/>
          <w:b/>
          <w:bCs/>
          <w:i/>
          <w:iCs/>
          <w:color w:val="000000"/>
          <w:lang w:eastAsia="pt-BR"/>
        </w:rPr>
      </w:pPr>
    </w:p>
    <w:p w14:paraId="0C772108" w14:textId="20C4849A" w:rsidR="002B2EAA" w:rsidRPr="00A177B9" w:rsidRDefault="002B2EAA" w:rsidP="002B2EAA">
      <w:pPr>
        <w:spacing w:after="0" w:line="240" w:lineRule="auto"/>
        <w:ind w:left="3600" w:right="60"/>
        <w:jc w:val="both"/>
        <w:rPr>
          <w:rFonts w:ascii="Times New Roman" w:eastAsia="Times New Roman" w:hAnsi="Times New Roman" w:cs="Times New Roman"/>
          <w:color w:val="000000"/>
          <w:sz w:val="16"/>
          <w:szCs w:val="16"/>
          <w:lang w:eastAsia="pt-BR"/>
        </w:rPr>
      </w:pPr>
      <w:r w:rsidRPr="00A177B9">
        <w:rPr>
          <w:rFonts w:ascii="Times New Roman" w:eastAsia="Times New Roman" w:hAnsi="Times New Roman" w:cs="Times New Roman"/>
          <w:b/>
          <w:bCs/>
          <w:i/>
          <w:iCs/>
          <w:color w:val="000000"/>
          <w:sz w:val="16"/>
          <w:szCs w:val="16"/>
          <w:lang w:eastAsia="pt-BR"/>
        </w:rPr>
        <w:t>* Em caso de divergência entre a descrição do CATMAT-CATSER e as especificações previstas no Termo de Referência, prevalecem as disposições do Termo de Referência.</w:t>
      </w:r>
    </w:p>
    <w:p w14:paraId="513AE5A2" w14:textId="77777777" w:rsidR="002B2EAA" w:rsidRPr="00A177B9" w:rsidRDefault="002B2EAA" w:rsidP="002B2EAA">
      <w:pPr>
        <w:spacing w:after="0" w:line="240" w:lineRule="auto"/>
        <w:ind w:left="3600" w:right="60"/>
        <w:rPr>
          <w:rFonts w:ascii="Times New Roman" w:eastAsia="Times New Roman" w:hAnsi="Times New Roman" w:cs="Times New Roman"/>
          <w:b/>
          <w:bCs/>
          <w:i/>
          <w:iCs/>
          <w:color w:val="000000"/>
          <w:sz w:val="16"/>
          <w:szCs w:val="16"/>
          <w:lang w:eastAsia="pt-BR"/>
        </w:rPr>
      </w:pPr>
    </w:p>
    <w:p w14:paraId="150305DC" w14:textId="589D6D7A" w:rsidR="0069413D" w:rsidRPr="00A177B9" w:rsidRDefault="002B2EAA" w:rsidP="00A177B9">
      <w:pPr>
        <w:spacing w:after="0" w:line="240" w:lineRule="auto"/>
        <w:ind w:left="3600" w:right="60"/>
        <w:rPr>
          <w:rFonts w:ascii="Times New Roman" w:eastAsia="Times New Roman" w:hAnsi="Times New Roman" w:cs="Times New Roman"/>
          <w:color w:val="000000"/>
          <w:sz w:val="16"/>
          <w:szCs w:val="16"/>
          <w:lang w:eastAsia="pt-BR"/>
        </w:rPr>
      </w:pPr>
      <w:r w:rsidRPr="00A177B9">
        <w:rPr>
          <w:rFonts w:ascii="Times New Roman" w:eastAsia="Times New Roman" w:hAnsi="Times New Roman" w:cs="Times New Roman"/>
          <w:b/>
          <w:bCs/>
          <w:i/>
          <w:iCs/>
          <w:color w:val="000000"/>
          <w:sz w:val="16"/>
          <w:szCs w:val="16"/>
          <w:lang w:eastAsia="pt-BR"/>
        </w:rPr>
        <w:t>** A taxa de deslocamento somente será devida em distâncias superiores a 100 km e para pagamento será verificada a distância entre São Paulo e o local de execução e entre o município onde estiver sediada a contratada e o local de execução, sendo considerada a menor dessas distâncias.</w:t>
      </w:r>
    </w:p>
    <w:p w14:paraId="33A1AFA8" w14:textId="77777777" w:rsidR="00A177B9" w:rsidRDefault="00A177B9" w:rsidP="00D733DB">
      <w:pPr>
        <w:spacing w:before="100" w:beforeAutospacing="1" w:after="100" w:afterAutospacing="1" w:line="240" w:lineRule="auto"/>
        <w:jc w:val="both"/>
        <w:rPr>
          <w:rFonts w:ascii="Arial" w:eastAsia="Times New Roman" w:hAnsi="Arial" w:cs="Arial"/>
          <w:color w:val="000000"/>
          <w:sz w:val="24"/>
          <w:szCs w:val="24"/>
          <w:lang w:eastAsia="pt-BR"/>
        </w:rPr>
      </w:pPr>
    </w:p>
    <w:p w14:paraId="06132648" w14:textId="2A7DB551" w:rsidR="00D733DB" w:rsidRP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D733DB">
        <w:rPr>
          <w:rFonts w:ascii="Arial" w:eastAsia="Times New Roman" w:hAnsi="Arial" w:cs="Arial"/>
          <w:color w:val="000000"/>
          <w:sz w:val="24"/>
          <w:szCs w:val="24"/>
          <w:lang w:eastAsia="pt-BR"/>
        </w:rPr>
        <w:t>1.3. Vinculam esta contratação, independentemente de transcrição:</w:t>
      </w:r>
    </w:p>
    <w:p w14:paraId="27B0585F" w14:textId="77777777" w:rsidR="00D733DB" w:rsidRP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D733DB">
        <w:rPr>
          <w:rFonts w:ascii="Arial" w:eastAsia="Times New Roman" w:hAnsi="Arial" w:cs="Arial"/>
          <w:color w:val="000000"/>
          <w:sz w:val="24"/>
          <w:szCs w:val="24"/>
          <w:lang w:eastAsia="pt-BR"/>
        </w:rPr>
        <w:t>1.3.1. O Termo de Referência;</w:t>
      </w:r>
    </w:p>
    <w:p w14:paraId="333B018A" w14:textId="77777777" w:rsidR="00D733DB" w:rsidRP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D733DB">
        <w:rPr>
          <w:rFonts w:ascii="Arial" w:eastAsia="Times New Roman" w:hAnsi="Arial" w:cs="Arial"/>
          <w:color w:val="000000"/>
          <w:sz w:val="24"/>
          <w:szCs w:val="24"/>
          <w:lang w:eastAsia="pt-BR"/>
        </w:rPr>
        <w:t>1.3.2. O Edital de Licitação;</w:t>
      </w:r>
    </w:p>
    <w:p w14:paraId="79B6DA7B" w14:textId="437764D6" w:rsidR="00D733DB" w:rsidRP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D733DB">
        <w:rPr>
          <w:rFonts w:ascii="Arial" w:eastAsia="Times New Roman" w:hAnsi="Arial" w:cs="Arial"/>
          <w:color w:val="000000"/>
          <w:sz w:val="24"/>
          <w:szCs w:val="24"/>
          <w:lang w:eastAsia="pt-BR"/>
        </w:rPr>
        <w:t>1.3.3. A Proposta do Contratado</w:t>
      </w:r>
      <w:r w:rsidR="00E37578">
        <w:rPr>
          <w:rFonts w:ascii="Arial" w:eastAsia="Times New Roman" w:hAnsi="Arial" w:cs="Arial"/>
          <w:color w:val="000000"/>
          <w:sz w:val="24"/>
          <w:szCs w:val="24"/>
          <w:lang w:eastAsia="pt-BR"/>
        </w:rPr>
        <w:t xml:space="preserve"> (doc. SEI </w:t>
      </w:r>
      <w:r w:rsidR="00A0510A" w:rsidRPr="00A77835">
        <w:rPr>
          <w:rFonts w:ascii="Arial" w:eastAsia="Times New Roman" w:hAnsi="Arial" w:cs="Arial"/>
          <w:color w:val="000000"/>
          <w:sz w:val="24"/>
          <w:szCs w:val="24"/>
          <w:lang w:eastAsia="pt-BR"/>
        </w:rPr>
        <w:t>nº</w:t>
      </w:r>
      <w:r w:rsidR="00E37578">
        <w:rPr>
          <w:rFonts w:ascii="Arial" w:eastAsia="Times New Roman" w:hAnsi="Arial" w:cs="Arial"/>
          <w:color w:val="000000"/>
          <w:sz w:val="24"/>
          <w:szCs w:val="24"/>
          <w:lang w:eastAsia="pt-BR"/>
        </w:rPr>
        <w:t>)</w:t>
      </w:r>
      <w:r w:rsidRPr="00D733DB">
        <w:rPr>
          <w:rFonts w:ascii="Arial" w:eastAsia="Times New Roman" w:hAnsi="Arial" w:cs="Arial"/>
          <w:color w:val="000000"/>
          <w:sz w:val="24"/>
          <w:szCs w:val="24"/>
          <w:lang w:eastAsia="pt-BR"/>
        </w:rPr>
        <w:t>;</w:t>
      </w:r>
    </w:p>
    <w:p w14:paraId="76E8883B" w14:textId="77777777" w:rsidR="00D733DB" w:rsidRP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D733DB">
        <w:rPr>
          <w:rFonts w:ascii="Arial" w:eastAsia="Times New Roman" w:hAnsi="Arial" w:cs="Arial"/>
          <w:color w:val="000000"/>
          <w:sz w:val="24"/>
          <w:szCs w:val="24"/>
          <w:lang w:eastAsia="pt-BR"/>
        </w:rPr>
        <w:t>1.3.4. Eventuais anexos dos documentos supracitados.</w:t>
      </w:r>
    </w:p>
    <w:p w14:paraId="51BF40D6" w14:textId="77777777" w:rsidR="00D733DB" w:rsidRP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D733DB">
        <w:rPr>
          <w:rFonts w:ascii="Arial" w:eastAsia="Times New Roman" w:hAnsi="Arial" w:cs="Arial"/>
          <w:color w:val="000000"/>
          <w:sz w:val="24"/>
          <w:szCs w:val="24"/>
          <w:lang w:eastAsia="pt-BR"/>
        </w:rPr>
        <w:t> </w:t>
      </w:r>
    </w:p>
    <w:p w14:paraId="31271FE5"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2. CLÁUSULA SEGUNDA – VIGÊNCIA E PRORROGAÇÃO</w:t>
      </w:r>
    </w:p>
    <w:p w14:paraId="172281EC" w14:textId="24241539" w:rsidR="00DF5D78" w:rsidRPr="0013331D" w:rsidRDefault="00D733DB" w:rsidP="00D54439">
      <w:pPr>
        <w:spacing w:before="120" w:after="120" w:line="240" w:lineRule="auto"/>
        <w:ind w:left="120" w:right="120"/>
        <w:jc w:val="both"/>
        <w:rPr>
          <w:rFonts w:ascii="Arial" w:eastAsia="Times New Roman" w:hAnsi="Arial" w:cs="Arial"/>
          <w:i/>
          <w:iCs/>
          <w:sz w:val="24"/>
          <w:szCs w:val="24"/>
          <w:lang w:eastAsia="pt-BR"/>
        </w:rPr>
      </w:pPr>
      <w:r w:rsidRPr="0013331D">
        <w:rPr>
          <w:rFonts w:ascii="Arial" w:eastAsia="Times New Roman" w:hAnsi="Arial" w:cs="Arial"/>
          <w:color w:val="000000"/>
          <w:sz w:val="24"/>
          <w:szCs w:val="24"/>
          <w:lang w:eastAsia="pt-BR"/>
        </w:rPr>
        <w:t xml:space="preserve">2.1. </w:t>
      </w:r>
      <w:r w:rsidR="00355098" w:rsidRPr="0013331D">
        <w:rPr>
          <w:rFonts w:ascii="Arial" w:eastAsia="Times New Roman" w:hAnsi="Arial" w:cs="Arial"/>
          <w:sz w:val="24"/>
          <w:szCs w:val="24"/>
          <w:lang w:eastAsia="pt-BR"/>
        </w:rPr>
        <w:t xml:space="preserve">O prazo de vigência da contratação é de ................ dias, contados da data da assinatura deste contrato, na forma do artigo 105 da Lei n° 14.133/2021. </w:t>
      </w:r>
      <w:r w:rsidR="00D54439" w:rsidRPr="0013331D">
        <w:rPr>
          <w:rFonts w:ascii="Arial" w:eastAsia="Times New Roman" w:hAnsi="Arial" w:cs="Arial"/>
          <w:i/>
          <w:iCs/>
          <w:sz w:val="24"/>
          <w:szCs w:val="24"/>
          <w:lang w:eastAsia="pt-BR"/>
        </w:rPr>
        <w:t>(</w:t>
      </w:r>
      <w:r w:rsidR="00DF5D78" w:rsidRPr="0013331D">
        <w:rPr>
          <w:rFonts w:ascii="Arial" w:eastAsia="Times New Roman" w:hAnsi="Arial" w:cs="Arial"/>
          <w:i/>
          <w:iCs/>
          <w:sz w:val="24"/>
          <w:szCs w:val="24"/>
          <w:lang w:eastAsia="pt-BR"/>
        </w:rPr>
        <w:t>O prazo de vigência será definido em função do prazo de execução dos serviços</w:t>
      </w:r>
      <w:r w:rsidR="00D54439" w:rsidRPr="0013331D">
        <w:rPr>
          <w:rFonts w:ascii="Arial" w:eastAsia="Times New Roman" w:hAnsi="Arial" w:cs="Arial"/>
          <w:i/>
          <w:iCs/>
          <w:sz w:val="24"/>
          <w:szCs w:val="24"/>
          <w:lang w:eastAsia="pt-BR"/>
        </w:rPr>
        <w:t>, conforme descrito nas tabelas abaixo:)</w:t>
      </w:r>
    </w:p>
    <w:p w14:paraId="5784DBC4" w14:textId="77777777" w:rsidR="00355098" w:rsidRPr="0013331D" w:rsidRDefault="00355098" w:rsidP="00D54439">
      <w:pPr>
        <w:spacing w:before="120" w:after="120" w:line="240" w:lineRule="auto"/>
        <w:ind w:right="120"/>
        <w:jc w:val="both"/>
        <w:rPr>
          <w:rFonts w:ascii="Arial" w:eastAsia="Times New Roman" w:hAnsi="Arial" w:cs="Arial"/>
          <w:i/>
          <w:iCs/>
          <w:sz w:val="24"/>
          <w:szCs w:val="24"/>
          <w:lang w:eastAsia="pt-BR"/>
        </w:rPr>
      </w:pPr>
    </w:p>
    <w:p w14:paraId="5EA8E8D4" w14:textId="01FBE1B3" w:rsidR="00607B4E" w:rsidRPr="0013331D" w:rsidRDefault="00607B4E" w:rsidP="00607B4E">
      <w:pPr>
        <w:spacing w:before="120" w:after="120" w:line="240" w:lineRule="auto"/>
        <w:ind w:left="120" w:right="120"/>
        <w:jc w:val="both"/>
        <w:rPr>
          <w:rFonts w:ascii="Arial" w:eastAsia="Times New Roman" w:hAnsi="Arial" w:cs="Arial"/>
          <w:i/>
          <w:iCs/>
          <w:sz w:val="24"/>
          <w:szCs w:val="24"/>
          <w:lang w:eastAsia="pt-BR"/>
        </w:rPr>
      </w:pPr>
      <w:r w:rsidRPr="0013331D">
        <w:rPr>
          <w:rFonts w:ascii="Arial" w:eastAsia="Times New Roman" w:hAnsi="Arial" w:cs="Arial"/>
          <w:b/>
          <w:bCs/>
          <w:i/>
          <w:iCs/>
          <w:sz w:val="24"/>
          <w:szCs w:val="24"/>
          <w:lang w:eastAsia="pt-BR"/>
        </w:rPr>
        <w:t>a) até 500 m²</w:t>
      </w:r>
      <w:r w:rsidR="00D54439" w:rsidRPr="0013331D">
        <w:rPr>
          <w:rFonts w:ascii="Arial" w:eastAsia="Times New Roman" w:hAnsi="Arial" w:cs="Arial"/>
          <w:b/>
          <w:bCs/>
          <w:i/>
          <w:iCs/>
          <w:sz w:val="24"/>
          <w:szCs w:val="24"/>
          <w:lang w:eastAsia="pt-BR"/>
        </w:rPr>
        <w:t xml:space="preserve"> - 30 dias</w:t>
      </w:r>
    </w:p>
    <w:tbl>
      <w:tblPr>
        <w:tblW w:w="7938" w:type="dxa"/>
        <w:tblInd w:w="274" w:type="dxa"/>
        <w:tblCellMar>
          <w:left w:w="0" w:type="dxa"/>
          <w:right w:w="0" w:type="dxa"/>
        </w:tblCellMar>
        <w:tblLook w:val="04A0" w:firstRow="1" w:lastRow="0" w:firstColumn="1" w:lastColumn="0" w:noHBand="0" w:noVBand="1"/>
      </w:tblPr>
      <w:tblGrid>
        <w:gridCol w:w="2286"/>
        <w:gridCol w:w="5652"/>
      </w:tblGrid>
      <w:tr w:rsidR="00607B4E" w:rsidRPr="0013331D" w14:paraId="58891E6A" w14:textId="77777777" w:rsidTr="00607B4E">
        <w:tc>
          <w:tcPr>
            <w:tcW w:w="2286"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14:paraId="10F8E3B6"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Quantidade de dias</w:t>
            </w:r>
          </w:p>
        </w:tc>
        <w:tc>
          <w:tcPr>
            <w:tcW w:w="5652"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374476AA"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Atividade</w:t>
            </w:r>
          </w:p>
        </w:tc>
      </w:tr>
      <w:tr w:rsidR="00607B4E" w:rsidRPr="0013331D" w14:paraId="006587AF" w14:textId="77777777" w:rsidTr="00607B4E">
        <w:tc>
          <w:tcPr>
            <w:tcW w:w="228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1F60AD5D"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10</w:t>
            </w:r>
          </w:p>
        </w:tc>
        <w:tc>
          <w:tcPr>
            <w:tcW w:w="5652" w:type="dxa"/>
            <w:tcBorders>
              <w:top w:val="nil"/>
              <w:left w:val="nil"/>
              <w:bottom w:val="single" w:sz="8" w:space="0" w:color="000000"/>
              <w:right w:val="single" w:sz="8" w:space="0" w:color="000000"/>
            </w:tcBorders>
            <w:tcMar>
              <w:top w:w="0" w:type="dxa"/>
              <w:left w:w="105" w:type="dxa"/>
              <w:bottom w:w="0" w:type="dxa"/>
              <w:right w:w="105" w:type="dxa"/>
            </w:tcMar>
            <w:vAlign w:val="center"/>
            <w:hideMark/>
          </w:tcPr>
          <w:p w14:paraId="5AE78EFE"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Envio da comunicação pela área gestora, autorizando o início dos serviços (prazo necessário para providências burocráticas e confirmações junto à área requisitante)</w:t>
            </w:r>
          </w:p>
        </w:tc>
      </w:tr>
      <w:tr w:rsidR="00607B4E" w:rsidRPr="0013331D" w14:paraId="65421708" w14:textId="77777777" w:rsidTr="00607B4E">
        <w:tc>
          <w:tcPr>
            <w:tcW w:w="228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5212FD25"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30</w:t>
            </w:r>
          </w:p>
        </w:tc>
        <w:tc>
          <w:tcPr>
            <w:tcW w:w="5652" w:type="dxa"/>
            <w:tcBorders>
              <w:top w:val="nil"/>
              <w:left w:val="nil"/>
              <w:bottom w:val="single" w:sz="8" w:space="0" w:color="000000"/>
              <w:right w:val="single" w:sz="8" w:space="0" w:color="000000"/>
            </w:tcBorders>
            <w:tcMar>
              <w:top w:w="0" w:type="dxa"/>
              <w:left w:w="105" w:type="dxa"/>
              <w:bottom w:w="0" w:type="dxa"/>
              <w:right w:w="105" w:type="dxa"/>
            </w:tcMar>
            <w:hideMark/>
          </w:tcPr>
          <w:p w14:paraId="3D86539A"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Execução dos serviços</w:t>
            </w:r>
          </w:p>
        </w:tc>
      </w:tr>
      <w:tr w:rsidR="00607B4E" w:rsidRPr="0013331D" w14:paraId="6151119B" w14:textId="77777777" w:rsidTr="00607B4E">
        <w:tc>
          <w:tcPr>
            <w:tcW w:w="228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337A70D0"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10</w:t>
            </w:r>
          </w:p>
        </w:tc>
        <w:tc>
          <w:tcPr>
            <w:tcW w:w="5652" w:type="dxa"/>
            <w:tcBorders>
              <w:top w:val="nil"/>
              <w:left w:val="nil"/>
              <w:bottom w:val="single" w:sz="8" w:space="0" w:color="000000"/>
              <w:right w:val="single" w:sz="8" w:space="0" w:color="000000"/>
            </w:tcBorders>
            <w:tcMar>
              <w:top w:w="0" w:type="dxa"/>
              <w:left w:w="105" w:type="dxa"/>
              <w:bottom w:w="0" w:type="dxa"/>
              <w:right w:w="105" w:type="dxa"/>
            </w:tcMar>
            <w:hideMark/>
          </w:tcPr>
          <w:p w14:paraId="7B46AC68"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Recebimento provisório</w:t>
            </w:r>
          </w:p>
        </w:tc>
      </w:tr>
      <w:tr w:rsidR="00607B4E" w:rsidRPr="0013331D" w14:paraId="0192B872" w14:textId="77777777" w:rsidTr="00607B4E">
        <w:tc>
          <w:tcPr>
            <w:tcW w:w="228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7E1D6303"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lastRenderedPageBreak/>
              <w:t>30</w:t>
            </w:r>
          </w:p>
        </w:tc>
        <w:tc>
          <w:tcPr>
            <w:tcW w:w="5652" w:type="dxa"/>
            <w:tcBorders>
              <w:top w:val="nil"/>
              <w:left w:val="nil"/>
              <w:bottom w:val="single" w:sz="8" w:space="0" w:color="000000"/>
              <w:right w:val="single" w:sz="8" w:space="0" w:color="000000"/>
            </w:tcBorders>
            <w:tcMar>
              <w:top w:w="0" w:type="dxa"/>
              <w:left w:w="105" w:type="dxa"/>
              <w:bottom w:w="0" w:type="dxa"/>
              <w:right w:w="105" w:type="dxa"/>
            </w:tcMar>
            <w:hideMark/>
          </w:tcPr>
          <w:p w14:paraId="486C6605"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Recebimento definitivo</w:t>
            </w:r>
          </w:p>
        </w:tc>
      </w:tr>
      <w:tr w:rsidR="00607B4E" w:rsidRPr="0013331D" w14:paraId="6343FAEA" w14:textId="77777777" w:rsidTr="00607B4E">
        <w:tc>
          <w:tcPr>
            <w:tcW w:w="228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74BA8CBB"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30</w:t>
            </w:r>
          </w:p>
        </w:tc>
        <w:tc>
          <w:tcPr>
            <w:tcW w:w="5652" w:type="dxa"/>
            <w:tcBorders>
              <w:top w:val="nil"/>
              <w:left w:val="nil"/>
              <w:bottom w:val="single" w:sz="8" w:space="0" w:color="000000"/>
              <w:right w:val="single" w:sz="8" w:space="0" w:color="000000"/>
            </w:tcBorders>
            <w:tcMar>
              <w:top w:w="0" w:type="dxa"/>
              <w:left w:w="105" w:type="dxa"/>
              <w:bottom w:w="0" w:type="dxa"/>
              <w:right w:w="105" w:type="dxa"/>
            </w:tcMar>
            <w:hideMark/>
          </w:tcPr>
          <w:p w14:paraId="33B5DF4A" w14:textId="6277AE85" w:rsidR="00607B4E" w:rsidRPr="0013331D" w:rsidRDefault="002D0BC3"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Pagamento (considerando-se os prazos para liquidação e pagamento constantes nas cláusulas 7.11 e 7.11.1 do Termo de Referência </w:t>
            </w:r>
            <w:hyperlink r:id="rId7" w:tgtFrame="_blank" w:history="1">
              <w:r w:rsidRPr="0013331D">
                <w:rPr>
                  <w:rStyle w:val="Hyperlink"/>
                  <w:rFonts w:ascii="Arial" w:eastAsia="Times New Roman" w:hAnsi="Arial" w:cs="Arial"/>
                  <w:i/>
                  <w:iCs/>
                  <w:sz w:val="16"/>
                  <w:szCs w:val="16"/>
                  <w:lang w:eastAsia="pt-BR"/>
                </w:rPr>
                <w:t>13249795</w:t>
              </w:r>
            </w:hyperlink>
            <w:r w:rsidRPr="0013331D">
              <w:rPr>
                <w:rFonts w:ascii="Arial" w:eastAsia="Times New Roman" w:hAnsi="Arial" w:cs="Arial"/>
                <w:i/>
                <w:iCs/>
                <w:sz w:val="16"/>
                <w:szCs w:val="16"/>
                <w:lang w:eastAsia="pt-BR"/>
              </w:rPr>
              <w:t> )</w:t>
            </w:r>
          </w:p>
        </w:tc>
      </w:tr>
      <w:tr w:rsidR="00607B4E" w:rsidRPr="0013331D" w14:paraId="270299AE" w14:textId="77777777" w:rsidTr="00607B4E">
        <w:tc>
          <w:tcPr>
            <w:tcW w:w="2286"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41FDC577"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Total</w:t>
            </w:r>
          </w:p>
        </w:tc>
        <w:tc>
          <w:tcPr>
            <w:tcW w:w="5652" w:type="dxa"/>
            <w:tcBorders>
              <w:top w:val="nil"/>
              <w:left w:val="nil"/>
              <w:bottom w:val="single" w:sz="8" w:space="0" w:color="000000"/>
              <w:right w:val="single" w:sz="8" w:space="0" w:color="000000"/>
            </w:tcBorders>
            <w:tcMar>
              <w:top w:w="0" w:type="dxa"/>
              <w:left w:w="105" w:type="dxa"/>
              <w:bottom w:w="0" w:type="dxa"/>
              <w:right w:w="105" w:type="dxa"/>
            </w:tcMar>
            <w:hideMark/>
          </w:tcPr>
          <w:p w14:paraId="3F8D33A2"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110 dias</w:t>
            </w:r>
          </w:p>
        </w:tc>
      </w:tr>
    </w:tbl>
    <w:p w14:paraId="29CE7B29" w14:textId="77777777" w:rsidR="00607B4E" w:rsidRPr="0013331D" w:rsidRDefault="00607B4E" w:rsidP="00607B4E">
      <w:pPr>
        <w:spacing w:before="120" w:after="120" w:line="240" w:lineRule="auto"/>
        <w:ind w:left="120" w:right="120"/>
        <w:jc w:val="both"/>
        <w:rPr>
          <w:rFonts w:ascii="Arial" w:eastAsia="Times New Roman" w:hAnsi="Arial" w:cs="Arial"/>
          <w:i/>
          <w:iCs/>
          <w:sz w:val="24"/>
          <w:szCs w:val="24"/>
          <w:lang w:eastAsia="pt-BR"/>
        </w:rPr>
      </w:pPr>
      <w:r w:rsidRPr="0013331D">
        <w:rPr>
          <w:rFonts w:ascii="Arial" w:eastAsia="Times New Roman" w:hAnsi="Arial" w:cs="Arial"/>
          <w:i/>
          <w:iCs/>
          <w:sz w:val="24"/>
          <w:szCs w:val="24"/>
          <w:lang w:eastAsia="pt-BR"/>
        </w:rPr>
        <w:t> </w:t>
      </w:r>
    </w:p>
    <w:p w14:paraId="71578A4A" w14:textId="62401AEE" w:rsidR="00607B4E" w:rsidRPr="0013331D" w:rsidRDefault="00607B4E" w:rsidP="00607B4E">
      <w:pPr>
        <w:spacing w:before="120" w:after="120" w:line="240" w:lineRule="auto"/>
        <w:ind w:left="120" w:right="120"/>
        <w:jc w:val="both"/>
        <w:rPr>
          <w:rFonts w:ascii="Arial" w:eastAsia="Times New Roman" w:hAnsi="Arial" w:cs="Arial"/>
          <w:i/>
          <w:iCs/>
          <w:sz w:val="24"/>
          <w:szCs w:val="24"/>
          <w:lang w:eastAsia="pt-BR"/>
        </w:rPr>
      </w:pPr>
      <w:r w:rsidRPr="0013331D">
        <w:rPr>
          <w:rFonts w:ascii="Arial" w:eastAsia="Times New Roman" w:hAnsi="Arial" w:cs="Arial"/>
          <w:b/>
          <w:bCs/>
          <w:i/>
          <w:iCs/>
          <w:sz w:val="24"/>
          <w:szCs w:val="24"/>
          <w:lang w:eastAsia="pt-BR"/>
        </w:rPr>
        <w:t>b) de 501 a 1.000 m²</w:t>
      </w:r>
      <w:r w:rsidR="00D54439" w:rsidRPr="0013331D">
        <w:rPr>
          <w:rFonts w:ascii="Arial" w:eastAsia="Times New Roman" w:hAnsi="Arial" w:cs="Arial"/>
          <w:b/>
          <w:bCs/>
          <w:i/>
          <w:iCs/>
          <w:sz w:val="24"/>
          <w:szCs w:val="24"/>
          <w:lang w:eastAsia="pt-BR"/>
        </w:rPr>
        <w:t xml:space="preserve"> - </w:t>
      </w:r>
      <w:r w:rsidR="00D54439" w:rsidRPr="0013331D">
        <w:rPr>
          <w:rFonts w:ascii="Arial" w:eastAsia="Times New Roman" w:hAnsi="Arial" w:cs="Arial"/>
          <w:i/>
          <w:iCs/>
          <w:sz w:val="24"/>
          <w:szCs w:val="24"/>
          <w:lang w:eastAsia="pt-BR"/>
        </w:rPr>
        <w:t>60 dias</w:t>
      </w:r>
    </w:p>
    <w:tbl>
      <w:tblPr>
        <w:tblW w:w="7731" w:type="dxa"/>
        <w:tblInd w:w="274" w:type="dxa"/>
        <w:tblCellMar>
          <w:left w:w="0" w:type="dxa"/>
          <w:right w:w="0" w:type="dxa"/>
        </w:tblCellMar>
        <w:tblLook w:val="04A0" w:firstRow="1" w:lastRow="0" w:firstColumn="1" w:lastColumn="0" w:noHBand="0" w:noVBand="1"/>
      </w:tblPr>
      <w:tblGrid>
        <w:gridCol w:w="2268"/>
        <w:gridCol w:w="5463"/>
      </w:tblGrid>
      <w:tr w:rsidR="00607B4E" w:rsidRPr="0013331D" w14:paraId="7695303B" w14:textId="77777777" w:rsidTr="00607B4E">
        <w:tc>
          <w:tcPr>
            <w:tcW w:w="2268"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14:paraId="46613424"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Quantidade de dias</w:t>
            </w:r>
          </w:p>
        </w:tc>
        <w:tc>
          <w:tcPr>
            <w:tcW w:w="5463"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1A1A1B47"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Atividade</w:t>
            </w:r>
          </w:p>
        </w:tc>
      </w:tr>
      <w:tr w:rsidR="00607B4E" w:rsidRPr="0013331D" w14:paraId="2A846DCA"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54684589"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10</w:t>
            </w:r>
          </w:p>
        </w:tc>
        <w:tc>
          <w:tcPr>
            <w:tcW w:w="5463" w:type="dxa"/>
            <w:tcBorders>
              <w:top w:val="nil"/>
              <w:left w:val="nil"/>
              <w:bottom w:val="single" w:sz="8" w:space="0" w:color="000000"/>
              <w:right w:val="single" w:sz="8" w:space="0" w:color="000000"/>
            </w:tcBorders>
            <w:tcMar>
              <w:top w:w="0" w:type="dxa"/>
              <w:left w:w="105" w:type="dxa"/>
              <w:bottom w:w="0" w:type="dxa"/>
              <w:right w:w="105" w:type="dxa"/>
            </w:tcMar>
            <w:hideMark/>
          </w:tcPr>
          <w:p w14:paraId="3F408D95"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Envio da comunicação pela área gestora, autorizando o início dos serviços (prazo necessário para providências burocráticas e confirmações junto à área requisitante)</w:t>
            </w:r>
          </w:p>
        </w:tc>
      </w:tr>
      <w:tr w:rsidR="00607B4E" w:rsidRPr="0013331D" w14:paraId="45BD80E5"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35749DFF"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60</w:t>
            </w:r>
          </w:p>
        </w:tc>
        <w:tc>
          <w:tcPr>
            <w:tcW w:w="5463" w:type="dxa"/>
            <w:tcBorders>
              <w:top w:val="nil"/>
              <w:left w:val="nil"/>
              <w:bottom w:val="single" w:sz="8" w:space="0" w:color="000000"/>
              <w:right w:val="single" w:sz="8" w:space="0" w:color="000000"/>
            </w:tcBorders>
            <w:tcMar>
              <w:top w:w="0" w:type="dxa"/>
              <w:left w:w="105" w:type="dxa"/>
              <w:bottom w:w="0" w:type="dxa"/>
              <w:right w:w="105" w:type="dxa"/>
            </w:tcMar>
            <w:hideMark/>
          </w:tcPr>
          <w:p w14:paraId="55DE21A4"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Execução dos serviços</w:t>
            </w:r>
          </w:p>
        </w:tc>
      </w:tr>
      <w:tr w:rsidR="00607B4E" w:rsidRPr="0013331D" w14:paraId="45A2E485"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1206B5C0"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10</w:t>
            </w:r>
          </w:p>
        </w:tc>
        <w:tc>
          <w:tcPr>
            <w:tcW w:w="5463" w:type="dxa"/>
            <w:tcBorders>
              <w:top w:val="nil"/>
              <w:left w:val="nil"/>
              <w:bottom w:val="single" w:sz="8" w:space="0" w:color="000000"/>
              <w:right w:val="single" w:sz="8" w:space="0" w:color="000000"/>
            </w:tcBorders>
            <w:tcMar>
              <w:top w:w="0" w:type="dxa"/>
              <w:left w:w="105" w:type="dxa"/>
              <w:bottom w:w="0" w:type="dxa"/>
              <w:right w:w="105" w:type="dxa"/>
            </w:tcMar>
            <w:hideMark/>
          </w:tcPr>
          <w:p w14:paraId="26773116"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Recebimento provisório</w:t>
            </w:r>
          </w:p>
        </w:tc>
      </w:tr>
      <w:tr w:rsidR="00607B4E" w:rsidRPr="0013331D" w14:paraId="2BB18B09"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15259FC1"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30</w:t>
            </w:r>
          </w:p>
        </w:tc>
        <w:tc>
          <w:tcPr>
            <w:tcW w:w="5463" w:type="dxa"/>
            <w:tcBorders>
              <w:top w:val="nil"/>
              <w:left w:val="nil"/>
              <w:bottom w:val="single" w:sz="8" w:space="0" w:color="000000"/>
              <w:right w:val="single" w:sz="8" w:space="0" w:color="000000"/>
            </w:tcBorders>
            <w:tcMar>
              <w:top w:w="0" w:type="dxa"/>
              <w:left w:w="105" w:type="dxa"/>
              <w:bottom w:w="0" w:type="dxa"/>
              <w:right w:w="105" w:type="dxa"/>
            </w:tcMar>
            <w:hideMark/>
          </w:tcPr>
          <w:p w14:paraId="5F6E75FE"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Recebimento definitivo</w:t>
            </w:r>
          </w:p>
        </w:tc>
      </w:tr>
      <w:tr w:rsidR="00607B4E" w:rsidRPr="0013331D" w14:paraId="6E37718B"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552F921D"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30</w:t>
            </w:r>
          </w:p>
        </w:tc>
        <w:tc>
          <w:tcPr>
            <w:tcW w:w="5463" w:type="dxa"/>
            <w:tcBorders>
              <w:top w:val="nil"/>
              <w:left w:val="nil"/>
              <w:bottom w:val="single" w:sz="8" w:space="0" w:color="000000"/>
              <w:right w:val="single" w:sz="8" w:space="0" w:color="000000"/>
            </w:tcBorders>
            <w:tcMar>
              <w:top w:w="0" w:type="dxa"/>
              <w:left w:w="105" w:type="dxa"/>
              <w:bottom w:w="0" w:type="dxa"/>
              <w:right w:w="105" w:type="dxa"/>
            </w:tcMar>
            <w:hideMark/>
          </w:tcPr>
          <w:p w14:paraId="1D054511" w14:textId="0BD6663B" w:rsidR="00607B4E" w:rsidRPr="0013331D" w:rsidRDefault="002D0BC3"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Pagamento (considerando-se o</w:t>
            </w:r>
            <w:r w:rsidR="00BA5505" w:rsidRPr="0013331D">
              <w:rPr>
                <w:rFonts w:ascii="Arial" w:eastAsia="Times New Roman" w:hAnsi="Arial" w:cs="Arial"/>
                <w:i/>
                <w:iCs/>
                <w:sz w:val="16"/>
                <w:szCs w:val="16"/>
                <w:lang w:eastAsia="pt-BR"/>
              </w:rPr>
              <w:t>s</w:t>
            </w:r>
            <w:r w:rsidRPr="0013331D">
              <w:rPr>
                <w:rFonts w:ascii="Arial" w:eastAsia="Times New Roman" w:hAnsi="Arial" w:cs="Arial"/>
                <w:i/>
                <w:iCs/>
                <w:sz w:val="16"/>
                <w:szCs w:val="16"/>
                <w:lang w:eastAsia="pt-BR"/>
              </w:rPr>
              <w:t xml:space="preserve"> prazo</w:t>
            </w:r>
            <w:r w:rsidR="00BA5505" w:rsidRPr="0013331D">
              <w:rPr>
                <w:rFonts w:ascii="Arial" w:eastAsia="Times New Roman" w:hAnsi="Arial" w:cs="Arial"/>
                <w:i/>
                <w:iCs/>
                <w:sz w:val="16"/>
                <w:szCs w:val="16"/>
                <w:lang w:eastAsia="pt-BR"/>
              </w:rPr>
              <w:t>s</w:t>
            </w:r>
            <w:r w:rsidRPr="0013331D">
              <w:rPr>
                <w:rFonts w:ascii="Arial" w:eastAsia="Times New Roman" w:hAnsi="Arial" w:cs="Arial"/>
                <w:i/>
                <w:iCs/>
                <w:sz w:val="16"/>
                <w:szCs w:val="16"/>
                <w:lang w:eastAsia="pt-BR"/>
              </w:rPr>
              <w:t xml:space="preserve"> para liquidação e pagamento constantes nas cláusulas 7.11 e 7.11.1 do Termo de Referência </w:t>
            </w:r>
            <w:hyperlink r:id="rId8" w:tgtFrame="_blank" w:history="1">
              <w:r w:rsidRPr="0013331D">
                <w:rPr>
                  <w:rStyle w:val="Hyperlink"/>
                  <w:rFonts w:ascii="Arial" w:eastAsia="Times New Roman" w:hAnsi="Arial" w:cs="Arial"/>
                  <w:i/>
                  <w:iCs/>
                  <w:sz w:val="16"/>
                  <w:szCs w:val="16"/>
                  <w:lang w:eastAsia="pt-BR"/>
                </w:rPr>
                <w:t>13249795</w:t>
              </w:r>
            </w:hyperlink>
            <w:r w:rsidRPr="0013331D">
              <w:rPr>
                <w:rFonts w:ascii="Arial" w:eastAsia="Times New Roman" w:hAnsi="Arial" w:cs="Arial"/>
                <w:i/>
                <w:iCs/>
                <w:sz w:val="16"/>
                <w:szCs w:val="16"/>
                <w:lang w:eastAsia="pt-BR"/>
              </w:rPr>
              <w:t> )</w:t>
            </w:r>
          </w:p>
        </w:tc>
      </w:tr>
      <w:tr w:rsidR="00607B4E" w:rsidRPr="0013331D" w14:paraId="29C9AFC0"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600BCF90"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Total</w:t>
            </w:r>
          </w:p>
        </w:tc>
        <w:tc>
          <w:tcPr>
            <w:tcW w:w="5463" w:type="dxa"/>
            <w:tcBorders>
              <w:top w:val="nil"/>
              <w:left w:val="nil"/>
              <w:bottom w:val="single" w:sz="8" w:space="0" w:color="000000"/>
              <w:right w:val="single" w:sz="8" w:space="0" w:color="000000"/>
            </w:tcBorders>
            <w:tcMar>
              <w:top w:w="0" w:type="dxa"/>
              <w:left w:w="105" w:type="dxa"/>
              <w:bottom w:w="0" w:type="dxa"/>
              <w:right w:w="105" w:type="dxa"/>
            </w:tcMar>
            <w:hideMark/>
          </w:tcPr>
          <w:p w14:paraId="4026C112"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140 dias</w:t>
            </w:r>
          </w:p>
        </w:tc>
      </w:tr>
    </w:tbl>
    <w:p w14:paraId="396814EB" w14:textId="77777777" w:rsidR="00607B4E" w:rsidRPr="0013331D" w:rsidRDefault="00607B4E" w:rsidP="00607B4E">
      <w:pPr>
        <w:spacing w:before="120" w:after="120" w:line="240" w:lineRule="auto"/>
        <w:ind w:left="120" w:right="120"/>
        <w:jc w:val="both"/>
        <w:rPr>
          <w:rFonts w:ascii="Arial" w:eastAsia="Times New Roman" w:hAnsi="Arial" w:cs="Arial"/>
          <w:i/>
          <w:iCs/>
          <w:sz w:val="24"/>
          <w:szCs w:val="24"/>
          <w:lang w:eastAsia="pt-BR"/>
        </w:rPr>
      </w:pPr>
      <w:r w:rsidRPr="0013331D">
        <w:rPr>
          <w:rFonts w:ascii="Arial" w:eastAsia="Times New Roman" w:hAnsi="Arial" w:cs="Arial"/>
          <w:i/>
          <w:iCs/>
          <w:sz w:val="24"/>
          <w:szCs w:val="24"/>
          <w:lang w:eastAsia="pt-BR"/>
        </w:rPr>
        <w:t> </w:t>
      </w:r>
    </w:p>
    <w:p w14:paraId="68F74FBD" w14:textId="218B8B07" w:rsidR="00607B4E" w:rsidRPr="0013331D" w:rsidRDefault="00607B4E" w:rsidP="00607B4E">
      <w:pPr>
        <w:spacing w:before="120" w:after="120" w:line="240" w:lineRule="auto"/>
        <w:ind w:left="120" w:right="120"/>
        <w:jc w:val="both"/>
        <w:rPr>
          <w:rFonts w:ascii="Arial" w:eastAsia="Times New Roman" w:hAnsi="Arial" w:cs="Arial"/>
          <w:i/>
          <w:iCs/>
          <w:sz w:val="24"/>
          <w:szCs w:val="24"/>
          <w:lang w:eastAsia="pt-BR"/>
        </w:rPr>
      </w:pPr>
      <w:r w:rsidRPr="0013331D">
        <w:rPr>
          <w:rFonts w:ascii="Arial" w:eastAsia="Times New Roman" w:hAnsi="Arial" w:cs="Arial"/>
          <w:b/>
          <w:bCs/>
          <w:i/>
          <w:iCs/>
          <w:sz w:val="24"/>
          <w:szCs w:val="24"/>
          <w:lang w:eastAsia="pt-BR"/>
        </w:rPr>
        <w:t>c) acima de 1.000 m²</w:t>
      </w:r>
      <w:r w:rsidR="00D54439" w:rsidRPr="0013331D">
        <w:rPr>
          <w:rFonts w:ascii="Arial" w:eastAsia="Times New Roman" w:hAnsi="Arial" w:cs="Arial"/>
          <w:b/>
          <w:bCs/>
          <w:i/>
          <w:iCs/>
          <w:sz w:val="24"/>
          <w:szCs w:val="24"/>
          <w:lang w:eastAsia="pt-BR"/>
        </w:rPr>
        <w:t xml:space="preserve"> - </w:t>
      </w:r>
      <w:r w:rsidR="00D54439" w:rsidRPr="0013331D">
        <w:rPr>
          <w:rFonts w:ascii="Arial" w:eastAsia="Times New Roman" w:hAnsi="Arial" w:cs="Arial"/>
          <w:i/>
          <w:iCs/>
          <w:sz w:val="24"/>
          <w:szCs w:val="24"/>
          <w:lang w:eastAsia="pt-BR"/>
        </w:rPr>
        <w:t>90 dias</w:t>
      </w:r>
    </w:p>
    <w:tbl>
      <w:tblPr>
        <w:tblW w:w="7654" w:type="dxa"/>
        <w:tblInd w:w="274" w:type="dxa"/>
        <w:tblCellMar>
          <w:left w:w="0" w:type="dxa"/>
          <w:right w:w="0" w:type="dxa"/>
        </w:tblCellMar>
        <w:tblLook w:val="04A0" w:firstRow="1" w:lastRow="0" w:firstColumn="1" w:lastColumn="0" w:noHBand="0" w:noVBand="1"/>
      </w:tblPr>
      <w:tblGrid>
        <w:gridCol w:w="2268"/>
        <w:gridCol w:w="5386"/>
      </w:tblGrid>
      <w:tr w:rsidR="00607B4E" w:rsidRPr="0013331D" w14:paraId="705336DA" w14:textId="77777777" w:rsidTr="00607B4E">
        <w:tc>
          <w:tcPr>
            <w:tcW w:w="2268"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14:paraId="72BAF3BA"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Quantidade de dias</w:t>
            </w:r>
          </w:p>
        </w:tc>
        <w:tc>
          <w:tcPr>
            <w:tcW w:w="5386"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09252042"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Atividade</w:t>
            </w:r>
          </w:p>
        </w:tc>
      </w:tr>
      <w:tr w:rsidR="00607B4E" w:rsidRPr="0013331D" w14:paraId="155F2EFD"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436C2FD9"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10</w:t>
            </w:r>
          </w:p>
        </w:tc>
        <w:tc>
          <w:tcPr>
            <w:tcW w:w="5386" w:type="dxa"/>
            <w:tcBorders>
              <w:top w:val="nil"/>
              <w:left w:val="nil"/>
              <w:bottom w:val="single" w:sz="8" w:space="0" w:color="000000"/>
              <w:right w:val="single" w:sz="8" w:space="0" w:color="000000"/>
            </w:tcBorders>
            <w:tcMar>
              <w:top w:w="0" w:type="dxa"/>
              <w:left w:w="105" w:type="dxa"/>
              <w:bottom w:w="0" w:type="dxa"/>
              <w:right w:w="105" w:type="dxa"/>
            </w:tcMar>
            <w:hideMark/>
          </w:tcPr>
          <w:p w14:paraId="28746BFA"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Envio da comunicação pela área gestora, autorizando o início dos serviços (prazo necessário para providências burocráticas e confirmações junto à área requisitante)</w:t>
            </w:r>
          </w:p>
        </w:tc>
      </w:tr>
      <w:tr w:rsidR="00607B4E" w:rsidRPr="0013331D" w14:paraId="34E16014"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7F9A593A"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90</w:t>
            </w:r>
          </w:p>
        </w:tc>
        <w:tc>
          <w:tcPr>
            <w:tcW w:w="5386" w:type="dxa"/>
            <w:tcBorders>
              <w:top w:val="nil"/>
              <w:left w:val="nil"/>
              <w:bottom w:val="single" w:sz="8" w:space="0" w:color="000000"/>
              <w:right w:val="single" w:sz="8" w:space="0" w:color="000000"/>
            </w:tcBorders>
            <w:tcMar>
              <w:top w:w="0" w:type="dxa"/>
              <w:left w:w="105" w:type="dxa"/>
              <w:bottom w:w="0" w:type="dxa"/>
              <w:right w:w="105" w:type="dxa"/>
            </w:tcMar>
            <w:hideMark/>
          </w:tcPr>
          <w:p w14:paraId="5F5E048C"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Execução dos serviços</w:t>
            </w:r>
          </w:p>
        </w:tc>
      </w:tr>
      <w:tr w:rsidR="00607B4E" w:rsidRPr="0013331D" w14:paraId="33EA3E5C"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452FA459"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10</w:t>
            </w:r>
          </w:p>
        </w:tc>
        <w:tc>
          <w:tcPr>
            <w:tcW w:w="5386" w:type="dxa"/>
            <w:tcBorders>
              <w:top w:val="nil"/>
              <w:left w:val="nil"/>
              <w:bottom w:val="single" w:sz="8" w:space="0" w:color="000000"/>
              <w:right w:val="single" w:sz="8" w:space="0" w:color="000000"/>
            </w:tcBorders>
            <w:tcMar>
              <w:top w:w="0" w:type="dxa"/>
              <w:left w:w="105" w:type="dxa"/>
              <w:bottom w:w="0" w:type="dxa"/>
              <w:right w:w="105" w:type="dxa"/>
            </w:tcMar>
            <w:hideMark/>
          </w:tcPr>
          <w:p w14:paraId="4FC0D64E"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Recebimento provisório</w:t>
            </w:r>
          </w:p>
        </w:tc>
      </w:tr>
      <w:tr w:rsidR="00607B4E" w:rsidRPr="0013331D" w14:paraId="4B2DC1EB"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3C6728F6"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30</w:t>
            </w:r>
          </w:p>
        </w:tc>
        <w:tc>
          <w:tcPr>
            <w:tcW w:w="5386" w:type="dxa"/>
            <w:tcBorders>
              <w:top w:val="nil"/>
              <w:left w:val="nil"/>
              <w:bottom w:val="single" w:sz="8" w:space="0" w:color="000000"/>
              <w:right w:val="single" w:sz="8" w:space="0" w:color="000000"/>
            </w:tcBorders>
            <w:tcMar>
              <w:top w:w="0" w:type="dxa"/>
              <w:left w:w="105" w:type="dxa"/>
              <w:bottom w:w="0" w:type="dxa"/>
              <w:right w:w="105" w:type="dxa"/>
            </w:tcMar>
            <w:hideMark/>
          </w:tcPr>
          <w:p w14:paraId="5C9B4187"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Recebimento definitivo</w:t>
            </w:r>
          </w:p>
        </w:tc>
      </w:tr>
      <w:tr w:rsidR="00607B4E" w:rsidRPr="0013331D" w14:paraId="781B5067"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35752119"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30</w:t>
            </w:r>
          </w:p>
        </w:tc>
        <w:tc>
          <w:tcPr>
            <w:tcW w:w="5386" w:type="dxa"/>
            <w:tcBorders>
              <w:top w:val="nil"/>
              <w:left w:val="nil"/>
              <w:bottom w:val="single" w:sz="8" w:space="0" w:color="000000"/>
              <w:right w:val="single" w:sz="8" w:space="0" w:color="000000"/>
            </w:tcBorders>
            <w:tcMar>
              <w:top w:w="0" w:type="dxa"/>
              <w:left w:w="105" w:type="dxa"/>
              <w:bottom w:w="0" w:type="dxa"/>
              <w:right w:w="105" w:type="dxa"/>
            </w:tcMar>
            <w:hideMark/>
          </w:tcPr>
          <w:p w14:paraId="698395EB" w14:textId="55817907" w:rsidR="00607B4E" w:rsidRPr="0013331D" w:rsidRDefault="00B60C76"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i/>
                <w:iCs/>
                <w:sz w:val="16"/>
                <w:szCs w:val="16"/>
                <w:lang w:eastAsia="pt-BR"/>
              </w:rPr>
              <w:t>Pagamento (considerando-se o</w:t>
            </w:r>
            <w:r w:rsidR="00BA5505" w:rsidRPr="0013331D">
              <w:rPr>
                <w:rFonts w:ascii="Arial" w:eastAsia="Times New Roman" w:hAnsi="Arial" w:cs="Arial"/>
                <w:i/>
                <w:iCs/>
                <w:sz w:val="16"/>
                <w:szCs w:val="16"/>
                <w:lang w:eastAsia="pt-BR"/>
              </w:rPr>
              <w:t>s</w:t>
            </w:r>
            <w:r w:rsidRPr="0013331D">
              <w:rPr>
                <w:rFonts w:ascii="Arial" w:eastAsia="Times New Roman" w:hAnsi="Arial" w:cs="Arial"/>
                <w:i/>
                <w:iCs/>
                <w:sz w:val="16"/>
                <w:szCs w:val="16"/>
                <w:lang w:eastAsia="pt-BR"/>
              </w:rPr>
              <w:t xml:space="preserve"> prazo</w:t>
            </w:r>
            <w:r w:rsidR="00BA5505" w:rsidRPr="0013331D">
              <w:rPr>
                <w:rFonts w:ascii="Arial" w:eastAsia="Times New Roman" w:hAnsi="Arial" w:cs="Arial"/>
                <w:i/>
                <w:iCs/>
                <w:sz w:val="16"/>
                <w:szCs w:val="16"/>
                <w:lang w:eastAsia="pt-BR"/>
              </w:rPr>
              <w:t>s</w:t>
            </w:r>
            <w:r w:rsidRPr="0013331D">
              <w:rPr>
                <w:rFonts w:ascii="Arial" w:eastAsia="Times New Roman" w:hAnsi="Arial" w:cs="Arial"/>
                <w:i/>
                <w:iCs/>
                <w:sz w:val="16"/>
                <w:szCs w:val="16"/>
                <w:lang w:eastAsia="pt-BR"/>
              </w:rPr>
              <w:t xml:space="preserve"> para liquidação</w:t>
            </w:r>
            <w:r w:rsidR="002D0BC3" w:rsidRPr="0013331D">
              <w:rPr>
                <w:rFonts w:ascii="Arial" w:eastAsia="Times New Roman" w:hAnsi="Arial" w:cs="Arial"/>
                <w:i/>
                <w:iCs/>
                <w:sz w:val="16"/>
                <w:szCs w:val="16"/>
                <w:lang w:eastAsia="pt-BR"/>
              </w:rPr>
              <w:t xml:space="preserve"> e pagamento</w:t>
            </w:r>
            <w:r w:rsidRPr="0013331D">
              <w:rPr>
                <w:rFonts w:ascii="Arial" w:eastAsia="Times New Roman" w:hAnsi="Arial" w:cs="Arial"/>
                <w:i/>
                <w:iCs/>
                <w:sz w:val="16"/>
                <w:szCs w:val="16"/>
                <w:lang w:eastAsia="pt-BR"/>
              </w:rPr>
              <w:t xml:space="preserve"> constantes nas cláusulas 7.11 e 7.11.1 do Termo de Referência </w:t>
            </w:r>
            <w:hyperlink r:id="rId9" w:tgtFrame="_blank" w:history="1">
              <w:r w:rsidRPr="0013331D">
                <w:rPr>
                  <w:rStyle w:val="Hyperlink"/>
                  <w:rFonts w:ascii="Arial" w:eastAsia="Times New Roman" w:hAnsi="Arial" w:cs="Arial"/>
                  <w:i/>
                  <w:iCs/>
                  <w:sz w:val="16"/>
                  <w:szCs w:val="16"/>
                  <w:lang w:eastAsia="pt-BR"/>
                </w:rPr>
                <w:t>13249795</w:t>
              </w:r>
            </w:hyperlink>
            <w:r w:rsidRPr="0013331D">
              <w:rPr>
                <w:rFonts w:ascii="Arial" w:eastAsia="Times New Roman" w:hAnsi="Arial" w:cs="Arial"/>
                <w:i/>
                <w:iCs/>
                <w:sz w:val="16"/>
                <w:szCs w:val="16"/>
                <w:lang w:eastAsia="pt-BR"/>
              </w:rPr>
              <w:t> )</w:t>
            </w:r>
          </w:p>
        </w:tc>
      </w:tr>
      <w:tr w:rsidR="00607B4E" w:rsidRPr="0013331D" w14:paraId="0996883E" w14:textId="77777777" w:rsidTr="00607B4E">
        <w:tc>
          <w:tcPr>
            <w:tcW w:w="2268"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14:paraId="4AE87F2C"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Total</w:t>
            </w:r>
          </w:p>
        </w:tc>
        <w:tc>
          <w:tcPr>
            <w:tcW w:w="5386" w:type="dxa"/>
            <w:tcBorders>
              <w:top w:val="nil"/>
              <w:left w:val="nil"/>
              <w:bottom w:val="single" w:sz="8" w:space="0" w:color="000000"/>
              <w:right w:val="single" w:sz="8" w:space="0" w:color="000000"/>
            </w:tcBorders>
            <w:tcMar>
              <w:top w:w="0" w:type="dxa"/>
              <w:left w:w="105" w:type="dxa"/>
              <w:bottom w:w="0" w:type="dxa"/>
              <w:right w:w="105" w:type="dxa"/>
            </w:tcMar>
            <w:hideMark/>
          </w:tcPr>
          <w:p w14:paraId="54638949" w14:textId="77777777" w:rsidR="00607B4E" w:rsidRPr="0013331D" w:rsidRDefault="00607B4E" w:rsidP="00607B4E">
            <w:pPr>
              <w:spacing w:before="120" w:after="120" w:line="240" w:lineRule="auto"/>
              <w:ind w:left="120" w:right="120"/>
              <w:jc w:val="both"/>
              <w:rPr>
                <w:rFonts w:ascii="Arial" w:eastAsia="Times New Roman" w:hAnsi="Arial" w:cs="Arial"/>
                <w:i/>
                <w:iCs/>
                <w:sz w:val="16"/>
                <w:szCs w:val="16"/>
                <w:lang w:eastAsia="pt-BR"/>
              </w:rPr>
            </w:pPr>
            <w:r w:rsidRPr="0013331D">
              <w:rPr>
                <w:rFonts w:ascii="Arial" w:eastAsia="Times New Roman" w:hAnsi="Arial" w:cs="Arial"/>
                <w:b/>
                <w:bCs/>
                <w:i/>
                <w:iCs/>
                <w:sz w:val="16"/>
                <w:szCs w:val="16"/>
                <w:lang w:eastAsia="pt-BR"/>
              </w:rPr>
              <w:t>170 dias</w:t>
            </w:r>
          </w:p>
        </w:tc>
      </w:tr>
    </w:tbl>
    <w:p w14:paraId="13053EEC" w14:textId="50F08DAD"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415E2980" w14:textId="423F1306"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 </w:t>
      </w:r>
    </w:p>
    <w:p w14:paraId="546AF1A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lastRenderedPageBreak/>
        <w:t>3. CLÁUSULA TERCEIRA – MODELOS DE EXECUÇÃO E GESTÃO CONTRATUAIS</w:t>
      </w:r>
    </w:p>
    <w:p w14:paraId="25C6ACC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3.1. O regime de execução contratual, o modelo de gestão, assim como os prazos e condições de conclusão, entrega, observação e recebimento definitivo constam no Termo de Referência, anexo ao Edital.</w:t>
      </w:r>
    </w:p>
    <w:p w14:paraId="46809FEA"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4. CLÁUSULA QUARTA - SUBCONTRATAÇÃO</w:t>
      </w:r>
    </w:p>
    <w:p w14:paraId="528E3AA5" w14:textId="37E2D14D" w:rsidR="00D733DB" w:rsidRPr="0013331D" w:rsidRDefault="00D733DB" w:rsidP="00D733DB">
      <w:pPr>
        <w:spacing w:before="100" w:beforeAutospacing="1" w:after="100" w:afterAutospacing="1" w:line="240" w:lineRule="auto"/>
        <w:jc w:val="both"/>
        <w:rPr>
          <w:rFonts w:ascii="Arial" w:eastAsia="Times New Roman" w:hAnsi="Arial" w:cs="Arial"/>
          <w:color w:val="000000"/>
          <w:sz w:val="24"/>
          <w:szCs w:val="24"/>
          <w:lang w:eastAsia="pt-BR"/>
        </w:rPr>
      </w:pPr>
      <w:r w:rsidRPr="0013331D">
        <w:rPr>
          <w:rFonts w:ascii="Arial" w:eastAsia="Times New Roman" w:hAnsi="Arial" w:cs="Arial"/>
          <w:color w:val="000000"/>
          <w:sz w:val="24"/>
          <w:szCs w:val="24"/>
          <w:lang w:eastAsia="pt-BR"/>
        </w:rPr>
        <w:t>4.1. Não será admitida a subcontratação do objeto contratual. </w:t>
      </w:r>
    </w:p>
    <w:p w14:paraId="4FCCC2C9" w14:textId="77777777" w:rsidR="008F49D7" w:rsidRPr="0013331D" w:rsidRDefault="008F49D7" w:rsidP="00D733DB">
      <w:pPr>
        <w:spacing w:before="100" w:beforeAutospacing="1" w:after="100" w:afterAutospacing="1" w:line="240" w:lineRule="auto"/>
        <w:jc w:val="both"/>
        <w:rPr>
          <w:rFonts w:ascii="Arial" w:eastAsia="Times New Roman" w:hAnsi="Arial" w:cs="Arial"/>
          <w:sz w:val="24"/>
          <w:szCs w:val="24"/>
          <w:lang w:eastAsia="pt-BR"/>
        </w:rPr>
      </w:pPr>
    </w:p>
    <w:p w14:paraId="356CA80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5. CLÁUSULA QUINTA - PREÇO</w:t>
      </w:r>
    </w:p>
    <w:p w14:paraId="299A1E9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5.1. O valor total da contratação é de R$.......... (.....)</w:t>
      </w:r>
    </w:p>
    <w:p w14:paraId="0E9C3D5C"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D2EE363" w14:textId="11FE0CAA" w:rsidR="00D733DB" w:rsidRPr="0013331D" w:rsidRDefault="00D733DB" w:rsidP="00D733DB">
      <w:pPr>
        <w:spacing w:before="100" w:beforeAutospacing="1" w:after="100" w:afterAutospacing="1" w:line="240" w:lineRule="auto"/>
        <w:jc w:val="both"/>
        <w:rPr>
          <w:rFonts w:ascii="Arial" w:eastAsia="Times New Roman" w:hAnsi="Arial" w:cs="Arial"/>
          <w:color w:val="000000"/>
          <w:sz w:val="24"/>
          <w:szCs w:val="24"/>
          <w:lang w:eastAsia="pt-BR"/>
        </w:rPr>
      </w:pPr>
      <w:r w:rsidRPr="0013331D">
        <w:rPr>
          <w:rFonts w:ascii="Arial" w:eastAsia="Times New Roman" w:hAnsi="Arial" w:cs="Arial"/>
          <w:color w:val="000000"/>
          <w:sz w:val="24"/>
          <w:szCs w:val="24"/>
          <w:lang w:eastAsia="pt-BR"/>
        </w:rPr>
        <w:t>5.3. O valor acima é meramente estimativo, de forma que os pagamentos devidos ao contratado dependerão dos quantitativos efetivamente fornecidos. </w:t>
      </w:r>
    </w:p>
    <w:p w14:paraId="6D1F2D78" w14:textId="77777777" w:rsidR="008F49D7" w:rsidRPr="0013331D" w:rsidRDefault="008F49D7" w:rsidP="00D733DB">
      <w:pPr>
        <w:spacing w:before="100" w:beforeAutospacing="1" w:after="100" w:afterAutospacing="1" w:line="240" w:lineRule="auto"/>
        <w:jc w:val="both"/>
        <w:rPr>
          <w:rFonts w:ascii="Arial" w:eastAsia="Times New Roman" w:hAnsi="Arial" w:cs="Arial"/>
          <w:sz w:val="24"/>
          <w:szCs w:val="24"/>
          <w:lang w:eastAsia="pt-BR"/>
        </w:rPr>
      </w:pPr>
    </w:p>
    <w:p w14:paraId="6AD643E0"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6. CLÁUSULA SEXTA - PAGAMENTO</w:t>
      </w:r>
    </w:p>
    <w:p w14:paraId="38F6CC55" w14:textId="673F690A"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xml:space="preserve">6.1. O prazo para pagamento ao contratado e demais condições a ele referentes encontram-se definidos no Termo de Referência, anexo </w:t>
      </w:r>
      <w:r w:rsidR="007E7B68" w:rsidRPr="0013331D">
        <w:rPr>
          <w:rFonts w:ascii="Arial" w:eastAsia="Times New Roman" w:hAnsi="Arial" w:cs="Arial"/>
          <w:color w:val="000000"/>
          <w:sz w:val="24"/>
          <w:szCs w:val="24"/>
          <w:lang w:eastAsia="pt-BR"/>
        </w:rPr>
        <w:t>ao Edital</w:t>
      </w:r>
      <w:r w:rsidRPr="0013331D">
        <w:rPr>
          <w:rFonts w:ascii="Arial" w:eastAsia="Times New Roman" w:hAnsi="Arial" w:cs="Arial"/>
          <w:color w:val="000000"/>
          <w:sz w:val="24"/>
          <w:szCs w:val="24"/>
          <w:lang w:eastAsia="pt-BR"/>
        </w:rPr>
        <w:t>.</w:t>
      </w:r>
    </w:p>
    <w:p w14:paraId="6F09985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5E263C0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7. CLÁUSULA SÉTIMA - REAJUSTE</w:t>
      </w:r>
    </w:p>
    <w:p w14:paraId="7BDA1DFA" w14:textId="0B3828E1"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xml:space="preserve">7.1. As regras acerca do reajuste do valor contratual são aquelas definidas no Termo de Referência, anexo </w:t>
      </w:r>
      <w:r w:rsidR="00554005" w:rsidRPr="0013331D">
        <w:rPr>
          <w:rFonts w:ascii="Arial" w:eastAsia="Times New Roman" w:hAnsi="Arial" w:cs="Arial"/>
          <w:color w:val="000000"/>
          <w:sz w:val="24"/>
          <w:szCs w:val="24"/>
          <w:lang w:eastAsia="pt-BR"/>
        </w:rPr>
        <w:t>ao Edital</w:t>
      </w:r>
      <w:r w:rsidRPr="0013331D">
        <w:rPr>
          <w:rFonts w:ascii="Arial" w:eastAsia="Times New Roman" w:hAnsi="Arial" w:cs="Arial"/>
          <w:color w:val="000000"/>
          <w:sz w:val="24"/>
          <w:szCs w:val="24"/>
          <w:lang w:eastAsia="pt-BR"/>
        </w:rPr>
        <w:t>.</w:t>
      </w:r>
    </w:p>
    <w:p w14:paraId="79BCF18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608BF0F6"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8. CLÁUSULA OITAVA - OBRIGAÇÕES DO CONTRATANTE</w:t>
      </w:r>
    </w:p>
    <w:p w14:paraId="0BDC283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 São obrigações do contratante:</w:t>
      </w:r>
    </w:p>
    <w:p w14:paraId="180069D4"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 Nomear gestor e os fiscais do contrato para acompanhar e fiscalizar a execução dos contratos;</w:t>
      </w:r>
    </w:p>
    <w:p w14:paraId="62E8B04C"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lastRenderedPageBreak/>
        <w:t>8.1.2. Encaminhar formalmente a demanda por meio de ordem de serviço, quando for o caso, de acordo com os critérios estabelecidos no Termo de Referência;</w:t>
      </w:r>
    </w:p>
    <w:p w14:paraId="13C03BF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8.1.3. Exigir o cumprimento de todas as obrigações assumidas pelo contratado, de acordo com o contrato e seus anexos;</w:t>
      </w:r>
    </w:p>
    <w:p w14:paraId="50CA0D5C"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8.1.4. Receber o objeto o objeto fornecido pelo contratado que esteja em conformidade com a proposta aceita, conforme inspeções realizadas;</w:t>
      </w:r>
    </w:p>
    <w:p w14:paraId="726F61F4"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8.1.5. Comunicar ao contratado todas e quaisquer ocorrências relacionadas à prestação dos serviços;</w:t>
      </w:r>
    </w:p>
    <w:p w14:paraId="360DBE2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8.1.6. Notificar o contratado, por escrito, sobre vícios, defeitos ou incorreções verificadas no objeto fornecido, para que seja por ele substituído, reparado ou corrigido, no total ou em parte, às suas expensas;</w:t>
      </w:r>
    </w:p>
    <w:p w14:paraId="4845E452"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8.1.7. Acompanhar e fiscalizar a execução do contrato e o cumprimento das obrigações pelo contratado;</w:t>
      </w:r>
    </w:p>
    <w:p w14:paraId="3C54F010"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8.1.8. Realizar avaliações periódicas da qualidade dos serviços, após seu recebimento;</w:t>
      </w:r>
    </w:p>
    <w:p w14:paraId="218A5A3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8.1.9. Comunicar a empresa para emissão de Nota Fiscal no que refere à parcela incontroversa da execução do objeto, para efeito de liquidação e pagamento, quando houver controvérsia sobre a execução do objeto, quanto à dimensão, qualidade e quantidade, conforme o art. 143 da Lei nº 14.133/2021;</w:t>
      </w:r>
    </w:p>
    <w:p w14:paraId="53B41053"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8.1.10. Liquidar o empenho e efetuar o pagamento ao contratado, dentro dos prazos preestabelecidos em contrato;</w:t>
      </w:r>
    </w:p>
    <w:p w14:paraId="3DE33544"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8.1.11. Aplicar ao contratado as sanções administrativas regulamentares e contratuais cabíveis, comunicando ao órgão gerenciador da Ata de Registro de Preços, quando aplicável;</w:t>
      </w:r>
    </w:p>
    <w:p w14:paraId="507F47D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8.1.12.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DF50B81"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8.1.12.1. Concluída a instrução do requerimento, a Administração terá o prazo de 1 (um) mês para decidir, ressalvadas as hipóteses de reajuste e reequilíbrio econômico-financeiro, admitida a prorrogação motivada por igual período.</w:t>
      </w:r>
    </w:p>
    <w:p w14:paraId="7CC7375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8.1.13. Notificar os emitentes das garantias quanto ao início de processo administrativo para apuração de descumprimento de cláusulas contratuais;</w:t>
      </w:r>
    </w:p>
    <w:p w14:paraId="01A3F362" w14:textId="26588499"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8.1.14. Comunicar aos emitentes das garanti</w:t>
      </w:r>
      <w:r w:rsidR="00024E24" w:rsidRPr="0013331D">
        <w:rPr>
          <w:rFonts w:ascii="Arial" w:eastAsia="Times New Roman" w:hAnsi="Arial" w:cs="Arial"/>
          <w:color w:val="000000"/>
          <w:sz w:val="24"/>
          <w:szCs w:val="24"/>
          <w:lang w:eastAsia="pt-BR"/>
        </w:rPr>
        <w:t>a</w:t>
      </w:r>
      <w:r w:rsidRPr="0013331D">
        <w:rPr>
          <w:rFonts w:ascii="Arial" w:eastAsia="Times New Roman" w:hAnsi="Arial" w:cs="Arial"/>
          <w:color w:val="000000"/>
          <w:sz w:val="24"/>
          <w:szCs w:val="24"/>
          <w:lang w:eastAsia="pt-BR"/>
        </w:rPr>
        <w:t>s as alterações contratuais que resultem agravamento do risco, de acordo com os critérios estabelecidos nas condições contratuais do seguro, observada a normatização de regência;</w:t>
      </w:r>
    </w:p>
    <w:p w14:paraId="09BCAF2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lastRenderedPageBreak/>
        <w:t>8.1.15. Comunicar o contratado na hipótese de posterior alteração do projeto pelo contratante, no caso do art. 93, §3º, da Lei nº 14.133/2021;</w:t>
      </w:r>
    </w:p>
    <w:p w14:paraId="26990A25"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8.1.16. Fornecer por escrito as informações necessárias para o desenvolvimento dos serviços objeto do contrato;</w:t>
      </w:r>
    </w:p>
    <w:p w14:paraId="582706A4"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8.1.17.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C36B7E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8.1.18. Previamente à expedição da ordem de serviço, verificar pendências, liberar áreas e/ou adotar providências cabíveis para a regularidade do início da sua execução;</w:t>
      </w:r>
    </w:p>
    <w:p w14:paraId="0A3AE84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8.1.19. Não praticar atos de ingerência na administração do contratado, tais como:</w:t>
      </w:r>
      <w:r w:rsidRPr="0013331D">
        <w:rPr>
          <w:rFonts w:ascii="Arial" w:eastAsia="Times New Roman" w:hAnsi="Arial" w:cs="Arial"/>
          <w:sz w:val="24"/>
          <w:szCs w:val="24"/>
          <w:lang w:eastAsia="pt-BR"/>
        </w:rPr>
        <w:br/>
      </w:r>
      <w:r w:rsidRPr="0013331D">
        <w:rPr>
          <w:rFonts w:ascii="Arial" w:eastAsia="Times New Roman" w:hAnsi="Arial" w:cs="Arial"/>
          <w:color w:val="000000"/>
          <w:sz w:val="24"/>
          <w:szCs w:val="24"/>
          <w:lang w:eastAsia="pt-BR"/>
        </w:rPr>
        <w:t>a) indicar pessoas expressamente nominadas para executar direta ou indiretamente o objeto contratado;</w:t>
      </w:r>
      <w:r w:rsidRPr="0013331D">
        <w:rPr>
          <w:rFonts w:ascii="Arial" w:eastAsia="Times New Roman" w:hAnsi="Arial" w:cs="Arial"/>
          <w:sz w:val="24"/>
          <w:szCs w:val="24"/>
          <w:lang w:eastAsia="pt-BR"/>
        </w:rPr>
        <w:br/>
      </w:r>
      <w:r w:rsidRPr="0013331D">
        <w:rPr>
          <w:rFonts w:ascii="Arial" w:eastAsia="Times New Roman" w:hAnsi="Arial" w:cs="Arial"/>
          <w:color w:val="000000"/>
          <w:sz w:val="24"/>
          <w:szCs w:val="24"/>
          <w:lang w:eastAsia="pt-BR"/>
        </w:rPr>
        <w:t>b) fixar salário inferior ao definido em lei ou em ato normativo a ser pago pelo contratado;</w:t>
      </w:r>
      <w:r w:rsidRPr="0013331D">
        <w:rPr>
          <w:rFonts w:ascii="Arial" w:eastAsia="Times New Roman" w:hAnsi="Arial" w:cs="Arial"/>
          <w:sz w:val="24"/>
          <w:szCs w:val="24"/>
          <w:lang w:eastAsia="pt-BR"/>
        </w:rPr>
        <w:br/>
      </w:r>
      <w:r w:rsidRPr="0013331D">
        <w:rPr>
          <w:rFonts w:ascii="Arial" w:eastAsia="Times New Roman" w:hAnsi="Arial" w:cs="Arial"/>
          <w:color w:val="000000"/>
          <w:sz w:val="24"/>
          <w:szCs w:val="24"/>
          <w:lang w:eastAsia="pt-BR"/>
        </w:rPr>
        <w:t>c) estabelecer vínculo de subordinação com funcionário do contratado;</w:t>
      </w:r>
      <w:r w:rsidRPr="0013331D">
        <w:rPr>
          <w:rFonts w:ascii="Arial" w:eastAsia="Times New Roman" w:hAnsi="Arial" w:cs="Arial"/>
          <w:sz w:val="24"/>
          <w:szCs w:val="24"/>
          <w:lang w:eastAsia="pt-BR"/>
        </w:rPr>
        <w:br/>
      </w:r>
      <w:r w:rsidRPr="0013331D">
        <w:rPr>
          <w:rFonts w:ascii="Arial" w:eastAsia="Times New Roman" w:hAnsi="Arial" w:cs="Arial"/>
          <w:color w:val="000000"/>
          <w:sz w:val="24"/>
          <w:szCs w:val="24"/>
          <w:lang w:eastAsia="pt-BR"/>
        </w:rPr>
        <w:t>d) definir forma de pagamento mediante exclusivo reembolso dos salários pagos;</w:t>
      </w:r>
      <w:r w:rsidRPr="0013331D">
        <w:rPr>
          <w:rFonts w:ascii="Arial" w:eastAsia="Times New Roman" w:hAnsi="Arial" w:cs="Arial"/>
          <w:sz w:val="24"/>
          <w:szCs w:val="24"/>
          <w:lang w:eastAsia="pt-BR"/>
        </w:rPr>
        <w:br/>
      </w:r>
      <w:r w:rsidRPr="0013331D">
        <w:rPr>
          <w:rFonts w:ascii="Arial" w:eastAsia="Times New Roman" w:hAnsi="Arial" w:cs="Arial"/>
          <w:color w:val="000000"/>
          <w:sz w:val="24"/>
          <w:szCs w:val="24"/>
          <w:lang w:eastAsia="pt-BR"/>
        </w:rPr>
        <w:t>e) demandar a funcionário do contratado a execução de tarefas fora do escopo do objeto da contratação; e</w:t>
      </w:r>
      <w:r w:rsidRPr="0013331D">
        <w:rPr>
          <w:rFonts w:ascii="Arial" w:eastAsia="Times New Roman" w:hAnsi="Arial" w:cs="Arial"/>
          <w:sz w:val="24"/>
          <w:szCs w:val="24"/>
          <w:lang w:eastAsia="pt-BR"/>
        </w:rPr>
        <w:br/>
      </w:r>
      <w:r w:rsidRPr="0013331D">
        <w:rPr>
          <w:rFonts w:ascii="Arial" w:eastAsia="Times New Roman" w:hAnsi="Arial" w:cs="Arial"/>
          <w:color w:val="000000"/>
          <w:sz w:val="24"/>
          <w:szCs w:val="24"/>
          <w:lang w:eastAsia="pt-BR"/>
        </w:rPr>
        <w:t>f) prever exigências que constituam intervenção indevida da Administração na gestão interna do contratado.</w:t>
      </w:r>
    </w:p>
    <w:p w14:paraId="10EE865A"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9A4DCE6"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34BB31DB"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0C747148"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9. CLÁUSULA NONA - OBRIGAÇÕES DO CONTRATADO</w:t>
      </w:r>
    </w:p>
    <w:p w14:paraId="0023175A"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5D438254" w14:textId="786F394C"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 Atender às determinações regulares emitidas pelo fiscal do contrato ou autoridade superior (art. 137, II</w:t>
      </w:r>
      <w:r w:rsidR="000A2E56" w:rsidRPr="0013331D">
        <w:rPr>
          <w:rFonts w:ascii="Arial" w:eastAsia="Times New Roman" w:hAnsi="Arial" w:cs="Arial"/>
          <w:color w:val="000000"/>
          <w:sz w:val="24"/>
          <w:szCs w:val="24"/>
          <w:lang w:eastAsia="pt-BR"/>
        </w:rPr>
        <w:t>, da</w:t>
      </w:r>
      <w:r w:rsidR="00024E24" w:rsidRPr="0013331D">
        <w:rPr>
          <w:rFonts w:ascii="Arial" w:eastAsia="Times New Roman" w:hAnsi="Arial" w:cs="Arial"/>
          <w:color w:val="000000"/>
          <w:sz w:val="24"/>
          <w:szCs w:val="24"/>
          <w:lang w:eastAsia="pt-BR"/>
        </w:rPr>
        <w:t xml:space="preserve"> Lei nº 14.133/2021</w:t>
      </w:r>
      <w:r w:rsidRPr="0013331D">
        <w:rPr>
          <w:rFonts w:ascii="Arial" w:eastAsia="Times New Roman" w:hAnsi="Arial" w:cs="Arial"/>
          <w:color w:val="000000"/>
          <w:sz w:val="24"/>
          <w:szCs w:val="24"/>
          <w:lang w:eastAsia="pt-BR"/>
        </w:rPr>
        <w:t>);</w:t>
      </w:r>
    </w:p>
    <w:p w14:paraId="01EBB7EC"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lastRenderedPageBreak/>
        <w:t>9.1.2. Reparar, corrigir, remover, reconstruir ou substituir, às suas expensas, no total ou em parte, no prazo fixado pelo fiscal do contrato, os serviços nos quais se verificarem vícios, defeitos ou incorreções resultantes da execução ou dos materiais empregados;</w:t>
      </w:r>
    </w:p>
    <w:p w14:paraId="2F7842B5"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33A3DE1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308BE502"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01DD509A"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9.1.6.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21E85E0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A6D3060" w14:textId="5DF6003C"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14:paraId="79E5C54A"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9.1.9. Comunicar ao Fiscal do contrato, no prazo de 24 (vinte e quatro) horas, qualquer ocorrência anormal ou acidente que se verifique no local dos serviços;</w:t>
      </w:r>
    </w:p>
    <w:p w14:paraId="7ECE8FBB"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9.1.10. Prestar todo esclarecimento ou informação solicitada pelo contratante ou por seus prepostos;</w:t>
      </w:r>
    </w:p>
    <w:p w14:paraId="556CEFD8"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lastRenderedPageBreak/>
        <w:t>9.1.11. Paralisar, por determinação do contratante, qualquer atividade que não esteja sendo executada de acordo com a boa técnica ou que ponha em risco a segurança de pessoas ou bens de terceiros;</w:t>
      </w:r>
    </w:p>
    <w:p w14:paraId="4F3A157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9.1.12. Promover a guarda, manutenção e vigilância de materiais, ferramentas, e tudo o que for necessário à execução do objeto, durante a vigência do contrato;</w:t>
      </w:r>
    </w:p>
    <w:p w14:paraId="025795C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751A020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9.1.14. Prestar os serviços dentro dos parâmetros e rotinas estabelecidos;</w:t>
      </w:r>
    </w:p>
    <w:p w14:paraId="01CCC7BA"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9.1.15. Submeter previamente, por escrito, ao contratante, para análise e aprovação, quaisquer mudanças nos métodos executivos que fujam às especificações do memorial descritivo ou instrumento congênere;</w:t>
      </w:r>
    </w:p>
    <w:p w14:paraId="2816D475"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9.1.16. Cumprir as normas de proteção ao trabalho, inclusive aquelas relativas à segurança e à saúde no trabalho;</w:t>
      </w:r>
    </w:p>
    <w:p w14:paraId="0EE1549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9.1.17. Disponibilizar os empregados necessários, com habilitação e conhecimento adequados, ao perfeito cumprimento das cláusulas deste contrato;</w:t>
      </w:r>
    </w:p>
    <w:p w14:paraId="7576E54A"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9.1.18. Não submeter os trabalhadores a condições degradantes de trabalho, jornadas exaustivas, servidão por dívida ou trabalhos forçados;</w:t>
      </w:r>
    </w:p>
    <w:p w14:paraId="6D47502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9.1.19. Não permitir a utilização de qualquer trabalho do menor de dezesseis anos de idade, exceto na condição de aprendiz para os maiores de quatorze anos de idade, observada a legislação pertinente;</w:t>
      </w:r>
    </w:p>
    <w:p w14:paraId="63DBB7C5"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9.1.20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F25F048"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9.1.21. Manter durante toda a vigência do contrato, em compatibilidade com as obrigações assumidas, todas as condições exigidas para habilitação na licitação, ou para qualificação, na contratação direta;</w:t>
      </w:r>
    </w:p>
    <w:p w14:paraId="6D7FF3B0"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14:paraId="60B498C0"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9.1.23. Comprovar a reserva de cargos a que se refere a cláusula acima, no prazo fixado pelo fiscal do contrato, com a indicação dos empregados que preencheram as referidas vagas;</w:t>
      </w:r>
    </w:p>
    <w:p w14:paraId="0B54FAA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lastRenderedPageBreak/>
        <w:t>9.1.24. Guardar sigilo sobre todas as informações obtidas em decorrência do cumprimento do contrato;</w:t>
      </w:r>
    </w:p>
    <w:p w14:paraId="5620D100"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43FEE243"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9.1.26.  Fornecer todos os materiais, equipamentos, ferramentas e utensílios demandados, em quantidade, qualidade e tecnologia adequadas, com a observância às recomendações aceitas pela boa técnica, normas e legislação de regência;</w:t>
      </w:r>
    </w:p>
    <w:p w14:paraId="243B0872"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9.1.27. Fornecer equipamentos de proteção individual (EPI) e equipamentos de proteção coletiva (EPC),quando for o caso;</w:t>
      </w:r>
    </w:p>
    <w:p w14:paraId="07BFCAAB"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9.1.28. Garantir o acesso do contratante, a qualquer tempo, ao local dos trabalhos, bem como aos documentos relativos à execução do contrato;</w:t>
      </w:r>
    </w:p>
    <w:p w14:paraId="63CEC003"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9.1.29. Cumprir, além dos postulados legais vigentes de âmbito federal, estadual ou municipal, as normas de segurança do contratante;</w:t>
      </w:r>
    </w:p>
    <w:p w14:paraId="0DA90E48" w14:textId="72ACE15C"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9.1.30. Promover a organização técnica e administrativa dos serviços, de modo a conduzi-los eficaz e eficientemente, de acordo com os documentos e especificações que integram o Termo de Referência, no prazo determinado;</w:t>
      </w:r>
      <w:r w:rsidR="0081119C" w:rsidRPr="0013331D">
        <w:rPr>
          <w:rFonts w:ascii="Arial" w:eastAsia="Times New Roman" w:hAnsi="Arial" w:cs="Arial"/>
          <w:color w:val="000000"/>
          <w:sz w:val="24"/>
          <w:szCs w:val="24"/>
          <w:lang w:eastAsia="pt-BR"/>
        </w:rPr>
        <w:br/>
      </w:r>
      <w:r w:rsidRPr="0013331D">
        <w:rPr>
          <w:rFonts w:ascii="Arial" w:eastAsia="Times New Roman" w:hAnsi="Arial" w:cs="Arial"/>
          <w:sz w:val="24"/>
          <w:szCs w:val="24"/>
          <w:lang w:eastAsia="pt-BR"/>
        </w:rPr>
        <w:br/>
      </w:r>
      <w:r w:rsidRPr="0013331D">
        <w:rPr>
          <w:rFonts w:ascii="Arial" w:eastAsia="Times New Roman" w:hAnsi="Arial" w:cs="Arial"/>
          <w:color w:val="000000"/>
          <w:sz w:val="24"/>
          <w:szCs w:val="24"/>
          <w:lang w:eastAsia="pt-BR"/>
        </w:rPr>
        <w:t>9.1.31. Instruir seus empregados quanto à necessidade de acatar as normas internas da Administração;</w:t>
      </w:r>
      <w:r w:rsidR="0081119C" w:rsidRPr="0013331D">
        <w:rPr>
          <w:rFonts w:ascii="Arial" w:eastAsia="Times New Roman" w:hAnsi="Arial" w:cs="Arial"/>
          <w:color w:val="000000"/>
          <w:sz w:val="24"/>
          <w:szCs w:val="24"/>
          <w:lang w:eastAsia="pt-BR"/>
        </w:rPr>
        <w:br/>
      </w:r>
      <w:r w:rsidRPr="0013331D">
        <w:rPr>
          <w:rFonts w:ascii="Arial" w:eastAsia="Times New Roman" w:hAnsi="Arial" w:cs="Arial"/>
          <w:sz w:val="24"/>
          <w:szCs w:val="24"/>
          <w:lang w:eastAsia="pt-BR"/>
        </w:rPr>
        <w:br/>
      </w:r>
      <w:r w:rsidRPr="0013331D">
        <w:rPr>
          <w:rFonts w:ascii="Arial" w:eastAsia="Times New Roman" w:hAnsi="Arial" w:cs="Arial"/>
          <w:color w:val="000000"/>
          <w:sz w:val="24"/>
          <w:szCs w:val="24"/>
          <w:lang w:eastAsia="pt-BR"/>
        </w:rPr>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299595CE"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9.1.33. Receber e dar o tratamento adequado a denúncias de discriminação, violência e assédio no ambiente de trabalho;</w:t>
      </w:r>
    </w:p>
    <w:p w14:paraId="0EF1C90F" w14:textId="66BE2C0F"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9.1.3</w:t>
      </w:r>
      <w:r w:rsidR="003E2FEB">
        <w:rPr>
          <w:rFonts w:ascii="Arial" w:eastAsia="Times New Roman" w:hAnsi="Arial" w:cs="Arial"/>
          <w:color w:val="000000"/>
          <w:sz w:val="24"/>
          <w:szCs w:val="24"/>
          <w:lang w:eastAsia="pt-BR"/>
        </w:rPr>
        <w:t>4</w:t>
      </w:r>
      <w:r w:rsidRPr="0013331D">
        <w:rPr>
          <w:rFonts w:ascii="Arial" w:eastAsia="Times New Roman" w:hAnsi="Arial" w:cs="Arial"/>
          <w:color w:val="000000"/>
          <w:sz w:val="24"/>
          <w:szCs w:val="24"/>
          <w:lang w:eastAsia="pt-BR"/>
        </w:rPr>
        <w:t xml:space="preserve">.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w:t>
      </w:r>
      <w:hyperlink r:id="rId10" w:tgtFrame="_blank" w:history="1">
        <w:r w:rsidRPr="0013331D">
          <w:rPr>
            <w:rFonts w:ascii="Arial" w:eastAsia="Times New Roman" w:hAnsi="Arial" w:cs="Arial"/>
            <w:color w:val="0000FF"/>
            <w:sz w:val="24"/>
            <w:szCs w:val="24"/>
            <w:u w:val="single"/>
            <w:lang w:eastAsia="pt-BR"/>
          </w:rPr>
          <w:t>https://web.trf3.jus.br/atos-normativos/</w:t>
        </w:r>
      </w:hyperlink>
      <w:r w:rsidRPr="0013331D">
        <w:rPr>
          <w:rFonts w:ascii="Arial" w:eastAsia="Times New Roman" w:hAnsi="Arial" w:cs="Arial"/>
          <w:color w:val="000000"/>
          <w:sz w:val="24"/>
          <w:szCs w:val="24"/>
          <w:lang w:eastAsia="pt-BR"/>
        </w:rPr>
        <w:t> </w:t>
      </w:r>
    </w:p>
    <w:p w14:paraId="6CBAF0E1"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10. CLÁUSULA DÉCIMA - OBRIGAÇÕES PERTINENTES À LGPD</w:t>
      </w:r>
    </w:p>
    <w:p w14:paraId="2C083FD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xml:space="preserve">10.1. As partes deverão cumprir a Lei nº 13.709, de 14 de agosto de 2018 (LGPD), quanto a todos os dados pessoais a que tenham acesso em razão do certame, do processo de dispensa ou de inexigibilidade ou do contrato </w:t>
      </w:r>
      <w:r w:rsidRPr="0013331D">
        <w:rPr>
          <w:rFonts w:ascii="Arial" w:eastAsia="Times New Roman" w:hAnsi="Arial" w:cs="Arial"/>
          <w:color w:val="000000"/>
          <w:sz w:val="24"/>
          <w:szCs w:val="24"/>
          <w:lang w:eastAsia="pt-BR"/>
        </w:rPr>
        <w:lastRenderedPageBreak/>
        <w:t>administrativo que eventualmente venha a ser firmado, a partir da apresentação da proposta no procedimento de contratação, independentemente de declaração ou de aceitação expressa.</w:t>
      </w:r>
    </w:p>
    <w:p w14:paraId="53872826"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10.2. Os dados obtidos somente poderão ser utilizados para as finalidades que justificaram seu acesso e de acordo com a boa-fé e com os princípios do art. 6º da LGPD.</w:t>
      </w:r>
    </w:p>
    <w:p w14:paraId="031C275B"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10.3. É vedado o compartilhamento com terceiros dos dados obtidos fora das hipóteses permitidas em Lei.</w:t>
      </w:r>
    </w:p>
    <w:p w14:paraId="6A1E709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10.4. A Administração deverá ser informada no prazo de 5 (cinco) dias úteis sobre todos os contratos de suboperação firmados ou que venham a ser celebrados pelo contratado.</w:t>
      </w:r>
    </w:p>
    <w:p w14:paraId="2CD293AC"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07F775C0" w14:textId="33814526" w:rsidR="00D733DB" w:rsidRPr="0013331D" w:rsidRDefault="00D733DB" w:rsidP="00822421">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xml:space="preserve">10.6. É dever do contratado orientar e treinar seus empregados sobre os </w:t>
      </w:r>
    </w:p>
    <w:p w14:paraId="3B6D0996"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14CAA200"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10.7. O contratado deverá exigir de suboperadores e subcontratados o cumprimento dos deveres da presente cláusula, permanecendo integralmente responsável por garantir sua observância.</w:t>
      </w:r>
    </w:p>
    <w:p w14:paraId="3CB5A84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3051C886"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4C867793"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5DA61366"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lastRenderedPageBreak/>
        <w:t>10.10.1. Os referidos bancos de dados devem ser desenvolvidos em formato interoperável, a fim de garantir a reutilização desses dados pela Administração nas hipóteses previstas na LGPD.</w:t>
      </w:r>
    </w:p>
    <w:p w14:paraId="47431775"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45A68BF9" w14:textId="01469DEC"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10.12. Os contratos e convênios de que trata o § 1º do art. 26 da LGPD deverão ser comunicados à autoridade nacional. </w:t>
      </w:r>
    </w:p>
    <w:p w14:paraId="21549A03"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11. CLÁUSULA DÉCIMA PRIMEIRA – GARANTIA DE EXECUÇÃO</w:t>
      </w:r>
    </w:p>
    <w:p w14:paraId="2C2CCA2F" w14:textId="77777777" w:rsidR="002E781A"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11.1. Não haverá exigência de garantia contratual da execução.</w:t>
      </w:r>
    </w:p>
    <w:p w14:paraId="0DE47A79" w14:textId="27C7845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113B2F74"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12. CLÁUSULA DÉCIMA SEGUNDA - INFRAÇÕES E SANÇÕES ADMINISTRATIVAS</w:t>
      </w:r>
    </w:p>
    <w:p w14:paraId="26983129" w14:textId="0DEC8271"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12.1.  As regras acerca de infrações e sanções administrativas referentes à execução do contrato são aquelas definidas no Termo de Referência, anexo a</w:t>
      </w:r>
      <w:r w:rsidR="007E7B68" w:rsidRPr="0013331D">
        <w:rPr>
          <w:rFonts w:ascii="Arial" w:eastAsia="Times New Roman" w:hAnsi="Arial" w:cs="Arial"/>
          <w:color w:val="000000"/>
          <w:sz w:val="24"/>
          <w:szCs w:val="24"/>
          <w:lang w:eastAsia="pt-BR"/>
        </w:rPr>
        <w:t>o Edital</w:t>
      </w:r>
      <w:r w:rsidRPr="0013331D">
        <w:rPr>
          <w:rFonts w:ascii="Arial" w:eastAsia="Times New Roman" w:hAnsi="Arial" w:cs="Arial"/>
          <w:color w:val="000000"/>
          <w:sz w:val="24"/>
          <w:szCs w:val="24"/>
          <w:lang w:eastAsia="pt-BR"/>
        </w:rPr>
        <w:t>.</w:t>
      </w:r>
    </w:p>
    <w:p w14:paraId="37A2B854"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78863E76"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13. CLÁUSULA DÉCIMA TERCEIRA - EXTINÇÃO CONTRATUAL</w:t>
      </w:r>
    </w:p>
    <w:p w14:paraId="0144F1E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13.1. O contrato será extinto quando cumpridas as obrigações de ambas as partes, ainda que isso ocorra antes do prazo estipulado para tanto.</w:t>
      </w:r>
    </w:p>
    <w:p w14:paraId="4D01225A"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3F8FC511"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13.1.2. Quando a não conclusão do contrato referida no item anterior decorrer de culpa do contratado:</w:t>
      </w:r>
    </w:p>
    <w:p w14:paraId="0987F17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a) ficará ele constituído em mora, sendo-lhe aplicáveis as respectivas sanções administrativas; e</w:t>
      </w:r>
    </w:p>
    <w:p w14:paraId="3F476FB2"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b) poderá a Administração optar pela extinção do contrato e, nesse caso, adotará as medidas admitidas em lei para a continuidade da execução contratual.</w:t>
      </w:r>
    </w:p>
    <w:p w14:paraId="3B300FC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3DDA147E"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lastRenderedPageBreak/>
        <w:t>13.2.1. Nesta hipótese, aplicam-se também os artigos 138 e 139 da mesma Lei.</w:t>
      </w:r>
    </w:p>
    <w:p w14:paraId="7250FF63"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13.2.2. A alteração social ou a modificação da finalidade ou da estrutura da empresa não ensejará a extinção se não restringir sua capacidade de concluir o contrato.</w:t>
      </w:r>
    </w:p>
    <w:p w14:paraId="28625C1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13.2.2.1. Se a operação implicar mudança da pessoa jurídica contratada, deverá ser formalizado termo aditivo para alteração subjetiva.</w:t>
      </w:r>
    </w:p>
    <w:p w14:paraId="6073EA8B"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59F9D0E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5FD10CA8"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13.5. O contratante poderá ainda:</w:t>
      </w:r>
    </w:p>
    <w:p w14:paraId="71DF6CD5"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a) nos casos de obrigação de pagamento de multa pelo contratado, reter a garantia prestada a ser executada, conforme legislação que rege a matéria; e</w:t>
      </w:r>
    </w:p>
    <w:p w14:paraId="235F257C"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b) nos casos em que houver necessidade de ressarcimento de prejuízos causados à Administração, nos termos do inciso IV do art. 139 da Lei n.º 14.133/2021, reter os eventuais créditos existentes em favor do CONTRATADO decorrentes do contrato.</w:t>
      </w:r>
    </w:p>
    <w:p w14:paraId="142DD480"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13.6. O termo de extinção, sempre que possível, será precedido:</w:t>
      </w:r>
    </w:p>
    <w:p w14:paraId="3D3DECCB"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13.6.1. Balanço dos eventos contratuais já cumpridos ou parcialmente cumpridos;</w:t>
      </w:r>
    </w:p>
    <w:p w14:paraId="0BB20DBA"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13.6.2. Relação dos pagamentos já efetuados e ainda devidos;</w:t>
      </w:r>
    </w:p>
    <w:p w14:paraId="48C5543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13.6.3. Indenizações e multas.</w:t>
      </w:r>
    </w:p>
    <w:p w14:paraId="553C8BE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13.7. A extinção do contrato não configura óbice para o reconhecimento do desequilíbrio econômico-financeiro, hipótese em que será concedida indenização por meio de termo indenizatório (art. 131, caput, da Lei n.º 14.133/2021).</w:t>
      </w:r>
    </w:p>
    <w:p w14:paraId="0ED13462"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13.8. O contratado reconhece os direitos da Administração previstos nos artigos 137 a 139 da Lei nº 14.133/2021</w:t>
      </w:r>
    </w:p>
    <w:p w14:paraId="0AD33DF1"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lastRenderedPageBreak/>
        <w:t> </w:t>
      </w:r>
    </w:p>
    <w:p w14:paraId="64FBEBB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14. CLÁUSULA DÉCIMA QUARTA – ALTERAÇÕES</w:t>
      </w:r>
    </w:p>
    <w:p w14:paraId="0EF30642"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14.1. Eventuais alterações contratuais reger-se-ão pela disciplina dos arts. 124 e seguintes da Lei nº 14.133/2021.</w:t>
      </w:r>
    </w:p>
    <w:p w14:paraId="1C43BF03"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14:paraId="6E038FE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14.3. As supressões resultantes de acordo celebrado entre as partes contratantes poderão exceder o limite de 25% (vinte e cinco por cento) do valor inicial atualizado do contrato.</w:t>
      </w:r>
    </w:p>
    <w:p w14:paraId="2E77537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32CAEBE8"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14.5. Registros que não caracterizam alteração do contrato podem ser realizados por simples apostila, dispensada a celebração de termo aditivo, na forma do art. 136 da Lei nº 14.133/2021.</w:t>
      </w:r>
    </w:p>
    <w:p w14:paraId="2DC8E2AC"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0EACAD9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15. CLÁUSULA DÉCIMA QUINTA – DOTAÇÃO ORÇAMENTÁRIA</w:t>
      </w:r>
    </w:p>
    <w:p w14:paraId="118C29D0"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15.1. As despesas decorrentes da presente contratação correrão à conta de recursos específicos consignados no Orçamento Geral da União deste exercício, na dotação abaixo discriminada:</w:t>
      </w:r>
    </w:p>
    <w:p w14:paraId="492CCDA1" w14:textId="51E287B0"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I. Gestão/Unidade:</w:t>
      </w:r>
      <w:r w:rsidR="00166699" w:rsidRPr="0013331D">
        <w:rPr>
          <w:b/>
          <w:bCs/>
          <w:color w:val="0000FF"/>
          <w:sz w:val="28"/>
          <w:szCs w:val="28"/>
        </w:rPr>
        <w:t xml:space="preserve"> </w:t>
      </w:r>
      <w:r w:rsidR="00166699" w:rsidRPr="0013331D">
        <w:rPr>
          <w:rFonts w:ascii="Arial" w:eastAsia="Times New Roman" w:hAnsi="Arial" w:cs="Arial"/>
          <w:color w:val="000000"/>
          <w:sz w:val="24"/>
          <w:szCs w:val="24"/>
          <w:lang w:eastAsia="pt-BR"/>
        </w:rPr>
        <w:t>UG/Gestão:</w:t>
      </w:r>
      <w:r w:rsidR="003B3354" w:rsidRPr="0013331D">
        <w:rPr>
          <w:rFonts w:ascii="Arial" w:eastAsia="Times New Roman" w:hAnsi="Arial" w:cs="Arial"/>
          <w:color w:val="000000"/>
          <w:sz w:val="24"/>
          <w:szCs w:val="24"/>
          <w:lang w:eastAsia="pt-BR"/>
        </w:rPr>
        <w:t xml:space="preserve"> </w:t>
      </w:r>
      <w:r w:rsidR="00166699" w:rsidRPr="0013331D">
        <w:rPr>
          <w:rFonts w:ascii="Arial" w:eastAsia="Times New Roman" w:hAnsi="Arial" w:cs="Arial"/>
          <w:color w:val="000000"/>
          <w:sz w:val="24"/>
          <w:szCs w:val="24"/>
          <w:lang w:eastAsia="pt-BR"/>
        </w:rPr>
        <w:t>090017/0001</w:t>
      </w:r>
      <w:r w:rsidR="00166699" w:rsidRPr="0013331D">
        <w:rPr>
          <w:rFonts w:ascii="Arial" w:eastAsia="Times New Roman" w:hAnsi="Arial" w:cs="Arial"/>
          <w:b/>
          <w:bCs/>
          <w:color w:val="000000"/>
          <w:sz w:val="24"/>
          <w:szCs w:val="24"/>
          <w:lang w:eastAsia="pt-BR"/>
        </w:rPr>
        <w:t> </w:t>
      </w:r>
      <w:r w:rsidR="00166699" w:rsidRPr="0013331D">
        <w:rPr>
          <w:rFonts w:ascii="Arial" w:eastAsia="Times New Roman" w:hAnsi="Arial" w:cs="Arial"/>
          <w:color w:val="000000"/>
          <w:sz w:val="24"/>
          <w:szCs w:val="24"/>
          <w:lang w:eastAsia="pt-BR"/>
        </w:rPr>
        <w:t>- Justiça Federal de Primeiro Grau de São Paulo;</w:t>
      </w:r>
    </w:p>
    <w:p w14:paraId="56D974C0" w14:textId="7B9CFAC5"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II. Fonte de Recursos:</w:t>
      </w:r>
      <w:r w:rsidR="003B3354" w:rsidRPr="0013331D">
        <w:rPr>
          <w:rFonts w:ascii="Arial" w:eastAsia="Times New Roman" w:hAnsi="Arial" w:cs="Arial"/>
          <w:color w:val="000000"/>
          <w:sz w:val="24"/>
          <w:szCs w:val="24"/>
          <w:lang w:eastAsia="pt-BR"/>
        </w:rPr>
        <w:t xml:space="preserve"> Recursos Primários de Livre Aplicação;</w:t>
      </w:r>
    </w:p>
    <w:p w14:paraId="6F60CCBA" w14:textId="6488803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III. Programa de Trabalho:</w:t>
      </w:r>
      <w:r w:rsidR="003B3354" w:rsidRPr="0013331D">
        <w:rPr>
          <w:rFonts w:ascii="Arial" w:eastAsia="Times New Roman" w:hAnsi="Arial" w:cs="Arial"/>
          <w:color w:val="000000"/>
          <w:sz w:val="24"/>
          <w:szCs w:val="24"/>
          <w:lang w:eastAsia="pt-BR"/>
        </w:rPr>
        <w:t xml:space="preserve"> Julgamento de Causas - Cód. PTRES 168.312;</w:t>
      </w:r>
    </w:p>
    <w:p w14:paraId="6F9AF9BF" w14:textId="4005E130"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IV. Elemento de Despesa:</w:t>
      </w:r>
      <w:r w:rsidR="003B3354" w:rsidRPr="0013331D">
        <w:rPr>
          <w:rFonts w:ascii="Arial" w:eastAsia="Times New Roman" w:hAnsi="Arial" w:cs="Arial"/>
          <w:color w:val="000000"/>
          <w:sz w:val="24"/>
          <w:szCs w:val="24"/>
          <w:lang w:eastAsia="pt-BR"/>
        </w:rPr>
        <w:t xml:space="preserve"> Material permanente - Cód. 4.4.90.52;</w:t>
      </w:r>
    </w:p>
    <w:p w14:paraId="276C1018" w14:textId="3198D084"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V. Plano Interno:</w:t>
      </w:r>
      <w:r w:rsidR="003B3354" w:rsidRPr="0013331D">
        <w:rPr>
          <w:rFonts w:ascii="Arial" w:eastAsia="Times New Roman" w:hAnsi="Arial" w:cs="Arial"/>
          <w:color w:val="000000"/>
          <w:sz w:val="24"/>
          <w:szCs w:val="24"/>
          <w:lang w:eastAsia="pt-BR"/>
        </w:rPr>
        <w:t xml:space="preserve"> Não se aplica.</w:t>
      </w:r>
    </w:p>
    <w:p w14:paraId="77B23E5C"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VI. Nota de Empenho:</w:t>
      </w:r>
    </w:p>
    <w:p w14:paraId="787131E5" w14:textId="38D9C50F" w:rsidR="003B3354" w:rsidRPr="007F71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7F71DB">
        <w:rPr>
          <w:rFonts w:ascii="Arial" w:eastAsia="Times New Roman" w:hAnsi="Arial" w:cs="Arial"/>
          <w:color w:val="000000"/>
          <w:sz w:val="24"/>
          <w:szCs w:val="24"/>
          <w:lang w:eastAsia="pt-BR"/>
        </w:rPr>
        <w:t xml:space="preserve">15.2. </w:t>
      </w:r>
      <w:r w:rsidR="007F71DB" w:rsidRPr="007F71DB">
        <w:rPr>
          <w:rFonts w:ascii="Arial" w:eastAsia="Times New Roman" w:hAnsi="Arial" w:cs="Arial"/>
          <w:color w:val="000000"/>
          <w:sz w:val="24"/>
          <w:szCs w:val="24"/>
          <w:lang w:eastAsia="pt-BR"/>
        </w:rPr>
        <w:t>A indicação da dotação orçamentária fica postergada para o momento da assinatura do contrato.</w:t>
      </w:r>
    </w:p>
    <w:p w14:paraId="47D974C8" w14:textId="56D9B13C"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7C61E58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lastRenderedPageBreak/>
        <w:t>16. CLÁUSULA DÉCIMA SEXTA – DOS CASOS OMISSOS</w:t>
      </w:r>
    </w:p>
    <w:p w14:paraId="33219E8C" w14:textId="77777777" w:rsidR="003B3354"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01F87642" w14:textId="3202DE94"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33DD83F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17. CLÁUSULA DÉCIMA SÉTIMA – PUBLICAÇÃO</w:t>
      </w:r>
    </w:p>
    <w:p w14:paraId="541D5BBA" w14:textId="4248025B"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17.1. Incumbirá ao contratante divulgar o presente instrumento no Portal Nacional de Contratações Públicas (PNCP), na forma e no prazo previsto no art. 94 da Lei 14.133/2021, bem como no respectivo sítio oficial na Internet, em atenção ao art. 91, caput, da Lei nº 14.133/2021, e ao art. 8º, §2º, da Lei n.º 12.527/2011.</w:t>
      </w:r>
    </w:p>
    <w:p w14:paraId="0554BEB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1F266680"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18. CLÁUSULA DÉCIMA OITAVA - COMUNICAÇÕES</w:t>
      </w:r>
    </w:p>
    <w:p w14:paraId="1F37106C"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18.1. Eventuais correspondências expedidas pelas partes signatárias deverão mencionar o número deste instrumento e o assunto específico da correspondência.</w:t>
      </w:r>
    </w:p>
    <w:p w14:paraId="54887EED" w14:textId="0E57A78A" w:rsidR="00F35632" w:rsidRPr="0013331D" w:rsidRDefault="00D733DB" w:rsidP="00D733DB">
      <w:pPr>
        <w:spacing w:before="100" w:beforeAutospacing="1" w:after="100" w:afterAutospacing="1" w:line="240" w:lineRule="auto"/>
        <w:jc w:val="both"/>
        <w:rPr>
          <w:rFonts w:ascii="Arial" w:eastAsia="Times New Roman" w:hAnsi="Arial" w:cs="Arial"/>
          <w:color w:val="000000"/>
          <w:sz w:val="24"/>
          <w:szCs w:val="24"/>
          <w:lang w:eastAsia="pt-BR"/>
        </w:rPr>
      </w:pPr>
      <w:r w:rsidRPr="0013331D">
        <w:rPr>
          <w:rFonts w:ascii="Arial" w:eastAsia="Times New Roman" w:hAnsi="Arial" w:cs="Arial"/>
          <w:color w:val="000000"/>
          <w:sz w:val="24"/>
          <w:szCs w:val="24"/>
          <w:lang w:eastAsia="pt-BR"/>
        </w:rPr>
        <w:t>18.1.1. As comunicações feitas ao contratante</w:t>
      </w:r>
      <w:r w:rsidR="00D85CEF" w:rsidRPr="0013331D">
        <w:rPr>
          <w:rFonts w:ascii="Arial" w:eastAsia="Times New Roman" w:hAnsi="Arial" w:cs="Arial"/>
          <w:color w:val="000000"/>
          <w:sz w:val="24"/>
          <w:szCs w:val="24"/>
          <w:lang w:eastAsia="pt-BR"/>
        </w:rPr>
        <w:t xml:space="preserve"> </w:t>
      </w:r>
      <w:r w:rsidR="00F35632" w:rsidRPr="0013331D">
        <w:rPr>
          <w:rFonts w:ascii="Arial" w:eastAsia="Times New Roman" w:hAnsi="Arial" w:cs="Arial"/>
          <w:color w:val="000000"/>
          <w:sz w:val="24"/>
          <w:szCs w:val="24"/>
          <w:lang w:eastAsia="pt-BR"/>
        </w:rPr>
        <w:t xml:space="preserve">deverão ser endereçadas à Divisão de Administração Predial e Gestão de Serviços - DUAP, situada na Rua Peixoto Gomide, 768, Jardim Paulista, São Paulo/SP, CEP: 01409-903, telefones (11) 2172-6239 e (11) 2172-6407, ou nos </w:t>
      </w:r>
      <w:r w:rsidR="00F35632" w:rsidRPr="0013331D">
        <w:rPr>
          <w:rFonts w:ascii="Arial" w:eastAsia="Times New Roman" w:hAnsi="Arial" w:cs="Arial"/>
          <w:i/>
          <w:iCs/>
          <w:color w:val="000000"/>
          <w:sz w:val="24"/>
          <w:szCs w:val="24"/>
          <w:lang w:eastAsia="pt-BR"/>
        </w:rPr>
        <w:t>e-mails</w:t>
      </w:r>
      <w:r w:rsidR="00F35632" w:rsidRPr="0013331D">
        <w:rPr>
          <w:rFonts w:ascii="Arial" w:eastAsia="Times New Roman" w:hAnsi="Arial" w:cs="Arial"/>
          <w:color w:val="000000"/>
          <w:sz w:val="24"/>
          <w:szCs w:val="24"/>
          <w:lang w:eastAsia="pt-BR"/>
        </w:rPr>
        <w:t xml:space="preserve"> admsp-suai@trf3.jus.br e admsp-duap@trf3.jus.br</w:t>
      </w:r>
    </w:p>
    <w:p w14:paraId="59C1A4D2" w14:textId="6CE6278F"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74DCE347"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18.1.3. Ao contratado caberá confirmar o recebimento da correspondência eletrônica, no prazo de 1 (um) dia útil, contado de seu envio pelo contratante.</w:t>
      </w:r>
    </w:p>
    <w:p w14:paraId="59081693"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14:paraId="2656E1F1"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xml:space="preserve">18.1.4. Nos prazos para apresentação de defesa prévia e recurso, a Seção responsável pela intimação do contratado, franqueará, independentemente de pedido expresso, acesso ao “SEI – Sistema Eletrônico de Informações” ao </w:t>
      </w:r>
      <w:r w:rsidRPr="0013331D">
        <w:rPr>
          <w:rFonts w:ascii="Arial" w:eastAsia="Times New Roman" w:hAnsi="Arial" w:cs="Arial"/>
          <w:color w:val="000000"/>
          <w:sz w:val="24"/>
          <w:szCs w:val="24"/>
          <w:lang w:eastAsia="pt-BR"/>
        </w:rPr>
        <w:lastRenderedPageBreak/>
        <w:t>representante legal do contratado, cujos dados foram informados na Proposta Comercial.</w:t>
      </w:r>
    </w:p>
    <w:p w14:paraId="6E269A8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18.1.5. Quando estritamente necessário, as comunicações serão enviadas por via postal, endereçadas à empresa .........., situada na Rua/Avenida .........., nº ..., Bairro, Cidade, Estado, CEP ..., telefone/fax (0xx11) ....</w:t>
      </w:r>
    </w:p>
    <w:p w14:paraId="5A037E9E"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531D4F2F"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18.1.6. Eventuais mudanças de endereços deverão ser comunicadas por escrito.</w:t>
      </w:r>
    </w:p>
    <w:p w14:paraId="2673AB79"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w:t>
      </w:r>
    </w:p>
    <w:p w14:paraId="3E85FBED" w14:textId="77777777"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b/>
          <w:bCs/>
          <w:color w:val="000000"/>
          <w:sz w:val="24"/>
          <w:szCs w:val="24"/>
          <w:lang w:eastAsia="pt-BR"/>
        </w:rPr>
        <w:t>19. CLÁUSULA DÉCIMA NONA – FORO</w:t>
      </w:r>
    </w:p>
    <w:p w14:paraId="351E8B11" w14:textId="37E04793" w:rsidR="00D733DB"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xml:space="preserve">19.1. </w:t>
      </w:r>
      <w:r w:rsidR="00F35632" w:rsidRPr="0013331D">
        <w:rPr>
          <w:rFonts w:ascii="Arial" w:eastAsia="Times New Roman" w:hAnsi="Arial" w:cs="Arial"/>
          <w:color w:val="000000"/>
          <w:sz w:val="24"/>
          <w:szCs w:val="24"/>
          <w:lang w:eastAsia="pt-BR"/>
        </w:rPr>
        <w:t>É eleito o Foro da Justiça Federal de Primeiro Grau em São Paulo, 1ª Subseção Judiciária, para dirimir os litígios que decorrerem da execução deste Termo de Contrato que não possam ser compostos pela conciliação, conforme art. 92, §1º da Lei nº 14.133/2021.</w:t>
      </w:r>
    </w:p>
    <w:p w14:paraId="4D8BA6D7" w14:textId="630CD9AD" w:rsidR="00F35632" w:rsidRPr="0013331D"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color w:val="000000"/>
          <w:sz w:val="24"/>
          <w:szCs w:val="24"/>
          <w:lang w:eastAsia="pt-BR"/>
        </w:rPr>
        <w:t xml:space="preserve">19.2. </w:t>
      </w:r>
      <w:r w:rsidRPr="0013331D">
        <w:rPr>
          <w:rFonts w:ascii="Arial" w:eastAsia="Times New Roman" w:hAnsi="Arial" w:cs="Arial"/>
          <w:sz w:val="24"/>
          <w:szCs w:val="24"/>
          <w:lang w:eastAsia="pt-BR"/>
        </w:rPr>
        <w:t>A unidade gestora poderá empregar métodos de resolução consensual de conflitos observados o art. 151 da Lei nº 14.133/2021 e a Recomendação nº 140, de 21 de agosto de 2023, do Conselho Nacional de Justiça.</w:t>
      </w:r>
    </w:p>
    <w:p w14:paraId="7F864CE3" w14:textId="6A62D7F1" w:rsidR="00F35632" w:rsidRPr="00D733DB" w:rsidRDefault="00F35632" w:rsidP="00D733DB">
      <w:pPr>
        <w:spacing w:before="100" w:beforeAutospacing="1" w:after="100" w:afterAutospacing="1" w:line="240" w:lineRule="auto"/>
        <w:jc w:val="both"/>
        <w:rPr>
          <w:rFonts w:ascii="Arial" w:eastAsia="Times New Roman" w:hAnsi="Arial" w:cs="Arial"/>
          <w:sz w:val="24"/>
          <w:szCs w:val="24"/>
          <w:lang w:eastAsia="pt-BR"/>
        </w:rPr>
      </w:pPr>
      <w:r w:rsidRPr="0013331D">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r w:rsidRPr="00F35632">
        <w:rPr>
          <w:rFonts w:ascii="Arial" w:eastAsia="Times New Roman" w:hAnsi="Arial" w:cs="Arial"/>
          <w:sz w:val="24"/>
          <w:szCs w:val="24"/>
          <w:lang w:eastAsia="pt-BR"/>
        </w:rPr>
        <w:t> </w:t>
      </w:r>
    </w:p>
    <w:p w14:paraId="4B89766A" w14:textId="77777777" w:rsidR="001E1CBE" w:rsidRDefault="001E1CBE"/>
    <w:sectPr w:rsidR="001E1CB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3DB"/>
    <w:rsid w:val="000174AF"/>
    <w:rsid w:val="00024E24"/>
    <w:rsid w:val="000A2E56"/>
    <w:rsid w:val="000B6546"/>
    <w:rsid w:val="000C37C3"/>
    <w:rsid w:val="0013331D"/>
    <w:rsid w:val="00166699"/>
    <w:rsid w:val="001E1CBE"/>
    <w:rsid w:val="00262179"/>
    <w:rsid w:val="002A3D5A"/>
    <w:rsid w:val="002B2EAA"/>
    <w:rsid w:val="002D0BC3"/>
    <w:rsid w:val="002D7E6C"/>
    <w:rsid w:val="002E781A"/>
    <w:rsid w:val="00355098"/>
    <w:rsid w:val="00371D22"/>
    <w:rsid w:val="003A0282"/>
    <w:rsid w:val="003B3354"/>
    <w:rsid w:val="003E2FEB"/>
    <w:rsid w:val="003F64A1"/>
    <w:rsid w:val="005115C2"/>
    <w:rsid w:val="00526438"/>
    <w:rsid w:val="00554005"/>
    <w:rsid w:val="005B7DB4"/>
    <w:rsid w:val="00607B4E"/>
    <w:rsid w:val="0069413D"/>
    <w:rsid w:val="006E2098"/>
    <w:rsid w:val="0079558A"/>
    <w:rsid w:val="007E7B68"/>
    <w:rsid w:val="007F71DB"/>
    <w:rsid w:val="0081119C"/>
    <w:rsid w:val="00822421"/>
    <w:rsid w:val="00867016"/>
    <w:rsid w:val="008F27A2"/>
    <w:rsid w:val="008F49D7"/>
    <w:rsid w:val="00A0510A"/>
    <w:rsid w:val="00A177B9"/>
    <w:rsid w:val="00A74FC0"/>
    <w:rsid w:val="00A76C78"/>
    <w:rsid w:val="00B255B1"/>
    <w:rsid w:val="00B60C76"/>
    <w:rsid w:val="00B94EDC"/>
    <w:rsid w:val="00BA5505"/>
    <w:rsid w:val="00D00699"/>
    <w:rsid w:val="00D54439"/>
    <w:rsid w:val="00D72F3D"/>
    <w:rsid w:val="00D733DB"/>
    <w:rsid w:val="00D85CEF"/>
    <w:rsid w:val="00DA5F62"/>
    <w:rsid w:val="00DC6392"/>
    <w:rsid w:val="00DF4CBD"/>
    <w:rsid w:val="00DF5D78"/>
    <w:rsid w:val="00E37578"/>
    <w:rsid w:val="00E82DFF"/>
    <w:rsid w:val="00F35632"/>
    <w:rsid w:val="00F60567"/>
    <w:rsid w:val="00FF1B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ADC76"/>
  <w15:chartTrackingRefBased/>
  <w15:docId w15:val="{16DAC5A9-B9BA-4C9E-8F3F-2E6FEA814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D733D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733DB"/>
    <w:rPr>
      <w:b/>
      <w:bCs/>
    </w:rPr>
  </w:style>
  <w:style w:type="paragraph" w:customStyle="1" w:styleId="textocentralizadomaiusculas">
    <w:name w:val="texto_centralizado_maiusculas"/>
    <w:basedOn w:val="Normal"/>
    <w:rsid w:val="00D733D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D733D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D733DB"/>
    <w:rPr>
      <w:color w:val="0000FF"/>
      <w:u w:val="single"/>
    </w:rPr>
  </w:style>
  <w:style w:type="character" w:styleId="MenoPendente">
    <w:name w:val="Unresolved Mention"/>
    <w:basedOn w:val="Fontepargpadro"/>
    <w:uiPriority w:val="99"/>
    <w:semiHidden/>
    <w:unhideWhenUsed/>
    <w:rsid w:val="00607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2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i.trf3.jus.br/sei/controlador.php?acao=protocolo_visualizar&amp;id_protocolo=10000014706181&amp;id_procedimento_atual=10000014303433&amp;infra_sistema=100000100&amp;infra_unidade_atual=110001337&amp;infra_hash=7e006b27c5ed9b8ae9f11de26e0ec972926d83421ba5acf241b9ba059cb42ede7d71a241e37a5ab217b7712fdfff380dea2f53659c6b160aba506d640a19d7babba5737827dcacbe79829fb005b92e3987583a48c590ca1809585738f014d186" TargetMode="External"/><Relationship Id="rId3" Type="http://schemas.openxmlformats.org/officeDocument/2006/relationships/customXml" Target="../customXml/item3.xml"/><Relationship Id="rId7" Type="http://schemas.openxmlformats.org/officeDocument/2006/relationships/hyperlink" Target="https://sei.trf3.jus.br/sei/controlador.php?acao=protocolo_visualizar&amp;id_protocolo=10000014706181&amp;id_procedimento_atual=10000014303433&amp;infra_sistema=100000100&amp;infra_unidade_atual=110001337&amp;infra_hash=7e006b27c5ed9b8ae9f11de26e0ec972926d83421ba5acf241b9ba059cb42ede7d71a241e37a5ab217b7712fdfff380dea2f53659c6b160aba506d640a19d7babba5737827dcacbe79829fb005b92e3987583a48c590ca1809585738f014d186"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eb.trf3.jus.br/atos-normativos/" TargetMode="External"/><Relationship Id="rId4" Type="http://schemas.openxmlformats.org/officeDocument/2006/relationships/styles" Target="styles.xml"/><Relationship Id="rId9" Type="http://schemas.openxmlformats.org/officeDocument/2006/relationships/hyperlink" Target="https://sei.trf3.jus.br/sei/controlador.php?acao=protocolo_visualizar&amp;id_protocolo=10000014706181&amp;id_procedimento_atual=10000014303433&amp;infra_sistema=100000100&amp;infra_unidade_atual=110001337&amp;infra_hash=7e006b27c5ed9b8ae9f11de26e0ec972926d83421ba5acf241b9ba059cb42ede7d71a241e37a5ab217b7712fdfff380dea2f53659c6b160aba506d640a19d7babba5737827dcacbe79829fb005b92e3987583a48c590ca1809585738f014d186"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41C8E6-C8D6-469B-B395-3BC17A8AEE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DA4FE9-0621-4E44-ADD4-BE581534EE05}">
  <ds:schemaRefs>
    <ds:schemaRef ds:uri="http://schemas.microsoft.com/sharepoint/v3/contenttype/forms"/>
  </ds:schemaRefs>
</ds:datastoreItem>
</file>

<file path=customXml/itemProps3.xml><?xml version="1.0" encoding="utf-8"?>
<ds:datastoreItem xmlns:ds="http://schemas.openxmlformats.org/officeDocument/2006/customXml" ds:itemID="{7EC1856A-6838-4DD9-948E-125875230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17</Pages>
  <Words>5441</Words>
  <Characters>29386</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MARCELA OYAMA CARMO</cp:lastModifiedBy>
  <cp:revision>9</cp:revision>
  <dcterms:created xsi:type="dcterms:W3CDTF">2026-04-10T15:27:00Z</dcterms:created>
  <dcterms:modified xsi:type="dcterms:W3CDTF">2026-08-03T20:14:00Z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